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B3E8F" w14:textId="77777777" w:rsidR="0070471B" w:rsidRPr="004D60CC" w:rsidRDefault="0070471B" w:rsidP="0070471B">
      <w:pPr>
        <w:pStyle w:val="Reportsubtitle"/>
        <w:spacing w:after="0"/>
        <w:rPr>
          <w:b/>
        </w:rPr>
      </w:pPr>
      <w:r>
        <w:rPr>
          <w:b/>
        </w:rPr>
        <w:t>Product description</w:t>
      </w:r>
    </w:p>
    <w:p w14:paraId="39FBAE9E" w14:textId="5C175664" w:rsidR="0070471B" w:rsidRPr="004D60CC" w:rsidRDefault="0070471B" w:rsidP="0070471B">
      <w:pPr>
        <w:pStyle w:val="Reporttitle"/>
        <w:spacing w:after="200"/>
        <w:rPr>
          <w:b w:val="0"/>
          <w:bCs/>
        </w:rPr>
      </w:pPr>
      <w:r>
        <w:rPr>
          <w:b w:val="0"/>
          <w:bCs/>
        </w:rPr>
        <w:t xml:space="preserve">Area-wide licences in the 3.4–4.0 GHz </w:t>
      </w:r>
      <w:r w:rsidR="00A25698">
        <w:rPr>
          <w:b w:val="0"/>
          <w:bCs/>
        </w:rPr>
        <w:br/>
      </w:r>
      <w:r>
        <w:rPr>
          <w:b w:val="0"/>
          <w:bCs/>
        </w:rPr>
        <w:t>band in remote areas</w:t>
      </w:r>
    </w:p>
    <w:p w14:paraId="0766C5DC" w14:textId="77777777" w:rsidR="0070471B" w:rsidRPr="000D76E0" w:rsidRDefault="0070471B" w:rsidP="0070471B">
      <w:pPr>
        <w:pStyle w:val="Reportdate"/>
        <w:spacing w:after="720"/>
        <w:rPr>
          <w:rFonts w:cs="Arial"/>
        </w:rPr>
        <w:sectPr w:rsidR="0070471B" w:rsidRPr="000D76E0" w:rsidSect="00936396">
          <w:headerReference w:type="default" r:id="rId8"/>
          <w:footerReference w:type="default" r:id="rId9"/>
          <w:headerReference w:type="first" r:id="rId10"/>
          <w:pgSz w:w="11906" w:h="16838" w:code="9"/>
          <w:pgMar w:top="3924" w:right="992" w:bottom="1440" w:left="1134" w:header="709" w:footer="454" w:gutter="0"/>
          <w:cols w:space="708"/>
          <w:docGrid w:linePitch="360"/>
        </w:sectPr>
      </w:pPr>
      <w:r>
        <w:t>may 2024</w:t>
      </w:r>
    </w:p>
    <w:p w14:paraId="010B7128" w14:textId="77777777" w:rsidR="00284A74" w:rsidRPr="00A17B1B" w:rsidRDefault="00284A74" w:rsidP="00284A74">
      <w:pPr>
        <w:pStyle w:val="ACMACorporateAddressHeader"/>
      </w:pPr>
      <w:r w:rsidRPr="00A17B1B">
        <w:lastRenderedPageBreak/>
        <w:t>Canberra</w:t>
      </w:r>
    </w:p>
    <w:p w14:paraId="2F00B232" w14:textId="77777777" w:rsidR="00284A74" w:rsidRPr="00A17B1B" w:rsidRDefault="00181180" w:rsidP="00284A74">
      <w:pPr>
        <w:pStyle w:val="ACMACorporateAddresses"/>
      </w:pPr>
      <w:r>
        <w:t>Level 3</w:t>
      </w:r>
      <w:r>
        <w:br/>
        <w:t>40 Cameron Avenue</w:t>
      </w:r>
      <w:r w:rsidR="00284A74" w:rsidRPr="00A17B1B">
        <w:t xml:space="preserve"> </w:t>
      </w:r>
      <w:r w:rsidR="00284A74" w:rsidRPr="00A17B1B">
        <w:br/>
        <w:t>Belconnen ACT</w:t>
      </w:r>
    </w:p>
    <w:p w14:paraId="48C0F784" w14:textId="77777777" w:rsidR="00284A74" w:rsidRPr="00A17B1B" w:rsidRDefault="00284A74" w:rsidP="00284A74">
      <w:pPr>
        <w:pStyle w:val="ACMACorporateAddresses"/>
      </w:pPr>
      <w:r w:rsidRPr="00A17B1B">
        <w:t>PO Box 78</w:t>
      </w:r>
      <w:r w:rsidRPr="00A17B1B">
        <w:br/>
        <w:t>Belconnen ACT 2616</w:t>
      </w:r>
    </w:p>
    <w:p w14:paraId="2DE44FA5" w14:textId="77777777" w:rsidR="00284A74" w:rsidRPr="00A17B1B" w:rsidRDefault="00284A74" w:rsidP="00284A74">
      <w:pPr>
        <w:pStyle w:val="ACMACorporateAddresses"/>
      </w:pPr>
      <w:r w:rsidRPr="00A17B1B">
        <w:t>T</w:t>
      </w:r>
      <w:r w:rsidRPr="00A17B1B">
        <w:tab/>
        <w:t>+61 2 6219 5555</w:t>
      </w:r>
      <w:r w:rsidRPr="00A17B1B">
        <w:br/>
        <w:t>F</w:t>
      </w:r>
      <w:r w:rsidRPr="00A17B1B">
        <w:tab/>
        <w:t>+61 2 6219 5353</w:t>
      </w:r>
    </w:p>
    <w:p w14:paraId="2AD03014" w14:textId="77777777" w:rsidR="00284A74" w:rsidRPr="00A17B1B" w:rsidRDefault="00284A74" w:rsidP="00284A74">
      <w:pPr>
        <w:pStyle w:val="ACMACorporateAddressHeader"/>
      </w:pPr>
      <w:r w:rsidRPr="00A17B1B">
        <w:t>Melbourne</w:t>
      </w:r>
    </w:p>
    <w:p w14:paraId="0FD13F84" w14:textId="77777777" w:rsidR="00284A74" w:rsidRPr="00A17B1B" w:rsidRDefault="00284A74" w:rsidP="00284A74">
      <w:pPr>
        <w:pStyle w:val="ACMACorporateAddresses"/>
      </w:pPr>
      <w:r w:rsidRPr="00A17B1B">
        <w:t xml:space="preserve">Level 32 </w:t>
      </w:r>
      <w:r w:rsidRPr="00A17B1B">
        <w:br/>
        <w:t>Melbourne Central Tower</w:t>
      </w:r>
      <w:r w:rsidRPr="00A17B1B">
        <w:br/>
        <w:t xml:space="preserve">360 Elizabeth Street </w:t>
      </w:r>
      <w:r w:rsidRPr="00A17B1B">
        <w:br/>
        <w:t>Melbourne VIC</w:t>
      </w:r>
    </w:p>
    <w:p w14:paraId="697E7308" w14:textId="77777777" w:rsidR="00284A74" w:rsidRPr="00A17B1B" w:rsidRDefault="00284A74" w:rsidP="00284A74">
      <w:pPr>
        <w:pStyle w:val="ACMACorporateAddresses"/>
      </w:pPr>
      <w:r w:rsidRPr="00A17B1B">
        <w:t>PO Box 13112</w:t>
      </w:r>
      <w:r w:rsidRPr="00A17B1B">
        <w:br/>
        <w:t xml:space="preserve">Law Courts </w:t>
      </w:r>
      <w:r w:rsidRPr="00A17B1B">
        <w:br/>
        <w:t>Melbourne VIC 8010</w:t>
      </w:r>
    </w:p>
    <w:p w14:paraId="330FF012" w14:textId="77777777" w:rsidR="00284A74" w:rsidRPr="00A17B1B" w:rsidRDefault="00284A74" w:rsidP="00284A74">
      <w:pPr>
        <w:pStyle w:val="ACMACorporateAddresses"/>
      </w:pPr>
      <w:r w:rsidRPr="00A17B1B">
        <w:t>T</w:t>
      </w:r>
      <w:r w:rsidRPr="00A17B1B">
        <w:tab/>
        <w:t>+61 3 9963 6800</w:t>
      </w:r>
      <w:r w:rsidRPr="00A17B1B">
        <w:br/>
        <w:t>F</w:t>
      </w:r>
      <w:r w:rsidRPr="00A17B1B">
        <w:tab/>
        <w:t>+61 3 9963 6899</w:t>
      </w:r>
    </w:p>
    <w:p w14:paraId="0579A72D" w14:textId="77777777" w:rsidR="00284A74" w:rsidRPr="00A17B1B" w:rsidRDefault="00284A74" w:rsidP="00284A74">
      <w:pPr>
        <w:pStyle w:val="ACMACorporateAddressHeader"/>
      </w:pPr>
      <w:r w:rsidRPr="00A17B1B">
        <w:t>Sydney</w:t>
      </w:r>
    </w:p>
    <w:p w14:paraId="270F2B83" w14:textId="77777777" w:rsidR="00284A74" w:rsidRPr="00A17B1B" w:rsidRDefault="00284A74" w:rsidP="00284A74">
      <w:pPr>
        <w:pStyle w:val="ACMACorporateAddresses"/>
      </w:pPr>
      <w:r w:rsidRPr="00A17B1B">
        <w:t xml:space="preserve">Level 5 </w:t>
      </w:r>
      <w:r w:rsidRPr="00A17B1B">
        <w:br/>
        <w:t>The Bay Centre</w:t>
      </w:r>
      <w:r w:rsidRPr="00A17B1B">
        <w:br/>
        <w:t xml:space="preserve">65 Pirrama Road </w:t>
      </w:r>
      <w:r w:rsidRPr="00A17B1B">
        <w:br/>
        <w:t>Pyrmont NSW</w:t>
      </w:r>
    </w:p>
    <w:p w14:paraId="0C0502FB" w14:textId="77777777" w:rsidR="00284A74" w:rsidRPr="00A17B1B" w:rsidRDefault="00284A74" w:rsidP="00284A74">
      <w:pPr>
        <w:pStyle w:val="ACMACorporateAddresses"/>
      </w:pPr>
      <w:r w:rsidRPr="00A17B1B">
        <w:t>PO Box Q500</w:t>
      </w:r>
      <w:r w:rsidRPr="00A17B1B">
        <w:br/>
        <w:t xml:space="preserve">Queen Victoria Building </w:t>
      </w:r>
      <w:r w:rsidRPr="00A17B1B">
        <w:br/>
        <w:t>NSW 1230</w:t>
      </w:r>
    </w:p>
    <w:p w14:paraId="3750081D" w14:textId="77777777" w:rsidR="00284A74" w:rsidRPr="00A17B1B" w:rsidRDefault="00284A74" w:rsidP="00284A74">
      <w:pPr>
        <w:pStyle w:val="ACMACorporateAddresses"/>
      </w:pPr>
      <w:r w:rsidRPr="00A17B1B">
        <w:t>T</w:t>
      </w:r>
      <w:r w:rsidRPr="00A17B1B">
        <w:tab/>
        <w:t>+61 2 9334 7700</w:t>
      </w:r>
      <w:r w:rsidRPr="00A17B1B">
        <w:br/>
        <w:t>F</w:t>
      </w:r>
      <w:r w:rsidRPr="00A17B1B">
        <w:tab/>
        <w:t>+61 2 9334 7799</w:t>
      </w:r>
    </w:p>
    <w:p w14:paraId="14540B77" w14:textId="77777777" w:rsidR="00284A74" w:rsidRPr="00A17B1B" w:rsidRDefault="00284A74" w:rsidP="00AA1F0B">
      <w:pPr>
        <w:pStyle w:val="ACMACopyrightHeader"/>
        <w:spacing w:before="4560"/>
      </w:pPr>
      <w:r w:rsidRPr="00A17B1B">
        <w:t>Copyright notice</w:t>
      </w:r>
    </w:p>
    <w:p w14:paraId="7748A048" w14:textId="77777777" w:rsidR="00284A74" w:rsidRPr="00A17B1B" w:rsidRDefault="00284A74" w:rsidP="00284A74">
      <w:pPr>
        <w:pStyle w:val="ACMACClogo"/>
      </w:pPr>
      <w:r w:rsidRPr="00A17B1B">
        <w:rPr>
          <w:noProof/>
        </w:rPr>
        <w:drawing>
          <wp:inline distT="0" distB="0" distL="0" distR="0" wp14:anchorId="4DC6A8D7" wp14:editId="59482961">
            <wp:extent cx="838200" cy="295275"/>
            <wp:effectExtent l="0" t="0" r="0" b="0"/>
            <wp:docPr id="1" name="Picture 1" title="Creative Commons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
                      <a:hlinkClick r:id="rId11"/>
                    </pic:cNvPr>
                    <pic:cNvPicPr>
                      <a:picLocks noChangeAspect="1" noChangeArrowheads="1"/>
                    </pic:cNvPicPr>
                  </pic:nvPicPr>
                  <pic:blipFill>
                    <a:blip r:embed="rId12" cstate="print"/>
                    <a:srcRect/>
                    <a:stretch>
                      <a:fillRect/>
                    </a:stretch>
                  </pic:blipFill>
                  <pic:spPr bwMode="auto">
                    <a:xfrm>
                      <a:off x="0" y="0"/>
                      <a:ext cx="838200" cy="295275"/>
                    </a:xfrm>
                    <a:prstGeom prst="rect">
                      <a:avLst/>
                    </a:prstGeom>
                    <a:noFill/>
                  </pic:spPr>
                </pic:pic>
              </a:graphicData>
            </a:graphic>
          </wp:inline>
        </w:drawing>
      </w:r>
    </w:p>
    <w:p w14:paraId="3839D202" w14:textId="77777777" w:rsidR="00284A74" w:rsidRPr="00A17B1B" w:rsidRDefault="00961964" w:rsidP="00284A74">
      <w:pPr>
        <w:pStyle w:val="ACMACorporateAddresses"/>
        <w:rPr>
          <w:rStyle w:val="Hyperlink"/>
        </w:rPr>
      </w:pPr>
      <w:hyperlink r:id="rId13" w:history="1">
        <w:r w:rsidR="00284A74" w:rsidRPr="00A17B1B">
          <w:rPr>
            <w:rStyle w:val="Hyperlink"/>
          </w:rPr>
          <w:t>https://creativecommons.org/licenses/by/4.0/</w:t>
        </w:r>
      </w:hyperlink>
    </w:p>
    <w:p w14:paraId="1D3A6747" w14:textId="77777777" w:rsidR="00AA1F0B" w:rsidRPr="00E162C4" w:rsidRDefault="00AA1F0B" w:rsidP="00AA1F0B">
      <w:pPr>
        <w:pStyle w:val="ACMACorporateAddresses"/>
      </w:pPr>
      <w:r>
        <w:t>Except for the Commonwealth</w:t>
      </w:r>
      <w:r w:rsidRPr="00E162C4">
        <w:t xml:space="preserve"> </w:t>
      </w:r>
      <w:r>
        <w:t>C</w:t>
      </w:r>
      <w:r w:rsidRPr="00E162C4">
        <w:t xml:space="preserve">oat of </w:t>
      </w:r>
      <w:r>
        <w:t>A</w:t>
      </w:r>
      <w:r w:rsidRPr="00E162C4">
        <w:t xml:space="preserve">rms, logos, emblems, images, other third-party </w:t>
      </w:r>
      <w:proofErr w:type="gramStart"/>
      <w:r w:rsidRPr="00E162C4">
        <w:t>material</w:t>
      </w:r>
      <w:proofErr w:type="gramEnd"/>
      <w:r w:rsidRPr="00E162C4">
        <w:t xml:space="preserve"> or devices protected by a trademark, this content is made available under the terms of the Creative Commons Attribution 4.0 International (CC BY 4.0) licence. </w:t>
      </w:r>
    </w:p>
    <w:p w14:paraId="6498CC62" w14:textId="77777777" w:rsidR="00AA1F0B" w:rsidRPr="00E162C4" w:rsidRDefault="00AA1F0B" w:rsidP="00AA1F0B">
      <w:pPr>
        <w:pStyle w:val="ACMACorporateAddresses"/>
      </w:pPr>
      <w:r w:rsidRPr="00E162C4">
        <w:t>All other rights are reserved.</w:t>
      </w:r>
    </w:p>
    <w:p w14:paraId="54E5B147" w14:textId="77777777" w:rsidR="00AA1F0B" w:rsidRDefault="00AA1F0B" w:rsidP="00AA1F0B">
      <w:pPr>
        <w:pStyle w:val="ACMACorporateAddresses"/>
      </w:pPr>
      <w:r w:rsidRPr="00E162C4">
        <w:t>The Australian Communications and Media Authority has undertaken reasonable enquiries to identify material owned by third parties and secure permission for its reproduction. Permission may need to be obtained from third parties to re-use their material.</w:t>
      </w:r>
    </w:p>
    <w:p w14:paraId="0ACEDD4B" w14:textId="77777777" w:rsidR="00AA1F0B" w:rsidRPr="00D04C32" w:rsidRDefault="00AA1F0B" w:rsidP="00AA1F0B">
      <w:pPr>
        <w:pStyle w:val="ACMACorporateAddresses"/>
        <w:rPr>
          <w:rStyle w:val="Hyperlink"/>
          <w:color w:val="auto"/>
          <w:u w:val="none"/>
        </w:rPr>
      </w:pPr>
      <w:r w:rsidRPr="00E162C4">
        <w:t>We request attribution as © Commonwealth of Australia (Australian Communications and Media Authority) 202</w:t>
      </w:r>
      <w:r>
        <w:t>4</w:t>
      </w:r>
      <w:r w:rsidRPr="00E162C4">
        <w:t xml:space="preserve">. </w:t>
      </w:r>
    </w:p>
    <w:p w14:paraId="3D0C3A52" w14:textId="77777777" w:rsidR="00D16FE3" w:rsidRPr="00A17B1B" w:rsidRDefault="00D16FE3" w:rsidP="00D16FE3">
      <w:pPr>
        <w:pStyle w:val="ACMACorporateAddresses"/>
        <w:sectPr w:rsidR="00D16FE3" w:rsidRPr="00A17B1B">
          <w:headerReference w:type="even" r:id="rId14"/>
          <w:headerReference w:type="default" r:id="rId15"/>
          <w:footerReference w:type="even" r:id="rId16"/>
          <w:footerReference w:type="default" r:id="rId17"/>
          <w:pgSz w:w="11906" w:h="16838" w:code="9"/>
          <w:pgMar w:top="3924" w:right="1797" w:bottom="697" w:left="1134" w:header="709" w:footer="119" w:gutter="0"/>
          <w:cols w:space="708"/>
          <w:docGrid w:linePitch="360"/>
        </w:sectPr>
      </w:pPr>
    </w:p>
    <w:p w14:paraId="11D60EE9" w14:textId="5FFB5CC5" w:rsidR="006C7263" w:rsidRDefault="00DF0799">
      <w:pPr>
        <w:pStyle w:val="TOC2"/>
        <w:rPr>
          <w:rFonts w:asciiTheme="minorHAnsi" w:eastAsiaTheme="minorEastAsia" w:hAnsiTheme="minorHAnsi" w:cstheme="minorBidi"/>
          <w:spacing w:val="0"/>
          <w:kern w:val="2"/>
          <w:sz w:val="22"/>
          <w:szCs w:val="22"/>
          <w14:ligatures w14:val="standardContextual"/>
        </w:rPr>
      </w:pPr>
      <w:r w:rsidRPr="00A17B1B">
        <w:rPr>
          <w:rFonts w:cs="Arial"/>
          <w:b/>
          <w:sz w:val="28"/>
        </w:rPr>
        <w:lastRenderedPageBreak/>
        <w:fldChar w:fldCharType="begin"/>
      </w:r>
      <w:r w:rsidRPr="00A17B1B">
        <w:rPr>
          <w:rFonts w:cs="Arial"/>
        </w:rPr>
        <w:instrText xml:space="preserve"> TOC \o "1-3" \h \z \t "Exec summary heading,1" </w:instrText>
      </w:r>
      <w:r w:rsidRPr="00A17B1B">
        <w:rPr>
          <w:rFonts w:cs="Arial"/>
          <w:b/>
          <w:sz w:val="28"/>
        </w:rPr>
        <w:fldChar w:fldCharType="separate"/>
      </w:r>
      <w:hyperlink w:anchor="_Toc167435284" w:history="1">
        <w:r w:rsidR="006C7263" w:rsidRPr="000B38DB">
          <w:rPr>
            <w:rStyle w:val="Hyperlink"/>
          </w:rPr>
          <w:t>1. Introduction</w:t>
        </w:r>
        <w:r w:rsidR="006C7263">
          <w:rPr>
            <w:webHidden/>
          </w:rPr>
          <w:tab/>
        </w:r>
        <w:r w:rsidR="006C7263">
          <w:rPr>
            <w:webHidden/>
          </w:rPr>
          <w:fldChar w:fldCharType="begin"/>
        </w:r>
        <w:r w:rsidR="006C7263">
          <w:rPr>
            <w:webHidden/>
          </w:rPr>
          <w:instrText xml:space="preserve"> PAGEREF _Toc167435284 \h </w:instrText>
        </w:r>
        <w:r w:rsidR="006C7263">
          <w:rPr>
            <w:webHidden/>
          </w:rPr>
        </w:r>
        <w:r w:rsidR="006C7263">
          <w:rPr>
            <w:webHidden/>
          </w:rPr>
          <w:fldChar w:fldCharType="separate"/>
        </w:r>
        <w:r w:rsidR="006C7263">
          <w:rPr>
            <w:webHidden/>
          </w:rPr>
          <w:t>1</w:t>
        </w:r>
        <w:r w:rsidR="006C7263">
          <w:rPr>
            <w:webHidden/>
          </w:rPr>
          <w:fldChar w:fldCharType="end"/>
        </w:r>
      </w:hyperlink>
    </w:p>
    <w:p w14:paraId="5C06C008" w14:textId="7529E557" w:rsidR="006C7263" w:rsidRDefault="006C7263">
      <w:pPr>
        <w:pStyle w:val="TOC2"/>
        <w:rPr>
          <w:rFonts w:asciiTheme="minorHAnsi" w:eastAsiaTheme="minorEastAsia" w:hAnsiTheme="minorHAnsi" w:cstheme="minorBidi"/>
          <w:spacing w:val="0"/>
          <w:kern w:val="2"/>
          <w:sz w:val="22"/>
          <w:szCs w:val="22"/>
          <w14:ligatures w14:val="standardContextual"/>
        </w:rPr>
      </w:pPr>
      <w:hyperlink w:anchor="_Toc167435285" w:history="1">
        <w:r w:rsidRPr="000B38DB">
          <w:rPr>
            <w:rStyle w:val="Hyperlink"/>
          </w:rPr>
          <w:t>2. Applications</w:t>
        </w:r>
        <w:r>
          <w:rPr>
            <w:webHidden/>
          </w:rPr>
          <w:tab/>
        </w:r>
        <w:r>
          <w:rPr>
            <w:webHidden/>
          </w:rPr>
          <w:fldChar w:fldCharType="begin"/>
        </w:r>
        <w:r>
          <w:rPr>
            <w:webHidden/>
          </w:rPr>
          <w:instrText xml:space="preserve"> PAGEREF _Toc167435285 \h </w:instrText>
        </w:r>
        <w:r>
          <w:rPr>
            <w:webHidden/>
          </w:rPr>
        </w:r>
        <w:r>
          <w:rPr>
            <w:webHidden/>
          </w:rPr>
          <w:fldChar w:fldCharType="separate"/>
        </w:r>
        <w:r>
          <w:rPr>
            <w:webHidden/>
          </w:rPr>
          <w:t>1</w:t>
        </w:r>
        <w:r>
          <w:rPr>
            <w:webHidden/>
          </w:rPr>
          <w:fldChar w:fldCharType="end"/>
        </w:r>
      </w:hyperlink>
    </w:p>
    <w:p w14:paraId="0A01E660" w14:textId="17FF7A37" w:rsidR="006C7263" w:rsidRDefault="006C7263">
      <w:pPr>
        <w:pStyle w:val="TOC2"/>
        <w:rPr>
          <w:rFonts w:asciiTheme="minorHAnsi" w:eastAsiaTheme="minorEastAsia" w:hAnsiTheme="minorHAnsi" w:cstheme="minorBidi"/>
          <w:spacing w:val="0"/>
          <w:kern w:val="2"/>
          <w:sz w:val="22"/>
          <w:szCs w:val="22"/>
          <w14:ligatures w14:val="standardContextual"/>
        </w:rPr>
      </w:pPr>
      <w:hyperlink w:anchor="_Toc167435286" w:history="1">
        <w:r w:rsidRPr="000B38DB">
          <w:rPr>
            <w:rStyle w:val="Hyperlink"/>
          </w:rPr>
          <w:t>3. Available spectrum</w:t>
        </w:r>
        <w:r>
          <w:rPr>
            <w:webHidden/>
          </w:rPr>
          <w:tab/>
        </w:r>
        <w:r>
          <w:rPr>
            <w:webHidden/>
          </w:rPr>
          <w:fldChar w:fldCharType="begin"/>
        </w:r>
        <w:r>
          <w:rPr>
            <w:webHidden/>
          </w:rPr>
          <w:instrText xml:space="preserve"> PAGEREF _Toc167435286 \h </w:instrText>
        </w:r>
        <w:r>
          <w:rPr>
            <w:webHidden/>
          </w:rPr>
        </w:r>
        <w:r>
          <w:rPr>
            <w:webHidden/>
          </w:rPr>
          <w:fldChar w:fldCharType="separate"/>
        </w:r>
        <w:r>
          <w:rPr>
            <w:webHidden/>
          </w:rPr>
          <w:t>1</w:t>
        </w:r>
        <w:r>
          <w:rPr>
            <w:webHidden/>
          </w:rPr>
          <w:fldChar w:fldCharType="end"/>
        </w:r>
      </w:hyperlink>
    </w:p>
    <w:p w14:paraId="05EFA0D5" w14:textId="4CE54D67" w:rsidR="006C7263" w:rsidRDefault="006C7263">
      <w:pPr>
        <w:pStyle w:val="TOC2"/>
        <w:rPr>
          <w:rFonts w:asciiTheme="minorHAnsi" w:eastAsiaTheme="minorEastAsia" w:hAnsiTheme="minorHAnsi" w:cstheme="minorBidi"/>
          <w:spacing w:val="0"/>
          <w:kern w:val="2"/>
          <w:sz w:val="22"/>
          <w:szCs w:val="22"/>
          <w14:ligatures w14:val="standardContextual"/>
        </w:rPr>
      </w:pPr>
      <w:hyperlink w:anchor="_Toc167435287" w:history="1">
        <w:r w:rsidRPr="000B38DB">
          <w:rPr>
            <w:rStyle w:val="Hyperlink"/>
          </w:rPr>
          <w:t>4. Geographic areas</w:t>
        </w:r>
        <w:r>
          <w:rPr>
            <w:webHidden/>
          </w:rPr>
          <w:tab/>
        </w:r>
        <w:r>
          <w:rPr>
            <w:webHidden/>
          </w:rPr>
          <w:fldChar w:fldCharType="begin"/>
        </w:r>
        <w:r>
          <w:rPr>
            <w:webHidden/>
          </w:rPr>
          <w:instrText xml:space="preserve"> PAGEREF _Toc167435287 \h </w:instrText>
        </w:r>
        <w:r>
          <w:rPr>
            <w:webHidden/>
          </w:rPr>
        </w:r>
        <w:r>
          <w:rPr>
            <w:webHidden/>
          </w:rPr>
          <w:fldChar w:fldCharType="separate"/>
        </w:r>
        <w:r>
          <w:rPr>
            <w:webHidden/>
          </w:rPr>
          <w:t>2</w:t>
        </w:r>
        <w:r>
          <w:rPr>
            <w:webHidden/>
          </w:rPr>
          <w:fldChar w:fldCharType="end"/>
        </w:r>
      </w:hyperlink>
    </w:p>
    <w:p w14:paraId="54F9C872" w14:textId="2487AAEF" w:rsidR="006C7263" w:rsidRDefault="006C7263">
      <w:pPr>
        <w:pStyle w:val="TOC2"/>
        <w:rPr>
          <w:rFonts w:asciiTheme="minorHAnsi" w:eastAsiaTheme="minorEastAsia" w:hAnsiTheme="minorHAnsi" w:cstheme="minorBidi"/>
          <w:spacing w:val="0"/>
          <w:kern w:val="2"/>
          <w:sz w:val="22"/>
          <w:szCs w:val="22"/>
          <w14:ligatures w14:val="standardContextual"/>
        </w:rPr>
      </w:pPr>
      <w:hyperlink w:anchor="_Toc167435288" w:history="1">
        <w:r w:rsidRPr="000B38DB">
          <w:rPr>
            <w:rStyle w:val="Hyperlink"/>
          </w:rPr>
          <w:t>5. Technical framework</w:t>
        </w:r>
        <w:r>
          <w:rPr>
            <w:webHidden/>
          </w:rPr>
          <w:tab/>
        </w:r>
        <w:r>
          <w:rPr>
            <w:webHidden/>
          </w:rPr>
          <w:fldChar w:fldCharType="begin"/>
        </w:r>
        <w:r>
          <w:rPr>
            <w:webHidden/>
          </w:rPr>
          <w:instrText xml:space="preserve"> PAGEREF _Toc167435288 \h </w:instrText>
        </w:r>
        <w:r>
          <w:rPr>
            <w:webHidden/>
          </w:rPr>
        </w:r>
        <w:r>
          <w:rPr>
            <w:webHidden/>
          </w:rPr>
          <w:fldChar w:fldCharType="separate"/>
        </w:r>
        <w:r>
          <w:rPr>
            <w:webHidden/>
          </w:rPr>
          <w:t>4</w:t>
        </w:r>
        <w:r>
          <w:rPr>
            <w:webHidden/>
          </w:rPr>
          <w:fldChar w:fldCharType="end"/>
        </w:r>
      </w:hyperlink>
    </w:p>
    <w:p w14:paraId="0D8B98AE" w14:textId="2F855277" w:rsidR="006C7263" w:rsidRDefault="006C7263">
      <w:pPr>
        <w:pStyle w:val="TOC3"/>
        <w:rPr>
          <w:rFonts w:asciiTheme="minorHAnsi" w:eastAsiaTheme="minorEastAsia" w:hAnsiTheme="minorHAnsi" w:cstheme="minorBidi"/>
          <w:kern w:val="2"/>
          <w14:ligatures w14:val="standardContextual"/>
        </w:rPr>
      </w:pPr>
      <w:hyperlink w:anchor="_Toc167435289" w:history="1">
        <w:r w:rsidRPr="000B38DB">
          <w:rPr>
            <w:rStyle w:val="Hyperlink"/>
          </w:rPr>
          <w:t>Apparatus Licence Determination</w:t>
        </w:r>
        <w:r>
          <w:rPr>
            <w:webHidden/>
          </w:rPr>
          <w:tab/>
        </w:r>
        <w:r>
          <w:rPr>
            <w:webHidden/>
          </w:rPr>
          <w:fldChar w:fldCharType="begin"/>
        </w:r>
        <w:r>
          <w:rPr>
            <w:webHidden/>
          </w:rPr>
          <w:instrText xml:space="preserve"> PAGEREF _Toc167435289 \h </w:instrText>
        </w:r>
        <w:r>
          <w:rPr>
            <w:webHidden/>
          </w:rPr>
        </w:r>
        <w:r>
          <w:rPr>
            <w:webHidden/>
          </w:rPr>
          <w:fldChar w:fldCharType="separate"/>
        </w:r>
        <w:r>
          <w:rPr>
            <w:webHidden/>
          </w:rPr>
          <w:t>4</w:t>
        </w:r>
        <w:r>
          <w:rPr>
            <w:webHidden/>
          </w:rPr>
          <w:fldChar w:fldCharType="end"/>
        </w:r>
      </w:hyperlink>
    </w:p>
    <w:p w14:paraId="3F6D07D4" w14:textId="5108DB94" w:rsidR="006C7263" w:rsidRDefault="006C7263">
      <w:pPr>
        <w:pStyle w:val="TOC3"/>
        <w:rPr>
          <w:rFonts w:asciiTheme="minorHAnsi" w:eastAsiaTheme="minorEastAsia" w:hAnsiTheme="minorHAnsi" w:cstheme="minorBidi"/>
          <w:kern w:val="2"/>
          <w14:ligatures w14:val="standardContextual"/>
        </w:rPr>
      </w:pPr>
      <w:hyperlink w:anchor="_Toc167435290" w:history="1">
        <w:r w:rsidRPr="000B38DB">
          <w:rPr>
            <w:rStyle w:val="Hyperlink"/>
          </w:rPr>
          <w:t>AWL LCD</w:t>
        </w:r>
        <w:r>
          <w:rPr>
            <w:webHidden/>
          </w:rPr>
          <w:tab/>
        </w:r>
        <w:r>
          <w:rPr>
            <w:webHidden/>
          </w:rPr>
          <w:fldChar w:fldCharType="begin"/>
        </w:r>
        <w:r>
          <w:rPr>
            <w:webHidden/>
          </w:rPr>
          <w:instrText xml:space="preserve"> PAGEREF _Toc167435290 \h </w:instrText>
        </w:r>
        <w:r>
          <w:rPr>
            <w:webHidden/>
          </w:rPr>
        </w:r>
        <w:r>
          <w:rPr>
            <w:webHidden/>
          </w:rPr>
          <w:fldChar w:fldCharType="separate"/>
        </w:r>
        <w:r>
          <w:rPr>
            <w:webHidden/>
          </w:rPr>
          <w:t>4</w:t>
        </w:r>
        <w:r>
          <w:rPr>
            <w:webHidden/>
          </w:rPr>
          <w:fldChar w:fldCharType="end"/>
        </w:r>
      </w:hyperlink>
    </w:p>
    <w:p w14:paraId="54D227D5" w14:textId="5F424E32" w:rsidR="006C7263" w:rsidRDefault="006C7263">
      <w:pPr>
        <w:pStyle w:val="TOC3"/>
        <w:rPr>
          <w:rFonts w:asciiTheme="minorHAnsi" w:eastAsiaTheme="minorEastAsia" w:hAnsiTheme="minorHAnsi" w:cstheme="minorBidi"/>
          <w:kern w:val="2"/>
          <w14:ligatures w14:val="standardContextual"/>
        </w:rPr>
      </w:pPr>
      <w:hyperlink w:anchor="_Toc167435291" w:history="1">
        <w:r w:rsidRPr="000B38DB">
          <w:rPr>
            <w:rStyle w:val="Hyperlink"/>
          </w:rPr>
          <w:t>RALI MS47</w:t>
        </w:r>
        <w:r>
          <w:rPr>
            <w:webHidden/>
          </w:rPr>
          <w:tab/>
        </w:r>
        <w:r>
          <w:rPr>
            <w:webHidden/>
          </w:rPr>
          <w:fldChar w:fldCharType="begin"/>
        </w:r>
        <w:r>
          <w:rPr>
            <w:webHidden/>
          </w:rPr>
          <w:instrText xml:space="preserve"> PAGEREF _Toc167435291 \h </w:instrText>
        </w:r>
        <w:r>
          <w:rPr>
            <w:webHidden/>
          </w:rPr>
        </w:r>
        <w:r>
          <w:rPr>
            <w:webHidden/>
          </w:rPr>
          <w:fldChar w:fldCharType="separate"/>
        </w:r>
        <w:r>
          <w:rPr>
            <w:webHidden/>
          </w:rPr>
          <w:t>5</w:t>
        </w:r>
        <w:r>
          <w:rPr>
            <w:webHidden/>
          </w:rPr>
          <w:fldChar w:fldCharType="end"/>
        </w:r>
      </w:hyperlink>
    </w:p>
    <w:p w14:paraId="1D4EEBBA" w14:textId="55F0F0BF" w:rsidR="006C7263" w:rsidRDefault="006C7263">
      <w:pPr>
        <w:pStyle w:val="TOC2"/>
        <w:rPr>
          <w:rFonts w:asciiTheme="minorHAnsi" w:eastAsiaTheme="minorEastAsia" w:hAnsiTheme="minorHAnsi" w:cstheme="minorBidi"/>
          <w:spacing w:val="0"/>
          <w:kern w:val="2"/>
          <w:sz w:val="22"/>
          <w:szCs w:val="22"/>
          <w14:ligatures w14:val="standardContextual"/>
        </w:rPr>
      </w:pPr>
      <w:hyperlink w:anchor="_Toc167435292" w:history="1">
        <w:r w:rsidRPr="000B38DB">
          <w:rPr>
            <w:rStyle w:val="Hyperlink"/>
          </w:rPr>
          <w:t>6. Licence tenure</w:t>
        </w:r>
        <w:r>
          <w:rPr>
            <w:webHidden/>
          </w:rPr>
          <w:tab/>
        </w:r>
        <w:r>
          <w:rPr>
            <w:webHidden/>
          </w:rPr>
          <w:fldChar w:fldCharType="begin"/>
        </w:r>
        <w:r>
          <w:rPr>
            <w:webHidden/>
          </w:rPr>
          <w:instrText xml:space="preserve"> PAGEREF _Toc167435292 \h </w:instrText>
        </w:r>
        <w:r>
          <w:rPr>
            <w:webHidden/>
          </w:rPr>
        </w:r>
        <w:r>
          <w:rPr>
            <w:webHidden/>
          </w:rPr>
          <w:fldChar w:fldCharType="separate"/>
        </w:r>
        <w:r>
          <w:rPr>
            <w:webHidden/>
          </w:rPr>
          <w:t>7</w:t>
        </w:r>
        <w:r>
          <w:rPr>
            <w:webHidden/>
          </w:rPr>
          <w:fldChar w:fldCharType="end"/>
        </w:r>
      </w:hyperlink>
    </w:p>
    <w:p w14:paraId="77B5EDC6" w14:textId="2B05B8C2" w:rsidR="006C7263" w:rsidRDefault="006C7263">
      <w:pPr>
        <w:pStyle w:val="TOC3"/>
        <w:rPr>
          <w:rFonts w:asciiTheme="minorHAnsi" w:eastAsiaTheme="minorEastAsia" w:hAnsiTheme="minorHAnsi" w:cstheme="minorBidi"/>
          <w:kern w:val="2"/>
          <w14:ligatures w14:val="standardContextual"/>
        </w:rPr>
      </w:pPr>
      <w:hyperlink w:anchor="_Toc167435293" w:history="1">
        <w:r w:rsidRPr="000B38DB">
          <w:rPr>
            <w:rStyle w:val="Hyperlink"/>
          </w:rPr>
          <w:t>Licence duration</w:t>
        </w:r>
        <w:r>
          <w:rPr>
            <w:webHidden/>
          </w:rPr>
          <w:tab/>
        </w:r>
        <w:r>
          <w:rPr>
            <w:webHidden/>
          </w:rPr>
          <w:fldChar w:fldCharType="begin"/>
        </w:r>
        <w:r>
          <w:rPr>
            <w:webHidden/>
          </w:rPr>
          <w:instrText xml:space="preserve"> PAGEREF _Toc167435293 \h </w:instrText>
        </w:r>
        <w:r>
          <w:rPr>
            <w:webHidden/>
          </w:rPr>
        </w:r>
        <w:r>
          <w:rPr>
            <w:webHidden/>
          </w:rPr>
          <w:fldChar w:fldCharType="separate"/>
        </w:r>
        <w:r>
          <w:rPr>
            <w:webHidden/>
          </w:rPr>
          <w:t>7</w:t>
        </w:r>
        <w:r>
          <w:rPr>
            <w:webHidden/>
          </w:rPr>
          <w:fldChar w:fldCharType="end"/>
        </w:r>
      </w:hyperlink>
    </w:p>
    <w:p w14:paraId="196FAF68" w14:textId="2120C924" w:rsidR="006C7263" w:rsidRDefault="006C7263">
      <w:pPr>
        <w:pStyle w:val="TOC3"/>
        <w:rPr>
          <w:rFonts w:asciiTheme="minorHAnsi" w:eastAsiaTheme="minorEastAsia" w:hAnsiTheme="minorHAnsi" w:cstheme="minorBidi"/>
          <w:kern w:val="2"/>
          <w14:ligatures w14:val="standardContextual"/>
        </w:rPr>
      </w:pPr>
      <w:hyperlink w:anchor="_Toc167435294" w:history="1">
        <w:r w:rsidRPr="000B38DB">
          <w:rPr>
            <w:rStyle w:val="Hyperlink"/>
          </w:rPr>
          <w:t>Licence renewal</w:t>
        </w:r>
        <w:r>
          <w:rPr>
            <w:webHidden/>
          </w:rPr>
          <w:tab/>
        </w:r>
        <w:r>
          <w:rPr>
            <w:webHidden/>
          </w:rPr>
          <w:fldChar w:fldCharType="begin"/>
        </w:r>
        <w:r>
          <w:rPr>
            <w:webHidden/>
          </w:rPr>
          <w:instrText xml:space="preserve"> PAGEREF _Toc167435294 \h </w:instrText>
        </w:r>
        <w:r>
          <w:rPr>
            <w:webHidden/>
          </w:rPr>
        </w:r>
        <w:r>
          <w:rPr>
            <w:webHidden/>
          </w:rPr>
          <w:fldChar w:fldCharType="separate"/>
        </w:r>
        <w:r>
          <w:rPr>
            <w:webHidden/>
          </w:rPr>
          <w:t>7</w:t>
        </w:r>
        <w:r>
          <w:rPr>
            <w:webHidden/>
          </w:rPr>
          <w:fldChar w:fldCharType="end"/>
        </w:r>
      </w:hyperlink>
    </w:p>
    <w:p w14:paraId="6CA8E09A" w14:textId="13E584B1" w:rsidR="006C7263" w:rsidRDefault="006C7263">
      <w:pPr>
        <w:pStyle w:val="TOC2"/>
        <w:rPr>
          <w:rFonts w:asciiTheme="minorHAnsi" w:eastAsiaTheme="minorEastAsia" w:hAnsiTheme="minorHAnsi" w:cstheme="minorBidi"/>
          <w:spacing w:val="0"/>
          <w:kern w:val="2"/>
          <w:sz w:val="22"/>
          <w:szCs w:val="22"/>
          <w14:ligatures w14:val="standardContextual"/>
        </w:rPr>
      </w:pPr>
      <w:hyperlink w:anchor="_Toc167435295" w:history="1">
        <w:r w:rsidRPr="000B38DB">
          <w:rPr>
            <w:rStyle w:val="Hyperlink"/>
          </w:rPr>
          <w:t>7. Pricing</w:t>
        </w:r>
        <w:r>
          <w:rPr>
            <w:webHidden/>
          </w:rPr>
          <w:tab/>
        </w:r>
        <w:r>
          <w:rPr>
            <w:webHidden/>
          </w:rPr>
          <w:fldChar w:fldCharType="begin"/>
        </w:r>
        <w:r>
          <w:rPr>
            <w:webHidden/>
          </w:rPr>
          <w:instrText xml:space="preserve"> PAGEREF _Toc167435295 \h </w:instrText>
        </w:r>
        <w:r>
          <w:rPr>
            <w:webHidden/>
          </w:rPr>
        </w:r>
        <w:r>
          <w:rPr>
            <w:webHidden/>
          </w:rPr>
          <w:fldChar w:fldCharType="separate"/>
        </w:r>
        <w:r>
          <w:rPr>
            <w:webHidden/>
          </w:rPr>
          <w:t>8</w:t>
        </w:r>
        <w:r>
          <w:rPr>
            <w:webHidden/>
          </w:rPr>
          <w:fldChar w:fldCharType="end"/>
        </w:r>
      </w:hyperlink>
    </w:p>
    <w:p w14:paraId="25BD5A26" w14:textId="02155B13" w:rsidR="006C7263" w:rsidRDefault="006C7263">
      <w:pPr>
        <w:pStyle w:val="TOC3"/>
        <w:rPr>
          <w:rFonts w:asciiTheme="minorHAnsi" w:eastAsiaTheme="minorEastAsia" w:hAnsiTheme="minorHAnsi" w:cstheme="minorBidi"/>
          <w:kern w:val="2"/>
          <w14:ligatures w14:val="standardContextual"/>
        </w:rPr>
      </w:pPr>
      <w:hyperlink w:anchor="_Toc167435296" w:history="1">
        <w:r w:rsidRPr="000B38DB">
          <w:rPr>
            <w:rStyle w:val="Hyperlink"/>
          </w:rPr>
          <w:t>Annual apparatus licence tax</w:t>
        </w:r>
        <w:r>
          <w:rPr>
            <w:webHidden/>
          </w:rPr>
          <w:tab/>
        </w:r>
        <w:r>
          <w:rPr>
            <w:webHidden/>
          </w:rPr>
          <w:fldChar w:fldCharType="begin"/>
        </w:r>
        <w:r>
          <w:rPr>
            <w:webHidden/>
          </w:rPr>
          <w:instrText xml:space="preserve"> PAGEREF _Toc167435296 \h </w:instrText>
        </w:r>
        <w:r>
          <w:rPr>
            <w:webHidden/>
          </w:rPr>
        </w:r>
        <w:r>
          <w:rPr>
            <w:webHidden/>
          </w:rPr>
          <w:fldChar w:fldCharType="separate"/>
        </w:r>
        <w:r>
          <w:rPr>
            <w:webHidden/>
          </w:rPr>
          <w:t>8</w:t>
        </w:r>
        <w:r>
          <w:rPr>
            <w:webHidden/>
          </w:rPr>
          <w:fldChar w:fldCharType="end"/>
        </w:r>
      </w:hyperlink>
    </w:p>
    <w:p w14:paraId="6C38345A" w14:textId="070984AD" w:rsidR="006C7263" w:rsidRDefault="006C7263">
      <w:pPr>
        <w:pStyle w:val="TOC3"/>
        <w:rPr>
          <w:rFonts w:asciiTheme="minorHAnsi" w:eastAsiaTheme="minorEastAsia" w:hAnsiTheme="minorHAnsi" w:cstheme="minorBidi"/>
          <w:kern w:val="2"/>
          <w14:ligatures w14:val="standardContextual"/>
        </w:rPr>
      </w:pPr>
      <w:hyperlink w:anchor="_Toc167435297" w:history="1">
        <w:r w:rsidRPr="000B38DB">
          <w:rPr>
            <w:rStyle w:val="Hyperlink"/>
          </w:rPr>
          <w:t>Charges</w:t>
        </w:r>
        <w:r>
          <w:rPr>
            <w:webHidden/>
          </w:rPr>
          <w:tab/>
        </w:r>
        <w:r>
          <w:rPr>
            <w:webHidden/>
          </w:rPr>
          <w:fldChar w:fldCharType="begin"/>
        </w:r>
        <w:r>
          <w:rPr>
            <w:webHidden/>
          </w:rPr>
          <w:instrText xml:space="preserve"> PAGEREF _Toc167435297 \h </w:instrText>
        </w:r>
        <w:r>
          <w:rPr>
            <w:webHidden/>
          </w:rPr>
        </w:r>
        <w:r>
          <w:rPr>
            <w:webHidden/>
          </w:rPr>
          <w:fldChar w:fldCharType="separate"/>
        </w:r>
        <w:r>
          <w:rPr>
            <w:webHidden/>
          </w:rPr>
          <w:t>10</w:t>
        </w:r>
        <w:r>
          <w:rPr>
            <w:webHidden/>
          </w:rPr>
          <w:fldChar w:fldCharType="end"/>
        </w:r>
      </w:hyperlink>
    </w:p>
    <w:p w14:paraId="4631FDDC" w14:textId="433D44A6" w:rsidR="004D56FF" w:rsidRPr="00A17B1B" w:rsidRDefault="00DF0799">
      <w:pPr>
        <w:rPr>
          <w:rFonts w:cs="Arial"/>
        </w:rPr>
        <w:sectPr w:rsidR="004D56FF" w:rsidRPr="00A17B1B" w:rsidSect="00C77380">
          <w:headerReference w:type="even" r:id="rId18"/>
          <w:headerReference w:type="default" r:id="rId19"/>
          <w:footerReference w:type="even" r:id="rId20"/>
          <w:footerReference w:type="default" r:id="rId21"/>
          <w:footerReference w:type="first" r:id="rId22"/>
          <w:pgSz w:w="11906" w:h="16838" w:code="9"/>
          <w:pgMar w:top="3646" w:right="3101" w:bottom="1134" w:left="1134" w:header="709" w:footer="119" w:gutter="0"/>
          <w:cols w:space="708"/>
          <w:titlePg/>
          <w:docGrid w:linePitch="360"/>
        </w:sectPr>
      </w:pPr>
      <w:r w:rsidRPr="00A17B1B">
        <w:rPr>
          <w:rFonts w:cs="Arial"/>
        </w:rPr>
        <w:fldChar w:fldCharType="end"/>
      </w:r>
    </w:p>
    <w:p w14:paraId="546FA2FA" w14:textId="77777777" w:rsidR="0070471B" w:rsidRDefault="0070471B" w:rsidP="0070471B">
      <w:pPr>
        <w:pStyle w:val="Heading2"/>
      </w:pPr>
      <w:bookmarkStart w:id="0" w:name="_Toc167200937"/>
      <w:bookmarkStart w:id="1" w:name="_Toc167435284"/>
      <w:r>
        <w:lastRenderedPageBreak/>
        <w:t>1. Introduction</w:t>
      </w:r>
      <w:bookmarkEnd w:id="0"/>
      <w:bookmarkEnd w:id="1"/>
    </w:p>
    <w:p w14:paraId="59CC44BC" w14:textId="09B652A9" w:rsidR="0070471B" w:rsidRDefault="0070471B" w:rsidP="0070471B">
      <w:pPr>
        <w:pStyle w:val="Paragraph"/>
        <w:ind w:left="11"/>
      </w:pPr>
      <w:r>
        <w:t>The ACMA has authorised access to remote areas in the 3.4–4.0 GHz band via the area-wide licence (AWL) type of transmitter licence. AWLs provide licensees with ‘building blocks’ – aggregate frequency and area blocks in a single licence that can meet a range of network sizes or topographies. These are service or technology-flexible (provided that the relevant licence conditions are met), making them ideal to support the development of new and innovative technology.</w:t>
      </w:r>
    </w:p>
    <w:p w14:paraId="0C75BA10" w14:textId="328DD631" w:rsidR="0070471B" w:rsidRDefault="0070471B" w:rsidP="0070471B">
      <w:pPr>
        <w:pStyle w:val="Paragraph"/>
        <w:ind w:left="11"/>
      </w:pPr>
      <w:r>
        <w:t xml:space="preserve">An AWL can </w:t>
      </w:r>
      <w:r w:rsidRPr="00BF0FB4">
        <w:t xml:space="preserve">authorise the operation of one or more radiocommunications devices within a defined geographic area at a frequency or frequencies specified on the licence, subject to </w:t>
      </w:r>
      <w:r>
        <w:t>any</w:t>
      </w:r>
      <w:r w:rsidRPr="00BF0FB4">
        <w:t xml:space="preserve"> conditions included </w:t>
      </w:r>
      <w:r>
        <w:t>i</w:t>
      </w:r>
      <w:r w:rsidRPr="00BF0FB4">
        <w:t>n the licence.</w:t>
      </w:r>
      <w:r>
        <w:t xml:space="preserve"> </w:t>
      </w:r>
    </w:p>
    <w:p w14:paraId="1B6FC285" w14:textId="5E801A31" w:rsidR="0070471B" w:rsidRDefault="0070471B" w:rsidP="0070471B">
      <w:pPr>
        <w:pStyle w:val="Paragraph"/>
      </w:pPr>
      <w:r>
        <w:t xml:space="preserve">In 2023, </w:t>
      </w:r>
      <w:hyperlink r:id="rId23">
        <w:r>
          <w:rPr>
            <w:rStyle w:val="Hyperlink"/>
          </w:rPr>
          <w:t>32 AWLs were licensed in the 3.4–4.0 GHz band in remote areas</w:t>
        </w:r>
      </w:hyperlink>
      <w:r>
        <w:t xml:space="preserve"> via an ‘application window’ process (the 2023 allocation). The ACMA is now inviting applications for remaining spectrum in this band in remote areas, on a first-in-time basis</w:t>
      </w:r>
      <w:r w:rsidR="008517AF">
        <w:t>, from 11 am (AEST), Monday 2</w:t>
      </w:r>
      <w:r w:rsidR="002B1728">
        <w:t>4</w:t>
      </w:r>
      <w:r w:rsidR="008517AF">
        <w:t xml:space="preserve"> June </w:t>
      </w:r>
      <w:r w:rsidR="00DF2328">
        <w:t>2024</w:t>
      </w:r>
      <w:r>
        <w:t>.</w:t>
      </w:r>
    </w:p>
    <w:p w14:paraId="29861F77" w14:textId="77777777" w:rsidR="0070471B" w:rsidRDefault="0070471B" w:rsidP="0070471B">
      <w:pPr>
        <w:pStyle w:val="Paragraph"/>
        <w:ind w:left="11"/>
      </w:pPr>
      <w:r>
        <w:t>Spectrum in the West Australian Goldfields region, the Pilbara (WA), and North Queensland was in demand during the 2023 allocation. As a result, remaining spectrum in these regions may be highly localised and non-contiguous.</w:t>
      </w:r>
    </w:p>
    <w:p w14:paraId="1971E615" w14:textId="77777777" w:rsidR="0070471B" w:rsidRDefault="0070471B" w:rsidP="0070471B">
      <w:pPr>
        <w:pStyle w:val="Heading2"/>
      </w:pPr>
      <w:bookmarkStart w:id="2" w:name="_Toc167200938"/>
      <w:bookmarkStart w:id="3" w:name="_Toc167435285"/>
      <w:r>
        <w:t xml:space="preserve">2. </w:t>
      </w:r>
      <w:r w:rsidRPr="004D463E">
        <w:t>Applications</w:t>
      </w:r>
      <w:bookmarkEnd w:id="2"/>
      <w:bookmarkEnd w:id="3"/>
    </w:p>
    <w:p w14:paraId="419482E7" w14:textId="0509A22B" w:rsidR="0070471B" w:rsidRPr="00D4018A" w:rsidRDefault="0070471B" w:rsidP="009B770E">
      <w:pPr>
        <w:pStyle w:val="Paragraph"/>
      </w:pPr>
      <w:r>
        <w:t xml:space="preserve">Applications for remaining spectrum in the 3.4–4.0 GHz band in remote areas should be made using the </w:t>
      </w:r>
      <w:hyperlink r:id="rId24">
        <w:r>
          <w:rPr>
            <w:rStyle w:val="Hyperlink"/>
          </w:rPr>
          <w:t>3.4–4.0 GHz area-wide licence application form</w:t>
        </w:r>
      </w:hyperlink>
      <w:r>
        <w:t xml:space="preserve">. Applications may be submitted for up to 20 MHz of bandwidth (for each HCIS cell) per application. Please note that this 20 MHz limit applies per application, </w:t>
      </w:r>
      <w:r w:rsidRPr="2F03A80B">
        <w:rPr>
          <w:i/>
          <w:iCs/>
        </w:rPr>
        <w:t xml:space="preserve">not </w:t>
      </w:r>
      <w:r>
        <w:t>per applicant.</w:t>
      </w:r>
    </w:p>
    <w:p w14:paraId="796EB87F" w14:textId="77777777" w:rsidR="0070471B" w:rsidRDefault="0070471B" w:rsidP="009B770E">
      <w:pPr>
        <w:pStyle w:val="Paragraph"/>
      </w:pPr>
      <w:r>
        <w:t>Applications may be submitted for specific frequency ranges, or for a quantum of bandwidth (at unspecified frequencies), as suitable for an applicant’s business case. The ACMA will assign a frequency range if an application does not specify a required frequency range.</w:t>
      </w:r>
    </w:p>
    <w:p w14:paraId="27A8E583" w14:textId="70B6949A" w:rsidR="0070471B" w:rsidRDefault="0070471B" w:rsidP="009B770E">
      <w:pPr>
        <w:pStyle w:val="Paragraph"/>
      </w:pPr>
      <w:r>
        <w:t>The first-in-time allocation process for the 3.4–4.0 GHz band in remote areas of Australia is limited to the geographic areas describe</w:t>
      </w:r>
      <w:r w:rsidRPr="00F15DDF">
        <w:t xml:space="preserve">d </w:t>
      </w:r>
      <w:r w:rsidR="00F15DDF">
        <w:t>later in this document</w:t>
      </w:r>
      <w:r w:rsidRPr="00F15DDF">
        <w:t>.</w:t>
      </w:r>
      <w:r>
        <w:t xml:space="preserve"> </w:t>
      </w:r>
    </w:p>
    <w:p w14:paraId="1579925B" w14:textId="26302257" w:rsidR="0070471B" w:rsidRDefault="0070471B" w:rsidP="009B770E">
      <w:pPr>
        <w:pStyle w:val="Paragraph"/>
      </w:pPr>
      <w:r>
        <w:t xml:space="preserve">Potential applicants are encouraged to engage the services of an </w:t>
      </w:r>
      <w:hyperlink r:id="rId25">
        <w:r w:rsidRPr="26155343">
          <w:rPr>
            <w:rStyle w:val="Hyperlink"/>
          </w:rPr>
          <w:t>accredited person</w:t>
        </w:r>
      </w:hyperlink>
      <w:r>
        <w:t xml:space="preserve"> </w:t>
      </w:r>
      <w:r w:rsidR="00961964">
        <w:br/>
      </w:r>
      <w:r>
        <w:t>to ensure that their application in consistent with the applicable technical framework (see</w:t>
      </w:r>
      <w:r w:rsidR="00F15DDF">
        <w:t xml:space="preserve"> </w:t>
      </w:r>
      <w:hyperlink w:anchor="_5._Technical_framework" w:history="1">
        <w:r w:rsidR="00F15DDF" w:rsidRPr="00961964">
          <w:rPr>
            <w:rStyle w:val="Hyperlink"/>
          </w:rPr>
          <w:t>5. Technical framework</w:t>
        </w:r>
      </w:hyperlink>
      <w:r>
        <w:t xml:space="preserve">) and does not overlap with AWLs licensed in the 2023 allocation. Current AWLs can be viewed on the </w:t>
      </w:r>
      <w:hyperlink r:id="rId26">
        <w:r w:rsidRPr="26155343">
          <w:rPr>
            <w:rStyle w:val="Hyperlink"/>
          </w:rPr>
          <w:t>Register of Radiocommunications Licences.</w:t>
        </w:r>
      </w:hyperlink>
      <w:r>
        <w:t xml:space="preserve"> </w:t>
      </w:r>
    </w:p>
    <w:p w14:paraId="73F076A3" w14:textId="77777777" w:rsidR="0070471B" w:rsidRDefault="0070471B" w:rsidP="009B770E">
      <w:pPr>
        <w:pStyle w:val="Paragraph"/>
      </w:pPr>
      <w:r w:rsidRPr="00D93CAB">
        <w:t>Current AWL licensees who wish to change the frequencies or geographic areas of their licence can also apply to vary their licence via the first-in-time process.</w:t>
      </w:r>
    </w:p>
    <w:p w14:paraId="09083476" w14:textId="7BBB17AE" w:rsidR="0053147A" w:rsidRDefault="0053147A" w:rsidP="009B770E">
      <w:pPr>
        <w:pStyle w:val="Paragraph"/>
      </w:pPr>
      <w:r>
        <w:t xml:space="preserve">Applicants should also note that while </w:t>
      </w:r>
      <w:hyperlink r:id="rId27" w:history="1">
        <w:r w:rsidRPr="006C7263">
          <w:rPr>
            <w:rStyle w:val="Hyperlink"/>
          </w:rPr>
          <w:t>Embargo 78</w:t>
        </w:r>
      </w:hyperlink>
      <w:r>
        <w:t xml:space="preserve"> is still in place, </w:t>
      </w:r>
      <w:r w:rsidR="006C7263">
        <w:t xml:space="preserve">you do not need </w:t>
      </w:r>
      <w:r>
        <w:t>an exemption to participate in this process.</w:t>
      </w:r>
    </w:p>
    <w:p w14:paraId="6B04334A" w14:textId="77777777" w:rsidR="0070471B" w:rsidRDefault="0070471B" w:rsidP="0070471B">
      <w:pPr>
        <w:pStyle w:val="Heading2"/>
        <w:keepNext w:val="0"/>
      </w:pPr>
      <w:bookmarkStart w:id="4" w:name="_Toc167200939"/>
      <w:bookmarkStart w:id="5" w:name="_Toc167435286"/>
      <w:r>
        <w:t>3. Available spectrum</w:t>
      </w:r>
      <w:bookmarkEnd w:id="4"/>
      <w:bookmarkEnd w:id="5"/>
      <w:r>
        <w:t xml:space="preserve"> </w:t>
      </w:r>
    </w:p>
    <w:p w14:paraId="1B308343" w14:textId="36D26C6F" w:rsidR="0070471B" w:rsidRDefault="0070471B" w:rsidP="0070471B">
      <w:pPr>
        <w:pStyle w:val="Paragraph"/>
      </w:pPr>
      <w:r w:rsidRPr="26155343">
        <w:t>A</w:t>
      </w:r>
      <w:r>
        <w:t xml:space="preserve"> total of up to 600 MHz of spectrum was initially</w:t>
      </w:r>
      <w:r w:rsidRPr="00B40AC9">
        <w:t xml:space="preserve"> made available for apparatus licensing as 60 x 10 MHz channels (which can be aggregated) across the </w:t>
      </w:r>
      <w:r>
        <w:t>3.4–4.0 GHz</w:t>
      </w:r>
      <w:r w:rsidRPr="00B40AC9">
        <w:t xml:space="preserve"> </w:t>
      </w:r>
      <w:r>
        <w:t xml:space="preserve">band, </w:t>
      </w:r>
      <w:r w:rsidRPr="00B40AC9">
        <w:t xml:space="preserve">in aggregable geographic cells down to </w:t>
      </w:r>
      <w:r>
        <w:t xml:space="preserve">Hierarchical Cell Identification Scheme (HCIS) level 0 (an area of </w:t>
      </w:r>
      <w:r w:rsidRPr="00B40AC9">
        <w:t>approximately 1800 x 1800 m in size</w:t>
      </w:r>
      <w:r>
        <w:t>)</w:t>
      </w:r>
      <w:r w:rsidRPr="00B40AC9">
        <w:t>, for apparatus</w:t>
      </w:r>
      <w:r>
        <w:t xml:space="preserve"> </w:t>
      </w:r>
      <w:r>
        <w:lastRenderedPageBreak/>
        <w:t>licensing.</w:t>
      </w:r>
      <w:r>
        <w:rPr>
          <w:rStyle w:val="FootnoteReference"/>
        </w:rPr>
        <w:footnoteReference w:id="2"/>
      </w:r>
      <w:r>
        <w:rPr>
          <w:rStyle w:val="FootnoteReference"/>
        </w:rPr>
        <w:t xml:space="preserve"> </w:t>
      </w:r>
      <w:r>
        <w:t>As mentioned, some of the available spectrum was allocated in 2023 through an application window process.</w:t>
      </w:r>
    </w:p>
    <w:p w14:paraId="0341A9A9" w14:textId="06760A2B" w:rsidR="0070471B" w:rsidRDefault="0070471B" w:rsidP="003A1291">
      <w:pPr>
        <w:pStyle w:val="Paragraphbeforelist"/>
        <w:keepNext/>
        <w:keepLines/>
      </w:pPr>
      <w:r>
        <w:t xml:space="preserve">This spectrum is intended to support a range of spectrum use-cases, including: </w:t>
      </w:r>
    </w:p>
    <w:p w14:paraId="09167D42" w14:textId="7970D328" w:rsidR="0070471B" w:rsidRPr="00AD599C" w:rsidRDefault="0070471B" w:rsidP="0070471B">
      <w:pPr>
        <w:pStyle w:val="Bulletlevel1"/>
      </w:pPr>
      <w:r w:rsidRPr="00AD599C">
        <w:t xml:space="preserve">wireless mobile broadband </w:t>
      </w:r>
    </w:p>
    <w:p w14:paraId="3ECFFDAF" w14:textId="77777777" w:rsidR="0070471B" w:rsidRPr="00AD599C" w:rsidRDefault="0070471B" w:rsidP="0070471B">
      <w:pPr>
        <w:pStyle w:val="Bulletlevel1"/>
      </w:pPr>
      <w:r w:rsidRPr="00AD599C">
        <w:t xml:space="preserve">fixed wireless access (FWA) </w:t>
      </w:r>
    </w:p>
    <w:p w14:paraId="4C43EF97" w14:textId="7861A6EE" w:rsidR="0070471B" w:rsidRPr="00AD599C" w:rsidRDefault="0070471B" w:rsidP="0070471B">
      <w:pPr>
        <w:pStyle w:val="Bulletlevel1"/>
      </w:pPr>
      <w:r w:rsidRPr="00AD599C">
        <w:t xml:space="preserve">private networks operating over limited areas, such as rail corridors, a hospital, an education precinct, </w:t>
      </w:r>
      <w:r>
        <w:t xml:space="preserve">a </w:t>
      </w:r>
      <w:proofErr w:type="gramStart"/>
      <w:r w:rsidRPr="00AD599C">
        <w:t>mine</w:t>
      </w:r>
      <w:proofErr w:type="gramEnd"/>
      <w:r w:rsidRPr="00AD599C">
        <w:t xml:space="preserve"> or industrial facility, either as an ‘industry vertical’ or as a service by an enterprise provider</w:t>
      </w:r>
    </w:p>
    <w:p w14:paraId="654B5A48" w14:textId="77777777" w:rsidR="0070471B" w:rsidRPr="00AD599C" w:rsidRDefault="0070471B" w:rsidP="0070471B">
      <w:pPr>
        <w:pStyle w:val="Bulletlevel1"/>
      </w:pPr>
      <w:r w:rsidRPr="00AD599C">
        <w:t xml:space="preserve">dedicated (for example, government only) </w:t>
      </w:r>
      <w:r>
        <w:t>wireless broadband (</w:t>
      </w:r>
      <w:r w:rsidRPr="00AD599C">
        <w:t>WBB</w:t>
      </w:r>
      <w:r>
        <w:t>)</w:t>
      </w:r>
      <w:r w:rsidRPr="00AD599C">
        <w:t xml:space="preserve"> networks</w:t>
      </w:r>
    </w:p>
    <w:p w14:paraId="16D3619D" w14:textId="77777777" w:rsidR="0070471B" w:rsidRPr="00AD599C" w:rsidRDefault="0070471B" w:rsidP="0070471B">
      <w:pPr>
        <w:pStyle w:val="Bulletlevel1"/>
      </w:pPr>
      <w:r w:rsidRPr="00AD599C">
        <w:t>Internet of Things (IoT)</w:t>
      </w:r>
    </w:p>
    <w:p w14:paraId="46547543" w14:textId="77777777" w:rsidR="0070471B" w:rsidRDefault="0070471B" w:rsidP="0070471B">
      <w:pPr>
        <w:pStyle w:val="Bulletlevel1last"/>
      </w:pPr>
      <w:r w:rsidRPr="00730E51">
        <w:t>machine-to-machine</w:t>
      </w:r>
      <w:r>
        <w:t xml:space="preserve"> (M2M) communications.</w:t>
      </w:r>
    </w:p>
    <w:p w14:paraId="31237225" w14:textId="554DECF9" w:rsidR="0070471B" w:rsidRDefault="0070471B" w:rsidP="0070471B">
      <w:pPr>
        <w:pStyle w:val="Paragraphbeforelist"/>
        <w:ind w:left="11"/>
      </w:pPr>
      <w:r>
        <w:t>This spectrum and associated use-cases are likely to be of interest to the following types of spectrum users:</w:t>
      </w:r>
    </w:p>
    <w:p w14:paraId="37DEB103" w14:textId="77777777" w:rsidR="0070471B" w:rsidRPr="00AD599C" w:rsidRDefault="0070471B" w:rsidP="0070471B">
      <w:pPr>
        <w:pStyle w:val="Bulletlevel1"/>
      </w:pPr>
      <w:r w:rsidRPr="00AD599C">
        <w:t>mobile network operators, including for ‘mobile blackspots’ programs</w:t>
      </w:r>
    </w:p>
    <w:p w14:paraId="75398313" w14:textId="77777777" w:rsidR="0070471B" w:rsidRPr="00AD599C" w:rsidRDefault="0070471B" w:rsidP="0070471B">
      <w:pPr>
        <w:pStyle w:val="Bulletlevel1"/>
      </w:pPr>
      <w:r w:rsidRPr="00AD599C">
        <w:t>wireless internet service providers</w:t>
      </w:r>
    </w:p>
    <w:p w14:paraId="3A665894" w14:textId="77777777" w:rsidR="0070471B" w:rsidRPr="00AD599C" w:rsidRDefault="0070471B" w:rsidP="0070471B">
      <w:pPr>
        <w:pStyle w:val="Bulletlevel1"/>
      </w:pPr>
      <w:r w:rsidRPr="00AD599C">
        <w:t>enterprise providers</w:t>
      </w:r>
    </w:p>
    <w:p w14:paraId="0360F62B" w14:textId="77777777" w:rsidR="0070471B" w:rsidRPr="00B6487C" w:rsidRDefault="0070471B" w:rsidP="0070471B">
      <w:pPr>
        <w:pStyle w:val="Bulletlevel1last"/>
      </w:pPr>
      <w:r>
        <w:t>wholesale infrastructure providers.</w:t>
      </w:r>
    </w:p>
    <w:p w14:paraId="39D07F47" w14:textId="2988F7AE" w:rsidR="0070471B" w:rsidRDefault="0070471B" w:rsidP="0070471B">
      <w:pPr>
        <w:pStyle w:val="Heading2"/>
      </w:pPr>
      <w:bookmarkStart w:id="6" w:name="_Geographical_areas"/>
      <w:bookmarkStart w:id="7" w:name="_Toc167200940"/>
      <w:bookmarkStart w:id="8" w:name="_Toc167435287"/>
      <w:bookmarkEnd w:id="6"/>
      <w:r>
        <w:t>4. Geographic areas</w:t>
      </w:r>
      <w:bookmarkEnd w:id="7"/>
      <w:bookmarkEnd w:id="8"/>
      <w:r>
        <w:t xml:space="preserve"> </w:t>
      </w:r>
    </w:p>
    <w:p w14:paraId="0EAF8E5A" w14:textId="63ECAF9D" w:rsidR="0070471B" w:rsidRPr="00AA5C19" w:rsidRDefault="0070471B" w:rsidP="003A1291">
      <w:pPr>
        <w:pStyle w:val="Paragraphbeforelist"/>
      </w:pPr>
      <w:r w:rsidRPr="00AA5C19">
        <w:t>The ACMA has defined geographic areas</w:t>
      </w:r>
      <w:r w:rsidRPr="00AA5C19">
        <w:rPr>
          <w:vertAlign w:val="superscript"/>
        </w:rPr>
        <w:footnoteReference w:id="3"/>
      </w:r>
      <w:r w:rsidRPr="00AA5C19">
        <w:rPr>
          <w:vertAlign w:val="superscript"/>
        </w:rPr>
        <w:t xml:space="preserve"> </w:t>
      </w:r>
      <w:r w:rsidRPr="00AA5C19">
        <w:t xml:space="preserve">for the </w:t>
      </w:r>
      <w:r>
        <w:t>3.4</w:t>
      </w:r>
      <w:r w:rsidRPr="00AA5C19">
        <w:t>–4</w:t>
      </w:r>
      <w:r>
        <w:t>.0 G</w:t>
      </w:r>
      <w:r w:rsidRPr="00AA5C19">
        <w:t>Hz band</w:t>
      </w:r>
      <w:r>
        <w:t xml:space="preserve"> that were used in the planning decisions process</w:t>
      </w:r>
      <w:r w:rsidRPr="00AA5C19">
        <w:t xml:space="preserve">. </w:t>
      </w:r>
      <w:r>
        <w:t>These are</w:t>
      </w:r>
      <w:r w:rsidRPr="00AA5C19">
        <w:t>:</w:t>
      </w:r>
    </w:p>
    <w:p w14:paraId="7FF4D813" w14:textId="395130BA" w:rsidR="0070471B" w:rsidRPr="00F44FD7" w:rsidRDefault="0070471B" w:rsidP="0070471B">
      <w:pPr>
        <w:pStyle w:val="Bulletlevel1"/>
      </w:pPr>
      <w:r w:rsidRPr="00F055FD">
        <w:rPr>
          <w:b/>
          <w:bCs/>
        </w:rPr>
        <w:t>Metropolitan:</w:t>
      </w:r>
      <w:r w:rsidRPr="00F44FD7">
        <w:t xml:space="preserve"> covers all capital cities (except Darwin and Hobart). It mirrors the metropolitan areas </w:t>
      </w:r>
      <w:r>
        <w:t xml:space="preserve">subject to spectrum licensing in the 3575–3700 MHz band (3.6 GHz band) as </w:t>
      </w:r>
      <w:r w:rsidRPr="00F44FD7">
        <w:t xml:space="preserve">defined in the </w:t>
      </w:r>
      <w:hyperlink r:id="rId28" w:history="1">
        <w:r w:rsidRPr="00F055FD">
          <w:rPr>
            <w:color w:val="0000FF"/>
            <w:u w:val="single" w:color="0000FF"/>
          </w:rPr>
          <w:t>Radiocommunications (Spectrum Re-allocation—3.6 GHz Band for Adelaide and Eastern Metropolitan Australia) Declaration 2018</w:t>
        </w:r>
      </w:hyperlink>
      <w:r w:rsidRPr="00F44FD7">
        <w:t xml:space="preserve"> and the </w:t>
      </w:r>
      <w:hyperlink r:id="rId29" w:history="1">
        <w:r w:rsidRPr="00F055FD">
          <w:rPr>
            <w:color w:val="0000FF"/>
            <w:u w:val="single" w:color="0000FF"/>
          </w:rPr>
          <w:t>Radiocommunications (Spectrum Re-allocation—3.6 GHz Band for Perth) Declaration 2018</w:t>
        </w:r>
      </w:hyperlink>
      <w:r w:rsidRPr="00F44FD7">
        <w:rPr>
          <w:i/>
        </w:rPr>
        <w:t>.</w:t>
      </w:r>
    </w:p>
    <w:p w14:paraId="6F1258BF" w14:textId="77777777" w:rsidR="0070471B" w:rsidRPr="00F44FD7" w:rsidRDefault="0070471B" w:rsidP="0070471B">
      <w:pPr>
        <w:pStyle w:val="Bulletlevel1"/>
      </w:pPr>
      <w:r w:rsidRPr="00F055FD">
        <w:rPr>
          <w:b/>
          <w:bCs/>
        </w:rPr>
        <w:t>Regional</w:t>
      </w:r>
      <w:r>
        <w:rPr>
          <w:b/>
          <w:bCs/>
        </w:rPr>
        <w:t>:</w:t>
      </w:r>
      <w:r w:rsidRPr="00F44FD7">
        <w:t xml:space="preserve"> mirrors the regional areas subject to spectrum licensing in the 3.6 GHz band as defined in the </w:t>
      </w:r>
      <w:hyperlink r:id="rId30" w:history="1">
        <w:r w:rsidRPr="00F055FD">
          <w:rPr>
            <w:color w:val="0000FF"/>
            <w:u w:val="single" w:color="0000FF"/>
          </w:rPr>
          <w:t>Radiocommunications (Spectrum Re-allocation—3.6 GHz Band for Regional Areas) Declaration 2018</w:t>
        </w:r>
      </w:hyperlink>
      <w:r w:rsidRPr="00F44FD7">
        <w:t>.</w:t>
      </w:r>
    </w:p>
    <w:p w14:paraId="2DE37D5E" w14:textId="77777777" w:rsidR="0070471B" w:rsidRPr="00F44FD7" w:rsidRDefault="0070471B" w:rsidP="0070471B">
      <w:pPr>
        <w:pStyle w:val="Bulletlevel1"/>
      </w:pPr>
      <w:r w:rsidRPr="00F055FD">
        <w:rPr>
          <w:b/>
          <w:bCs/>
        </w:rPr>
        <w:t>Remote</w:t>
      </w:r>
      <w:r>
        <w:rPr>
          <w:b/>
          <w:bCs/>
        </w:rPr>
        <w:t>:</w:t>
      </w:r>
      <w:r w:rsidRPr="00F44FD7">
        <w:t xml:space="preserve"> includes those areas of Australia </w:t>
      </w:r>
      <w:r>
        <w:t xml:space="preserve">within the </w:t>
      </w:r>
      <w:hyperlink r:id="rId31" w:history="1">
        <w:r w:rsidRPr="00F055FD">
          <w:rPr>
            <w:rStyle w:val="Hyperlink"/>
            <w:szCs w:val="22"/>
          </w:rPr>
          <w:t xml:space="preserve">Australian </w:t>
        </w:r>
        <w:r>
          <w:rPr>
            <w:rStyle w:val="Hyperlink"/>
            <w:szCs w:val="22"/>
          </w:rPr>
          <w:t>s</w:t>
        </w:r>
        <w:r w:rsidRPr="00F055FD">
          <w:rPr>
            <w:rStyle w:val="Hyperlink"/>
            <w:szCs w:val="22"/>
          </w:rPr>
          <w:t xml:space="preserve">pectrum </w:t>
        </w:r>
        <w:r>
          <w:rPr>
            <w:rStyle w:val="Hyperlink"/>
            <w:szCs w:val="22"/>
          </w:rPr>
          <w:t>m</w:t>
        </w:r>
        <w:r w:rsidRPr="00F055FD">
          <w:rPr>
            <w:rStyle w:val="Hyperlink"/>
            <w:szCs w:val="22"/>
          </w:rPr>
          <w:t xml:space="preserve">ap </w:t>
        </w:r>
        <w:r>
          <w:rPr>
            <w:rStyle w:val="Hyperlink"/>
            <w:szCs w:val="22"/>
          </w:rPr>
          <w:t>g</w:t>
        </w:r>
        <w:r w:rsidRPr="00F055FD">
          <w:rPr>
            <w:rStyle w:val="Hyperlink"/>
            <w:szCs w:val="22"/>
          </w:rPr>
          <w:t>rid</w:t>
        </w:r>
      </w:hyperlink>
      <w:r w:rsidRPr="00F41E4E">
        <w:rPr>
          <w:i/>
          <w:iCs/>
        </w:rPr>
        <w:t xml:space="preserve"> </w:t>
      </w:r>
      <w:r w:rsidRPr="00F44FD7">
        <w:t xml:space="preserve">not covered by metropolitan and </w:t>
      </w:r>
      <w:r>
        <w:t>r</w:t>
      </w:r>
      <w:r w:rsidRPr="00F44FD7">
        <w:t>egional areas</w:t>
      </w:r>
      <w:r>
        <w:t xml:space="preserve"> (see Table 1)</w:t>
      </w:r>
      <w:r w:rsidRPr="00F44FD7">
        <w:t xml:space="preserve">. </w:t>
      </w:r>
    </w:p>
    <w:p w14:paraId="0B4D3ADF" w14:textId="77777777" w:rsidR="0070471B" w:rsidRPr="00E94431" w:rsidRDefault="0070471B" w:rsidP="0070471B">
      <w:pPr>
        <w:pStyle w:val="Bulletlevel1last"/>
        <w:rPr>
          <w:bCs/>
          <w:iCs/>
          <w:color w:val="000000" w:themeColor="text1"/>
        </w:rPr>
      </w:pPr>
      <w:r w:rsidRPr="00F055FD">
        <w:rPr>
          <w:b/>
          <w:bCs/>
        </w:rPr>
        <w:t>Australia-wide</w:t>
      </w:r>
      <w:r>
        <w:rPr>
          <w:b/>
          <w:bCs/>
        </w:rPr>
        <w:t>:</w:t>
      </w:r>
      <w:r w:rsidRPr="00F44FD7">
        <w:t xml:space="preserve"> covers all of Australia but excludes </w:t>
      </w:r>
      <w:r>
        <w:t xml:space="preserve">any </w:t>
      </w:r>
      <w:r w:rsidRPr="00F44FD7">
        <w:t>Australian external territories.</w:t>
      </w:r>
    </w:p>
    <w:p w14:paraId="2CD82793" w14:textId="7AC72237" w:rsidR="0070471B" w:rsidRDefault="0070471B" w:rsidP="003A1291">
      <w:pPr>
        <w:pStyle w:val="Figureheading"/>
      </w:pPr>
      <w:r>
        <w:lastRenderedPageBreak/>
        <w:t>Map of Australian remote areas</w:t>
      </w:r>
    </w:p>
    <w:p w14:paraId="7B72EC78" w14:textId="77777777" w:rsidR="0070471B" w:rsidRDefault="0070471B" w:rsidP="0070471B">
      <w:pPr>
        <w:keepNext/>
        <w:keepLines/>
        <w:ind w:left="11"/>
        <w:rPr>
          <w:b/>
          <w:iCs/>
          <w:color w:val="000000" w:themeColor="text1"/>
        </w:rPr>
      </w:pPr>
      <w:r w:rsidRPr="000E5A91">
        <w:rPr>
          <w:rFonts w:cs="Arial"/>
          <w:noProof/>
        </w:rPr>
        <w:drawing>
          <wp:inline distT="0" distB="0" distL="0" distR="0" wp14:anchorId="0E679E5B" wp14:editId="3832CB25">
            <wp:extent cx="4871085" cy="3678409"/>
            <wp:effectExtent l="0" t="0" r="5715" b="0"/>
            <wp:docPr id="13" name="Picture 13" descr="Figure 1: Map of remot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1: Map of remote areas"/>
                    <pic:cNvPicPr/>
                  </pic:nvPicPr>
                  <pic:blipFill>
                    <a:blip r:embed="rId32"/>
                    <a:stretch>
                      <a:fillRect/>
                    </a:stretch>
                  </pic:blipFill>
                  <pic:spPr>
                    <a:xfrm>
                      <a:off x="0" y="0"/>
                      <a:ext cx="4871085" cy="3678409"/>
                    </a:xfrm>
                    <a:prstGeom prst="rect">
                      <a:avLst/>
                    </a:prstGeom>
                  </pic:spPr>
                </pic:pic>
              </a:graphicData>
            </a:graphic>
          </wp:inline>
        </w:drawing>
      </w:r>
    </w:p>
    <w:p w14:paraId="02E6AF09" w14:textId="5DB5DFF6" w:rsidR="0070471B" w:rsidRPr="00682BB0" w:rsidRDefault="0070471B" w:rsidP="0070471B">
      <w:pPr>
        <w:pStyle w:val="Paragraph"/>
        <w:ind w:left="11"/>
        <w:rPr>
          <w:rFonts w:ascii="Times New Roman" w:hAnsi="Times New Roman"/>
          <w:szCs w:val="20"/>
        </w:rPr>
      </w:pPr>
      <w:r w:rsidRPr="00682BB0">
        <w:rPr>
          <w:szCs w:val="20"/>
        </w:rPr>
        <w:t xml:space="preserve">The Australian </w:t>
      </w:r>
      <w:r>
        <w:rPr>
          <w:szCs w:val="20"/>
        </w:rPr>
        <w:t>s</w:t>
      </w:r>
      <w:r w:rsidRPr="00682BB0">
        <w:rPr>
          <w:szCs w:val="20"/>
        </w:rPr>
        <w:t xml:space="preserve">pectrum </w:t>
      </w:r>
      <w:r>
        <w:rPr>
          <w:szCs w:val="20"/>
        </w:rPr>
        <w:t>m</w:t>
      </w:r>
      <w:r w:rsidRPr="00682BB0">
        <w:rPr>
          <w:szCs w:val="20"/>
        </w:rPr>
        <w:t xml:space="preserve">ap </w:t>
      </w:r>
      <w:r>
        <w:rPr>
          <w:szCs w:val="20"/>
        </w:rPr>
        <w:t>g</w:t>
      </w:r>
      <w:r w:rsidRPr="00682BB0">
        <w:rPr>
          <w:szCs w:val="20"/>
        </w:rPr>
        <w:t xml:space="preserve">rid (ASMG) is used to define geographic areas over which spectrum and </w:t>
      </w:r>
      <w:r>
        <w:rPr>
          <w:szCs w:val="20"/>
        </w:rPr>
        <w:t>AWL</w:t>
      </w:r>
      <w:r w:rsidRPr="00682BB0">
        <w:rPr>
          <w:szCs w:val="20"/>
        </w:rPr>
        <w:t xml:space="preserve">s are issued. The Hierarchical Cell Identification Scheme (HCIS) is a naming convention developed by the ACMA that applies unique ‘names’ to each of the cells that make up the ASMG. The ASMG and HCIS are described in detail in the </w:t>
      </w:r>
      <w:hyperlink r:id="rId33" w:history="1">
        <w:r w:rsidRPr="00F055FD">
          <w:rPr>
            <w:rStyle w:val="Hyperlink"/>
            <w:szCs w:val="20"/>
          </w:rPr>
          <w:t xml:space="preserve">Australian </w:t>
        </w:r>
        <w:r>
          <w:rPr>
            <w:rStyle w:val="Hyperlink"/>
            <w:szCs w:val="20"/>
          </w:rPr>
          <w:t>s</w:t>
        </w:r>
        <w:r w:rsidRPr="00F055FD">
          <w:rPr>
            <w:rStyle w:val="Hyperlink"/>
            <w:szCs w:val="20"/>
          </w:rPr>
          <w:t xml:space="preserve">pectrum </w:t>
        </w:r>
        <w:r>
          <w:rPr>
            <w:rStyle w:val="Hyperlink"/>
            <w:szCs w:val="20"/>
          </w:rPr>
          <w:t>m</w:t>
        </w:r>
        <w:r w:rsidRPr="00F055FD">
          <w:rPr>
            <w:rStyle w:val="Hyperlink"/>
            <w:szCs w:val="20"/>
          </w:rPr>
          <w:t xml:space="preserve">ap </w:t>
        </w:r>
        <w:r>
          <w:rPr>
            <w:rStyle w:val="Hyperlink"/>
            <w:szCs w:val="20"/>
          </w:rPr>
          <w:t>g</w:t>
        </w:r>
        <w:r w:rsidRPr="00F055FD">
          <w:rPr>
            <w:rStyle w:val="Hyperlink"/>
            <w:szCs w:val="20"/>
          </w:rPr>
          <w:t>rid</w:t>
        </w:r>
      </w:hyperlink>
      <w:r w:rsidRPr="00682BB0">
        <w:rPr>
          <w:szCs w:val="20"/>
        </w:rPr>
        <w:t>.</w:t>
      </w:r>
      <w:r w:rsidRPr="00682BB0">
        <w:rPr>
          <w:rFonts w:ascii="Times New Roman" w:hAnsi="Times New Roman"/>
          <w:szCs w:val="20"/>
        </w:rPr>
        <w:t xml:space="preserve"> </w:t>
      </w:r>
    </w:p>
    <w:p w14:paraId="66D58E0F" w14:textId="77777777" w:rsidR="0070471B" w:rsidRPr="00682BB0" w:rsidRDefault="0070471B" w:rsidP="0070471B">
      <w:pPr>
        <w:pStyle w:val="Paragraph"/>
        <w:ind w:left="11"/>
        <w:rPr>
          <w:szCs w:val="20"/>
        </w:rPr>
      </w:pPr>
      <w:r w:rsidRPr="00682BB0">
        <w:rPr>
          <w:szCs w:val="20"/>
        </w:rPr>
        <w:t xml:space="preserve">The HCIS coordinates in </w:t>
      </w:r>
      <w:r>
        <w:rPr>
          <w:szCs w:val="20"/>
        </w:rPr>
        <w:t xml:space="preserve">the </w:t>
      </w:r>
      <w:r w:rsidRPr="00682BB0">
        <w:rPr>
          <w:szCs w:val="20"/>
        </w:rPr>
        <w:t xml:space="preserve">description of the area </w:t>
      </w:r>
      <w:r>
        <w:rPr>
          <w:szCs w:val="20"/>
        </w:rPr>
        <w:t>in Table 1</w:t>
      </w:r>
      <w:r w:rsidRPr="00682BB0">
        <w:rPr>
          <w:szCs w:val="20"/>
        </w:rPr>
        <w:t xml:space="preserve"> can be converted into a Placemark file (viewable in Google Earth) through a facility on </w:t>
      </w:r>
      <w:r w:rsidRPr="002D6E77">
        <w:rPr>
          <w:szCs w:val="20"/>
        </w:rPr>
        <w:t xml:space="preserve">the </w:t>
      </w:r>
      <w:hyperlink r:id="rId34" w:history="1">
        <w:r w:rsidRPr="00F41E4E">
          <w:rPr>
            <w:rStyle w:val="Hyperlink"/>
            <w:szCs w:val="20"/>
          </w:rPr>
          <w:t>ACMA website</w:t>
        </w:r>
      </w:hyperlink>
      <w:r w:rsidRPr="00682BB0">
        <w:rPr>
          <w:szCs w:val="20"/>
        </w:rPr>
        <w:t xml:space="preserve">. </w:t>
      </w:r>
    </w:p>
    <w:p w14:paraId="29B7D295" w14:textId="77777777" w:rsidR="0070471B" w:rsidRPr="00682BB0" w:rsidRDefault="0070471B" w:rsidP="0070471B">
      <w:pPr>
        <w:pStyle w:val="Paragraph"/>
        <w:ind w:left="11"/>
        <w:rPr>
          <w:szCs w:val="20"/>
        </w:rPr>
      </w:pPr>
      <w:r>
        <w:t>Defining AWLs in remote areas by HCIS area has implications for offshore areas. The ASMG, which defines the HCIS structure, is only defined for a relatively short distance from the Australian coastline and does not include external Australian territories. WBB licensing outside of the ASMG will be conducted by exception, using site-based point-to-multipoint (PMP) apparatus licences.</w:t>
      </w:r>
    </w:p>
    <w:p w14:paraId="0C1675A6" w14:textId="77777777" w:rsidR="0070471B" w:rsidRPr="006A74CC" w:rsidRDefault="0070471B" w:rsidP="0070471B">
      <w:pPr>
        <w:pStyle w:val="Tableheading"/>
        <w:keepLines/>
        <w:tabs>
          <w:tab w:val="clear" w:pos="964"/>
          <w:tab w:val="num" w:pos="975"/>
        </w:tabs>
        <w:ind w:left="975"/>
        <w:rPr>
          <w:iCs/>
          <w:color w:val="000000" w:themeColor="text1"/>
        </w:rPr>
      </w:pPr>
      <w:r w:rsidRPr="006A74CC">
        <w:rPr>
          <w:iCs/>
          <w:color w:val="000000" w:themeColor="text1"/>
        </w:rPr>
        <w:lastRenderedPageBreak/>
        <w:t xml:space="preserve">HCIS for remote areas </w:t>
      </w:r>
    </w:p>
    <w:tbl>
      <w:tblPr>
        <w:tblStyle w:val="TableGrid"/>
        <w:tblW w:w="0" w:type="auto"/>
        <w:tblCellMar>
          <w:top w:w="85" w:type="dxa"/>
          <w:left w:w="57" w:type="dxa"/>
          <w:bottom w:w="85" w:type="dxa"/>
          <w:right w:w="57" w:type="dxa"/>
        </w:tblCellMar>
        <w:tblLook w:val="04A0" w:firstRow="1" w:lastRow="0" w:firstColumn="1" w:lastColumn="0" w:noHBand="0" w:noVBand="1"/>
      </w:tblPr>
      <w:tblGrid>
        <w:gridCol w:w="1122"/>
        <w:gridCol w:w="6539"/>
      </w:tblGrid>
      <w:tr w:rsidR="0070471B" w14:paraId="3B819D29" w14:textId="77777777" w:rsidTr="003A1291">
        <w:tc>
          <w:tcPr>
            <w:tcW w:w="1129" w:type="dxa"/>
            <w:shd w:val="clear" w:color="auto" w:fill="404040" w:themeFill="text1" w:themeFillTint="BF"/>
          </w:tcPr>
          <w:p w14:paraId="54AC1AC6" w14:textId="77777777" w:rsidR="0070471B" w:rsidRPr="003A1291" w:rsidRDefault="0070471B" w:rsidP="003A1291">
            <w:pPr>
              <w:keepNext/>
              <w:keepLines/>
              <w:spacing w:after="0"/>
              <w:rPr>
                <w:b/>
                <w:iCs/>
                <w:color w:val="FFFFFF" w:themeColor="background1"/>
                <w:szCs w:val="22"/>
              </w:rPr>
            </w:pPr>
            <w:r w:rsidRPr="003A1291">
              <w:rPr>
                <w:b/>
                <w:iCs/>
                <w:color w:val="FFFFFF" w:themeColor="background1"/>
                <w:szCs w:val="22"/>
              </w:rPr>
              <w:t>Area</w:t>
            </w:r>
          </w:p>
        </w:tc>
        <w:tc>
          <w:tcPr>
            <w:tcW w:w="6679" w:type="dxa"/>
            <w:shd w:val="clear" w:color="auto" w:fill="404040" w:themeFill="text1" w:themeFillTint="BF"/>
          </w:tcPr>
          <w:p w14:paraId="698C03FB" w14:textId="77777777" w:rsidR="0070471B" w:rsidRPr="003A1291" w:rsidRDefault="0070471B" w:rsidP="003A1291">
            <w:pPr>
              <w:keepNext/>
              <w:keepLines/>
              <w:spacing w:after="0"/>
              <w:rPr>
                <w:b/>
                <w:iCs/>
                <w:color w:val="FFFFFF" w:themeColor="background1"/>
                <w:szCs w:val="22"/>
              </w:rPr>
            </w:pPr>
            <w:r w:rsidRPr="003A1291">
              <w:rPr>
                <w:b/>
                <w:iCs/>
                <w:color w:val="FFFFFF" w:themeColor="background1"/>
                <w:szCs w:val="22"/>
              </w:rPr>
              <w:t xml:space="preserve">HCIS </w:t>
            </w:r>
          </w:p>
        </w:tc>
      </w:tr>
      <w:tr w:rsidR="0070471B" w14:paraId="27D2FAC1" w14:textId="77777777" w:rsidTr="003A1291">
        <w:tc>
          <w:tcPr>
            <w:tcW w:w="1129" w:type="dxa"/>
          </w:tcPr>
          <w:p w14:paraId="7676F3BA" w14:textId="77777777" w:rsidR="0070471B" w:rsidRPr="00F70E0F" w:rsidRDefault="0070471B" w:rsidP="003A1291">
            <w:pPr>
              <w:keepNext/>
              <w:keepLines/>
              <w:spacing w:after="0"/>
              <w:rPr>
                <w:bCs/>
                <w:iCs/>
                <w:color w:val="000000" w:themeColor="text1"/>
                <w:szCs w:val="22"/>
              </w:rPr>
            </w:pPr>
            <w:r w:rsidRPr="00F70E0F">
              <w:rPr>
                <w:bCs/>
                <w:iCs/>
                <w:color w:val="000000" w:themeColor="text1"/>
                <w:szCs w:val="22"/>
              </w:rPr>
              <w:t>Remote</w:t>
            </w:r>
          </w:p>
        </w:tc>
        <w:tc>
          <w:tcPr>
            <w:tcW w:w="6679" w:type="dxa"/>
          </w:tcPr>
          <w:p w14:paraId="4C710B80" w14:textId="77777777" w:rsidR="0070471B" w:rsidRPr="00F70E0F" w:rsidRDefault="0070471B" w:rsidP="003A1291">
            <w:pPr>
              <w:keepNext/>
              <w:keepLines/>
              <w:spacing w:after="0"/>
              <w:rPr>
                <w:bCs/>
                <w:iCs/>
                <w:color w:val="000000" w:themeColor="text1"/>
                <w:szCs w:val="22"/>
              </w:rPr>
            </w:pPr>
            <w:r w:rsidRPr="00F70E0F">
              <w:rPr>
                <w:bCs/>
                <w:iCs/>
                <w:color w:val="000000" w:themeColor="text1"/>
                <w:szCs w:val="22"/>
              </w:rPr>
              <w:t>BR, BS, BT, CR, CS, CT, CU, DQ, DR, DS, DT, DU, EP, EQ, ER, ES, ET, EU, FP, FQ, FR, FS, FT, FU, GP, GQ, GR, GS, GT, GU, HO, HP, HQ, HR, HS, HT, HU, IO, IP, IQ, IR, IS, IT, IU, JO, JP, JQ, JR, JS, JT, JU, KR, KS, KT, KU, LS, LT, LU, AR8, AR9, AS2, AS3, AS5, AS6, AS8, AS9, AT1, AT2, AT3, AT5, AT6, AT8, AT9, AU2, AU3, BU1, BU2, BU3, BU6, GO3, GO4, GO5, GO6, GO7, GO8, GO9, AU6A, AU6B, AU6C, AU6D, AU6E, AU6F, AU6G, AU6H, BU4A, BU4B, BU4C, BU4D, BU4E, BU4F, BU4G, BU5A, BU5B, BU5C, BU5D, BU9C, BU9D, BU9G, BU9H, BU9K, BU9L, BU9O, BU9P</w:t>
            </w:r>
            <w:r>
              <w:rPr>
                <w:bCs/>
                <w:iCs/>
                <w:color w:val="000000" w:themeColor="text1"/>
                <w:szCs w:val="22"/>
              </w:rPr>
              <w:t>.</w:t>
            </w:r>
          </w:p>
        </w:tc>
      </w:tr>
    </w:tbl>
    <w:p w14:paraId="63EA7C01" w14:textId="77777777" w:rsidR="0070471B" w:rsidRPr="00B81E13" w:rsidRDefault="0070471B" w:rsidP="0070471B">
      <w:pPr>
        <w:pStyle w:val="Heading2"/>
      </w:pPr>
      <w:bookmarkStart w:id="9" w:name="_Toc167200941"/>
      <w:bookmarkStart w:id="10" w:name="_Toc167435288"/>
      <w:bookmarkStart w:id="11" w:name="_5._Technical_framework"/>
      <w:bookmarkEnd w:id="11"/>
      <w:r>
        <w:t>5. Technical framework</w:t>
      </w:r>
      <w:bookmarkEnd w:id="9"/>
      <w:bookmarkEnd w:id="10"/>
    </w:p>
    <w:p w14:paraId="35A40D8D" w14:textId="77777777" w:rsidR="0070471B" w:rsidRDefault="0070471B" w:rsidP="0070471B">
      <w:pPr>
        <w:pStyle w:val="Paragraphbeforelist"/>
      </w:pPr>
      <w:r>
        <w:t>The technical framework for AWLs in the frequency range 3.4–4.0 GHz sets out the licence conditions and policy arrangements that manage coexistence with other services operating in and adjacent to the 3.4–4.0 GHz range. The arrangements are described in:</w:t>
      </w:r>
    </w:p>
    <w:p w14:paraId="71A8B63B" w14:textId="255DBEEE" w:rsidR="0070471B" w:rsidRPr="00E71E08" w:rsidRDefault="0070471B" w:rsidP="0070471B">
      <w:pPr>
        <w:pStyle w:val="Bulletlevel1"/>
        <w:rPr>
          <w:rStyle w:val="Hyperlink"/>
          <w:color w:val="auto"/>
          <w:u w:val="none"/>
        </w:rPr>
      </w:pPr>
      <w:r>
        <w:t>t</w:t>
      </w:r>
      <w:r w:rsidRPr="002233F1">
        <w:t xml:space="preserve">he </w:t>
      </w:r>
      <w:hyperlink r:id="rId35" w:history="1">
        <w:r w:rsidRPr="003A1291">
          <w:rPr>
            <w:rStyle w:val="Hyperlink"/>
            <w:color w:val="auto"/>
            <w:u w:val="none"/>
          </w:rPr>
          <w:t xml:space="preserve">Radiocommunications Licence Conditions (Apparatus Licence) </w:t>
        </w:r>
        <w:r w:rsidRPr="002233F1">
          <w:br/>
        </w:r>
        <w:r w:rsidRPr="003A1291">
          <w:rPr>
            <w:rStyle w:val="Hyperlink"/>
            <w:color w:val="auto"/>
            <w:u w:val="none"/>
          </w:rPr>
          <w:t>Determination 2015</w:t>
        </w:r>
      </w:hyperlink>
      <w:r>
        <w:rPr>
          <w:rStyle w:val="Hyperlink"/>
          <w:color w:val="auto"/>
          <w:u w:val="none"/>
        </w:rPr>
        <w:t xml:space="preserve"> (the Apparatus Licence Determination)</w:t>
      </w:r>
    </w:p>
    <w:p w14:paraId="7063F7BB" w14:textId="18726CC8" w:rsidR="0070471B" w:rsidRPr="002233F1" w:rsidRDefault="0070471B" w:rsidP="0070471B">
      <w:pPr>
        <w:pStyle w:val="Bulletlevel1"/>
      </w:pPr>
      <w:r w:rsidRPr="002233F1">
        <w:t xml:space="preserve">the </w:t>
      </w:r>
      <w:hyperlink r:id="rId36" w:history="1">
        <w:r w:rsidRPr="003A1291">
          <w:rPr>
            <w:rStyle w:val="Hyperlink"/>
            <w:color w:val="auto"/>
            <w:u w:val="none"/>
          </w:rPr>
          <w:t xml:space="preserve">Radiocommunications Licence Conditions (Area-Wide Licence) </w:t>
        </w:r>
        <w:r w:rsidRPr="002233F1">
          <w:br/>
        </w:r>
        <w:r w:rsidRPr="003A1291">
          <w:rPr>
            <w:rStyle w:val="Hyperlink"/>
            <w:color w:val="auto"/>
            <w:u w:val="none"/>
          </w:rPr>
          <w:t>Determination 2020</w:t>
        </w:r>
      </w:hyperlink>
      <w:r w:rsidRPr="002233F1">
        <w:t xml:space="preserve"> (AWL LCD)</w:t>
      </w:r>
    </w:p>
    <w:p w14:paraId="4623BC57" w14:textId="756BAB4D" w:rsidR="0070471B" w:rsidRDefault="0070471B" w:rsidP="0070471B">
      <w:pPr>
        <w:pStyle w:val="Bulletlevel1"/>
      </w:pPr>
      <w:r w:rsidRPr="002233F1">
        <w:t>th</w:t>
      </w:r>
      <w:r>
        <w:t xml:space="preserve">e </w:t>
      </w:r>
      <w:hyperlink r:id="rId37">
        <w:r w:rsidRPr="2ECFDF89">
          <w:rPr>
            <w:rStyle w:val="Hyperlink"/>
          </w:rPr>
          <w:t>Radiocommunications Licensing and Assignment Instructions (RALI) MS47</w:t>
        </w:r>
      </w:hyperlink>
      <w:r>
        <w:t xml:space="preserve">  </w:t>
      </w:r>
      <w:r w:rsidR="00A901A6">
        <w:t xml:space="preserve">   </w:t>
      </w:r>
    </w:p>
    <w:p w14:paraId="775FE91B" w14:textId="203CAF80" w:rsidR="00A901A6" w:rsidRDefault="00A901A6" w:rsidP="0070471B">
      <w:pPr>
        <w:pStyle w:val="Bulletlevel1"/>
      </w:pPr>
      <w:r>
        <w:t>individually issued licences.</w:t>
      </w:r>
    </w:p>
    <w:p w14:paraId="19B0C62C" w14:textId="77777777" w:rsidR="00A901A6" w:rsidRDefault="00A901A6" w:rsidP="00C4702F">
      <w:pPr>
        <w:pStyle w:val="Bulletlevel1"/>
        <w:numPr>
          <w:ilvl w:val="0"/>
          <w:numId w:val="0"/>
        </w:numPr>
        <w:ind w:left="295" w:hanging="295"/>
      </w:pPr>
    </w:p>
    <w:p w14:paraId="04036F3A" w14:textId="77777777" w:rsidR="0070471B" w:rsidRDefault="0070471B" w:rsidP="00F4223F">
      <w:pPr>
        <w:pStyle w:val="Paragraph"/>
      </w:pPr>
      <w:r>
        <w:t>These documents may also reference other relevant documents.</w:t>
      </w:r>
    </w:p>
    <w:p w14:paraId="1F3089DD" w14:textId="615D3B8A" w:rsidR="000407F0" w:rsidRDefault="0070471B" w:rsidP="00F4223F">
      <w:pPr>
        <w:pStyle w:val="Paragraph"/>
      </w:pPr>
      <w:r>
        <w:t xml:space="preserve">The technical framework is intended to manage coexistence of AWLs with a range of other services. </w:t>
      </w:r>
      <w:r w:rsidR="000407F0">
        <w:t>Note that, i</w:t>
      </w:r>
      <w:r w:rsidR="000407F0" w:rsidRPr="00B41B6C">
        <w:t xml:space="preserve">n remote areas, </w:t>
      </w:r>
      <w:r w:rsidR="000407F0">
        <w:t xml:space="preserve">earth </w:t>
      </w:r>
      <w:r w:rsidR="000407F0" w:rsidRPr="008F7080">
        <w:t xml:space="preserve">receive </w:t>
      </w:r>
      <w:r w:rsidR="000407F0">
        <w:t xml:space="preserve">apparatus licences, and point-to-point (PTP) apparatus </w:t>
      </w:r>
      <w:r w:rsidR="000407F0" w:rsidRPr="008F7080">
        <w:t>licences above 3800 MHz,</w:t>
      </w:r>
      <w:r w:rsidR="000407F0">
        <w:t xml:space="preserve"> will continue to be issued.</w:t>
      </w:r>
    </w:p>
    <w:p w14:paraId="242593C4" w14:textId="3775190A" w:rsidR="0070471B" w:rsidRDefault="0070471B" w:rsidP="00F4223F">
      <w:pPr>
        <w:pStyle w:val="Paragraph"/>
      </w:pPr>
      <w:r>
        <w:t>Applicants should familiarise themselves with the arrangements to ensure that applications will be suitable for the intended purposes</w:t>
      </w:r>
      <w:r w:rsidR="000407F0">
        <w:t xml:space="preserve"> and </w:t>
      </w:r>
      <w:r>
        <w:t xml:space="preserve">engage an </w:t>
      </w:r>
      <w:hyperlink r:id="rId38">
        <w:r w:rsidRPr="2ECFDF89">
          <w:rPr>
            <w:rStyle w:val="Hyperlink"/>
          </w:rPr>
          <w:t>accredited person</w:t>
        </w:r>
      </w:hyperlink>
      <w:r>
        <w:t xml:space="preserve"> to ensure the proposed AWL satisfies the technical requirements needed for the services envisaged by the applicant.</w:t>
      </w:r>
    </w:p>
    <w:p w14:paraId="50A28DAF" w14:textId="77777777" w:rsidR="0070471B" w:rsidRPr="00237620" w:rsidRDefault="0070471B" w:rsidP="0070471B">
      <w:pPr>
        <w:pStyle w:val="Heading3"/>
        <w:ind w:left="11"/>
      </w:pPr>
      <w:bookmarkStart w:id="12" w:name="_Toc167200942"/>
      <w:bookmarkStart w:id="13" w:name="_Toc167435289"/>
      <w:r>
        <w:t>Apparatus Licence Determination</w:t>
      </w:r>
      <w:bookmarkEnd w:id="12"/>
      <w:bookmarkEnd w:id="13"/>
      <w:r>
        <w:t xml:space="preserve"> </w:t>
      </w:r>
    </w:p>
    <w:p w14:paraId="0722575B" w14:textId="224E7119" w:rsidR="0070471B" w:rsidRDefault="0070471B" w:rsidP="0070471B">
      <w:pPr>
        <w:pStyle w:val="Paragraph"/>
        <w:ind w:left="11"/>
      </w:pPr>
      <w:r>
        <w:t>This determination specifies conditions that apply to all apparatus licences, including AWLs, principally in relation to electromagnetic radiation (RF levels) emitted by a transmitter.</w:t>
      </w:r>
    </w:p>
    <w:p w14:paraId="4B7DFD4C" w14:textId="09E0190E" w:rsidR="0070471B" w:rsidRPr="00237620" w:rsidRDefault="0070471B" w:rsidP="0070471B">
      <w:pPr>
        <w:pStyle w:val="Heading3"/>
        <w:ind w:left="11"/>
      </w:pPr>
      <w:bookmarkStart w:id="14" w:name="_Toc167200943"/>
      <w:bookmarkStart w:id="15" w:name="_Toc167435290"/>
      <w:r>
        <w:t>AWL LCD</w:t>
      </w:r>
      <w:bookmarkEnd w:id="14"/>
      <w:bookmarkEnd w:id="15"/>
    </w:p>
    <w:p w14:paraId="3B6B3223" w14:textId="77777777" w:rsidR="0070471B" w:rsidRDefault="0070471B" w:rsidP="0070471B">
      <w:pPr>
        <w:pStyle w:val="Paragraph"/>
        <w:ind w:left="11"/>
      </w:pPr>
      <w:r>
        <w:t xml:space="preserve">The AWL LCD contains conditions that apply to all AWLs. </w:t>
      </w:r>
    </w:p>
    <w:p w14:paraId="1A6F4747" w14:textId="752DE30F" w:rsidR="0070471B" w:rsidRDefault="0070471B" w:rsidP="0070471B">
      <w:pPr>
        <w:pStyle w:val="Paragraphbeforelist"/>
        <w:ind w:left="11"/>
        <w:rPr>
          <w:rStyle w:val="normaltextrun"/>
        </w:rPr>
      </w:pPr>
      <w:r>
        <w:t xml:space="preserve">Schedule 4 to the </w:t>
      </w:r>
      <w:r w:rsidRPr="2ECFDF89">
        <w:rPr>
          <w:rStyle w:val="normaltextrun"/>
        </w:rPr>
        <w:t>AWL LCD</w:t>
      </w:r>
      <w:r>
        <w:t xml:space="preserve"> contains conditions for radiocommunications devices authorised to operate in the 3.4–4.0 GHz band, including</w:t>
      </w:r>
      <w:r w:rsidRPr="2ECFDF89">
        <w:rPr>
          <w:rStyle w:val="normaltextrun"/>
        </w:rPr>
        <w:t>:</w:t>
      </w:r>
    </w:p>
    <w:p w14:paraId="3A0E2B1C" w14:textId="7C6CA065" w:rsidR="0070471B" w:rsidRPr="00D11147" w:rsidRDefault="0070471B" w:rsidP="0070471B">
      <w:pPr>
        <w:pStyle w:val="Bulletlevel1"/>
      </w:pPr>
      <w:r>
        <w:t>maximum permitted total radiated power, and equivalent isotopically radiated power limits that apply only above 3700 MHz</w:t>
      </w:r>
    </w:p>
    <w:p w14:paraId="4C98B37A" w14:textId="77777777" w:rsidR="0070471B" w:rsidRPr="00D11147" w:rsidRDefault="0070471B" w:rsidP="0070471B">
      <w:pPr>
        <w:pStyle w:val="Bulletlevel1"/>
      </w:pPr>
      <w:r>
        <w:t xml:space="preserve">limits on unwanted emissions outside the frequency range authorised by </w:t>
      </w:r>
      <w:r>
        <w:br/>
        <w:t>the licence</w:t>
      </w:r>
    </w:p>
    <w:p w14:paraId="192A3527" w14:textId="77777777" w:rsidR="0070471B" w:rsidRPr="00D11147" w:rsidRDefault="0070471B" w:rsidP="0070471B">
      <w:pPr>
        <w:pStyle w:val="Bulletlevel1"/>
      </w:pPr>
      <w:r>
        <w:t xml:space="preserve">deployment restrictions to manage coexistence with other services </w:t>
      </w:r>
    </w:p>
    <w:p w14:paraId="0345C6E1" w14:textId="6E523CE6" w:rsidR="0070471B" w:rsidRPr="00D11147" w:rsidRDefault="0070471B" w:rsidP="00F4223F">
      <w:pPr>
        <w:pStyle w:val="Bulletlevel1"/>
      </w:pPr>
      <w:r>
        <w:lastRenderedPageBreak/>
        <w:t>requirements for all radiocommunications transmitters to be included in the Register of Radiocommunications Licences (RRL), other than those with specified operating parameters (that is, registration-exempt transmitters).</w:t>
      </w:r>
    </w:p>
    <w:p w14:paraId="26EB5193" w14:textId="1BAAEC5F" w:rsidR="0070471B" w:rsidRPr="00D11147" w:rsidRDefault="0070471B" w:rsidP="0070471B">
      <w:pPr>
        <w:pStyle w:val="Bulletlevel1last"/>
      </w:pPr>
      <w:r>
        <w:t xml:space="preserve">compliance with </w:t>
      </w:r>
      <w:r w:rsidR="00585C96">
        <w:t xml:space="preserve">specific requirements of </w:t>
      </w:r>
      <w:r>
        <w:t>RALI MS47.</w:t>
      </w:r>
    </w:p>
    <w:p w14:paraId="2CA531D9" w14:textId="073AAB9E" w:rsidR="0070471B" w:rsidRDefault="0070471B" w:rsidP="0070471B">
      <w:pPr>
        <w:pStyle w:val="Heading3"/>
        <w:ind w:left="11"/>
      </w:pPr>
      <w:bookmarkStart w:id="16" w:name="_Toc167200944"/>
      <w:bookmarkStart w:id="17" w:name="_Toc167435291"/>
      <w:r>
        <w:t>RALI MS47</w:t>
      </w:r>
      <w:bookmarkEnd w:id="16"/>
      <w:bookmarkEnd w:id="17"/>
    </w:p>
    <w:p w14:paraId="58761A36" w14:textId="0A871778" w:rsidR="0070471B" w:rsidRDefault="0070471B" w:rsidP="0070471B">
      <w:pPr>
        <w:pStyle w:val="Paragraph"/>
        <w:ind w:left="11"/>
      </w:pPr>
      <w:r>
        <w:t xml:space="preserve">RALIs are administrative policy documents that support licensing and device coordination in a </w:t>
      </w:r>
      <w:proofErr w:type="gramStart"/>
      <w:r>
        <w:t>band, and</w:t>
      </w:r>
      <w:proofErr w:type="gramEnd"/>
      <w:r>
        <w:t xml:space="preserve"> assist accredited persons when assigning frequencies and coordinating devices. RALI MS47 for the 3.4–4.0 GHz band details the ACMA’s guidance on issuing new AWLs, and the coordination of devices operating under an AWL, with other services. Exceptions to this policy can be considered on a case-by-case basis.</w:t>
      </w:r>
    </w:p>
    <w:p w14:paraId="45D8754A" w14:textId="36F0F812" w:rsidR="0070471B" w:rsidRDefault="0070471B" w:rsidP="0070471B">
      <w:pPr>
        <w:pStyle w:val="Paragraphbeforelist"/>
      </w:pPr>
      <w:r>
        <w:t>RALI MS47 includes a specified channel raster and limitations on use in certain areas. In general, AWLs are to be assigned using contiguous channels of 10 MHz with the following guidance:</w:t>
      </w:r>
    </w:p>
    <w:p w14:paraId="1C187266" w14:textId="77777777" w:rsidR="0070471B" w:rsidRPr="00D11147" w:rsidRDefault="0070471B" w:rsidP="0070471B">
      <w:pPr>
        <w:pStyle w:val="Bulletlevel1"/>
      </w:pPr>
      <w:r>
        <w:t>AWLs issued to existing spectrum licence holders in the 3.4–4.0 GHz band should preferably be contiguous with existing spectrum licences, and be below 3.8 GHz</w:t>
      </w:r>
    </w:p>
    <w:p w14:paraId="70E976B6" w14:textId="5569A5F3" w:rsidR="0070471B" w:rsidRPr="00D11147" w:rsidRDefault="0070471B" w:rsidP="0070471B">
      <w:pPr>
        <w:pStyle w:val="Bulletlevel1"/>
      </w:pPr>
      <w:r>
        <w:t>AWLs issued to people who do not hold spectrum licences in the 3.4–4.0 GHz band should preferably be contiguous with any existing AWL licences held by them, and be above 3.8 GHz</w:t>
      </w:r>
    </w:p>
    <w:p w14:paraId="477C2525" w14:textId="54EA8D4B" w:rsidR="0070471B" w:rsidRPr="00D11147" w:rsidRDefault="005D0C49" w:rsidP="0070471B">
      <w:pPr>
        <w:pStyle w:val="Bulletlevel1last"/>
      </w:pPr>
      <w:r>
        <w:t xml:space="preserve">AWLs should be issued </w:t>
      </w:r>
      <w:r w:rsidR="0070471B">
        <w:t xml:space="preserve">in ascending frequency order, but subject to the above </w:t>
      </w:r>
      <w:r w:rsidR="00A901A6">
        <w:br/>
      </w:r>
      <w:r w:rsidR="0070471B">
        <w:t>2</w:t>
      </w:r>
      <w:r w:rsidR="009366F4">
        <w:t xml:space="preserve"> policies</w:t>
      </w:r>
      <w:r w:rsidR="0070471B">
        <w:t>.</w:t>
      </w:r>
    </w:p>
    <w:p w14:paraId="00A9CE31" w14:textId="7947E9BC" w:rsidR="0070471B" w:rsidRDefault="0070471B" w:rsidP="0070471B">
      <w:pPr>
        <w:pStyle w:val="Paragraph"/>
        <w:ind w:left="11"/>
      </w:pPr>
      <w:r>
        <w:t>These arrangements are aimed at improving spectral efficiency, maximising spectrum availability for prospective licensees and enabling the prospect of contiguous spectrum holdings across geographic boundaries. Alternative ways of assigning spectrum can be considered on a case-by-case basis by the ACMA if it can improve the efficiency in use and allocation of spectrum.</w:t>
      </w:r>
    </w:p>
    <w:p w14:paraId="0D57E7CC" w14:textId="56DECDC0" w:rsidR="0070471B" w:rsidRDefault="0070471B" w:rsidP="009B2D90">
      <w:pPr>
        <w:pStyle w:val="Paragraph"/>
      </w:pPr>
      <w:r>
        <w:t>An AWL authorises the operation of radiocommunications devices within a frequency range and geographic area specified on the licence. AWLs authorising operation in the 3.4–4.0 GHz band will generally only be issued in geographic areas outside those embargoed frequencies and areas defined in RALI MS03 and RALI MS26.</w:t>
      </w:r>
    </w:p>
    <w:p w14:paraId="00644738" w14:textId="77777777" w:rsidR="0070471B" w:rsidRDefault="0070471B" w:rsidP="009B2D90">
      <w:pPr>
        <w:pStyle w:val="Paragraph"/>
      </w:pPr>
      <w:r>
        <w:t>An AWL will not be issued if its frequency range would overlap with the frequency range authorised by an existing AWL in the same HCIS cell.</w:t>
      </w:r>
    </w:p>
    <w:p w14:paraId="220CE09C" w14:textId="77777777" w:rsidR="0070471B" w:rsidRDefault="0070471B" w:rsidP="009B2D90">
      <w:pPr>
        <w:pStyle w:val="Paragraph"/>
      </w:pPr>
      <w:r>
        <w:t>Also, in remote areas, an AWL will generally not be issued if it would authorise the operation of devices on a co-frequency within 20 km of a PMP service transmitter, or within 5 km if the proposed AWL is adjacent in frequency by 10 MHz or less, unless the licensee of the PMP service transmitter agrees in writing.</w:t>
      </w:r>
    </w:p>
    <w:p w14:paraId="631197C7" w14:textId="77777777" w:rsidR="0070471B" w:rsidRDefault="0070471B" w:rsidP="0070471B">
      <w:pPr>
        <w:spacing w:after="120"/>
        <w:ind w:left="11"/>
      </w:pPr>
      <w:r>
        <w:t xml:space="preserve">In addition, RALI MS47 specifies exclusion or coordination zones that apply to AWLs in the vicinity of: </w:t>
      </w:r>
    </w:p>
    <w:p w14:paraId="34F8885F" w14:textId="77777777" w:rsidR="0070471B" w:rsidRPr="00D11147" w:rsidRDefault="0070471B" w:rsidP="0070471B">
      <w:pPr>
        <w:pStyle w:val="Bulletlevel1"/>
      </w:pPr>
      <w:proofErr w:type="gramStart"/>
      <w:r>
        <w:t>particular radiolocation</w:t>
      </w:r>
      <w:proofErr w:type="gramEnd"/>
      <w:r>
        <w:t xml:space="preserve"> systems</w:t>
      </w:r>
    </w:p>
    <w:p w14:paraId="3D9462DA" w14:textId="3C8833B7" w:rsidR="0070471B" w:rsidRPr="00603420" w:rsidRDefault="0070471B" w:rsidP="0070471B">
      <w:pPr>
        <w:pStyle w:val="Bulletlevel1"/>
      </w:pPr>
      <w:r>
        <w:t xml:space="preserve">the Darwin, </w:t>
      </w:r>
      <w:proofErr w:type="gramStart"/>
      <w:r>
        <w:t>Geraldton</w:t>
      </w:r>
      <w:proofErr w:type="gramEnd"/>
      <w:r>
        <w:t xml:space="preserve"> and Exmouth coordination zones</w:t>
      </w:r>
    </w:p>
    <w:p w14:paraId="00A123D5" w14:textId="77777777" w:rsidR="0070471B" w:rsidRDefault="0070471B" w:rsidP="0070471B">
      <w:pPr>
        <w:pStyle w:val="Bulletlevel1last"/>
      </w:pPr>
      <w:r>
        <w:t>the Woomera Protected Area (WPA).</w:t>
      </w:r>
    </w:p>
    <w:p w14:paraId="40E865AA" w14:textId="77777777" w:rsidR="0070471B" w:rsidRPr="004D698C" w:rsidRDefault="0070471B" w:rsidP="0070471B">
      <w:pPr>
        <w:pStyle w:val="Heading4"/>
      </w:pPr>
      <w:r>
        <w:t>Radio altimeter coexistence measures</w:t>
      </w:r>
    </w:p>
    <w:p w14:paraId="2E9108F2" w14:textId="121212DB" w:rsidR="0070471B" w:rsidRDefault="0070471B" w:rsidP="009B2D90">
      <w:pPr>
        <w:pStyle w:val="Paragraph"/>
      </w:pPr>
      <w:r>
        <w:t xml:space="preserve">RALI MS47 includes several licence special conditions that apply interim mitigations to manage coexistence of AWLs in remote areas with aeronautical radionavigation services (radio altimeters) operating in the 4200–4400 MHz band. Further details on </w:t>
      </w:r>
      <w:r>
        <w:lastRenderedPageBreak/>
        <w:t xml:space="preserve">the basis for these special conditions can be found in the </w:t>
      </w:r>
      <w:hyperlink r:id="rId39" w:history="1">
        <w:r w:rsidRPr="008279E3">
          <w:rPr>
            <w:rStyle w:val="Hyperlink"/>
          </w:rPr>
          <w:t>Wireless broadband and radio altimeters coexistence outcomes paper</w:t>
        </w:r>
      </w:hyperlink>
      <w:r>
        <w:t xml:space="preserve">. </w:t>
      </w:r>
    </w:p>
    <w:p w14:paraId="0D10F738" w14:textId="77777777" w:rsidR="0070471B" w:rsidRDefault="0070471B" w:rsidP="009B2D90">
      <w:pPr>
        <w:pStyle w:val="Paragraphbeforelist"/>
      </w:pPr>
      <w:r>
        <w:t>In summary, they are:</w:t>
      </w:r>
    </w:p>
    <w:p w14:paraId="5EE8E7DF" w14:textId="77777777" w:rsidR="0070471B" w:rsidRPr="009D33B1" w:rsidRDefault="0070471B" w:rsidP="009B2D90">
      <w:pPr>
        <w:pStyle w:val="Numberlistlevel1"/>
      </w:pPr>
      <w:r w:rsidRPr="009D33B1">
        <w:t xml:space="preserve">For deployments above </w:t>
      </w:r>
      <w:r w:rsidRPr="0063090F">
        <w:t>3</w:t>
      </w:r>
      <w:r>
        <w:t>7</w:t>
      </w:r>
      <w:r w:rsidRPr="0063090F">
        <w:t>00</w:t>
      </w:r>
      <w:r w:rsidRPr="009D33B1">
        <w:t xml:space="preserve"> MHz around identified runways:</w:t>
      </w:r>
    </w:p>
    <w:p w14:paraId="28144F9F" w14:textId="77777777" w:rsidR="0070471B" w:rsidRPr="009D33B1" w:rsidRDefault="0070471B" w:rsidP="009B2D90">
      <w:pPr>
        <w:pStyle w:val="Numberlistlevel2"/>
        <w:ind w:left="717" w:hanging="291"/>
      </w:pPr>
      <w:r>
        <w:t>e</w:t>
      </w:r>
      <w:r w:rsidRPr="009D33B1">
        <w:t xml:space="preserve">xclusion zones, where </w:t>
      </w:r>
      <w:r>
        <w:t>transmitters will not</w:t>
      </w:r>
      <w:r w:rsidRPr="009D33B1">
        <w:t xml:space="preserve"> </w:t>
      </w:r>
      <w:r>
        <w:t>be</w:t>
      </w:r>
      <w:r w:rsidRPr="009D33B1">
        <w:t xml:space="preserve"> permitted</w:t>
      </w:r>
      <w:r>
        <w:t xml:space="preserve"> to be operated to provide WBB services</w:t>
      </w:r>
    </w:p>
    <w:p w14:paraId="2E3F5909" w14:textId="77777777" w:rsidR="0070471B" w:rsidRPr="009D33B1" w:rsidRDefault="0070471B" w:rsidP="009B2D90">
      <w:pPr>
        <w:pStyle w:val="Numberlistlevel2"/>
        <w:ind w:left="717" w:hanging="291"/>
      </w:pPr>
      <w:r>
        <w:t>r</w:t>
      </w:r>
      <w:r w:rsidRPr="00B907B7">
        <w:t>estricted zones, except in the 3950–4000 MHz range in metro</w:t>
      </w:r>
      <w:r>
        <w:t>politan</w:t>
      </w:r>
      <w:r w:rsidRPr="00B907B7">
        <w:t xml:space="preserve"> and regional areas, with a </w:t>
      </w:r>
      <w:r>
        <w:t>power flux density (</w:t>
      </w:r>
      <w:r w:rsidRPr="00B907B7">
        <w:t>PFD</w:t>
      </w:r>
      <w:r>
        <w:t>)</w:t>
      </w:r>
      <w:r w:rsidRPr="00B907B7">
        <w:t xml:space="preserve"> limit in the restricted zones</w:t>
      </w:r>
      <w:r>
        <w:t>.</w:t>
      </w:r>
    </w:p>
    <w:p w14:paraId="4F4772AE" w14:textId="77777777" w:rsidR="0070471B" w:rsidRPr="009D33B1" w:rsidRDefault="0070471B" w:rsidP="009B2D90">
      <w:pPr>
        <w:pStyle w:val="Numberlistlevel1"/>
      </w:pPr>
      <w:r w:rsidRPr="009D33B1">
        <w:t xml:space="preserve">For </w:t>
      </w:r>
      <w:r>
        <w:t xml:space="preserve">all </w:t>
      </w:r>
      <w:r w:rsidRPr="009D33B1">
        <w:t xml:space="preserve">deployments above </w:t>
      </w:r>
      <w:r w:rsidRPr="00A21643">
        <w:t>3</w:t>
      </w:r>
      <w:r>
        <w:t>7</w:t>
      </w:r>
      <w:r w:rsidRPr="00A21643">
        <w:t>00</w:t>
      </w:r>
      <w:r w:rsidRPr="00257BC6">
        <w:t xml:space="preserve"> MHz</w:t>
      </w:r>
      <w:r w:rsidRPr="009D33B1">
        <w:t>:</w:t>
      </w:r>
    </w:p>
    <w:p w14:paraId="030750D6" w14:textId="77777777" w:rsidR="0070471B" w:rsidRDefault="0070471B" w:rsidP="009B2D90">
      <w:pPr>
        <w:pStyle w:val="ListNumber2"/>
        <w:numPr>
          <w:ilvl w:val="0"/>
          <w:numId w:val="39"/>
        </w:numPr>
        <w:ind w:hanging="291"/>
      </w:pPr>
      <w:r>
        <w:t>r</w:t>
      </w:r>
      <w:r w:rsidRPr="00C1772D">
        <w:t>estricting any antenna system</w:t>
      </w:r>
      <w:r>
        <w:t xml:space="preserve"> used for WBB services</w:t>
      </w:r>
      <w:r w:rsidRPr="00C1772D">
        <w:t xml:space="preserve"> to point maximum power</w:t>
      </w:r>
      <w:r>
        <w:t>, using mechanical or fixed electrical tilts, to</w:t>
      </w:r>
      <w:r w:rsidRPr="00C1772D">
        <w:t xml:space="preserve"> below the horizon only</w:t>
      </w:r>
    </w:p>
    <w:p w14:paraId="4AB4CA21" w14:textId="77777777" w:rsidR="0070471B" w:rsidRPr="00C1772D" w:rsidRDefault="0070471B" w:rsidP="009B2D90">
      <w:pPr>
        <w:pStyle w:val="ListNumber2"/>
        <w:spacing w:after="240"/>
        <w:ind w:left="709" w:hanging="238"/>
      </w:pPr>
      <w:r>
        <w:t>grating lobes of antenna systems used for WBB services must be minimised as much as is practicable.</w:t>
      </w:r>
    </w:p>
    <w:p w14:paraId="14BB2A29" w14:textId="5A6A17F3" w:rsidR="0070471B" w:rsidRDefault="0070471B" w:rsidP="0070471B">
      <w:pPr>
        <w:spacing w:after="160" w:line="259" w:lineRule="auto"/>
      </w:pPr>
      <w:r>
        <w:t>Detailed information on these mitigations and the identified runways is in RALI MS47. The ACMA will remove the interim mitigations requirements after 31 March 2026.</w:t>
      </w:r>
    </w:p>
    <w:p w14:paraId="6B4D2D06" w14:textId="77777777" w:rsidR="0070471B" w:rsidRPr="00D659BF" w:rsidRDefault="0070471B" w:rsidP="0070471B">
      <w:pPr>
        <w:pStyle w:val="Heading4"/>
      </w:pPr>
      <w:r>
        <w:t>Other coordination requirements</w:t>
      </w:r>
    </w:p>
    <w:p w14:paraId="0AC53FFC" w14:textId="77777777" w:rsidR="0070471B" w:rsidRDefault="0070471B" w:rsidP="009B2D90">
      <w:pPr>
        <w:pStyle w:val="Paragraph"/>
      </w:pPr>
      <w:r>
        <w:t xml:space="preserve">RALI MS47 also outlines the coordination requirements that must be met before a transmitter will be included in the RRL. This includes coordination arrangements between stations operated under other AWLs, and between stations authorised by an AWL and other radiocommunications devices or services in and adjacent to the </w:t>
      </w:r>
      <w:r>
        <w:br/>
        <w:t xml:space="preserve">3.4–4.0 GHz band. Requirements detailed in other applicable RALIs and </w:t>
      </w:r>
      <w:hyperlink r:id="rId40">
        <w:r w:rsidRPr="2ECFDF89">
          <w:rPr>
            <w:rStyle w:val="Hyperlink"/>
          </w:rPr>
          <w:t>business operating procedures</w:t>
        </w:r>
      </w:hyperlink>
      <w:r>
        <w:t xml:space="preserve"> are also set out in RALI MS47. </w:t>
      </w:r>
    </w:p>
    <w:p w14:paraId="4C346350" w14:textId="77777777" w:rsidR="0070471B" w:rsidRPr="00F222F3" w:rsidRDefault="0070471B" w:rsidP="009B2D90">
      <w:pPr>
        <w:pStyle w:val="Paragraph"/>
      </w:pPr>
      <w:r>
        <w:t xml:space="preserve">Unless an exception applies, a transmitter must comply with the coordination requirements in RALI MS47 to be registered in the RRL. </w:t>
      </w:r>
    </w:p>
    <w:p w14:paraId="10D2D9D1" w14:textId="77777777" w:rsidR="0070471B" w:rsidRPr="00D659BF" w:rsidRDefault="0070471B" w:rsidP="0070471B">
      <w:pPr>
        <w:pStyle w:val="Heading4"/>
      </w:pPr>
      <w:r>
        <w:t>Incumbent services in the 3.4–4.0 GHz range in remote areas</w:t>
      </w:r>
    </w:p>
    <w:p w14:paraId="03FAF408" w14:textId="1D3D9635" w:rsidR="0070471B" w:rsidRDefault="0070471B" w:rsidP="0070471B">
      <w:pPr>
        <w:pStyle w:val="Paragraph"/>
        <w:ind w:left="11"/>
      </w:pPr>
      <w:r>
        <w:t>Incumbent PMP, PTP and earth receive services exist in remote areas. RALI MS47 includes elements related to coordination of AWLs with those incumbent service types.</w:t>
      </w:r>
    </w:p>
    <w:p w14:paraId="4D7086DC" w14:textId="77777777" w:rsidR="0070471B" w:rsidRDefault="0070471B" w:rsidP="0070471B">
      <w:pPr>
        <w:pStyle w:val="Paragraph"/>
        <w:ind w:left="11"/>
      </w:pPr>
      <w:r>
        <w:t xml:space="preserve">The ACMA will not generally issue any new PMP or Public Telecommunications Service licences in the 3.4–4.0 GHz range in remote areas. </w:t>
      </w:r>
    </w:p>
    <w:p w14:paraId="70F28959" w14:textId="77777777" w:rsidR="0070471B" w:rsidRDefault="0070471B" w:rsidP="0070471B">
      <w:pPr>
        <w:pStyle w:val="Paragraph"/>
        <w:ind w:left="11"/>
      </w:pPr>
      <w:r>
        <w:t>The ACMA will generally only issue new PTP licences above 3800 MHz in remote areas.</w:t>
      </w:r>
    </w:p>
    <w:p w14:paraId="238C1CF6" w14:textId="77777777" w:rsidR="0070471B" w:rsidRPr="00E2612C" w:rsidRDefault="0070471B" w:rsidP="0070471B">
      <w:pPr>
        <w:pStyle w:val="Paragraph"/>
        <w:ind w:left="11"/>
      </w:pPr>
      <w:r>
        <w:t>Earth receive use in remote areas is not authorised under AWLs and will continue to be licensed under earth receive apparatus licences.</w:t>
      </w:r>
    </w:p>
    <w:p w14:paraId="513FC622" w14:textId="77777777" w:rsidR="0070471B" w:rsidRDefault="0070471B" w:rsidP="0070471B">
      <w:pPr>
        <w:pStyle w:val="Paragraph"/>
        <w:ind w:left="11"/>
      </w:pPr>
      <w:r>
        <w:t>A summary of licensing arrangements in the 3.4–4.0 GHz band in remote Australia is in Table 2.</w:t>
      </w:r>
    </w:p>
    <w:p w14:paraId="16A0EC1B" w14:textId="71186FFA" w:rsidR="0070471B" w:rsidRDefault="0070471B" w:rsidP="0070471B">
      <w:pPr>
        <w:pStyle w:val="Paragraph"/>
        <w:ind w:left="11"/>
      </w:pPr>
      <w:r>
        <w:t xml:space="preserve">A range of other non-WBB technologies also use the 3.4–4.0 GHz band in </w:t>
      </w:r>
      <w:r w:rsidR="00A901A6">
        <w:br/>
      </w:r>
      <w:r>
        <w:t xml:space="preserve">remote Australia under specific conditions, including radiodetermination </w:t>
      </w:r>
      <w:r w:rsidR="00A901A6">
        <w:br/>
      </w:r>
      <w:r>
        <w:t xml:space="preserve">services. There will be an advisory note on AWLs noting potential interference from radiolocation systems operated by the Department of Defence in the 3.1–3.3 GHz </w:t>
      </w:r>
      <w:r w:rsidR="00A901A6">
        <w:br/>
      </w:r>
      <w:r>
        <w:t xml:space="preserve">and the 3.3–3.6 GHz bands. </w:t>
      </w:r>
    </w:p>
    <w:p w14:paraId="368E94E9" w14:textId="77777777" w:rsidR="0070471B" w:rsidRDefault="0070471B" w:rsidP="009B2D90">
      <w:pPr>
        <w:pStyle w:val="Tableheading"/>
        <w:keepLines/>
      </w:pPr>
      <w:r>
        <w:lastRenderedPageBreak/>
        <w:t>Summary of licensing arrangements in 3.4–4.0 GHz remote areas</w:t>
      </w:r>
    </w:p>
    <w:tbl>
      <w:tblPr>
        <w:tblStyle w:val="ACMAtablestyle"/>
        <w:tblW w:w="7366" w:type="dxa"/>
        <w:tblLook w:val="04A0" w:firstRow="1" w:lastRow="0" w:firstColumn="1" w:lastColumn="0" w:noHBand="0" w:noVBand="1"/>
      </w:tblPr>
      <w:tblGrid>
        <w:gridCol w:w="1841"/>
        <w:gridCol w:w="1842"/>
        <w:gridCol w:w="1841"/>
        <w:gridCol w:w="1842"/>
      </w:tblGrid>
      <w:tr w:rsidR="0070471B" w:rsidRPr="00590BD2" w14:paraId="0F091598" w14:textId="77777777" w:rsidTr="009B2D90">
        <w:trPr>
          <w:cnfStyle w:val="100000000000" w:firstRow="1" w:lastRow="0" w:firstColumn="0" w:lastColumn="0" w:oddVBand="0" w:evenVBand="0" w:oddHBand="0" w:evenHBand="0" w:firstRowFirstColumn="0" w:firstRowLastColumn="0" w:lastRowFirstColumn="0" w:lastRowLastColumn="0"/>
        </w:trPr>
        <w:tc>
          <w:tcPr>
            <w:tcW w:w="1841" w:type="dxa"/>
          </w:tcPr>
          <w:p w14:paraId="16F384F7" w14:textId="77777777" w:rsidR="0070471B" w:rsidRPr="00E14FE1" w:rsidRDefault="0070471B" w:rsidP="009B2D90">
            <w:pPr>
              <w:pStyle w:val="Paragraph"/>
              <w:keepNext/>
              <w:keepLines/>
              <w:spacing w:after="0"/>
              <w:rPr>
                <w:b/>
                <w:bCs/>
              </w:rPr>
            </w:pPr>
            <w:r w:rsidRPr="00E14FE1">
              <w:rPr>
                <w:b/>
                <w:bCs/>
              </w:rPr>
              <w:t>3400</w:t>
            </w:r>
            <w:r>
              <w:rPr>
                <w:b/>
                <w:bCs/>
              </w:rPr>
              <w:t>–</w:t>
            </w:r>
            <w:r w:rsidRPr="00E14FE1">
              <w:rPr>
                <w:b/>
                <w:bCs/>
              </w:rPr>
              <w:t>3575 MHz</w:t>
            </w:r>
          </w:p>
        </w:tc>
        <w:tc>
          <w:tcPr>
            <w:tcW w:w="1842" w:type="dxa"/>
          </w:tcPr>
          <w:p w14:paraId="1740B4CD" w14:textId="77777777" w:rsidR="0070471B" w:rsidRPr="00E14FE1" w:rsidRDefault="0070471B" w:rsidP="009B2D90">
            <w:pPr>
              <w:pStyle w:val="Paragraph"/>
              <w:keepNext/>
              <w:keepLines/>
              <w:spacing w:after="0"/>
              <w:rPr>
                <w:b/>
                <w:bCs/>
              </w:rPr>
            </w:pPr>
            <w:r w:rsidRPr="00E14FE1">
              <w:rPr>
                <w:b/>
                <w:bCs/>
              </w:rPr>
              <w:t>3575</w:t>
            </w:r>
            <w:r>
              <w:rPr>
                <w:b/>
                <w:bCs/>
              </w:rPr>
              <w:t>–</w:t>
            </w:r>
            <w:r w:rsidRPr="00E14FE1">
              <w:rPr>
                <w:b/>
                <w:bCs/>
              </w:rPr>
              <w:t>3700 MHz</w:t>
            </w:r>
          </w:p>
        </w:tc>
        <w:tc>
          <w:tcPr>
            <w:tcW w:w="1841" w:type="dxa"/>
          </w:tcPr>
          <w:p w14:paraId="2864D160" w14:textId="77777777" w:rsidR="0070471B" w:rsidRPr="00E14FE1" w:rsidRDefault="0070471B" w:rsidP="009B2D90">
            <w:pPr>
              <w:pStyle w:val="Paragraph"/>
              <w:keepNext/>
              <w:keepLines/>
              <w:spacing w:after="0"/>
              <w:rPr>
                <w:b/>
                <w:bCs/>
              </w:rPr>
            </w:pPr>
            <w:r w:rsidRPr="00E14FE1">
              <w:rPr>
                <w:b/>
                <w:bCs/>
              </w:rPr>
              <w:t>3700</w:t>
            </w:r>
            <w:r>
              <w:rPr>
                <w:b/>
                <w:bCs/>
              </w:rPr>
              <w:t>–</w:t>
            </w:r>
            <w:r w:rsidRPr="00E14FE1">
              <w:rPr>
                <w:b/>
                <w:bCs/>
              </w:rPr>
              <w:t>3800 MHz</w:t>
            </w:r>
          </w:p>
        </w:tc>
        <w:tc>
          <w:tcPr>
            <w:tcW w:w="1842" w:type="dxa"/>
          </w:tcPr>
          <w:p w14:paraId="3EC10C7E" w14:textId="77777777" w:rsidR="0070471B" w:rsidRPr="00E14FE1" w:rsidRDefault="0070471B" w:rsidP="009B2D90">
            <w:pPr>
              <w:pStyle w:val="Paragraph"/>
              <w:keepNext/>
              <w:keepLines/>
              <w:spacing w:after="0"/>
              <w:rPr>
                <w:b/>
                <w:bCs/>
              </w:rPr>
            </w:pPr>
            <w:r w:rsidRPr="00E14FE1">
              <w:rPr>
                <w:b/>
                <w:bCs/>
              </w:rPr>
              <w:t>3800</w:t>
            </w:r>
            <w:r>
              <w:rPr>
                <w:b/>
                <w:bCs/>
              </w:rPr>
              <w:t>–</w:t>
            </w:r>
            <w:r w:rsidRPr="00E14FE1">
              <w:rPr>
                <w:b/>
                <w:bCs/>
              </w:rPr>
              <w:t>4000 MHz</w:t>
            </w:r>
          </w:p>
        </w:tc>
      </w:tr>
      <w:tr w:rsidR="0070471B" w14:paraId="72605837" w14:textId="77777777" w:rsidTr="009B2D90">
        <w:trPr>
          <w:cnfStyle w:val="000000100000" w:firstRow="0" w:lastRow="0" w:firstColumn="0" w:lastColumn="0" w:oddVBand="0" w:evenVBand="0" w:oddHBand="1" w:evenHBand="0" w:firstRowFirstColumn="0" w:firstRowLastColumn="0" w:lastRowFirstColumn="0" w:lastRowLastColumn="0"/>
        </w:trPr>
        <w:tc>
          <w:tcPr>
            <w:tcW w:w="1841" w:type="dxa"/>
          </w:tcPr>
          <w:p w14:paraId="6A8E1732" w14:textId="77777777" w:rsidR="0070471B" w:rsidRDefault="0070471B" w:rsidP="009B2D90">
            <w:pPr>
              <w:pStyle w:val="Paragraph"/>
              <w:keepNext/>
              <w:keepLines/>
              <w:spacing w:after="120"/>
            </w:pPr>
            <w:r>
              <w:t>AWL</w:t>
            </w:r>
          </w:p>
          <w:p w14:paraId="681CD518" w14:textId="5EB82294" w:rsidR="0070471B" w:rsidRDefault="0070471B" w:rsidP="009B2D90">
            <w:pPr>
              <w:pStyle w:val="Paragraph"/>
              <w:keepNext/>
              <w:keepLines/>
              <w:spacing w:after="120"/>
            </w:pPr>
            <w:r>
              <w:t xml:space="preserve">Earth </w:t>
            </w:r>
            <w:proofErr w:type="gramStart"/>
            <w:r>
              <w:t>receive</w:t>
            </w:r>
            <w:proofErr w:type="gramEnd"/>
          </w:p>
          <w:p w14:paraId="3527E431" w14:textId="77777777" w:rsidR="0070471B" w:rsidRDefault="0070471B" w:rsidP="009B2D90">
            <w:pPr>
              <w:pStyle w:val="Paragraph"/>
              <w:keepNext/>
              <w:keepLines/>
              <w:spacing w:after="120"/>
            </w:pPr>
            <w:r>
              <w:t>Incumbent PMP</w:t>
            </w:r>
          </w:p>
          <w:p w14:paraId="566A09E9" w14:textId="77777777" w:rsidR="0070471B" w:rsidRDefault="0070471B" w:rsidP="009B2D90">
            <w:pPr>
              <w:pStyle w:val="Paragraph"/>
              <w:keepNext/>
              <w:keepLines/>
              <w:spacing w:after="0"/>
            </w:pPr>
            <w:r>
              <w:t>Amateur</w:t>
            </w:r>
          </w:p>
        </w:tc>
        <w:tc>
          <w:tcPr>
            <w:tcW w:w="1842" w:type="dxa"/>
          </w:tcPr>
          <w:p w14:paraId="3D0B0EE1" w14:textId="77777777" w:rsidR="0070471B" w:rsidRDefault="0070471B" w:rsidP="009B2D90">
            <w:pPr>
              <w:pStyle w:val="Paragraph"/>
              <w:keepNext/>
              <w:keepLines/>
              <w:spacing w:after="120"/>
            </w:pPr>
            <w:r>
              <w:t>AWL</w:t>
            </w:r>
          </w:p>
          <w:p w14:paraId="6C46A268" w14:textId="591371DD" w:rsidR="0070471B" w:rsidRDefault="0070471B" w:rsidP="009B2D90">
            <w:pPr>
              <w:pStyle w:val="Paragraph"/>
              <w:keepNext/>
              <w:keepLines/>
              <w:spacing w:after="120"/>
            </w:pPr>
            <w:r>
              <w:t xml:space="preserve">Earth </w:t>
            </w:r>
            <w:proofErr w:type="gramStart"/>
            <w:r>
              <w:t>receive</w:t>
            </w:r>
            <w:proofErr w:type="gramEnd"/>
          </w:p>
          <w:p w14:paraId="6CD1535C" w14:textId="77777777" w:rsidR="0070471B" w:rsidRDefault="0070471B" w:rsidP="009B2D90">
            <w:pPr>
              <w:pStyle w:val="Paragraph"/>
              <w:keepNext/>
              <w:keepLines/>
              <w:spacing w:after="120"/>
            </w:pPr>
            <w:r>
              <w:t>Incumbent PMP</w:t>
            </w:r>
          </w:p>
          <w:p w14:paraId="3577D9B2" w14:textId="77777777" w:rsidR="0070471B" w:rsidRDefault="0070471B" w:rsidP="009B2D90">
            <w:pPr>
              <w:pStyle w:val="Paragraph"/>
              <w:keepNext/>
              <w:keepLines/>
              <w:spacing w:after="0"/>
            </w:pPr>
            <w:r>
              <w:t xml:space="preserve">Incumbent PTP </w:t>
            </w:r>
          </w:p>
        </w:tc>
        <w:tc>
          <w:tcPr>
            <w:tcW w:w="1841" w:type="dxa"/>
          </w:tcPr>
          <w:p w14:paraId="51E76372" w14:textId="77777777" w:rsidR="0070471B" w:rsidRDefault="0070471B" w:rsidP="009B2D90">
            <w:pPr>
              <w:pStyle w:val="Paragraph"/>
              <w:keepNext/>
              <w:keepLines/>
              <w:spacing w:after="120"/>
            </w:pPr>
            <w:r>
              <w:t>AWL</w:t>
            </w:r>
          </w:p>
          <w:p w14:paraId="34DEE7D4" w14:textId="5A040CEA" w:rsidR="0070471B" w:rsidRDefault="0070471B" w:rsidP="009B2D90">
            <w:pPr>
              <w:pStyle w:val="Paragraph"/>
              <w:keepNext/>
              <w:keepLines/>
              <w:spacing w:after="120"/>
            </w:pPr>
            <w:r>
              <w:t xml:space="preserve">Earth </w:t>
            </w:r>
            <w:proofErr w:type="gramStart"/>
            <w:r>
              <w:t>receive</w:t>
            </w:r>
            <w:proofErr w:type="gramEnd"/>
          </w:p>
          <w:p w14:paraId="66707A91" w14:textId="77777777" w:rsidR="0070471B" w:rsidRDefault="0070471B" w:rsidP="009B2D90">
            <w:pPr>
              <w:pStyle w:val="Paragraph"/>
              <w:keepNext/>
              <w:keepLines/>
              <w:spacing w:after="0"/>
            </w:pPr>
            <w:r>
              <w:t xml:space="preserve">Incumbent PTP </w:t>
            </w:r>
          </w:p>
        </w:tc>
        <w:tc>
          <w:tcPr>
            <w:tcW w:w="1842" w:type="dxa"/>
          </w:tcPr>
          <w:p w14:paraId="041B029E" w14:textId="77777777" w:rsidR="0070471B" w:rsidRDefault="0070471B" w:rsidP="009B2D90">
            <w:pPr>
              <w:pStyle w:val="Paragraph"/>
              <w:keepNext/>
              <w:keepLines/>
              <w:spacing w:after="120"/>
            </w:pPr>
            <w:r>
              <w:t>AWL</w:t>
            </w:r>
          </w:p>
          <w:p w14:paraId="1B401721" w14:textId="687060D8" w:rsidR="0070471B" w:rsidRDefault="0070471B" w:rsidP="009B2D90">
            <w:pPr>
              <w:pStyle w:val="Paragraph"/>
              <w:keepNext/>
              <w:keepLines/>
              <w:spacing w:after="120"/>
            </w:pPr>
            <w:r>
              <w:t xml:space="preserve">Earth </w:t>
            </w:r>
            <w:proofErr w:type="gramStart"/>
            <w:r>
              <w:t>receive</w:t>
            </w:r>
            <w:proofErr w:type="gramEnd"/>
          </w:p>
          <w:p w14:paraId="04C41B84" w14:textId="77777777" w:rsidR="0070471B" w:rsidRDefault="0070471B" w:rsidP="009B2D90">
            <w:pPr>
              <w:pStyle w:val="Paragraph"/>
              <w:keepNext/>
              <w:keepLines/>
              <w:spacing w:after="0"/>
            </w:pPr>
            <w:r>
              <w:t>PTP</w:t>
            </w:r>
          </w:p>
        </w:tc>
      </w:tr>
    </w:tbl>
    <w:p w14:paraId="2B104F46" w14:textId="25B2516E" w:rsidR="0070471B" w:rsidRPr="00BF7B81" w:rsidRDefault="0070471B" w:rsidP="009B2D90">
      <w:pPr>
        <w:pStyle w:val="Tableorfigurenote"/>
      </w:pPr>
      <w:r w:rsidRPr="2ECFDF89">
        <w:t>AWL</w:t>
      </w:r>
      <w:r>
        <w:t>: a</w:t>
      </w:r>
      <w:r w:rsidRPr="2ECFDF89">
        <w:t>rea</w:t>
      </w:r>
      <w:r>
        <w:t>-</w:t>
      </w:r>
      <w:r w:rsidRPr="2ECFDF89">
        <w:t>wide licence, PMP</w:t>
      </w:r>
      <w:r>
        <w:t xml:space="preserve">: </w:t>
      </w:r>
      <w:r w:rsidRPr="2ECFDF89">
        <w:t>point</w:t>
      </w:r>
      <w:r>
        <w:t>-</w:t>
      </w:r>
      <w:r w:rsidRPr="2ECFDF89">
        <w:t>to</w:t>
      </w:r>
      <w:r>
        <w:t>-</w:t>
      </w:r>
      <w:r w:rsidRPr="2ECFDF89">
        <w:t>multipoint (fixed apparatus licence type</w:t>
      </w:r>
      <w:r>
        <w:t xml:space="preserve">), </w:t>
      </w:r>
      <w:r w:rsidRPr="2ECFDF89">
        <w:t>PTP</w:t>
      </w:r>
      <w:r>
        <w:t xml:space="preserve">: </w:t>
      </w:r>
      <w:r w:rsidRPr="2ECFDF89">
        <w:t>point</w:t>
      </w:r>
      <w:r>
        <w:t>-</w:t>
      </w:r>
      <w:r w:rsidRPr="2ECFDF89">
        <w:t>to</w:t>
      </w:r>
      <w:r>
        <w:t>-</w:t>
      </w:r>
      <w:r w:rsidRPr="2ECFDF89">
        <w:t xml:space="preserve">point (fixed apparatus licence type). </w:t>
      </w:r>
    </w:p>
    <w:p w14:paraId="2BBE04E0" w14:textId="77777777" w:rsidR="0070471B" w:rsidRDefault="0070471B" w:rsidP="0070471B">
      <w:pPr>
        <w:pStyle w:val="Heading2"/>
      </w:pPr>
      <w:bookmarkStart w:id="18" w:name="_Toc167200945"/>
      <w:bookmarkStart w:id="19" w:name="_Toc167435292"/>
      <w:r>
        <w:t>6. Licence tenure</w:t>
      </w:r>
      <w:bookmarkEnd w:id="18"/>
      <w:bookmarkEnd w:id="19"/>
    </w:p>
    <w:p w14:paraId="33CDD40D" w14:textId="77777777" w:rsidR="0070471B" w:rsidRPr="00426A1C" w:rsidRDefault="0070471B" w:rsidP="0070471B">
      <w:pPr>
        <w:pStyle w:val="Heading3"/>
        <w:spacing w:before="120"/>
      </w:pPr>
      <w:bookmarkStart w:id="20" w:name="_Licence_duration"/>
      <w:bookmarkStart w:id="21" w:name="_Toc167200946"/>
      <w:bookmarkStart w:id="22" w:name="_Toc167435293"/>
      <w:bookmarkEnd w:id="20"/>
      <w:r w:rsidRPr="004D17DD">
        <w:rPr>
          <w:u w:color="0000FF"/>
        </w:rPr>
        <w:t>Licence duration</w:t>
      </w:r>
      <w:bookmarkEnd w:id="21"/>
      <w:bookmarkEnd w:id="22"/>
    </w:p>
    <w:p w14:paraId="7A4CC5EB" w14:textId="6E6AAC6E" w:rsidR="0070471B" w:rsidRDefault="0070471B" w:rsidP="0070471B">
      <w:pPr>
        <w:pStyle w:val="Paragraph"/>
      </w:pPr>
      <w:r>
        <w:t xml:space="preserve">The </w:t>
      </w:r>
      <w:r>
        <w:rPr>
          <w:i/>
          <w:iCs/>
        </w:rPr>
        <w:t xml:space="preserve">Radiocommunications Act 1992 </w:t>
      </w:r>
      <w:r>
        <w:t xml:space="preserve">enables the ACMA to issue apparatus licences for up to 20 years. An overview of our approach to licence duration is outlined in the </w:t>
      </w:r>
      <w:hyperlink r:id="rId41" w:history="1">
        <w:r w:rsidRPr="00E14FE1">
          <w:rPr>
            <w:rStyle w:val="Hyperlink"/>
          </w:rPr>
          <w:t>licensing and allocation information paper</w:t>
        </w:r>
      </w:hyperlink>
      <w:r>
        <w:t xml:space="preserve">. This paper defines long-term licence duration (20 years), medium-term licence duration (up to 10 years) and short-term licence duration (up to one year). </w:t>
      </w:r>
    </w:p>
    <w:p w14:paraId="6E51C859" w14:textId="6782DFBC" w:rsidR="0070471B" w:rsidRDefault="0070471B" w:rsidP="0070471B">
      <w:pPr>
        <w:pStyle w:val="Paragraph"/>
      </w:pPr>
      <w:r w:rsidRPr="00846654">
        <w:t>AWLs in the 3.4–4.0 GHz band in remote areas best satisfy the stated criteria for medium</w:t>
      </w:r>
      <w:r>
        <w:t>-</w:t>
      </w:r>
      <w:r w:rsidRPr="00846654">
        <w:t>term licence duration, as a high number of users and mixed</w:t>
      </w:r>
      <w:r>
        <w:t xml:space="preserve"> </w:t>
      </w:r>
      <w:r w:rsidRPr="00846654">
        <w:t>use</w:t>
      </w:r>
      <w:r>
        <w:t>-</w:t>
      </w:r>
      <w:r w:rsidRPr="00846654">
        <w:t>cases is anticipated in the band.</w:t>
      </w:r>
      <w:r>
        <w:t xml:space="preserve"> </w:t>
      </w:r>
    </w:p>
    <w:p w14:paraId="527FE176" w14:textId="57E1F720" w:rsidR="0070471B" w:rsidRDefault="0070471B" w:rsidP="0070471B">
      <w:r>
        <w:t>As</w:t>
      </w:r>
      <w:r w:rsidRPr="00145F1C">
        <w:t xml:space="preserve"> potential replanning activity may occur </w:t>
      </w:r>
      <w:r>
        <w:t xml:space="preserve">when </w:t>
      </w:r>
      <w:r w:rsidRPr="00145F1C">
        <w:t>spectrum licences</w:t>
      </w:r>
      <w:r>
        <w:t xml:space="preserve"> expire</w:t>
      </w:r>
      <w:r w:rsidRPr="00145F1C">
        <w:t xml:space="preserve"> in </w:t>
      </w:r>
      <w:r>
        <w:t>the</w:t>
      </w:r>
      <w:r>
        <w:br/>
      </w:r>
      <w:r w:rsidRPr="00145F1C">
        <w:t xml:space="preserve">3.4 GHz and 3.6 GHz bands in 2030, the ACMA has decided </w:t>
      </w:r>
      <w:r>
        <w:t xml:space="preserve">generally to </w:t>
      </w:r>
      <w:r w:rsidRPr="004D7288">
        <w:t xml:space="preserve">limit the </w:t>
      </w:r>
      <w:r>
        <w:t>tenure of</w:t>
      </w:r>
      <w:r w:rsidRPr="004D7288">
        <w:t xml:space="preserve"> </w:t>
      </w:r>
      <w:r>
        <w:t xml:space="preserve">these </w:t>
      </w:r>
      <w:r w:rsidRPr="004D7288">
        <w:t xml:space="preserve">AWLs to </w:t>
      </w:r>
      <w:r>
        <w:t xml:space="preserve">13 </w:t>
      </w:r>
      <w:r w:rsidRPr="004D7288">
        <w:t>December 2030</w:t>
      </w:r>
      <w:r>
        <w:t xml:space="preserve"> to align with the expiry of spectrum licences within the band and </w:t>
      </w:r>
      <w:r w:rsidRPr="00453223">
        <w:t xml:space="preserve">provide greater </w:t>
      </w:r>
      <w:r>
        <w:t>flexibility</w:t>
      </w:r>
      <w:r w:rsidRPr="00453223">
        <w:t xml:space="preserve"> in</w:t>
      </w:r>
      <w:r>
        <w:t xml:space="preserve"> replanning activities affecting the band. Aligning the expiry of AWLs with the expiry of spectrum licences in the same band supports the efficient future allocation of spectrum. Where this policy is applied, t</w:t>
      </w:r>
      <w:r w:rsidRPr="004D7288">
        <w:t>his would limit the maximum duration of licences issued in 202</w:t>
      </w:r>
      <w:r>
        <w:t>3</w:t>
      </w:r>
      <w:r w:rsidRPr="004D7288">
        <w:t xml:space="preserve"> to </w:t>
      </w:r>
      <w:r>
        <w:t xml:space="preserve">approximately </w:t>
      </w:r>
      <w:r>
        <w:br/>
        <w:t>7</w:t>
      </w:r>
      <w:r w:rsidRPr="004D7288">
        <w:t xml:space="preserve"> years</w:t>
      </w:r>
      <w:r>
        <w:t>. Applicants have the option to specify a different licence period in the application form.</w:t>
      </w:r>
    </w:p>
    <w:p w14:paraId="0EF951B3" w14:textId="77777777" w:rsidR="0070471B" w:rsidRPr="00C522B3" w:rsidRDefault="0070471B" w:rsidP="0070471B">
      <w:pPr>
        <w:pStyle w:val="Heading3"/>
        <w:rPr>
          <w:b w:val="0"/>
          <w:bCs w:val="0"/>
        </w:rPr>
      </w:pPr>
      <w:bookmarkStart w:id="23" w:name="_Licence_renewal"/>
      <w:bookmarkStart w:id="24" w:name="_Toc167200947"/>
      <w:bookmarkStart w:id="25" w:name="_Toc167435294"/>
      <w:bookmarkEnd w:id="23"/>
      <w:r>
        <w:t>Licence r</w:t>
      </w:r>
      <w:r w:rsidRPr="00C522B3">
        <w:t>enewal</w:t>
      </w:r>
      <w:bookmarkEnd w:id="24"/>
      <w:bookmarkEnd w:id="25"/>
    </w:p>
    <w:p w14:paraId="0DBFEDBD" w14:textId="6A23F13B" w:rsidR="0070471B" w:rsidRDefault="0070471B" w:rsidP="0070471B">
      <w:pPr>
        <w:pStyle w:val="Paragraph"/>
      </w:pPr>
      <w:r w:rsidRPr="00982124">
        <w:t xml:space="preserve">The </w:t>
      </w:r>
      <w:r>
        <w:t xml:space="preserve">Radiocommunications </w:t>
      </w:r>
      <w:r w:rsidRPr="00982124">
        <w:t xml:space="preserve">Act also </w:t>
      </w:r>
      <w:r>
        <w:t>includes</w:t>
      </w:r>
      <w:r w:rsidRPr="00982124">
        <w:t xml:space="preserve"> processes </w:t>
      </w:r>
      <w:r>
        <w:t xml:space="preserve">for </w:t>
      </w:r>
      <w:r w:rsidRPr="00982124">
        <w:t>the renewal of apparatus licences</w:t>
      </w:r>
      <w:r>
        <w:t>, or the inclusion of public interest statements on licences. The ACMA does not propose to include renewal statements or public interest statements on AWLs in the 3.4–4.0 GHz</w:t>
      </w:r>
      <w:r w:rsidRPr="00A028B0">
        <w:t xml:space="preserve"> </w:t>
      </w:r>
      <w:r>
        <w:t xml:space="preserve">band in remote areas. </w:t>
      </w:r>
    </w:p>
    <w:p w14:paraId="1710177F" w14:textId="5530CD38" w:rsidR="0070471B" w:rsidRDefault="0070471B" w:rsidP="0070471B">
      <w:pPr>
        <w:pStyle w:val="Paragraph"/>
      </w:pPr>
      <w:r>
        <w:rPr>
          <w:rStyle w:val="charsectno"/>
        </w:rPr>
        <w:t xml:space="preserve">The extent of demand for AWLs in the band remains uncertain </w:t>
      </w:r>
      <w:proofErr w:type="gramStart"/>
      <w:r>
        <w:rPr>
          <w:rStyle w:val="charsectno"/>
        </w:rPr>
        <w:t>at this time</w:t>
      </w:r>
      <w:proofErr w:type="gramEnd"/>
      <w:r>
        <w:rPr>
          <w:rStyle w:val="charsectno"/>
        </w:rPr>
        <w:t>,</w:t>
      </w:r>
      <w:r w:rsidRPr="0B8AD955">
        <w:rPr>
          <w:rStyle w:val="charsectno"/>
        </w:rPr>
        <w:t xml:space="preserve"> reflecting the early </w:t>
      </w:r>
      <w:r w:rsidRPr="04B71916">
        <w:rPr>
          <w:rStyle w:val="charsectno"/>
        </w:rPr>
        <w:t xml:space="preserve">development of business cases for </w:t>
      </w:r>
      <w:r w:rsidRPr="3D8193EB">
        <w:rPr>
          <w:rStyle w:val="charsectno"/>
        </w:rPr>
        <w:t>service deployment.</w:t>
      </w:r>
      <w:r>
        <w:rPr>
          <w:rStyle w:val="charsectno"/>
        </w:rPr>
        <w:t xml:space="preserve"> </w:t>
      </w:r>
      <w:r w:rsidRPr="3D8193EB">
        <w:rPr>
          <w:rStyle w:val="charsectno"/>
        </w:rPr>
        <w:t>To</w:t>
      </w:r>
      <w:r w:rsidRPr="62CB9572">
        <w:rPr>
          <w:rStyle w:val="charsectno"/>
        </w:rPr>
        <w:t xml:space="preserve"> address the risk that </w:t>
      </w:r>
      <w:r w:rsidRPr="0599A6B2">
        <w:rPr>
          <w:rStyle w:val="charsectno"/>
        </w:rPr>
        <w:t xml:space="preserve">initial licence allocations may not </w:t>
      </w:r>
      <w:r w:rsidRPr="2B4A24A6">
        <w:rPr>
          <w:rStyle w:val="charsectno"/>
        </w:rPr>
        <w:t>ultimately be used as planned</w:t>
      </w:r>
      <w:r>
        <w:rPr>
          <w:rStyle w:val="charsectno"/>
        </w:rPr>
        <w:t>,</w:t>
      </w:r>
      <w:r w:rsidRPr="1FB8CC3A">
        <w:rPr>
          <w:rStyle w:val="charsectno"/>
        </w:rPr>
        <w:t xml:space="preserve"> and the </w:t>
      </w:r>
      <w:r w:rsidRPr="1B3BF89E">
        <w:rPr>
          <w:rStyle w:val="charsectno"/>
        </w:rPr>
        <w:t xml:space="preserve">potential that licence holders may not have adequate </w:t>
      </w:r>
      <w:r w:rsidRPr="593C6F30">
        <w:rPr>
          <w:rStyle w:val="charsectno"/>
        </w:rPr>
        <w:t xml:space="preserve">incentive to return unused licences or </w:t>
      </w:r>
      <w:r w:rsidRPr="5ECBBCC7">
        <w:rPr>
          <w:rStyle w:val="charsectno"/>
        </w:rPr>
        <w:t xml:space="preserve">unused portions of licences to the </w:t>
      </w:r>
      <w:r w:rsidRPr="0A1BD3A5">
        <w:rPr>
          <w:rStyle w:val="charsectno"/>
        </w:rPr>
        <w:t>market</w:t>
      </w:r>
      <w:r>
        <w:rPr>
          <w:rStyle w:val="charsectno"/>
        </w:rPr>
        <w:t xml:space="preserve">, </w:t>
      </w:r>
      <w:r w:rsidRPr="002E2C20">
        <w:rPr>
          <w:rStyle w:val="charsectno"/>
        </w:rPr>
        <w:t>we intend to place an advisory note on each AWL. This will outline that the ACMA,</w:t>
      </w:r>
      <w:r>
        <w:rPr>
          <w:rStyle w:val="charsectno"/>
        </w:rPr>
        <w:t xml:space="preserve"> when deciding whether to </w:t>
      </w:r>
      <w:r w:rsidRPr="00422921">
        <w:rPr>
          <w:rStyle w:val="charsectno"/>
        </w:rPr>
        <w:t>renew</w:t>
      </w:r>
      <w:r>
        <w:rPr>
          <w:rStyle w:val="charsectno"/>
        </w:rPr>
        <w:t xml:space="preserve"> a</w:t>
      </w:r>
      <w:r w:rsidRPr="00422921">
        <w:rPr>
          <w:rStyle w:val="charsectno"/>
        </w:rPr>
        <w:t xml:space="preserve"> </w:t>
      </w:r>
      <w:r>
        <w:rPr>
          <w:rStyle w:val="charsectno"/>
        </w:rPr>
        <w:t>licence,</w:t>
      </w:r>
      <w:r w:rsidRPr="00422921">
        <w:rPr>
          <w:rStyle w:val="charsectno"/>
        </w:rPr>
        <w:t xml:space="preserve"> </w:t>
      </w:r>
      <w:r>
        <w:rPr>
          <w:rStyle w:val="charsectno"/>
        </w:rPr>
        <w:t xml:space="preserve">may consider </w:t>
      </w:r>
      <w:r w:rsidRPr="00C811D8">
        <w:rPr>
          <w:rStyle w:val="charsectno"/>
        </w:rPr>
        <w:t>whether</w:t>
      </w:r>
      <w:r>
        <w:rPr>
          <w:rStyle w:val="charsectno"/>
        </w:rPr>
        <w:t xml:space="preserve"> </w:t>
      </w:r>
      <w:r w:rsidRPr="00C811D8">
        <w:rPr>
          <w:rStyle w:val="charsectno"/>
        </w:rPr>
        <w:t>the spectrum has been used</w:t>
      </w:r>
      <w:r>
        <w:rPr>
          <w:rStyle w:val="charsectno"/>
        </w:rPr>
        <w:t xml:space="preserve"> and if </w:t>
      </w:r>
      <w:r w:rsidRPr="00A028B0">
        <w:t xml:space="preserve">there is unmet demand </w:t>
      </w:r>
      <w:r>
        <w:t xml:space="preserve">for licences </w:t>
      </w:r>
      <w:r w:rsidRPr="00A028B0">
        <w:t xml:space="preserve">in the </w:t>
      </w:r>
      <w:r>
        <w:t>3.4–4.0 GHz</w:t>
      </w:r>
      <w:r w:rsidRPr="00A028B0">
        <w:t xml:space="preserve"> band</w:t>
      </w:r>
      <w:r>
        <w:t xml:space="preserve"> in remote areas. This approach supports the efficient use of spectrum, digital </w:t>
      </w:r>
      <w:proofErr w:type="gramStart"/>
      <w:r>
        <w:t>connectivity</w:t>
      </w:r>
      <w:proofErr w:type="gramEnd"/>
      <w:r>
        <w:t xml:space="preserve"> and investment in regional Australia. </w:t>
      </w:r>
    </w:p>
    <w:p w14:paraId="5F622094" w14:textId="77777777" w:rsidR="0070471B" w:rsidRPr="001D7E51" w:rsidRDefault="0070471B" w:rsidP="0070471B">
      <w:pPr>
        <w:pStyle w:val="Paragraph"/>
      </w:pPr>
      <w:r>
        <w:rPr>
          <w:rStyle w:val="charsectno"/>
        </w:rPr>
        <w:t xml:space="preserve">We </w:t>
      </w:r>
      <w:r w:rsidRPr="3D33F545">
        <w:rPr>
          <w:rStyle w:val="charsectno"/>
        </w:rPr>
        <w:t>may decide not to renew a licence, or to renew the licence with different conditions (including a reduced quantum of spectrum or different geographic areas).</w:t>
      </w:r>
      <w:r>
        <w:t xml:space="preserve"> </w:t>
      </w:r>
      <w:r w:rsidRPr="00F531D5">
        <w:t>The ACMA will generally not renew a</w:t>
      </w:r>
      <w:r>
        <w:t>n AWL in the 3.4–4.0 GHz</w:t>
      </w:r>
      <w:r w:rsidRPr="00A028B0">
        <w:t xml:space="preserve"> band</w:t>
      </w:r>
      <w:r>
        <w:t xml:space="preserve"> in remote areas </w:t>
      </w:r>
      <w:r w:rsidRPr="00F531D5">
        <w:t xml:space="preserve">for any period that would take the licence term beyond </w:t>
      </w:r>
      <w:r>
        <w:t xml:space="preserve">13 December </w:t>
      </w:r>
      <w:r w:rsidRPr="00F531D5">
        <w:t xml:space="preserve">2030. This policy will </w:t>
      </w:r>
      <w:r w:rsidRPr="00F531D5">
        <w:lastRenderedPageBreak/>
        <w:t xml:space="preserve">apply until plans regarding defragmentation </w:t>
      </w:r>
      <w:r>
        <w:t xml:space="preserve">of the band </w:t>
      </w:r>
      <w:r w:rsidRPr="00F531D5">
        <w:t xml:space="preserve">and </w:t>
      </w:r>
      <w:r>
        <w:t xml:space="preserve">its </w:t>
      </w:r>
      <w:r w:rsidRPr="00F531D5">
        <w:t xml:space="preserve">potential impact on </w:t>
      </w:r>
      <w:r>
        <w:t>AWLs</w:t>
      </w:r>
      <w:r w:rsidRPr="00F531D5">
        <w:t xml:space="preserve"> are known.</w:t>
      </w:r>
    </w:p>
    <w:p w14:paraId="5288A581" w14:textId="453B6045" w:rsidR="0070471B" w:rsidRDefault="0070471B" w:rsidP="0070471B">
      <w:pPr>
        <w:pStyle w:val="Paragraph"/>
      </w:pPr>
      <w:r>
        <w:t xml:space="preserve">If we consider that unmet demand in the bands will require a consideration of spectrum use at renewal, we will inform licensees of this at least 6 months before the expiry date of the AWL. </w:t>
      </w:r>
    </w:p>
    <w:p w14:paraId="5F423A9A" w14:textId="668742C8" w:rsidR="0070471B" w:rsidRDefault="0070471B" w:rsidP="0070471B">
      <w:pPr>
        <w:pStyle w:val="Paragraphbeforelist"/>
        <w:spacing w:after="240"/>
      </w:pPr>
      <w:r>
        <w:t xml:space="preserve">We may also renew an AWL with different conditions and renewal statements, including in relation to </w:t>
      </w:r>
      <w:r w:rsidRPr="000C5CEC">
        <w:t>re-planning decisions</w:t>
      </w:r>
      <w:r>
        <w:t xml:space="preserve"> or </w:t>
      </w:r>
      <w:r w:rsidRPr="00927782">
        <w:t>for other reasons</w:t>
      </w:r>
      <w:r>
        <w:t xml:space="preserve">. More information about </w:t>
      </w:r>
      <w:hyperlink r:id="rId42" w:history="1">
        <w:r w:rsidRPr="00E14FE1">
          <w:rPr>
            <w:rStyle w:val="Hyperlink"/>
          </w:rPr>
          <w:t>apparatus licence renewal</w:t>
        </w:r>
      </w:hyperlink>
      <w:r>
        <w:t xml:space="preserve"> is available on the ACMA website.</w:t>
      </w:r>
    </w:p>
    <w:p w14:paraId="0ACEFFA3" w14:textId="77777777" w:rsidR="0070471B" w:rsidRPr="00D326B8" w:rsidRDefault="0070471B" w:rsidP="0070471B">
      <w:r>
        <w:t xml:space="preserve">Because a renewal statement is not included, </w:t>
      </w:r>
      <w:r w:rsidRPr="00D326B8">
        <w:t>the default renewal application and decision-making periods</w:t>
      </w:r>
      <w:r>
        <w:t xml:space="preserve"> applicable to apparatus licences will apply. The d</w:t>
      </w:r>
      <w:r w:rsidRPr="00D326B8">
        <w:t>efault renewal application period for apparatus licences begins 6 months from expiry and ends 60 days after the licence expires</w:t>
      </w:r>
      <w:r>
        <w:t xml:space="preserve">. The decision-making period is </w:t>
      </w:r>
      <w:r w:rsidRPr="00D326B8">
        <w:t>90 day</w:t>
      </w:r>
      <w:r>
        <w:t>s.</w:t>
      </w:r>
    </w:p>
    <w:p w14:paraId="4231D3F3" w14:textId="7161D7CD" w:rsidR="0070471B" w:rsidRPr="007B5D0D" w:rsidRDefault="0070471B" w:rsidP="0070471B">
      <w:pPr>
        <w:pStyle w:val="Paragraph"/>
      </w:pPr>
      <w:r>
        <w:t>The ACMA</w:t>
      </w:r>
      <w:r w:rsidRPr="000B2F58">
        <w:t xml:space="preserve"> will review the tenure policy </w:t>
      </w:r>
      <w:r>
        <w:t>for AWLs in the 3.4–4.0 GHz</w:t>
      </w:r>
      <w:r w:rsidRPr="00A028B0">
        <w:t xml:space="preserve"> band</w:t>
      </w:r>
      <w:r>
        <w:t xml:space="preserve"> in remote areas </w:t>
      </w:r>
      <w:proofErr w:type="gramStart"/>
      <w:r>
        <w:t>taking into account</w:t>
      </w:r>
      <w:proofErr w:type="gramEnd"/>
      <w:r>
        <w:t xml:space="preserve"> the</w:t>
      </w:r>
      <w:r w:rsidRPr="000B2F58">
        <w:t xml:space="preserve"> expiring 3.4 GHz </w:t>
      </w:r>
      <w:r>
        <w:t xml:space="preserve">band </w:t>
      </w:r>
      <w:r w:rsidRPr="000B2F58">
        <w:t>spectrum licences</w:t>
      </w:r>
      <w:r>
        <w:t xml:space="preserve">. On 23 May 2023, we opened a consultation on our </w:t>
      </w:r>
      <w:hyperlink r:id="rId43" w:history="1">
        <w:r>
          <w:rPr>
            <w:rStyle w:val="Hyperlink"/>
          </w:rPr>
          <w:t>proposed approach to expiring spectrum licences</w:t>
        </w:r>
      </w:hyperlink>
      <w:r>
        <w:t>, including the process</w:t>
      </w:r>
      <w:r w:rsidRPr="00C46D43">
        <w:t>.</w:t>
      </w:r>
      <w:r>
        <w:t xml:space="preserve"> </w:t>
      </w:r>
    </w:p>
    <w:p w14:paraId="0C9CF2EA" w14:textId="77777777" w:rsidR="0070471B" w:rsidRDefault="0070471B" w:rsidP="0070471B">
      <w:pPr>
        <w:pStyle w:val="Heading2"/>
      </w:pPr>
      <w:bookmarkStart w:id="26" w:name="_Toc167200948"/>
      <w:bookmarkStart w:id="27" w:name="_Toc167435295"/>
      <w:r>
        <w:t>7. Pricing</w:t>
      </w:r>
      <w:bookmarkEnd w:id="26"/>
      <w:bookmarkEnd w:id="27"/>
    </w:p>
    <w:p w14:paraId="7C1FA21E" w14:textId="77777777" w:rsidR="0070471B" w:rsidRDefault="0070471B" w:rsidP="0070471B">
      <w:pPr>
        <w:pStyle w:val="Paragraphbeforelist"/>
      </w:pPr>
      <w:r>
        <w:t xml:space="preserve">There are 2 </w:t>
      </w:r>
      <w:r w:rsidRPr="003C667D">
        <w:t>types</w:t>
      </w:r>
      <w:r>
        <w:t xml:space="preserve"> of fees applicable to apparatus licences:</w:t>
      </w:r>
    </w:p>
    <w:p w14:paraId="649B520E" w14:textId="2CCBAD6E" w:rsidR="0070471B" w:rsidRDefault="0070471B" w:rsidP="0070471B">
      <w:pPr>
        <w:pStyle w:val="Bulletlevel1"/>
      </w:pPr>
      <w:r>
        <w:t xml:space="preserve">annual apparatus licence taxes, which are calculated to recover the indirect costs of spectrum management and provide incentives for efficient spectrum use. Indirect costs are those that cannot be directly attributed to individual licensees </w:t>
      </w:r>
    </w:p>
    <w:p w14:paraId="35A7D85A" w14:textId="77777777" w:rsidR="0070471B" w:rsidRPr="006838C6" w:rsidRDefault="0070471B" w:rsidP="0070471B">
      <w:pPr>
        <w:pStyle w:val="Bulletlevel1last"/>
      </w:pPr>
      <w:r>
        <w:t>charges to recover the direct costs of issuing the licences.</w:t>
      </w:r>
    </w:p>
    <w:p w14:paraId="0323B271" w14:textId="77777777" w:rsidR="0070471B" w:rsidRPr="00237620" w:rsidRDefault="0070471B" w:rsidP="0070471B">
      <w:pPr>
        <w:pStyle w:val="Heading3"/>
        <w:spacing w:before="120"/>
      </w:pPr>
      <w:bookmarkStart w:id="28" w:name="_Toc167200949"/>
      <w:bookmarkStart w:id="29" w:name="_Toc167435296"/>
      <w:r>
        <w:t>Annual apparatus licence tax</w:t>
      </w:r>
      <w:bookmarkEnd w:id="28"/>
      <w:bookmarkEnd w:id="29"/>
    </w:p>
    <w:p w14:paraId="0B813FF1" w14:textId="77777777" w:rsidR="0070471B" w:rsidRDefault="0070471B" w:rsidP="0070471B">
      <w:pPr>
        <w:pStyle w:val="Paragraph"/>
      </w:pPr>
      <w:r>
        <w:t>A</w:t>
      </w:r>
      <w:r w:rsidRPr="00FC1F78">
        <w:t xml:space="preserve"> tax </w:t>
      </w:r>
      <w:r>
        <w:t>rate</w:t>
      </w:r>
      <w:r w:rsidRPr="00FC1F78">
        <w:t xml:space="preserve"> of $</w:t>
      </w:r>
      <w:r w:rsidRPr="00AA4357">
        <w:t>0.0041</w:t>
      </w:r>
      <w:r w:rsidRPr="00FC1F78">
        <w:t xml:space="preserve">/MHz/pop </w:t>
      </w:r>
      <w:r>
        <w:t>applies to</w:t>
      </w:r>
      <w:r w:rsidRPr="00FC1F78">
        <w:t xml:space="preserve"> </w:t>
      </w:r>
      <w:r>
        <w:t xml:space="preserve">AWLs in </w:t>
      </w:r>
      <w:r w:rsidRPr="00FC1F78">
        <w:t xml:space="preserve">the </w:t>
      </w:r>
      <w:r>
        <w:t xml:space="preserve">3.4–4.0 GHz </w:t>
      </w:r>
      <w:r w:rsidRPr="00FC1F78">
        <w:t>band</w:t>
      </w:r>
      <w:r>
        <w:t xml:space="preserve"> in remote Australia.</w:t>
      </w:r>
    </w:p>
    <w:p w14:paraId="787EBE71" w14:textId="77777777" w:rsidR="0070471B" w:rsidRDefault="0070471B" w:rsidP="0070471B">
      <w:pPr>
        <w:pStyle w:val="Paragraphbeforelist"/>
      </w:pPr>
      <w:r>
        <w:t>Total annual licence tax is calculated as follows:</w:t>
      </w:r>
    </w:p>
    <w:p w14:paraId="315CE73C" w14:textId="77777777" w:rsidR="0070471B" w:rsidRDefault="0070471B" w:rsidP="0070471B">
      <w:pPr>
        <w:pStyle w:val="Paragraphbeforelist"/>
        <w:spacing w:before="120" w:after="240"/>
        <w:ind w:left="426"/>
        <w:rPr>
          <w:rStyle w:val="SubtleEmphasis"/>
          <w:rFonts w:cs="Times New Roman"/>
        </w:rPr>
      </w:pPr>
      <w:r w:rsidRPr="00601B62">
        <w:t>AWL tax = $/MHz/pop price</w:t>
      </w:r>
      <w:r w:rsidRPr="00D51509">
        <w:t xml:space="preserve"> </w:t>
      </w:r>
      <w:r w:rsidRPr="00F743AC">
        <w:rPr>
          <w:iCs/>
        </w:rPr>
        <w:t>×</w:t>
      </w:r>
      <w:r>
        <w:rPr>
          <w:iCs/>
        </w:rPr>
        <w:t xml:space="preserve"> </w:t>
      </w:r>
      <w:r w:rsidRPr="00601B62">
        <w:t>bandwidth (MHz)</w:t>
      </w:r>
      <w:r w:rsidRPr="00D51509">
        <w:t xml:space="preserve"> </w:t>
      </w:r>
      <w:r w:rsidRPr="00F743AC">
        <w:rPr>
          <w:iCs/>
        </w:rPr>
        <w:t>×</w:t>
      </w:r>
      <w:r>
        <w:rPr>
          <w:iCs/>
        </w:rPr>
        <w:t xml:space="preserve"> </w:t>
      </w:r>
      <w:r w:rsidRPr="00601B62">
        <w:t>population of geographic area</w:t>
      </w:r>
      <w:r w:rsidRPr="00D51509">
        <w:t xml:space="preserve"> </w:t>
      </w:r>
    </w:p>
    <w:p w14:paraId="541FAC9B" w14:textId="77777777" w:rsidR="0070471B" w:rsidRDefault="0070471B" w:rsidP="0070471B">
      <w:pPr>
        <w:pStyle w:val="Paragraphbeforelist"/>
        <w:spacing w:before="120"/>
      </w:pPr>
      <w:r>
        <w:t>w</w:t>
      </w:r>
      <w:r w:rsidRPr="00D954AE">
        <w:t>here:</w:t>
      </w:r>
      <w:r w:rsidRPr="00DD5AC7">
        <w:t xml:space="preserve"> </w:t>
      </w:r>
    </w:p>
    <w:p w14:paraId="5E2D9EE8" w14:textId="77777777" w:rsidR="0070471B" w:rsidRDefault="0070471B" w:rsidP="0070471B">
      <w:pPr>
        <w:pStyle w:val="Bulletlevel1"/>
        <w:rPr>
          <w:rFonts w:eastAsia="Arial"/>
          <w:szCs w:val="20"/>
        </w:rPr>
      </w:pPr>
      <w:r>
        <w:t xml:space="preserve">‘$/MHz/pop’ price is the tax rate for one MHz of spectrum per head of population </w:t>
      </w:r>
    </w:p>
    <w:p w14:paraId="17361A01" w14:textId="77777777" w:rsidR="0070471B" w:rsidRDefault="0070471B" w:rsidP="0070471B">
      <w:pPr>
        <w:pStyle w:val="Bulletlevel1"/>
      </w:pPr>
      <w:r>
        <w:t xml:space="preserve">‘bandwidth’ is the total amount of spectrum in MHz authorised by the licence </w:t>
      </w:r>
    </w:p>
    <w:p w14:paraId="1190452C" w14:textId="77777777" w:rsidR="0070471B" w:rsidRDefault="0070471B" w:rsidP="0070471B">
      <w:pPr>
        <w:pStyle w:val="Bulletlevel1last"/>
      </w:pPr>
      <w:r>
        <w:t xml:space="preserve">‘population’ (based on the 2021 Census) is the population of the geographic </w:t>
      </w:r>
      <w:r>
        <w:br/>
        <w:t xml:space="preserve">area authorised by the licence. The area will be defined by HCIS identifiers in </w:t>
      </w:r>
      <w:r>
        <w:br/>
        <w:t xml:space="preserve">the ASMG. </w:t>
      </w:r>
    </w:p>
    <w:p w14:paraId="66BA7449" w14:textId="05BDDE97" w:rsidR="0070471B" w:rsidRPr="008E51F8" w:rsidRDefault="0070471B" w:rsidP="0070471B">
      <w:pPr>
        <w:pStyle w:val="Paragraph"/>
      </w:pPr>
      <w:r w:rsidRPr="008E51F8">
        <w:t xml:space="preserve">The population is based on the aggregate population of all the geographic cells </w:t>
      </w:r>
      <w:r>
        <w:t>in which the AWL authorises operation of radiocommunications transmitters</w:t>
      </w:r>
      <w:r w:rsidRPr="008E51F8">
        <w:t xml:space="preserve">. The effective population of a single HCIS 0 cell (the minimum cell size, which will be referred to as a single ‘AWL cell’) for tax calculations will be determined by taking the average population of all HCIS 0 cells in the broader HCIS 1 cell that the </w:t>
      </w:r>
      <w:proofErr w:type="gramStart"/>
      <w:r w:rsidRPr="008E51F8">
        <w:t>particular HCIS</w:t>
      </w:r>
      <w:proofErr w:type="gramEnd"/>
      <w:r w:rsidRPr="008E51F8">
        <w:t xml:space="preserve"> 0 cell is located within. There are 25 HCIS 0 cells within one HCIS 1 cell.</w:t>
      </w:r>
      <w:r>
        <w:t xml:space="preserve"> </w:t>
      </w:r>
      <w:r w:rsidR="00A901A6">
        <w:br/>
      </w:r>
      <w:r>
        <w:t xml:space="preserve">The population of the HCIS level 1 cells are set out in a document published on </w:t>
      </w:r>
      <w:r w:rsidR="00A901A6">
        <w:br/>
      </w:r>
      <w:r>
        <w:t xml:space="preserve">the </w:t>
      </w:r>
      <w:hyperlink r:id="rId44" w:history="1">
        <w:r w:rsidRPr="00E14FE1">
          <w:rPr>
            <w:rStyle w:val="Hyperlink"/>
          </w:rPr>
          <w:t>ACMA website</w:t>
        </w:r>
      </w:hyperlink>
      <w:r>
        <w:t>.</w:t>
      </w:r>
    </w:p>
    <w:p w14:paraId="1A0C036B" w14:textId="1CC912B4" w:rsidR="0070471B" w:rsidRDefault="0070471B" w:rsidP="0070471B">
      <w:pPr>
        <w:pStyle w:val="Paragraph"/>
      </w:pPr>
      <w:r>
        <w:lastRenderedPageBreak/>
        <w:t>A</w:t>
      </w:r>
      <w:r w:rsidRPr="008E51F8">
        <w:t xml:space="preserve"> minimum tax </w:t>
      </w:r>
      <w:r>
        <w:t>amount</w:t>
      </w:r>
      <w:r w:rsidRPr="008E51F8">
        <w:t xml:space="preserve"> </w:t>
      </w:r>
      <w:r>
        <w:t>applies for AWLs</w:t>
      </w:r>
      <w:r w:rsidRPr="008E51F8">
        <w:t xml:space="preserve"> (currently $41.</w:t>
      </w:r>
      <w:r w:rsidR="00BA64E5">
        <w:t>86</w:t>
      </w:r>
      <w:r w:rsidRPr="008E51F8">
        <w:t xml:space="preserve">). </w:t>
      </w:r>
      <w:r>
        <w:t>If</w:t>
      </w:r>
      <w:r w:rsidRPr="008E51F8">
        <w:t xml:space="preserve"> the tax </w:t>
      </w:r>
      <w:r>
        <w:t>calculated</w:t>
      </w:r>
      <w:r w:rsidRPr="008E51F8">
        <w:t xml:space="preserve"> using the method outlined above is less the minimum annual tax, the tax will be the minimum annual tax. Total taxes are rounded to the nearest dollar.</w:t>
      </w:r>
    </w:p>
    <w:p w14:paraId="59EBCCC0" w14:textId="77777777" w:rsidR="0070471B" w:rsidRPr="005351E4" w:rsidRDefault="0070471B" w:rsidP="0070471B">
      <w:pPr>
        <w:pStyle w:val="Heading4"/>
      </w:pPr>
      <w:bookmarkStart w:id="30" w:name="_Toc89092140"/>
      <w:r w:rsidRPr="005351E4">
        <w:t>Examples of taxes</w:t>
      </w:r>
      <w:bookmarkEnd w:id="30"/>
    </w:p>
    <w:p w14:paraId="461ADA62" w14:textId="77777777" w:rsidR="0070471B" w:rsidRDefault="0070471B" w:rsidP="0070471B">
      <w:pPr>
        <w:pStyle w:val="Paragraph"/>
      </w:pPr>
      <w:r>
        <w:t xml:space="preserve">To assist applicants, the following examples are provided using 3 location examples, based on 20 MHz of bandwidth and 4 different geographic areas (one AWL cell, </w:t>
      </w:r>
      <w:r>
        <w:br/>
        <w:t xml:space="preserve">4 AWL cells, one HCIS 1 block and one HCIS 2 block). The locations chosen </w:t>
      </w:r>
      <w:proofErr w:type="gramStart"/>
      <w:r>
        <w:t>have</w:t>
      </w:r>
      <w:proofErr w:type="gramEnd"/>
      <w:r>
        <w:t xml:space="preserve"> relatively large populations at the HCIS 1 level to highlight how to calculate the taxes. Other locations will have lower populations and therefore taxes </w:t>
      </w:r>
      <w:r>
        <w:br/>
        <w:t>will be lower. To simplify the examples, it is assumed that the HCIS 0 cells to be authorised are all in the one HCIS 1 cell.</w:t>
      </w:r>
    </w:p>
    <w:p w14:paraId="0F38CC61" w14:textId="77777777" w:rsidR="0070471B" w:rsidRDefault="0070471B" w:rsidP="0070471B">
      <w:pPr>
        <w:pStyle w:val="Paragraphbeforelist"/>
      </w:pPr>
      <w:r>
        <w:t xml:space="preserve">The following examples use the $0.0041/MHz/pop tax rate in several different regions located in remote HCIS 1 </w:t>
      </w:r>
      <w:proofErr w:type="gramStart"/>
      <w:r>
        <w:t>cells</w:t>
      </w:r>
      <w:proofErr w:type="gramEnd"/>
      <w:r>
        <w:t xml:space="preserve"> proposed to be included in this allocation:</w:t>
      </w:r>
    </w:p>
    <w:p w14:paraId="11055280" w14:textId="77777777" w:rsidR="0070471B" w:rsidRDefault="0070471B" w:rsidP="0070471B">
      <w:pPr>
        <w:pStyle w:val="Bulletlevel1"/>
      </w:pPr>
      <w:r>
        <w:t>HCIS 1 cell HS4L8 is the most populated cell in Alice Springs, NT. It has a population of 22,965 (average population per AWL cell is 918.6). It falls within HCIS 2 cell HS4L, which has a population of 24,220.</w:t>
      </w:r>
    </w:p>
    <w:p w14:paraId="143AA0E4" w14:textId="77777777" w:rsidR="0070471B" w:rsidRDefault="0070471B" w:rsidP="0070471B">
      <w:pPr>
        <w:pStyle w:val="Bulletlevel1"/>
      </w:pPr>
      <w:r>
        <w:t>HCIS 1 cell CR4G5 is the most populated cell in Port Hedland, WA. It has a population of 8,695 (average population per AWL cell is 347.8). It falls within HCIS 2 cell CR4G, which has a population of 15,283.</w:t>
      </w:r>
    </w:p>
    <w:p w14:paraId="283AFAA2" w14:textId="77777777" w:rsidR="0070471B" w:rsidRDefault="0070471B" w:rsidP="0070471B">
      <w:pPr>
        <w:pStyle w:val="Bulletlevel1last"/>
      </w:pPr>
      <w:r>
        <w:t>HCIS 1 cell LU7D6 is the most populated cell in Bourke, NSW. It has a population of 1,442 (average population per AWL cell is 57.68). It falls within HCIS 2 cell LU7D, which has a population of 1,555.</w:t>
      </w:r>
    </w:p>
    <w:p w14:paraId="79ADEE57" w14:textId="136BF910" w:rsidR="0070471B" w:rsidRDefault="0070471B" w:rsidP="0070471B">
      <w:pPr>
        <w:pStyle w:val="Paragraph"/>
      </w:pPr>
      <w:r>
        <w:t>Table 3 details the potential annual taxes for the examples above, noting that the taxes are rounded to the nearest dollar and the minimum annual tax of $41.</w:t>
      </w:r>
      <w:r w:rsidR="00BA64E5">
        <w:t>86</w:t>
      </w:r>
      <w:r>
        <w:t xml:space="preserve"> </w:t>
      </w:r>
      <w:r>
        <w:br/>
        <w:t>also applies.</w:t>
      </w:r>
    </w:p>
    <w:p w14:paraId="209D897A" w14:textId="77777777" w:rsidR="0070471B" w:rsidRDefault="0070471B" w:rsidP="0070471B">
      <w:pPr>
        <w:pStyle w:val="Tableheading"/>
      </w:pPr>
      <w:bookmarkStart w:id="31" w:name="_Ref46926480"/>
      <w:r>
        <w:t xml:space="preserve">$/MHz/pop annual apparatus licence taxes (using 20 MHz) in </w:t>
      </w:r>
      <w:bookmarkEnd w:id="31"/>
      <w:r>
        <w:t>various remote locations</w:t>
      </w:r>
    </w:p>
    <w:tbl>
      <w:tblPr>
        <w:tblW w:w="7645" w:type="dxa"/>
        <w:tblCellMar>
          <w:top w:w="85" w:type="dxa"/>
          <w:left w:w="57" w:type="dxa"/>
          <w:bottom w:w="85" w:type="dxa"/>
          <w:right w:w="57" w:type="dxa"/>
        </w:tblCellMar>
        <w:tblLook w:val="04A0" w:firstRow="1" w:lastRow="0" w:firstColumn="1" w:lastColumn="0" w:noHBand="0" w:noVBand="1"/>
      </w:tblPr>
      <w:tblGrid>
        <w:gridCol w:w="3251"/>
        <w:gridCol w:w="1464"/>
        <w:gridCol w:w="1465"/>
        <w:gridCol w:w="1465"/>
      </w:tblGrid>
      <w:tr w:rsidR="0070471B" w:rsidRPr="0003343D" w14:paraId="3A2BDCCD" w14:textId="77777777" w:rsidTr="00936396">
        <w:trPr>
          <w:trHeight w:val="300"/>
        </w:trPr>
        <w:tc>
          <w:tcPr>
            <w:tcW w:w="3251" w:type="dxa"/>
            <w:vMerge w:val="restart"/>
            <w:tcBorders>
              <w:top w:val="single" w:sz="8" w:space="0" w:color="auto"/>
              <w:left w:val="single" w:sz="8" w:space="0" w:color="auto"/>
              <w:bottom w:val="single" w:sz="8" w:space="0" w:color="auto"/>
              <w:right w:val="single" w:sz="8" w:space="0" w:color="auto"/>
            </w:tcBorders>
            <w:shd w:val="clear" w:color="auto" w:fill="404040" w:themeFill="text1" w:themeFillTint="BF"/>
            <w:vAlign w:val="center"/>
            <w:hideMark/>
          </w:tcPr>
          <w:p w14:paraId="56AFC930" w14:textId="77777777" w:rsidR="0070471B" w:rsidRPr="0003343D" w:rsidRDefault="0070471B" w:rsidP="00936396">
            <w:pPr>
              <w:spacing w:after="0" w:line="240" w:lineRule="auto"/>
              <w:rPr>
                <w:rFonts w:cs="Arial"/>
                <w:b/>
                <w:bCs/>
                <w:color w:val="FFFFFF"/>
                <w:szCs w:val="20"/>
              </w:rPr>
            </w:pPr>
            <w:r w:rsidRPr="0003343D">
              <w:rPr>
                <w:rFonts w:cs="Arial"/>
                <w:b/>
                <w:bCs/>
                <w:color w:val="FFFFFF"/>
                <w:szCs w:val="20"/>
              </w:rPr>
              <w:t>Price</w:t>
            </w:r>
            <w:r w:rsidRPr="0003343D">
              <w:rPr>
                <w:rFonts w:cs="Arial"/>
                <w:b/>
                <w:bCs/>
                <w:color w:val="FFFFFF"/>
                <w:szCs w:val="20"/>
              </w:rPr>
              <w:br/>
              <w:t>($0.0041/MHz/pop)</w:t>
            </w:r>
          </w:p>
        </w:tc>
        <w:tc>
          <w:tcPr>
            <w:tcW w:w="4394" w:type="dxa"/>
            <w:gridSpan w:val="3"/>
            <w:tcBorders>
              <w:top w:val="single" w:sz="8" w:space="0" w:color="auto"/>
              <w:left w:val="nil"/>
              <w:bottom w:val="single" w:sz="8" w:space="0" w:color="auto"/>
              <w:right w:val="single" w:sz="8" w:space="0" w:color="auto"/>
            </w:tcBorders>
            <w:shd w:val="clear" w:color="auto" w:fill="404040" w:themeFill="text1" w:themeFillTint="BF"/>
            <w:vAlign w:val="center"/>
            <w:hideMark/>
          </w:tcPr>
          <w:p w14:paraId="30C6154C" w14:textId="77777777" w:rsidR="0070471B" w:rsidRPr="0003343D" w:rsidRDefault="0070471B" w:rsidP="00936396">
            <w:pPr>
              <w:spacing w:after="0" w:line="240" w:lineRule="auto"/>
              <w:jc w:val="center"/>
              <w:rPr>
                <w:rFonts w:cs="Arial"/>
                <w:b/>
                <w:bCs/>
                <w:color w:val="FFFFFF"/>
                <w:szCs w:val="20"/>
              </w:rPr>
            </w:pPr>
            <w:r w:rsidRPr="0003343D">
              <w:rPr>
                <w:rFonts w:cs="Arial"/>
                <w:b/>
                <w:bCs/>
                <w:color w:val="FFFFFF"/>
                <w:szCs w:val="20"/>
              </w:rPr>
              <w:t>HCIS 1 cell</w:t>
            </w:r>
          </w:p>
        </w:tc>
      </w:tr>
      <w:tr w:rsidR="0070471B" w:rsidRPr="0003343D" w14:paraId="1BB59988" w14:textId="77777777" w:rsidTr="00936396">
        <w:trPr>
          <w:trHeight w:val="790"/>
        </w:trPr>
        <w:tc>
          <w:tcPr>
            <w:tcW w:w="3251" w:type="dxa"/>
            <w:vMerge/>
            <w:tcBorders>
              <w:top w:val="single" w:sz="8" w:space="0" w:color="auto"/>
              <w:left w:val="single" w:sz="8" w:space="0" w:color="auto"/>
              <w:bottom w:val="single" w:sz="8" w:space="0" w:color="auto"/>
              <w:right w:val="single" w:sz="8" w:space="0" w:color="auto"/>
            </w:tcBorders>
            <w:vAlign w:val="center"/>
            <w:hideMark/>
          </w:tcPr>
          <w:p w14:paraId="3FC2764B" w14:textId="77777777" w:rsidR="0070471B" w:rsidRPr="0003343D" w:rsidRDefault="0070471B" w:rsidP="00936396">
            <w:pPr>
              <w:spacing w:after="0" w:line="240" w:lineRule="auto"/>
              <w:rPr>
                <w:rFonts w:cs="Arial"/>
                <w:b/>
                <w:bCs/>
                <w:color w:val="FFFFFF"/>
                <w:szCs w:val="20"/>
              </w:rPr>
            </w:pPr>
          </w:p>
        </w:tc>
        <w:tc>
          <w:tcPr>
            <w:tcW w:w="1464" w:type="dxa"/>
            <w:tcBorders>
              <w:top w:val="nil"/>
              <w:left w:val="nil"/>
              <w:bottom w:val="single" w:sz="8" w:space="0" w:color="auto"/>
              <w:right w:val="single" w:sz="8" w:space="0" w:color="auto"/>
            </w:tcBorders>
            <w:shd w:val="clear" w:color="auto" w:fill="7F7F7F" w:themeFill="text1" w:themeFillTint="80"/>
            <w:vAlign w:val="center"/>
            <w:hideMark/>
          </w:tcPr>
          <w:p w14:paraId="22410293" w14:textId="77777777" w:rsidR="0070471B" w:rsidRPr="0003343D" w:rsidRDefault="0070471B" w:rsidP="00936396">
            <w:pPr>
              <w:spacing w:after="0" w:line="240" w:lineRule="auto"/>
              <w:jc w:val="center"/>
              <w:rPr>
                <w:rFonts w:cs="Arial"/>
                <w:b/>
                <w:bCs/>
                <w:color w:val="FFFFFF"/>
                <w:szCs w:val="20"/>
              </w:rPr>
            </w:pPr>
            <w:r w:rsidRPr="0003343D">
              <w:rPr>
                <w:rFonts w:cs="Arial"/>
                <w:b/>
                <w:bCs/>
                <w:color w:val="FFFFFF"/>
                <w:szCs w:val="20"/>
              </w:rPr>
              <w:t>HS4L8</w:t>
            </w:r>
            <w:r w:rsidRPr="0003343D">
              <w:rPr>
                <w:rFonts w:cs="Arial"/>
                <w:b/>
                <w:bCs/>
                <w:color w:val="FFFFFF"/>
                <w:szCs w:val="20"/>
              </w:rPr>
              <w:br/>
              <w:t>(Alice Springs)</w:t>
            </w:r>
          </w:p>
        </w:tc>
        <w:tc>
          <w:tcPr>
            <w:tcW w:w="1465" w:type="dxa"/>
            <w:tcBorders>
              <w:top w:val="nil"/>
              <w:left w:val="nil"/>
              <w:bottom w:val="single" w:sz="8" w:space="0" w:color="auto"/>
              <w:right w:val="single" w:sz="8" w:space="0" w:color="auto"/>
            </w:tcBorders>
            <w:shd w:val="clear" w:color="auto" w:fill="7F7F7F" w:themeFill="text1" w:themeFillTint="80"/>
            <w:vAlign w:val="center"/>
            <w:hideMark/>
          </w:tcPr>
          <w:p w14:paraId="330C8763" w14:textId="77777777" w:rsidR="0070471B" w:rsidRPr="0003343D" w:rsidRDefault="0070471B" w:rsidP="00936396">
            <w:pPr>
              <w:spacing w:after="0" w:line="240" w:lineRule="auto"/>
              <w:jc w:val="center"/>
              <w:rPr>
                <w:rFonts w:cs="Arial"/>
                <w:b/>
                <w:bCs/>
                <w:color w:val="FFFFFF"/>
                <w:szCs w:val="20"/>
              </w:rPr>
            </w:pPr>
            <w:r w:rsidRPr="0003343D">
              <w:rPr>
                <w:rFonts w:cs="Arial"/>
                <w:b/>
                <w:bCs/>
                <w:color w:val="FFFFFF"/>
                <w:szCs w:val="20"/>
              </w:rPr>
              <w:t>CR4G5</w:t>
            </w:r>
            <w:r w:rsidRPr="0003343D">
              <w:rPr>
                <w:rFonts w:cs="Arial"/>
                <w:b/>
                <w:bCs/>
                <w:color w:val="FFFFFF"/>
                <w:szCs w:val="20"/>
              </w:rPr>
              <w:br/>
              <w:t>(Port Hedland)</w:t>
            </w:r>
          </w:p>
        </w:tc>
        <w:tc>
          <w:tcPr>
            <w:tcW w:w="1465" w:type="dxa"/>
            <w:tcBorders>
              <w:top w:val="nil"/>
              <w:left w:val="nil"/>
              <w:bottom w:val="single" w:sz="8" w:space="0" w:color="auto"/>
              <w:right w:val="single" w:sz="8" w:space="0" w:color="auto"/>
            </w:tcBorders>
            <w:shd w:val="clear" w:color="auto" w:fill="7F7F7F" w:themeFill="text1" w:themeFillTint="80"/>
            <w:vAlign w:val="center"/>
            <w:hideMark/>
          </w:tcPr>
          <w:p w14:paraId="02B2AD78" w14:textId="77777777" w:rsidR="0070471B" w:rsidRPr="0003343D" w:rsidRDefault="0070471B" w:rsidP="00936396">
            <w:pPr>
              <w:spacing w:after="0" w:line="240" w:lineRule="auto"/>
              <w:jc w:val="center"/>
              <w:rPr>
                <w:rFonts w:cs="Arial"/>
                <w:b/>
                <w:bCs/>
                <w:color w:val="FFFFFF"/>
                <w:szCs w:val="20"/>
              </w:rPr>
            </w:pPr>
            <w:r w:rsidRPr="0003343D">
              <w:rPr>
                <w:rFonts w:cs="Arial"/>
                <w:b/>
                <w:bCs/>
                <w:color w:val="FFFFFF"/>
                <w:szCs w:val="20"/>
              </w:rPr>
              <w:t>LU7D6 (Bourke)</w:t>
            </w:r>
          </w:p>
        </w:tc>
      </w:tr>
      <w:tr w:rsidR="0070471B" w:rsidRPr="0003343D" w14:paraId="3C2B391F" w14:textId="77777777" w:rsidTr="00936396">
        <w:trPr>
          <w:trHeight w:val="300"/>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20CFAE15" w14:textId="77777777" w:rsidR="0070471B" w:rsidRPr="0003343D" w:rsidRDefault="0070471B" w:rsidP="00936396">
            <w:pPr>
              <w:spacing w:after="0" w:line="240" w:lineRule="auto"/>
              <w:rPr>
                <w:rFonts w:cs="Arial"/>
                <w:color w:val="000000"/>
                <w:szCs w:val="20"/>
              </w:rPr>
            </w:pPr>
            <w:r w:rsidRPr="0003343D">
              <w:rPr>
                <w:rFonts w:cs="Arial"/>
                <w:color w:val="000000"/>
                <w:szCs w:val="20"/>
                <w:lang w:eastAsia="en-US"/>
              </w:rPr>
              <w:t xml:space="preserve">1 </w:t>
            </w:r>
            <w:r>
              <w:rPr>
                <w:rFonts w:cs="Arial"/>
                <w:color w:val="000000"/>
                <w:szCs w:val="20"/>
                <w:lang w:eastAsia="en-US"/>
              </w:rPr>
              <w:t xml:space="preserve">HCIS 0 </w:t>
            </w:r>
            <w:r w:rsidRPr="0003343D">
              <w:rPr>
                <w:rFonts w:cs="Arial"/>
                <w:color w:val="000000"/>
                <w:szCs w:val="20"/>
                <w:lang w:eastAsia="en-US"/>
              </w:rPr>
              <w:t>cell</w:t>
            </w:r>
          </w:p>
        </w:tc>
        <w:tc>
          <w:tcPr>
            <w:tcW w:w="1464" w:type="dxa"/>
            <w:tcBorders>
              <w:top w:val="nil"/>
              <w:left w:val="nil"/>
              <w:bottom w:val="single" w:sz="8" w:space="0" w:color="auto"/>
              <w:right w:val="single" w:sz="8" w:space="0" w:color="auto"/>
            </w:tcBorders>
            <w:shd w:val="clear" w:color="auto" w:fill="auto"/>
            <w:vAlign w:val="center"/>
            <w:hideMark/>
          </w:tcPr>
          <w:p w14:paraId="5A562488" w14:textId="77777777" w:rsidR="0070471B" w:rsidRPr="0003343D" w:rsidRDefault="0070471B" w:rsidP="00936396">
            <w:pPr>
              <w:spacing w:after="0" w:line="240" w:lineRule="auto"/>
              <w:jc w:val="center"/>
              <w:rPr>
                <w:rFonts w:cs="Arial"/>
                <w:color w:val="000000"/>
                <w:szCs w:val="20"/>
              </w:rPr>
            </w:pPr>
            <w:r>
              <w:rPr>
                <w:rFonts w:cs="Arial"/>
                <w:color w:val="000000"/>
                <w:szCs w:val="20"/>
                <w:lang w:eastAsia="en-US"/>
              </w:rPr>
              <w:t>$75</w:t>
            </w:r>
          </w:p>
        </w:tc>
        <w:tc>
          <w:tcPr>
            <w:tcW w:w="1465" w:type="dxa"/>
            <w:tcBorders>
              <w:top w:val="nil"/>
              <w:left w:val="nil"/>
              <w:bottom w:val="single" w:sz="8" w:space="0" w:color="auto"/>
              <w:right w:val="single" w:sz="8" w:space="0" w:color="auto"/>
            </w:tcBorders>
            <w:shd w:val="clear" w:color="auto" w:fill="auto"/>
            <w:vAlign w:val="center"/>
            <w:hideMark/>
          </w:tcPr>
          <w:p w14:paraId="35C46B7F" w14:textId="1A98E21F" w:rsidR="0070471B" w:rsidRPr="0003343D" w:rsidRDefault="0070471B" w:rsidP="00936396">
            <w:pPr>
              <w:spacing w:after="0" w:line="240" w:lineRule="auto"/>
              <w:jc w:val="center"/>
              <w:rPr>
                <w:rFonts w:cs="Arial"/>
                <w:color w:val="000000"/>
                <w:szCs w:val="20"/>
              </w:rPr>
            </w:pPr>
            <w:r>
              <w:rPr>
                <w:rFonts w:cs="Arial"/>
                <w:color w:val="000000"/>
                <w:szCs w:val="20"/>
              </w:rPr>
              <w:t>$4</w:t>
            </w:r>
            <w:r w:rsidR="00BA64E5">
              <w:rPr>
                <w:rFonts w:cs="Arial"/>
                <w:color w:val="000000"/>
                <w:szCs w:val="20"/>
              </w:rPr>
              <w:t>2</w:t>
            </w:r>
            <w:r>
              <w:rPr>
                <w:rFonts w:cs="Arial"/>
                <w:color w:val="000000"/>
                <w:szCs w:val="20"/>
              </w:rPr>
              <w:t>*</w:t>
            </w:r>
          </w:p>
        </w:tc>
        <w:tc>
          <w:tcPr>
            <w:tcW w:w="1465" w:type="dxa"/>
            <w:tcBorders>
              <w:top w:val="nil"/>
              <w:left w:val="nil"/>
              <w:bottom w:val="single" w:sz="8" w:space="0" w:color="auto"/>
              <w:right w:val="single" w:sz="8" w:space="0" w:color="auto"/>
            </w:tcBorders>
            <w:shd w:val="clear" w:color="auto" w:fill="auto"/>
            <w:vAlign w:val="center"/>
            <w:hideMark/>
          </w:tcPr>
          <w:p w14:paraId="4B5CA4CD" w14:textId="258A6E78" w:rsidR="0070471B" w:rsidRPr="0003343D" w:rsidRDefault="0070471B" w:rsidP="00936396">
            <w:pPr>
              <w:spacing w:after="0" w:line="240" w:lineRule="auto"/>
              <w:jc w:val="center"/>
              <w:rPr>
                <w:rFonts w:cs="Arial"/>
                <w:color w:val="000000"/>
                <w:szCs w:val="20"/>
              </w:rPr>
            </w:pPr>
            <w:r>
              <w:rPr>
                <w:rFonts w:cs="Arial"/>
                <w:color w:val="000000"/>
                <w:szCs w:val="20"/>
              </w:rPr>
              <w:t>$4</w:t>
            </w:r>
            <w:r w:rsidR="00BA64E5">
              <w:rPr>
                <w:rFonts w:cs="Arial"/>
                <w:color w:val="000000"/>
                <w:szCs w:val="20"/>
              </w:rPr>
              <w:t>2</w:t>
            </w:r>
            <w:r>
              <w:rPr>
                <w:rFonts w:cs="Arial"/>
                <w:color w:val="000000"/>
                <w:szCs w:val="20"/>
              </w:rPr>
              <w:t>*</w:t>
            </w:r>
          </w:p>
        </w:tc>
      </w:tr>
      <w:tr w:rsidR="0070471B" w:rsidRPr="0003343D" w14:paraId="1814C696" w14:textId="77777777" w:rsidTr="00936396">
        <w:trPr>
          <w:trHeight w:val="300"/>
        </w:trPr>
        <w:tc>
          <w:tcPr>
            <w:tcW w:w="3251" w:type="dxa"/>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613B1C46" w14:textId="77777777" w:rsidR="0070471B" w:rsidRPr="0003343D" w:rsidRDefault="0070471B" w:rsidP="00936396">
            <w:pPr>
              <w:spacing w:after="0" w:line="240" w:lineRule="auto"/>
              <w:rPr>
                <w:rFonts w:cs="Arial"/>
                <w:color w:val="000000"/>
                <w:szCs w:val="20"/>
              </w:rPr>
            </w:pPr>
            <w:r w:rsidRPr="0003343D">
              <w:rPr>
                <w:rFonts w:cs="Arial"/>
                <w:color w:val="000000"/>
                <w:szCs w:val="20"/>
                <w:lang w:eastAsia="en-US"/>
              </w:rPr>
              <w:t xml:space="preserve">4 </w:t>
            </w:r>
            <w:r>
              <w:rPr>
                <w:rFonts w:cs="Arial"/>
                <w:color w:val="000000"/>
                <w:szCs w:val="20"/>
                <w:lang w:eastAsia="en-US"/>
              </w:rPr>
              <w:t xml:space="preserve">HCIS 0 </w:t>
            </w:r>
            <w:r w:rsidRPr="0003343D">
              <w:rPr>
                <w:rFonts w:cs="Arial"/>
                <w:color w:val="000000"/>
                <w:szCs w:val="20"/>
                <w:lang w:eastAsia="en-US"/>
              </w:rPr>
              <w:t>cells</w:t>
            </w:r>
          </w:p>
        </w:tc>
        <w:tc>
          <w:tcPr>
            <w:tcW w:w="1464" w:type="dxa"/>
            <w:tcBorders>
              <w:top w:val="nil"/>
              <w:left w:val="nil"/>
              <w:bottom w:val="single" w:sz="8" w:space="0" w:color="auto"/>
              <w:right w:val="single" w:sz="8" w:space="0" w:color="auto"/>
            </w:tcBorders>
            <w:shd w:val="clear" w:color="auto" w:fill="F2F2F2" w:themeFill="background1" w:themeFillShade="F2"/>
            <w:vAlign w:val="center"/>
            <w:hideMark/>
          </w:tcPr>
          <w:p w14:paraId="33B8843E" w14:textId="77777777" w:rsidR="0070471B" w:rsidRPr="0003343D" w:rsidRDefault="0070471B" w:rsidP="00936396">
            <w:pPr>
              <w:spacing w:after="0" w:line="240" w:lineRule="auto"/>
              <w:jc w:val="center"/>
              <w:rPr>
                <w:rFonts w:cs="Arial"/>
                <w:color w:val="000000"/>
                <w:szCs w:val="20"/>
              </w:rPr>
            </w:pPr>
            <w:r>
              <w:rPr>
                <w:rFonts w:cs="Arial"/>
                <w:color w:val="000000"/>
                <w:szCs w:val="20"/>
              </w:rPr>
              <w:t>$301</w:t>
            </w:r>
          </w:p>
        </w:tc>
        <w:tc>
          <w:tcPr>
            <w:tcW w:w="1465" w:type="dxa"/>
            <w:tcBorders>
              <w:top w:val="nil"/>
              <w:left w:val="nil"/>
              <w:bottom w:val="single" w:sz="8" w:space="0" w:color="auto"/>
              <w:right w:val="single" w:sz="8" w:space="0" w:color="auto"/>
            </w:tcBorders>
            <w:shd w:val="clear" w:color="auto" w:fill="F2F2F2" w:themeFill="background1" w:themeFillShade="F2"/>
            <w:vAlign w:val="center"/>
            <w:hideMark/>
          </w:tcPr>
          <w:p w14:paraId="48B61E0F" w14:textId="77777777" w:rsidR="0070471B" w:rsidRPr="0003343D" w:rsidRDefault="0070471B" w:rsidP="00936396">
            <w:pPr>
              <w:spacing w:after="0" w:line="240" w:lineRule="auto"/>
              <w:jc w:val="center"/>
              <w:rPr>
                <w:rFonts w:cs="Arial"/>
                <w:color w:val="000000"/>
                <w:szCs w:val="20"/>
              </w:rPr>
            </w:pPr>
            <w:r>
              <w:rPr>
                <w:rFonts w:cs="Arial"/>
                <w:color w:val="000000"/>
                <w:szCs w:val="20"/>
              </w:rPr>
              <w:t>$114</w:t>
            </w:r>
          </w:p>
        </w:tc>
        <w:tc>
          <w:tcPr>
            <w:tcW w:w="1465" w:type="dxa"/>
            <w:tcBorders>
              <w:top w:val="nil"/>
              <w:left w:val="nil"/>
              <w:bottom w:val="single" w:sz="8" w:space="0" w:color="auto"/>
              <w:right w:val="single" w:sz="8" w:space="0" w:color="auto"/>
            </w:tcBorders>
            <w:shd w:val="clear" w:color="auto" w:fill="F2F2F2" w:themeFill="background1" w:themeFillShade="F2"/>
            <w:vAlign w:val="center"/>
            <w:hideMark/>
          </w:tcPr>
          <w:p w14:paraId="0DABEFA2" w14:textId="76FBE256" w:rsidR="0070471B" w:rsidRPr="0003343D" w:rsidRDefault="0070471B" w:rsidP="00936396">
            <w:pPr>
              <w:spacing w:after="0" w:line="240" w:lineRule="auto"/>
              <w:jc w:val="center"/>
              <w:rPr>
                <w:rFonts w:cs="Arial"/>
                <w:color w:val="000000"/>
                <w:szCs w:val="20"/>
              </w:rPr>
            </w:pPr>
            <w:r>
              <w:rPr>
                <w:rFonts w:cs="Arial"/>
                <w:color w:val="000000"/>
                <w:szCs w:val="20"/>
              </w:rPr>
              <w:t>$4</w:t>
            </w:r>
            <w:r w:rsidR="00BA64E5">
              <w:rPr>
                <w:rFonts w:cs="Arial"/>
                <w:color w:val="000000"/>
                <w:szCs w:val="20"/>
              </w:rPr>
              <w:t>2</w:t>
            </w:r>
            <w:r>
              <w:rPr>
                <w:rFonts w:cs="Arial"/>
                <w:color w:val="000000"/>
                <w:szCs w:val="20"/>
              </w:rPr>
              <w:t>*</w:t>
            </w:r>
          </w:p>
        </w:tc>
      </w:tr>
      <w:tr w:rsidR="0070471B" w:rsidRPr="0003343D" w14:paraId="4CD2A015" w14:textId="77777777" w:rsidTr="00936396">
        <w:trPr>
          <w:trHeight w:val="300"/>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70132CD3" w14:textId="77777777" w:rsidR="0070471B" w:rsidRPr="0003343D" w:rsidRDefault="0070471B" w:rsidP="00936396">
            <w:pPr>
              <w:spacing w:after="0" w:line="240" w:lineRule="auto"/>
              <w:rPr>
                <w:rFonts w:cs="Arial"/>
                <w:color w:val="000000"/>
                <w:szCs w:val="20"/>
              </w:rPr>
            </w:pPr>
            <w:r w:rsidRPr="0003343D">
              <w:rPr>
                <w:rFonts w:cs="Arial"/>
                <w:color w:val="000000"/>
                <w:szCs w:val="20"/>
                <w:lang w:eastAsia="en-US"/>
              </w:rPr>
              <w:t>1 HCIS 1 block</w:t>
            </w:r>
            <w:r>
              <w:rPr>
                <w:rFonts w:cs="Arial"/>
                <w:color w:val="000000"/>
                <w:szCs w:val="20"/>
                <w:lang w:eastAsia="en-US"/>
              </w:rPr>
              <w:t xml:space="preserve"> (equivalent to 25 AWL cells)</w:t>
            </w:r>
          </w:p>
        </w:tc>
        <w:tc>
          <w:tcPr>
            <w:tcW w:w="1464" w:type="dxa"/>
            <w:tcBorders>
              <w:top w:val="nil"/>
              <w:left w:val="nil"/>
              <w:bottom w:val="single" w:sz="8" w:space="0" w:color="auto"/>
              <w:right w:val="single" w:sz="8" w:space="0" w:color="auto"/>
            </w:tcBorders>
            <w:shd w:val="clear" w:color="auto" w:fill="auto"/>
            <w:vAlign w:val="center"/>
            <w:hideMark/>
          </w:tcPr>
          <w:p w14:paraId="2AAB8DAB" w14:textId="77777777" w:rsidR="0070471B" w:rsidRPr="0003343D" w:rsidRDefault="0070471B" w:rsidP="00936396">
            <w:pPr>
              <w:spacing w:after="0" w:line="240" w:lineRule="auto"/>
              <w:jc w:val="center"/>
              <w:rPr>
                <w:rFonts w:cs="Arial"/>
                <w:color w:val="000000"/>
                <w:szCs w:val="20"/>
              </w:rPr>
            </w:pPr>
            <w:r>
              <w:rPr>
                <w:rFonts w:cs="Arial"/>
                <w:color w:val="000000"/>
                <w:szCs w:val="20"/>
                <w:lang w:eastAsia="en-US"/>
              </w:rPr>
              <w:t>$1,883</w:t>
            </w:r>
          </w:p>
        </w:tc>
        <w:tc>
          <w:tcPr>
            <w:tcW w:w="1465" w:type="dxa"/>
            <w:tcBorders>
              <w:top w:val="nil"/>
              <w:left w:val="nil"/>
              <w:bottom w:val="single" w:sz="8" w:space="0" w:color="auto"/>
              <w:right w:val="single" w:sz="8" w:space="0" w:color="auto"/>
            </w:tcBorders>
            <w:shd w:val="clear" w:color="auto" w:fill="auto"/>
            <w:vAlign w:val="center"/>
            <w:hideMark/>
          </w:tcPr>
          <w:p w14:paraId="1266AC12" w14:textId="77777777" w:rsidR="0070471B" w:rsidRPr="0003343D" w:rsidRDefault="0070471B" w:rsidP="00936396">
            <w:pPr>
              <w:spacing w:after="0" w:line="240" w:lineRule="auto"/>
              <w:jc w:val="center"/>
              <w:rPr>
                <w:rFonts w:cs="Arial"/>
                <w:color w:val="000000"/>
                <w:szCs w:val="20"/>
              </w:rPr>
            </w:pPr>
            <w:r>
              <w:rPr>
                <w:rFonts w:cs="Arial"/>
                <w:color w:val="000000"/>
                <w:szCs w:val="20"/>
              </w:rPr>
              <w:t>$713</w:t>
            </w:r>
          </w:p>
        </w:tc>
        <w:tc>
          <w:tcPr>
            <w:tcW w:w="1465" w:type="dxa"/>
            <w:tcBorders>
              <w:top w:val="nil"/>
              <w:left w:val="nil"/>
              <w:bottom w:val="single" w:sz="8" w:space="0" w:color="auto"/>
              <w:right w:val="single" w:sz="8" w:space="0" w:color="auto"/>
            </w:tcBorders>
            <w:shd w:val="clear" w:color="auto" w:fill="auto"/>
            <w:vAlign w:val="center"/>
            <w:hideMark/>
          </w:tcPr>
          <w:p w14:paraId="07E3E4F1" w14:textId="77777777" w:rsidR="0070471B" w:rsidRPr="0003343D" w:rsidRDefault="0070471B" w:rsidP="00936396">
            <w:pPr>
              <w:spacing w:after="0" w:line="240" w:lineRule="auto"/>
              <w:jc w:val="center"/>
              <w:rPr>
                <w:rFonts w:cs="Arial"/>
                <w:color w:val="000000"/>
                <w:szCs w:val="20"/>
              </w:rPr>
            </w:pPr>
            <w:r>
              <w:rPr>
                <w:rFonts w:cs="Arial"/>
                <w:color w:val="000000"/>
                <w:szCs w:val="20"/>
              </w:rPr>
              <w:t>$118</w:t>
            </w:r>
          </w:p>
        </w:tc>
      </w:tr>
      <w:tr w:rsidR="0070471B" w:rsidRPr="0003343D" w14:paraId="74F4AF0B" w14:textId="77777777" w:rsidTr="00936396">
        <w:trPr>
          <w:trHeight w:val="300"/>
        </w:trPr>
        <w:tc>
          <w:tcPr>
            <w:tcW w:w="3251" w:type="dxa"/>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475417C0" w14:textId="77777777" w:rsidR="0070471B" w:rsidRPr="0003343D" w:rsidRDefault="0070471B" w:rsidP="00936396">
            <w:pPr>
              <w:spacing w:after="0" w:line="240" w:lineRule="auto"/>
              <w:rPr>
                <w:rFonts w:cs="Arial"/>
                <w:color w:val="000000"/>
                <w:szCs w:val="20"/>
              </w:rPr>
            </w:pPr>
            <w:r w:rsidRPr="0003343D">
              <w:rPr>
                <w:rFonts w:cs="Arial"/>
                <w:color w:val="000000"/>
                <w:szCs w:val="20"/>
                <w:lang w:eastAsia="en-US"/>
              </w:rPr>
              <w:t>1 HCIS 2 block</w:t>
            </w:r>
            <w:r>
              <w:rPr>
                <w:rFonts w:cs="Arial"/>
                <w:color w:val="000000"/>
                <w:szCs w:val="20"/>
                <w:lang w:eastAsia="en-US"/>
              </w:rPr>
              <w:t>** (equivalent to 225 AWL cells)</w:t>
            </w:r>
          </w:p>
        </w:tc>
        <w:tc>
          <w:tcPr>
            <w:tcW w:w="1464" w:type="dxa"/>
            <w:tcBorders>
              <w:top w:val="nil"/>
              <w:left w:val="nil"/>
              <w:bottom w:val="single" w:sz="8" w:space="0" w:color="auto"/>
              <w:right w:val="single" w:sz="8" w:space="0" w:color="auto"/>
            </w:tcBorders>
            <w:shd w:val="clear" w:color="auto" w:fill="F2F2F2" w:themeFill="background1" w:themeFillShade="F2"/>
            <w:vAlign w:val="center"/>
            <w:hideMark/>
          </w:tcPr>
          <w:p w14:paraId="001FFD97" w14:textId="77777777" w:rsidR="0070471B" w:rsidRPr="0003343D" w:rsidRDefault="0070471B" w:rsidP="00936396">
            <w:pPr>
              <w:spacing w:after="0" w:line="240" w:lineRule="auto"/>
              <w:jc w:val="center"/>
              <w:rPr>
                <w:rFonts w:cs="Arial"/>
                <w:color w:val="000000"/>
                <w:szCs w:val="20"/>
              </w:rPr>
            </w:pPr>
            <w:r>
              <w:rPr>
                <w:rFonts w:cs="Arial"/>
                <w:color w:val="000000"/>
                <w:szCs w:val="20"/>
              </w:rPr>
              <w:t>$1,986</w:t>
            </w:r>
          </w:p>
        </w:tc>
        <w:tc>
          <w:tcPr>
            <w:tcW w:w="1465" w:type="dxa"/>
            <w:tcBorders>
              <w:top w:val="nil"/>
              <w:left w:val="nil"/>
              <w:bottom w:val="single" w:sz="8" w:space="0" w:color="auto"/>
              <w:right w:val="single" w:sz="8" w:space="0" w:color="auto"/>
            </w:tcBorders>
            <w:shd w:val="clear" w:color="auto" w:fill="F2F2F2" w:themeFill="background1" w:themeFillShade="F2"/>
            <w:vAlign w:val="center"/>
            <w:hideMark/>
          </w:tcPr>
          <w:p w14:paraId="66503F5A" w14:textId="77777777" w:rsidR="0070471B" w:rsidRPr="0003343D" w:rsidRDefault="0070471B" w:rsidP="00936396">
            <w:pPr>
              <w:spacing w:after="0" w:line="240" w:lineRule="auto"/>
              <w:jc w:val="center"/>
              <w:rPr>
                <w:rFonts w:cs="Arial"/>
                <w:color w:val="000000"/>
                <w:szCs w:val="20"/>
              </w:rPr>
            </w:pPr>
            <w:r>
              <w:rPr>
                <w:rFonts w:cs="Arial"/>
                <w:color w:val="000000"/>
                <w:szCs w:val="20"/>
                <w:lang w:eastAsia="en-US"/>
              </w:rPr>
              <w:t>$1,253</w:t>
            </w:r>
          </w:p>
        </w:tc>
        <w:tc>
          <w:tcPr>
            <w:tcW w:w="1465" w:type="dxa"/>
            <w:tcBorders>
              <w:top w:val="nil"/>
              <w:left w:val="nil"/>
              <w:bottom w:val="single" w:sz="8" w:space="0" w:color="auto"/>
              <w:right w:val="single" w:sz="8" w:space="0" w:color="auto"/>
            </w:tcBorders>
            <w:shd w:val="clear" w:color="auto" w:fill="F2F2F2" w:themeFill="background1" w:themeFillShade="F2"/>
            <w:vAlign w:val="center"/>
            <w:hideMark/>
          </w:tcPr>
          <w:p w14:paraId="2F9B5410" w14:textId="77777777" w:rsidR="0070471B" w:rsidRPr="0003343D" w:rsidRDefault="0070471B" w:rsidP="00936396">
            <w:pPr>
              <w:spacing w:after="0" w:line="240" w:lineRule="auto"/>
              <w:jc w:val="center"/>
              <w:rPr>
                <w:rFonts w:cs="Arial"/>
                <w:color w:val="000000"/>
                <w:szCs w:val="20"/>
              </w:rPr>
            </w:pPr>
            <w:r>
              <w:rPr>
                <w:rFonts w:cs="Arial"/>
                <w:color w:val="000000"/>
                <w:szCs w:val="20"/>
              </w:rPr>
              <w:t>$128</w:t>
            </w:r>
          </w:p>
        </w:tc>
      </w:tr>
    </w:tbl>
    <w:p w14:paraId="69EC32E7" w14:textId="647B022B" w:rsidR="0070471B" w:rsidRPr="005A2871" w:rsidRDefault="0070471B" w:rsidP="0070471B">
      <w:pPr>
        <w:pStyle w:val="Tableorfigurenote"/>
      </w:pPr>
      <w:r w:rsidRPr="005A2871">
        <w:t>*</w:t>
      </w:r>
      <w:r>
        <w:t xml:space="preserve"> </w:t>
      </w:r>
      <w:r w:rsidRPr="005A2871">
        <w:t xml:space="preserve">Tax amounts </w:t>
      </w:r>
      <w:r>
        <w:t>were lower than $41.</w:t>
      </w:r>
      <w:r w:rsidR="00BA64E5">
        <w:t>86</w:t>
      </w:r>
      <w:r>
        <w:t xml:space="preserve"> minimum tax, causing the minimum tax to be applied (rounded to the nearest dollar). The calculated amounts were $28.52 </w:t>
      </w:r>
      <w:r w:rsidRPr="005A2871">
        <w:t xml:space="preserve">for </w:t>
      </w:r>
      <w:r>
        <w:t>one cell</w:t>
      </w:r>
      <w:r w:rsidRPr="005A2871">
        <w:t xml:space="preserve"> in </w:t>
      </w:r>
      <w:r>
        <w:t>Port Hedland, $4.73 for one cell in Bourke,</w:t>
      </w:r>
      <w:r w:rsidRPr="005A2871">
        <w:t xml:space="preserve"> a</w:t>
      </w:r>
      <w:r>
        <w:t>nd</w:t>
      </w:r>
      <w:r w:rsidRPr="005A2871">
        <w:t xml:space="preserve"> $</w:t>
      </w:r>
      <w:r>
        <w:t>18.92 for 4 cells in Bourke.</w:t>
      </w:r>
      <w:r>
        <w:br/>
        <w:t xml:space="preserve">** Tax amounts based on population of the HCIS 2 cell within which the HCIS 1 cell is located – i.e., HS4L for Alice Springs (pop: 24,220), CR4G for Port Hedland (pop: 15,283) and LU7D for Bourke (pop: 1,555). </w:t>
      </w:r>
    </w:p>
    <w:p w14:paraId="2569B624" w14:textId="77777777" w:rsidR="0070471B" w:rsidRDefault="0070471B" w:rsidP="0070471B">
      <w:pPr>
        <w:pStyle w:val="Paragraph"/>
      </w:pPr>
      <w:r>
        <w:t xml:space="preserve">Population information for the HCIS system can be found on the </w:t>
      </w:r>
      <w:hyperlink r:id="rId45" w:history="1">
        <w:r w:rsidRPr="00E14FE1">
          <w:rPr>
            <w:rStyle w:val="Hyperlink"/>
          </w:rPr>
          <w:t>ACMA website</w:t>
        </w:r>
      </w:hyperlink>
      <w:r>
        <w:t>.</w:t>
      </w:r>
    </w:p>
    <w:p w14:paraId="637D3DF8" w14:textId="77777777" w:rsidR="0070471B" w:rsidRDefault="0070471B" w:rsidP="0070471B">
      <w:pPr>
        <w:pStyle w:val="Paragraph"/>
      </w:pPr>
      <w:r>
        <w:lastRenderedPageBreak/>
        <w:t xml:space="preserve">We have </w:t>
      </w:r>
      <w:r w:rsidRPr="007F3E41">
        <w:t xml:space="preserve">developed </w:t>
      </w:r>
      <w:r w:rsidRPr="0027750D">
        <w:t xml:space="preserve">a </w:t>
      </w:r>
      <w:hyperlink r:id="rId46" w:history="1">
        <w:r w:rsidRPr="004F769F">
          <w:rPr>
            <w:rStyle w:val="Hyperlink"/>
          </w:rPr>
          <w:t>fee calculator</w:t>
        </w:r>
      </w:hyperlink>
      <w:r>
        <w:t xml:space="preserve"> (available alongside this pack on the ACMA website) to help applicants calculate how much tax must be paid for the combination of spectrum and geographic area wanted.</w:t>
      </w:r>
      <w:r w:rsidRPr="00563382">
        <w:rPr>
          <w:sz w:val="22"/>
          <w:szCs w:val="22"/>
        </w:rPr>
        <w:t xml:space="preserve"> </w:t>
      </w:r>
    </w:p>
    <w:p w14:paraId="56BF4A74" w14:textId="77777777" w:rsidR="0070471B" w:rsidRPr="005351E4" w:rsidRDefault="0070471B" w:rsidP="0070471B">
      <w:pPr>
        <w:pStyle w:val="Heading4"/>
      </w:pPr>
      <w:r w:rsidRPr="005351E4">
        <w:t>Payment of tax</w:t>
      </w:r>
    </w:p>
    <w:p w14:paraId="03982B8C" w14:textId="77777777" w:rsidR="0070471B" w:rsidRDefault="0070471B" w:rsidP="0070471B">
      <w:r>
        <w:t>Apparatus licence tax is payable on issue of a licence. If the licence duration is more than one year, the annual amount for each year can be paid upfront on application for the licence as a lump sum. Alternatively, the tax amount can be paid by annual instalments, with the first instalment usually paid on application for the licence (instalment amounts may differ each year to account for any tax changes arising in pricing reviews).</w:t>
      </w:r>
      <w:r w:rsidRPr="00DB3ED9">
        <w:t xml:space="preserve"> </w:t>
      </w:r>
    </w:p>
    <w:p w14:paraId="7FCB4072" w14:textId="77777777" w:rsidR="0070471B" w:rsidRDefault="0070471B" w:rsidP="0070471B">
      <w:pPr>
        <w:pStyle w:val="Heading3"/>
      </w:pPr>
      <w:bookmarkStart w:id="32" w:name="_Toc167200950"/>
      <w:bookmarkStart w:id="33" w:name="_Toc167435297"/>
      <w:r>
        <w:t>Charges</w:t>
      </w:r>
      <w:bookmarkEnd w:id="32"/>
      <w:bookmarkEnd w:id="33"/>
    </w:p>
    <w:p w14:paraId="33744429" w14:textId="77777777" w:rsidR="0070471B" w:rsidRPr="00BD4495" w:rsidRDefault="0070471B" w:rsidP="0070471B">
      <w:r>
        <w:t>A cost-recovery fee is charged for considering an apparatus licence application, irrespective of whether the application is approved. Different charges apply to different types of apparatus licence. A base charge of $847 applies for AWLs; an additional amount may apply if the application for the AWL needs to be assessed against one or more other applications (that is, there are multiple applications for the same spectrum in the same area).</w:t>
      </w:r>
    </w:p>
    <w:sectPr w:rsidR="0070471B" w:rsidRPr="00BD4495" w:rsidSect="00C77380">
      <w:headerReference w:type="even" r:id="rId47"/>
      <w:headerReference w:type="default" r:id="rId48"/>
      <w:footerReference w:type="even" r:id="rId49"/>
      <w:footerReference w:type="default" r:id="rId50"/>
      <w:pgSz w:w="11906" w:h="16838" w:code="9"/>
      <w:pgMar w:top="1945" w:right="3101" w:bottom="1134" w:left="1134" w:header="709" w:footer="11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27D14" w14:textId="77777777" w:rsidR="00080BAA" w:rsidRDefault="00080BAA">
      <w:r>
        <w:separator/>
      </w:r>
    </w:p>
  </w:endnote>
  <w:endnote w:type="continuationSeparator" w:id="0">
    <w:p w14:paraId="60928788" w14:textId="77777777" w:rsidR="00080BAA" w:rsidRDefault="00080BAA">
      <w:r>
        <w:continuationSeparator/>
      </w:r>
    </w:p>
  </w:endnote>
  <w:endnote w:type="continuationNotice" w:id="1">
    <w:p w14:paraId="2167B09E" w14:textId="77777777" w:rsidR="00080BAA" w:rsidRDefault="00080B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59D1D" w14:textId="77777777" w:rsidR="0070471B" w:rsidRDefault="0070471B" w:rsidP="005E250B">
    <w:pPr>
      <w:pStyle w:val="Footer"/>
      <w:jc w:val="right"/>
    </w:pPr>
    <w:r>
      <w:rPr>
        <w:noProof/>
      </w:rPr>
      <w:drawing>
        <wp:inline distT="0" distB="0" distL="0" distR="0" wp14:anchorId="0F0D1E57" wp14:editId="0551A2EF">
          <wp:extent cx="1066800" cy="277368"/>
          <wp:effectExtent l="0" t="0" r="0" b="0"/>
          <wp:docPr id="12" name="Picture 12" descr="acma.gov.au">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
                    <a:extLst>
                      <a:ext uri="{28A0092B-C50C-407E-A947-70E740481C1C}">
                        <a14:useLocalDpi xmlns:a14="http://schemas.microsoft.com/office/drawing/2010/main" val="0"/>
                      </a:ext>
                    </a:extLst>
                  </a:blip>
                  <a:stretch>
                    <a:fillRect/>
                  </a:stretch>
                </pic:blipFill>
                <pic:spPr>
                  <a:xfrm>
                    <a:off x="0" y="0"/>
                    <a:ext cx="1066800" cy="277368"/>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CB51E" w14:textId="77777777" w:rsidR="00C053A1" w:rsidRDefault="00C053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1F1C6" w14:textId="77777777" w:rsidR="00C053A1" w:rsidRDefault="00C053A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E2092" w14:textId="77777777" w:rsidR="00971914" w:rsidRPr="00622A3B" w:rsidRDefault="00971914" w:rsidP="00971914">
    <w:pPr>
      <w:pStyle w:val="Footer"/>
      <w:framePr w:w="1334" w:h="357" w:hRule="exact" w:vSpace="425" w:wrap="around" w:vAnchor="page" w:hAnchor="page" w:x="1156" w:y="16166"/>
      <w:pBdr>
        <w:top w:val="single" w:sz="4" w:space="1" w:color="auto"/>
      </w:pBdr>
      <w:tabs>
        <w:tab w:val="clear" w:pos="113"/>
        <w:tab w:val="left" w:pos="284"/>
      </w:tabs>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0C6AB4">
      <w:rPr>
        <w:noProof/>
        <w:color w:val="505050"/>
      </w:rPr>
      <w:t>iv</w:t>
    </w:r>
    <w:r w:rsidRPr="002E4DDC">
      <w:rPr>
        <w:color w:val="505050"/>
      </w:rPr>
      <w:fldChar w:fldCharType="end"/>
    </w:r>
  </w:p>
  <w:p w14:paraId="0DA44C45" w14:textId="77777777" w:rsidR="00C053A1" w:rsidRPr="00A5474E" w:rsidRDefault="00C053A1" w:rsidP="00A5474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5BDC" w14:textId="77777777" w:rsidR="00971914" w:rsidRPr="00622A3B" w:rsidRDefault="00971914" w:rsidP="00971914">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0C6AB4">
      <w:rPr>
        <w:noProof/>
        <w:color w:val="505050"/>
      </w:rPr>
      <w:t>v</w:t>
    </w:r>
    <w:r w:rsidRPr="002E4DDC">
      <w:rPr>
        <w:color w:val="505050"/>
      </w:rPr>
      <w:fldChar w:fldCharType="end"/>
    </w:r>
  </w:p>
  <w:p w14:paraId="71B4B29A" w14:textId="77777777" w:rsidR="00C053A1" w:rsidRPr="00A5474E" w:rsidRDefault="00C053A1" w:rsidP="00A5474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7307B" w14:textId="77777777" w:rsidR="00C053A1" w:rsidRPr="00622A3B" w:rsidRDefault="00C053A1" w:rsidP="0094078F">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DD1A43">
      <w:rPr>
        <w:noProof/>
        <w:color w:val="505050"/>
      </w:rPr>
      <w:t>iii</w:t>
    </w:r>
    <w:r w:rsidRPr="002E4DDC">
      <w:rPr>
        <w:color w:val="505050"/>
      </w:rPr>
      <w:fldChar w:fldCharType="end"/>
    </w:r>
  </w:p>
  <w:p w14:paraId="536BBA3F" w14:textId="77777777" w:rsidR="00C053A1" w:rsidRPr="00A5474E" w:rsidRDefault="00C053A1" w:rsidP="00A5474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030E3" w14:textId="77777777" w:rsidR="00C053A1" w:rsidRPr="00622A3B" w:rsidRDefault="00C053A1" w:rsidP="00B43262">
    <w:pPr>
      <w:pStyle w:val="FooterLeft"/>
      <w:framePr w:wrap="around" w:x="1141" w:y="16166"/>
      <w:tabs>
        <w:tab w:val="clear" w:pos="113"/>
        <w:tab w:val="right" w:pos="397"/>
      </w:tabs>
    </w:pPr>
    <w:r w:rsidRPr="00575AC5">
      <w:fldChar w:fldCharType="begin"/>
    </w:r>
    <w:r w:rsidRPr="00575AC5">
      <w:instrText xml:space="preserve"> PAGE  \* Arabic  \* MERGEFORMAT </w:instrText>
    </w:r>
    <w:r w:rsidRPr="00575AC5">
      <w:fldChar w:fldCharType="separate"/>
    </w:r>
    <w:r w:rsidR="00DD1A43">
      <w:rPr>
        <w:noProof/>
      </w:rPr>
      <w:t>6</w:t>
    </w:r>
    <w:r w:rsidRPr="00575AC5">
      <w:fldChar w:fldCharType="end"/>
    </w:r>
    <w:r w:rsidRPr="0094078F">
      <w:tab/>
    </w:r>
    <w:r w:rsidRPr="00622A3B">
      <w:t>|</w:t>
    </w:r>
    <w:r>
      <w:tab/>
    </w:r>
    <w:r w:rsidRPr="00622A3B">
      <w:rPr>
        <w:b/>
        <w:noProof/>
        <w:spacing w:val="-16"/>
        <w:sz w:val="20"/>
        <w:szCs w:val="20"/>
      </w:rPr>
      <w:t>a</w:t>
    </w:r>
    <w:r w:rsidRPr="00622A3B">
      <w:rPr>
        <w:b/>
        <w:noProof/>
        <w:spacing w:val="-15"/>
        <w:sz w:val="20"/>
        <w:szCs w:val="20"/>
      </w:rPr>
      <w:t>c</w:t>
    </w:r>
    <w:r w:rsidRPr="00622A3B">
      <w:rPr>
        <w:b/>
        <w:noProof/>
        <w:spacing w:val="-16"/>
        <w:sz w:val="20"/>
        <w:szCs w:val="20"/>
      </w:rPr>
      <w:t>m</w:t>
    </w:r>
    <w:r w:rsidRPr="00622A3B">
      <w:rPr>
        <w:b/>
        <w:noProof/>
        <w:spacing w:val="-14"/>
        <w:sz w:val="20"/>
        <w:szCs w:val="20"/>
      </w:rPr>
      <w:t>a</w:t>
    </w:r>
  </w:p>
  <w:p w14:paraId="672033A1" w14:textId="77777777" w:rsidR="00C053A1" w:rsidRPr="00A5474E" w:rsidRDefault="00C053A1" w:rsidP="00A5474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85D0A" w14:textId="77777777" w:rsidR="00C053A1" w:rsidRPr="00622A3B" w:rsidRDefault="00C053A1" w:rsidP="00447037">
    <w:pPr>
      <w:pStyle w:val="Footer"/>
      <w:framePr w:w="1440" w:h="357" w:hRule="exact" w:vSpace="425" w:wrap="around" w:vAnchor="page" w:hAnchor="page" w:x="7335" w:y="16166"/>
      <w:pBdr>
        <w:top w:val="single" w:sz="4" w:space="1" w:color="auto"/>
      </w:pBdr>
      <w:tabs>
        <w:tab w:val="clear" w:pos="113"/>
        <w:tab w:val="left" w:pos="397"/>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575AC5">
      <w:rPr>
        <w:color w:val="505050"/>
      </w:rPr>
      <w:fldChar w:fldCharType="begin"/>
    </w:r>
    <w:r w:rsidRPr="00575AC5">
      <w:rPr>
        <w:color w:val="505050"/>
      </w:rPr>
      <w:instrText xml:space="preserve"> PAGE  \* Arabic  \* MERGEFORMAT </w:instrText>
    </w:r>
    <w:r w:rsidRPr="00575AC5">
      <w:rPr>
        <w:color w:val="505050"/>
      </w:rPr>
      <w:fldChar w:fldCharType="separate"/>
    </w:r>
    <w:r w:rsidR="00DD1A43">
      <w:rPr>
        <w:noProof/>
        <w:color w:val="505050"/>
      </w:rPr>
      <w:t>1</w:t>
    </w:r>
    <w:r w:rsidRPr="00575AC5">
      <w:rPr>
        <w:color w:val="505050"/>
      </w:rPr>
      <w:fldChar w:fldCharType="end"/>
    </w:r>
  </w:p>
  <w:p w14:paraId="33262AF1" w14:textId="77777777" w:rsidR="00C053A1" w:rsidRPr="00A5474E" w:rsidRDefault="00C053A1" w:rsidP="00A547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E6999" w14:textId="77777777" w:rsidR="00080BAA" w:rsidRDefault="00080BAA" w:rsidP="00DB3A64">
      <w:pPr>
        <w:spacing w:after="0"/>
      </w:pPr>
      <w:r>
        <w:separator/>
      </w:r>
    </w:p>
  </w:footnote>
  <w:footnote w:type="continuationSeparator" w:id="0">
    <w:p w14:paraId="459CA0DC" w14:textId="77777777" w:rsidR="00080BAA" w:rsidRDefault="00080BAA">
      <w:r>
        <w:continuationSeparator/>
      </w:r>
    </w:p>
  </w:footnote>
  <w:footnote w:type="continuationNotice" w:id="1">
    <w:p w14:paraId="71142156" w14:textId="77777777" w:rsidR="00080BAA" w:rsidRDefault="00080BAA">
      <w:pPr>
        <w:spacing w:after="0" w:line="240" w:lineRule="auto"/>
      </w:pPr>
    </w:p>
  </w:footnote>
  <w:footnote w:id="2">
    <w:p w14:paraId="2F28720A" w14:textId="77777777" w:rsidR="0070471B" w:rsidRDefault="0070471B" w:rsidP="0070471B">
      <w:pPr>
        <w:pStyle w:val="FootnoteText"/>
      </w:pPr>
      <w:r>
        <w:rPr>
          <w:rStyle w:val="FootnoteReference"/>
        </w:rPr>
        <w:footnoteRef/>
      </w:r>
      <w:r>
        <w:t xml:space="preserve"> The maximum amount of spectrum will not be available in all areas due to incumbent licensees. </w:t>
      </w:r>
    </w:p>
  </w:footnote>
  <w:footnote w:id="3">
    <w:p w14:paraId="41F21FBE" w14:textId="77777777" w:rsidR="0070471B" w:rsidRDefault="0070471B" w:rsidP="0070471B">
      <w:pPr>
        <w:pStyle w:val="FootnoteText"/>
      </w:pPr>
      <w:r>
        <w:rPr>
          <w:rStyle w:val="FootnoteReference"/>
        </w:rPr>
        <w:footnoteRef/>
      </w:r>
      <w:r>
        <w:t xml:space="preserve"> These definitions do not include any areas of appropriate exclusion from licensing, such as the Earth station protection zones or the Australian radio quiet zone in Western Australia (</w:t>
      </w:r>
      <w:hyperlink r:id="rId1" w:history="1">
        <w:r w:rsidRPr="00314E43">
          <w:rPr>
            <w:rStyle w:val="Hyperlink"/>
          </w:rPr>
          <w:t>RQZ</w:t>
        </w:r>
      </w:hyperlink>
      <w:r>
        <w:t>), among others.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12FF7" w14:textId="77777777" w:rsidR="0070471B" w:rsidRPr="00A5474E" w:rsidRDefault="0070471B" w:rsidP="00A5474E">
    <w:pPr>
      <w:pStyle w:val="Header"/>
    </w:pPr>
    <w:r>
      <w:rPr>
        <w:noProof/>
      </w:rPr>
      <w:drawing>
        <wp:inline distT="0" distB="0" distL="0" distR="0" wp14:anchorId="45511470" wp14:editId="5289E46D">
          <wp:extent cx="6210298" cy="571134"/>
          <wp:effectExtent l="0" t="0" r="0" b="0"/>
          <wp:docPr id="3" name="Picture 3" descr="AC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6210298" cy="57113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800B8" w14:textId="77777777" w:rsidR="0070471B" w:rsidRPr="00A5474E" w:rsidRDefault="0070471B" w:rsidP="00936396">
    <w:pPr>
      <w:pStyle w:val="TOCHeading"/>
    </w:pPr>
    <w:r>
      <w:t>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26ED9" w14:textId="77777777" w:rsidR="00C053A1" w:rsidRDefault="00C053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7639B" w14:textId="77777777" w:rsidR="00C053A1" w:rsidRDefault="00C053A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678" w:type="dxa"/>
      <w:tblLayout w:type="fixed"/>
      <w:tblCellMar>
        <w:left w:w="0" w:type="dxa"/>
        <w:right w:w="0" w:type="dxa"/>
      </w:tblCellMar>
      <w:tblLook w:val="01E0" w:firstRow="1" w:lastRow="1" w:firstColumn="1" w:lastColumn="1" w:noHBand="0" w:noVBand="0"/>
    </w:tblPr>
    <w:tblGrid>
      <w:gridCol w:w="7678"/>
    </w:tblGrid>
    <w:tr w:rsidR="00971914" w14:paraId="42F8C626" w14:textId="77777777" w:rsidTr="00936396">
      <w:trPr>
        <w:trHeight w:hRule="exact" w:val="988"/>
      </w:trPr>
      <w:tc>
        <w:tcPr>
          <w:tcW w:w="7678" w:type="dxa"/>
          <w:shd w:val="clear" w:color="auto" w:fill="auto"/>
        </w:tcPr>
        <w:p w14:paraId="0DAD0DD8" w14:textId="77777777" w:rsidR="00971914" w:rsidRDefault="00971914" w:rsidP="00971914">
          <w:pPr>
            <w:pStyle w:val="Header"/>
          </w:pPr>
        </w:p>
      </w:tc>
    </w:tr>
    <w:tr w:rsidR="00971914" w14:paraId="2BF415E1" w14:textId="77777777" w:rsidTr="00936396">
      <w:tc>
        <w:tcPr>
          <w:tcW w:w="7678" w:type="dxa"/>
          <w:shd w:val="clear" w:color="auto" w:fill="auto"/>
        </w:tcPr>
        <w:p w14:paraId="5CD67FDC" w14:textId="77777777" w:rsidR="00971914" w:rsidRDefault="00971914" w:rsidP="00971914">
          <w:pPr>
            <w:pStyle w:val="GridTable31"/>
          </w:pPr>
          <w:r>
            <w:t xml:space="preserve">Contents </w:t>
          </w:r>
          <w:r w:rsidRPr="00915B1C">
            <w:rPr>
              <w:b w:val="0"/>
              <w:spacing w:val="0"/>
              <w:sz w:val="28"/>
              <w:szCs w:val="28"/>
            </w:rPr>
            <w:t>(Continued)</w:t>
          </w:r>
        </w:p>
      </w:tc>
    </w:tr>
    <w:tr w:rsidR="00971914" w14:paraId="462384A7" w14:textId="77777777" w:rsidTr="00936396">
      <w:trPr>
        <w:trHeight w:val="1220"/>
      </w:trPr>
      <w:tc>
        <w:tcPr>
          <w:tcW w:w="7678" w:type="dxa"/>
          <w:shd w:val="clear" w:color="auto" w:fill="auto"/>
        </w:tcPr>
        <w:p w14:paraId="4DF83559" w14:textId="77777777" w:rsidR="00971914" w:rsidRDefault="00971914" w:rsidP="00971914"/>
      </w:tc>
    </w:tr>
  </w:tbl>
  <w:p w14:paraId="5BA4D508" w14:textId="77777777" w:rsidR="00971914" w:rsidRDefault="00971914" w:rsidP="0097191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678" w:type="dxa"/>
      <w:tblLayout w:type="fixed"/>
      <w:tblCellMar>
        <w:left w:w="0" w:type="dxa"/>
        <w:right w:w="0" w:type="dxa"/>
      </w:tblCellMar>
      <w:tblLook w:val="01E0" w:firstRow="1" w:lastRow="1" w:firstColumn="1" w:lastColumn="1" w:noHBand="0" w:noVBand="0"/>
    </w:tblPr>
    <w:tblGrid>
      <w:gridCol w:w="7678"/>
    </w:tblGrid>
    <w:tr w:rsidR="00971914" w14:paraId="3CA7238F" w14:textId="77777777" w:rsidTr="00936396">
      <w:trPr>
        <w:trHeight w:hRule="exact" w:val="988"/>
      </w:trPr>
      <w:tc>
        <w:tcPr>
          <w:tcW w:w="7678" w:type="dxa"/>
          <w:shd w:val="clear" w:color="auto" w:fill="auto"/>
        </w:tcPr>
        <w:p w14:paraId="160E462F" w14:textId="77777777" w:rsidR="00971914" w:rsidRDefault="00971914" w:rsidP="00971914">
          <w:pPr>
            <w:pStyle w:val="Header"/>
          </w:pPr>
        </w:p>
      </w:tc>
    </w:tr>
    <w:tr w:rsidR="00971914" w14:paraId="2E2BFDB4" w14:textId="77777777" w:rsidTr="00936396">
      <w:tc>
        <w:tcPr>
          <w:tcW w:w="7678" w:type="dxa"/>
          <w:shd w:val="clear" w:color="auto" w:fill="auto"/>
        </w:tcPr>
        <w:p w14:paraId="730BFE69" w14:textId="77777777" w:rsidR="00971914" w:rsidRDefault="00971914" w:rsidP="00971914">
          <w:pPr>
            <w:pStyle w:val="GridTable31"/>
          </w:pPr>
          <w:r>
            <w:t xml:space="preserve">Contents </w:t>
          </w:r>
          <w:r w:rsidRPr="00915B1C">
            <w:rPr>
              <w:b w:val="0"/>
              <w:spacing w:val="0"/>
              <w:sz w:val="28"/>
              <w:szCs w:val="28"/>
            </w:rPr>
            <w:t>(Continued)</w:t>
          </w:r>
        </w:p>
      </w:tc>
    </w:tr>
    <w:tr w:rsidR="00971914" w14:paraId="5C7A5467" w14:textId="77777777" w:rsidTr="00936396">
      <w:trPr>
        <w:trHeight w:val="1220"/>
      </w:trPr>
      <w:tc>
        <w:tcPr>
          <w:tcW w:w="7678" w:type="dxa"/>
          <w:shd w:val="clear" w:color="auto" w:fill="auto"/>
        </w:tcPr>
        <w:p w14:paraId="68B0AA18" w14:textId="77777777" w:rsidR="00971914" w:rsidRDefault="00971914" w:rsidP="00971914"/>
      </w:tc>
    </w:tr>
  </w:tbl>
  <w:p w14:paraId="5C04CCA8" w14:textId="77777777" w:rsidR="00C053A1" w:rsidRPr="00A5474E" w:rsidRDefault="00C053A1" w:rsidP="00A5474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0DF93" w14:textId="77777777" w:rsidR="00C053A1" w:rsidRDefault="00C053A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73796" w14:textId="77777777" w:rsidR="00C053A1" w:rsidRDefault="00C053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5F22F60"/>
    <w:lvl w:ilvl="0">
      <w:start w:val="1"/>
      <w:numFmt w:val="lowerRoman"/>
      <w:pStyle w:val="ListNumber2"/>
      <w:lvlText w:val="%1."/>
      <w:lvlJc w:val="right"/>
      <w:pPr>
        <w:ind w:left="717" w:hanging="360"/>
      </w:pPr>
      <w:rPr>
        <w:rFonts w:hint="default"/>
      </w:rPr>
    </w:lvl>
  </w:abstractNum>
  <w:abstractNum w:abstractNumId="1" w15:restartNumberingAfterBreak="0">
    <w:nsid w:val="FFFFFF83"/>
    <w:multiLevelType w:val="singleLevel"/>
    <w:tmpl w:val="909E78BC"/>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2" w15:restartNumberingAfterBreak="0">
    <w:nsid w:val="FFFFFF88"/>
    <w:multiLevelType w:val="singleLevel"/>
    <w:tmpl w:val="6EBA4AA8"/>
    <w:lvl w:ilvl="0">
      <w:start w:val="1"/>
      <w:numFmt w:val="decimal"/>
      <w:pStyle w:val="ListNumber"/>
      <w:lvlText w:val="%1."/>
      <w:lvlJc w:val="left"/>
      <w:pPr>
        <w:ind w:left="360" w:hanging="360"/>
      </w:pPr>
      <w:rPr>
        <w:rFonts w:hint="default"/>
        <w:b w:val="0"/>
        <w:bCs/>
        <w:caps/>
        <w:sz w:val="20"/>
      </w:rPr>
    </w:lvl>
  </w:abstractNum>
  <w:abstractNum w:abstractNumId="3" w15:restartNumberingAfterBreak="0">
    <w:nsid w:val="FFFFFF89"/>
    <w:multiLevelType w:val="singleLevel"/>
    <w:tmpl w:val="E552FEBA"/>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4" w15:restartNumberingAfterBreak="0">
    <w:nsid w:val="087C268C"/>
    <w:multiLevelType w:val="hybridMultilevel"/>
    <w:tmpl w:val="E0A6CA9A"/>
    <w:lvl w:ilvl="0" w:tplc="44EEC084">
      <w:start w:val="1"/>
      <w:numFmt w:val="bullet"/>
      <w:lvlText w:val="&gt;"/>
      <w:lvlJc w:val="left"/>
      <w:pPr>
        <w:ind w:left="720" w:hanging="360"/>
      </w:pPr>
      <w:rPr>
        <w:rFonts w:ascii="HelveticaNeueLT Std" w:hAnsi="HelveticaNeueLT St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5B0AF7"/>
    <w:multiLevelType w:val="hybridMultilevel"/>
    <w:tmpl w:val="999CA626"/>
    <w:lvl w:ilvl="0" w:tplc="0804E31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C01379"/>
    <w:multiLevelType w:val="hybridMultilevel"/>
    <w:tmpl w:val="927E64A2"/>
    <w:lvl w:ilvl="0" w:tplc="856E6310">
      <w:start w:val="1"/>
      <w:numFmt w:val="bullet"/>
      <w:lvlText w:val="&gt;"/>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F01B45"/>
    <w:multiLevelType w:val="hybridMultilevel"/>
    <w:tmpl w:val="4A700E32"/>
    <w:lvl w:ilvl="0" w:tplc="0804E31C">
      <w:start w:val="1"/>
      <w:numFmt w:val="bullet"/>
      <w:lvlText w:val=""/>
      <w:lvlJc w:val="left"/>
      <w:pPr>
        <w:ind w:left="720" w:hanging="360"/>
      </w:pPr>
      <w:rPr>
        <w:rFonts w:ascii="Symbol" w:hAnsi="Symbol" w:hint="default"/>
        <w:b w:val="0"/>
        <w:bCs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D4215E6">
      <w:start w:val="3"/>
      <w:numFmt w:val="bullet"/>
      <w:lvlText w:val=""/>
      <w:lvlJc w:val="left"/>
      <w:pPr>
        <w:ind w:left="2880" w:hanging="360"/>
      </w:pPr>
      <w:rPr>
        <w:rFonts w:ascii="Wingdings" w:eastAsiaTheme="minorHAnsi" w:hAnsi="Wingdings" w:cstheme="minorBidi"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4FE0136"/>
    <w:multiLevelType w:val="hybridMultilevel"/>
    <w:tmpl w:val="0C7897DC"/>
    <w:styleLink w:val="NumberLevel1"/>
    <w:lvl w:ilvl="0" w:tplc="A6546B5E">
      <w:start w:val="1"/>
      <w:numFmt w:val="decimal"/>
      <w:lvlText w:val="%1."/>
      <w:lvlJc w:val="left"/>
      <w:pPr>
        <w:ind w:left="0" w:firstLine="360"/>
      </w:pPr>
      <w:rPr>
        <w:rFonts w:ascii="Arial Bold" w:hAnsi="Arial Bold" w:hint="default"/>
        <w:b/>
        <w:i w:val="0"/>
        <w:color w:val="auto"/>
        <w:sz w:val="24"/>
      </w:rPr>
    </w:lvl>
    <w:lvl w:ilvl="1" w:tplc="7D720152">
      <w:start w:val="1"/>
      <w:numFmt w:val="lowerLetter"/>
      <w:lvlText w:val="%2."/>
      <w:lvlJc w:val="left"/>
      <w:pPr>
        <w:ind w:left="1440" w:hanging="360"/>
      </w:pPr>
      <w:rPr>
        <w:rFonts w:hint="default"/>
      </w:rPr>
    </w:lvl>
    <w:lvl w:ilvl="2" w:tplc="24E00A2A">
      <w:start w:val="1"/>
      <w:numFmt w:val="lowerRoman"/>
      <w:lvlText w:val="%3."/>
      <w:lvlJc w:val="right"/>
      <w:pPr>
        <w:ind w:left="2160" w:hanging="180"/>
      </w:pPr>
      <w:rPr>
        <w:rFonts w:hint="default"/>
      </w:rPr>
    </w:lvl>
    <w:lvl w:ilvl="3" w:tplc="35E853BE">
      <w:start w:val="1"/>
      <w:numFmt w:val="decimal"/>
      <w:lvlText w:val="%4."/>
      <w:lvlJc w:val="left"/>
      <w:pPr>
        <w:ind w:left="2880" w:hanging="360"/>
      </w:pPr>
      <w:rPr>
        <w:rFonts w:hint="default"/>
      </w:rPr>
    </w:lvl>
    <w:lvl w:ilvl="4" w:tplc="0544519E">
      <w:start w:val="1"/>
      <w:numFmt w:val="lowerLetter"/>
      <w:lvlText w:val="%5."/>
      <w:lvlJc w:val="left"/>
      <w:pPr>
        <w:ind w:left="3600" w:hanging="360"/>
      </w:pPr>
      <w:rPr>
        <w:rFonts w:hint="default"/>
      </w:rPr>
    </w:lvl>
    <w:lvl w:ilvl="5" w:tplc="8558243E">
      <w:start w:val="1"/>
      <w:numFmt w:val="lowerRoman"/>
      <w:lvlText w:val="%6."/>
      <w:lvlJc w:val="right"/>
      <w:pPr>
        <w:ind w:left="4320" w:hanging="180"/>
      </w:pPr>
      <w:rPr>
        <w:rFonts w:hint="default"/>
      </w:rPr>
    </w:lvl>
    <w:lvl w:ilvl="6" w:tplc="A234193E">
      <w:start w:val="1"/>
      <w:numFmt w:val="decimal"/>
      <w:lvlText w:val="%7."/>
      <w:lvlJc w:val="left"/>
      <w:pPr>
        <w:ind w:left="5040" w:hanging="360"/>
      </w:pPr>
      <w:rPr>
        <w:rFonts w:hint="default"/>
      </w:rPr>
    </w:lvl>
    <w:lvl w:ilvl="7" w:tplc="D39456B2">
      <w:start w:val="1"/>
      <w:numFmt w:val="lowerLetter"/>
      <w:lvlText w:val="%8."/>
      <w:lvlJc w:val="left"/>
      <w:pPr>
        <w:ind w:left="5760" w:hanging="360"/>
      </w:pPr>
      <w:rPr>
        <w:rFonts w:hint="default"/>
      </w:rPr>
    </w:lvl>
    <w:lvl w:ilvl="8" w:tplc="64FA3FAA">
      <w:start w:val="1"/>
      <w:numFmt w:val="lowerRoman"/>
      <w:lvlText w:val="%9."/>
      <w:lvlJc w:val="right"/>
      <w:pPr>
        <w:ind w:left="6480" w:hanging="180"/>
      </w:pPr>
      <w:rPr>
        <w:rFonts w:hint="default"/>
      </w:rPr>
    </w:lvl>
  </w:abstractNum>
  <w:abstractNum w:abstractNumId="9" w15:restartNumberingAfterBreak="0">
    <w:nsid w:val="2403478B"/>
    <w:multiLevelType w:val="hybridMultilevel"/>
    <w:tmpl w:val="E15E83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81D1869"/>
    <w:multiLevelType w:val="hybridMultilevel"/>
    <w:tmpl w:val="44CCDBB4"/>
    <w:lvl w:ilvl="0" w:tplc="B4DE576E">
      <w:start w:val="1"/>
      <w:numFmt w:val="decimal"/>
      <w:pStyle w:val="ACMANumberedLis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E301DD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2" w15:restartNumberingAfterBreak="0">
    <w:nsid w:val="2F5A5080"/>
    <w:multiLevelType w:val="hybridMultilevel"/>
    <w:tmpl w:val="BE2AF6CE"/>
    <w:lvl w:ilvl="0" w:tplc="D05E2434">
      <w:start w:val="1"/>
      <w:numFmt w:val="bullet"/>
      <w:pStyle w:val="ACMABulletLevel1"/>
      <w:lvlText w:val="●"/>
      <w:lvlJc w:val="left"/>
      <w:pPr>
        <w:ind w:left="357" w:hanging="357"/>
      </w:pPr>
      <w:rPr>
        <w:rFonts w:ascii="Arial" w:hAnsi="Arial" w:cs="Arial" w:hint="default"/>
        <w:sz w:val="20"/>
        <w:szCs w:val="20"/>
      </w:rPr>
    </w:lvl>
    <w:lvl w:ilvl="1" w:tplc="04090003">
      <w:start w:val="1"/>
      <w:numFmt w:val="bullet"/>
      <w:lvlText w:val="o"/>
      <w:lvlJc w:val="left"/>
      <w:pPr>
        <w:tabs>
          <w:tab w:val="num" w:pos="1728"/>
        </w:tabs>
        <w:ind w:left="1728" w:hanging="360"/>
      </w:pPr>
      <w:rPr>
        <w:rFonts w:ascii="Courier New" w:hAnsi="Courier New" w:cs="Times New Roman" w:hint="default"/>
      </w:rPr>
    </w:lvl>
    <w:lvl w:ilvl="2" w:tplc="04090005">
      <w:start w:val="1"/>
      <w:numFmt w:val="bullet"/>
      <w:lvlText w:val=""/>
      <w:lvlJc w:val="left"/>
      <w:pPr>
        <w:tabs>
          <w:tab w:val="num" w:pos="2448"/>
        </w:tabs>
        <w:ind w:left="2448" w:hanging="360"/>
      </w:pPr>
      <w:rPr>
        <w:rFonts w:ascii="Wingdings" w:hAnsi="Wingdings" w:hint="default"/>
      </w:rPr>
    </w:lvl>
    <w:lvl w:ilvl="3" w:tplc="04090001">
      <w:start w:val="1"/>
      <w:numFmt w:val="bullet"/>
      <w:lvlText w:val=""/>
      <w:lvlJc w:val="left"/>
      <w:pPr>
        <w:tabs>
          <w:tab w:val="num" w:pos="3168"/>
        </w:tabs>
        <w:ind w:left="3168" w:hanging="360"/>
      </w:pPr>
      <w:rPr>
        <w:rFonts w:ascii="Symbol" w:hAnsi="Symbol" w:hint="default"/>
      </w:rPr>
    </w:lvl>
    <w:lvl w:ilvl="4" w:tplc="04090003">
      <w:start w:val="1"/>
      <w:numFmt w:val="bullet"/>
      <w:lvlText w:val="o"/>
      <w:lvlJc w:val="left"/>
      <w:pPr>
        <w:tabs>
          <w:tab w:val="num" w:pos="3888"/>
        </w:tabs>
        <w:ind w:left="3888" w:hanging="360"/>
      </w:pPr>
      <w:rPr>
        <w:rFonts w:ascii="Courier New" w:hAnsi="Courier New" w:cs="Times New Roman" w:hint="default"/>
      </w:rPr>
    </w:lvl>
    <w:lvl w:ilvl="5" w:tplc="04090005">
      <w:start w:val="1"/>
      <w:numFmt w:val="bullet"/>
      <w:lvlText w:val=""/>
      <w:lvlJc w:val="left"/>
      <w:pPr>
        <w:tabs>
          <w:tab w:val="num" w:pos="4608"/>
        </w:tabs>
        <w:ind w:left="4608" w:hanging="360"/>
      </w:pPr>
      <w:rPr>
        <w:rFonts w:ascii="Wingdings" w:hAnsi="Wingdings" w:hint="default"/>
      </w:rPr>
    </w:lvl>
    <w:lvl w:ilvl="6" w:tplc="04090001">
      <w:start w:val="1"/>
      <w:numFmt w:val="bullet"/>
      <w:lvlText w:val=""/>
      <w:lvlJc w:val="left"/>
      <w:pPr>
        <w:tabs>
          <w:tab w:val="num" w:pos="5328"/>
        </w:tabs>
        <w:ind w:left="5328" w:hanging="360"/>
      </w:pPr>
      <w:rPr>
        <w:rFonts w:ascii="Symbol" w:hAnsi="Symbol" w:hint="default"/>
      </w:rPr>
    </w:lvl>
    <w:lvl w:ilvl="7" w:tplc="04090003">
      <w:start w:val="1"/>
      <w:numFmt w:val="bullet"/>
      <w:lvlText w:val="o"/>
      <w:lvlJc w:val="left"/>
      <w:pPr>
        <w:tabs>
          <w:tab w:val="num" w:pos="6048"/>
        </w:tabs>
        <w:ind w:left="6048" w:hanging="360"/>
      </w:pPr>
      <w:rPr>
        <w:rFonts w:ascii="Courier New" w:hAnsi="Courier New" w:cs="Times New Roman" w:hint="default"/>
      </w:rPr>
    </w:lvl>
    <w:lvl w:ilvl="8" w:tplc="04090005">
      <w:start w:val="1"/>
      <w:numFmt w:val="bullet"/>
      <w:lvlText w:val=""/>
      <w:lvlJc w:val="left"/>
      <w:pPr>
        <w:tabs>
          <w:tab w:val="num" w:pos="6768"/>
        </w:tabs>
        <w:ind w:left="6768" w:hanging="360"/>
      </w:pPr>
      <w:rPr>
        <w:rFonts w:ascii="Wingdings" w:hAnsi="Wingdings" w:hint="default"/>
      </w:rPr>
    </w:lvl>
  </w:abstractNum>
  <w:abstractNum w:abstractNumId="13" w15:restartNumberingAfterBreak="0">
    <w:nsid w:val="32981D74"/>
    <w:multiLevelType w:val="hybridMultilevel"/>
    <w:tmpl w:val="348C4932"/>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31C760A"/>
    <w:multiLevelType w:val="hybridMultilevel"/>
    <w:tmpl w:val="39865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534B99"/>
    <w:multiLevelType w:val="hybridMultilevel"/>
    <w:tmpl w:val="EA16DEB0"/>
    <w:lvl w:ilvl="0" w:tplc="0804E31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41C24FB"/>
    <w:multiLevelType w:val="multilevel"/>
    <w:tmpl w:val="1DD8318E"/>
    <w:lvl w:ilvl="0">
      <w:start w:val="1"/>
      <w:numFmt w:val="decimal"/>
      <w:lvlText w:val="%1."/>
      <w:lvlJc w:val="left"/>
      <w:pPr>
        <w:ind w:left="731" w:hanging="720"/>
      </w:pPr>
      <w:rPr>
        <w:rFonts w:hint="default"/>
      </w:rPr>
    </w:lvl>
    <w:lvl w:ilvl="1">
      <w:start w:val="1"/>
      <w:numFmt w:val="decimal"/>
      <w:isLgl/>
      <w:lvlText w:val="%1.%2"/>
      <w:lvlJc w:val="left"/>
      <w:pPr>
        <w:ind w:left="731" w:hanging="720"/>
      </w:pPr>
      <w:rPr>
        <w:rFonts w:hint="default"/>
      </w:rPr>
    </w:lvl>
    <w:lvl w:ilvl="2">
      <w:start w:val="1"/>
      <w:numFmt w:val="decimal"/>
      <w:isLgl/>
      <w:lvlText w:val="%1.%2.%3"/>
      <w:lvlJc w:val="left"/>
      <w:pPr>
        <w:ind w:left="731" w:hanging="720"/>
      </w:pPr>
      <w:rPr>
        <w:rFonts w:hint="default"/>
      </w:rPr>
    </w:lvl>
    <w:lvl w:ilvl="3">
      <w:start w:val="1"/>
      <w:numFmt w:val="decimal"/>
      <w:isLgl/>
      <w:lvlText w:val="%1.%2.%3.%4"/>
      <w:lvlJc w:val="left"/>
      <w:pPr>
        <w:ind w:left="1091" w:hanging="1080"/>
      </w:pPr>
      <w:rPr>
        <w:rFonts w:hint="default"/>
      </w:rPr>
    </w:lvl>
    <w:lvl w:ilvl="4">
      <w:start w:val="1"/>
      <w:numFmt w:val="decimal"/>
      <w:isLgl/>
      <w:lvlText w:val="%1.%2.%3.%4.%5"/>
      <w:lvlJc w:val="left"/>
      <w:pPr>
        <w:ind w:left="1451" w:hanging="1440"/>
      </w:pPr>
      <w:rPr>
        <w:rFonts w:hint="default"/>
      </w:rPr>
    </w:lvl>
    <w:lvl w:ilvl="5">
      <w:start w:val="1"/>
      <w:numFmt w:val="decimal"/>
      <w:isLgl/>
      <w:lvlText w:val="%1.%2.%3.%4.%5.%6"/>
      <w:lvlJc w:val="left"/>
      <w:pPr>
        <w:ind w:left="1451" w:hanging="1440"/>
      </w:pPr>
      <w:rPr>
        <w:rFonts w:hint="default"/>
      </w:rPr>
    </w:lvl>
    <w:lvl w:ilvl="6">
      <w:start w:val="1"/>
      <w:numFmt w:val="decimal"/>
      <w:isLgl/>
      <w:lvlText w:val="%1.%2.%3.%4.%5.%6.%7"/>
      <w:lvlJc w:val="left"/>
      <w:pPr>
        <w:ind w:left="1811" w:hanging="1800"/>
      </w:pPr>
      <w:rPr>
        <w:rFonts w:hint="default"/>
      </w:rPr>
    </w:lvl>
    <w:lvl w:ilvl="7">
      <w:start w:val="1"/>
      <w:numFmt w:val="decimal"/>
      <w:isLgl/>
      <w:lvlText w:val="%1.%2.%3.%4.%5.%6.%7.%8"/>
      <w:lvlJc w:val="left"/>
      <w:pPr>
        <w:ind w:left="1811" w:hanging="1800"/>
      </w:pPr>
      <w:rPr>
        <w:rFonts w:hint="default"/>
      </w:rPr>
    </w:lvl>
    <w:lvl w:ilvl="8">
      <w:start w:val="1"/>
      <w:numFmt w:val="decimal"/>
      <w:isLgl/>
      <w:lvlText w:val="%1.%2.%3.%4.%5.%6.%7.%8.%9"/>
      <w:lvlJc w:val="left"/>
      <w:pPr>
        <w:ind w:left="2171" w:hanging="2160"/>
      </w:pPr>
      <w:rPr>
        <w:rFonts w:hint="default"/>
      </w:rPr>
    </w:lvl>
  </w:abstractNum>
  <w:abstractNum w:abstractNumId="17" w15:restartNumberingAfterBreak="0">
    <w:nsid w:val="497262ED"/>
    <w:multiLevelType w:val="hybridMultilevel"/>
    <w:tmpl w:val="F3BE8B2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4A003874"/>
    <w:multiLevelType w:val="hybridMultilevel"/>
    <w:tmpl w:val="0CAEB3F2"/>
    <w:lvl w:ilvl="0" w:tplc="0C090001">
      <w:start w:val="1"/>
      <w:numFmt w:val="bullet"/>
      <w:lvlText w:val=""/>
      <w:lvlJc w:val="left"/>
      <w:pPr>
        <w:ind w:left="731" w:hanging="360"/>
      </w:pPr>
      <w:rPr>
        <w:rFonts w:ascii="Symbol" w:hAnsi="Symbol" w:hint="default"/>
      </w:rPr>
    </w:lvl>
    <w:lvl w:ilvl="1" w:tplc="0C090003" w:tentative="1">
      <w:start w:val="1"/>
      <w:numFmt w:val="bullet"/>
      <w:lvlText w:val="o"/>
      <w:lvlJc w:val="left"/>
      <w:pPr>
        <w:ind w:left="1451" w:hanging="360"/>
      </w:pPr>
      <w:rPr>
        <w:rFonts w:ascii="Courier New" w:hAnsi="Courier New" w:cs="Courier New" w:hint="default"/>
      </w:rPr>
    </w:lvl>
    <w:lvl w:ilvl="2" w:tplc="0C090005" w:tentative="1">
      <w:start w:val="1"/>
      <w:numFmt w:val="bullet"/>
      <w:lvlText w:val=""/>
      <w:lvlJc w:val="left"/>
      <w:pPr>
        <w:ind w:left="2171" w:hanging="360"/>
      </w:pPr>
      <w:rPr>
        <w:rFonts w:ascii="Wingdings" w:hAnsi="Wingdings" w:hint="default"/>
      </w:rPr>
    </w:lvl>
    <w:lvl w:ilvl="3" w:tplc="0C090001" w:tentative="1">
      <w:start w:val="1"/>
      <w:numFmt w:val="bullet"/>
      <w:lvlText w:val=""/>
      <w:lvlJc w:val="left"/>
      <w:pPr>
        <w:ind w:left="2891" w:hanging="360"/>
      </w:pPr>
      <w:rPr>
        <w:rFonts w:ascii="Symbol" w:hAnsi="Symbol" w:hint="default"/>
      </w:rPr>
    </w:lvl>
    <w:lvl w:ilvl="4" w:tplc="0C090003" w:tentative="1">
      <w:start w:val="1"/>
      <w:numFmt w:val="bullet"/>
      <w:lvlText w:val="o"/>
      <w:lvlJc w:val="left"/>
      <w:pPr>
        <w:ind w:left="3611" w:hanging="360"/>
      </w:pPr>
      <w:rPr>
        <w:rFonts w:ascii="Courier New" w:hAnsi="Courier New" w:cs="Courier New" w:hint="default"/>
      </w:rPr>
    </w:lvl>
    <w:lvl w:ilvl="5" w:tplc="0C090005" w:tentative="1">
      <w:start w:val="1"/>
      <w:numFmt w:val="bullet"/>
      <w:lvlText w:val=""/>
      <w:lvlJc w:val="left"/>
      <w:pPr>
        <w:ind w:left="4331" w:hanging="360"/>
      </w:pPr>
      <w:rPr>
        <w:rFonts w:ascii="Wingdings" w:hAnsi="Wingdings" w:hint="default"/>
      </w:rPr>
    </w:lvl>
    <w:lvl w:ilvl="6" w:tplc="0C090001" w:tentative="1">
      <w:start w:val="1"/>
      <w:numFmt w:val="bullet"/>
      <w:lvlText w:val=""/>
      <w:lvlJc w:val="left"/>
      <w:pPr>
        <w:ind w:left="5051" w:hanging="360"/>
      </w:pPr>
      <w:rPr>
        <w:rFonts w:ascii="Symbol" w:hAnsi="Symbol" w:hint="default"/>
      </w:rPr>
    </w:lvl>
    <w:lvl w:ilvl="7" w:tplc="0C090003" w:tentative="1">
      <w:start w:val="1"/>
      <w:numFmt w:val="bullet"/>
      <w:lvlText w:val="o"/>
      <w:lvlJc w:val="left"/>
      <w:pPr>
        <w:ind w:left="5771" w:hanging="360"/>
      </w:pPr>
      <w:rPr>
        <w:rFonts w:ascii="Courier New" w:hAnsi="Courier New" w:cs="Courier New" w:hint="default"/>
      </w:rPr>
    </w:lvl>
    <w:lvl w:ilvl="8" w:tplc="0C090005" w:tentative="1">
      <w:start w:val="1"/>
      <w:numFmt w:val="bullet"/>
      <w:lvlText w:val=""/>
      <w:lvlJc w:val="left"/>
      <w:pPr>
        <w:ind w:left="6491" w:hanging="360"/>
      </w:pPr>
      <w:rPr>
        <w:rFonts w:ascii="Wingdings" w:hAnsi="Wingdings" w:hint="default"/>
      </w:rPr>
    </w:lvl>
  </w:abstractNum>
  <w:abstractNum w:abstractNumId="19" w15:restartNumberingAfterBreak="0">
    <w:nsid w:val="4A432FB2"/>
    <w:multiLevelType w:val="hybridMultilevel"/>
    <w:tmpl w:val="4A2CFA2C"/>
    <w:lvl w:ilvl="0" w:tplc="1706C00E">
      <w:start w:val="1"/>
      <w:numFmt w:val="bullet"/>
      <w:lvlText w:val=""/>
      <w:lvlJc w:val="left"/>
      <w:pPr>
        <w:ind w:left="947" w:hanging="360"/>
      </w:pPr>
      <w:rPr>
        <w:rFonts w:ascii="Symbol" w:hAnsi="Symbol" w:hint="default"/>
      </w:rPr>
    </w:lvl>
    <w:lvl w:ilvl="1" w:tplc="0C090003">
      <w:start w:val="1"/>
      <w:numFmt w:val="bullet"/>
      <w:lvlText w:val="o"/>
      <w:lvlJc w:val="left"/>
      <w:pPr>
        <w:ind w:left="1667" w:hanging="360"/>
      </w:pPr>
      <w:rPr>
        <w:rFonts w:ascii="Courier New" w:hAnsi="Courier New" w:cs="Courier New" w:hint="default"/>
      </w:rPr>
    </w:lvl>
    <w:lvl w:ilvl="2" w:tplc="0C090005">
      <w:start w:val="1"/>
      <w:numFmt w:val="bullet"/>
      <w:lvlText w:val=""/>
      <w:lvlJc w:val="left"/>
      <w:pPr>
        <w:ind w:left="2387" w:hanging="360"/>
      </w:pPr>
      <w:rPr>
        <w:rFonts w:ascii="Wingdings" w:hAnsi="Wingdings" w:hint="default"/>
      </w:rPr>
    </w:lvl>
    <w:lvl w:ilvl="3" w:tplc="0C090001">
      <w:start w:val="1"/>
      <w:numFmt w:val="bullet"/>
      <w:lvlText w:val=""/>
      <w:lvlJc w:val="left"/>
      <w:pPr>
        <w:ind w:left="3107" w:hanging="360"/>
      </w:pPr>
      <w:rPr>
        <w:rFonts w:ascii="Symbol" w:hAnsi="Symbol" w:hint="default"/>
      </w:rPr>
    </w:lvl>
    <w:lvl w:ilvl="4" w:tplc="0C090003">
      <w:start w:val="1"/>
      <w:numFmt w:val="bullet"/>
      <w:lvlText w:val="o"/>
      <w:lvlJc w:val="left"/>
      <w:pPr>
        <w:ind w:left="3827" w:hanging="360"/>
      </w:pPr>
      <w:rPr>
        <w:rFonts w:ascii="Courier New" w:hAnsi="Courier New" w:cs="Courier New" w:hint="default"/>
      </w:rPr>
    </w:lvl>
    <w:lvl w:ilvl="5" w:tplc="0C090005">
      <w:start w:val="1"/>
      <w:numFmt w:val="bullet"/>
      <w:lvlText w:val=""/>
      <w:lvlJc w:val="left"/>
      <w:pPr>
        <w:ind w:left="4547" w:hanging="360"/>
      </w:pPr>
      <w:rPr>
        <w:rFonts w:ascii="Wingdings" w:hAnsi="Wingdings" w:hint="default"/>
      </w:rPr>
    </w:lvl>
    <w:lvl w:ilvl="6" w:tplc="0C090001">
      <w:start w:val="1"/>
      <w:numFmt w:val="bullet"/>
      <w:lvlText w:val=""/>
      <w:lvlJc w:val="left"/>
      <w:pPr>
        <w:ind w:left="5267" w:hanging="360"/>
      </w:pPr>
      <w:rPr>
        <w:rFonts w:ascii="Symbol" w:hAnsi="Symbol" w:hint="default"/>
      </w:rPr>
    </w:lvl>
    <w:lvl w:ilvl="7" w:tplc="0C090003">
      <w:start w:val="1"/>
      <w:numFmt w:val="bullet"/>
      <w:lvlText w:val="o"/>
      <w:lvlJc w:val="left"/>
      <w:pPr>
        <w:ind w:left="5987" w:hanging="360"/>
      </w:pPr>
      <w:rPr>
        <w:rFonts w:ascii="Courier New" w:hAnsi="Courier New" w:cs="Courier New" w:hint="default"/>
      </w:rPr>
    </w:lvl>
    <w:lvl w:ilvl="8" w:tplc="0C090005">
      <w:start w:val="1"/>
      <w:numFmt w:val="bullet"/>
      <w:lvlText w:val=""/>
      <w:lvlJc w:val="left"/>
      <w:pPr>
        <w:ind w:left="6707" w:hanging="360"/>
      </w:pPr>
      <w:rPr>
        <w:rFonts w:ascii="Wingdings" w:hAnsi="Wingdings" w:hint="default"/>
      </w:rPr>
    </w:lvl>
  </w:abstractNum>
  <w:abstractNum w:abstractNumId="20" w15:restartNumberingAfterBreak="0">
    <w:nsid w:val="55AA21F0"/>
    <w:multiLevelType w:val="hybridMultilevel"/>
    <w:tmpl w:val="9B5CB936"/>
    <w:lvl w:ilvl="0" w:tplc="CCA08FFA">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6F1AD3"/>
    <w:multiLevelType w:val="multilevel"/>
    <w:tmpl w:val="FEA0D362"/>
    <w:lvl w:ilvl="0">
      <w:start w:val="1"/>
      <w:numFmt w:val="decimal"/>
      <w:lvlText w:val="%1."/>
      <w:lvlJc w:val="left"/>
      <w:pPr>
        <w:ind w:left="0" w:hanging="567"/>
      </w:pPr>
      <w:rPr>
        <w:rFonts w:hint="default"/>
      </w:rPr>
    </w:lvl>
    <w:lvl w:ilvl="1">
      <w:start w:val="1"/>
      <w:numFmt w:val="decimal"/>
      <w:lvlText w:val="%1.%2"/>
      <w:lvlJc w:val="left"/>
      <w:pPr>
        <w:tabs>
          <w:tab w:val="num" w:pos="567"/>
        </w:tabs>
        <w:ind w:left="0" w:hanging="567"/>
      </w:pPr>
      <w:rPr>
        <w:rFonts w:hint="default"/>
        <w:b w:val="0"/>
        <w:bC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20237EF"/>
    <w:multiLevelType w:val="hybridMultilevel"/>
    <w:tmpl w:val="1C729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071478"/>
    <w:multiLevelType w:val="hybridMultilevel"/>
    <w:tmpl w:val="16D2B96E"/>
    <w:lvl w:ilvl="0" w:tplc="3A9CF91A">
      <w:start w:val="1"/>
      <w:numFmt w:val="decimal"/>
      <w:pStyle w:val="ACMAFigureHeader"/>
      <w:lvlText w:val="Figure %1: "/>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2A13B1"/>
    <w:multiLevelType w:val="hybridMultilevel"/>
    <w:tmpl w:val="1CF690A2"/>
    <w:lvl w:ilvl="0" w:tplc="856E6310">
      <w:start w:val="1"/>
      <w:numFmt w:val="bullet"/>
      <w:lvlText w:val="&gt;"/>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D757AE6"/>
    <w:multiLevelType w:val="hybridMultilevel"/>
    <w:tmpl w:val="4BAEE1E2"/>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F72F3D"/>
    <w:multiLevelType w:val="hybridMultilevel"/>
    <w:tmpl w:val="03A4E45E"/>
    <w:lvl w:ilvl="0" w:tplc="A0D6C204">
      <w:start w:val="1"/>
      <w:numFmt w:val="bullet"/>
      <w:pStyle w:val="Style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4430030"/>
    <w:multiLevelType w:val="hybridMultilevel"/>
    <w:tmpl w:val="1E3E8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7EB4142"/>
    <w:multiLevelType w:val="hybridMultilevel"/>
    <w:tmpl w:val="6C4E7738"/>
    <w:lvl w:ilvl="0" w:tplc="0C090001">
      <w:start w:val="1"/>
      <w:numFmt w:val="bullet"/>
      <w:lvlText w:val=""/>
      <w:lvlJc w:val="left"/>
      <w:pPr>
        <w:ind w:left="825" w:hanging="360"/>
      </w:pPr>
      <w:rPr>
        <w:rFonts w:ascii="Symbol" w:hAnsi="Symbol" w:hint="default"/>
      </w:rPr>
    </w:lvl>
    <w:lvl w:ilvl="1" w:tplc="0C090003">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30" w15:restartNumberingAfterBreak="0">
    <w:nsid w:val="78FE0137"/>
    <w:multiLevelType w:val="hybridMultilevel"/>
    <w:tmpl w:val="9C88AB4C"/>
    <w:lvl w:ilvl="0" w:tplc="55F2986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A4F006E"/>
    <w:multiLevelType w:val="hybridMultilevel"/>
    <w:tmpl w:val="A0FC50E0"/>
    <w:lvl w:ilvl="0" w:tplc="3AAEA3D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7C35618F"/>
    <w:multiLevelType w:val="hybridMultilevel"/>
    <w:tmpl w:val="07BC09D2"/>
    <w:lvl w:ilvl="0" w:tplc="FFFFFFFF">
      <w:start w:val="1"/>
      <w:numFmt w:val="lowerLetter"/>
      <w:lvlText w:val="%1)"/>
      <w:lvlJc w:val="left"/>
      <w:pPr>
        <w:ind w:left="720" w:hanging="360"/>
      </w:pPr>
    </w:lvl>
    <w:lvl w:ilvl="1" w:tplc="2BFE3A0C">
      <w:start w:val="1"/>
      <w:numFmt w:val="lowerRoman"/>
      <w:lvlText w:val="(%2)"/>
      <w:lvlJc w:val="right"/>
      <w:pPr>
        <w:ind w:left="1440" w:hanging="360"/>
      </w:pPr>
    </w:lvl>
    <w:lvl w:ilvl="2" w:tplc="FFFFFFFF">
      <w:start w:val="1"/>
      <w:numFmt w:val="lowerRoman"/>
      <w:lvlText w:val="%3."/>
      <w:lvlJc w:val="right"/>
      <w:pPr>
        <w:ind w:left="2160" w:hanging="180"/>
      </w:pPr>
    </w:lvl>
    <w:lvl w:ilvl="3" w:tplc="0C090001">
      <w:start w:val="1"/>
      <w:numFmt w:val="bullet"/>
      <w:lvlText w:val=""/>
      <w:lvlJc w:val="left"/>
      <w:pPr>
        <w:ind w:left="2880" w:hanging="360"/>
      </w:pPr>
      <w:rPr>
        <w:rFonts w:ascii="Symbol" w:hAnsi="Symbol" w:hint="default"/>
      </w:rPr>
    </w:lvl>
    <w:lvl w:ilvl="4" w:tplc="E6EA2C1C">
      <w:numFmt w:val="bullet"/>
      <w:lvlText w:val=""/>
      <w:lvlJc w:val="left"/>
      <w:pPr>
        <w:ind w:left="3600" w:hanging="360"/>
      </w:pPr>
      <w:rPr>
        <w:rFonts w:ascii="Wingdings" w:eastAsia="Times New Roman" w:hAnsi="Wingdings" w:cs="Arial" w:hint="default"/>
      </w:rPr>
    </w:lvl>
    <w:lvl w:ilvl="5" w:tplc="2D846CB6">
      <w:start w:val="1"/>
      <w:numFmt w:val="lowerLetter"/>
      <w:lvlText w:val="(%6)"/>
      <w:lvlJc w:val="left"/>
      <w:pPr>
        <w:ind w:left="4500" w:hanging="360"/>
      </w:pPr>
    </w:lvl>
    <w:lvl w:ilvl="6" w:tplc="A5C0627E">
      <w:start w:val="1"/>
      <w:numFmt w:val="decimal"/>
      <w:lvlText w:val="%7)"/>
      <w:lvlJc w:val="left"/>
      <w:pPr>
        <w:ind w:left="5040" w:hanging="360"/>
      </w:pPr>
    </w:lvl>
    <w:lvl w:ilvl="7" w:tplc="11AC50C2">
      <w:start w:val="1"/>
      <w:numFmt w:val="upperLetter"/>
      <w:lvlText w:val="%8."/>
      <w:lvlJc w:val="left"/>
      <w:pPr>
        <w:ind w:left="5760" w:hanging="360"/>
      </w:pPr>
    </w:lvl>
    <w:lvl w:ilvl="8" w:tplc="FFFFFFFF">
      <w:start w:val="1"/>
      <w:numFmt w:val="lowerRoman"/>
      <w:lvlText w:val="%9."/>
      <w:lvlJc w:val="right"/>
      <w:pPr>
        <w:ind w:left="6480" w:hanging="180"/>
      </w:pPr>
    </w:lvl>
  </w:abstractNum>
  <w:num w:numId="1" w16cid:durableId="1617521768">
    <w:abstractNumId w:val="3"/>
  </w:num>
  <w:num w:numId="2" w16cid:durableId="969045093">
    <w:abstractNumId w:val="1"/>
  </w:num>
  <w:num w:numId="3" w16cid:durableId="1714190328">
    <w:abstractNumId w:val="2"/>
  </w:num>
  <w:num w:numId="4" w16cid:durableId="1292904938">
    <w:abstractNumId w:val="0"/>
  </w:num>
  <w:num w:numId="5" w16cid:durableId="1192914688">
    <w:abstractNumId w:val="11"/>
  </w:num>
  <w:num w:numId="6" w16cid:durableId="818768531">
    <w:abstractNumId w:val="24"/>
  </w:num>
  <w:num w:numId="7" w16cid:durableId="636617026">
    <w:abstractNumId w:val="20"/>
  </w:num>
  <w:num w:numId="8" w16cid:durableId="227307242">
    <w:abstractNumId w:val="23"/>
  </w:num>
  <w:num w:numId="9" w16cid:durableId="1325478460">
    <w:abstractNumId w:val="26"/>
  </w:num>
  <w:num w:numId="10" w16cid:durableId="26877423">
    <w:abstractNumId w:val="4"/>
  </w:num>
  <w:num w:numId="11" w16cid:durableId="529613017">
    <w:abstractNumId w:val="2"/>
    <w:lvlOverride w:ilvl="0">
      <w:startOverride w:val="1"/>
    </w:lvlOverride>
  </w:num>
  <w:num w:numId="12" w16cid:durableId="506287035">
    <w:abstractNumId w:val="2"/>
    <w:lvlOverride w:ilvl="0">
      <w:startOverride w:val="1"/>
    </w:lvlOverride>
  </w:num>
  <w:num w:numId="13" w16cid:durableId="1737581600">
    <w:abstractNumId w:val="12"/>
  </w:num>
  <w:num w:numId="14" w16cid:durableId="2077778065">
    <w:abstractNumId w:val="8"/>
  </w:num>
  <w:num w:numId="15" w16cid:durableId="1986546959">
    <w:abstractNumId w:val="10"/>
  </w:num>
  <w:num w:numId="16" w16cid:durableId="1904564924">
    <w:abstractNumId w:val="5"/>
  </w:num>
  <w:num w:numId="17" w16cid:durableId="379331090">
    <w:abstractNumId w:val="25"/>
  </w:num>
  <w:num w:numId="18" w16cid:durableId="900137315">
    <w:abstractNumId w:val="6"/>
  </w:num>
  <w:num w:numId="19" w16cid:durableId="1566186141">
    <w:abstractNumId w:val="15"/>
  </w:num>
  <w:num w:numId="20" w16cid:durableId="499003000">
    <w:abstractNumId w:val="7"/>
  </w:num>
  <w:num w:numId="21" w16cid:durableId="2119062869">
    <w:abstractNumId w:val="27"/>
  </w:num>
  <w:num w:numId="22" w16cid:durableId="1503663980">
    <w:abstractNumId w:val="13"/>
  </w:num>
  <w:num w:numId="23" w16cid:durableId="944995632">
    <w:abstractNumId w:val="28"/>
  </w:num>
  <w:num w:numId="24" w16cid:durableId="1664816134">
    <w:abstractNumId w:val="30"/>
  </w:num>
  <w:num w:numId="25" w16cid:durableId="1350721649">
    <w:abstractNumId w:val="29"/>
  </w:num>
  <w:num w:numId="26" w16cid:durableId="387148916">
    <w:abstractNumId w:val="18"/>
  </w:num>
  <w:num w:numId="27" w16cid:durableId="2102681800">
    <w:abstractNumId w:val="14"/>
  </w:num>
  <w:num w:numId="28" w16cid:durableId="786775166">
    <w:abstractNumId w:val="21"/>
  </w:num>
  <w:num w:numId="29" w16cid:durableId="1962301539">
    <w:abstractNumId w:val="16"/>
  </w:num>
  <w:num w:numId="30" w16cid:durableId="672146076">
    <w:abstractNumId w:val="22"/>
  </w:num>
  <w:num w:numId="31" w16cid:durableId="6030779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71654607">
    <w:abstractNumId w:val="32"/>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33" w16cid:durableId="33432016">
    <w:abstractNumId w:val="19"/>
  </w:num>
  <w:num w:numId="34" w16cid:durableId="1800875295">
    <w:abstractNumId w:val="31"/>
  </w:num>
  <w:num w:numId="35" w16cid:durableId="1045525690">
    <w:abstractNumId w:val="9"/>
  </w:num>
  <w:num w:numId="36" w16cid:durableId="1375033674">
    <w:abstractNumId w:val="17"/>
  </w:num>
  <w:num w:numId="37" w16cid:durableId="1322998889">
    <w:abstractNumId w:val="0"/>
    <w:lvlOverride w:ilvl="0">
      <w:startOverride w:val="1"/>
    </w:lvlOverride>
  </w:num>
  <w:num w:numId="38" w16cid:durableId="450320225">
    <w:abstractNumId w:val="0"/>
    <w:lvlOverride w:ilvl="0">
      <w:startOverride w:val="1"/>
    </w:lvlOverride>
  </w:num>
  <w:num w:numId="39" w16cid:durableId="165561423">
    <w:abstractNumId w:val="0"/>
    <w:lvlOverride w:ilvl="0">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284"/>
  <w:evenAndOddHeaders/>
  <w:drawingGridHorizontalSpacing w:val="100"/>
  <w:displayHorizontalDrawingGridEvery w:val="2"/>
  <w:characterSpacingControl w:val="doNotCompress"/>
  <w:hdrShapeDefaults>
    <o:shapedefaults v:ext="edit" spidmax="2050">
      <o:colormru v:ext="edit" colors="red,#4d4d4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71B"/>
    <w:rsid w:val="00010667"/>
    <w:rsid w:val="000129D5"/>
    <w:rsid w:val="00015AE7"/>
    <w:rsid w:val="00016E21"/>
    <w:rsid w:val="0001719C"/>
    <w:rsid w:val="0002224E"/>
    <w:rsid w:val="000245E5"/>
    <w:rsid w:val="00026F91"/>
    <w:rsid w:val="000407F0"/>
    <w:rsid w:val="00041525"/>
    <w:rsid w:val="000416AF"/>
    <w:rsid w:val="0004764C"/>
    <w:rsid w:val="0005011A"/>
    <w:rsid w:val="0005045A"/>
    <w:rsid w:val="00051C1E"/>
    <w:rsid w:val="000539F9"/>
    <w:rsid w:val="00054C27"/>
    <w:rsid w:val="00055EC3"/>
    <w:rsid w:val="000563CE"/>
    <w:rsid w:val="000659B6"/>
    <w:rsid w:val="0006686F"/>
    <w:rsid w:val="0006722A"/>
    <w:rsid w:val="000732CF"/>
    <w:rsid w:val="00075B96"/>
    <w:rsid w:val="00076592"/>
    <w:rsid w:val="00080BAA"/>
    <w:rsid w:val="0008196A"/>
    <w:rsid w:val="000915ED"/>
    <w:rsid w:val="0009209D"/>
    <w:rsid w:val="0009463C"/>
    <w:rsid w:val="000969BD"/>
    <w:rsid w:val="000969BF"/>
    <w:rsid w:val="000971BD"/>
    <w:rsid w:val="000A0C22"/>
    <w:rsid w:val="000A1400"/>
    <w:rsid w:val="000A3C43"/>
    <w:rsid w:val="000A4A51"/>
    <w:rsid w:val="000A5D2B"/>
    <w:rsid w:val="000B4664"/>
    <w:rsid w:val="000B5DE3"/>
    <w:rsid w:val="000C0A57"/>
    <w:rsid w:val="000C230C"/>
    <w:rsid w:val="000C6AB4"/>
    <w:rsid w:val="000D71D9"/>
    <w:rsid w:val="000D76E0"/>
    <w:rsid w:val="000D7E8B"/>
    <w:rsid w:val="000E4449"/>
    <w:rsid w:val="000E6097"/>
    <w:rsid w:val="0010267F"/>
    <w:rsid w:val="00103829"/>
    <w:rsid w:val="00111FCE"/>
    <w:rsid w:val="00113F84"/>
    <w:rsid w:val="001229A5"/>
    <w:rsid w:val="00122C4C"/>
    <w:rsid w:val="0012489B"/>
    <w:rsid w:val="00130017"/>
    <w:rsid w:val="00130F91"/>
    <w:rsid w:val="001349ED"/>
    <w:rsid w:val="00137424"/>
    <w:rsid w:val="00140318"/>
    <w:rsid w:val="00141AD9"/>
    <w:rsid w:val="00146CE6"/>
    <w:rsid w:val="00152903"/>
    <w:rsid w:val="00153FD5"/>
    <w:rsid w:val="0015614F"/>
    <w:rsid w:val="001577C2"/>
    <w:rsid w:val="001633C4"/>
    <w:rsid w:val="001704D5"/>
    <w:rsid w:val="00171591"/>
    <w:rsid w:val="00173981"/>
    <w:rsid w:val="0017719D"/>
    <w:rsid w:val="00181180"/>
    <w:rsid w:val="00183FD7"/>
    <w:rsid w:val="00185CAB"/>
    <w:rsid w:val="001875B7"/>
    <w:rsid w:val="00187CB3"/>
    <w:rsid w:val="0019050A"/>
    <w:rsid w:val="001910D4"/>
    <w:rsid w:val="001976E3"/>
    <w:rsid w:val="001A44EC"/>
    <w:rsid w:val="001B28D9"/>
    <w:rsid w:val="001B58AA"/>
    <w:rsid w:val="001B7E48"/>
    <w:rsid w:val="001C17CE"/>
    <w:rsid w:val="001C36CA"/>
    <w:rsid w:val="001C44D1"/>
    <w:rsid w:val="001C6AEE"/>
    <w:rsid w:val="001C7630"/>
    <w:rsid w:val="001D4DD0"/>
    <w:rsid w:val="001D6D15"/>
    <w:rsid w:val="001F7558"/>
    <w:rsid w:val="00205B57"/>
    <w:rsid w:val="00214740"/>
    <w:rsid w:val="002157E0"/>
    <w:rsid w:val="00216A57"/>
    <w:rsid w:val="00217448"/>
    <w:rsid w:val="0022334F"/>
    <w:rsid w:val="00226819"/>
    <w:rsid w:val="00233101"/>
    <w:rsid w:val="00233817"/>
    <w:rsid w:val="002367FF"/>
    <w:rsid w:val="00240CE9"/>
    <w:rsid w:val="002427C2"/>
    <w:rsid w:val="002434BA"/>
    <w:rsid w:val="00246089"/>
    <w:rsid w:val="00246093"/>
    <w:rsid w:val="00246702"/>
    <w:rsid w:val="00247C59"/>
    <w:rsid w:val="00247F2E"/>
    <w:rsid w:val="00250ADC"/>
    <w:rsid w:val="00250B07"/>
    <w:rsid w:val="00257553"/>
    <w:rsid w:val="00260FB2"/>
    <w:rsid w:val="00262128"/>
    <w:rsid w:val="0027165D"/>
    <w:rsid w:val="00273CEB"/>
    <w:rsid w:val="00281C89"/>
    <w:rsid w:val="0028282F"/>
    <w:rsid w:val="00284A74"/>
    <w:rsid w:val="0029593B"/>
    <w:rsid w:val="00297FC5"/>
    <w:rsid w:val="002A0417"/>
    <w:rsid w:val="002A16D8"/>
    <w:rsid w:val="002A1BC8"/>
    <w:rsid w:val="002A3EF2"/>
    <w:rsid w:val="002B0DED"/>
    <w:rsid w:val="002B1728"/>
    <w:rsid w:val="002B19A2"/>
    <w:rsid w:val="002B381A"/>
    <w:rsid w:val="002B4FCC"/>
    <w:rsid w:val="002B7408"/>
    <w:rsid w:val="002B7CFD"/>
    <w:rsid w:val="002C210F"/>
    <w:rsid w:val="002D3600"/>
    <w:rsid w:val="002E4DDC"/>
    <w:rsid w:val="00302480"/>
    <w:rsid w:val="00302758"/>
    <w:rsid w:val="00306491"/>
    <w:rsid w:val="003125DD"/>
    <w:rsid w:val="003165E6"/>
    <w:rsid w:val="003215B5"/>
    <w:rsid w:val="003221CF"/>
    <w:rsid w:val="003233ED"/>
    <w:rsid w:val="00324D9F"/>
    <w:rsid w:val="00327948"/>
    <w:rsid w:val="0033000F"/>
    <w:rsid w:val="00332011"/>
    <w:rsid w:val="00332518"/>
    <w:rsid w:val="00332925"/>
    <w:rsid w:val="003332ED"/>
    <w:rsid w:val="003368DC"/>
    <w:rsid w:val="00345927"/>
    <w:rsid w:val="00350584"/>
    <w:rsid w:val="00351857"/>
    <w:rsid w:val="003545E8"/>
    <w:rsid w:val="003610E1"/>
    <w:rsid w:val="003671BE"/>
    <w:rsid w:val="00372485"/>
    <w:rsid w:val="00373200"/>
    <w:rsid w:val="00375EF5"/>
    <w:rsid w:val="003767A5"/>
    <w:rsid w:val="00381D15"/>
    <w:rsid w:val="00385254"/>
    <w:rsid w:val="003A04DB"/>
    <w:rsid w:val="003A1291"/>
    <w:rsid w:val="003A5F5B"/>
    <w:rsid w:val="003A789A"/>
    <w:rsid w:val="003B12EC"/>
    <w:rsid w:val="003C77E0"/>
    <w:rsid w:val="003D17D7"/>
    <w:rsid w:val="003D2678"/>
    <w:rsid w:val="003D71A3"/>
    <w:rsid w:val="003E2B8A"/>
    <w:rsid w:val="003F10EE"/>
    <w:rsid w:val="003F16F6"/>
    <w:rsid w:val="003F1B47"/>
    <w:rsid w:val="003F4DC7"/>
    <w:rsid w:val="003F5235"/>
    <w:rsid w:val="004027E4"/>
    <w:rsid w:val="0041071D"/>
    <w:rsid w:val="00414AFC"/>
    <w:rsid w:val="004151A7"/>
    <w:rsid w:val="00415310"/>
    <w:rsid w:val="00421709"/>
    <w:rsid w:val="00423763"/>
    <w:rsid w:val="00425F77"/>
    <w:rsid w:val="0042762F"/>
    <w:rsid w:val="00427DC7"/>
    <w:rsid w:val="00431613"/>
    <w:rsid w:val="00431792"/>
    <w:rsid w:val="0043297A"/>
    <w:rsid w:val="00432EB2"/>
    <w:rsid w:val="0043714F"/>
    <w:rsid w:val="004438B5"/>
    <w:rsid w:val="00447037"/>
    <w:rsid w:val="004511C5"/>
    <w:rsid w:val="0045124D"/>
    <w:rsid w:val="00454596"/>
    <w:rsid w:val="0045605D"/>
    <w:rsid w:val="0046135B"/>
    <w:rsid w:val="00461D47"/>
    <w:rsid w:val="004718CC"/>
    <w:rsid w:val="00481695"/>
    <w:rsid w:val="00495A96"/>
    <w:rsid w:val="00495BB3"/>
    <w:rsid w:val="004962DC"/>
    <w:rsid w:val="004A56BB"/>
    <w:rsid w:val="004A70D6"/>
    <w:rsid w:val="004B1751"/>
    <w:rsid w:val="004C0253"/>
    <w:rsid w:val="004D56FF"/>
    <w:rsid w:val="004E39D3"/>
    <w:rsid w:val="004E508A"/>
    <w:rsid w:val="004E616D"/>
    <w:rsid w:val="004F1BDE"/>
    <w:rsid w:val="004F2CEE"/>
    <w:rsid w:val="004F556E"/>
    <w:rsid w:val="004F591C"/>
    <w:rsid w:val="004F7F44"/>
    <w:rsid w:val="005037B4"/>
    <w:rsid w:val="005079BF"/>
    <w:rsid w:val="0051269A"/>
    <w:rsid w:val="005144FA"/>
    <w:rsid w:val="005219E7"/>
    <w:rsid w:val="00521ED4"/>
    <w:rsid w:val="00525B37"/>
    <w:rsid w:val="0053147A"/>
    <w:rsid w:val="00531B9A"/>
    <w:rsid w:val="00531D15"/>
    <w:rsid w:val="00537604"/>
    <w:rsid w:val="00542377"/>
    <w:rsid w:val="005476EB"/>
    <w:rsid w:val="00551782"/>
    <w:rsid w:val="00563EF1"/>
    <w:rsid w:val="00566AB4"/>
    <w:rsid w:val="00575AC5"/>
    <w:rsid w:val="0057605D"/>
    <w:rsid w:val="00581347"/>
    <w:rsid w:val="00581AC9"/>
    <w:rsid w:val="005849F8"/>
    <w:rsid w:val="00585C96"/>
    <w:rsid w:val="005938DF"/>
    <w:rsid w:val="00594E9C"/>
    <w:rsid w:val="005A099B"/>
    <w:rsid w:val="005A2D9C"/>
    <w:rsid w:val="005A55FE"/>
    <w:rsid w:val="005A6A11"/>
    <w:rsid w:val="005D0C49"/>
    <w:rsid w:val="005D2502"/>
    <w:rsid w:val="005D40BB"/>
    <w:rsid w:val="005D47F3"/>
    <w:rsid w:val="005D49BF"/>
    <w:rsid w:val="005D4AA5"/>
    <w:rsid w:val="005D689F"/>
    <w:rsid w:val="005D6F4E"/>
    <w:rsid w:val="005D7C73"/>
    <w:rsid w:val="005E250B"/>
    <w:rsid w:val="005E3ACD"/>
    <w:rsid w:val="005E7226"/>
    <w:rsid w:val="005E7A57"/>
    <w:rsid w:val="005F24B0"/>
    <w:rsid w:val="00601B57"/>
    <w:rsid w:val="00604315"/>
    <w:rsid w:val="00604E26"/>
    <w:rsid w:val="0060523F"/>
    <w:rsid w:val="006052CF"/>
    <w:rsid w:val="00607B8D"/>
    <w:rsid w:val="00611F5C"/>
    <w:rsid w:val="00616E09"/>
    <w:rsid w:val="00622A3B"/>
    <w:rsid w:val="00622EEA"/>
    <w:rsid w:val="0062396C"/>
    <w:rsid w:val="00623FF9"/>
    <w:rsid w:val="00627D4E"/>
    <w:rsid w:val="00632B89"/>
    <w:rsid w:val="0063346D"/>
    <w:rsid w:val="00634478"/>
    <w:rsid w:val="00644373"/>
    <w:rsid w:val="00645915"/>
    <w:rsid w:val="006519C3"/>
    <w:rsid w:val="00652B30"/>
    <w:rsid w:val="00656345"/>
    <w:rsid w:val="00656DC6"/>
    <w:rsid w:val="00660EC6"/>
    <w:rsid w:val="00664110"/>
    <w:rsid w:val="00664D17"/>
    <w:rsid w:val="00666520"/>
    <w:rsid w:val="00667C5B"/>
    <w:rsid w:val="00670F83"/>
    <w:rsid w:val="00691EB8"/>
    <w:rsid w:val="00692CDE"/>
    <w:rsid w:val="00693073"/>
    <w:rsid w:val="006977FF"/>
    <w:rsid w:val="006A01FA"/>
    <w:rsid w:val="006A0E9E"/>
    <w:rsid w:val="006A25C7"/>
    <w:rsid w:val="006A4AAD"/>
    <w:rsid w:val="006A6DA2"/>
    <w:rsid w:val="006A7AB2"/>
    <w:rsid w:val="006B52DE"/>
    <w:rsid w:val="006B5717"/>
    <w:rsid w:val="006B582F"/>
    <w:rsid w:val="006B5EB2"/>
    <w:rsid w:val="006C0CEB"/>
    <w:rsid w:val="006C1631"/>
    <w:rsid w:val="006C3B1E"/>
    <w:rsid w:val="006C47FD"/>
    <w:rsid w:val="006C5C19"/>
    <w:rsid w:val="006C70A0"/>
    <w:rsid w:val="006C7263"/>
    <w:rsid w:val="006D27CB"/>
    <w:rsid w:val="006D2F08"/>
    <w:rsid w:val="006D576C"/>
    <w:rsid w:val="006D5865"/>
    <w:rsid w:val="006E4B1B"/>
    <w:rsid w:val="006E5445"/>
    <w:rsid w:val="006E7D93"/>
    <w:rsid w:val="007029A3"/>
    <w:rsid w:val="00702EA1"/>
    <w:rsid w:val="0070471B"/>
    <w:rsid w:val="00706E4E"/>
    <w:rsid w:val="0070791C"/>
    <w:rsid w:val="00710185"/>
    <w:rsid w:val="0071383C"/>
    <w:rsid w:val="007141A7"/>
    <w:rsid w:val="007152CD"/>
    <w:rsid w:val="00715722"/>
    <w:rsid w:val="00717924"/>
    <w:rsid w:val="00721032"/>
    <w:rsid w:val="00721B55"/>
    <w:rsid w:val="00726CE4"/>
    <w:rsid w:val="00734143"/>
    <w:rsid w:val="00737E47"/>
    <w:rsid w:val="00740EAC"/>
    <w:rsid w:val="00744956"/>
    <w:rsid w:val="00745A5C"/>
    <w:rsid w:val="0074605F"/>
    <w:rsid w:val="00747E94"/>
    <w:rsid w:val="00754C83"/>
    <w:rsid w:val="00761E5C"/>
    <w:rsid w:val="00765DF8"/>
    <w:rsid w:val="00766749"/>
    <w:rsid w:val="00767C1B"/>
    <w:rsid w:val="007714A9"/>
    <w:rsid w:val="00774F88"/>
    <w:rsid w:val="00774FDB"/>
    <w:rsid w:val="007775FC"/>
    <w:rsid w:val="00777BA2"/>
    <w:rsid w:val="00781408"/>
    <w:rsid w:val="00784F7F"/>
    <w:rsid w:val="007878BD"/>
    <w:rsid w:val="00796F25"/>
    <w:rsid w:val="007A2E98"/>
    <w:rsid w:val="007A3BA3"/>
    <w:rsid w:val="007A6CC0"/>
    <w:rsid w:val="007A7FEC"/>
    <w:rsid w:val="007B1499"/>
    <w:rsid w:val="007B1BBF"/>
    <w:rsid w:val="007B2960"/>
    <w:rsid w:val="007B355D"/>
    <w:rsid w:val="007B6273"/>
    <w:rsid w:val="007B7980"/>
    <w:rsid w:val="007C0DEF"/>
    <w:rsid w:val="007C5D5A"/>
    <w:rsid w:val="007C607F"/>
    <w:rsid w:val="007C6E44"/>
    <w:rsid w:val="007C79DD"/>
    <w:rsid w:val="007D1A97"/>
    <w:rsid w:val="007D2CD6"/>
    <w:rsid w:val="007D3063"/>
    <w:rsid w:val="007D3CEB"/>
    <w:rsid w:val="007E3375"/>
    <w:rsid w:val="007E7683"/>
    <w:rsid w:val="007F49FA"/>
    <w:rsid w:val="007F54C4"/>
    <w:rsid w:val="007F6E9A"/>
    <w:rsid w:val="00800CCD"/>
    <w:rsid w:val="008044D4"/>
    <w:rsid w:val="00810AB4"/>
    <w:rsid w:val="00817B56"/>
    <w:rsid w:val="00821A88"/>
    <w:rsid w:val="0082495D"/>
    <w:rsid w:val="00831AC3"/>
    <w:rsid w:val="00836FCE"/>
    <w:rsid w:val="008408FF"/>
    <w:rsid w:val="00843F1D"/>
    <w:rsid w:val="008517AF"/>
    <w:rsid w:val="00851F3F"/>
    <w:rsid w:val="0085618F"/>
    <w:rsid w:val="00856EDC"/>
    <w:rsid w:val="008623B5"/>
    <w:rsid w:val="00870ABA"/>
    <w:rsid w:val="008710E1"/>
    <w:rsid w:val="008716E5"/>
    <w:rsid w:val="00881CA9"/>
    <w:rsid w:val="0088339A"/>
    <w:rsid w:val="00883628"/>
    <w:rsid w:val="008847AD"/>
    <w:rsid w:val="00885544"/>
    <w:rsid w:val="0088634E"/>
    <w:rsid w:val="00893AB8"/>
    <w:rsid w:val="008A04C8"/>
    <w:rsid w:val="008A6913"/>
    <w:rsid w:val="008B70F3"/>
    <w:rsid w:val="008B71C4"/>
    <w:rsid w:val="008B76DF"/>
    <w:rsid w:val="008C10F4"/>
    <w:rsid w:val="008C65F7"/>
    <w:rsid w:val="008E4767"/>
    <w:rsid w:val="008E7A8C"/>
    <w:rsid w:val="0090203B"/>
    <w:rsid w:val="00902432"/>
    <w:rsid w:val="00903285"/>
    <w:rsid w:val="00906F40"/>
    <w:rsid w:val="0090731E"/>
    <w:rsid w:val="00915B1C"/>
    <w:rsid w:val="009174F3"/>
    <w:rsid w:val="0091797D"/>
    <w:rsid w:val="00923CBA"/>
    <w:rsid w:val="009242EB"/>
    <w:rsid w:val="00926703"/>
    <w:rsid w:val="00927691"/>
    <w:rsid w:val="00927A5F"/>
    <w:rsid w:val="00930510"/>
    <w:rsid w:val="00935B63"/>
    <w:rsid w:val="00936396"/>
    <w:rsid w:val="009366F4"/>
    <w:rsid w:val="0094078F"/>
    <w:rsid w:val="00940FA3"/>
    <w:rsid w:val="00941FB0"/>
    <w:rsid w:val="009426D4"/>
    <w:rsid w:val="00947F25"/>
    <w:rsid w:val="00950159"/>
    <w:rsid w:val="0095490B"/>
    <w:rsid w:val="00960A33"/>
    <w:rsid w:val="00961964"/>
    <w:rsid w:val="00971914"/>
    <w:rsid w:val="00974363"/>
    <w:rsid w:val="00981898"/>
    <w:rsid w:val="0099362B"/>
    <w:rsid w:val="0099577C"/>
    <w:rsid w:val="009B24A5"/>
    <w:rsid w:val="009B2601"/>
    <w:rsid w:val="009B2D90"/>
    <w:rsid w:val="009B4E9E"/>
    <w:rsid w:val="009B770E"/>
    <w:rsid w:val="009C1690"/>
    <w:rsid w:val="009C6881"/>
    <w:rsid w:val="009C7759"/>
    <w:rsid w:val="009D043D"/>
    <w:rsid w:val="009D07C8"/>
    <w:rsid w:val="009D1D05"/>
    <w:rsid w:val="009D6C71"/>
    <w:rsid w:val="009E0631"/>
    <w:rsid w:val="009E16D0"/>
    <w:rsid w:val="009E2051"/>
    <w:rsid w:val="009E38FD"/>
    <w:rsid w:val="009F13D6"/>
    <w:rsid w:val="009F4C6B"/>
    <w:rsid w:val="009F78A8"/>
    <w:rsid w:val="00A02AD6"/>
    <w:rsid w:val="00A07096"/>
    <w:rsid w:val="00A07318"/>
    <w:rsid w:val="00A11370"/>
    <w:rsid w:val="00A17B1B"/>
    <w:rsid w:val="00A224CE"/>
    <w:rsid w:val="00A22522"/>
    <w:rsid w:val="00A2440D"/>
    <w:rsid w:val="00A24882"/>
    <w:rsid w:val="00A24AFD"/>
    <w:rsid w:val="00A24F5C"/>
    <w:rsid w:val="00A25698"/>
    <w:rsid w:val="00A32F96"/>
    <w:rsid w:val="00A40871"/>
    <w:rsid w:val="00A412AB"/>
    <w:rsid w:val="00A4193E"/>
    <w:rsid w:val="00A440E0"/>
    <w:rsid w:val="00A442EF"/>
    <w:rsid w:val="00A51D1A"/>
    <w:rsid w:val="00A5418D"/>
    <w:rsid w:val="00A5474E"/>
    <w:rsid w:val="00A64234"/>
    <w:rsid w:val="00A70ADF"/>
    <w:rsid w:val="00A71466"/>
    <w:rsid w:val="00A74B5E"/>
    <w:rsid w:val="00A81BED"/>
    <w:rsid w:val="00A81EC4"/>
    <w:rsid w:val="00A824E8"/>
    <w:rsid w:val="00A901A6"/>
    <w:rsid w:val="00A967FD"/>
    <w:rsid w:val="00AA1F0B"/>
    <w:rsid w:val="00AA2DE5"/>
    <w:rsid w:val="00AB156C"/>
    <w:rsid w:val="00AB5A0D"/>
    <w:rsid w:val="00AB6814"/>
    <w:rsid w:val="00AC04BA"/>
    <w:rsid w:val="00AC0E39"/>
    <w:rsid w:val="00AD3082"/>
    <w:rsid w:val="00AD32B4"/>
    <w:rsid w:val="00AD4AD0"/>
    <w:rsid w:val="00AD5436"/>
    <w:rsid w:val="00AD60CD"/>
    <w:rsid w:val="00AD6C8C"/>
    <w:rsid w:val="00AD7CD5"/>
    <w:rsid w:val="00AE091D"/>
    <w:rsid w:val="00AE3B60"/>
    <w:rsid w:val="00AE53A1"/>
    <w:rsid w:val="00AF2484"/>
    <w:rsid w:val="00AF63E7"/>
    <w:rsid w:val="00AF6E17"/>
    <w:rsid w:val="00B0165D"/>
    <w:rsid w:val="00B01B60"/>
    <w:rsid w:val="00B031F3"/>
    <w:rsid w:val="00B052A4"/>
    <w:rsid w:val="00B125DE"/>
    <w:rsid w:val="00B13FDD"/>
    <w:rsid w:val="00B22EB2"/>
    <w:rsid w:val="00B27442"/>
    <w:rsid w:val="00B31167"/>
    <w:rsid w:val="00B329D8"/>
    <w:rsid w:val="00B32BB9"/>
    <w:rsid w:val="00B33AE1"/>
    <w:rsid w:val="00B37C38"/>
    <w:rsid w:val="00B414EA"/>
    <w:rsid w:val="00B4288C"/>
    <w:rsid w:val="00B43262"/>
    <w:rsid w:val="00B44100"/>
    <w:rsid w:val="00B46CBA"/>
    <w:rsid w:val="00B46F94"/>
    <w:rsid w:val="00B6003C"/>
    <w:rsid w:val="00B61F03"/>
    <w:rsid w:val="00B626E4"/>
    <w:rsid w:val="00B72F4A"/>
    <w:rsid w:val="00B83C27"/>
    <w:rsid w:val="00B84BC3"/>
    <w:rsid w:val="00B84BDD"/>
    <w:rsid w:val="00B850BB"/>
    <w:rsid w:val="00B90CA2"/>
    <w:rsid w:val="00B92702"/>
    <w:rsid w:val="00B92812"/>
    <w:rsid w:val="00BA64E5"/>
    <w:rsid w:val="00BB45A1"/>
    <w:rsid w:val="00BB7686"/>
    <w:rsid w:val="00BC23F9"/>
    <w:rsid w:val="00BC3421"/>
    <w:rsid w:val="00BC732C"/>
    <w:rsid w:val="00BD4421"/>
    <w:rsid w:val="00BD7249"/>
    <w:rsid w:val="00BE2580"/>
    <w:rsid w:val="00BE266D"/>
    <w:rsid w:val="00BE35CB"/>
    <w:rsid w:val="00BE3938"/>
    <w:rsid w:val="00BE4C11"/>
    <w:rsid w:val="00BE6805"/>
    <w:rsid w:val="00BE71C0"/>
    <w:rsid w:val="00BF610C"/>
    <w:rsid w:val="00C0060B"/>
    <w:rsid w:val="00C01A6C"/>
    <w:rsid w:val="00C0277D"/>
    <w:rsid w:val="00C053A1"/>
    <w:rsid w:val="00C16198"/>
    <w:rsid w:val="00C2083D"/>
    <w:rsid w:val="00C24A53"/>
    <w:rsid w:val="00C34A05"/>
    <w:rsid w:val="00C35CCE"/>
    <w:rsid w:val="00C4032F"/>
    <w:rsid w:val="00C44047"/>
    <w:rsid w:val="00C45155"/>
    <w:rsid w:val="00C4702F"/>
    <w:rsid w:val="00C50CF9"/>
    <w:rsid w:val="00C5498F"/>
    <w:rsid w:val="00C55235"/>
    <w:rsid w:val="00C55D36"/>
    <w:rsid w:val="00C64CD0"/>
    <w:rsid w:val="00C6684F"/>
    <w:rsid w:val="00C70E70"/>
    <w:rsid w:val="00C75F8D"/>
    <w:rsid w:val="00C77380"/>
    <w:rsid w:val="00C82940"/>
    <w:rsid w:val="00C87E8A"/>
    <w:rsid w:val="00C97736"/>
    <w:rsid w:val="00CA345A"/>
    <w:rsid w:val="00CB1E82"/>
    <w:rsid w:val="00CB4BA8"/>
    <w:rsid w:val="00CB52D7"/>
    <w:rsid w:val="00CC6732"/>
    <w:rsid w:val="00CE0BB5"/>
    <w:rsid w:val="00CE3C96"/>
    <w:rsid w:val="00CE51A8"/>
    <w:rsid w:val="00CF369B"/>
    <w:rsid w:val="00D00E28"/>
    <w:rsid w:val="00D0269E"/>
    <w:rsid w:val="00D05D6C"/>
    <w:rsid w:val="00D105E2"/>
    <w:rsid w:val="00D15810"/>
    <w:rsid w:val="00D16D4E"/>
    <w:rsid w:val="00D16FE3"/>
    <w:rsid w:val="00D27F41"/>
    <w:rsid w:val="00D36441"/>
    <w:rsid w:val="00D4064E"/>
    <w:rsid w:val="00D414E9"/>
    <w:rsid w:val="00D42606"/>
    <w:rsid w:val="00D42EF0"/>
    <w:rsid w:val="00D44E9B"/>
    <w:rsid w:val="00D45FD2"/>
    <w:rsid w:val="00D47AEB"/>
    <w:rsid w:val="00D50DB9"/>
    <w:rsid w:val="00D51302"/>
    <w:rsid w:val="00D52C43"/>
    <w:rsid w:val="00D6507F"/>
    <w:rsid w:val="00D730BC"/>
    <w:rsid w:val="00D73912"/>
    <w:rsid w:val="00D85226"/>
    <w:rsid w:val="00D87B94"/>
    <w:rsid w:val="00D92D49"/>
    <w:rsid w:val="00D92EC1"/>
    <w:rsid w:val="00D96DEA"/>
    <w:rsid w:val="00DA4E41"/>
    <w:rsid w:val="00DB117A"/>
    <w:rsid w:val="00DB3A64"/>
    <w:rsid w:val="00DB5173"/>
    <w:rsid w:val="00DB7873"/>
    <w:rsid w:val="00DC187B"/>
    <w:rsid w:val="00DC7DEF"/>
    <w:rsid w:val="00DD1A43"/>
    <w:rsid w:val="00DD73C2"/>
    <w:rsid w:val="00DE319B"/>
    <w:rsid w:val="00DF0799"/>
    <w:rsid w:val="00DF2237"/>
    <w:rsid w:val="00DF2328"/>
    <w:rsid w:val="00DF34FE"/>
    <w:rsid w:val="00DF56AA"/>
    <w:rsid w:val="00DF56AF"/>
    <w:rsid w:val="00DF78E7"/>
    <w:rsid w:val="00E110E0"/>
    <w:rsid w:val="00E11E68"/>
    <w:rsid w:val="00E15371"/>
    <w:rsid w:val="00E23372"/>
    <w:rsid w:val="00E24104"/>
    <w:rsid w:val="00E302D0"/>
    <w:rsid w:val="00E35707"/>
    <w:rsid w:val="00E36AA1"/>
    <w:rsid w:val="00E41ECB"/>
    <w:rsid w:val="00E42676"/>
    <w:rsid w:val="00E54FDB"/>
    <w:rsid w:val="00E5617D"/>
    <w:rsid w:val="00E563D7"/>
    <w:rsid w:val="00E663F4"/>
    <w:rsid w:val="00E666F2"/>
    <w:rsid w:val="00E66DD4"/>
    <w:rsid w:val="00E748CC"/>
    <w:rsid w:val="00E75415"/>
    <w:rsid w:val="00E775B1"/>
    <w:rsid w:val="00E8152A"/>
    <w:rsid w:val="00E93629"/>
    <w:rsid w:val="00E93B5C"/>
    <w:rsid w:val="00E94CEC"/>
    <w:rsid w:val="00EA04EF"/>
    <w:rsid w:val="00EA6F19"/>
    <w:rsid w:val="00EB7090"/>
    <w:rsid w:val="00EC1BBE"/>
    <w:rsid w:val="00EC2B68"/>
    <w:rsid w:val="00EC3AEF"/>
    <w:rsid w:val="00EC436C"/>
    <w:rsid w:val="00EC5CD7"/>
    <w:rsid w:val="00EE5FB3"/>
    <w:rsid w:val="00EE7F79"/>
    <w:rsid w:val="00EF715A"/>
    <w:rsid w:val="00F01BC3"/>
    <w:rsid w:val="00F04366"/>
    <w:rsid w:val="00F06E14"/>
    <w:rsid w:val="00F15DDF"/>
    <w:rsid w:val="00F179D4"/>
    <w:rsid w:val="00F33C56"/>
    <w:rsid w:val="00F347C7"/>
    <w:rsid w:val="00F34848"/>
    <w:rsid w:val="00F364A6"/>
    <w:rsid w:val="00F4223F"/>
    <w:rsid w:val="00F42D46"/>
    <w:rsid w:val="00F4496C"/>
    <w:rsid w:val="00F44F3A"/>
    <w:rsid w:val="00F45DD5"/>
    <w:rsid w:val="00F51F10"/>
    <w:rsid w:val="00F529A5"/>
    <w:rsid w:val="00F60F00"/>
    <w:rsid w:val="00F614C0"/>
    <w:rsid w:val="00F61C77"/>
    <w:rsid w:val="00F83848"/>
    <w:rsid w:val="00F975E9"/>
    <w:rsid w:val="00FA1B7D"/>
    <w:rsid w:val="00FC07B9"/>
    <w:rsid w:val="00FC4E21"/>
    <w:rsid w:val="00FC5F6D"/>
    <w:rsid w:val="00FD0107"/>
    <w:rsid w:val="00FD2C2F"/>
    <w:rsid w:val="00FD3B31"/>
    <w:rsid w:val="00FE0B53"/>
    <w:rsid w:val="00FE1823"/>
    <w:rsid w:val="00FE487A"/>
    <w:rsid w:val="00FF0569"/>
    <w:rsid w:val="00FF206E"/>
    <w:rsid w:val="00FF3C69"/>
    <w:rsid w:val="00FF6E0A"/>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red,#4d4d4f"/>
    </o:shapedefaults>
    <o:shapelayout v:ext="edit">
      <o:idmap v:ext="edit" data="2"/>
    </o:shapelayout>
  </w:shapeDefaults>
  <w:decimalSymbol w:val="."/>
  <w:listSeparator w:val=","/>
  <w14:docId w14:val="4E829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heading 1" w:qFormat="1"/>
    <w:lsdException w:name="heading 2" w:uiPriority="9" w:qFormat="1"/>
    <w:lsdException w:name="heading 3"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qFormat="1"/>
    <w:lsdException w:name="header" w:semiHidden="1"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lsdException w:name="Title" w:semiHidden="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uiPriority="99" w:qFormat="1"/>
    <w:lsdException w:name="Strong" w:semiHidden="1"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19" w:qFormat="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CE0BB5"/>
    <w:pPr>
      <w:spacing w:after="240" w:line="240" w:lineRule="atLeast"/>
    </w:pPr>
    <w:rPr>
      <w:rFonts w:ascii="Arial" w:hAnsi="Arial"/>
      <w:sz w:val="20"/>
    </w:rPr>
  </w:style>
  <w:style w:type="paragraph" w:styleId="Heading1">
    <w:name w:val="heading 1"/>
    <w:basedOn w:val="Normal"/>
    <w:next w:val="Normal"/>
    <w:link w:val="Heading1Char"/>
    <w:uiPriority w:val="1"/>
    <w:qFormat/>
    <w:rsid w:val="00C55235"/>
    <w:pPr>
      <w:keepNext/>
      <w:pageBreakBefore/>
      <w:widowControl w:val="0"/>
      <w:spacing w:after="360" w:line="550" w:lineRule="exact"/>
      <w:outlineLvl w:val="0"/>
    </w:pPr>
    <w:rPr>
      <w:rFonts w:cs="Arial"/>
      <w:bCs/>
      <w:color w:val="323232"/>
      <w:kern w:val="32"/>
      <w:sz w:val="53"/>
      <w:szCs w:val="32"/>
    </w:rPr>
  </w:style>
  <w:style w:type="paragraph" w:styleId="Heading2">
    <w:name w:val="heading 2"/>
    <w:basedOn w:val="Normal"/>
    <w:next w:val="Paragraph"/>
    <w:link w:val="Heading2Char"/>
    <w:uiPriority w:val="9"/>
    <w:qFormat/>
    <w:rsid w:val="00C55235"/>
    <w:pPr>
      <w:keepNext/>
      <w:spacing w:before="320" w:after="60"/>
      <w:outlineLvl w:val="1"/>
    </w:pPr>
    <w:rPr>
      <w:rFonts w:cs="Arial"/>
      <w:b/>
      <w:bCs/>
      <w:iCs/>
      <w:sz w:val="28"/>
      <w:szCs w:val="28"/>
    </w:rPr>
  </w:style>
  <w:style w:type="paragraph" w:styleId="Heading3">
    <w:name w:val="heading 3"/>
    <w:basedOn w:val="Normal"/>
    <w:next w:val="Normal"/>
    <w:link w:val="Heading3Char"/>
    <w:qFormat/>
    <w:rsid w:val="00C55235"/>
    <w:pPr>
      <w:keepNext/>
      <w:spacing w:before="60" w:after="60"/>
      <w:outlineLvl w:val="2"/>
    </w:pPr>
    <w:rPr>
      <w:rFonts w:cs="Arial"/>
      <w:b/>
      <w:bCs/>
      <w:szCs w:val="26"/>
    </w:rPr>
  </w:style>
  <w:style w:type="paragraph" w:styleId="Heading4">
    <w:name w:val="heading 4"/>
    <w:basedOn w:val="BodySubHeader"/>
    <w:next w:val="Normal"/>
    <w:uiPriority w:val="2"/>
    <w:qFormat/>
    <w:rsid w:val="0085618F"/>
    <w:pPr>
      <w:outlineLvl w:val="3"/>
    </w:pPr>
    <w:rPr>
      <w:rFonts w:cs="Arial"/>
    </w:rPr>
  </w:style>
  <w:style w:type="paragraph" w:styleId="Heading5">
    <w:name w:val="heading 5"/>
    <w:basedOn w:val="Normal"/>
    <w:next w:val="Normal"/>
    <w:semiHidden/>
    <w:qFormat/>
    <w:rsid w:val="00AD5436"/>
    <w:pPr>
      <w:numPr>
        <w:ilvl w:val="4"/>
        <w:numId w:val="5"/>
      </w:numPr>
      <w:spacing w:before="240" w:after="60"/>
      <w:outlineLvl w:val="4"/>
    </w:pPr>
    <w:rPr>
      <w:b/>
      <w:bCs/>
      <w:i/>
      <w:iCs/>
      <w:sz w:val="26"/>
      <w:szCs w:val="26"/>
    </w:rPr>
  </w:style>
  <w:style w:type="paragraph" w:styleId="Heading6">
    <w:name w:val="heading 6"/>
    <w:basedOn w:val="Normal"/>
    <w:next w:val="Normal"/>
    <w:semiHidden/>
    <w:qFormat/>
    <w:rsid w:val="00AD5436"/>
    <w:pPr>
      <w:numPr>
        <w:ilvl w:val="5"/>
        <w:numId w:val="5"/>
      </w:num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AD5436"/>
    <w:pPr>
      <w:numPr>
        <w:ilvl w:val="6"/>
        <w:numId w:val="5"/>
      </w:numPr>
      <w:spacing w:before="240" w:after="60"/>
      <w:outlineLvl w:val="6"/>
    </w:pPr>
    <w:rPr>
      <w:rFonts w:ascii="Times New Roman" w:hAnsi="Times New Roman"/>
      <w:sz w:val="24"/>
    </w:rPr>
  </w:style>
  <w:style w:type="paragraph" w:styleId="Heading8">
    <w:name w:val="heading 8"/>
    <w:basedOn w:val="Normal"/>
    <w:next w:val="Normal"/>
    <w:semiHidden/>
    <w:qFormat/>
    <w:rsid w:val="00AD5436"/>
    <w:pPr>
      <w:numPr>
        <w:ilvl w:val="7"/>
        <w:numId w:val="5"/>
      </w:numPr>
      <w:spacing w:before="240" w:after="60"/>
      <w:outlineLvl w:val="7"/>
    </w:pPr>
    <w:rPr>
      <w:rFonts w:ascii="Times New Roman" w:hAnsi="Times New Roman"/>
      <w:i/>
      <w:iCs/>
      <w:sz w:val="24"/>
    </w:rPr>
  </w:style>
  <w:style w:type="paragraph" w:styleId="Heading9">
    <w:name w:val="heading 9"/>
    <w:basedOn w:val="Normal"/>
    <w:next w:val="Normal"/>
    <w:semiHidden/>
    <w:qFormat/>
    <w:rsid w:val="00AD5436"/>
    <w:pPr>
      <w:numPr>
        <w:ilvl w:val="8"/>
        <w:numId w:val="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0791C"/>
    <w:pPr>
      <w:tabs>
        <w:tab w:val="center" w:pos="4153"/>
        <w:tab w:val="right" w:pos="8306"/>
      </w:tabs>
      <w:spacing w:line="240" w:lineRule="auto"/>
    </w:pPr>
    <w:rPr>
      <w:sz w:val="16"/>
    </w:rPr>
  </w:style>
  <w:style w:type="paragraph" w:styleId="Footer">
    <w:name w:val="footer"/>
    <w:basedOn w:val="Normal"/>
    <w:link w:val="FooterChar"/>
    <w:uiPriority w:val="99"/>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uiPriority w:val="99"/>
    <w:rsid w:val="00EC2B68"/>
    <w:rPr>
      <w:rFonts w:ascii="Arial" w:hAnsi="Arial"/>
      <w:color w:val="323232"/>
      <w:sz w:val="16"/>
    </w:rPr>
  </w:style>
  <w:style w:type="paragraph" w:customStyle="1" w:styleId="Reporttitle">
    <w:name w:val="Report title"/>
    <w:basedOn w:val="Normal"/>
    <w:uiPriority w:val="19"/>
    <w:qFormat/>
    <w:rsid w:val="00A51D1A"/>
    <w:pPr>
      <w:spacing w:after="0" w:line="560" w:lineRule="exact"/>
    </w:pPr>
    <w:rPr>
      <w:b/>
      <w:spacing w:val="-28"/>
      <w:sz w:val="53"/>
    </w:rPr>
  </w:style>
  <w:style w:type="paragraph" w:customStyle="1" w:styleId="Reportsubtitle">
    <w:name w:val="Report subtitle"/>
    <w:basedOn w:val="Normal"/>
    <w:uiPriority w:val="20"/>
    <w:qFormat/>
    <w:rsid w:val="00950159"/>
    <w:pPr>
      <w:spacing w:after="200" w:line="560" w:lineRule="exact"/>
    </w:pPr>
    <w:rPr>
      <w:color w:val="323232"/>
      <w:spacing w:val="-28"/>
      <w:sz w:val="53"/>
    </w:rPr>
  </w:style>
  <w:style w:type="table" w:styleId="TableGrid">
    <w:name w:val="Table Grid"/>
    <w:basedOn w:val="TableNormal"/>
    <w:uiPriority w:val="39"/>
    <w:rsid w:val="0022681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date">
    <w:name w:val="Report date"/>
    <w:basedOn w:val="Reportsubtitle"/>
    <w:uiPriority w:val="21"/>
    <w:qFormat/>
    <w:rsid w:val="00950159"/>
    <w:pPr>
      <w:spacing w:after="1200" w:line="240" w:lineRule="auto"/>
    </w:pPr>
    <w:rPr>
      <w:caps/>
      <w:spacing w:val="-10"/>
      <w:sz w:val="20"/>
    </w:rPr>
  </w:style>
  <w:style w:type="paragraph" w:customStyle="1" w:styleId="Tableheaderrow">
    <w:name w:val="Table header row"/>
    <w:basedOn w:val="Normal"/>
    <w:uiPriority w:val="14"/>
    <w:qFormat/>
    <w:rsid w:val="00774FDB"/>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uiPriority w:val="39"/>
    <w:qFormat/>
    <w:rsid w:val="00950159"/>
    <w:pPr>
      <w:spacing w:before="1200" w:line="240" w:lineRule="auto"/>
    </w:pPr>
    <w:rPr>
      <w:b/>
      <w:color w:val="323232"/>
      <w:spacing w:val="-28"/>
      <w:sz w:val="53"/>
    </w:rPr>
  </w:style>
  <w:style w:type="paragraph" w:styleId="Caption">
    <w:name w:val="caption"/>
    <w:aliases w:val="Caption table"/>
    <w:basedOn w:val="Normal"/>
    <w:next w:val="Normal"/>
    <w:uiPriority w:val="35"/>
    <w:qFormat/>
    <w:rsid w:val="00E8152A"/>
    <w:pPr>
      <w:numPr>
        <w:numId w:val="9"/>
      </w:numPr>
      <w:spacing w:after="0"/>
    </w:pPr>
    <w:rPr>
      <w:b/>
      <w:bCs/>
      <w:color w:val="323232"/>
      <w:szCs w:val="20"/>
    </w:rPr>
  </w:style>
  <w:style w:type="paragraph" w:customStyle="1" w:styleId="BodySubHeader">
    <w:name w:val="BodySubHeader"/>
    <w:basedOn w:val="Normal"/>
    <w:next w:val="Normal"/>
    <w:semiHidden/>
    <w:rsid w:val="00146CE6"/>
    <w:pPr>
      <w:spacing w:before="240" w:after="0"/>
    </w:pPr>
    <w:rPr>
      <w:b/>
      <w:i/>
    </w:rPr>
  </w:style>
  <w:style w:type="paragraph" w:styleId="ListBullet">
    <w:name w:val="List Bullet"/>
    <w:aliases w:val="List Bullet 1"/>
    <w:basedOn w:val="Normal"/>
    <w:link w:val="ListBulletChar"/>
    <w:uiPriority w:val="99"/>
    <w:qFormat/>
    <w:rsid w:val="001C6AEE"/>
    <w:pPr>
      <w:numPr>
        <w:numId w:val="1"/>
      </w:numPr>
      <w:spacing w:after="80"/>
    </w:pPr>
  </w:style>
  <w:style w:type="paragraph" w:styleId="ListBullet2">
    <w:name w:val="List Bullet 2"/>
    <w:basedOn w:val="Normal"/>
    <w:semiHidden/>
    <w:qFormat/>
    <w:rsid w:val="001C6AEE"/>
    <w:pPr>
      <w:numPr>
        <w:numId w:val="2"/>
      </w:numPr>
      <w:spacing w:after="80"/>
    </w:pPr>
  </w:style>
  <w:style w:type="paragraph" w:styleId="ListNumber">
    <w:name w:val="List Number"/>
    <w:basedOn w:val="Normal"/>
    <w:qFormat/>
    <w:rsid w:val="00C24A53"/>
    <w:pPr>
      <w:numPr>
        <w:numId w:val="3"/>
      </w:numPr>
      <w:spacing w:after="80"/>
    </w:pPr>
  </w:style>
  <w:style w:type="paragraph" w:styleId="ListNumber2">
    <w:name w:val="List Number 2"/>
    <w:basedOn w:val="Normal"/>
    <w:semiHidden/>
    <w:qFormat/>
    <w:rsid w:val="004A70D6"/>
    <w:pPr>
      <w:numPr>
        <w:numId w:val="4"/>
      </w:numPr>
      <w:spacing w:after="80"/>
      <w:ind w:left="828" w:hanging="357"/>
    </w:pPr>
  </w:style>
  <w:style w:type="paragraph" w:customStyle="1" w:styleId="URLEmail">
    <w:name w:val="URL/Email"/>
    <w:basedOn w:val="Normal"/>
    <w:semiHidden/>
    <w:rsid w:val="00302480"/>
    <w:rPr>
      <w:color w:val="4D4D4F"/>
      <w:spacing w:val="4"/>
    </w:rPr>
  </w:style>
  <w:style w:type="paragraph" w:customStyle="1" w:styleId="Execsummaryheading">
    <w:name w:val="Exec summary heading"/>
    <w:basedOn w:val="Normal"/>
    <w:uiPriority w:val="22"/>
    <w:qFormat/>
    <w:rsid w:val="006B52DE"/>
    <w:pPr>
      <w:pageBreakBefore/>
      <w:spacing w:after="1440" w:line="550" w:lineRule="exact"/>
    </w:pPr>
    <w:rPr>
      <w:b/>
      <w:color w:val="323232"/>
      <w:spacing w:val="-18"/>
      <w:sz w:val="53"/>
    </w:rPr>
  </w:style>
  <w:style w:type="character" w:styleId="PageNumber0">
    <w:name w:val="page number"/>
    <w:basedOn w:val="DefaultParagraphFont"/>
    <w:semiHidden/>
    <w:rsid w:val="00542377"/>
  </w:style>
  <w:style w:type="paragraph" w:styleId="ListContinue5">
    <w:name w:val="List Continue 5"/>
    <w:basedOn w:val="Normal"/>
    <w:semiHidden/>
    <w:rsid w:val="00EC2B68"/>
    <w:pPr>
      <w:spacing w:after="120"/>
      <w:ind w:left="1415"/>
      <w:contextualSpacing/>
    </w:pPr>
  </w:style>
  <w:style w:type="paragraph" w:customStyle="1" w:styleId="Paragraphbeforelist">
    <w:name w:val="Paragraph before list"/>
    <w:basedOn w:val="Paragraph"/>
    <w:uiPriority w:val="4"/>
    <w:qFormat/>
    <w:rsid w:val="00C87E8A"/>
    <w:pPr>
      <w:spacing w:after="80"/>
    </w:pPr>
  </w:style>
  <w:style w:type="paragraph" w:styleId="TOC1">
    <w:name w:val="toc 1"/>
    <w:basedOn w:val="Normal"/>
    <w:next w:val="Normal"/>
    <w:uiPriority w:val="39"/>
    <w:qFormat/>
    <w:rsid w:val="007A6CC0"/>
    <w:pPr>
      <w:tabs>
        <w:tab w:val="right" w:pos="7660"/>
      </w:tabs>
      <w:spacing w:before="280" w:after="80" w:line="320" w:lineRule="exact"/>
      <w:ind w:right="851"/>
    </w:pPr>
    <w:rPr>
      <w:b/>
      <w:noProof/>
      <w:spacing w:val="-14"/>
      <w:sz w:val="28"/>
    </w:rPr>
  </w:style>
  <w:style w:type="paragraph" w:styleId="TOC2">
    <w:name w:val="toc 2"/>
    <w:basedOn w:val="Normal"/>
    <w:next w:val="Normal"/>
    <w:uiPriority w:val="39"/>
    <w:qFormat/>
    <w:rsid w:val="007A6CC0"/>
    <w:pPr>
      <w:tabs>
        <w:tab w:val="right" w:pos="7660"/>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7A6CC0"/>
    <w:pPr>
      <w:tabs>
        <w:tab w:val="right" w:pos="7661"/>
      </w:tabs>
      <w:spacing w:after="80" w:line="240" w:lineRule="auto"/>
    </w:pPr>
    <w:rPr>
      <w:noProof/>
      <w:sz w:val="22"/>
      <w:szCs w:val="22"/>
    </w:rPr>
  </w:style>
  <w:style w:type="character" w:styleId="Hyperlink">
    <w:name w:val="Hyperlink"/>
    <w:aliases w:val="CEO_Hyperlink"/>
    <w:basedOn w:val="DefaultParagraphFont"/>
    <w:uiPriority w:val="99"/>
    <w:qFormat/>
    <w:rsid w:val="00C35CCE"/>
    <w:rPr>
      <w:color w:val="0000FF"/>
      <w:u w:val="single" w:color="0000FF"/>
    </w:rPr>
  </w:style>
  <w:style w:type="character" w:styleId="FootnoteReference">
    <w:name w:val="footnote reference"/>
    <w:aliases w:val="Appel note de bas de p,Appel note de bas de p + 11 pt,Italic,Appel note de bas de p1,Appel note de bas de p2,Appel note de bas de p3,Footnote Reference/,Footnote,Style 12,(NECG) Footnote Reference,Style 124,o,fr,Style 3,Style 13,FR"/>
    <w:basedOn w:val="DefaultParagraphFont"/>
    <w:uiPriority w:val="99"/>
    <w:qFormat/>
    <w:rsid w:val="00566AB4"/>
    <w:rPr>
      <w:rFonts w:ascii="Arial" w:hAnsi="Arial"/>
      <w:vertAlign w:val="superscript"/>
    </w:rPr>
  </w:style>
  <w:style w:type="paragraph" w:styleId="FootnoteText">
    <w:name w:val="footnote text"/>
    <w:aliases w:val="Footnote text,ACMA Footnote Text,footnote text,Footnote Text Char Char,Footnote Text Char1 Char Char,Footnote Text Char Char Char Char,Footnote Text Char1 Char Char Char Char,Footnote Text Char Char Char Char Char Char,f,fn"/>
    <w:basedOn w:val="Normal"/>
    <w:link w:val="FootnoteTextChar"/>
    <w:uiPriority w:val="99"/>
    <w:qFormat/>
    <w:rsid w:val="00A17B1B"/>
    <w:pPr>
      <w:spacing w:after="0" w:line="200" w:lineRule="atLeast"/>
    </w:pPr>
    <w:rPr>
      <w:sz w:val="16"/>
      <w:szCs w:val="16"/>
    </w:rPr>
  </w:style>
  <w:style w:type="paragraph" w:customStyle="1" w:styleId="TableBody">
    <w:name w:val="Table Body"/>
    <w:basedOn w:val="Normal"/>
    <w:uiPriority w:val="15"/>
    <w:qFormat/>
    <w:rsid w:val="00774FDB"/>
    <w:pPr>
      <w:spacing w:after="0" w:line="240" w:lineRule="auto"/>
    </w:pPr>
  </w:style>
  <w:style w:type="character" w:styleId="CommentReference">
    <w:name w:val="annotation reference"/>
    <w:basedOn w:val="DefaultParagraphFont"/>
    <w:rsid w:val="00EE7F79"/>
    <w:rPr>
      <w:sz w:val="16"/>
      <w:szCs w:val="16"/>
    </w:rPr>
  </w:style>
  <w:style w:type="paragraph" w:styleId="CommentText">
    <w:name w:val="annotation text"/>
    <w:basedOn w:val="Normal"/>
    <w:link w:val="CommentTextChar"/>
    <w:qFormat/>
    <w:rsid w:val="00EE7F79"/>
    <w:pPr>
      <w:spacing w:line="240" w:lineRule="auto"/>
    </w:pPr>
    <w:rPr>
      <w:szCs w:val="20"/>
    </w:rPr>
  </w:style>
  <w:style w:type="character" w:customStyle="1" w:styleId="CommentTextChar">
    <w:name w:val="Comment Text Char"/>
    <w:basedOn w:val="DefaultParagraphFont"/>
    <w:link w:val="CommentText"/>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semiHidden/>
    <w:unhideWhenUsed/>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paragraph" w:customStyle="1" w:styleId="Bulletlevel1">
    <w:name w:val="Bullet level 1"/>
    <w:basedOn w:val="ListBullet"/>
    <w:uiPriority w:val="5"/>
    <w:qFormat/>
    <w:rsid w:val="00A824E8"/>
    <w:rPr>
      <w:rFonts w:cs="Arial"/>
    </w:rPr>
  </w:style>
  <w:style w:type="paragraph" w:customStyle="1" w:styleId="ACMACorporateAddressHeader">
    <w:name w:val="ACMA_CorporateAddressHeader"/>
    <w:basedOn w:val="Normal"/>
    <w:next w:val="ACMACorporateAddresses"/>
    <w:semiHidden/>
    <w:unhideWhenUsed/>
    <w:qFormat/>
    <w:rsid w:val="00FC07B9"/>
    <w:pPr>
      <w:tabs>
        <w:tab w:val="left" w:pos="142"/>
      </w:tabs>
      <w:spacing w:before="240" w:after="0" w:line="140" w:lineRule="exact"/>
    </w:pPr>
    <w:rPr>
      <w:b/>
      <w:sz w:val="13"/>
    </w:rPr>
  </w:style>
  <w:style w:type="paragraph" w:customStyle="1" w:styleId="ACMACorporateAddresses">
    <w:name w:val="ACMA_CorporateAddresses"/>
    <w:basedOn w:val="ACMACorporateAddressHeader"/>
    <w:semiHidden/>
    <w:unhideWhenUsed/>
    <w:qFormat/>
    <w:rsid w:val="00FC07B9"/>
    <w:pPr>
      <w:spacing w:before="0" w:after="120"/>
    </w:pPr>
    <w:rPr>
      <w:b w:val="0"/>
    </w:rPr>
  </w:style>
  <w:style w:type="paragraph" w:customStyle="1" w:styleId="ACMACopyrightHeader">
    <w:name w:val="ACMA_CopyrightHeader"/>
    <w:basedOn w:val="ACMACorporateAddressHeader"/>
    <w:semiHidden/>
    <w:unhideWhenUsed/>
    <w:qFormat/>
    <w:rsid w:val="00950159"/>
    <w:pPr>
      <w:spacing w:before="3000"/>
    </w:pPr>
  </w:style>
  <w:style w:type="paragraph" w:customStyle="1" w:styleId="ACMACClogo">
    <w:name w:val="ACMA_CClogo"/>
    <w:semiHidden/>
    <w:unhideWhenUsed/>
    <w:qFormat/>
    <w:rsid w:val="00623FF9"/>
    <w:pPr>
      <w:spacing w:before="160" w:after="120"/>
    </w:pPr>
    <w:rPr>
      <w:rFonts w:ascii="Arial" w:hAnsi="Arial"/>
      <w:b/>
      <w:sz w:val="13"/>
    </w:rPr>
  </w:style>
  <w:style w:type="paragraph" w:customStyle="1" w:styleId="ListBulletLast">
    <w:name w:val="List Bullet Last"/>
    <w:basedOn w:val="ListBullet"/>
    <w:qFormat/>
    <w:rsid w:val="00146CE6"/>
    <w:pPr>
      <w:spacing w:after="240"/>
    </w:pPr>
    <w:rPr>
      <w:rFonts w:cs="Arial"/>
    </w:rPr>
  </w:style>
  <w:style w:type="paragraph" w:customStyle="1" w:styleId="ListNumberLast">
    <w:name w:val="List Number Last"/>
    <w:basedOn w:val="ListNumber"/>
    <w:semiHidden/>
    <w:qFormat/>
    <w:rsid w:val="00C16198"/>
    <w:pPr>
      <w:spacing w:after="240"/>
      <w:ind w:left="357" w:hanging="357"/>
    </w:pPr>
    <w:rPr>
      <w:rFonts w:cs="Arial"/>
    </w:rPr>
  </w:style>
  <w:style w:type="paragraph" w:customStyle="1" w:styleId="ACMATableHeader">
    <w:name w:val="ACMA_TableHeader"/>
    <w:qFormat/>
    <w:rsid w:val="003F10EE"/>
    <w:pPr>
      <w:numPr>
        <w:numId w:val="7"/>
      </w:numPr>
      <w:spacing w:after="160"/>
    </w:pPr>
    <w:rPr>
      <w:rFonts w:ascii="Arial" w:hAnsi="Arial"/>
      <w:b/>
      <w:bCs/>
      <w:color w:val="323232"/>
      <w:sz w:val="20"/>
      <w:szCs w:val="20"/>
    </w:rPr>
  </w:style>
  <w:style w:type="paragraph" w:customStyle="1" w:styleId="ACMANotes">
    <w:name w:val="ACMA_Notes"/>
    <w:semiHidden/>
    <w:qFormat/>
    <w:rsid w:val="00FF206E"/>
    <w:pPr>
      <w:spacing w:before="80"/>
    </w:pPr>
    <w:rPr>
      <w:rFonts w:ascii="Arial" w:hAnsi="Arial" w:cs="Arial"/>
      <w:i/>
      <w:sz w:val="16"/>
    </w:rPr>
  </w:style>
  <w:style w:type="paragraph" w:customStyle="1" w:styleId="Numberlistlevel1">
    <w:name w:val="Number list level 1"/>
    <w:basedOn w:val="ListNumber"/>
    <w:uiPriority w:val="9"/>
    <w:qFormat/>
    <w:rsid w:val="004A70D6"/>
  </w:style>
  <w:style w:type="character" w:styleId="Emphasis">
    <w:name w:val="Emphasis"/>
    <w:basedOn w:val="DefaultParagraphFont"/>
    <w:semiHidden/>
    <w:qFormat/>
    <w:rsid w:val="006D576C"/>
    <w:rPr>
      <w:i/>
      <w:iCs/>
    </w:rPr>
  </w:style>
  <w:style w:type="paragraph" w:customStyle="1" w:styleId="ListNumber2Last">
    <w:name w:val="List Number 2 Last"/>
    <w:basedOn w:val="ListNumber2"/>
    <w:semiHidden/>
    <w:qFormat/>
    <w:rsid w:val="00E35707"/>
    <w:pPr>
      <w:spacing w:after="240"/>
      <w:ind w:left="907"/>
    </w:pPr>
    <w:rPr>
      <w:rFonts w:cs="Arial"/>
    </w:rPr>
  </w:style>
  <w:style w:type="paragraph" w:customStyle="1" w:styleId="Spaceaftertable">
    <w:name w:val="Space after table"/>
    <w:basedOn w:val="Normal"/>
    <w:uiPriority w:val="99"/>
    <w:qFormat/>
    <w:rsid w:val="00C2083D"/>
    <w:rPr>
      <w:rFonts w:cs="Arial"/>
    </w:rPr>
  </w:style>
  <w:style w:type="paragraph" w:customStyle="1" w:styleId="FooterLeft">
    <w:name w:val="Footer Left"/>
    <w:basedOn w:val="Footer"/>
    <w:semiHidden/>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qFormat/>
    <w:rsid w:val="003F10EE"/>
    <w:pPr>
      <w:numPr>
        <w:numId w:val="6"/>
      </w:numPr>
      <w:spacing w:after="160"/>
    </w:pPr>
    <w:rPr>
      <w:rFonts w:ascii="Arial" w:hAnsi="Arial"/>
      <w:b/>
      <w:bCs/>
      <w:color w:val="323232"/>
      <w:sz w:val="20"/>
      <w:szCs w:val="20"/>
    </w:rPr>
  </w:style>
  <w:style w:type="paragraph" w:customStyle="1" w:styleId="Captionfigure">
    <w:name w:val="Caption figure"/>
    <w:basedOn w:val="Caption"/>
    <w:semiHidden/>
    <w:qFormat/>
    <w:rsid w:val="00E8152A"/>
    <w:pPr>
      <w:keepNext/>
      <w:numPr>
        <w:numId w:val="8"/>
      </w:numPr>
    </w:pPr>
    <w:rPr>
      <w:rFonts w:cs="Arial"/>
    </w:rPr>
  </w:style>
  <w:style w:type="paragraph" w:customStyle="1" w:styleId="GridTable31">
    <w:name w:val="Grid Table 31"/>
    <w:basedOn w:val="Normal"/>
    <w:semiHidden/>
    <w:qFormat/>
    <w:rsid w:val="00971914"/>
    <w:pPr>
      <w:spacing w:after="0" w:line="240" w:lineRule="auto"/>
    </w:pPr>
    <w:rPr>
      <w:b/>
      <w:color w:val="4D4D4F"/>
      <w:spacing w:val="-28"/>
      <w:sz w:val="53"/>
    </w:rPr>
  </w:style>
  <w:style w:type="character" w:customStyle="1" w:styleId="HeaderChar">
    <w:name w:val="Header Char"/>
    <w:link w:val="Header"/>
    <w:semiHidden/>
    <w:rsid w:val="00971914"/>
    <w:rPr>
      <w:rFonts w:ascii="Arial" w:hAnsi="Arial"/>
      <w:sz w:val="16"/>
    </w:rPr>
  </w:style>
  <w:style w:type="character" w:customStyle="1" w:styleId="Heading1Char">
    <w:name w:val="Heading 1 Char"/>
    <w:basedOn w:val="DefaultParagraphFont"/>
    <w:link w:val="Heading1"/>
    <w:uiPriority w:val="1"/>
    <w:rsid w:val="00CE0BB5"/>
    <w:rPr>
      <w:rFonts w:ascii="Arial" w:hAnsi="Arial" w:cs="Arial"/>
      <w:bCs/>
      <w:color w:val="323232"/>
      <w:kern w:val="32"/>
      <w:sz w:val="53"/>
      <w:szCs w:val="32"/>
    </w:rPr>
  </w:style>
  <w:style w:type="character" w:customStyle="1" w:styleId="Heading2Char">
    <w:name w:val="Heading 2 Char"/>
    <w:basedOn w:val="DefaultParagraphFont"/>
    <w:link w:val="Heading2"/>
    <w:uiPriority w:val="9"/>
    <w:rsid w:val="00800CCD"/>
    <w:rPr>
      <w:rFonts w:ascii="Arial" w:hAnsi="Arial" w:cs="Arial"/>
      <w:b/>
      <w:bCs/>
      <w:iCs/>
      <w:sz w:val="28"/>
      <w:szCs w:val="28"/>
    </w:rPr>
  </w:style>
  <w:style w:type="character" w:styleId="UnresolvedMention">
    <w:name w:val="Unresolved Mention"/>
    <w:basedOn w:val="DefaultParagraphFont"/>
    <w:uiPriority w:val="99"/>
    <w:unhideWhenUsed/>
    <w:rsid w:val="006B52DE"/>
    <w:rPr>
      <w:color w:val="605E5C"/>
      <w:shd w:val="clear" w:color="auto" w:fill="E1DFDD"/>
    </w:rPr>
  </w:style>
  <w:style w:type="character" w:customStyle="1" w:styleId="Heading3Char">
    <w:name w:val="Heading 3 Char"/>
    <w:basedOn w:val="DefaultParagraphFont"/>
    <w:link w:val="Heading3"/>
    <w:rsid w:val="00800CCD"/>
    <w:rPr>
      <w:rFonts w:ascii="Arial" w:hAnsi="Arial" w:cs="Arial"/>
      <w:b/>
      <w:bCs/>
      <w:sz w:val="20"/>
      <w:szCs w:val="26"/>
    </w:rPr>
  </w:style>
  <w:style w:type="paragraph" w:customStyle="1" w:styleId="Paragraph">
    <w:name w:val="Paragraph"/>
    <w:basedOn w:val="Normal"/>
    <w:link w:val="ParagraphChar"/>
    <w:qFormat/>
    <w:rsid w:val="00A824E8"/>
    <w:rPr>
      <w:rFonts w:cs="Arial"/>
    </w:rPr>
  </w:style>
  <w:style w:type="paragraph" w:customStyle="1" w:styleId="Bulletlevel2">
    <w:name w:val="Bullet level 2"/>
    <w:basedOn w:val="ListBullet2"/>
    <w:uiPriority w:val="7"/>
    <w:qFormat/>
    <w:rsid w:val="00C82940"/>
    <w:pPr>
      <w:tabs>
        <w:tab w:val="clear" w:pos="845"/>
        <w:tab w:val="left" w:pos="295"/>
      </w:tabs>
      <w:ind w:left="590" w:hanging="295"/>
    </w:pPr>
    <w:rPr>
      <w:rFonts w:cs="Arial"/>
    </w:rPr>
  </w:style>
  <w:style w:type="paragraph" w:customStyle="1" w:styleId="Bulletlevel1last">
    <w:name w:val="Bullet level 1 last"/>
    <w:basedOn w:val="ListBulletLast"/>
    <w:uiPriority w:val="6"/>
    <w:qFormat/>
    <w:rsid w:val="00A824E8"/>
  </w:style>
  <w:style w:type="paragraph" w:customStyle="1" w:styleId="Numberlistlevel2">
    <w:name w:val="Number list level 2"/>
    <w:basedOn w:val="ListNumber2"/>
    <w:uiPriority w:val="11"/>
    <w:qFormat/>
    <w:rsid w:val="00C82940"/>
    <w:pPr>
      <w:ind w:left="766" w:hanging="295"/>
    </w:pPr>
  </w:style>
  <w:style w:type="paragraph" w:customStyle="1" w:styleId="Numberlistlast">
    <w:name w:val="Number list last"/>
    <w:basedOn w:val="ListNumberLast"/>
    <w:uiPriority w:val="10"/>
    <w:qFormat/>
    <w:rsid w:val="004A70D6"/>
  </w:style>
  <w:style w:type="paragraph" w:customStyle="1" w:styleId="Numberlistlevel2last">
    <w:name w:val="Number list level 2 last"/>
    <w:basedOn w:val="Numberlistlevel2"/>
    <w:uiPriority w:val="12"/>
    <w:qFormat/>
    <w:rsid w:val="004A70D6"/>
    <w:pPr>
      <w:spacing w:after="240"/>
    </w:pPr>
  </w:style>
  <w:style w:type="paragraph" w:customStyle="1" w:styleId="Bulletlevel2last">
    <w:name w:val="Bullet level 2 last"/>
    <w:basedOn w:val="Bulletlevel2"/>
    <w:uiPriority w:val="8"/>
    <w:qFormat/>
    <w:rsid w:val="004A70D6"/>
    <w:pPr>
      <w:spacing w:after="240"/>
    </w:pPr>
  </w:style>
  <w:style w:type="table" w:customStyle="1" w:styleId="ACMAtablestyle">
    <w:name w:val="ACMA table style"/>
    <w:basedOn w:val="TableNormal"/>
    <w:uiPriority w:val="99"/>
    <w:rsid w:val="00F04366"/>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57" w:type="dxa"/>
        <w:bottom w:w="85" w:type="dxa"/>
        <w:right w:w="57" w:type="dxa"/>
      </w:tblCellMar>
    </w:tblPr>
    <w:tblStylePr w:type="firstRow">
      <w:rPr>
        <w:rFonts w:ascii="Arial" w:hAnsi="Arial"/>
        <w:b w:val="0"/>
        <w:color w:val="FFFFFF" w:themeColor="background1"/>
        <w:sz w:val="20"/>
      </w:rPr>
      <w:tblPr/>
      <w:trPr>
        <w:tblHeader/>
      </w:trPr>
      <w:tcPr>
        <w:tcBorders>
          <w:top w:val="single" w:sz="4" w:space="0" w:color="auto"/>
          <w:left w:val="single" w:sz="4" w:space="0" w:color="auto"/>
          <w:bottom w:val="single" w:sz="4" w:space="0" w:color="auto"/>
          <w:right w:val="single" w:sz="4" w:space="0" w:color="auto"/>
          <w:insideH w:val="nil"/>
          <w:insideV w:val="nil"/>
        </w:tcBorders>
        <w:shd w:val="clear" w:color="auto" w:fill="404040" w:themeFill="text1" w:themeFillTint="BF"/>
      </w:tcPr>
    </w:tblStylePr>
    <w:tblStylePr w:type="band1Horz">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2Horz">
      <w:rPr>
        <w:rFonts w:ascii="Arial" w:hAnsi="Arial"/>
        <w:sz w:val="20"/>
      </w:rPr>
      <w:tblPr/>
      <w:tcPr>
        <w:shd w:val="clear" w:color="auto" w:fill="F2F2F2" w:themeFill="background1" w:themeFillShade="F2"/>
      </w:tcPr>
    </w:tblStylePr>
  </w:style>
  <w:style w:type="paragraph" w:customStyle="1" w:styleId="Tableheading">
    <w:name w:val="Table heading"/>
    <w:basedOn w:val="ACMATableHeader"/>
    <w:uiPriority w:val="13"/>
    <w:qFormat/>
    <w:rsid w:val="0063346D"/>
    <w:pPr>
      <w:keepNext/>
      <w:spacing w:line="240" w:lineRule="atLeast"/>
    </w:pPr>
  </w:style>
  <w:style w:type="paragraph" w:customStyle="1" w:styleId="Tableorfigurenote">
    <w:name w:val="Table or figure note"/>
    <w:basedOn w:val="ACMANotes"/>
    <w:uiPriority w:val="17"/>
    <w:qFormat/>
    <w:rsid w:val="00930510"/>
    <w:pPr>
      <w:spacing w:after="240"/>
    </w:pPr>
  </w:style>
  <w:style w:type="paragraph" w:customStyle="1" w:styleId="Figureheading">
    <w:name w:val="Figure heading"/>
    <w:basedOn w:val="ACMAFigureHeader"/>
    <w:uiPriority w:val="16"/>
    <w:qFormat/>
    <w:rsid w:val="0063346D"/>
    <w:pPr>
      <w:keepNext/>
      <w:spacing w:line="240" w:lineRule="atLeast"/>
    </w:pPr>
  </w:style>
  <w:style w:type="paragraph" w:customStyle="1" w:styleId="Tableorfigurenotemultiple">
    <w:name w:val="Table or figure note multiple"/>
    <w:basedOn w:val="Tableorfigurenote"/>
    <w:uiPriority w:val="18"/>
    <w:qFormat/>
    <w:rsid w:val="00930510"/>
    <w:pPr>
      <w:spacing w:after="80"/>
    </w:pPr>
  </w:style>
  <w:style w:type="paragraph" w:customStyle="1" w:styleId="Protectivemarking">
    <w:name w:val="Protective marking"/>
    <w:basedOn w:val="Normal"/>
    <w:uiPriority w:val="99"/>
    <w:qFormat/>
    <w:rsid w:val="007E3375"/>
    <w:pPr>
      <w:tabs>
        <w:tab w:val="left" w:pos="720"/>
      </w:tabs>
      <w:spacing w:after="0" w:line="240" w:lineRule="auto"/>
      <w:jc w:val="center"/>
    </w:pPr>
    <w:rPr>
      <w:rFonts w:cs="Arial"/>
      <w:b/>
      <w:bCs/>
      <w:color w:val="FF0000"/>
      <w:sz w:val="32"/>
      <w:lang w:eastAsia="en-US"/>
    </w:rPr>
  </w:style>
  <w:style w:type="paragraph" w:styleId="BalloonText">
    <w:name w:val="Balloon Text"/>
    <w:basedOn w:val="Normal"/>
    <w:link w:val="BalloonTextChar"/>
    <w:semiHidden/>
    <w:unhideWhenUsed/>
    <w:rsid w:val="004511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4511C5"/>
    <w:rPr>
      <w:rFonts w:ascii="Segoe UI" w:hAnsi="Segoe UI" w:cs="Segoe UI"/>
      <w:sz w:val="18"/>
      <w:szCs w:val="18"/>
    </w:rPr>
  </w:style>
  <w:style w:type="paragraph" w:styleId="Revision">
    <w:name w:val="Revision"/>
    <w:hidden/>
    <w:semiHidden/>
    <w:rsid w:val="004511C5"/>
    <w:rPr>
      <w:rFonts w:ascii="Arial" w:hAnsi="Arial"/>
      <w:sz w:val="20"/>
    </w:rPr>
  </w:style>
  <w:style w:type="paragraph" w:styleId="NormalWeb">
    <w:name w:val="Normal (Web)"/>
    <w:basedOn w:val="Normal"/>
    <w:uiPriority w:val="99"/>
    <w:unhideWhenUsed/>
    <w:rsid w:val="0070471B"/>
    <w:pPr>
      <w:spacing w:before="100" w:beforeAutospacing="1" w:after="100" w:afterAutospacing="1" w:line="240" w:lineRule="auto"/>
    </w:pPr>
    <w:rPr>
      <w:rFonts w:ascii="Times New Roman" w:hAnsi="Times New Roman"/>
      <w:sz w:val="24"/>
    </w:rPr>
  </w:style>
  <w:style w:type="character" w:customStyle="1" w:styleId="FootnoteTextChar">
    <w:name w:val="Footnote Text Char"/>
    <w:aliases w:val="Footnote text Char,ACMA Footnote Text Char,footnote text Char,Footnote Text Char Char Char,Footnote Text Char1 Char Char Char,Footnote Text Char Char Char Char Char,Footnote Text Char1 Char Char Char Char Char,f Char,fn Char"/>
    <w:basedOn w:val="DefaultParagraphFont"/>
    <w:link w:val="FootnoteText"/>
    <w:uiPriority w:val="99"/>
    <w:qFormat/>
    <w:rsid w:val="0070471B"/>
    <w:rPr>
      <w:rFonts w:ascii="Arial" w:hAnsi="Arial"/>
      <w:sz w:val="16"/>
      <w:szCs w:val="16"/>
    </w:rPr>
  </w:style>
  <w:style w:type="character" w:customStyle="1" w:styleId="ParagraphChar">
    <w:name w:val="Paragraph Char"/>
    <w:basedOn w:val="DefaultParagraphFont"/>
    <w:link w:val="Paragraph"/>
    <w:locked/>
    <w:rsid w:val="0070471B"/>
    <w:rPr>
      <w:rFonts w:ascii="Arial" w:hAnsi="Arial" w:cs="Arial"/>
      <w:sz w:val="20"/>
    </w:rPr>
  </w:style>
  <w:style w:type="paragraph" w:customStyle="1" w:styleId="Note">
    <w:name w:val="Note"/>
    <w:basedOn w:val="ACMANotes"/>
    <w:uiPriority w:val="23"/>
    <w:semiHidden/>
    <w:qFormat/>
    <w:rsid w:val="0070471B"/>
  </w:style>
  <w:style w:type="paragraph" w:customStyle="1" w:styleId="ACMABulletLevel1">
    <w:name w:val="ACMA Bullet Level 1"/>
    <w:rsid w:val="0070471B"/>
    <w:pPr>
      <w:numPr>
        <w:numId w:val="13"/>
      </w:numPr>
      <w:tabs>
        <w:tab w:val="num" w:pos="-31680"/>
      </w:tabs>
      <w:spacing w:after="120"/>
    </w:pPr>
    <w:rPr>
      <w:szCs w:val="20"/>
      <w:lang w:eastAsia="en-US"/>
    </w:rPr>
  </w:style>
  <w:style w:type="paragraph" w:customStyle="1" w:styleId="paragraph0">
    <w:name w:val="paragraph"/>
    <w:basedOn w:val="Normal"/>
    <w:rsid w:val="0070471B"/>
    <w:pPr>
      <w:spacing w:before="100" w:beforeAutospacing="1" w:after="100" w:afterAutospacing="1" w:line="240" w:lineRule="auto"/>
    </w:pPr>
    <w:rPr>
      <w:rFonts w:ascii="Times New Roman" w:hAnsi="Times New Roman"/>
      <w:sz w:val="24"/>
    </w:rPr>
  </w:style>
  <w:style w:type="character" w:customStyle="1" w:styleId="normaltextrun">
    <w:name w:val="normaltextrun"/>
    <w:basedOn w:val="DefaultParagraphFont"/>
    <w:rsid w:val="0070471B"/>
  </w:style>
  <w:style w:type="character" w:customStyle="1" w:styleId="spellingerror">
    <w:name w:val="spellingerror"/>
    <w:basedOn w:val="DefaultParagraphFont"/>
    <w:rsid w:val="0070471B"/>
  </w:style>
  <w:style w:type="character" w:customStyle="1" w:styleId="eop">
    <w:name w:val="eop"/>
    <w:basedOn w:val="DefaultParagraphFont"/>
    <w:rsid w:val="0070471B"/>
  </w:style>
  <w:style w:type="character" w:customStyle="1" w:styleId="contextualspellingandgrammarerror">
    <w:name w:val="contextualspellingandgrammarerror"/>
    <w:basedOn w:val="DefaultParagraphFont"/>
    <w:rsid w:val="0070471B"/>
  </w:style>
  <w:style w:type="paragraph" w:styleId="ListParagraph">
    <w:name w:val="List Paragraph"/>
    <w:aliases w:val="List Paragraph1,Recommendation"/>
    <w:basedOn w:val="Normal"/>
    <w:link w:val="ListParagraphChar"/>
    <w:uiPriority w:val="34"/>
    <w:qFormat/>
    <w:rsid w:val="0070471B"/>
    <w:pPr>
      <w:ind w:left="720"/>
      <w:contextualSpacing/>
    </w:pPr>
  </w:style>
  <w:style w:type="numbering" w:customStyle="1" w:styleId="NumberLevel1">
    <w:name w:val="Number Level 1"/>
    <w:uiPriority w:val="99"/>
    <w:rsid w:val="0070471B"/>
    <w:pPr>
      <w:numPr>
        <w:numId w:val="14"/>
      </w:numPr>
    </w:pPr>
  </w:style>
  <w:style w:type="paragraph" w:customStyle="1" w:styleId="Default">
    <w:name w:val="Default"/>
    <w:rsid w:val="0070471B"/>
    <w:pPr>
      <w:autoSpaceDE w:val="0"/>
      <w:autoSpaceDN w:val="0"/>
      <w:adjustRightInd w:val="0"/>
    </w:pPr>
    <w:rPr>
      <w:rFonts w:ascii="Arial" w:eastAsiaTheme="minorHAnsi" w:hAnsi="Arial" w:cs="Arial"/>
      <w:color w:val="000000"/>
      <w:lang w:eastAsia="en-US"/>
    </w:rPr>
  </w:style>
  <w:style w:type="character" w:customStyle="1" w:styleId="ListBulletChar">
    <w:name w:val="List Bullet Char"/>
    <w:aliases w:val="List Bullet 1 Char"/>
    <w:basedOn w:val="DefaultParagraphFont"/>
    <w:link w:val="ListBullet"/>
    <w:uiPriority w:val="99"/>
    <w:rsid w:val="0070471B"/>
    <w:rPr>
      <w:rFonts w:ascii="Arial" w:hAnsi="Arial"/>
      <w:sz w:val="20"/>
    </w:rPr>
  </w:style>
  <w:style w:type="paragraph" w:customStyle="1" w:styleId="ACMANumberedList">
    <w:name w:val="ACMA Numbered List"/>
    <w:rsid w:val="0070471B"/>
    <w:pPr>
      <w:numPr>
        <w:numId w:val="15"/>
      </w:numPr>
      <w:tabs>
        <w:tab w:val="clear" w:pos="720"/>
        <w:tab w:val="num" w:pos="360"/>
      </w:tabs>
      <w:spacing w:before="20" w:after="20"/>
    </w:pPr>
    <w:rPr>
      <w:szCs w:val="20"/>
      <w:lang w:eastAsia="en-US"/>
    </w:rPr>
  </w:style>
  <w:style w:type="table" w:styleId="ListTable3-Accent1">
    <w:name w:val="List Table 3 Accent 1"/>
    <w:basedOn w:val="TableNormal"/>
    <w:uiPriority w:val="48"/>
    <w:rsid w:val="0070471B"/>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ListParagraphChar">
    <w:name w:val="List Paragraph Char"/>
    <w:aliases w:val="List Paragraph1 Char,Recommendation Char"/>
    <w:basedOn w:val="DefaultParagraphFont"/>
    <w:link w:val="ListParagraph"/>
    <w:uiPriority w:val="34"/>
    <w:rsid w:val="0070471B"/>
    <w:rPr>
      <w:rFonts w:ascii="Arial" w:hAnsi="Arial"/>
      <w:sz w:val="20"/>
    </w:rPr>
  </w:style>
  <w:style w:type="character" w:styleId="SubtleEmphasis">
    <w:name w:val="Subtle Emphasis"/>
    <w:basedOn w:val="DefaultParagraphFont"/>
    <w:uiPriority w:val="19"/>
    <w:qFormat/>
    <w:rsid w:val="0070471B"/>
    <w:rPr>
      <w:i/>
      <w:iCs/>
      <w:color w:val="404040" w:themeColor="text1" w:themeTint="BF"/>
    </w:rPr>
  </w:style>
  <w:style w:type="paragraph" w:customStyle="1" w:styleId="acthead5">
    <w:name w:val="acthead5"/>
    <w:basedOn w:val="Normal"/>
    <w:rsid w:val="0070471B"/>
    <w:pPr>
      <w:spacing w:before="100" w:beforeAutospacing="1" w:after="100" w:afterAutospacing="1" w:line="240" w:lineRule="auto"/>
    </w:pPr>
    <w:rPr>
      <w:rFonts w:ascii="Times New Roman" w:hAnsi="Times New Roman"/>
      <w:sz w:val="24"/>
    </w:rPr>
  </w:style>
  <w:style w:type="character" w:customStyle="1" w:styleId="charsectno">
    <w:name w:val="charsectno"/>
    <w:basedOn w:val="DefaultParagraphFont"/>
    <w:rsid w:val="0070471B"/>
  </w:style>
  <w:style w:type="paragraph" w:customStyle="1" w:styleId="sub-heading">
    <w:name w:val="sub-heading"/>
    <w:basedOn w:val="Heading2"/>
    <w:link w:val="sub-headingChar"/>
    <w:qFormat/>
    <w:rsid w:val="0070471B"/>
    <w:pPr>
      <w:tabs>
        <w:tab w:val="center" w:pos="4153"/>
        <w:tab w:val="right" w:pos="8306"/>
      </w:tabs>
      <w:spacing w:before="360" w:line="240" w:lineRule="auto"/>
    </w:pPr>
  </w:style>
  <w:style w:type="character" w:customStyle="1" w:styleId="sub-headingChar">
    <w:name w:val="sub-heading Char"/>
    <w:basedOn w:val="DefaultParagraphFont"/>
    <w:link w:val="sub-heading"/>
    <w:rsid w:val="0070471B"/>
    <w:rPr>
      <w:rFonts w:ascii="Arial" w:hAnsi="Arial" w:cs="Arial"/>
      <w:b/>
      <w:bCs/>
      <w:iCs/>
      <w:sz w:val="28"/>
      <w:szCs w:val="28"/>
    </w:rPr>
  </w:style>
  <w:style w:type="paragraph" w:customStyle="1" w:styleId="ACMABodyText">
    <w:name w:val="ACMA Body Text"/>
    <w:rsid w:val="0070471B"/>
    <w:pPr>
      <w:suppressAutoHyphens/>
      <w:spacing w:before="80" w:after="120" w:line="260" w:lineRule="atLeast"/>
    </w:pPr>
    <w:rPr>
      <w:rFonts w:ascii="Arial" w:hAnsi="Arial"/>
      <w:snapToGrid w:val="0"/>
      <w:sz w:val="22"/>
      <w:szCs w:val="20"/>
      <w:lang w:eastAsia="en-US"/>
    </w:rPr>
  </w:style>
  <w:style w:type="paragraph" w:customStyle="1" w:styleId="subsection">
    <w:name w:val="subsection"/>
    <w:basedOn w:val="Normal"/>
    <w:rsid w:val="0070471B"/>
    <w:pPr>
      <w:spacing w:before="100" w:beforeAutospacing="1" w:after="100" w:afterAutospacing="1" w:line="240" w:lineRule="auto"/>
    </w:pPr>
    <w:rPr>
      <w:rFonts w:ascii="Times New Roman" w:hAnsi="Times New Roman"/>
      <w:sz w:val="24"/>
    </w:rPr>
  </w:style>
  <w:style w:type="paragraph" w:customStyle="1" w:styleId="paragraphsub">
    <w:name w:val="paragraphsub"/>
    <w:basedOn w:val="Normal"/>
    <w:rsid w:val="0070471B"/>
    <w:pPr>
      <w:spacing w:before="100" w:beforeAutospacing="1" w:after="100" w:afterAutospacing="1" w:line="240" w:lineRule="auto"/>
    </w:pPr>
    <w:rPr>
      <w:rFonts w:ascii="Times New Roman" w:hAnsi="Times New Roman"/>
      <w:sz w:val="24"/>
    </w:rPr>
  </w:style>
  <w:style w:type="paragraph" w:customStyle="1" w:styleId="Style1">
    <w:name w:val="Style1"/>
    <w:basedOn w:val="ListParagraph"/>
    <w:qFormat/>
    <w:rsid w:val="0070471B"/>
    <w:pPr>
      <w:numPr>
        <w:numId w:val="21"/>
      </w:numPr>
      <w:spacing w:after="160" w:line="259" w:lineRule="auto"/>
      <w:ind w:left="360"/>
    </w:pPr>
    <w:rPr>
      <w:color w:val="000000" w:themeColor="text1"/>
      <w:sz w:val="21"/>
    </w:rPr>
  </w:style>
  <w:style w:type="character" w:styleId="Mention">
    <w:name w:val="Mention"/>
    <w:basedOn w:val="DefaultParagraphFont"/>
    <w:uiPriority w:val="99"/>
    <w:unhideWhenUsed/>
    <w:rsid w:val="0070471B"/>
    <w:rPr>
      <w:color w:val="2B579A"/>
      <w:shd w:val="clear" w:color="auto" w:fill="E1DFDD"/>
    </w:rPr>
  </w:style>
  <w:style w:type="paragraph" w:customStyle="1" w:styleId="Numberedparagraph">
    <w:name w:val="Numbered paragraph"/>
    <w:basedOn w:val="Normal"/>
    <w:qFormat/>
    <w:rsid w:val="0070471B"/>
    <w:pPr>
      <w:tabs>
        <w:tab w:val="num" w:pos="567"/>
      </w:tabs>
      <w:ind w:hanging="567"/>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784553">
      <w:bodyDiv w:val="1"/>
      <w:marLeft w:val="0"/>
      <w:marRight w:val="0"/>
      <w:marTop w:val="0"/>
      <w:marBottom w:val="0"/>
      <w:divBdr>
        <w:top w:val="none" w:sz="0" w:space="0" w:color="auto"/>
        <w:left w:val="none" w:sz="0" w:space="0" w:color="auto"/>
        <w:bottom w:val="none" w:sz="0" w:space="0" w:color="auto"/>
        <w:right w:val="none" w:sz="0" w:space="0" w:color="auto"/>
      </w:divBdr>
    </w:div>
    <w:div w:id="1409771268">
      <w:bodyDiv w:val="1"/>
      <w:marLeft w:val="0"/>
      <w:marRight w:val="0"/>
      <w:marTop w:val="0"/>
      <w:marBottom w:val="0"/>
      <w:divBdr>
        <w:top w:val="none" w:sz="0" w:space="0" w:color="auto"/>
        <w:left w:val="none" w:sz="0" w:space="0" w:color="auto"/>
        <w:bottom w:val="none" w:sz="0" w:space="0" w:color="auto"/>
        <w:right w:val="none" w:sz="0" w:space="0" w:color="auto"/>
      </w:divBdr>
    </w:div>
    <w:div w:id="1566910818">
      <w:bodyDiv w:val="1"/>
      <w:marLeft w:val="0"/>
      <w:marRight w:val="0"/>
      <w:marTop w:val="0"/>
      <w:marBottom w:val="0"/>
      <w:divBdr>
        <w:top w:val="none" w:sz="0" w:space="0" w:color="auto"/>
        <w:left w:val="none" w:sz="0" w:space="0" w:color="auto"/>
        <w:bottom w:val="none" w:sz="0" w:space="0" w:color="auto"/>
        <w:right w:val="none" w:sz="0" w:space="0" w:color="auto"/>
      </w:divBdr>
    </w:div>
    <w:div w:id="192591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 TargetMode="External"/><Relationship Id="rId18" Type="http://schemas.openxmlformats.org/officeDocument/2006/relationships/header" Target="header5.xml"/><Relationship Id="rId26" Type="http://schemas.openxmlformats.org/officeDocument/2006/relationships/hyperlink" Target="https://web.acma.gov.au/rrl/register_search.main_page" TargetMode="External"/><Relationship Id="rId39" Type="http://schemas.openxmlformats.org/officeDocument/2006/relationships/hyperlink" Target="https://www.acma.gov.au/5g-and-aviation-services-australia" TargetMode="External"/><Relationship Id="rId21" Type="http://schemas.openxmlformats.org/officeDocument/2006/relationships/footer" Target="footer5.xml"/><Relationship Id="rId34" Type="http://schemas.openxmlformats.org/officeDocument/2006/relationships/hyperlink" Target="https://www.acma.gov.au/convert-hcis-area-description-placemark" TargetMode="External"/><Relationship Id="rId42" Type="http://schemas.openxmlformats.org/officeDocument/2006/relationships/hyperlink" Target="https://www.acma.gov.au/policy-apparatus-licence-renewals" TargetMode="External"/><Relationship Id="rId47" Type="http://schemas.openxmlformats.org/officeDocument/2006/relationships/header" Target="header7.xml"/><Relationship Id="rId50"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s://www.legislation.gov.au/Details/F2018L00221" TargetMode="External"/><Relationship Id="rId11" Type="http://schemas.openxmlformats.org/officeDocument/2006/relationships/hyperlink" Target="http://i.creativecommons.org/l/by/3.0/88x31.png" TargetMode="External"/><Relationship Id="rId24" Type="http://schemas.openxmlformats.org/officeDocument/2006/relationships/hyperlink" Target="https://www.acma.gov.au/area-wide-licences-awl" TargetMode="External"/><Relationship Id="rId32" Type="http://schemas.openxmlformats.org/officeDocument/2006/relationships/image" Target="media/image4.png"/><Relationship Id="rId37" Type="http://schemas.openxmlformats.org/officeDocument/2006/relationships/hyperlink" Target="https://www.acma.gov.au/publications/2023-06/instruction/rali-ms47-licensing-and-coordination-procedures-area-wide-licences-awl-3400-4000-mhz-band" TargetMode="External"/><Relationship Id="rId40" Type="http://schemas.openxmlformats.org/officeDocument/2006/relationships/hyperlink" Target="https://www.acma.gov.au/business-operating-procedures-spectrum" TargetMode="External"/><Relationship Id="rId45" Type="http://schemas.openxmlformats.org/officeDocument/2006/relationships/hyperlink" Target="https://www.acma.gov.au/convert-hcis-area-description-placemark"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www.acma.gov.au/articles/2023-11/acma-issues-licences-34-4-ghz-band-remote-areas" TargetMode="External"/><Relationship Id="rId28" Type="http://schemas.openxmlformats.org/officeDocument/2006/relationships/hyperlink" Target="https://www.legislation.gov.au/Details/F2018L00225/Html/Text" TargetMode="External"/><Relationship Id="rId36" Type="http://schemas.openxmlformats.org/officeDocument/2006/relationships/hyperlink" Target="https://www.legislation.gov.au/F2020L00070/latest/text" TargetMode="External"/><Relationship Id="rId49" Type="http://schemas.openxmlformats.org/officeDocument/2006/relationships/footer" Target="footer7.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yperlink" Target="https://www.acma.gov.au/australian-spectrum-map-grid" TargetMode="External"/><Relationship Id="rId44" Type="http://schemas.openxmlformats.org/officeDocument/2006/relationships/hyperlink" Target="https://www.acma.gov.au/convert-hcis-area-description-placemark"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yperlink" Target="https://www.acma.gov.au/publications/2023-10/rules/embargo-78" TargetMode="External"/><Relationship Id="rId30" Type="http://schemas.openxmlformats.org/officeDocument/2006/relationships/hyperlink" Target="https://www.legislation.gov.au/Details/F2018L00222" TargetMode="External"/><Relationship Id="rId35" Type="http://schemas.openxmlformats.org/officeDocument/2006/relationships/hyperlink" Target="https://www.legislation.gov.au/Details/F2021C01209" TargetMode="External"/><Relationship Id="rId43" Type="http://schemas.openxmlformats.org/officeDocument/2006/relationships/hyperlink" Target="https://www.acma.gov.au/consultations/2023-05/proposed-approach-expiring-spectrum-licences" TargetMode="External"/><Relationship Id="rId48" Type="http://schemas.openxmlformats.org/officeDocument/2006/relationships/header" Target="header8.xm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hyperlink" Target="https://www.acma.gov.au/find-accredited-person" TargetMode="External"/><Relationship Id="rId33" Type="http://schemas.openxmlformats.org/officeDocument/2006/relationships/hyperlink" Target="https://www.acma.gov.au/australian-spectrum-map-grid" TargetMode="External"/><Relationship Id="rId38" Type="http://schemas.openxmlformats.org/officeDocument/2006/relationships/hyperlink" Target="https://www.acma.gov.au/what-accredited-person-does" TargetMode="External"/><Relationship Id="rId46" Type="http://schemas.openxmlformats.org/officeDocument/2006/relationships/hyperlink" Target="https://www.acma.gov.au/publications/2023-06/guide/area-wide-licence-awl-calculators" TargetMode="External"/><Relationship Id="rId20" Type="http://schemas.openxmlformats.org/officeDocument/2006/relationships/footer" Target="footer4.xml"/><Relationship Id="rId41" Type="http://schemas.openxmlformats.org/officeDocument/2006/relationships/hyperlink" Target="https://www.acma.gov.au/publications/2021-03/rules/our-approach-radcomms-licensing-and-allocation"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acma.gov.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acma.gov.au/publications/2019-08/instruction/rali-ms32-mid-west-radio-quiet-zo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86DBA-C773-4DAC-958D-07E48CB3D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4474</Words>
  <Characters>23179</Characters>
  <Application>Microsoft Office Word</Application>
  <DocSecurity>0</DocSecurity>
  <Lines>515</Lines>
  <Paragraphs>279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27374</CharactersWithSpaces>
  <SharedDoc>false</SharedDoc>
  <HyperlinkBase/>
  <HLinks>
    <vt:vector size="228" baseType="variant">
      <vt:variant>
        <vt:i4>6029339</vt:i4>
      </vt:variant>
      <vt:variant>
        <vt:i4>153</vt:i4>
      </vt:variant>
      <vt:variant>
        <vt:i4>0</vt:i4>
      </vt:variant>
      <vt:variant>
        <vt:i4>5</vt:i4>
      </vt:variant>
      <vt:variant>
        <vt:lpwstr>https://www.acma.gov.au/publications/2023-06/guide/area-wide-licence-awl-calculators</vt:lpwstr>
      </vt:variant>
      <vt:variant>
        <vt:lpwstr/>
      </vt:variant>
      <vt:variant>
        <vt:i4>2293874</vt:i4>
      </vt:variant>
      <vt:variant>
        <vt:i4>150</vt:i4>
      </vt:variant>
      <vt:variant>
        <vt:i4>0</vt:i4>
      </vt:variant>
      <vt:variant>
        <vt:i4>5</vt:i4>
      </vt:variant>
      <vt:variant>
        <vt:lpwstr>https://www.acma.gov.au/convert-hcis-area-description-placemark</vt:lpwstr>
      </vt:variant>
      <vt:variant>
        <vt:lpwstr/>
      </vt:variant>
      <vt:variant>
        <vt:i4>2293874</vt:i4>
      </vt:variant>
      <vt:variant>
        <vt:i4>147</vt:i4>
      </vt:variant>
      <vt:variant>
        <vt:i4>0</vt:i4>
      </vt:variant>
      <vt:variant>
        <vt:i4>5</vt:i4>
      </vt:variant>
      <vt:variant>
        <vt:lpwstr>https://www.acma.gov.au/convert-hcis-area-description-placemark</vt:lpwstr>
      </vt:variant>
      <vt:variant>
        <vt:lpwstr/>
      </vt:variant>
      <vt:variant>
        <vt:i4>2883637</vt:i4>
      </vt:variant>
      <vt:variant>
        <vt:i4>144</vt:i4>
      </vt:variant>
      <vt:variant>
        <vt:i4>0</vt:i4>
      </vt:variant>
      <vt:variant>
        <vt:i4>5</vt:i4>
      </vt:variant>
      <vt:variant>
        <vt:lpwstr>https://www.acma.gov.au/consultations/2023-05/proposed-approach-expiring-spectrum-licences</vt:lpwstr>
      </vt:variant>
      <vt:variant>
        <vt:lpwstr/>
      </vt:variant>
      <vt:variant>
        <vt:i4>851983</vt:i4>
      </vt:variant>
      <vt:variant>
        <vt:i4>141</vt:i4>
      </vt:variant>
      <vt:variant>
        <vt:i4>0</vt:i4>
      </vt:variant>
      <vt:variant>
        <vt:i4>5</vt:i4>
      </vt:variant>
      <vt:variant>
        <vt:lpwstr>https://www.acma.gov.au/policy-apparatus-licence-renewals</vt:lpwstr>
      </vt:variant>
      <vt:variant>
        <vt:lpwstr/>
      </vt:variant>
      <vt:variant>
        <vt:i4>5898331</vt:i4>
      </vt:variant>
      <vt:variant>
        <vt:i4>138</vt:i4>
      </vt:variant>
      <vt:variant>
        <vt:i4>0</vt:i4>
      </vt:variant>
      <vt:variant>
        <vt:i4>5</vt:i4>
      </vt:variant>
      <vt:variant>
        <vt:lpwstr>https://www.acma.gov.au/publications/2021-03/rules/our-approach-radcomms-licensing-and-allocation</vt:lpwstr>
      </vt:variant>
      <vt:variant>
        <vt:lpwstr/>
      </vt:variant>
      <vt:variant>
        <vt:i4>3211297</vt:i4>
      </vt:variant>
      <vt:variant>
        <vt:i4>135</vt:i4>
      </vt:variant>
      <vt:variant>
        <vt:i4>0</vt:i4>
      </vt:variant>
      <vt:variant>
        <vt:i4>5</vt:i4>
      </vt:variant>
      <vt:variant>
        <vt:lpwstr>https://www.acma.gov.au/business-operating-procedures-spectrum</vt:lpwstr>
      </vt:variant>
      <vt:variant>
        <vt:lpwstr/>
      </vt:variant>
      <vt:variant>
        <vt:i4>2555956</vt:i4>
      </vt:variant>
      <vt:variant>
        <vt:i4>132</vt:i4>
      </vt:variant>
      <vt:variant>
        <vt:i4>0</vt:i4>
      </vt:variant>
      <vt:variant>
        <vt:i4>5</vt:i4>
      </vt:variant>
      <vt:variant>
        <vt:lpwstr>https://www.acma.gov.au/5g-and-aviation-services-australia</vt:lpwstr>
      </vt:variant>
      <vt:variant>
        <vt:lpwstr/>
      </vt:variant>
      <vt:variant>
        <vt:i4>3538983</vt:i4>
      </vt:variant>
      <vt:variant>
        <vt:i4>129</vt:i4>
      </vt:variant>
      <vt:variant>
        <vt:i4>0</vt:i4>
      </vt:variant>
      <vt:variant>
        <vt:i4>5</vt:i4>
      </vt:variant>
      <vt:variant>
        <vt:lpwstr>https://www.acma.gov.au/what-accredited-person-does</vt:lpwstr>
      </vt:variant>
      <vt:variant>
        <vt:lpwstr/>
      </vt:variant>
      <vt:variant>
        <vt:i4>7471228</vt:i4>
      </vt:variant>
      <vt:variant>
        <vt:i4>126</vt:i4>
      </vt:variant>
      <vt:variant>
        <vt:i4>0</vt:i4>
      </vt:variant>
      <vt:variant>
        <vt:i4>5</vt:i4>
      </vt:variant>
      <vt:variant>
        <vt:lpwstr>https://www.acma.gov.au/publications/2023-06/instruction/rali-ms47-licensing-and-coordination-procedures-area-wide-licences-awl-3400-4000-mhz-band</vt:lpwstr>
      </vt:variant>
      <vt:variant>
        <vt:lpwstr/>
      </vt:variant>
      <vt:variant>
        <vt:i4>2752569</vt:i4>
      </vt:variant>
      <vt:variant>
        <vt:i4>123</vt:i4>
      </vt:variant>
      <vt:variant>
        <vt:i4>0</vt:i4>
      </vt:variant>
      <vt:variant>
        <vt:i4>5</vt:i4>
      </vt:variant>
      <vt:variant>
        <vt:lpwstr>https://www.legislation.gov.au/F2020L00070/latest/text</vt:lpwstr>
      </vt:variant>
      <vt:variant>
        <vt:lpwstr/>
      </vt:variant>
      <vt:variant>
        <vt:i4>8323108</vt:i4>
      </vt:variant>
      <vt:variant>
        <vt:i4>120</vt:i4>
      </vt:variant>
      <vt:variant>
        <vt:i4>0</vt:i4>
      </vt:variant>
      <vt:variant>
        <vt:i4>5</vt:i4>
      </vt:variant>
      <vt:variant>
        <vt:lpwstr>https://www.legislation.gov.au/Details/F2021C01209</vt:lpwstr>
      </vt:variant>
      <vt:variant>
        <vt:lpwstr/>
      </vt:variant>
      <vt:variant>
        <vt:i4>2293874</vt:i4>
      </vt:variant>
      <vt:variant>
        <vt:i4>117</vt:i4>
      </vt:variant>
      <vt:variant>
        <vt:i4>0</vt:i4>
      </vt:variant>
      <vt:variant>
        <vt:i4>5</vt:i4>
      </vt:variant>
      <vt:variant>
        <vt:lpwstr>https://www.acma.gov.au/convert-hcis-area-description-placemark</vt:lpwstr>
      </vt:variant>
      <vt:variant>
        <vt:lpwstr/>
      </vt:variant>
      <vt:variant>
        <vt:i4>1179657</vt:i4>
      </vt:variant>
      <vt:variant>
        <vt:i4>114</vt:i4>
      </vt:variant>
      <vt:variant>
        <vt:i4>0</vt:i4>
      </vt:variant>
      <vt:variant>
        <vt:i4>5</vt:i4>
      </vt:variant>
      <vt:variant>
        <vt:lpwstr>https://www.acma.gov.au/australian-spectrum-map-grid</vt:lpwstr>
      </vt:variant>
      <vt:variant>
        <vt:lpwstr/>
      </vt:variant>
      <vt:variant>
        <vt:i4>1179657</vt:i4>
      </vt:variant>
      <vt:variant>
        <vt:i4>111</vt:i4>
      </vt:variant>
      <vt:variant>
        <vt:i4>0</vt:i4>
      </vt:variant>
      <vt:variant>
        <vt:i4>5</vt:i4>
      </vt:variant>
      <vt:variant>
        <vt:lpwstr>https://www.acma.gov.au/australian-spectrum-map-grid</vt:lpwstr>
      </vt:variant>
      <vt:variant>
        <vt:lpwstr/>
      </vt:variant>
      <vt:variant>
        <vt:i4>8192043</vt:i4>
      </vt:variant>
      <vt:variant>
        <vt:i4>108</vt:i4>
      </vt:variant>
      <vt:variant>
        <vt:i4>0</vt:i4>
      </vt:variant>
      <vt:variant>
        <vt:i4>5</vt:i4>
      </vt:variant>
      <vt:variant>
        <vt:lpwstr>https://www.legislation.gov.au/Details/F2018L00222</vt:lpwstr>
      </vt:variant>
      <vt:variant>
        <vt:lpwstr/>
      </vt:variant>
      <vt:variant>
        <vt:i4>8257579</vt:i4>
      </vt:variant>
      <vt:variant>
        <vt:i4>105</vt:i4>
      </vt:variant>
      <vt:variant>
        <vt:i4>0</vt:i4>
      </vt:variant>
      <vt:variant>
        <vt:i4>5</vt:i4>
      </vt:variant>
      <vt:variant>
        <vt:lpwstr>https://www.legislation.gov.au/Details/F2018L00221</vt:lpwstr>
      </vt:variant>
      <vt:variant>
        <vt:lpwstr/>
      </vt:variant>
      <vt:variant>
        <vt:i4>4259856</vt:i4>
      </vt:variant>
      <vt:variant>
        <vt:i4>102</vt:i4>
      </vt:variant>
      <vt:variant>
        <vt:i4>0</vt:i4>
      </vt:variant>
      <vt:variant>
        <vt:i4>5</vt:i4>
      </vt:variant>
      <vt:variant>
        <vt:lpwstr>https://www.legislation.gov.au/Details/F2018L00225/Html/Text</vt:lpwstr>
      </vt:variant>
      <vt:variant>
        <vt:lpwstr/>
      </vt:variant>
      <vt:variant>
        <vt:i4>1507396</vt:i4>
      </vt:variant>
      <vt:variant>
        <vt:i4>99</vt:i4>
      </vt:variant>
      <vt:variant>
        <vt:i4>0</vt:i4>
      </vt:variant>
      <vt:variant>
        <vt:i4>5</vt:i4>
      </vt:variant>
      <vt:variant>
        <vt:lpwstr>https://web.acma.gov.au/rrl/register_search.main_page</vt:lpwstr>
      </vt:variant>
      <vt:variant>
        <vt:lpwstr/>
      </vt:variant>
      <vt:variant>
        <vt:i4>2490491</vt:i4>
      </vt:variant>
      <vt:variant>
        <vt:i4>96</vt:i4>
      </vt:variant>
      <vt:variant>
        <vt:i4>0</vt:i4>
      </vt:variant>
      <vt:variant>
        <vt:i4>5</vt:i4>
      </vt:variant>
      <vt:variant>
        <vt:lpwstr>https://www.acma.gov.au/find-accredited-person</vt:lpwstr>
      </vt:variant>
      <vt:variant>
        <vt:lpwstr/>
      </vt:variant>
      <vt:variant>
        <vt:i4>2687021</vt:i4>
      </vt:variant>
      <vt:variant>
        <vt:i4>93</vt:i4>
      </vt:variant>
      <vt:variant>
        <vt:i4>0</vt:i4>
      </vt:variant>
      <vt:variant>
        <vt:i4>5</vt:i4>
      </vt:variant>
      <vt:variant>
        <vt:lpwstr>https://www.acma.gov.au/area-wide-licences-awl</vt:lpwstr>
      </vt:variant>
      <vt:variant>
        <vt:lpwstr/>
      </vt:variant>
      <vt:variant>
        <vt:i4>5505053</vt:i4>
      </vt:variant>
      <vt:variant>
        <vt:i4>90</vt:i4>
      </vt:variant>
      <vt:variant>
        <vt:i4>0</vt:i4>
      </vt:variant>
      <vt:variant>
        <vt:i4>5</vt:i4>
      </vt:variant>
      <vt:variant>
        <vt:lpwstr>https://www.acma.gov.au/articles/2023-11/acma-issues-licences-34-4-ghz-band-remote-areas</vt:lpwstr>
      </vt:variant>
      <vt:variant>
        <vt:lpwstr/>
      </vt:variant>
      <vt:variant>
        <vt:i4>1507383</vt:i4>
      </vt:variant>
      <vt:variant>
        <vt:i4>83</vt:i4>
      </vt:variant>
      <vt:variant>
        <vt:i4>0</vt:i4>
      </vt:variant>
      <vt:variant>
        <vt:i4>5</vt:i4>
      </vt:variant>
      <vt:variant>
        <vt:lpwstr/>
      </vt:variant>
      <vt:variant>
        <vt:lpwstr>_Toc167281955</vt:lpwstr>
      </vt:variant>
      <vt:variant>
        <vt:i4>1507383</vt:i4>
      </vt:variant>
      <vt:variant>
        <vt:i4>77</vt:i4>
      </vt:variant>
      <vt:variant>
        <vt:i4>0</vt:i4>
      </vt:variant>
      <vt:variant>
        <vt:i4>5</vt:i4>
      </vt:variant>
      <vt:variant>
        <vt:lpwstr/>
      </vt:variant>
      <vt:variant>
        <vt:lpwstr>_Toc167281954</vt:lpwstr>
      </vt:variant>
      <vt:variant>
        <vt:i4>1507383</vt:i4>
      </vt:variant>
      <vt:variant>
        <vt:i4>71</vt:i4>
      </vt:variant>
      <vt:variant>
        <vt:i4>0</vt:i4>
      </vt:variant>
      <vt:variant>
        <vt:i4>5</vt:i4>
      </vt:variant>
      <vt:variant>
        <vt:lpwstr/>
      </vt:variant>
      <vt:variant>
        <vt:lpwstr>_Toc167281953</vt:lpwstr>
      </vt:variant>
      <vt:variant>
        <vt:i4>1507383</vt:i4>
      </vt:variant>
      <vt:variant>
        <vt:i4>65</vt:i4>
      </vt:variant>
      <vt:variant>
        <vt:i4>0</vt:i4>
      </vt:variant>
      <vt:variant>
        <vt:i4>5</vt:i4>
      </vt:variant>
      <vt:variant>
        <vt:lpwstr/>
      </vt:variant>
      <vt:variant>
        <vt:lpwstr>_Toc167281952</vt:lpwstr>
      </vt:variant>
      <vt:variant>
        <vt:i4>1507383</vt:i4>
      </vt:variant>
      <vt:variant>
        <vt:i4>59</vt:i4>
      </vt:variant>
      <vt:variant>
        <vt:i4>0</vt:i4>
      </vt:variant>
      <vt:variant>
        <vt:i4>5</vt:i4>
      </vt:variant>
      <vt:variant>
        <vt:lpwstr/>
      </vt:variant>
      <vt:variant>
        <vt:lpwstr>_Toc167281951</vt:lpwstr>
      </vt:variant>
      <vt:variant>
        <vt:i4>1507383</vt:i4>
      </vt:variant>
      <vt:variant>
        <vt:i4>53</vt:i4>
      </vt:variant>
      <vt:variant>
        <vt:i4>0</vt:i4>
      </vt:variant>
      <vt:variant>
        <vt:i4>5</vt:i4>
      </vt:variant>
      <vt:variant>
        <vt:lpwstr/>
      </vt:variant>
      <vt:variant>
        <vt:lpwstr>_Toc167281950</vt:lpwstr>
      </vt:variant>
      <vt:variant>
        <vt:i4>1441847</vt:i4>
      </vt:variant>
      <vt:variant>
        <vt:i4>47</vt:i4>
      </vt:variant>
      <vt:variant>
        <vt:i4>0</vt:i4>
      </vt:variant>
      <vt:variant>
        <vt:i4>5</vt:i4>
      </vt:variant>
      <vt:variant>
        <vt:lpwstr/>
      </vt:variant>
      <vt:variant>
        <vt:lpwstr>_Toc167281949</vt:lpwstr>
      </vt:variant>
      <vt:variant>
        <vt:i4>1441847</vt:i4>
      </vt:variant>
      <vt:variant>
        <vt:i4>41</vt:i4>
      </vt:variant>
      <vt:variant>
        <vt:i4>0</vt:i4>
      </vt:variant>
      <vt:variant>
        <vt:i4>5</vt:i4>
      </vt:variant>
      <vt:variant>
        <vt:lpwstr/>
      </vt:variant>
      <vt:variant>
        <vt:lpwstr>_Toc167281948</vt:lpwstr>
      </vt:variant>
      <vt:variant>
        <vt:i4>1441847</vt:i4>
      </vt:variant>
      <vt:variant>
        <vt:i4>35</vt:i4>
      </vt:variant>
      <vt:variant>
        <vt:i4>0</vt:i4>
      </vt:variant>
      <vt:variant>
        <vt:i4>5</vt:i4>
      </vt:variant>
      <vt:variant>
        <vt:lpwstr/>
      </vt:variant>
      <vt:variant>
        <vt:lpwstr>_Toc167281947</vt:lpwstr>
      </vt:variant>
      <vt:variant>
        <vt:i4>1441847</vt:i4>
      </vt:variant>
      <vt:variant>
        <vt:i4>29</vt:i4>
      </vt:variant>
      <vt:variant>
        <vt:i4>0</vt:i4>
      </vt:variant>
      <vt:variant>
        <vt:i4>5</vt:i4>
      </vt:variant>
      <vt:variant>
        <vt:lpwstr/>
      </vt:variant>
      <vt:variant>
        <vt:lpwstr>_Toc167281946</vt:lpwstr>
      </vt:variant>
      <vt:variant>
        <vt:i4>1441847</vt:i4>
      </vt:variant>
      <vt:variant>
        <vt:i4>23</vt:i4>
      </vt:variant>
      <vt:variant>
        <vt:i4>0</vt:i4>
      </vt:variant>
      <vt:variant>
        <vt:i4>5</vt:i4>
      </vt:variant>
      <vt:variant>
        <vt:lpwstr/>
      </vt:variant>
      <vt:variant>
        <vt:lpwstr>_Toc167281945</vt:lpwstr>
      </vt:variant>
      <vt:variant>
        <vt:i4>1441847</vt:i4>
      </vt:variant>
      <vt:variant>
        <vt:i4>17</vt:i4>
      </vt:variant>
      <vt:variant>
        <vt:i4>0</vt:i4>
      </vt:variant>
      <vt:variant>
        <vt:i4>5</vt:i4>
      </vt:variant>
      <vt:variant>
        <vt:lpwstr/>
      </vt:variant>
      <vt:variant>
        <vt:lpwstr>_Toc167281944</vt:lpwstr>
      </vt:variant>
      <vt:variant>
        <vt:i4>1441847</vt:i4>
      </vt:variant>
      <vt:variant>
        <vt:i4>11</vt:i4>
      </vt:variant>
      <vt:variant>
        <vt:i4>0</vt:i4>
      </vt:variant>
      <vt:variant>
        <vt:i4>5</vt:i4>
      </vt:variant>
      <vt:variant>
        <vt:lpwstr/>
      </vt:variant>
      <vt:variant>
        <vt:lpwstr>_Toc167281943</vt:lpwstr>
      </vt:variant>
      <vt:variant>
        <vt:i4>1441847</vt:i4>
      </vt:variant>
      <vt:variant>
        <vt:i4>5</vt:i4>
      </vt:variant>
      <vt:variant>
        <vt:i4>0</vt:i4>
      </vt:variant>
      <vt:variant>
        <vt:i4>5</vt:i4>
      </vt:variant>
      <vt:variant>
        <vt:lpwstr/>
      </vt:variant>
      <vt:variant>
        <vt:lpwstr>_Toc167281942</vt:lpwstr>
      </vt:variant>
      <vt:variant>
        <vt:i4>5308424</vt:i4>
      </vt:variant>
      <vt:variant>
        <vt:i4>0</vt:i4>
      </vt:variant>
      <vt:variant>
        <vt:i4>0</vt:i4>
      </vt:variant>
      <vt:variant>
        <vt:i4>5</vt:i4>
      </vt:variant>
      <vt:variant>
        <vt:lpwstr>https://creativecommons.org/licenses/by/4.0/</vt:lpwstr>
      </vt:variant>
      <vt:variant>
        <vt:lpwstr/>
      </vt:variant>
      <vt:variant>
        <vt:i4>6094854</vt:i4>
      </vt:variant>
      <vt:variant>
        <vt:i4>0</vt:i4>
      </vt:variant>
      <vt:variant>
        <vt:i4>0</vt:i4>
      </vt:variant>
      <vt:variant>
        <vt:i4>5</vt:i4>
      </vt:variant>
      <vt:variant>
        <vt:lpwstr>https://www.acma.gov.au/publications/2019-08/instruction/rali-ms32-mid-west-radio-quiet-zone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2024-05-23T23:26:00Z</dcterms:created>
  <dcterms:modified xsi:type="dcterms:W3CDTF">2024-05-23T23:29:00Z</dcterms:modified>
  <cp:category/>
</cp:coreProperties>
</file>