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AD097" w14:textId="6FE30B8B" w:rsidR="00F06E14" w:rsidRPr="00A17B1B" w:rsidRDefault="000744C9" w:rsidP="00A51D1A">
      <w:pPr>
        <w:pStyle w:val="Reporttitle"/>
      </w:pPr>
      <w:r>
        <w:t>Frequency assignment practice</w:t>
      </w:r>
    </w:p>
    <w:p w14:paraId="096F2208" w14:textId="784D3E62" w:rsidR="000744C9" w:rsidRDefault="000744C9" w:rsidP="000744C9">
      <w:pPr>
        <w:pStyle w:val="Reportsubtitle"/>
      </w:pPr>
      <w:r w:rsidRPr="00931D83">
        <w:t xml:space="preserve">Guideline </w:t>
      </w:r>
      <w:r w:rsidR="00CE3017">
        <w:t>N</w:t>
      </w:r>
      <w:r w:rsidRPr="00931D83">
        <w:t xml:space="preserve">o. </w:t>
      </w:r>
      <w:r w:rsidR="00CE3017">
        <w:t xml:space="preserve">9 – </w:t>
      </w:r>
      <w:r>
        <w:t xml:space="preserve">Assignment of frequencies for Citizens Band Radio Service (CBRS) </w:t>
      </w:r>
      <w:r w:rsidR="00CE3017">
        <w:t>r</w:t>
      </w:r>
      <w:r>
        <w:t>epeaters</w:t>
      </w:r>
      <w:r w:rsidRPr="00A17B1B">
        <w:t xml:space="preserve"> </w:t>
      </w:r>
    </w:p>
    <w:p w14:paraId="2F19B492" w14:textId="6687B51B" w:rsidR="00C97736" w:rsidRPr="00A17B1B" w:rsidRDefault="000744C9" w:rsidP="000744C9">
      <w:pPr>
        <w:pStyle w:val="Reportdate"/>
        <w:sectPr w:rsidR="00C97736" w:rsidRPr="00A17B1B"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t xml:space="preserve">MAY </w:t>
      </w:r>
      <w:r w:rsidR="00BD4421" w:rsidRPr="00A17B1B">
        <w:t>20</w:t>
      </w:r>
      <w:r w:rsidR="000971BD" w:rsidRPr="00A17B1B">
        <w:t>2</w:t>
      </w:r>
      <w:r w:rsidR="00306491">
        <w:t>4</w:t>
      </w:r>
      <w:r w:rsidR="00CE3017">
        <w:t xml:space="preserve"> </w:t>
      </w:r>
      <w:r w:rsidR="00315BF4" w:rsidRPr="00A17B1B">
        <w:t xml:space="preserve"> </w:t>
      </w:r>
    </w:p>
    <w:p w14:paraId="083100B0" w14:textId="77777777" w:rsidR="00284A74" w:rsidRPr="00A17B1B" w:rsidRDefault="00284A74" w:rsidP="00284A74">
      <w:pPr>
        <w:pStyle w:val="ACMACorporateAddressHeader"/>
      </w:pPr>
      <w:r w:rsidRPr="00A17B1B">
        <w:lastRenderedPageBreak/>
        <w:t>Canberra</w:t>
      </w:r>
    </w:p>
    <w:p w14:paraId="5AF40387" w14:textId="77777777" w:rsidR="00284A74" w:rsidRPr="00A17B1B" w:rsidRDefault="00181180" w:rsidP="00284A74">
      <w:pPr>
        <w:pStyle w:val="ACMACorporateAddresses"/>
      </w:pPr>
      <w:r>
        <w:t>Level 3</w:t>
      </w:r>
      <w:r>
        <w:br/>
        <w:t>40 Cameron Avenue</w:t>
      </w:r>
      <w:r w:rsidR="00284A74" w:rsidRPr="00A17B1B">
        <w:t xml:space="preserve"> </w:t>
      </w:r>
      <w:r w:rsidR="00284A74" w:rsidRPr="00A17B1B">
        <w:br/>
        <w:t>Belconnen ACT</w:t>
      </w:r>
    </w:p>
    <w:p w14:paraId="5E383698" w14:textId="77777777" w:rsidR="00284A74" w:rsidRPr="00A17B1B" w:rsidRDefault="00284A74" w:rsidP="00284A74">
      <w:pPr>
        <w:pStyle w:val="ACMACorporateAddresses"/>
      </w:pPr>
      <w:r w:rsidRPr="00A17B1B">
        <w:t>PO Box 78</w:t>
      </w:r>
      <w:r w:rsidRPr="00A17B1B">
        <w:br/>
        <w:t>Belconnen ACT 2616</w:t>
      </w:r>
    </w:p>
    <w:p w14:paraId="2D935C48"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094801B0" w14:textId="77777777" w:rsidR="00284A74" w:rsidRPr="00A17B1B" w:rsidRDefault="00284A74" w:rsidP="00284A74">
      <w:pPr>
        <w:pStyle w:val="ACMACorporateAddressHeader"/>
      </w:pPr>
      <w:r w:rsidRPr="00A17B1B">
        <w:t>Melbourne</w:t>
      </w:r>
    </w:p>
    <w:p w14:paraId="2A757403"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76F05DF8"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7E51ECD9"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27F8477B" w14:textId="77777777" w:rsidR="00284A74" w:rsidRPr="00A17B1B" w:rsidRDefault="00284A74" w:rsidP="00284A74">
      <w:pPr>
        <w:pStyle w:val="ACMACorporateAddressHeader"/>
      </w:pPr>
      <w:r w:rsidRPr="00A17B1B">
        <w:t>Sydney</w:t>
      </w:r>
    </w:p>
    <w:p w14:paraId="7ADAFCE4"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3E24B469"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2129E41B"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5F20AFFB" w14:textId="77777777" w:rsidR="00284A74" w:rsidRPr="00A17B1B" w:rsidRDefault="00284A74" w:rsidP="00AA1F0B">
      <w:pPr>
        <w:pStyle w:val="ACMACopyrightHeader"/>
        <w:spacing w:before="4560"/>
      </w:pPr>
      <w:r w:rsidRPr="00A17B1B">
        <w:t>Copyright notice</w:t>
      </w:r>
    </w:p>
    <w:p w14:paraId="040C17AA" w14:textId="77777777" w:rsidR="00284A74" w:rsidRPr="00A17B1B" w:rsidRDefault="00284A74" w:rsidP="00284A74">
      <w:pPr>
        <w:pStyle w:val="ACMACClogo"/>
      </w:pPr>
      <w:r w:rsidRPr="00A17B1B">
        <w:rPr>
          <w:noProof/>
        </w:rPr>
        <w:drawing>
          <wp:inline distT="0" distB="0" distL="0" distR="0" wp14:anchorId="1B68E390" wp14:editId="21EED15F">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5EF48250" w14:textId="77777777" w:rsidR="00284A74" w:rsidRPr="00A17B1B" w:rsidRDefault="00352B70" w:rsidP="00284A74">
      <w:pPr>
        <w:pStyle w:val="ACMACorporateAddresses"/>
        <w:rPr>
          <w:rStyle w:val="Hyperlink"/>
        </w:rPr>
      </w:pPr>
      <w:hyperlink r:id="rId13" w:history="1">
        <w:r w:rsidR="00284A74" w:rsidRPr="00A17B1B">
          <w:rPr>
            <w:rStyle w:val="Hyperlink"/>
          </w:rPr>
          <w:t>https://creativecommons.org/licenses/by/4.0/</w:t>
        </w:r>
      </w:hyperlink>
    </w:p>
    <w:p w14:paraId="653821AF" w14:textId="77777777" w:rsidR="00AA1F0B" w:rsidRPr="00E162C4" w:rsidRDefault="00AA1F0B" w:rsidP="00AA1F0B">
      <w:pPr>
        <w:pStyle w:val="ACMACorporateAddresses"/>
      </w:pPr>
      <w:r>
        <w:t>Except for the Commonwealth</w:t>
      </w:r>
      <w:r w:rsidRPr="00E162C4">
        <w:t xml:space="preserve"> </w:t>
      </w:r>
      <w:r>
        <w:t>C</w:t>
      </w:r>
      <w:r w:rsidRPr="00E162C4">
        <w:t xml:space="preserve">oat of </w:t>
      </w:r>
      <w:r>
        <w:t>A</w:t>
      </w:r>
      <w:r w:rsidRPr="00E162C4">
        <w:t xml:space="preserve">rms, logos, emblems, images, other third-party </w:t>
      </w:r>
      <w:proofErr w:type="gramStart"/>
      <w:r w:rsidRPr="00E162C4">
        <w:t>material</w:t>
      </w:r>
      <w:proofErr w:type="gramEnd"/>
      <w:r w:rsidRPr="00E162C4">
        <w:t xml:space="preserve"> or devices protected by a trademark, this content is made available under the terms of the Creative Commons Attribution 4.0 International (CC BY 4.0) licence. </w:t>
      </w:r>
    </w:p>
    <w:p w14:paraId="3571229F" w14:textId="77777777" w:rsidR="00AA1F0B" w:rsidRPr="00E162C4" w:rsidRDefault="00AA1F0B" w:rsidP="00AA1F0B">
      <w:pPr>
        <w:pStyle w:val="ACMACorporateAddresses"/>
      </w:pPr>
      <w:r w:rsidRPr="00E162C4">
        <w:t>All other rights are reserved.</w:t>
      </w:r>
    </w:p>
    <w:p w14:paraId="504A04C1" w14:textId="77777777" w:rsidR="00AA1F0B" w:rsidRDefault="00AA1F0B" w:rsidP="00AA1F0B">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42A53588" w14:textId="77777777" w:rsidR="00AA1F0B" w:rsidRPr="00D04C32" w:rsidRDefault="00AA1F0B" w:rsidP="00AA1F0B">
      <w:pPr>
        <w:pStyle w:val="ACMACorporateAddresses"/>
        <w:rPr>
          <w:rStyle w:val="Hyperlink"/>
          <w:color w:val="auto"/>
          <w:u w:val="none"/>
        </w:rPr>
      </w:pPr>
      <w:r w:rsidRPr="00E162C4">
        <w:t>We request attribution as © Commonwealth of Australia (Australian Communications and Media Authority) 202</w:t>
      </w:r>
      <w:r>
        <w:t>4</w:t>
      </w:r>
      <w:r w:rsidRPr="00E162C4">
        <w:t xml:space="preserve">. </w:t>
      </w:r>
    </w:p>
    <w:p w14:paraId="57037EF1" w14:textId="77777777" w:rsidR="00D16FE3" w:rsidRPr="00A17B1B" w:rsidRDefault="00D16FE3" w:rsidP="00D16FE3">
      <w:pPr>
        <w:pStyle w:val="ACMACorporateAddresses"/>
        <w:sectPr w:rsidR="00D16FE3" w:rsidRPr="00A17B1B">
          <w:headerReference w:type="even" r:id="rId14"/>
          <w:headerReference w:type="default" r:id="rId15"/>
          <w:footerReference w:type="even" r:id="rId16"/>
          <w:footerReference w:type="default" r:id="rId17"/>
          <w:pgSz w:w="11906" w:h="16838" w:code="9"/>
          <w:pgMar w:top="3924" w:right="1797" w:bottom="697" w:left="1134" w:header="709" w:footer="119" w:gutter="0"/>
          <w:cols w:space="708"/>
          <w:docGrid w:linePitch="360"/>
        </w:sectPr>
      </w:pPr>
    </w:p>
    <w:p w14:paraId="438201C6" w14:textId="57F0E325" w:rsidR="00434D62" w:rsidRDefault="00434D62">
      <w:pPr>
        <w:pStyle w:val="TOC1"/>
        <w:rPr>
          <w:rFonts w:asciiTheme="minorHAnsi" w:eastAsiaTheme="minorEastAsia" w:hAnsiTheme="minorHAnsi" w:cstheme="minorBidi"/>
          <w:b w:val="0"/>
          <w:spacing w:val="0"/>
          <w:kern w:val="2"/>
          <w:sz w:val="22"/>
          <w:szCs w:val="22"/>
          <w14:ligatures w14:val="standardContextual"/>
        </w:rPr>
      </w:pPr>
      <w:r>
        <w:rPr>
          <w:rFonts w:cs="Arial"/>
          <w:b w:val="0"/>
        </w:rPr>
        <w:lastRenderedPageBreak/>
        <w:fldChar w:fldCharType="begin"/>
      </w:r>
      <w:r>
        <w:rPr>
          <w:rFonts w:cs="Arial"/>
          <w:b w:val="0"/>
        </w:rPr>
        <w:instrText xml:space="preserve"> TOC \o "1-2" \h \z \u </w:instrText>
      </w:r>
      <w:r>
        <w:rPr>
          <w:rFonts w:cs="Arial"/>
          <w:b w:val="0"/>
        </w:rPr>
        <w:fldChar w:fldCharType="separate"/>
      </w:r>
      <w:hyperlink w:anchor="_Toc167452979" w:history="1">
        <w:r w:rsidRPr="000B536A">
          <w:rPr>
            <w:rStyle w:val="Hyperlink"/>
          </w:rPr>
          <w:t>Assignment of frequencies for CBRS repeaters</w:t>
        </w:r>
        <w:r>
          <w:rPr>
            <w:webHidden/>
          </w:rPr>
          <w:tab/>
        </w:r>
        <w:r>
          <w:rPr>
            <w:webHidden/>
          </w:rPr>
          <w:fldChar w:fldCharType="begin"/>
        </w:r>
        <w:r>
          <w:rPr>
            <w:webHidden/>
          </w:rPr>
          <w:instrText xml:space="preserve"> PAGEREF _Toc167452979 \h </w:instrText>
        </w:r>
        <w:r>
          <w:rPr>
            <w:webHidden/>
          </w:rPr>
        </w:r>
        <w:r>
          <w:rPr>
            <w:webHidden/>
          </w:rPr>
          <w:fldChar w:fldCharType="separate"/>
        </w:r>
        <w:r>
          <w:rPr>
            <w:webHidden/>
          </w:rPr>
          <w:t>1</w:t>
        </w:r>
        <w:r>
          <w:rPr>
            <w:webHidden/>
          </w:rPr>
          <w:fldChar w:fldCharType="end"/>
        </w:r>
      </w:hyperlink>
    </w:p>
    <w:p w14:paraId="6D8AD02F" w14:textId="5B32ED2E" w:rsidR="00434D62" w:rsidRDefault="00352B70">
      <w:pPr>
        <w:pStyle w:val="TOC2"/>
        <w:rPr>
          <w:rFonts w:asciiTheme="minorHAnsi" w:eastAsiaTheme="minorEastAsia" w:hAnsiTheme="minorHAnsi" w:cstheme="minorBidi"/>
          <w:spacing w:val="0"/>
          <w:kern w:val="2"/>
          <w:sz w:val="22"/>
          <w:szCs w:val="22"/>
          <w14:ligatures w14:val="standardContextual"/>
        </w:rPr>
      </w:pPr>
      <w:hyperlink w:anchor="_Toc167452980" w:history="1">
        <w:r w:rsidR="00434D62" w:rsidRPr="000B536A">
          <w:rPr>
            <w:rStyle w:val="Hyperlink"/>
          </w:rPr>
          <w:t>Purpose</w:t>
        </w:r>
        <w:r w:rsidR="00434D62">
          <w:rPr>
            <w:webHidden/>
          </w:rPr>
          <w:tab/>
        </w:r>
        <w:r w:rsidR="00434D62">
          <w:rPr>
            <w:webHidden/>
          </w:rPr>
          <w:tab/>
        </w:r>
        <w:r w:rsidR="00434D62">
          <w:rPr>
            <w:webHidden/>
          </w:rPr>
          <w:fldChar w:fldCharType="begin"/>
        </w:r>
        <w:r w:rsidR="00434D62">
          <w:rPr>
            <w:webHidden/>
          </w:rPr>
          <w:instrText xml:space="preserve"> PAGEREF _Toc167452980 \h </w:instrText>
        </w:r>
        <w:r w:rsidR="00434D62">
          <w:rPr>
            <w:webHidden/>
          </w:rPr>
        </w:r>
        <w:r w:rsidR="00434D62">
          <w:rPr>
            <w:webHidden/>
          </w:rPr>
          <w:fldChar w:fldCharType="separate"/>
        </w:r>
        <w:r w:rsidR="00434D62">
          <w:rPr>
            <w:webHidden/>
          </w:rPr>
          <w:t>1</w:t>
        </w:r>
        <w:r w:rsidR="00434D62">
          <w:rPr>
            <w:webHidden/>
          </w:rPr>
          <w:fldChar w:fldCharType="end"/>
        </w:r>
      </w:hyperlink>
    </w:p>
    <w:p w14:paraId="01619151" w14:textId="1C740A36" w:rsidR="00434D62" w:rsidRDefault="00352B70">
      <w:pPr>
        <w:pStyle w:val="TOC2"/>
        <w:rPr>
          <w:rFonts w:asciiTheme="minorHAnsi" w:eastAsiaTheme="minorEastAsia" w:hAnsiTheme="minorHAnsi" w:cstheme="minorBidi"/>
          <w:spacing w:val="0"/>
          <w:kern w:val="2"/>
          <w:sz w:val="22"/>
          <w:szCs w:val="22"/>
          <w14:ligatures w14:val="standardContextual"/>
        </w:rPr>
      </w:pPr>
      <w:hyperlink w:anchor="_Toc167452981" w:history="1">
        <w:r w:rsidR="00434D62" w:rsidRPr="000B536A">
          <w:rPr>
            <w:rStyle w:val="Hyperlink"/>
          </w:rPr>
          <w:t>Background</w:t>
        </w:r>
        <w:r w:rsidR="00434D62">
          <w:rPr>
            <w:webHidden/>
          </w:rPr>
          <w:tab/>
        </w:r>
        <w:r w:rsidR="00434D62">
          <w:rPr>
            <w:webHidden/>
          </w:rPr>
          <w:fldChar w:fldCharType="begin"/>
        </w:r>
        <w:r w:rsidR="00434D62">
          <w:rPr>
            <w:webHidden/>
          </w:rPr>
          <w:instrText xml:space="preserve"> PAGEREF _Toc167452981 \h </w:instrText>
        </w:r>
        <w:r w:rsidR="00434D62">
          <w:rPr>
            <w:webHidden/>
          </w:rPr>
        </w:r>
        <w:r w:rsidR="00434D62">
          <w:rPr>
            <w:webHidden/>
          </w:rPr>
          <w:fldChar w:fldCharType="separate"/>
        </w:r>
        <w:r w:rsidR="00434D62">
          <w:rPr>
            <w:webHidden/>
          </w:rPr>
          <w:t>1</w:t>
        </w:r>
        <w:r w:rsidR="00434D62">
          <w:rPr>
            <w:webHidden/>
          </w:rPr>
          <w:fldChar w:fldCharType="end"/>
        </w:r>
      </w:hyperlink>
    </w:p>
    <w:p w14:paraId="171075D1" w14:textId="44698775" w:rsidR="00434D62" w:rsidRDefault="00352B70">
      <w:pPr>
        <w:pStyle w:val="TOC2"/>
        <w:rPr>
          <w:rFonts w:asciiTheme="minorHAnsi" w:eastAsiaTheme="minorEastAsia" w:hAnsiTheme="minorHAnsi" w:cstheme="minorBidi"/>
          <w:spacing w:val="0"/>
          <w:kern w:val="2"/>
          <w:sz w:val="22"/>
          <w:szCs w:val="22"/>
          <w14:ligatures w14:val="standardContextual"/>
        </w:rPr>
      </w:pPr>
      <w:hyperlink w:anchor="_Toc167452982" w:history="1">
        <w:r w:rsidR="00434D62" w:rsidRPr="000B536A">
          <w:rPr>
            <w:rStyle w:val="Hyperlink"/>
          </w:rPr>
          <w:t>Service model</w:t>
        </w:r>
        <w:r w:rsidR="00434D62">
          <w:rPr>
            <w:webHidden/>
          </w:rPr>
          <w:tab/>
        </w:r>
        <w:r w:rsidR="00434D62">
          <w:rPr>
            <w:webHidden/>
          </w:rPr>
          <w:fldChar w:fldCharType="begin"/>
        </w:r>
        <w:r w:rsidR="00434D62">
          <w:rPr>
            <w:webHidden/>
          </w:rPr>
          <w:instrText xml:space="preserve"> PAGEREF _Toc167452982 \h </w:instrText>
        </w:r>
        <w:r w:rsidR="00434D62">
          <w:rPr>
            <w:webHidden/>
          </w:rPr>
        </w:r>
        <w:r w:rsidR="00434D62">
          <w:rPr>
            <w:webHidden/>
          </w:rPr>
          <w:fldChar w:fldCharType="separate"/>
        </w:r>
        <w:r w:rsidR="00434D62">
          <w:rPr>
            <w:webHidden/>
          </w:rPr>
          <w:t>1</w:t>
        </w:r>
        <w:r w:rsidR="00434D62">
          <w:rPr>
            <w:webHidden/>
          </w:rPr>
          <w:fldChar w:fldCharType="end"/>
        </w:r>
      </w:hyperlink>
    </w:p>
    <w:p w14:paraId="6D849EE7" w14:textId="3B634BCD" w:rsidR="00434D62" w:rsidRDefault="00352B70">
      <w:pPr>
        <w:pStyle w:val="TOC2"/>
        <w:rPr>
          <w:rFonts w:asciiTheme="minorHAnsi" w:eastAsiaTheme="minorEastAsia" w:hAnsiTheme="minorHAnsi" w:cstheme="minorBidi"/>
          <w:spacing w:val="0"/>
          <w:kern w:val="2"/>
          <w:sz w:val="22"/>
          <w:szCs w:val="22"/>
          <w14:ligatures w14:val="standardContextual"/>
        </w:rPr>
      </w:pPr>
      <w:hyperlink w:anchor="_Toc167452983" w:history="1">
        <w:r w:rsidR="00434D62" w:rsidRPr="000B536A">
          <w:rPr>
            <w:rStyle w:val="Hyperlink"/>
          </w:rPr>
          <w:t>Coordination requirements</w:t>
        </w:r>
        <w:r w:rsidR="00434D62">
          <w:rPr>
            <w:webHidden/>
          </w:rPr>
          <w:tab/>
        </w:r>
        <w:r w:rsidR="00434D62">
          <w:rPr>
            <w:webHidden/>
          </w:rPr>
          <w:fldChar w:fldCharType="begin"/>
        </w:r>
        <w:r w:rsidR="00434D62">
          <w:rPr>
            <w:webHidden/>
          </w:rPr>
          <w:instrText xml:space="preserve"> PAGEREF _Toc167452983 \h </w:instrText>
        </w:r>
        <w:r w:rsidR="00434D62">
          <w:rPr>
            <w:webHidden/>
          </w:rPr>
        </w:r>
        <w:r w:rsidR="00434D62">
          <w:rPr>
            <w:webHidden/>
          </w:rPr>
          <w:fldChar w:fldCharType="separate"/>
        </w:r>
        <w:r w:rsidR="00434D62">
          <w:rPr>
            <w:webHidden/>
          </w:rPr>
          <w:t>1</w:t>
        </w:r>
        <w:r w:rsidR="00434D62">
          <w:rPr>
            <w:webHidden/>
          </w:rPr>
          <w:fldChar w:fldCharType="end"/>
        </w:r>
      </w:hyperlink>
    </w:p>
    <w:p w14:paraId="13D0F04E" w14:textId="00ECCD28" w:rsidR="00434D62" w:rsidRDefault="00352B70">
      <w:pPr>
        <w:pStyle w:val="TOC2"/>
        <w:rPr>
          <w:rFonts w:asciiTheme="minorHAnsi" w:eastAsiaTheme="minorEastAsia" w:hAnsiTheme="minorHAnsi" w:cstheme="minorBidi"/>
          <w:spacing w:val="0"/>
          <w:kern w:val="2"/>
          <w:sz w:val="22"/>
          <w:szCs w:val="22"/>
          <w14:ligatures w14:val="standardContextual"/>
        </w:rPr>
      </w:pPr>
      <w:hyperlink w:anchor="_Toc167452984" w:history="1">
        <w:r w:rsidR="00434D62" w:rsidRPr="000B536A">
          <w:rPr>
            <w:rStyle w:val="Hyperlink"/>
          </w:rPr>
          <w:t>Licence conditions</w:t>
        </w:r>
        <w:r w:rsidR="00434D62">
          <w:rPr>
            <w:webHidden/>
          </w:rPr>
          <w:tab/>
        </w:r>
        <w:r w:rsidR="00434D62">
          <w:rPr>
            <w:webHidden/>
          </w:rPr>
          <w:fldChar w:fldCharType="begin"/>
        </w:r>
        <w:r w:rsidR="00434D62">
          <w:rPr>
            <w:webHidden/>
          </w:rPr>
          <w:instrText xml:space="preserve"> PAGEREF _Toc167452984 \h </w:instrText>
        </w:r>
        <w:r w:rsidR="00434D62">
          <w:rPr>
            <w:webHidden/>
          </w:rPr>
        </w:r>
        <w:r w:rsidR="00434D62">
          <w:rPr>
            <w:webHidden/>
          </w:rPr>
          <w:fldChar w:fldCharType="separate"/>
        </w:r>
        <w:r w:rsidR="00434D62">
          <w:rPr>
            <w:webHidden/>
          </w:rPr>
          <w:t>2</w:t>
        </w:r>
        <w:r w:rsidR="00434D62">
          <w:rPr>
            <w:webHidden/>
          </w:rPr>
          <w:fldChar w:fldCharType="end"/>
        </w:r>
      </w:hyperlink>
    </w:p>
    <w:p w14:paraId="519F9D40" w14:textId="799DBC3B" w:rsidR="00434D62" w:rsidRDefault="00352B70">
      <w:pPr>
        <w:pStyle w:val="TOC2"/>
        <w:rPr>
          <w:rFonts w:asciiTheme="minorHAnsi" w:eastAsiaTheme="minorEastAsia" w:hAnsiTheme="minorHAnsi" w:cstheme="minorBidi"/>
          <w:spacing w:val="0"/>
          <w:kern w:val="2"/>
          <w:sz w:val="22"/>
          <w:szCs w:val="22"/>
          <w14:ligatures w14:val="standardContextual"/>
        </w:rPr>
      </w:pPr>
      <w:hyperlink w:anchor="_Toc167452985" w:history="1">
        <w:r w:rsidR="00434D62" w:rsidRPr="000B536A">
          <w:rPr>
            <w:rStyle w:val="Hyperlink"/>
          </w:rPr>
          <w:t>Call signs</w:t>
        </w:r>
        <w:r w:rsidR="00434D62">
          <w:rPr>
            <w:webHidden/>
          </w:rPr>
          <w:tab/>
        </w:r>
        <w:r w:rsidR="00434D62">
          <w:rPr>
            <w:webHidden/>
          </w:rPr>
          <w:fldChar w:fldCharType="begin"/>
        </w:r>
        <w:r w:rsidR="00434D62">
          <w:rPr>
            <w:webHidden/>
          </w:rPr>
          <w:instrText xml:space="preserve"> PAGEREF _Toc167452985 \h </w:instrText>
        </w:r>
        <w:r w:rsidR="00434D62">
          <w:rPr>
            <w:webHidden/>
          </w:rPr>
        </w:r>
        <w:r w:rsidR="00434D62">
          <w:rPr>
            <w:webHidden/>
          </w:rPr>
          <w:fldChar w:fldCharType="separate"/>
        </w:r>
        <w:r w:rsidR="00434D62">
          <w:rPr>
            <w:webHidden/>
          </w:rPr>
          <w:t>2</w:t>
        </w:r>
        <w:r w:rsidR="00434D62">
          <w:rPr>
            <w:webHidden/>
          </w:rPr>
          <w:fldChar w:fldCharType="end"/>
        </w:r>
      </w:hyperlink>
    </w:p>
    <w:p w14:paraId="736093F0" w14:textId="23A0F9B8" w:rsidR="00434D62" w:rsidRDefault="00352B70">
      <w:pPr>
        <w:pStyle w:val="TOC2"/>
        <w:rPr>
          <w:rFonts w:asciiTheme="minorHAnsi" w:eastAsiaTheme="minorEastAsia" w:hAnsiTheme="minorHAnsi" w:cstheme="minorBidi"/>
          <w:spacing w:val="0"/>
          <w:kern w:val="2"/>
          <w:sz w:val="22"/>
          <w:szCs w:val="22"/>
          <w14:ligatures w14:val="standardContextual"/>
        </w:rPr>
      </w:pPr>
      <w:hyperlink w:anchor="_Toc167452986" w:history="1">
        <w:r w:rsidR="00434D62" w:rsidRPr="000B536A">
          <w:rPr>
            <w:rStyle w:val="Hyperlink"/>
          </w:rPr>
          <w:t>More information</w:t>
        </w:r>
        <w:r w:rsidR="00434D62">
          <w:rPr>
            <w:webHidden/>
          </w:rPr>
          <w:tab/>
        </w:r>
        <w:r w:rsidR="00434D62">
          <w:rPr>
            <w:webHidden/>
          </w:rPr>
          <w:fldChar w:fldCharType="begin"/>
        </w:r>
        <w:r w:rsidR="00434D62">
          <w:rPr>
            <w:webHidden/>
          </w:rPr>
          <w:instrText xml:space="preserve"> PAGEREF _Toc167452986 \h </w:instrText>
        </w:r>
        <w:r w:rsidR="00434D62">
          <w:rPr>
            <w:webHidden/>
          </w:rPr>
        </w:r>
        <w:r w:rsidR="00434D62">
          <w:rPr>
            <w:webHidden/>
          </w:rPr>
          <w:fldChar w:fldCharType="separate"/>
        </w:r>
        <w:r w:rsidR="00434D62">
          <w:rPr>
            <w:webHidden/>
          </w:rPr>
          <w:t>2</w:t>
        </w:r>
        <w:r w:rsidR="00434D62">
          <w:rPr>
            <w:webHidden/>
          </w:rPr>
          <w:fldChar w:fldCharType="end"/>
        </w:r>
      </w:hyperlink>
    </w:p>
    <w:p w14:paraId="5B184969" w14:textId="099FC8A9" w:rsidR="00434D62" w:rsidRDefault="00352B70">
      <w:pPr>
        <w:pStyle w:val="TOC1"/>
        <w:rPr>
          <w:rFonts w:asciiTheme="minorHAnsi" w:eastAsiaTheme="minorEastAsia" w:hAnsiTheme="minorHAnsi" w:cstheme="minorBidi"/>
          <w:b w:val="0"/>
          <w:spacing w:val="0"/>
          <w:kern w:val="2"/>
          <w:sz w:val="22"/>
          <w:szCs w:val="22"/>
          <w14:ligatures w14:val="standardContextual"/>
        </w:rPr>
      </w:pPr>
      <w:hyperlink w:anchor="_Toc167452995" w:history="1">
        <w:r w:rsidR="00434D62" w:rsidRPr="000B536A">
          <w:rPr>
            <w:rStyle w:val="Hyperlink"/>
          </w:rPr>
          <w:t xml:space="preserve"> Appendix 1</w:t>
        </w:r>
        <w:r w:rsidR="00434D62">
          <w:rPr>
            <w:webHidden/>
          </w:rPr>
          <w:tab/>
        </w:r>
        <w:r w:rsidR="00434D62">
          <w:rPr>
            <w:webHidden/>
          </w:rPr>
          <w:fldChar w:fldCharType="begin"/>
        </w:r>
        <w:r w:rsidR="00434D62">
          <w:rPr>
            <w:webHidden/>
          </w:rPr>
          <w:instrText xml:space="preserve"> PAGEREF _Toc167452995 \h </w:instrText>
        </w:r>
        <w:r w:rsidR="00434D62">
          <w:rPr>
            <w:webHidden/>
          </w:rPr>
        </w:r>
        <w:r w:rsidR="00434D62">
          <w:rPr>
            <w:webHidden/>
          </w:rPr>
          <w:fldChar w:fldCharType="separate"/>
        </w:r>
        <w:r w:rsidR="00434D62">
          <w:rPr>
            <w:webHidden/>
          </w:rPr>
          <w:t>3</w:t>
        </w:r>
        <w:r w:rsidR="00434D62">
          <w:rPr>
            <w:webHidden/>
          </w:rPr>
          <w:fldChar w:fldCharType="end"/>
        </w:r>
      </w:hyperlink>
    </w:p>
    <w:p w14:paraId="50DA597B" w14:textId="4DC51849" w:rsidR="004D56FF" w:rsidRPr="00A17B1B" w:rsidRDefault="00434D62">
      <w:pPr>
        <w:rPr>
          <w:rFonts w:cs="Arial"/>
        </w:rPr>
        <w:sectPr w:rsidR="004D56FF" w:rsidRPr="00A17B1B" w:rsidSect="00C77380">
          <w:headerReference w:type="even" r:id="rId18"/>
          <w:headerReference w:type="default" r:id="rId19"/>
          <w:footerReference w:type="even" r:id="rId20"/>
          <w:footerReference w:type="default" r:id="rId21"/>
          <w:footerReference w:type="first" r:id="rId22"/>
          <w:pgSz w:w="11906" w:h="16838" w:code="9"/>
          <w:pgMar w:top="3646" w:right="3101" w:bottom="1134" w:left="1134" w:header="709" w:footer="119" w:gutter="0"/>
          <w:cols w:space="708"/>
          <w:titlePg/>
          <w:docGrid w:linePitch="360"/>
        </w:sectPr>
      </w:pPr>
      <w:r>
        <w:rPr>
          <w:rFonts w:cs="Arial"/>
          <w:b/>
          <w:noProof/>
          <w:spacing w:val="-14"/>
          <w:sz w:val="28"/>
        </w:rPr>
        <w:fldChar w:fldCharType="end"/>
      </w:r>
    </w:p>
    <w:p w14:paraId="75BCECE3" w14:textId="51E35F68" w:rsidR="00D0520C" w:rsidRDefault="00FB309B" w:rsidP="00D0520C">
      <w:pPr>
        <w:pStyle w:val="Heading1"/>
        <w:pageBreakBefore w:val="0"/>
      </w:pPr>
      <w:bookmarkStart w:id="0" w:name="_Toc167452979"/>
      <w:r>
        <w:t>Assignment of frequencies for CBRS repeaters</w:t>
      </w:r>
      <w:bookmarkEnd w:id="0"/>
    </w:p>
    <w:p w14:paraId="54BE1B1A" w14:textId="4B96DD84" w:rsidR="00D0520C" w:rsidRDefault="00D0520C" w:rsidP="002E3C79">
      <w:pPr>
        <w:pStyle w:val="Heading2"/>
      </w:pPr>
      <w:bookmarkStart w:id="1" w:name="_Toc167452980"/>
      <w:r>
        <w:t>Purpose</w:t>
      </w:r>
      <w:bookmarkEnd w:id="1"/>
    </w:p>
    <w:p w14:paraId="1DB16304" w14:textId="7F9D9058" w:rsidR="00CE3017" w:rsidRPr="005B7283" w:rsidRDefault="00790B0B" w:rsidP="002E3C79">
      <w:pPr>
        <w:pStyle w:val="Paragraph"/>
      </w:pPr>
      <w:r>
        <w:t xml:space="preserve">This guideline </w:t>
      </w:r>
      <w:r w:rsidRPr="005B7283">
        <w:t>provide</w:t>
      </w:r>
      <w:r>
        <w:t>s</w:t>
      </w:r>
      <w:r w:rsidR="00CE3017" w:rsidRPr="005B7283">
        <w:t xml:space="preserve"> information to assist with the assignment and licensing of frequencies for Citizens Band Radio Service (CBRS) repeaters. </w:t>
      </w:r>
      <w:bookmarkStart w:id="2" w:name="OLE_LINK6"/>
      <w:bookmarkStart w:id="3" w:name="OLE_LINK7"/>
      <w:r w:rsidR="00CE3017" w:rsidRPr="005B7283">
        <w:t>In addition to this guideline, reference should be made to the</w:t>
      </w:r>
      <w:r w:rsidR="00CE3017" w:rsidRPr="002E3C79">
        <w:t xml:space="preserve"> </w:t>
      </w:r>
      <w:hyperlink r:id="rId23" w:history="1">
        <w:r w:rsidRPr="002E3C79">
          <w:rPr>
            <w:rStyle w:val="Hyperlink"/>
          </w:rPr>
          <w:t xml:space="preserve">Land </w:t>
        </w:r>
        <w:r>
          <w:rPr>
            <w:rStyle w:val="Hyperlink"/>
          </w:rPr>
          <w:t>m</w:t>
        </w:r>
        <w:r w:rsidRPr="002E3C79">
          <w:rPr>
            <w:rStyle w:val="Hyperlink"/>
          </w:rPr>
          <w:t xml:space="preserve">obile </w:t>
        </w:r>
        <w:r>
          <w:rPr>
            <w:rStyle w:val="Hyperlink"/>
          </w:rPr>
          <w:t>l</w:t>
        </w:r>
        <w:r w:rsidRPr="002E3C79">
          <w:rPr>
            <w:rStyle w:val="Hyperlink"/>
          </w:rPr>
          <w:t>icence</w:t>
        </w:r>
        <w:r w:rsidRPr="002E3C79">
          <w:t xml:space="preserve"> </w:t>
        </w:r>
      </w:hyperlink>
      <w:r w:rsidR="00CE3017" w:rsidRPr="005B7283">
        <w:t>webpage</w:t>
      </w:r>
      <w:r w:rsidR="00FB309B">
        <w:t>,</w:t>
      </w:r>
      <w:r w:rsidR="00CE3017" w:rsidRPr="005B7283">
        <w:t xml:space="preserve"> which provides an overview of the licensing arrangements applicable to the land mobile service.</w:t>
      </w:r>
    </w:p>
    <w:bookmarkEnd w:id="2"/>
    <w:bookmarkEnd w:id="3"/>
    <w:p w14:paraId="5C7B540B" w14:textId="6DAECBFD" w:rsidR="00CE3017" w:rsidRPr="00FB309B" w:rsidRDefault="00CE3017" w:rsidP="002E3C79">
      <w:pPr>
        <w:pStyle w:val="Paragraph"/>
      </w:pPr>
      <w:r w:rsidRPr="00FB309B">
        <w:t>Requests for exemptions to the arrangements detailed in this document, or licence applications that appear to fall outside the</w:t>
      </w:r>
      <w:r w:rsidR="00790B0B">
        <w:t xml:space="preserve"> </w:t>
      </w:r>
      <w:r w:rsidRPr="00FB309B">
        <w:t xml:space="preserve">framework, should be referred to the ACMA at </w:t>
      </w:r>
      <w:hyperlink r:id="rId24" w:history="1">
        <w:r w:rsidRPr="002E3C79">
          <w:rPr>
            <w:rStyle w:val="Hyperlink"/>
          </w:rPr>
          <w:t>FACPolicyExemptions@acma.gov.au</w:t>
        </w:r>
      </w:hyperlink>
      <w:r w:rsidRPr="00FB309B">
        <w:t>.</w:t>
      </w:r>
    </w:p>
    <w:p w14:paraId="025411ED" w14:textId="77777777" w:rsidR="00CE3017" w:rsidRDefault="00CE3017" w:rsidP="00CE3017">
      <w:pPr>
        <w:pStyle w:val="Heading2"/>
        <w:spacing w:before="120" w:after="120"/>
      </w:pPr>
      <w:bookmarkStart w:id="4" w:name="_Toc167452981"/>
      <w:r w:rsidRPr="009A3793">
        <w:t>Background</w:t>
      </w:r>
      <w:bookmarkEnd w:id="4"/>
    </w:p>
    <w:p w14:paraId="6E406219" w14:textId="77777777" w:rsidR="00CE3017" w:rsidRPr="005B7283" w:rsidRDefault="00CE3017" w:rsidP="002E3C79">
      <w:pPr>
        <w:pStyle w:val="Paragraph"/>
      </w:pPr>
      <w:r w:rsidRPr="005B7283">
        <w:t>A CBRS repeater is defined as a station operating at a fixed location for the reception and automatic re</w:t>
      </w:r>
      <w:r w:rsidRPr="005B7283">
        <w:rPr>
          <w:rFonts w:ascii="Cambria Math" w:hAnsi="Cambria Math" w:cs="Cambria Math"/>
        </w:rPr>
        <w:t>‑</w:t>
      </w:r>
      <w:r w:rsidRPr="005B7283">
        <w:t xml:space="preserve">transmission of radio signals from CB stations on a channel mentioned in item 5 or 8 in Schedule 1 of the </w:t>
      </w:r>
      <w:bookmarkStart w:id="5" w:name="_Hlk165470400"/>
      <w:r w:rsidRPr="002E3C79">
        <w:rPr>
          <w:rStyle w:val="Hyperlink"/>
        </w:rPr>
        <w:fldChar w:fldCharType="begin"/>
      </w:r>
      <w:r w:rsidRPr="002E3C79">
        <w:rPr>
          <w:rStyle w:val="Hyperlink"/>
        </w:rPr>
        <w:instrText>HYPERLINK "https://www.legislation.gov.au/F2015L00876/latest/text"</w:instrText>
      </w:r>
      <w:r w:rsidRPr="002E3C79">
        <w:rPr>
          <w:rStyle w:val="Hyperlink"/>
        </w:rPr>
      </w:r>
      <w:r w:rsidRPr="002E3C79">
        <w:rPr>
          <w:rStyle w:val="Hyperlink"/>
        </w:rPr>
        <w:fldChar w:fldCharType="separate"/>
      </w:r>
      <w:r w:rsidRPr="002E3C79">
        <w:rPr>
          <w:rStyle w:val="Hyperlink"/>
        </w:rPr>
        <w:t>Radiocommunications (Citizen Band Radio Stations) Class Licence 2015</w:t>
      </w:r>
      <w:r w:rsidRPr="002E3C79">
        <w:rPr>
          <w:rStyle w:val="Hyperlink"/>
        </w:rPr>
        <w:fldChar w:fldCharType="end"/>
      </w:r>
      <w:bookmarkEnd w:id="5"/>
      <w:r w:rsidRPr="005B7283">
        <w:t xml:space="preserve"> (the class licence) and is operated under an apparatus licence.</w:t>
      </w:r>
    </w:p>
    <w:p w14:paraId="37005158" w14:textId="22A368EC" w:rsidR="00CE3017" w:rsidRPr="005B7283" w:rsidRDefault="00CE3017" w:rsidP="002E3C79">
      <w:pPr>
        <w:pStyle w:val="Paragraph"/>
      </w:pPr>
      <w:r w:rsidRPr="005B7283">
        <w:t>CBRS repeaters are generally operated from fixed locations but can also be operated on an area</w:t>
      </w:r>
      <w:r w:rsidR="00FB309B">
        <w:t>-</w:t>
      </w:r>
      <w:r w:rsidRPr="005B7283">
        <w:t>wide basis subject to the conditions of the licence being met.</w:t>
      </w:r>
    </w:p>
    <w:p w14:paraId="2BC72C14" w14:textId="77777777" w:rsidR="00CE3017" w:rsidRDefault="00CE3017" w:rsidP="002E3C79">
      <w:pPr>
        <w:pStyle w:val="Heading2"/>
      </w:pPr>
      <w:bookmarkStart w:id="6" w:name="_Toc167452982"/>
      <w:r w:rsidRPr="009F6BE9">
        <w:t>Service mode</w:t>
      </w:r>
      <w:r>
        <w:t>l</w:t>
      </w:r>
      <w:bookmarkEnd w:id="6"/>
    </w:p>
    <w:p w14:paraId="12F2C8F8" w14:textId="0EA0BB1D" w:rsidR="00CE3017" w:rsidRPr="00445326" w:rsidRDefault="00CE3017" w:rsidP="002E3C79">
      <w:pPr>
        <w:pStyle w:val="Paragraph"/>
      </w:pPr>
      <w:r w:rsidRPr="00445326">
        <w:t>The typical characteristics for a CBRS repeater are a 5 Watt transmitter into a collinear antenna with a maximum EIRP of 21 Watts</w:t>
      </w:r>
      <w:r w:rsidR="00790B0B">
        <w:t>. H</w:t>
      </w:r>
      <w:r w:rsidR="00790B0B" w:rsidRPr="00445326">
        <w:t>owever</w:t>
      </w:r>
      <w:r w:rsidR="00FB309B">
        <w:t>,</w:t>
      </w:r>
      <w:r w:rsidRPr="00445326">
        <w:t xml:space="preserve"> other configurations may be utilised provided that the maximum EIRP limit is not exceeded. CBRS repeaters may be assigned on either 12.5 or 25 kHz channels. Channel arrangements are specified in the class licence and in appendix 1 of this document.</w:t>
      </w:r>
    </w:p>
    <w:p w14:paraId="3B68CBC9" w14:textId="77777777" w:rsidR="00CE3017" w:rsidRPr="009A3793" w:rsidRDefault="00CE3017" w:rsidP="00CE3017">
      <w:pPr>
        <w:pStyle w:val="Heading2"/>
        <w:spacing w:before="240" w:after="120"/>
      </w:pPr>
      <w:bookmarkStart w:id="7" w:name="_Toc167452983"/>
      <w:r>
        <w:t>Coordination requirements</w:t>
      </w:r>
      <w:bookmarkEnd w:id="7"/>
    </w:p>
    <w:p w14:paraId="3E5EBC48" w14:textId="77777777" w:rsidR="00CE3017" w:rsidRPr="005B7283" w:rsidRDefault="00CE3017" w:rsidP="002E3C79">
      <w:pPr>
        <w:pStyle w:val="Paragraph"/>
      </w:pPr>
      <w:r w:rsidRPr="005B7283">
        <w:t>There are 2 coordination scenarios that need to be considered when deciding which frequency pair to assign for a repeater service. The first is the co-channel or ‘in band’ coordination and the second is the intermodulation check or ‘out of band’ analysis.</w:t>
      </w:r>
    </w:p>
    <w:p w14:paraId="5369DCF6" w14:textId="77777777" w:rsidR="00CE3017" w:rsidRPr="005B7283" w:rsidRDefault="00CE3017" w:rsidP="002E3C79">
      <w:pPr>
        <w:pStyle w:val="Paragraphbeforelist"/>
      </w:pPr>
      <w:r w:rsidRPr="005B7283">
        <w:t>The requirements for in band coordination are:</w:t>
      </w:r>
    </w:p>
    <w:p w14:paraId="1F4EBC29" w14:textId="77777777" w:rsidR="00CE3017" w:rsidRPr="006D40AF" w:rsidRDefault="00CE3017" w:rsidP="002E3C79">
      <w:pPr>
        <w:pStyle w:val="Numberlistlevel1"/>
      </w:pPr>
      <w:r w:rsidRPr="006D40AF">
        <w:t>Except in the case of channel 5/35 (the emergency channel), a minimum co channel reuse distance of 100 km applies to general purpose repeaters</w:t>
      </w:r>
      <w:r>
        <w:t xml:space="preserve">. </w:t>
      </w:r>
    </w:p>
    <w:p w14:paraId="2A952EDD" w14:textId="77777777" w:rsidR="00CE3017" w:rsidRDefault="00CE3017" w:rsidP="002E3C79">
      <w:pPr>
        <w:pStyle w:val="Numberlistlevel1"/>
      </w:pPr>
      <w:r>
        <w:t>In the case of channel 5/35, a minimum co channel reuse distance of 75 km applies.</w:t>
      </w:r>
    </w:p>
    <w:p w14:paraId="38339014" w14:textId="77777777" w:rsidR="00CE3017" w:rsidRDefault="00CE3017" w:rsidP="002E3C79">
      <w:pPr>
        <w:pStyle w:val="Numberlistlevel1"/>
      </w:pPr>
      <w:r w:rsidRPr="008460E6">
        <w:t>The co channel reuse distance applies whenever there is any co channel overlap.</w:t>
      </w:r>
    </w:p>
    <w:p w14:paraId="2D2B2728" w14:textId="255F1BB6" w:rsidR="00CE3017" w:rsidRDefault="00CE3017" w:rsidP="002E3C79">
      <w:pPr>
        <w:pStyle w:val="Numberlistlevel1"/>
      </w:pPr>
      <w:r>
        <w:t>There is no specified distance separation requirement for adjacent channel services</w:t>
      </w:r>
      <w:r w:rsidR="00790B0B">
        <w:t>.</w:t>
      </w:r>
      <w:r>
        <w:t xml:space="preserve"> </w:t>
      </w:r>
      <w:r w:rsidR="00790B0B">
        <w:t>However</w:t>
      </w:r>
      <w:r w:rsidR="00FB309B">
        <w:t>,</w:t>
      </w:r>
      <w:r>
        <w:t xml:space="preserve"> general purpose repeaters cannot be co-sited. General purpose repeaters should be located so that they serve a substantially different area (see Note 1).</w:t>
      </w:r>
    </w:p>
    <w:p w14:paraId="6B8A05D7" w14:textId="77777777" w:rsidR="00CE3017" w:rsidRDefault="00CE3017" w:rsidP="002E3C79">
      <w:pPr>
        <w:pStyle w:val="Numberlistlevel1"/>
      </w:pPr>
      <w:r>
        <w:t>An emergency channel repeater may be co-sited with a general purpose repeater.</w:t>
      </w:r>
    </w:p>
    <w:p w14:paraId="290F00EB" w14:textId="66385344" w:rsidR="00CE3017" w:rsidRPr="002E3C79" w:rsidRDefault="00CE3017" w:rsidP="002E3C79">
      <w:pPr>
        <w:pStyle w:val="Paragraph"/>
        <w:rPr>
          <w:rStyle w:val="Hyperlink"/>
          <w:color w:val="auto"/>
          <w:u w:val="none"/>
        </w:rPr>
      </w:pPr>
      <w:r w:rsidRPr="002E3C79">
        <w:rPr>
          <w:rFonts w:eastAsia="Calibri"/>
        </w:rPr>
        <w:t>The requirements for out of band coordination (intermodulation checks) are specified in section 6.5 of</w:t>
      </w:r>
      <w:r w:rsidRPr="002E3C79">
        <w:t xml:space="preserve"> </w:t>
      </w:r>
      <w:hyperlink r:id="rId25" w:history="1">
        <w:r w:rsidRPr="002E3C79">
          <w:rPr>
            <w:rStyle w:val="Hyperlink"/>
          </w:rPr>
          <w:t>RALI LM8</w:t>
        </w:r>
      </w:hyperlink>
      <w:r w:rsidR="00FB309B">
        <w:rPr>
          <w:rStyle w:val="Hyperlink"/>
          <w:color w:val="auto"/>
          <w:u w:val="none"/>
        </w:rPr>
        <w:t>.</w:t>
      </w:r>
    </w:p>
    <w:p w14:paraId="020A6B39" w14:textId="77777777" w:rsidR="00FB309B" w:rsidRDefault="00CE3017" w:rsidP="002E3C79">
      <w:pPr>
        <w:pStyle w:val="Heading3"/>
        <w:rPr>
          <w:rFonts w:eastAsia="Calibri"/>
          <w:lang w:eastAsia="en-US"/>
        </w:rPr>
      </w:pPr>
      <w:r w:rsidRPr="005B7283">
        <w:t xml:space="preserve">Note </w:t>
      </w:r>
      <w:r w:rsidRPr="005B7283">
        <w:rPr>
          <w:rFonts w:eastAsia="Calibri"/>
          <w:lang w:eastAsia="en-US"/>
        </w:rPr>
        <w:t>1</w:t>
      </w:r>
    </w:p>
    <w:p w14:paraId="3FA2FBEE" w14:textId="1706FC51" w:rsidR="00CE3017" w:rsidRPr="005B7283" w:rsidRDefault="00CE3017" w:rsidP="002E3C79">
      <w:pPr>
        <w:pStyle w:val="Paragraphbeforelist"/>
        <w:rPr>
          <w:rFonts w:eastAsia="Calibri"/>
          <w:lang w:eastAsia="en-US"/>
        </w:rPr>
      </w:pPr>
      <w:r w:rsidRPr="005B7283">
        <w:rPr>
          <w:rFonts w:eastAsia="Calibri"/>
          <w:lang w:eastAsia="en-US"/>
        </w:rPr>
        <w:t>A substantially different area is defined as:</w:t>
      </w:r>
    </w:p>
    <w:p w14:paraId="6AA7BB04" w14:textId="1B45C060" w:rsidR="00CE3017" w:rsidRPr="005B7283" w:rsidRDefault="00CE3017" w:rsidP="002E3C79">
      <w:pPr>
        <w:pStyle w:val="Bulletlevel1"/>
      </w:pPr>
      <w:r w:rsidRPr="005B7283">
        <w:t xml:space="preserve">where </w:t>
      </w:r>
      <w:r w:rsidR="00790B0B">
        <w:t>2</w:t>
      </w:r>
      <w:r w:rsidR="00790B0B" w:rsidRPr="005B7283">
        <w:t xml:space="preserve"> </w:t>
      </w:r>
      <w:r w:rsidRPr="005B7283">
        <w:t>general purpose repeaters have no coverage overlap, or</w:t>
      </w:r>
    </w:p>
    <w:p w14:paraId="3FBE7553" w14:textId="5499A516" w:rsidR="00CE3017" w:rsidRPr="00E856E5" w:rsidRDefault="00CE3017" w:rsidP="002E3C79">
      <w:pPr>
        <w:pStyle w:val="Bulletlevel1"/>
      </w:pPr>
      <w:r>
        <w:t xml:space="preserve">having </w:t>
      </w:r>
      <w:r w:rsidRPr="00E856E5">
        <w:t xml:space="preserve">some coverage overlap but </w:t>
      </w:r>
      <w:r>
        <w:t xml:space="preserve">are </w:t>
      </w:r>
      <w:r w:rsidRPr="00E856E5">
        <w:t>provid</w:t>
      </w:r>
      <w:r>
        <w:t>ing</w:t>
      </w:r>
      <w:r w:rsidRPr="00E856E5">
        <w:t xml:space="preserve"> coverage to different population centres or townships.</w:t>
      </w:r>
    </w:p>
    <w:p w14:paraId="27B328FE" w14:textId="77777777" w:rsidR="00CE3017" w:rsidRPr="00461102" w:rsidRDefault="00CE3017" w:rsidP="002E3C79">
      <w:pPr>
        <w:pStyle w:val="Heading2"/>
      </w:pPr>
      <w:bookmarkStart w:id="8" w:name="_Toc167452984"/>
      <w:r>
        <w:t>Licence conditions</w:t>
      </w:r>
      <w:bookmarkEnd w:id="8"/>
    </w:p>
    <w:p w14:paraId="1F385292" w14:textId="77777777" w:rsidR="00CE3017" w:rsidRDefault="00CE3017" w:rsidP="002E3C79">
      <w:pPr>
        <w:pStyle w:val="Paragraph"/>
      </w:pPr>
      <w:r>
        <w:t xml:space="preserve">General licence conditions applicable to CBRS repeater stations can be found in Part 6 of the </w:t>
      </w:r>
      <w:hyperlink r:id="rId26" w:history="1">
        <w:r w:rsidRPr="005E2637">
          <w:rPr>
            <w:rStyle w:val="Hyperlink"/>
            <w:szCs w:val="20"/>
          </w:rPr>
          <w:t>Radiocommunications Licence Conditions (Land Mobile Licence) Determination 2015</w:t>
        </w:r>
      </w:hyperlink>
      <w:r>
        <w:t>.</w:t>
      </w:r>
    </w:p>
    <w:p w14:paraId="4EC46AA7" w14:textId="220424DC" w:rsidR="00CE3017" w:rsidRDefault="00CE3017" w:rsidP="002E3C79">
      <w:pPr>
        <w:pStyle w:val="Paragraph"/>
      </w:pPr>
      <w:r>
        <w:t>Specific conditions relating to individual licences will be attached to the licence record.</w:t>
      </w:r>
    </w:p>
    <w:p w14:paraId="603C6AAC" w14:textId="77777777" w:rsidR="00CE3017" w:rsidRDefault="00CE3017" w:rsidP="00CE3017">
      <w:pPr>
        <w:pStyle w:val="Heading2"/>
        <w:spacing w:before="120" w:after="120"/>
      </w:pPr>
      <w:bookmarkStart w:id="9" w:name="_Toc167452985"/>
      <w:r>
        <w:t>Call signs</w:t>
      </w:r>
      <w:bookmarkEnd w:id="9"/>
    </w:p>
    <w:p w14:paraId="08D538CE" w14:textId="0017A6A7" w:rsidR="00CE3017" w:rsidRDefault="00CE3017" w:rsidP="002E3C79">
      <w:pPr>
        <w:pStyle w:val="Paragraph"/>
        <w:rPr>
          <w:rFonts w:eastAsia="Calibri"/>
          <w:lang w:eastAsia="en-US"/>
        </w:rPr>
      </w:pPr>
      <w:r w:rsidRPr="00D04D61">
        <w:rPr>
          <w:rFonts w:eastAsia="Calibri"/>
          <w:lang w:eastAsia="en-US"/>
        </w:rPr>
        <w:t>Call</w:t>
      </w:r>
      <w:r w:rsidR="00790B0B">
        <w:rPr>
          <w:rFonts w:eastAsia="Calibri"/>
          <w:lang w:eastAsia="en-US"/>
        </w:rPr>
        <w:t xml:space="preserve"> </w:t>
      </w:r>
      <w:r w:rsidRPr="00D04D61">
        <w:rPr>
          <w:rFonts w:eastAsia="Calibri"/>
          <w:lang w:eastAsia="en-US"/>
        </w:rPr>
        <w:t>signs are a unique series of letters and</w:t>
      </w:r>
      <w:r>
        <w:rPr>
          <w:rFonts w:eastAsia="Calibri"/>
          <w:lang w:eastAsia="en-US"/>
        </w:rPr>
        <w:t xml:space="preserve"> </w:t>
      </w:r>
      <w:r w:rsidRPr="00D04D61">
        <w:rPr>
          <w:rFonts w:eastAsia="Calibri"/>
          <w:lang w:eastAsia="en-US"/>
        </w:rPr>
        <w:t xml:space="preserve">numbers allocated to a radiocommunications </w:t>
      </w:r>
      <w:r>
        <w:rPr>
          <w:rFonts w:eastAsia="Calibri"/>
          <w:lang w:eastAsia="en-US"/>
        </w:rPr>
        <w:t>licence</w:t>
      </w:r>
      <w:r w:rsidRPr="00D04D61">
        <w:rPr>
          <w:rFonts w:eastAsia="Calibri"/>
          <w:lang w:eastAsia="en-US"/>
        </w:rPr>
        <w:t xml:space="preserve"> to identify a station. </w:t>
      </w:r>
      <w:r>
        <w:rPr>
          <w:rFonts w:eastAsia="Calibri"/>
          <w:lang w:eastAsia="en-US"/>
        </w:rPr>
        <w:t xml:space="preserve">The call sign for a CBRS repeater should follow the format detailed in Table 1 below. Applicants, or their accredited person, should search the </w:t>
      </w:r>
      <w:hyperlink r:id="rId27" w:history="1">
        <w:r w:rsidRPr="002E3C79">
          <w:rPr>
            <w:rStyle w:val="Hyperlink"/>
            <w:rFonts w:eastAsia="Calibri"/>
          </w:rPr>
          <w:t>Register of Radiocommunications Licences</w:t>
        </w:r>
      </w:hyperlink>
      <w:r w:rsidRPr="0002276F">
        <w:rPr>
          <w:rFonts w:eastAsia="Calibri"/>
          <w:lang w:eastAsia="en-US"/>
        </w:rPr>
        <w:t xml:space="preserve"> (RRL</w:t>
      </w:r>
      <w:r>
        <w:rPr>
          <w:rFonts w:eastAsia="Calibri"/>
          <w:lang w:eastAsia="en-US"/>
        </w:rPr>
        <w:t xml:space="preserve">) to check that the call sign that they wish to use is not already in use by a CBRS repeater. </w:t>
      </w:r>
    </w:p>
    <w:p w14:paraId="76F0F506" w14:textId="3E24B77E" w:rsidR="00CE3017" w:rsidRPr="00D04D61" w:rsidRDefault="00CE3017" w:rsidP="002E3C79">
      <w:pPr>
        <w:pStyle w:val="Paragraph"/>
        <w:rPr>
          <w:rFonts w:eastAsia="Calibri"/>
          <w:lang w:eastAsia="en-US"/>
        </w:rPr>
      </w:pPr>
      <w:r w:rsidRPr="00D04D61">
        <w:rPr>
          <w:rFonts w:eastAsia="Calibri"/>
          <w:lang w:eastAsia="en-US"/>
        </w:rPr>
        <w:t>Call</w:t>
      </w:r>
      <w:r w:rsidR="00790B0B">
        <w:rPr>
          <w:rFonts w:eastAsia="Calibri"/>
          <w:lang w:eastAsia="en-US"/>
        </w:rPr>
        <w:t xml:space="preserve"> </w:t>
      </w:r>
      <w:r w:rsidRPr="00D04D61">
        <w:rPr>
          <w:rFonts w:eastAsia="Calibri"/>
          <w:lang w:eastAsia="en-US"/>
        </w:rPr>
        <w:t>signs should be used for all on-air communications, including testing.</w:t>
      </w:r>
    </w:p>
    <w:p w14:paraId="10FEBC21" w14:textId="2BE23A16" w:rsidR="00CE3017" w:rsidRDefault="00CE3017" w:rsidP="002E3C79">
      <w:pPr>
        <w:pStyle w:val="Paragraph"/>
        <w:rPr>
          <w:rFonts w:ascii="inherit" w:hAnsi="inherit" w:cs="Segoe UI"/>
          <w:color w:val="4D4D4F"/>
          <w:sz w:val="29"/>
          <w:szCs w:val="29"/>
        </w:rPr>
      </w:pPr>
      <w:r w:rsidRPr="005732A8">
        <w:rPr>
          <w:rFonts w:eastAsia="Calibri"/>
          <w:lang w:eastAsia="en-US"/>
        </w:rPr>
        <w:t>The licensee of a land mobile station (CB repeater station) must use the call sign allocated to them by the ACMA</w:t>
      </w:r>
      <w:r>
        <w:rPr>
          <w:rFonts w:eastAsia="Calibri"/>
          <w:lang w:eastAsia="en-US"/>
        </w:rPr>
        <w:t>.</w:t>
      </w:r>
    </w:p>
    <w:p w14:paraId="1783FC08" w14:textId="03D5E0D2" w:rsidR="00CE3017" w:rsidRPr="00CD7B54" w:rsidRDefault="00CE3017" w:rsidP="002E3C79">
      <w:pPr>
        <w:pStyle w:val="Tableheading"/>
        <w:rPr>
          <w:snapToGrid w:val="0"/>
          <w:lang w:eastAsia="en-US"/>
        </w:rPr>
      </w:pPr>
      <w:r w:rsidRPr="00CD7B54">
        <w:rPr>
          <w:snapToGrid w:val="0"/>
          <w:lang w:eastAsia="en-US"/>
        </w:rPr>
        <w:t>CB</w:t>
      </w:r>
      <w:r>
        <w:rPr>
          <w:snapToGrid w:val="0"/>
          <w:lang w:eastAsia="en-US"/>
        </w:rPr>
        <w:t>RS</w:t>
      </w:r>
      <w:r w:rsidRPr="00CD7B54">
        <w:rPr>
          <w:snapToGrid w:val="0"/>
          <w:lang w:eastAsia="en-US"/>
        </w:rPr>
        <w:t xml:space="preserve"> </w:t>
      </w:r>
      <w:r w:rsidR="00FB309B">
        <w:rPr>
          <w:snapToGrid w:val="0"/>
          <w:lang w:eastAsia="en-US"/>
        </w:rPr>
        <w:t>r</w:t>
      </w:r>
      <w:r w:rsidRPr="00CD7B54">
        <w:rPr>
          <w:snapToGrid w:val="0"/>
          <w:lang w:eastAsia="en-US"/>
        </w:rPr>
        <w:t xml:space="preserve">epeater </w:t>
      </w:r>
      <w:r w:rsidR="00FB309B">
        <w:rPr>
          <w:snapToGrid w:val="0"/>
          <w:lang w:eastAsia="en-US"/>
        </w:rPr>
        <w:t>c</w:t>
      </w:r>
      <w:r w:rsidRPr="00CD7B54">
        <w:rPr>
          <w:snapToGrid w:val="0"/>
          <w:lang w:eastAsia="en-US"/>
        </w:rPr>
        <w:t>all</w:t>
      </w:r>
      <w:r w:rsidR="00FB309B">
        <w:rPr>
          <w:snapToGrid w:val="0"/>
          <w:lang w:eastAsia="en-US"/>
        </w:rPr>
        <w:t xml:space="preserve"> </w:t>
      </w:r>
      <w:r w:rsidRPr="00CD7B54">
        <w:rPr>
          <w:snapToGrid w:val="0"/>
          <w:lang w:eastAsia="en-US"/>
        </w:rPr>
        <w:t xml:space="preserve">sign </w:t>
      </w:r>
      <w:r w:rsidR="00FB309B">
        <w:rPr>
          <w:snapToGrid w:val="0"/>
          <w:lang w:eastAsia="en-US"/>
        </w:rPr>
        <w:t>t</w:t>
      </w:r>
      <w:r w:rsidRPr="00CD7B54">
        <w:rPr>
          <w:snapToGrid w:val="0"/>
          <w:lang w:eastAsia="en-US"/>
        </w:rPr>
        <w:t>emplate</w:t>
      </w:r>
    </w:p>
    <w:tbl>
      <w:tblPr>
        <w:tblStyle w:val="ACMAtablestyle"/>
        <w:tblW w:w="0" w:type="auto"/>
        <w:tblLook w:val="04A0" w:firstRow="1" w:lastRow="0" w:firstColumn="1" w:lastColumn="0" w:noHBand="0" w:noVBand="1"/>
      </w:tblPr>
      <w:tblGrid>
        <w:gridCol w:w="1260"/>
        <w:gridCol w:w="6401"/>
      </w:tblGrid>
      <w:tr w:rsidR="00FB309B" w:rsidRPr="008B14DD" w14:paraId="4A831784" w14:textId="77777777" w:rsidTr="00FB309B">
        <w:trPr>
          <w:cnfStyle w:val="100000000000" w:firstRow="1" w:lastRow="0" w:firstColumn="0" w:lastColumn="0" w:oddVBand="0" w:evenVBand="0" w:oddHBand="0" w:evenHBand="0" w:firstRowFirstColumn="0" w:firstRowLastColumn="0" w:lastRowFirstColumn="0" w:lastRowLastColumn="0"/>
        </w:trPr>
        <w:tc>
          <w:tcPr>
            <w:tcW w:w="0" w:type="auto"/>
            <w:hideMark/>
          </w:tcPr>
          <w:p w14:paraId="3D6881AB" w14:textId="77777777" w:rsidR="00CE3017" w:rsidRPr="00135645" w:rsidRDefault="00CE3017" w:rsidP="002E3C79">
            <w:pPr>
              <w:pStyle w:val="Tableheaderrow"/>
              <w:rPr>
                <w:bCs/>
              </w:rPr>
            </w:pPr>
            <w:proofErr w:type="spellStart"/>
            <w:r w:rsidRPr="00135645">
              <w:rPr>
                <w:bdr w:val="none" w:sz="0" w:space="0" w:color="auto" w:frame="1"/>
              </w:rPr>
              <w:t>aaamm</w:t>
            </w:r>
            <w:proofErr w:type="spellEnd"/>
          </w:p>
        </w:tc>
        <w:tc>
          <w:tcPr>
            <w:tcW w:w="0" w:type="auto"/>
            <w:hideMark/>
          </w:tcPr>
          <w:p w14:paraId="6D4350E3" w14:textId="544E1C96" w:rsidR="00CE3017" w:rsidRPr="00135645" w:rsidRDefault="00CE3017" w:rsidP="002E3C79">
            <w:pPr>
              <w:pStyle w:val="Tableheaderrow"/>
              <w:rPr>
                <w:bCs/>
              </w:rPr>
            </w:pPr>
            <w:r w:rsidRPr="00135645">
              <w:rPr>
                <w:bCs/>
              </w:rPr>
              <w:t xml:space="preserve">CB </w:t>
            </w:r>
            <w:r w:rsidR="00FB309B">
              <w:rPr>
                <w:bCs/>
              </w:rPr>
              <w:t>r</w:t>
            </w:r>
            <w:r w:rsidRPr="00135645">
              <w:rPr>
                <w:bCs/>
              </w:rPr>
              <w:t>epeater call</w:t>
            </w:r>
            <w:r w:rsidR="00FB309B">
              <w:rPr>
                <w:bCs/>
              </w:rPr>
              <w:t xml:space="preserve"> </w:t>
            </w:r>
            <w:r w:rsidRPr="00135645">
              <w:rPr>
                <w:bCs/>
              </w:rPr>
              <w:t xml:space="preserve">sign template </w:t>
            </w:r>
          </w:p>
        </w:tc>
      </w:tr>
      <w:tr w:rsidR="002E3C79" w:rsidRPr="008B14DD" w14:paraId="2B6D8C8A" w14:textId="77777777" w:rsidTr="002E3C79">
        <w:trPr>
          <w:cnfStyle w:val="000000100000" w:firstRow="0" w:lastRow="0" w:firstColumn="0" w:lastColumn="0" w:oddVBand="0" w:evenVBand="0" w:oddHBand="1" w:evenHBand="0" w:firstRowFirstColumn="0" w:firstRowLastColumn="0" w:lastRowFirstColumn="0" w:lastRowLastColumn="0"/>
        </w:trPr>
        <w:tc>
          <w:tcPr>
            <w:tcW w:w="1260" w:type="dxa"/>
            <w:hideMark/>
          </w:tcPr>
          <w:p w14:paraId="2229F0F5" w14:textId="77777777" w:rsidR="00CE3017" w:rsidRPr="002E3C79" w:rsidRDefault="00CE3017" w:rsidP="002E3C79">
            <w:pPr>
              <w:pStyle w:val="TableBody"/>
              <w:rPr>
                <w:rFonts w:eastAsia="Calibri"/>
              </w:rPr>
            </w:pPr>
            <w:proofErr w:type="spellStart"/>
            <w:r w:rsidRPr="002E3C79">
              <w:rPr>
                <w:rFonts w:eastAsia="Calibri"/>
              </w:rPr>
              <w:t>aaa</w:t>
            </w:r>
            <w:proofErr w:type="spellEnd"/>
          </w:p>
        </w:tc>
        <w:tc>
          <w:tcPr>
            <w:tcW w:w="0" w:type="auto"/>
            <w:hideMark/>
          </w:tcPr>
          <w:p w14:paraId="3E0D9DDA" w14:textId="24EF2762" w:rsidR="00CE3017" w:rsidRPr="002E3C79" w:rsidRDefault="00CE3017" w:rsidP="002E3C79">
            <w:pPr>
              <w:pStyle w:val="TableBody"/>
              <w:rPr>
                <w:rFonts w:eastAsia="Calibri"/>
              </w:rPr>
            </w:pPr>
            <w:r w:rsidRPr="002E3C79">
              <w:rPr>
                <w:rFonts w:eastAsia="Calibri"/>
              </w:rPr>
              <w:t xml:space="preserve">The </w:t>
            </w:r>
            <w:r w:rsidR="00790B0B">
              <w:rPr>
                <w:rFonts w:eastAsia="Calibri"/>
              </w:rPr>
              <w:t>3</w:t>
            </w:r>
            <w:r w:rsidR="00790B0B" w:rsidRPr="002E3C79">
              <w:rPr>
                <w:rFonts w:eastAsia="Calibri"/>
              </w:rPr>
              <w:t xml:space="preserve"> </w:t>
            </w:r>
            <w:r w:rsidRPr="002E3C79">
              <w:rPr>
                <w:rFonts w:eastAsia="Calibri"/>
              </w:rPr>
              <w:t>characters should be chosen to be representative of the location or site of the repeater.</w:t>
            </w:r>
          </w:p>
        </w:tc>
      </w:tr>
      <w:tr w:rsidR="00FB309B" w:rsidRPr="008B14DD" w14:paraId="01BCC5BA" w14:textId="77777777" w:rsidTr="00FB309B">
        <w:trPr>
          <w:cnfStyle w:val="000000010000" w:firstRow="0" w:lastRow="0" w:firstColumn="0" w:lastColumn="0" w:oddVBand="0" w:evenVBand="0" w:oddHBand="0" w:evenHBand="1" w:firstRowFirstColumn="0" w:firstRowLastColumn="0" w:lastRowFirstColumn="0" w:lastRowLastColumn="0"/>
        </w:trPr>
        <w:tc>
          <w:tcPr>
            <w:tcW w:w="1260" w:type="dxa"/>
            <w:hideMark/>
          </w:tcPr>
          <w:p w14:paraId="24B54388" w14:textId="77777777" w:rsidR="00CE3017" w:rsidRPr="002E3C79" w:rsidRDefault="00CE3017" w:rsidP="002E3C79">
            <w:pPr>
              <w:pStyle w:val="TableBody"/>
              <w:rPr>
                <w:rFonts w:eastAsia="Calibri"/>
              </w:rPr>
            </w:pPr>
            <w:r w:rsidRPr="002E3C79">
              <w:rPr>
                <w:rFonts w:eastAsia="Calibri"/>
              </w:rPr>
              <w:t>mm</w:t>
            </w:r>
          </w:p>
        </w:tc>
        <w:tc>
          <w:tcPr>
            <w:tcW w:w="0" w:type="auto"/>
            <w:hideMark/>
          </w:tcPr>
          <w:p w14:paraId="58EC7120" w14:textId="2ECC555A" w:rsidR="00CE3017" w:rsidRPr="002E3C79" w:rsidRDefault="00CE3017" w:rsidP="002E3C79">
            <w:pPr>
              <w:pStyle w:val="TableBody"/>
              <w:rPr>
                <w:rFonts w:eastAsia="Calibri"/>
              </w:rPr>
            </w:pPr>
            <w:r w:rsidRPr="002E3C79">
              <w:rPr>
                <w:rFonts w:eastAsia="Calibri"/>
              </w:rPr>
              <w:t xml:space="preserve">The </w:t>
            </w:r>
            <w:r w:rsidR="00790B0B">
              <w:rPr>
                <w:rFonts w:eastAsia="Calibri"/>
              </w:rPr>
              <w:t>2</w:t>
            </w:r>
            <w:r w:rsidR="00790B0B" w:rsidRPr="002E3C79">
              <w:rPr>
                <w:rFonts w:eastAsia="Calibri"/>
              </w:rPr>
              <w:t xml:space="preserve"> </w:t>
            </w:r>
            <w:r w:rsidRPr="002E3C79">
              <w:rPr>
                <w:rFonts w:eastAsia="Calibri"/>
              </w:rPr>
              <w:t>digits must be the channel number of the repeater.</w:t>
            </w:r>
          </w:p>
        </w:tc>
      </w:tr>
    </w:tbl>
    <w:p w14:paraId="6023E991" w14:textId="77777777" w:rsidR="00FB309B" w:rsidRDefault="00FB309B" w:rsidP="00CE3017">
      <w:pPr>
        <w:pStyle w:val="Heading2"/>
        <w:spacing w:before="120"/>
      </w:pPr>
    </w:p>
    <w:p w14:paraId="547A90FA" w14:textId="5D143D91" w:rsidR="00CE3017" w:rsidRDefault="00790B0B" w:rsidP="00CE3017">
      <w:pPr>
        <w:pStyle w:val="Heading2"/>
        <w:spacing w:before="120"/>
      </w:pPr>
      <w:bookmarkStart w:id="10" w:name="_Toc167452986"/>
      <w:r>
        <w:t>More</w:t>
      </w:r>
      <w:r w:rsidRPr="009A3793">
        <w:t xml:space="preserve"> </w:t>
      </w:r>
      <w:r w:rsidR="00CE3017">
        <w:t>i</w:t>
      </w:r>
      <w:r w:rsidR="00CE3017" w:rsidRPr="009A3793">
        <w:t>nformation</w:t>
      </w:r>
      <w:bookmarkEnd w:id="10"/>
    </w:p>
    <w:p w14:paraId="386D3BD0" w14:textId="109914E6" w:rsidR="00CE3017" w:rsidRDefault="00315BF4" w:rsidP="002E3C79">
      <w:pPr>
        <w:pStyle w:val="Paragraph"/>
      </w:pPr>
      <w:r>
        <w:t>C</w:t>
      </w:r>
      <w:r w:rsidR="00CE3017" w:rsidRPr="00445326">
        <w:t xml:space="preserve">ontact </w:t>
      </w:r>
      <w:r>
        <w:t xml:space="preserve">our Customer Service Centre on 1300 850 115 or </w:t>
      </w:r>
      <w:hyperlink r:id="rId28" w:history="1">
        <w:r w:rsidRPr="002D2FB4">
          <w:rPr>
            <w:rStyle w:val="Hyperlink"/>
          </w:rPr>
          <w:t>info@acma.gov.au</w:t>
        </w:r>
      </w:hyperlink>
      <w:r>
        <w:rPr>
          <w:u w:color="0000FF"/>
        </w:rPr>
        <w:t xml:space="preserve"> </w:t>
      </w:r>
      <w:hyperlink r:id="rId29" w:history="1"/>
      <w:r w:rsidR="00CE3017" w:rsidRPr="00445326">
        <w:t>for further information</w:t>
      </w:r>
      <w:r w:rsidR="00CE3017" w:rsidRPr="00623488">
        <w:t>.</w:t>
      </w:r>
    </w:p>
    <w:p w14:paraId="6780D584" w14:textId="24051435" w:rsidR="00E311BC" w:rsidRPr="002E3C79" w:rsidRDefault="00E311BC" w:rsidP="002E3C79">
      <w:pPr>
        <w:pStyle w:val="Heading1"/>
      </w:pPr>
      <w:bookmarkStart w:id="11" w:name="_Toc167452995"/>
      <w:r w:rsidRPr="002E3C79">
        <w:t xml:space="preserve"> Appendix 1</w:t>
      </w:r>
      <w:bookmarkEnd w:id="11"/>
    </w:p>
    <w:p w14:paraId="1DC21FF3" w14:textId="54F4AD17" w:rsidR="00E311BC" w:rsidRDefault="00E311BC" w:rsidP="002E3C79">
      <w:pPr>
        <w:pStyle w:val="Tableheading"/>
      </w:pPr>
      <w:r>
        <w:t>Channel arrangements</w:t>
      </w:r>
      <w:r w:rsidRPr="00461102">
        <w:t xml:space="preserve"> for </w:t>
      </w:r>
      <w:r>
        <w:t>CBRS repeaters</w:t>
      </w:r>
    </w:p>
    <w:tbl>
      <w:tblPr>
        <w:tblStyle w:val="ACMAtablestyle"/>
        <w:tblW w:w="0" w:type="auto"/>
        <w:tblLook w:val="04A0" w:firstRow="1" w:lastRow="0" w:firstColumn="1" w:lastColumn="0" w:noHBand="0" w:noVBand="1"/>
      </w:tblPr>
      <w:tblGrid>
        <w:gridCol w:w="1696"/>
        <w:gridCol w:w="1843"/>
        <w:gridCol w:w="1559"/>
        <w:gridCol w:w="1843"/>
      </w:tblGrid>
      <w:tr w:rsidR="00E311BC" w:rsidRPr="00E311BC" w14:paraId="6D396EC1" w14:textId="77777777" w:rsidTr="002E3C79">
        <w:trPr>
          <w:cnfStyle w:val="100000000000" w:firstRow="1" w:lastRow="0" w:firstColumn="0" w:lastColumn="0" w:oddVBand="0" w:evenVBand="0" w:oddHBand="0" w:evenHBand="0" w:firstRowFirstColumn="0" w:firstRowLastColumn="0" w:lastRowFirstColumn="0" w:lastRowLastColumn="0"/>
        </w:trPr>
        <w:tc>
          <w:tcPr>
            <w:tcW w:w="3539" w:type="dxa"/>
            <w:gridSpan w:val="2"/>
            <w:hideMark/>
          </w:tcPr>
          <w:p w14:paraId="3B506ACB" w14:textId="57B694BA" w:rsidR="00E311BC" w:rsidRPr="00E311BC" w:rsidRDefault="00E311BC" w:rsidP="002E3C79">
            <w:pPr>
              <w:pStyle w:val="Tableheaderrow"/>
            </w:pPr>
            <w:r w:rsidRPr="00E311BC">
              <w:t xml:space="preserve">Transmit </w:t>
            </w:r>
            <w:r>
              <w:t>f</w:t>
            </w:r>
            <w:r w:rsidRPr="00E311BC">
              <w:t>requency (MHz)</w:t>
            </w:r>
          </w:p>
        </w:tc>
        <w:tc>
          <w:tcPr>
            <w:tcW w:w="3402" w:type="dxa"/>
            <w:gridSpan w:val="2"/>
            <w:hideMark/>
          </w:tcPr>
          <w:p w14:paraId="171DCC75" w14:textId="6A3E87BC" w:rsidR="00E311BC" w:rsidRPr="00E311BC" w:rsidRDefault="00E311BC" w:rsidP="002E3C79">
            <w:pPr>
              <w:pStyle w:val="Tableheaderrow"/>
            </w:pPr>
            <w:r w:rsidRPr="00E311BC">
              <w:t xml:space="preserve">Receive </w:t>
            </w:r>
            <w:r>
              <w:t>f</w:t>
            </w:r>
            <w:r w:rsidRPr="00E311BC">
              <w:t>requency (MHz)</w:t>
            </w:r>
          </w:p>
        </w:tc>
      </w:tr>
      <w:tr w:rsidR="002E3C79" w:rsidRPr="00E311BC" w14:paraId="1FB69028" w14:textId="77777777" w:rsidTr="002E3C79">
        <w:trPr>
          <w:cnfStyle w:val="000000100000" w:firstRow="0" w:lastRow="0" w:firstColumn="0" w:lastColumn="0" w:oddVBand="0" w:evenVBand="0" w:oddHBand="1" w:evenHBand="0" w:firstRowFirstColumn="0" w:firstRowLastColumn="0" w:lastRowFirstColumn="0" w:lastRowLastColumn="0"/>
        </w:trPr>
        <w:tc>
          <w:tcPr>
            <w:tcW w:w="1696" w:type="dxa"/>
            <w:hideMark/>
          </w:tcPr>
          <w:p w14:paraId="4F5AE28A" w14:textId="59A10B5F" w:rsidR="00E311BC" w:rsidRPr="002E3C79" w:rsidRDefault="00E311BC" w:rsidP="002E3C79">
            <w:pPr>
              <w:pStyle w:val="TableBody"/>
              <w:rPr>
                <w:rFonts w:eastAsia="Calibri"/>
              </w:rPr>
            </w:pPr>
            <w:r w:rsidRPr="002E3C79">
              <w:rPr>
                <w:rFonts w:eastAsia="Calibri"/>
              </w:rPr>
              <w:t xml:space="preserve">476.425 </w:t>
            </w:r>
            <w:r>
              <w:rPr>
                <w:rFonts w:eastAsia="Calibri"/>
              </w:rPr>
              <w:t>–</w:t>
            </w:r>
            <w:r w:rsidRPr="002E3C79">
              <w:rPr>
                <w:rFonts w:eastAsia="Calibri"/>
              </w:rPr>
              <w:t xml:space="preserve"> Channel 1</w:t>
            </w:r>
          </w:p>
        </w:tc>
        <w:tc>
          <w:tcPr>
            <w:tcW w:w="1843" w:type="dxa"/>
            <w:hideMark/>
          </w:tcPr>
          <w:p w14:paraId="6CB1AEDB" w14:textId="0A1A2AB5" w:rsidR="00E311BC" w:rsidRPr="002E3C79" w:rsidRDefault="00E311BC" w:rsidP="002E3C79">
            <w:pPr>
              <w:pStyle w:val="TableBody"/>
              <w:rPr>
                <w:rFonts w:eastAsia="Calibri"/>
              </w:rPr>
            </w:pPr>
            <w:r w:rsidRPr="002E3C79">
              <w:rPr>
                <w:rFonts w:eastAsia="Calibri"/>
              </w:rPr>
              <w:t xml:space="preserve">476.4375 </w:t>
            </w:r>
            <w:r>
              <w:rPr>
                <w:rFonts w:eastAsia="Calibri"/>
              </w:rPr>
              <w:t>–</w:t>
            </w:r>
            <w:r w:rsidRPr="002E3C79">
              <w:rPr>
                <w:rFonts w:eastAsia="Calibri"/>
              </w:rPr>
              <w:t xml:space="preserve"> Channel 41</w:t>
            </w:r>
          </w:p>
        </w:tc>
        <w:tc>
          <w:tcPr>
            <w:tcW w:w="1559" w:type="dxa"/>
            <w:hideMark/>
          </w:tcPr>
          <w:p w14:paraId="778E08E2" w14:textId="2012EBB8" w:rsidR="00E311BC" w:rsidRPr="002E3C79" w:rsidRDefault="00E311BC" w:rsidP="002E3C79">
            <w:pPr>
              <w:pStyle w:val="TableBody"/>
              <w:rPr>
                <w:rFonts w:eastAsia="Calibri"/>
              </w:rPr>
            </w:pPr>
            <w:r w:rsidRPr="002E3C79">
              <w:rPr>
                <w:rFonts w:eastAsia="Calibri"/>
              </w:rPr>
              <w:t xml:space="preserve">477.1 75 </w:t>
            </w:r>
            <w:r>
              <w:rPr>
                <w:rFonts w:eastAsia="Calibri"/>
              </w:rPr>
              <w:t>–</w:t>
            </w:r>
            <w:r w:rsidRPr="002E3C79">
              <w:rPr>
                <w:rFonts w:eastAsia="Calibri"/>
              </w:rPr>
              <w:t xml:space="preserve"> Channel 31</w:t>
            </w:r>
          </w:p>
        </w:tc>
        <w:tc>
          <w:tcPr>
            <w:tcW w:w="1843" w:type="dxa"/>
            <w:hideMark/>
          </w:tcPr>
          <w:p w14:paraId="1EF7B3B9" w14:textId="55F86663" w:rsidR="00E311BC" w:rsidRPr="002E3C79" w:rsidRDefault="00E311BC" w:rsidP="002E3C79">
            <w:pPr>
              <w:pStyle w:val="TableBody"/>
              <w:rPr>
                <w:rFonts w:eastAsia="Calibri"/>
              </w:rPr>
            </w:pPr>
            <w:r w:rsidRPr="002E3C79">
              <w:rPr>
                <w:rFonts w:eastAsia="Calibri"/>
              </w:rPr>
              <w:t xml:space="preserve">477.1875 </w:t>
            </w:r>
            <w:r>
              <w:rPr>
                <w:rFonts w:eastAsia="Calibri"/>
              </w:rPr>
              <w:t>–</w:t>
            </w:r>
            <w:r w:rsidRPr="002E3C79">
              <w:rPr>
                <w:rFonts w:eastAsia="Calibri"/>
              </w:rPr>
              <w:t xml:space="preserve"> Channel 71</w:t>
            </w:r>
          </w:p>
        </w:tc>
      </w:tr>
      <w:tr w:rsidR="00E311BC" w:rsidRPr="00E311BC" w14:paraId="6BA682B2" w14:textId="77777777" w:rsidTr="002E3C79">
        <w:trPr>
          <w:cnfStyle w:val="000000010000" w:firstRow="0" w:lastRow="0" w:firstColumn="0" w:lastColumn="0" w:oddVBand="0" w:evenVBand="0" w:oddHBand="0" w:evenHBand="1" w:firstRowFirstColumn="0" w:firstRowLastColumn="0" w:lastRowFirstColumn="0" w:lastRowLastColumn="0"/>
        </w:trPr>
        <w:tc>
          <w:tcPr>
            <w:tcW w:w="1696" w:type="dxa"/>
            <w:hideMark/>
          </w:tcPr>
          <w:p w14:paraId="39C5211A" w14:textId="2A7DA87A" w:rsidR="00E311BC" w:rsidRPr="002E3C79" w:rsidRDefault="00E311BC" w:rsidP="002E3C79">
            <w:pPr>
              <w:pStyle w:val="TableBody"/>
              <w:rPr>
                <w:rFonts w:eastAsia="Calibri"/>
              </w:rPr>
            </w:pPr>
            <w:r w:rsidRPr="002E3C79">
              <w:rPr>
                <w:rFonts w:eastAsia="Calibri"/>
              </w:rPr>
              <w:t xml:space="preserve">476.450 </w:t>
            </w:r>
            <w:r>
              <w:rPr>
                <w:rFonts w:eastAsia="Calibri"/>
              </w:rPr>
              <w:t>–</w:t>
            </w:r>
            <w:r w:rsidRPr="002E3C79">
              <w:rPr>
                <w:rFonts w:eastAsia="Calibri"/>
              </w:rPr>
              <w:t xml:space="preserve"> Channel 2</w:t>
            </w:r>
          </w:p>
        </w:tc>
        <w:tc>
          <w:tcPr>
            <w:tcW w:w="1843" w:type="dxa"/>
            <w:hideMark/>
          </w:tcPr>
          <w:p w14:paraId="5A93C2BA" w14:textId="46AF6B93" w:rsidR="00E311BC" w:rsidRPr="002E3C79" w:rsidRDefault="00E311BC" w:rsidP="002E3C79">
            <w:pPr>
              <w:pStyle w:val="TableBody"/>
              <w:rPr>
                <w:rFonts w:eastAsia="Calibri"/>
              </w:rPr>
            </w:pPr>
            <w:r w:rsidRPr="002E3C79">
              <w:rPr>
                <w:rFonts w:eastAsia="Calibri"/>
              </w:rPr>
              <w:t xml:space="preserve">476.4625 </w:t>
            </w:r>
            <w:r>
              <w:rPr>
                <w:rFonts w:eastAsia="Calibri"/>
              </w:rPr>
              <w:t>–</w:t>
            </w:r>
            <w:r w:rsidRPr="002E3C79">
              <w:rPr>
                <w:rFonts w:eastAsia="Calibri"/>
              </w:rPr>
              <w:t xml:space="preserve"> Channel 42</w:t>
            </w:r>
          </w:p>
        </w:tc>
        <w:tc>
          <w:tcPr>
            <w:tcW w:w="1559" w:type="dxa"/>
            <w:hideMark/>
          </w:tcPr>
          <w:p w14:paraId="71A24311" w14:textId="385261F2" w:rsidR="00E311BC" w:rsidRPr="002E3C79" w:rsidRDefault="00E311BC" w:rsidP="002E3C79">
            <w:pPr>
              <w:pStyle w:val="TableBody"/>
              <w:rPr>
                <w:rFonts w:eastAsia="Calibri"/>
              </w:rPr>
            </w:pPr>
            <w:r w:rsidRPr="002E3C79">
              <w:rPr>
                <w:rFonts w:eastAsia="Calibri"/>
              </w:rPr>
              <w:t xml:space="preserve">477.200 </w:t>
            </w:r>
            <w:r>
              <w:rPr>
                <w:rFonts w:eastAsia="Calibri"/>
              </w:rPr>
              <w:t>–</w:t>
            </w:r>
            <w:r w:rsidRPr="002E3C79">
              <w:rPr>
                <w:rFonts w:eastAsia="Calibri"/>
              </w:rPr>
              <w:t xml:space="preserve"> Channel 32</w:t>
            </w:r>
          </w:p>
        </w:tc>
        <w:tc>
          <w:tcPr>
            <w:tcW w:w="1843" w:type="dxa"/>
            <w:hideMark/>
          </w:tcPr>
          <w:p w14:paraId="78F3D9C9" w14:textId="52C6C050" w:rsidR="00E311BC" w:rsidRPr="002E3C79" w:rsidRDefault="00E311BC" w:rsidP="002E3C79">
            <w:pPr>
              <w:pStyle w:val="TableBody"/>
              <w:rPr>
                <w:rFonts w:eastAsia="Calibri"/>
              </w:rPr>
            </w:pPr>
            <w:r w:rsidRPr="002E3C79">
              <w:rPr>
                <w:rFonts w:eastAsia="Calibri"/>
              </w:rPr>
              <w:t xml:space="preserve">477.2125 </w:t>
            </w:r>
            <w:r>
              <w:rPr>
                <w:rFonts w:eastAsia="Calibri"/>
              </w:rPr>
              <w:t>–</w:t>
            </w:r>
            <w:r w:rsidRPr="002E3C79">
              <w:rPr>
                <w:rFonts w:eastAsia="Calibri"/>
              </w:rPr>
              <w:t xml:space="preserve"> Channel 72</w:t>
            </w:r>
          </w:p>
        </w:tc>
      </w:tr>
      <w:tr w:rsidR="002E3C79" w:rsidRPr="00E311BC" w14:paraId="5671F318" w14:textId="77777777" w:rsidTr="002E3C79">
        <w:trPr>
          <w:cnfStyle w:val="000000100000" w:firstRow="0" w:lastRow="0" w:firstColumn="0" w:lastColumn="0" w:oddVBand="0" w:evenVBand="0" w:oddHBand="1" w:evenHBand="0" w:firstRowFirstColumn="0" w:firstRowLastColumn="0" w:lastRowFirstColumn="0" w:lastRowLastColumn="0"/>
        </w:trPr>
        <w:tc>
          <w:tcPr>
            <w:tcW w:w="1696" w:type="dxa"/>
            <w:hideMark/>
          </w:tcPr>
          <w:p w14:paraId="435D9EFA" w14:textId="0956510A" w:rsidR="00E311BC" w:rsidRPr="002E3C79" w:rsidRDefault="00E311BC" w:rsidP="002E3C79">
            <w:pPr>
              <w:pStyle w:val="TableBody"/>
              <w:rPr>
                <w:rFonts w:eastAsia="Calibri"/>
              </w:rPr>
            </w:pPr>
            <w:r w:rsidRPr="002E3C79">
              <w:rPr>
                <w:rFonts w:eastAsia="Calibri"/>
              </w:rPr>
              <w:t xml:space="preserve">476.475 </w:t>
            </w:r>
            <w:r>
              <w:rPr>
                <w:rFonts w:eastAsia="Calibri"/>
              </w:rPr>
              <w:t>–</w:t>
            </w:r>
            <w:r w:rsidRPr="002E3C79">
              <w:rPr>
                <w:rFonts w:eastAsia="Calibri"/>
              </w:rPr>
              <w:t xml:space="preserve"> Channel 3</w:t>
            </w:r>
          </w:p>
        </w:tc>
        <w:tc>
          <w:tcPr>
            <w:tcW w:w="1843" w:type="dxa"/>
            <w:hideMark/>
          </w:tcPr>
          <w:p w14:paraId="79A8A44C" w14:textId="4CA8B013" w:rsidR="00E311BC" w:rsidRPr="002E3C79" w:rsidRDefault="00E311BC" w:rsidP="002E3C79">
            <w:pPr>
              <w:pStyle w:val="TableBody"/>
              <w:rPr>
                <w:rFonts w:eastAsia="Calibri"/>
              </w:rPr>
            </w:pPr>
            <w:r w:rsidRPr="002E3C79">
              <w:rPr>
                <w:rFonts w:eastAsia="Calibri"/>
              </w:rPr>
              <w:t xml:space="preserve">476.4875 </w:t>
            </w:r>
            <w:r>
              <w:rPr>
                <w:rFonts w:eastAsia="Calibri"/>
              </w:rPr>
              <w:t>–</w:t>
            </w:r>
            <w:r w:rsidRPr="002E3C79">
              <w:rPr>
                <w:rFonts w:eastAsia="Calibri"/>
              </w:rPr>
              <w:t xml:space="preserve"> Channel 43</w:t>
            </w:r>
          </w:p>
        </w:tc>
        <w:tc>
          <w:tcPr>
            <w:tcW w:w="1559" w:type="dxa"/>
            <w:hideMark/>
          </w:tcPr>
          <w:p w14:paraId="55B402C0" w14:textId="3E68990B" w:rsidR="00E311BC" w:rsidRPr="002E3C79" w:rsidRDefault="00E311BC" w:rsidP="002E3C79">
            <w:pPr>
              <w:pStyle w:val="TableBody"/>
              <w:rPr>
                <w:rFonts w:eastAsia="Calibri"/>
              </w:rPr>
            </w:pPr>
            <w:r w:rsidRPr="002E3C79">
              <w:rPr>
                <w:rFonts w:eastAsia="Calibri"/>
              </w:rPr>
              <w:t xml:space="preserve">477.225 </w:t>
            </w:r>
            <w:r>
              <w:rPr>
                <w:rFonts w:eastAsia="Calibri"/>
              </w:rPr>
              <w:t>–</w:t>
            </w:r>
            <w:r w:rsidRPr="002E3C79">
              <w:rPr>
                <w:rFonts w:eastAsia="Calibri"/>
              </w:rPr>
              <w:t xml:space="preserve"> Channel 33</w:t>
            </w:r>
          </w:p>
        </w:tc>
        <w:tc>
          <w:tcPr>
            <w:tcW w:w="1843" w:type="dxa"/>
            <w:hideMark/>
          </w:tcPr>
          <w:p w14:paraId="75DA656D" w14:textId="11B7BDBB" w:rsidR="00E311BC" w:rsidRPr="002E3C79" w:rsidRDefault="00E311BC" w:rsidP="002E3C79">
            <w:pPr>
              <w:pStyle w:val="TableBody"/>
              <w:rPr>
                <w:rFonts w:eastAsia="Calibri"/>
              </w:rPr>
            </w:pPr>
            <w:r w:rsidRPr="002E3C79">
              <w:rPr>
                <w:rFonts w:eastAsia="Calibri"/>
              </w:rPr>
              <w:t xml:space="preserve">477.2375 </w:t>
            </w:r>
            <w:r>
              <w:rPr>
                <w:rFonts w:eastAsia="Calibri"/>
              </w:rPr>
              <w:t>–</w:t>
            </w:r>
            <w:r w:rsidRPr="002E3C79">
              <w:rPr>
                <w:rFonts w:eastAsia="Calibri"/>
              </w:rPr>
              <w:t xml:space="preserve"> Channel 73</w:t>
            </w:r>
          </w:p>
        </w:tc>
      </w:tr>
      <w:tr w:rsidR="00E311BC" w:rsidRPr="00E311BC" w14:paraId="5FEFA0A1" w14:textId="77777777" w:rsidTr="002E3C79">
        <w:trPr>
          <w:cnfStyle w:val="000000010000" w:firstRow="0" w:lastRow="0" w:firstColumn="0" w:lastColumn="0" w:oddVBand="0" w:evenVBand="0" w:oddHBand="0" w:evenHBand="1" w:firstRowFirstColumn="0" w:firstRowLastColumn="0" w:lastRowFirstColumn="0" w:lastRowLastColumn="0"/>
        </w:trPr>
        <w:tc>
          <w:tcPr>
            <w:tcW w:w="1696" w:type="dxa"/>
            <w:hideMark/>
          </w:tcPr>
          <w:p w14:paraId="6C87BA28" w14:textId="6BC922DA" w:rsidR="00E311BC" w:rsidRPr="002E3C79" w:rsidRDefault="00E311BC" w:rsidP="002E3C79">
            <w:pPr>
              <w:pStyle w:val="TableBody"/>
              <w:rPr>
                <w:rFonts w:eastAsia="Calibri"/>
              </w:rPr>
            </w:pPr>
            <w:r w:rsidRPr="002E3C79">
              <w:rPr>
                <w:rFonts w:eastAsia="Calibri"/>
              </w:rPr>
              <w:t xml:space="preserve">476.500 </w:t>
            </w:r>
            <w:r>
              <w:rPr>
                <w:rFonts w:eastAsia="Calibri"/>
              </w:rPr>
              <w:t>–</w:t>
            </w:r>
            <w:r w:rsidRPr="002E3C79">
              <w:rPr>
                <w:rFonts w:eastAsia="Calibri"/>
              </w:rPr>
              <w:t xml:space="preserve"> Channel 4</w:t>
            </w:r>
          </w:p>
        </w:tc>
        <w:tc>
          <w:tcPr>
            <w:tcW w:w="1843" w:type="dxa"/>
            <w:hideMark/>
          </w:tcPr>
          <w:p w14:paraId="2DFD7397" w14:textId="20C2AF39" w:rsidR="00E311BC" w:rsidRPr="002E3C79" w:rsidRDefault="00E311BC" w:rsidP="002E3C79">
            <w:pPr>
              <w:pStyle w:val="TableBody"/>
              <w:rPr>
                <w:rFonts w:eastAsia="Calibri"/>
              </w:rPr>
            </w:pPr>
            <w:r w:rsidRPr="002E3C79">
              <w:rPr>
                <w:rFonts w:eastAsia="Calibri"/>
              </w:rPr>
              <w:t xml:space="preserve">476.5125 </w:t>
            </w:r>
            <w:r>
              <w:rPr>
                <w:rFonts w:eastAsia="Calibri"/>
              </w:rPr>
              <w:t>–</w:t>
            </w:r>
            <w:r w:rsidRPr="002E3C79">
              <w:rPr>
                <w:rFonts w:eastAsia="Calibri"/>
              </w:rPr>
              <w:t xml:space="preserve"> Channel 44</w:t>
            </w:r>
          </w:p>
        </w:tc>
        <w:tc>
          <w:tcPr>
            <w:tcW w:w="1559" w:type="dxa"/>
            <w:hideMark/>
          </w:tcPr>
          <w:p w14:paraId="6F48206C" w14:textId="17F0EC7F" w:rsidR="00E311BC" w:rsidRPr="002E3C79" w:rsidRDefault="00E311BC" w:rsidP="002E3C79">
            <w:pPr>
              <w:pStyle w:val="TableBody"/>
              <w:rPr>
                <w:rFonts w:eastAsia="Calibri"/>
              </w:rPr>
            </w:pPr>
            <w:r w:rsidRPr="002E3C79">
              <w:rPr>
                <w:rFonts w:eastAsia="Calibri"/>
              </w:rPr>
              <w:t xml:space="preserve">477.250 </w:t>
            </w:r>
            <w:r>
              <w:rPr>
                <w:rFonts w:eastAsia="Calibri"/>
              </w:rPr>
              <w:t>–</w:t>
            </w:r>
            <w:r w:rsidRPr="002E3C79">
              <w:rPr>
                <w:rFonts w:eastAsia="Calibri"/>
              </w:rPr>
              <w:t xml:space="preserve"> Channel 34</w:t>
            </w:r>
          </w:p>
        </w:tc>
        <w:tc>
          <w:tcPr>
            <w:tcW w:w="1843" w:type="dxa"/>
            <w:hideMark/>
          </w:tcPr>
          <w:p w14:paraId="3D10D4C2" w14:textId="6AD2FB42" w:rsidR="00E311BC" w:rsidRPr="002E3C79" w:rsidRDefault="00E311BC" w:rsidP="002E3C79">
            <w:pPr>
              <w:pStyle w:val="TableBody"/>
              <w:rPr>
                <w:rFonts w:eastAsia="Calibri"/>
              </w:rPr>
            </w:pPr>
            <w:r w:rsidRPr="002E3C79">
              <w:rPr>
                <w:rFonts w:eastAsia="Calibri"/>
              </w:rPr>
              <w:t xml:space="preserve">477.2625 </w:t>
            </w:r>
            <w:r>
              <w:rPr>
                <w:rFonts w:eastAsia="Calibri"/>
              </w:rPr>
              <w:t>–</w:t>
            </w:r>
            <w:r w:rsidRPr="002E3C79">
              <w:rPr>
                <w:rFonts w:eastAsia="Calibri"/>
              </w:rPr>
              <w:t xml:space="preserve"> Channel 74</w:t>
            </w:r>
          </w:p>
        </w:tc>
      </w:tr>
      <w:tr w:rsidR="002E3C79" w:rsidRPr="00E311BC" w14:paraId="03C01AF7" w14:textId="77777777" w:rsidTr="002E3C79">
        <w:trPr>
          <w:cnfStyle w:val="000000100000" w:firstRow="0" w:lastRow="0" w:firstColumn="0" w:lastColumn="0" w:oddVBand="0" w:evenVBand="0" w:oddHBand="1" w:evenHBand="0" w:firstRowFirstColumn="0" w:firstRowLastColumn="0" w:lastRowFirstColumn="0" w:lastRowLastColumn="0"/>
        </w:trPr>
        <w:tc>
          <w:tcPr>
            <w:tcW w:w="1696" w:type="dxa"/>
            <w:hideMark/>
          </w:tcPr>
          <w:p w14:paraId="3B4A39CA" w14:textId="41EBE75C" w:rsidR="00E311BC" w:rsidRPr="002E3C79" w:rsidRDefault="00E311BC" w:rsidP="002E3C79">
            <w:pPr>
              <w:pStyle w:val="TableBody"/>
              <w:rPr>
                <w:rFonts w:eastAsia="Calibri"/>
              </w:rPr>
            </w:pPr>
            <w:r w:rsidRPr="002E3C79">
              <w:rPr>
                <w:rFonts w:eastAsia="Calibri"/>
              </w:rPr>
              <w:t xml:space="preserve">476.525 </w:t>
            </w:r>
            <w:r>
              <w:rPr>
                <w:rFonts w:eastAsia="Calibri"/>
              </w:rPr>
              <w:t>–</w:t>
            </w:r>
            <w:r w:rsidRPr="002E3C79">
              <w:rPr>
                <w:rFonts w:eastAsia="Calibri"/>
              </w:rPr>
              <w:t xml:space="preserve"> Channel 5*</w:t>
            </w:r>
          </w:p>
        </w:tc>
        <w:tc>
          <w:tcPr>
            <w:tcW w:w="1843" w:type="dxa"/>
            <w:hideMark/>
          </w:tcPr>
          <w:p w14:paraId="2997DAF8" w14:textId="71E65CC5" w:rsidR="00E311BC" w:rsidRPr="002E3C79" w:rsidRDefault="00E311BC" w:rsidP="002E3C79">
            <w:pPr>
              <w:pStyle w:val="TableBody"/>
              <w:rPr>
                <w:rFonts w:eastAsia="Calibri"/>
              </w:rPr>
            </w:pPr>
            <w:r w:rsidRPr="002E3C79">
              <w:rPr>
                <w:rFonts w:eastAsia="Calibri"/>
              </w:rPr>
              <w:t xml:space="preserve">476.5375 </w:t>
            </w:r>
            <w:r>
              <w:rPr>
                <w:rFonts w:eastAsia="Calibri"/>
              </w:rPr>
              <w:t>–</w:t>
            </w:r>
            <w:r w:rsidRPr="002E3C79">
              <w:rPr>
                <w:rFonts w:eastAsia="Calibri"/>
              </w:rPr>
              <w:t xml:space="preserve"> Channel 45</w:t>
            </w:r>
          </w:p>
        </w:tc>
        <w:tc>
          <w:tcPr>
            <w:tcW w:w="1559" w:type="dxa"/>
            <w:hideMark/>
          </w:tcPr>
          <w:p w14:paraId="41B814BD" w14:textId="347A2882" w:rsidR="00E311BC" w:rsidRPr="002E3C79" w:rsidRDefault="00E311BC" w:rsidP="002E3C79">
            <w:pPr>
              <w:pStyle w:val="TableBody"/>
              <w:rPr>
                <w:rFonts w:eastAsia="Calibri"/>
              </w:rPr>
            </w:pPr>
            <w:r w:rsidRPr="002E3C79">
              <w:rPr>
                <w:rFonts w:eastAsia="Calibri"/>
              </w:rPr>
              <w:t xml:space="preserve">477.275 </w:t>
            </w:r>
            <w:r>
              <w:rPr>
                <w:rFonts w:eastAsia="Calibri"/>
              </w:rPr>
              <w:t>–</w:t>
            </w:r>
            <w:r w:rsidRPr="002E3C79">
              <w:rPr>
                <w:rFonts w:eastAsia="Calibri"/>
              </w:rPr>
              <w:t xml:space="preserve"> Channel 35*</w:t>
            </w:r>
          </w:p>
        </w:tc>
        <w:tc>
          <w:tcPr>
            <w:tcW w:w="1843" w:type="dxa"/>
            <w:hideMark/>
          </w:tcPr>
          <w:p w14:paraId="4E007CC9" w14:textId="1E7FF859" w:rsidR="00E311BC" w:rsidRPr="002E3C79" w:rsidRDefault="00E311BC" w:rsidP="002E3C79">
            <w:pPr>
              <w:pStyle w:val="TableBody"/>
              <w:rPr>
                <w:rFonts w:eastAsia="Calibri"/>
              </w:rPr>
            </w:pPr>
            <w:r w:rsidRPr="002E3C79">
              <w:rPr>
                <w:rFonts w:eastAsia="Calibri"/>
              </w:rPr>
              <w:t xml:space="preserve">477.2875 </w:t>
            </w:r>
            <w:r>
              <w:rPr>
                <w:rFonts w:eastAsia="Calibri"/>
              </w:rPr>
              <w:t>–</w:t>
            </w:r>
            <w:r w:rsidRPr="002E3C79">
              <w:rPr>
                <w:rFonts w:eastAsia="Calibri"/>
              </w:rPr>
              <w:t xml:space="preserve"> Channel 75</w:t>
            </w:r>
          </w:p>
        </w:tc>
      </w:tr>
      <w:tr w:rsidR="00E311BC" w:rsidRPr="00E311BC" w14:paraId="62F92F6E" w14:textId="77777777" w:rsidTr="002E3C79">
        <w:trPr>
          <w:cnfStyle w:val="000000010000" w:firstRow="0" w:lastRow="0" w:firstColumn="0" w:lastColumn="0" w:oddVBand="0" w:evenVBand="0" w:oddHBand="0" w:evenHBand="1" w:firstRowFirstColumn="0" w:firstRowLastColumn="0" w:lastRowFirstColumn="0" w:lastRowLastColumn="0"/>
        </w:trPr>
        <w:tc>
          <w:tcPr>
            <w:tcW w:w="1696" w:type="dxa"/>
            <w:hideMark/>
          </w:tcPr>
          <w:p w14:paraId="7BD73770" w14:textId="07300BE6" w:rsidR="00E311BC" w:rsidRPr="002E3C79" w:rsidRDefault="00E311BC" w:rsidP="002E3C79">
            <w:pPr>
              <w:pStyle w:val="TableBody"/>
              <w:rPr>
                <w:rFonts w:eastAsia="Calibri"/>
              </w:rPr>
            </w:pPr>
            <w:r w:rsidRPr="002E3C79">
              <w:rPr>
                <w:rFonts w:eastAsia="Calibri"/>
              </w:rPr>
              <w:t xml:space="preserve">476.550 </w:t>
            </w:r>
            <w:r>
              <w:rPr>
                <w:rFonts w:eastAsia="Calibri"/>
              </w:rPr>
              <w:t>–</w:t>
            </w:r>
            <w:r w:rsidRPr="002E3C79">
              <w:rPr>
                <w:rFonts w:eastAsia="Calibri"/>
              </w:rPr>
              <w:t xml:space="preserve"> Channel 6</w:t>
            </w:r>
          </w:p>
        </w:tc>
        <w:tc>
          <w:tcPr>
            <w:tcW w:w="1843" w:type="dxa"/>
            <w:hideMark/>
          </w:tcPr>
          <w:p w14:paraId="0A76CF5C" w14:textId="14C9E4A4" w:rsidR="00E311BC" w:rsidRPr="002E3C79" w:rsidRDefault="00E311BC" w:rsidP="002E3C79">
            <w:pPr>
              <w:pStyle w:val="TableBody"/>
              <w:rPr>
                <w:rFonts w:eastAsia="Calibri"/>
              </w:rPr>
            </w:pPr>
            <w:r w:rsidRPr="002E3C79">
              <w:rPr>
                <w:rFonts w:eastAsia="Calibri"/>
              </w:rPr>
              <w:t xml:space="preserve">476.5625 </w:t>
            </w:r>
            <w:r>
              <w:rPr>
                <w:rFonts w:eastAsia="Calibri"/>
              </w:rPr>
              <w:t>–</w:t>
            </w:r>
            <w:r w:rsidRPr="002E3C79">
              <w:rPr>
                <w:rFonts w:eastAsia="Calibri"/>
              </w:rPr>
              <w:t xml:space="preserve"> Channel 46</w:t>
            </w:r>
          </w:p>
        </w:tc>
        <w:tc>
          <w:tcPr>
            <w:tcW w:w="1559" w:type="dxa"/>
            <w:hideMark/>
          </w:tcPr>
          <w:p w14:paraId="0AFD9FB7" w14:textId="44A33FD7" w:rsidR="00E311BC" w:rsidRPr="002E3C79" w:rsidRDefault="00E311BC" w:rsidP="002E3C79">
            <w:pPr>
              <w:pStyle w:val="TableBody"/>
              <w:rPr>
                <w:rFonts w:eastAsia="Calibri"/>
              </w:rPr>
            </w:pPr>
            <w:r w:rsidRPr="002E3C79">
              <w:rPr>
                <w:rFonts w:eastAsia="Calibri"/>
              </w:rPr>
              <w:t xml:space="preserve">477.300 </w:t>
            </w:r>
            <w:r>
              <w:rPr>
                <w:rFonts w:eastAsia="Calibri"/>
              </w:rPr>
              <w:t>–</w:t>
            </w:r>
            <w:r w:rsidRPr="002E3C79">
              <w:rPr>
                <w:rFonts w:eastAsia="Calibri"/>
              </w:rPr>
              <w:t xml:space="preserve"> Channel 36</w:t>
            </w:r>
          </w:p>
        </w:tc>
        <w:tc>
          <w:tcPr>
            <w:tcW w:w="1843" w:type="dxa"/>
            <w:hideMark/>
          </w:tcPr>
          <w:p w14:paraId="3EE4F829" w14:textId="6BAE1A5A" w:rsidR="00E311BC" w:rsidRPr="002E3C79" w:rsidRDefault="00E311BC" w:rsidP="002E3C79">
            <w:pPr>
              <w:pStyle w:val="TableBody"/>
              <w:rPr>
                <w:rFonts w:eastAsia="Calibri"/>
              </w:rPr>
            </w:pPr>
            <w:r w:rsidRPr="002E3C79">
              <w:rPr>
                <w:rFonts w:eastAsia="Calibri"/>
              </w:rPr>
              <w:t xml:space="preserve">477.3125 </w:t>
            </w:r>
            <w:r>
              <w:rPr>
                <w:rFonts w:eastAsia="Calibri"/>
              </w:rPr>
              <w:t>–</w:t>
            </w:r>
            <w:r w:rsidRPr="002E3C79">
              <w:rPr>
                <w:rFonts w:eastAsia="Calibri"/>
              </w:rPr>
              <w:t xml:space="preserve"> Channel 76</w:t>
            </w:r>
          </w:p>
        </w:tc>
      </w:tr>
      <w:tr w:rsidR="002E3C79" w:rsidRPr="00E311BC" w14:paraId="7DCDADE1" w14:textId="77777777" w:rsidTr="002E3C79">
        <w:trPr>
          <w:cnfStyle w:val="000000100000" w:firstRow="0" w:lastRow="0" w:firstColumn="0" w:lastColumn="0" w:oddVBand="0" w:evenVBand="0" w:oddHBand="1" w:evenHBand="0" w:firstRowFirstColumn="0" w:firstRowLastColumn="0" w:lastRowFirstColumn="0" w:lastRowLastColumn="0"/>
        </w:trPr>
        <w:tc>
          <w:tcPr>
            <w:tcW w:w="1696" w:type="dxa"/>
            <w:hideMark/>
          </w:tcPr>
          <w:p w14:paraId="38BBAF4C" w14:textId="11377FF8" w:rsidR="00E311BC" w:rsidRPr="002E3C79" w:rsidRDefault="00E311BC" w:rsidP="002E3C79">
            <w:pPr>
              <w:pStyle w:val="TableBody"/>
              <w:rPr>
                <w:rFonts w:eastAsia="Calibri"/>
              </w:rPr>
            </w:pPr>
            <w:r w:rsidRPr="002E3C79">
              <w:rPr>
                <w:rFonts w:eastAsia="Calibri"/>
              </w:rPr>
              <w:t xml:space="preserve">476.575 </w:t>
            </w:r>
            <w:r>
              <w:rPr>
                <w:rFonts w:eastAsia="Calibri"/>
              </w:rPr>
              <w:t>–</w:t>
            </w:r>
            <w:r w:rsidRPr="002E3C79">
              <w:rPr>
                <w:rFonts w:eastAsia="Calibri"/>
              </w:rPr>
              <w:t xml:space="preserve"> Channel 7</w:t>
            </w:r>
          </w:p>
        </w:tc>
        <w:tc>
          <w:tcPr>
            <w:tcW w:w="1843" w:type="dxa"/>
            <w:hideMark/>
          </w:tcPr>
          <w:p w14:paraId="1340BBC5" w14:textId="50B8F518" w:rsidR="00E311BC" w:rsidRPr="002E3C79" w:rsidRDefault="00E311BC" w:rsidP="002E3C79">
            <w:pPr>
              <w:pStyle w:val="TableBody"/>
              <w:rPr>
                <w:rFonts w:eastAsia="Calibri"/>
              </w:rPr>
            </w:pPr>
            <w:r w:rsidRPr="002E3C79">
              <w:rPr>
                <w:rFonts w:eastAsia="Calibri"/>
              </w:rPr>
              <w:t xml:space="preserve">476.5875 </w:t>
            </w:r>
            <w:r>
              <w:rPr>
                <w:rFonts w:eastAsia="Calibri"/>
              </w:rPr>
              <w:t>–</w:t>
            </w:r>
            <w:r w:rsidRPr="002E3C79">
              <w:rPr>
                <w:rFonts w:eastAsia="Calibri"/>
              </w:rPr>
              <w:t xml:space="preserve"> Channel 47</w:t>
            </w:r>
          </w:p>
        </w:tc>
        <w:tc>
          <w:tcPr>
            <w:tcW w:w="1559" w:type="dxa"/>
            <w:hideMark/>
          </w:tcPr>
          <w:p w14:paraId="35704125" w14:textId="2F875F26" w:rsidR="00E311BC" w:rsidRPr="002E3C79" w:rsidRDefault="00E311BC" w:rsidP="002E3C79">
            <w:pPr>
              <w:pStyle w:val="TableBody"/>
              <w:rPr>
                <w:rFonts w:eastAsia="Calibri"/>
              </w:rPr>
            </w:pPr>
            <w:r w:rsidRPr="002E3C79">
              <w:rPr>
                <w:rFonts w:eastAsia="Calibri"/>
              </w:rPr>
              <w:t xml:space="preserve">477.325 </w:t>
            </w:r>
            <w:r>
              <w:rPr>
                <w:rFonts w:eastAsia="Calibri"/>
              </w:rPr>
              <w:t>–</w:t>
            </w:r>
            <w:r w:rsidRPr="002E3C79">
              <w:rPr>
                <w:rFonts w:eastAsia="Calibri"/>
              </w:rPr>
              <w:t xml:space="preserve"> Channel 37</w:t>
            </w:r>
          </w:p>
        </w:tc>
        <w:tc>
          <w:tcPr>
            <w:tcW w:w="1843" w:type="dxa"/>
            <w:hideMark/>
          </w:tcPr>
          <w:p w14:paraId="2E7FF458" w14:textId="3120F17A" w:rsidR="00E311BC" w:rsidRPr="002E3C79" w:rsidRDefault="00E311BC" w:rsidP="002E3C79">
            <w:pPr>
              <w:pStyle w:val="TableBody"/>
              <w:rPr>
                <w:rFonts w:eastAsia="Calibri"/>
              </w:rPr>
            </w:pPr>
            <w:r w:rsidRPr="002E3C79">
              <w:rPr>
                <w:rFonts w:eastAsia="Calibri"/>
              </w:rPr>
              <w:t xml:space="preserve">477.3375 </w:t>
            </w:r>
            <w:r>
              <w:rPr>
                <w:rFonts w:eastAsia="Calibri"/>
              </w:rPr>
              <w:t>–</w:t>
            </w:r>
            <w:r w:rsidRPr="002E3C79">
              <w:rPr>
                <w:rFonts w:eastAsia="Calibri"/>
              </w:rPr>
              <w:t xml:space="preserve"> Channel 77</w:t>
            </w:r>
          </w:p>
        </w:tc>
      </w:tr>
      <w:tr w:rsidR="00E311BC" w:rsidRPr="00E311BC" w14:paraId="085C060E" w14:textId="77777777" w:rsidTr="002E3C79">
        <w:trPr>
          <w:cnfStyle w:val="000000010000" w:firstRow="0" w:lastRow="0" w:firstColumn="0" w:lastColumn="0" w:oddVBand="0" w:evenVBand="0" w:oddHBand="0" w:evenHBand="1" w:firstRowFirstColumn="0" w:firstRowLastColumn="0" w:lastRowFirstColumn="0" w:lastRowLastColumn="0"/>
        </w:trPr>
        <w:tc>
          <w:tcPr>
            <w:tcW w:w="1696" w:type="dxa"/>
            <w:hideMark/>
          </w:tcPr>
          <w:p w14:paraId="56948FBE" w14:textId="4848FE23" w:rsidR="00E311BC" w:rsidRPr="002E3C79" w:rsidRDefault="00E311BC" w:rsidP="002E3C79">
            <w:pPr>
              <w:pStyle w:val="TableBody"/>
              <w:rPr>
                <w:rFonts w:eastAsia="Calibri"/>
              </w:rPr>
            </w:pPr>
            <w:r w:rsidRPr="002E3C79">
              <w:rPr>
                <w:rFonts w:eastAsia="Calibri"/>
              </w:rPr>
              <w:t xml:space="preserve">476.600 </w:t>
            </w:r>
            <w:r>
              <w:rPr>
                <w:rFonts w:eastAsia="Calibri"/>
              </w:rPr>
              <w:t>–</w:t>
            </w:r>
            <w:r w:rsidRPr="002E3C79">
              <w:rPr>
                <w:rFonts w:eastAsia="Calibri"/>
              </w:rPr>
              <w:t xml:space="preserve"> Channel 8</w:t>
            </w:r>
          </w:p>
        </w:tc>
        <w:tc>
          <w:tcPr>
            <w:tcW w:w="1843" w:type="dxa"/>
            <w:hideMark/>
          </w:tcPr>
          <w:p w14:paraId="1C5B415F" w14:textId="32DAAEED" w:rsidR="00E311BC" w:rsidRPr="002E3C79" w:rsidRDefault="00E311BC" w:rsidP="002E3C79">
            <w:pPr>
              <w:pStyle w:val="TableBody"/>
              <w:rPr>
                <w:rFonts w:eastAsia="Calibri"/>
              </w:rPr>
            </w:pPr>
            <w:r w:rsidRPr="002E3C79">
              <w:rPr>
                <w:rFonts w:eastAsia="Calibri"/>
              </w:rPr>
              <w:t xml:space="preserve">476.6125 </w:t>
            </w:r>
            <w:r>
              <w:rPr>
                <w:rFonts w:eastAsia="Calibri"/>
              </w:rPr>
              <w:t>–</w:t>
            </w:r>
            <w:r w:rsidRPr="002E3C79">
              <w:rPr>
                <w:rFonts w:eastAsia="Calibri"/>
              </w:rPr>
              <w:t xml:space="preserve"> Channel 48</w:t>
            </w:r>
          </w:p>
        </w:tc>
        <w:tc>
          <w:tcPr>
            <w:tcW w:w="1559" w:type="dxa"/>
            <w:hideMark/>
          </w:tcPr>
          <w:p w14:paraId="73E788B7" w14:textId="41575E6D" w:rsidR="00E311BC" w:rsidRPr="002E3C79" w:rsidRDefault="00E311BC" w:rsidP="002E3C79">
            <w:pPr>
              <w:pStyle w:val="TableBody"/>
              <w:rPr>
                <w:rFonts w:eastAsia="Calibri"/>
              </w:rPr>
            </w:pPr>
            <w:r w:rsidRPr="002E3C79">
              <w:rPr>
                <w:rFonts w:eastAsia="Calibri"/>
              </w:rPr>
              <w:t xml:space="preserve">477.350 </w:t>
            </w:r>
            <w:r>
              <w:rPr>
                <w:rFonts w:eastAsia="Calibri"/>
              </w:rPr>
              <w:t>–</w:t>
            </w:r>
            <w:r w:rsidRPr="002E3C79">
              <w:rPr>
                <w:rFonts w:eastAsia="Calibri"/>
              </w:rPr>
              <w:t xml:space="preserve"> Channel 38</w:t>
            </w:r>
          </w:p>
        </w:tc>
        <w:tc>
          <w:tcPr>
            <w:tcW w:w="1843" w:type="dxa"/>
            <w:hideMark/>
          </w:tcPr>
          <w:p w14:paraId="1474BEF5" w14:textId="2C4ED7C3" w:rsidR="00E311BC" w:rsidRPr="002E3C79" w:rsidRDefault="00E311BC" w:rsidP="002E3C79">
            <w:pPr>
              <w:pStyle w:val="TableBody"/>
              <w:rPr>
                <w:rFonts w:eastAsia="Calibri"/>
              </w:rPr>
            </w:pPr>
            <w:r w:rsidRPr="002E3C79">
              <w:rPr>
                <w:rFonts w:eastAsia="Calibri"/>
              </w:rPr>
              <w:t xml:space="preserve">477.3625 </w:t>
            </w:r>
            <w:r>
              <w:rPr>
                <w:rFonts w:eastAsia="Calibri"/>
              </w:rPr>
              <w:t>–</w:t>
            </w:r>
            <w:r w:rsidRPr="002E3C79">
              <w:rPr>
                <w:rFonts w:eastAsia="Calibri"/>
              </w:rPr>
              <w:t xml:space="preserve"> Channel 78</w:t>
            </w:r>
          </w:p>
        </w:tc>
      </w:tr>
    </w:tbl>
    <w:p w14:paraId="08AE225C" w14:textId="2E5984F6" w:rsidR="00FF3C69" w:rsidRPr="00A17B1B" w:rsidRDefault="00E311BC" w:rsidP="002E3C79">
      <w:pPr>
        <w:pStyle w:val="Tableorfigurenote"/>
      </w:pPr>
      <w:r w:rsidRPr="002E3C79">
        <w:rPr>
          <w:rFonts w:eastAsia="Calibri"/>
        </w:rPr>
        <w:t xml:space="preserve">* Emergency </w:t>
      </w:r>
      <w:r>
        <w:rPr>
          <w:rFonts w:eastAsia="Calibri"/>
        </w:rPr>
        <w:t>c</w:t>
      </w:r>
      <w:r w:rsidRPr="002E3C79">
        <w:rPr>
          <w:rFonts w:eastAsia="Calibri"/>
        </w:rPr>
        <w:t xml:space="preserve">hannel </w:t>
      </w:r>
      <w:r>
        <w:rPr>
          <w:rFonts w:eastAsia="Calibri"/>
        </w:rPr>
        <w:t>p</w:t>
      </w:r>
      <w:r w:rsidRPr="002E3C79">
        <w:rPr>
          <w:rFonts w:eastAsia="Calibri"/>
        </w:rPr>
        <w:t>air – these channels are for emergency communications use only. For further information</w:t>
      </w:r>
      <w:r>
        <w:rPr>
          <w:rFonts w:eastAsia="Calibri"/>
        </w:rPr>
        <w:t>,</w:t>
      </w:r>
      <w:r w:rsidRPr="002E3C79">
        <w:rPr>
          <w:rFonts w:eastAsia="Calibri"/>
        </w:rPr>
        <w:t xml:space="preserve"> refer to the </w:t>
      </w:r>
      <w:hyperlink r:id="rId30" w:history="1">
        <w:r w:rsidRPr="00E311BC">
          <w:rPr>
            <w:rStyle w:val="Hyperlink"/>
            <w:color w:val="auto"/>
            <w:u w:val="none"/>
          </w:rPr>
          <w:t>Radiocommunications (Citizen Band Radio Stations) Class Licence 2015</w:t>
        </w:r>
      </w:hyperlink>
      <w:r w:rsidRPr="002E3C79">
        <w:rPr>
          <w:rFonts w:eastAsia="Calibri"/>
        </w:rPr>
        <w:t>.</w:t>
      </w:r>
    </w:p>
    <w:sectPr w:rsidR="00FF3C69" w:rsidRPr="00A17B1B" w:rsidSect="00C77380">
      <w:headerReference w:type="even" r:id="rId31"/>
      <w:headerReference w:type="default" r:id="rId32"/>
      <w:footerReference w:type="even" r:id="rId33"/>
      <w:footerReference w:type="default" r:id="rId34"/>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F8AB" w14:textId="77777777" w:rsidR="000744C9" w:rsidRDefault="000744C9">
      <w:r>
        <w:separator/>
      </w:r>
    </w:p>
  </w:endnote>
  <w:endnote w:type="continuationSeparator" w:id="0">
    <w:p w14:paraId="0C02AAC9" w14:textId="77777777" w:rsidR="000744C9" w:rsidRDefault="00074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F269" w14:textId="77777777" w:rsidR="005E250B" w:rsidRDefault="005E250B" w:rsidP="005E250B">
    <w:pPr>
      <w:pStyle w:val="Footer"/>
      <w:jc w:val="right"/>
    </w:pPr>
    <w:r w:rsidRPr="005E250B">
      <w:rPr>
        <w:noProof/>
        <w:vertAlign w:val="subscript"/>
      </w:rPr>
      <w:drawing>
        <wp:inline distT="0" distB="0" distL="0" distR="0" wp14:anchorId="009919F7" wp14:editId="0C85BD4D">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A4EE"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BEC0"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F20C8"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3F494B15"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A31A"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7FEFE57F"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B29D5"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55B0A559"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5DAC"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6AFA83FF"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C745"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58E86A25"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77D4" w14:textId="77777777" w:rsidR="000744C9" w:rsidRDefault="000744C9" w:rsidP="00DB3A64">
      <w:pPr>
        <w:spacing w:after="0"/>
      </w:pPr>
      <w:r>
        <w:separator/>
      </w:r>
    </w:p>
  </w:footnote>
  <w:footnote w:type="continuationSeparator" w:id="0">
    <w:p w14:paraId="35DBBEE3" w14:textId="77777777" w:rsidR="000744C9" w:rsidRDefault="00074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8E4B" w14:textId="77777777" w:rsidR="00C053A1" w:rsidRPr="00A5474E" w:rsidRDefault="00C053A1" w:rsidP="00A5474E">
    <w:pPr>
      <w:pStyle w:val="Header"/>
    </w:pPr>
    <w:r>
      <w:rPr>
        <w:noProof/>
      </w:rPr>
      <w:drawing>
        <wp:inline distT="0" distB="0" distL="0" distR="0" wp14:anchorId="2616A714" wp14:editId="4E146CA7">
          <wp:extent cx="6283434" cy="578076"/>
          <wp:effectExtent l="0" t="0" r="3175"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0F6D"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5057C"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EF1B"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0AC5368F" w14:textId="77777777" w:rsidTr="003B0421">
      <w:trPr>
        <w:trHeight w:hRule="exact" w:val="988"/>
      </w:trPr>
      <w:tc>
        <w:tcPr>
          <w:tcW w:w="7678" w:type="dxa"/>
          <w:shd w:val="clear" w:color="auto" w:fill="auto"/>
        </w:tcPr>
        <w:p w14:paraId="65230009" w14:textId="77777777" w:rsidR="00971914" w:rsidRDefault="00971914" w:rsidP="00971914">
          <w:pPr>
            <w:pStyle w:val="Header"/>
          </w:pPr>
        </w:p>
      </w:tc>
    </w:tr>
    <w:tr w:rsidR="00971914" w14:paraId="5FF060D4" w14:textId="77777777" w:rsidTr="003B0421">
      <w:tc>
        <w:tcPr>
          <w:tcW w:w="7678" w:type="dxa"/>
          <w:shd w:val="clear" w:color="auto" w:fill="auto"/>
        </w:tcPr>
        <w:p w14:paraId="4ACAC4E5" w14:textId="77777777" w:rsidR="00971914" w:rsidRDefault="00971914" w:rsidP="00971914">
          <w:pPr>
            <w:pStyle w:val="GridTable31"/>
          </w:pPr>
          <w:r>
            <w:t xml:space="preserve">Contents </w:t>
          </w:r>
          <w:r w:rsidRPr="00915B1C">
            <w:rPr>
              <w:b w:val="0"/>
              <w:spacing w:val="0"/>
              <w:sz w:val="28"/>
              <w:szCs w:val="28"/>
            </w:rPr>
            <w:t>(Continued)</w:t>
          </w:r>
        </w:p>
      </w:tc>
    </w:tr>
    <w:tr w:rsidR="00971914" w14:paraId="0549FF89" w14:textId="77777777" w:rsidTr="003B0421">
      <w:trPr>
        <w:trHeight w:val="1220"/>
      </w:trPr>
      <w:tc>
        <w:tcPr>
          <w:tcW w:w="7678" w:type="dxa"/>
          <w:shd w:val="clear" w:color="auto" w:fill="auto"/>
        </w:tcPr>
        <w:p w14:paraId="23BF847A" w14:textId="77777777" w:rsidR="00971914" w:rsidRDefault="00971914" w:rsidP="00971914"/>
      </w:tc>
    </w:tr>
  </w:tbl>
  <w:p w14:paraId="02DCDBA0"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209CEAD0" w14:textId="77777777" w:rsidTr="003B0421">
      <w:trPr>
        <w:trHeight w:hRule="exact" w:val="988"/>
      </w:trPr>
      <w:tc>
        <w:tcPr>
          <w:tcW w:w="7678" w:type="dxa"/>
          <w:shd w:val="clear" w:color="auto" w:fill="auto"/>
        </w:tcPr>
        <w:p w14:paraId="1DB4152C" w14:textId="77777777" w:rsidR="00971914" w:rsidRDefault="00971914" w:rsidP="00971914">
          <w:pPr>
            <w:pStyle w:val="Header"/>
          </w:pPr>
        </w:p>
      </w:tc>
    </w:tr>
    <w:tr w:rsidR="00971914" w14:paraId="0B9A39EE" w14:textId="77777777" w:rsidTr="003B0421">
      <w:tc>
        <w:tcPr>
          <w:tcW w:w="7678" w:type="dxa"/>
          <w:shd w:val="clear" w:color="auto" w:fill="auto"/>
        </w:tcPr>
        <w:p w14:paraId="3EE8FF62" w14:textId="77777777" w:rsidR="00971914" w:rsidRDefault="00971914" w:rsidP="00971914">
          <w:pPr>
            <w:pStyle w:val="GridTable31"/>
          </w:pPr>
          <w:r>
            <w:t xml:space="preserve">Contents </w:t>
          </w:r>
          <w:r w:rsidRPr="00915B1C">
            <w:rPr>
              <w:b w:val="0"/>
              <w:spacing w:val="0"/>
              <w:sz w:val="28"/>
              <w:szCs w:val="28"/>
            </w:rPr>
            <w:t>(Continued)</w:t>
          </w:r>
        </w:p>
      </w:tc>
    </w:tr>
    <w:tr w:rsidR="00971914" w14:paraId="2B8252EB" w14:textId="77777777" w:rsidTr="003B0421">
      <w:trPr>
        <w:trHeight w:val="1220"/>
      </w:trPr>
      <w:tc>
        <w:tcPr>
          <w:tcW w:w="7678" w:type="dxa"/>
          <w:shd w:val="clear" w:color="auto" w:fill="auto"/>
        </w:tcPr>
        <w:p w14:paraId="36AD2572" w14:textId="77777777" w:rsidR="00971914" w:rsidRDefault="00971914" w:rsidP="00971914"/>
      </w:tc>
    </w:tr>
  </w:tbl>
  <w:p w14:paraId="41B3C64E"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A7F4"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1F6F"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C0501B"/>
    <w:multiLevelType w:val="hybridMultilevel"/>
    <w:tmpl w:val="804413B4"/>
    <w:lvl w:ilvl="0" w:tplc="30E8A1E2">
      <w:start w:val="1"/>
      <w:numFmt w:val="decimal"/>
      <w:lvlText w:val="%1."/>
      <w:lvlJc w:val="left"/>
      <w:pPr>
        <w:ind w:left="777" w:hanging="360"/>
      </w:pPr>
      <w:rPr>
        <w:rFonts w:ascii="Arial" w:eastAsia="Times New Roman" w:hAnsi="Arial" w:cs="Arial"/>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44180BE2"/>
    <w:multiLevelType w:val="hybridMultilevel"/>
    <w:tmpl w:val="10782CD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521768">
    <w:abstractNumId w:val="3"/>
  </w:num>
  <w:num w:numId="2" w16cid:durableId="969045093">
    <w:abstractNumId w:val="1"/>
  </w:num>
  <w:num w:numId="3" w16cid:durableId="1714190328">
    <w:abstractNumId w:val="2"/>
  </w:num>
  <w:num w:numId="4" w16cid:durableId="1292904938">
    <w:abstractNumId w:val="0"/>
  </w:num>
  <w:num w:numId="5" w16cid:durableId="1192914688">
    <w:abstractNumId w:val="6"/>
  </w:num>
  <w:num w:numId="6" w16cid:durableId="818768531">
    <w:abstractNumId w:val="10"/>
  </w:num>
  <w:num w:numId="7" w16cid:durableId="636617026">
    <w:abstractNumId w:val="8"/>
  </w:num>
  <w:num w:numId="8" w16cid:durableId="227307242">
    <w:abstractNumId w:val="9"/>
  </w:num>
  <w:num w:numId="9" w16cid:durableId="1325478460">
    <w:abstractNumId w:val="11"/>
  </w:num>
  <w:num w:numId="10" w16cid:durableId="26877423">
    <w:abstractNumId w:val="4"/>
  </w:num>
  <w:num w:numId="11" w16cid:durableId="529613017">
    <w:abstractNumId w:val="2"/>
    <w:lvlOverride w:ilvl="0">
      <w:startOverride w:val="1"/>
    </w:lvlOverride>
  </w:num>
  <w:num w:numId="12" w16cid:durableId="506287035">
    <w:abstractNumId w:val="2"/>
    <w:lvlOverride w:ilvl="0">
      <w:startOverride w:val="1"/>
    </w:lvlOverride>
  </w:num>
  <w:num w:numId="13" w16cid:durableId="386420256">
    <w:abstractNumId w:val="5"/>
  </w:num>
  <w:num w:numId="14" w16cid:durableId="160681439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C9"/>
    <w:rsid w:val="00010667"/>
    <w:rsid w:val="000129D5"/>
    <w:rsid w:val="00015AE7"/>
    <w:rsid w:val="00016E21"/>
    <w:rsid w:val="0001719C"/>
    <w:rsid w:val="0002224E"/>
    <w:rsid w:val="000245E5"/>
    <w:rsid w:val="00026F91"/>
    <w:rsid w:val="0004764C"/>
    <w:rsid w:val="0005011A"/>
    <w:rsid w:val="0005045A"/>
    <w:rsid w:val="00051C1E"/>
    <w:rsid w:val="000539F9"/>
    <w:rsid w:val="00054C27"/>
    <w:rsid w:val="00055EC3"/>
    <w:rsid w:val="000563CE"/>
    <w:rsid w:val="000659B6"/>
    <w:rsid w:val="0006686F"/>
    <w:rsid w:val="0006722A"/>
    <w:rsid w:val="000732CF"/>
    <w:rsid w:val="000744C9"/>
    <w:rsid w:val="00075B96"/>
    <w:rsid w:val="0008196A"/>
    <w:rsid w:val="000915ED"/>
    <w:rsid w:val="0009209D"/>
    <w:rsid w:val="0009463C"/>
    <w:rsid w:val="000969BD"/>
    <w:rsid w:val="000969BF"/>
    <w:rsid w:val="000971BD"/>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10267F"/>
    <w:rsid w:val="00103829"/>
    <w:rsid w:val="00111FCE"/>
    <w:rsid w:val="00113F84"/>
    <w:rsid w:val="001229A5"/>
    <w:rsid w:val="00122C4C"/>
    <w:rsid w:val="0012489B"/>
    <w:rsid w:val="00130017"/>
    <w:rsid w:val="00130F91"/>
    <w:rsid w:val="001349ED"/>
    <w:rsid w:val="00137424"/>
    <w:rsid w:val="00140318"/>
    <w:rsid w:val="00141AD9"/>
    <w:rsid w:val="00146CE6"/>
    <w:rsid w:val="00152903"/>
    <w:rsid w:val="00153FD5"/>
    <w:rsid w:val="0015614F"/>
    <w:rsid w:val="001577C2"/>
    <w:rsid w:val="001633C4"/>
    <w:rsid w:val="001704D5"/>
    <w:rsid w:val="00171591"/>
    <w:rsid w:val="00173981"/>
    <w:rsid w:val="0017719D"/>
    <w:rsid w:val="00181180"/>
    <w:rsid w:val="00183FD7"/>
    <w:rsid w:val="00185CAB"/>
    <w:rsid w:val="001875B7"/>
    <w:rsid w:val="00187CB3"/>
    <w:rsid w:val="0019050A"/>
    <w:rsid w:val="001910D4"/>
    <w:rsid w:val="001976E3"/>
    <w:rsid w:val="001A44EC"/>
    <w:rsid w:val="001B28D9"/>
    <w:rsid w:val="001B58AA"/>
    <w:rsid w:val="001B7E48"/>
    <w:rsid w:val="001C17CE"/>
    <w:rsid w:val="001C36CA"/>
    <w:rsid w:val="001C44D1"/>
    <w:rsid w:val="001C6AEE"/>
    <w:rsid w:val="001C7630"/>
    <w:rsid w:val="001D4DD0"/>
    <w:rsid w:val="001D6D15"/>
    <w:rsid w:val="001F7558"/>
    <w:rsid w:val="00205B57"/>
    <w:rsid w:val="002157E0"/>
    <w:rsid w:val="00216A57"/>
    <w:rsid w:val="00217448"/>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C89"/>
    <w:rsid w:val="0028282F"/>
    <w:rsid w:val="00284A74"/>
    <w:rsid w:val="0029593B"/>
    <w:rsid w:val="00297FC5"/>
    <w:rsid w:val="002A0417"/>
    <w:rsid w:val="002A16D8"/>
    <w:rsid w:val="002A1BC8"/>
    <w:rsid w:val="002A3EF2"/>
    <w:rsid w:val="002B0DED"/>
    <w:rsid w:val="002B19A2"/>
    <w:rsid w:val="002B381A"/>
    <w:rsid w:val="002B4FCC"/>
    <w:rsid w:val="002B7408"/>
    <w:rsid w:val="002B7CFD"/>
    <w:rsid w:val="002C210F"/>
    <w:rsid w:val="002D3600"/>
    <w:rsid w:val="002E3C79"/>
    <w:rsid w:val="002E4DDC"/>
    <w:rsid w:val="00302480"/>
    <w:rsid w:val="00302758"/>
    <w:rsid w:val="00306491"/>
    <w:rsid w:val="003125DD"/>
    <w:rsid w:val="00315BF4"/>
    <w:rsid w:val="003165E6"/>
    <w:rsid w:val="003215B5"/>
    <w:rsid w:val="003221CF"/>
    <w:rsid w:val="003233ED"/>
    <w:rsid w:val="00324D9F"/>
    <w:rsid w:val="00327948"/>
    <w:rsid w:val="0033000F"/>
    <w:rsid w:val="00332011"/>
    <w:rsid w:val="00332518"/>
    <w:rsid w:val="00332925"/>
    <w:rsid w:val="003332ED"/>
    <w:rsid w:val="003368DC"/>
    <w:rsid w:val="00345927"/>
    <w:rsid w:val="00350584"/>
    <w:rsid w:val="00351857"/>
    <w:rsid w:val="00352B70"/>
    <w:rsid w:val="003545E8"/>
    <w:rsid w:val="003610E1"/>
    <w:rsid w:val="003671BE"/>
    <w:rsid w:val="00372485"/>
    <w:rsid w:val="00373200"/>
    <w:rsid w:val="00375EF5"/>
    <w:rsid w:val="003767A5"/>
    <w:rsid w:val="00381D15"/>
    <w:rsid w:val="00385254"/>
    <w:rsid w:val="003A04DB"/>
    <w:rsid w:val="003A5F5B"/>
    <w:rsid w:val="003A789A"/>
    <w:rsid w:val="003B12EC"/>
    <w:rsid w:val="003C77E0"/>
    <w:rsid w:val="003D17D7"/>
    <w:rsid w:val="003D2678"/>
    <w:rsid w:val="003D71A3"/>
    <w:rsid w:val="003E2B8A"/>
    <w:rsid w:val="003F10EE"/>
    <w:rsid w:val="003F16F6"/>
    <w:rsid w:val="003F1B47"/>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4D62"/>
    <w:rsid w:val="0043714F"/>
    <w:rsid w:val="004438B5"/>
    <w:rsid w:val="00447037"/>
    <w:rsid w:val="004511C5"/>
    <w:rsid w:val="0045124D"/>
    <w:rsid w:val="00454596"/>
    <w:rsid w:val="0045605D"/>
    <w:rsid w:val="0046135B"/>
    <w:rsid w:val="00461D47"/>
    <w:rsid w:val="004718CC"/>
    <w:rsid w:val="00481695"/>
    <w:rsid w:val="00495A96"/>
    <w:rsid w:val="00495BB3"/>
    <w:rsid w:val="004962DC"/>
    <w:rsid w:val="004A56BB"/>
    <w:rsid w:val="004A70D6"/>
    <w:rsid w:val="004B1751"/>
    <w:rsid w:val="004C0253"/>
    <w:rsid w:val="004D56FF"/>
    <w:rsid w:val="004E39D3"/>
    <w:rsid w:val="004E508A"/>
    <w:rsid w:val="004E616D"/>
    <w:rsid w:val="004F1BDE"/>
    <w:rsid w:val="004F2CEE"/>
    <w:rsid w:val="004F556E"/>
    <w:rsid w:val="004F591C"/>
    <w:rsid w:val="004F7F44"/>
    <w:rsid w:val="005037B4"/>
    <w:rsid w:val="005079BF"/>
    <w:rsid w:val="0051269A"/>
    <w:rsid w:val="005144FA"/>
    <w:rsid w:val="005219E7"/>
    <w:rsid w:val="00521ED4"/>
    <w:rsid w:val="00525B37"/>
    <w:rsid w:val="00531B9A"/>
    <w:rsid w:val="00531D15"/>
    <w:rsid w:val="00537604"/>
    <w:rsid w:val="00542377"/>
    <w:rsid w:val="005476EB"/>
    <w:rsid w:val="00551782"/>
    <w:rsid w:val="00563EF1"/>
    <w:rsid w:val="00566AB4"/>
    <w:rsid w:val="00575AC5"/>
    <w:rsid w:val="0057605D"/>
    <w:rsid w:val="00581347"/>
    <w:rsid w:val="00581AC9"/>
    <w:rsid w:val="005849F8"/>
    <w:rsid w:val="005938DF"/>
    <w:rsid w:val="00594E9C"/>
    <w:rsid w:val="005A099B"/>
    <w:rsid w:val="005A2D9C"/>
    <w:rsid w:val="005A55FE"/>
    <w:rsid w:val="005A6A11"/>
    <w:rsid w:val="005D2502"/>
    <w:rsid w:val="005D40BB"/>
    <w:rsid w:val="005D47F3"/>
    <w:rsid w:val="005D49BF"/>
    <w:rsid w:val="005D4AA5"/>
    <w:rsid w:val="005D6F4E"/>
    <w:rsid w:val="005D7C73"/>
    <w:rsid w:val="005E250B"/>
    <w:rsid w:val="005E3ACD"/>
    <w:rsid w:val="005E7226"/>
    <w:rsid w:val="005E7A57"/>
    <w:rsid w:val="005F24B0"/>
    <w:rsid w:val="00601B57"/>
    <w:rsid w:val="00604315"/>
    <w:rsid w:val="00604E26"/>
    <w:rsid w:val="0060523F"/>
    <w:rsid w:val="006052CF"/>
    <w:rsid w:val="00607B8D"/>
    <w:rsid w:val="00611F5C"/>
    <w:rsid w:val="00616E09"/>
    <w:rsid w:val="00622A3B"/>
    <w:rsid w:val="00622EEA"/>
    <w:rsid w:val="0062396C"/>
    <w:rsid w:val="00623FF9"/>
    <w:rsid w:val="00627D4E"/>
    <w:rsid w:val="00632B89"/>
    <w:rsid w:val="0063346D"/>
    <w:rsid w:val="00634478"/>
    <w:rsid w:val="00644373"/>
    <w:rsid w:val="00645915"/>
    <w:rsid w:val="006519C3"/>
    <w:rsid w:val="00652B30"/>
    <w:rsid w:val="00656345"/>
    <w:rsid w:val="00656DC6"/>
    <w:rsid w:val="00660EC6"/>
    <w:rsid w:val="00664110"/>
    <w:rsid w:val="00664D17"/>
    <w:rsid w:val="00666520"/>
    <w:rsid w:val="00667C5B"/>
    <w:rsid w:val="00691EB8"/>
    <w:rsid w:val="00692CDE"/>
    <w:rsid w:val="00693073"/>
    <w:rsid w:val="006977FF"/>
    <w:rsid w:val="006A01FA"/>
    <w:rsid w:val="006A0E9E"/>
    <w:rsid w:val="006A25C7"/>
    <w:rsid w:val="006A4AAD"/>
    <w:rsid w:val="006A6DA2"/>
    <w:rsid w:val="006A7AB2"/>
    <w:rsid w:val="006B52DE"/>
    <w:rsid w:val="006B5717"/>
    <w:rsid w:val="006B582F"/>
    <w:rsid w:val="006B5EB2"/>
    <w:rsid w:val="006C0CEB"/>
    <w:rsid w:val="006C1631"/>
    <w:rsid w:val="006C3B1E"/>
    <w:rsid w:val="006C47FD"/>
    <w:rsid w:val="006C5C19"/>
    <w:rsid w:val="006C70A0"/>
    <w:rsid w:val="006D27CB"/>
    <w:rsid w:val="006D2F08"/>
    <w:rsid w:val="006D576C"/>
    <w:rsid w:val="006D5865"/>
    <w:rsid w:val="006E4B1B"/>
    <w:rsid w:val="006E5445"/>
    <w:rsid w:val="006E7D93"/>
    <w:rsid w:val="007029A3"/>
    <w:rsid w:val="00702EA1"/>
    <w:rsid w:val="00706E4E"/>
    <w:rsid w:val="0070791C"/>
    <w:rsid w:val="00710185"/>
    <w:rsid w:val="0071383C"/>
    <w:rsid w:val="007141A7"/>
    <w:rsid w:val="007152CD"/>
    <w:rsid w:val="00715722"/>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14A9"/>
    <w:rsid w:val="00774F88"/>
    <w:rsid w:val="00774FDB"/>
    <w:rsid w:val="007775FC"/>
    <w:rsid w:val="00777BA2"/>
    <w:rsid w:val="00781408"/>
    <w:rsid w:val="00784F7F"/>
    <w:rsid w:val="007878BD"/>
    <w:rsid w:val="00790B0B"/>
    <w:rsid w:val="00796F25"/>
    <w:rsid w:val="007A2E98"/>
    <w:rsid w:val="007A3BA3"/>
    <w:rsid w:val="007A6CC0"/>
    <w:rsid w:val="007A7FEC"/>
    <w:rsid w:val="007B1499"/>
    <w:rsid w:val="007B1BBF"/>
    <w:rsid w:val="007B2960"/>
    <w:rsid w:val="007B355D"/>
    <w:rsid w:val="007B7980"/>
    <w:rsid w:val="007C0DEF"/>
    <w:rsid w:val="007C5D5A"/>
    <w:rsid w:val="007C607F"/>
    <w:rsid w:val="007C6E44"/>
    <w:rsid w:val="007C79DD"/>
    <w:rsid w:val="007D1A97"/>
    <w:rsid w:val="007D2CD6"/>
    <w:rsid w:val="007D3063"/>
    <w:rsid w:val="007D3CEB"/>
    <w:rsid w:val="007E3375"/>
    <w:rsid w:val="007E7683"/>
    <w:rsid w:val="007F49FA"/>
    <w:rsid w:val="007F54C4"/>
    <w:rsid w:val="007F6E9A"/>
    <w:rsid w:val="00800CCD"/>
    <w:rsid w:val="008044D4"/>
    <w:rsid w:val="00810AB4"/>
    <w:rsid w:val="00817B56"/>
    <w:rsid w:val="00821A88"/>
    <w:rsid w:val="0082495D"/>
    <w:rsid w:val="00831AC3"/>
    <w:rsid w:val="00836FCE"/>
    <w:rsid w:val="008408FF"/>
    <w:rsid w:val="00851F3F"/>
    <w:rsid w:val="0085618F"/>
    <w:rsid w:val="00856EDC"/>
    <w:rsid w:val="008623B5"/>
    <w:rsid w:val="00870ABA"/>
    <w:rsid w:val="008710E1"/>
    <w:rsid w:val="008716E5"/>
    <w:rsid w:val="00881CA9"/>
    <w:rsid w:val="0088339A"/>
    <w:rsid w:val="00883628"/>
    <w:rsid w:val="00885544"/>
    <w:rsid w:val="0088634E"/>
    <w:rsid w:val="00893AB8"/>
    <w:rsid w:val="008A04C8"/>
    <w:rsid w:val="008A6913"/>
    <w:rsid w:val="008B70F3"/>
    <w:rsid w:val="008B71C4"/>
    <w:rsid w:val="008B76DF"/>
    <w:rsid w:val="008C10F4"/>
    <w:rsid w:val="008C65F7"/>
    <w:rsid w:val="008E4767"/>
    <w:rsid w:val="008E7A8C"/>
    <w:rsid w:val="0090203B"/>
    <w:rsid w:val="00902432"/>
    <w:rsid w:val="00903285"/>
    <w:rsid w:val="00906F40"/>
    <w:rsid w:val="0090731E"/>
    <w:rsid w:val="00915B1C"/>
    <w:rsid w:val="009174F3"/>
    <w:rsid w:val="0091797D"/>
    <w:rsid w:val="00923CBA"/>
    <w:rsid w:val="009242EB"/>
    <w:rsid w:val="00926703"/>
    <w:rsid w:val="00927691"/>
    <w:rsid w:val="00927A5F"/>
    <w:rsid w:val="00930510"/>
    <w:rsid w:val="00935B63"/>
    <w:rsid w:val="0094078F"/>
    <w:rsid w:val="00940FA3"/>
    <w:rsid w:val="00941FB0"/>
    <w:rsid w:val="009426D4"/>
    <w:rsid w:val="00947F25"/>
    <w:rsid w:val="00950159"/>
    <w:rsid w:val="0095490B"/>
    <w:rsid w:val="00960A33"/>
    <w:rsid w:val="00971914"/>
    <w:rsid w:val="00974363"/>
    <w:rsid w:val="00981898"/>
    <w:rsid w:val="0099577C"/>
    <w:rsid w:val="009B24A5"/>
    <w:rsid w:val="009B2601"/>
    <w:rsid w:val="009B4E9E"/>
    <w:rsid w:val="009C1690"/>
    <w:rsid w:val="009C6881"/>
    <w:rsid w:val="009C7759"/>
    <w:rsid w:val="009D043D"/>
    <w:rsid w:val="009D07C8"/>
    <w:rsid w:val="009D1D05"/>
    <w:rsid w:val="009D6C71"/>
    <w:rsid w:val="009E0631"/>
    <w:rsid w:val="009E16D0"/>
    <w:rsid w:val="009E2051"/>
    <w:rsid w:val="009E38FD"/>
    <w:rsid w:val="009F13D6"/>
    <w:rsid w:val="009F4C6B"/>
    <w:rsid w:val="009F78A8"/>
    <w:rsid w:val="00A02AD6"/>
    <w:rsid w:val="00A07096"/>
    <w:rsid w:val="00A07318"/>
    <w:rsid w:val="00A11370"/>
    <w:rsid w:val="00A17B1B"/>
    <w:rsid w:val="00A224CE"/>
    <w:rsid w:val="00A22522"/>
    <w:rsid w:val="00A2440D"/>
    <w:rsid w:val="00A24882"/>
    <w:rsid w:val="00A24AFD"/>
    <w:rsid w:val="00A24F5C"/>
    <w:rsid w:val="00A32F96"/>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24E8"/>
    <w:rsid w:val="00A967FD"/>
    <w:rsid w:val="00AA1F0B"/>
    <w:rsid w:val="00AA2DE5"/>
    <w:rsid w:val="00AB156C"/>
    <w:rsid w:val="00AB5A0D"/>
    <w:rsid w:val="00AB6814"/>
    <w:rsid w:val="00AC04BA"/>
    <w:rsid w:val="00AC0E39"/>
    <w:rsid w:val="00AD3082"/>
    <w:rsid w:val="00AD32B4"/>
    <w:rsid w:val="00AD4AD0"/>
    <w:rsid w:val="00AD5436"/>
    <w:rsid w:val="00AD60CD"/>
    <w:rsid w:val="00AD6C8C"/>
    <w:rsid w:val="00AE091D"/>
    <w:rsid w:val="00AE3B60"/>
    <w:rsid w:val="00AE53A1"/>
    <w:rsid w:val="00AF248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92812"/>
    <w:rsid w:val="00BB45A1"/>
    <w:rsid w:val="00BB7686"/>
    <w:rsid w:val="00BC23F9"/>
    <w:rsid w:val="00BC3421"/>
    <w:rsid w:val="00BC732C"/>
    <w:rsid w:val="00BD4421"/>
    <w:rsid w:val="00BD7249"/>
    <w:rsid w:val="00BE2580"/>
    <w:rsid w:val="00BE266D"/>
    <w:rsid w:val="00BE35CB"/>
    <w:rsid w:val="00BE3938"/>
    <w:rsid w:val="00BE4C11"/>
    <w:rsid w:val="00BE6805"/>
    <w:rsid w:val="00BE71C0"/>
    <w:rsid w:val="00BF610C"/>
    <w:rsid w:val="00C0060B"/>
    <w:rsid w:val="00C01A6C"/>
    <w:rsid w:val="00C0277D"/>
    <w:rsid w:val="00C053A1"/>
    <w:rsid w:val="00C16198"/>
    <w:rsid w:val="00C2083D"/>
    <w:rsid w:val="00C24A53"/>
    <w:rsid w:val="00C34A05"/>
    <w:rsid w:val="00C35CCE"/>
    <w:rsid w:val="00C4032F"/>
    <w:rsid w:val="00C44047"/>
    <w:rsid w:val="00C45155"/>
    <w:rsid w:val="00C5498F"/>
    <w:rsid w:val="00C55235"/>
    <w:rsid w:val="00C55D36"/>
    <w:rsid w:val="00C64CD0"/>
    <w:rsid w:val="00C6684F"/>
    <w:rsid w:val="00C70E70"/>
    <w:rsid w:val="00C75F8D"/>
    <w:rsid w:val="00C77380"/>
    <w:rsid w:val="00C82940"/>
    <w:rsid w:val="00C87E8A"/>
    <w:rsid w:val="00C97736"/>
    <w:rsid w:val="00CA345A"/>
    <w:rsid w:val="00CB1E82"/>
    <w:rsid w:val="00CB4BA8"/>
    <w:rsid w:val="00CB52D7"/>
    <w:rsid w:val="00CC6732"/>
    <w:rsid w:val="00CE0BB5"/>
    <w:rsid w:val="00CE3017"/>
    <w:rsid w:val="00CE3C96"/>
    <w:rsid w:val="00CE51A8"/>
    <w:rsid w:val="00CF369B"/>
    <w:rsid w:val="00D00E28"/>
    <w:rsid w:val="00D0269E"/>
    <w:rsid w:val="00D0520C"/>
    <w:rsid w:val="00D05D6C"/>
    <w:rsid w:val="00D15810"/>
    <w:rsid w:val="00D16D4E"/>
    <w:rsid w:val="00D16FE3"/>
    <w:rsid w:val="00D27F41"/>
    <w:rsid w:val="00D36441"/>
    <w:rsid w:val="00D4064E"/>
    <w:rsid w:val="00D414E9"/>
    <w:rsid w:val="00D42EF0"/>
    <w:rsid w:val="00D44E9B"/>
    <w:rsid w:val="00D45FD2"/>
    <w:rsid w:val="00D47AEB"/>
    <w:rsid w:val="00D50DB9"/>
    <w:rsid w:val="00D51302"/>
    <w:rsid w:val="00D52C43"/>
    <w:rsid w:val="00D6507F"/>
    <w:rsid w:val="00D730BC"/>
    <w:rsid w:val="00D73912"/>
    <w:rsid w:val="00D85226"/>
    <w:rsid w:val="00D87B94"/>
    <w:rsid w:val="00D92D49"/>
    <w:rsid w:val="00D92EC1"/>
    <w:rsid w:val="00D96071"/>
    <w:rsid w:val="00D96DEA"/>
    <w:rsid w:val="00DA4E41"/>
    <w:rsid w:val="00DB117A"/>
    <w:rsid w:val="00DB3A64"/>
    <w:rsid w:val="00DB5173"/>
    <w:rsid w:val="00DB7873"/>
    <w:rsid w:val="00DC187B"/>
    <w:rsid w:val="00DC7DEF"/>
    <w:rsid w:val="00DD1A43"/>
    <w:rsid w:val="00DD73C2"/>
    <w:rsid w:val="00DE319B"/>
    <w:rsid w:val="00DF0799"/>
    <w:rsid w:val="00DF2237"/>
    <w:rsid w:val="00DF34FE"/>
    <w:rsid w:val="00DF56AA"/>
    <w:rsid w:val="00DF56AF"/>
    <w:rsid w:val="00DF78E7"/>
    <w:rsid w:val="00E110E0"/>
    <w:rsid w:val="00E11E68"/>
    <w:rsid w:val="00E15371"/>
    <w:rsid w:val="00E23372"/>
    <w:rsid w:val="00E24104"/>
    <w:rsid w:val="00E302D0"/>
    <w:rsid w:val="00E311BC"/>
    <w:rsid w:val="00E35707"/>
    <w:rsid w:val="00E36AA1"/>
    <w:rsid w:val="00E41ECB"/>
    <w:rsid w:val="00E42676"/>
    <w:rsid w:val="00E54FDB"/>
    <w:rsid w:val="00E5617D"/>
    <w:rsid w:val="00E563D7"/>
    <w:rsid w:val="00E663F4"/>
    <w:rsid w:val="00E666F2"/>
    <w:rsid w:val="00E66DD4"/>
    <w:rsid w:val="00E748CC"/>
    <w:rsid w:val="00E75415"/>
    <w:rsid w:val="00E775B1"/>
    <w:rsid w:val="00E8152A"/>
    <w:rsid w:val="00E93629"/>
    <w:rsid w:val="00E93B5C"/>
    <w:rsid w:val="00E94CEC"/>
    <w:rsid w:val="00EA04EF"/>
    <w:rsid w:val="00EA6F19"/>
    <w:rsid w:val="00EB7090"/>
    <w:rsid w:val="00EC1BBE"/>
    <w:rsid w:val="00EC2B68"/>
    <w:rsid w:val="00EC3AEF"/>
    <w:rsid w:val="00EC5CD7"/>
    <w:rsid w:val="00EE5FB3"/>
    <w:rsid w:val="00EE7F79"/>
    <w:rsid w:val="00EF715A"/>
    <w:rsid w:val="00F01BC3"/>
    <w:rsid w:val="00F04366"/>
    <w:rsid w:val="00F06E14"/>
    <w:rsid w:val="00F11147"/>
    <w:rsid w:val="00F179D4"/>
    <w:rsid w:val="00F33C56"/>
    <w:rsid w:val="00F347C7"/>
    <w:rsid w:val="00F34848"/>
    <w:rsid w:val="00F42D46"/>
    <w:rsid w:val="00F4496C"/>
    <w:rsid w:val="00F44F3A"/>
    <w:rsid w:val="00F45DD5"/>
    <w:rsid w:val="00F51F10"/>
    <w:rsid w:val="00F529A5"/>
    <w:rsid w:val="00F60F00"/>
    <w:rsid w:val="00F614C0"/>
    <w:rsid w:val="00F61C77"/>
    <w:rsid w:val="00F83848"/>
    <w:rsid w:val="00F975E9"/>
    <w:rsid w:val="00FA1B7D"/>
    <w:rsid w:val="00FB309B"/>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400A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CE0BB5"/>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2"/>
    <w:qFormat/>
    <w:rsid w:val="0085618F"/>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semiHidden/>
    <w:rsid w:val="00566AB4"/>
    <w:rPr>
      <w:rFonts w:ascii="Arial" w:hAnsi="Arial"/>
      <w:vertAlign w:val="superscript"/>
    </w:rPr>
  </w:style>
  <w:style w:type="paragraph" w:styleId="FootnoteText">
    <w:name w:val="footnote text"/>
    <w:aliases w:val="Footnote text"/>
    <w:basedOn w:val="Normal"/>
    <w:uiPriority w:val="23"/>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800CCD"/>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C82940"/>
    <w:pPr>
      <w:tabs>
        <w:tab w:val="clear" w:pos="845"/>
        <w:tab w:val="left" w:pos="295"/>
      </w:tabs>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C82940"/>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customStyle="1" w:styleId="ReportTitle0">
    <w:name w:val="Report Title"/>
    <w:basedOn w:val="Normal"/>
    <w:rsid w:val="000744C9"/>
    <w:pPr>
      <w:spacing w:after="0" w:line="560" w:lineRule="exact"/>
    </w:pPr>
    <w:rPr>
      <w:rFonts w:ascii="HelveticaNeueLT Std Med" w:hAnsi="HelveticaNeueLT Std Med"/>
      <w:b/>
      <w:color w:val="4D4D4F"/>
      <w:spacing w:val="-28"/>
      <w:sz w:val="53"/>
    </w:rPr>
  </w:style>
  <w:style w:type="paragraph" w:customStyle="1" w:styleId="TableHeading0">
    <w:name w:val="Table Heading"/>
    <w:basedOn w:val="Normal"/>
    <w:rsid w:val="000744C9"/>
    <w:pPr>
      <w:spacing w:after="0"/>
    </w:pPr>
    <w:rPr>
      <w:rFonts w:ascii="HelveticaNeueLT Std" w:hAnsi="HelveticaNeueLT Std"/>
      <w:b/>
    </w:rPr>
  </w:style>
  <w:style w:type="paragraph" w:styleId="ListParagraph">
    <w:name w:val="List Paragraph"/>
    <w:basedOn w:val="Normal"/>
    <w:uiPriority w:val="34"/>
    <w:qFormat/>
    <w:rsid w:val="00CE3017"/>
    <w:pPr>
      <w:spacing w:after="200" w:line="276" w:lineRule="auto"/>
      <w:ind w:left="720"/>
      <w:contextualSpacing/>
    </w:pPr>
    <w:rPr>
      <w:rFonts w:ascii="Calibri" w:eastAsia="Calibri" w:hAnsi="Calibri"/>
      <w:sz w:val="22"/>
      <w:szCs w:val="22"/>
      <w:lang w:eastAsia="en-US"/>
    </w:rPr>
  </w:style>
  <w:style w:type="paragraph" w:customStyle="1" w:styleId="ACMABodyText">
    <w:name w:val="ACMA Body Text"/>
    <w:rsid w:val="00E311BC"/>
    <w:pPr>
      <w:suppressAutoHyphens/>
      <w:spacing w:before="80" w:after="120" w:line="280" w:lineRule="atLeast"/>
    </w:pPr>
    <w:rPr>
      <w:snapToGrid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5.xml"/><Relationship Id="rId26" Type="http://schemas.openxmlformats.org/officeDocument/2006/relationships/hyperlink" Target="https://www.legislation.gov.au/F2015L00831/latest/text"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hyperlink" Target="https://www.acma.gov.au/sites/default/files/2019-11/RALI%20LM8%20-%20Frequency%20Assignment%20Requirements%20for%20the%20Land%20Mobile%20Service%20-%202016_1.pdf"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mailto:FACPolicyExemptions@acma.gov.au" TargetMode="Externa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acma.gov.au/licences/land-mobile-licence" TargetMode="External"/><Relationship Id="rId28" Type="http://schemas.openxmlformats.org/officeDocument/2006/relationships/hyperlink" Target="mailto:info@acma.gov.au"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yperlink" Target="https://web.acma.gov.au/pls/radcom/register_search.main_page" TargetMode="External"/><Relationship Id="rId30" Type="http://schemas.openxmlformats.org/officeDocument/2006/relationships/hyperlink" Target="https://www.legislation.gov.au/F2015L00876/latest/text" TargetMode="External"/><Relationship Id="rId35" Type="http://schemas.openxmlformats.org/officeDocument/2006/relationships/fontTable" Target="fontTable.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6DBA-C773-4DAC-958D-07E48CB3D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1213</Words>
  <Characters>6552</Characters>
  <Application>Microsoft Office Word</Application>
  <DocSecurity>0</DocSecurity>
  <Lines>242</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2024-05-24T05:40:00Z</dcterms:created>
  <dcterms:modified xsi:type="dcterms:W3CDTF">2024-05-24T05:40:00Z</dcterms:modified>
  <cp:category/>
</cp:coreProperties>
</file>