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385" w14:textId="4A825967" w:rsidR="00F06E14" w:rsidRPr="00E162C4" w:rsidRDefault="00D568AF" w:rsidP="00A51D1A">
      <w:pPr>
        <w:pStyle w:val="Reporttitle"/>
      </w:pPr>
      <w:r>
        <w:t xml:space="preserve">Remaking the </w:t>
      </w:r>
      <w:r w:rsidRPr="00D568AF">
        <w:t xml:space="preserve">Radiocommunications (Cordless Communications Devices) </w:t>
      </w:r>
      <w:r w:rsidR="006E2D0A">
        <w:br/>
      </w:r>
      <w:r w:rsidRPr="00D568AF">
        <w:t xml:space="preserve">Class Licence 2014 </w:t>
      </w:r>
    </w:p>
    <w:p w14:paraId="7FCF44D0" w14:textId="6D3B5BAC" w:rsidR="00F06E14" w:rsidRPr="00E162C4" w:rsidRDefault="00770B3F" w:rsidP="00F06E14">
      <w:pPr>
        <w:pStyle w:val="Reportsubtitle"/>
      </w:pPr>
      <w:r w:rsidRPr="00E162C4">
        <w:t xml:space="preserve">Consultation </w:t>
      </w:r>
      <w:r w:rsidR="00D568AF">
        <w:t>paper</w:t>
      </w:r>
    </w:p>
    <w:p w14:paraId="4D8FD50D" w14:textId="5D70612E" w:rsidR="00C97736" w:rsidRPr="00E162C4" w:rsidRDefault="00D568AF"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April </w:t>
      </w:r>
      <w:r w:rsidR="00BD4421" w:rsidRPr="00E162C4">
        <w:t>20</w:t>
      </w:r>
      <w:r w:rsidR="008E0428" w:rsidRPr="00E162C4">
        <w:t>2</w:t>
      </w:r>
      <w:r w:rsidR="00D04C32">
        <w:t>4</w:t>
      </w:r>
    </w:p>
    <w:p w14:paraId="21ED265F" w14:textId="77777777" w:rsidR="0005011A" w:rsidRPr="00E162C4" w:rsidRDefault="0005011A" w:rsidP="00FC07B9">
      <w:pPr>
        <w:pStyle w:val="ACMACorporateAddressHeader"/>
      </w:pPr>
      <w:r w:rsidRPr="00E162C4">
        <w:lastRenderedPageBreak/>
        <w:t>Canberra</w:t>
      </w:r>
    </w:p>
    <w:p w14:paraId="21E5CB67" w14:textId="77777777" w:rsidR="0005011A" w:rsidRPr="00E162C4" w:rsidRDefault="00C7746C" w:rsidP="00FC07B9">
      <w:pPr>
        <w:pStyle w:val="ACMACorporateAddresses"/>
      </w:pPr>
      <w:r>
        <w:t>Level 3</w:t>
      </w:r>
      <w:r>
        <w:br/>
        <w:t>40 Cameron Avenue</w:t>
      </w:r>
      <w:r w:rsidR="0005011A" w:rsidRPr="00E162C4">
        <w:t xml:space="preserve"> </w:t>
      </w:r>
      <w:r w:rsidR="0005011A" w:rsidRPr="00E162C4">
        <w:br/>
        <w:t>Belconnen ACT</w:t>
      </w:r>
    </w:p>
    <w:p w14:paraId="07B8ED70" w14:textId="77777777" w:rsidR="0005011A" w:rsidRPr="00E162C4" w:rsidRDefault="0005011A" w:rsidP="00FC07B9">
      <w:pPr>
        <w:pStyle w:val="ACMACorporateAddresses"/>
      </w:pPr>
      <w:r w:rsidRPr="00E162C4">
        <w:t>PO Box 78</w:t>
      </w:r>
      <w:r w:rsidRPr="00E162C4">
        <w:br/>
        <w:t>Belconnen ACT 2616</w:t>
      </w:r>
    </w:p>
    <w:p w14:paraId="5C798BF2"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3DFAADD6" w14:textId="77777777" w:rsidR="0005011A" w:rsidRPr="00E162C4" w:rsidRDefault="0005011A" w:rsidP="00FC07B9">
      <w:pPr>
        <w:pStyle w:val="ACMACorporateAddressHeader"/>
      </w:pPr>
      <w:r w:rsidRPr="00E162C4">
        <w:t>Melbourne</w:t>
      </w:r>
    </w:p>
    <w:p w14:paraId="54EBCC4C"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5096C7A"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593819B"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06DFBF66" w14:textId="77777777" w:rsidR="0005011A" w:rsidRPr="00E162C4" w:rsidRDefault="0005011A" w:rsidP="00FC07B9">
      <w:pPr>
        <w:pStyle w:val="ACMACorporateAddressHeader"/>
      </w:pPr>
      <w:r w:rsidRPr="00E162C4">
        <w:t>Sydney</w:t>
      </w:r>
    </w:p>
    <w:p w14:paraId="50BE6659"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3694A4F"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9549AB4"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6DBFDBB5" w14:textId="77777777" w:rsidR="00140318" w:rsidRPr="00E162C4" w:rsidRDefault="00140318" w:rsidP="00D04C32">
      <w:pPr>
        <w:pStyle w:val="ACMACopyrightHeader"/>
        <w:spacing w:before="4560"/>
      </w:pPr>
      <w:r w:rsidRPr="00E162C4">
        <w:t>Copyright notice</w:t>
      </w:r>
    </w:p>
    <w:p w14:paraId="745C934E" w14:textId="77777777" w:rsidR="00140318" w:rsidRPr="00E162C4" w:rsidRDefault="00623FF9" w:rsidP="00623FF9">
      <w:pPr>
        <w:pStyle w:val="ACMACClogo"/>
      </w:pPr>
      <w:r w:rsidRPr="00E162C4">
        <w:rPr>
          <w:noProof/>
        </w:rPr>
        <w:drawing>
          <wp:inline distT="0" distB="0" distL="0" distR="0" wp14:anchorId="40190349" wp14:editId="1A9FDA6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E8C0E8D" w14:textId="77777777" w:rsidR="00AA2DE5" w:rsidRPr="00E162C4" w:rsidRDefault="000C0168" w:rsidP="00AA2DE5">
      <w:pPr>
        <w:pStyle w:val="ACMACorporateAddresses"/>
        <w:rPr>
          <w:rStyle w:val="Hyperlink"/>
        </w:rPr>
      </w:pPr>
      <w:hyperlink r:id="rId13" w:history="1">
        <w:r w:rsidR="00AA2DE5" w:rsidRPr="00E162C4">
          <w:rPr>
            <w:rStyle w:val="Hyperlink"/>
          </w:rPr>
          <w:t>https://creativecommons.org/licenses/by/4.0/</w:t>
        </w:r>
      </w:hyperlink>
    </w:p>
    <w:p w14:paraId="7E16EA65" w14:textId="77777777" w:rsidR="00AA2DE5" w:rsidRPr="00E162C4" w:rsidRDefault="00D04C32" w:rsidP="00AA2DE5">
      <w:pPr>
        <w:pStyle w:val="ACMACorporateAddresses"/>
      </w:pPr>
      <w:r>
        <w:t xml:space="preserve">Except for </w:t>
      </w:r>
      <w:r w:rsidR="007C509D">
        <w:t>the Commonwealth</w:t>
      </w:r>
      <w:r w:rsidR="00AA2DE5" w:rsidRPr="00E162C4">
        <w:t xml:space="preserve"> </w:t>
      </w:r>
      <w:r w:rsidR="007C509D">
        <w:t>C</w:t>
      </w:r>
      <w:r w:rsidR="00AA2DE5" w:rsidRPr="00E162C4">
        <w:t xml:space="preserve">oat of </w:t>
      </w:r>
      <w:r w:rsidR="007C509D">
        <w:t>A</w:t>
      </w:r>
      <w:r w:rsidR="00AA2DE5" w:rsidRPr="00E162C4">
        <w:t xml:space="preserve">rms, logos, emblems, images, other third-party material or devices protected by a trademark, this content is made available under the terms of the Creative Commons Attribution 4.0 International (CC BY 4.0) licence. </w:t>
      </w:r>
    </w:p>
    <w:p w14:paraId="502B2737" w14:textId="77777777" w:rsidR="00AA2DE5" w:rsidRPr="00E162C4" w:rsidRDefault="00AA2DE5" w:rsidP="00AA2DE5">
      <w:pPr>
        <w:pStyle w:val="ACMACorporateAddresses"/>
      </w:pPr>
      <w:r w:rsidRPr="00E162C4">
        <w:t>All other rights are reserved.</w:t>
      </w:r>
    </w:p>
    <w:p w14:paraId="228C5302" w14:textId="77777777" w:rsidR="00D04C32" w:rsidRDefault="00AA2DE5" w:rsidP="00D16FE3">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7C592806" w14:textId="77777777" w:rsidR="00D16FE3" w:rsidRPr="00D04C32" w:rsidRDefault="00D04C32" w:rsidP="00D16FE3">
      <w:pPr>
        <w:pStyle w:val="ACMACorporateAddresses"/>
        <w:rPr>
          <w:rStyle w:val="Hyperlink"/>
          <w:color w:val="auto"/>
          <w:u w:val="none"/>
        </w:rPr>
      </w:pPr>
      <w:r w:rsidRPr="00E162C4">
        <w:t>We request attribution as © Commonwealth of Australia (Australian Communications and Media Authority) 202</w:t>
      </w:r>
      <w:r>
        <w:t>4</w:t>
      </w:r>
      <w:r w:rsidRPr="00E162C4">
        <w:t>.</w:t>
      </w:r>
      <w:r w:rsidR="00AA2DE5" w:rsidRPr="00E162C4">
        <w:t xml:space="preserve"> </w:t>
      </w:r>
    </w:p>
    <w:p w14:paraId="03616625" w14:textId="77777777" w:rsidR="00D16FE3" w:rsidRPr="00E162C4" w:rsidRDefault="00D16FE3" w:rsidP="00D16FE3">
      <w:pPr>
        <w:pStyle w:val="ACMACorporateAddresses"/>
        <w:sectPr w:rsidR="00D16FE3" w:rsidRPr="00E162C4">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4C15E797" w14:textId="5935CDA1" w:rsidR="001045A5"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3197124" w:history="1">
        <w:r w:rsidR="001045A5" w:rsidRPr="003D1B5B">
          <w:rPr>
            <w:rStyle w:val="Hyperlink"/>
          </w:rPr>
          <w:t>Executive summary</w:t>
        </w:r>
        <w:r w:rsidR="001045A5">
          <w:rPr>
            <w:webHidden/>
          </w:rPr>
          <w:tab/>
        </w:r>
        <w:r w:rsidR="001045A5">
          <w:rPr>
            <w:webHidden/>
          </w:rPr>
          <w:fldChar w:fldCharType="begin"/>
        </w:r>
        <w:r w:rsidR="001045A5">
          <w:rPr>
            <w:webHidden/>
          </w:rPr>
          <w:instrText xml:space="preserve"> PAGEREF _Toc163197124 \h </w:instrText>
        </w:r>
        <w:r w:rsidR="001045A5">
          <w:rPr>
            <w:webHidden/>
          </w:rPr>
        </w:r>
        <w:r w:rsidR="001045A5">
          <w:rPr>
            <w:webHidden/>
          </w:rPr>
          <w:fldChar w:fldCharType="separate"/>
        </w:r>
        <w:r w:rsidR="001045A5">
          <w:rPr>
            <w:webHidden/>
          </w:rPr>
          <w:t>1</w:t>
        </w:r>
        <w:r w:rsidR="001045A5">
          <w:rPr>
            <w:webHidden/>
          </w:rPr>
          <w:fldChar w:fldCharType="end"/>
        </w:r>
      </w:hyperlink>
    </w:p>
    <w:p w14:paraId="7F6260D2" w14:textId="0AC16CF5"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25" w:history="1">
        <w:r w:rsidR="001045A5" w:rsidRPr="003D1B5B">
          <w:rPr>
            <w:rStyle w:val="Hyperlink"/>
          </w:rPr>
          <w:t>Issues for comment</w:t>
        </w:r>
        <w:r w:rsidR="001045A5">
          <w:rPr>
            <w:webHidden/>
          </w:rPr>
          <w:tab/>
        </w:r>
        <w:r w:rsidR="001045A5">
          <w:rPr>
            <w:webHidden/>
          </w:rPr>
          <w:fldChar w:fldCharType="begin"/>
        </w:r>
        <w:r w:rsidR="001045A5">
          <w:rPr>
            <w:webHidden/>
          </w:rPr>
          <w:instrText xml:space="preserve"> PAGEREF _Toc163197125 \h </w:instrText>
        </w:r>
        <w:r w:rsidR="001045A5">
          <w:rPr>
            <w:webHidden/>
          </w:rPr>
        </w:r>
        <w:r w:rsidR="001045A5">
          <w:rPr>
            <w:webHidden/>
          </w:rPr>
          <w:fldChar w:fldCharType="separate"/>
        </w:r>
        <w:r w:rsidR="001045A5">
          <w:rPr>
            <w:webHidden/>
          </w:rPr>
          <w:t>2</w:t>
        </w:r>
        <w:r w:rsidR="001045A5">
          <w:rPr>
            <w:webHidden/>
          </w:rPr>
          <w:fldChar w:fldCharType="end"/>
        </w:r>
      </w:hyperlink>
    </w:p>
    <w:p w14:paraId="7C2957BD" w14:textId="0557EC08"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26" w:history="1">
        <w:r w:rsidR="001045A5" w:rsidRPr="003D1B5B">
          <w:rPr>
            <w:rStyle w:val="Hyperlink"/>
          </w:rPr>
          <w:t>Introduction</w:t>
        </w:r>
        <w:r w:rsidR="001045A5">
          <w:rPr>
            <w:webHidden/>
          </w:rPr>
          <w:tab/>
        </w:r>
        <w:r w:rsidR="001045A5">
          <w:rPr>
            <w:webHidden/>
          </w:rPr>
          <w:fldChar w:fldCharType="begin"/>
        </w:r>
        <w:r w:rsidR="001045A5">
          <w:rPr>
            <w:webHidden/>
          </w:rPr>
          <w:instrText xml:space="preserve"> PAGEREF _Toc163197126 \h </w:instrText>
        </w:r>
        <w:r w:rsidR="001045A5">
          <w:rPr>
            <w:webHidden/>
          </w:rPr>
        </w:r>
        <w:r w:rsidR="001045A5">
          <w:rPr>
            <w:webHidden/>
          </w:rPr>
          <w:fldChar w:fldCharType="separate"/>
        </w:r>
        <w:r w:rsidR="001045A5">
          <w:rPr>
            <w:webHidden/>
          </w:rPr>
          <w:t>3</w:t>
        </w:r>
        <w:r w:rsidR="001045A5">
          <w:rPr>
            <w:webHidden/>
          </w:rPr>
          <w:fldChar w:fldCharType="end"/>
        </w:r>
      </w:hyperlink>
    </w:p>
    <w:p w14:paraId="5917ECD0" w14:textId="064D88AD"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27" w:history="1">
        <w:r w:rsidR="001045A5" w:rsidRPr="003D1B5B">
          <w:rPr>
            <w:rStyle w:val="Hyperlink"/>
          </w:rPr>
          <w:t>Removal of CCD arrangements in the 800 MHz band</w:t>
        </w:r>
        <w:r w:rsidR="001045A5">
          <w:rPr>
            <w:webHidden/>
          </w:rPr>
          <w:tab/>
        </w:r>
        <w:r w:rsidR="001045A5">
          <w:rPr>
            <w:webHidden/>
          </w:rPr>
          <w:fldChar w:fldCharType="begin"/>
        </w:r>
        <w:r w:rsidR="001045A5">
          <w:rPr>
            <w:webHidden/>
          </w:rPr>
          <w:instrText xml:space="preserve"> PAGEREF _Toc163197127 \h </w:instrText>
        </w:r>
        <w:r w:rsidR="001045A5">
          <w:rPr>
            <w:webHidden/>
          </w:rPr>
        </w:r>
        <w:r w:rsidR="001045A5">
          <w:rPr>
            <w:webHidden/>
          </w:rPr>
          <w:fldChar w:fldCharType="separate"/>
        </w:r>
        <w:r w:rsidR="001045A5">
          <w:rPr>
            <w:webHidden/>
          </w:rPr>
          <w:t>3</w:t>
        </w:r>
        <w:r w:rsidR="001045A5">
          <w:rPr>
            <w:webHidden/>
          </w:rPr>
          <w:fldChar w:fldCharType="end"/>
        </w:r>
      </w:hyperlink>
    </w:p>
    <w:p w14:paraId="05E4CAD9" w14:textId="343C5E37"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28" w:history="1">
        <w:r w:rsidR="001045A5" w:rsidRPr="003D1B5B">
          <w:rPr>
            <w:rStyle w:val="Hyperlink"/>
          </w:rPr>
          <w:t>Updating CCD arrangements in the 1880–1900 MHz band</w:t>
        </w:r>
        <w:r w:rsidR="001045A5">
          <w:rPr>
            <w:webHidden/>
          </w:rPr>
          <w:tab/>
        </w:r>
        <w:r w:rsidR="001045A5">
          <w:rPr>
            <w:webHidden/>
          </w:rPr>
          <w:fldChar w:fldCharType="begin"/>
        </w:r>
        <w:r w:rsidR="001045A5">
          <w:rPr>
            <w:webHidden/>
          </w:rPr>
          <w:instrText xml:space="preserve"> PAGEREF _Toc163197128 \h </w:instrText>
        </w:r>
        <w:r w:rsidR="001045A5">
          <w:rPr>
            <w:webHidden/>
          </w:rPr>
        </w:r>
        <w:r w:rsidR="001045A5">
          <w:rPr>
            <w:webHidden/>
          </w:rPr>
          <w:fldChar w:fldCharType="separate"/>
        </w:r>
        <w:r w:rsidR="001045A5">
          <w:rPr>
            <w:webHidden/>
          </w:rPr>
          <w:t>3</w:t>
        </w:r>
        <w:r w:rsidR="001045A5">
          <w:rPr>
            <w:webHidden/>
          </w:rPr>
          <w:fldChar w:fldCharType="end"/>
        </w:r>
      </w:hyperlink>
    </w:p>
    <w:p w14:paraId="35468DCC" w14:textId="79C2098E"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29" w:history="1">
        <w:r w:rsidR="001045A5" w:rsidRPr="003D1B5B">
          <w:rPr>
            <w:rStyle w:val="Hyperlink"/>
          </w:rPr>
          <w:t>Sunsetting</w:t>
        </w:r>
        <w:r w:rsidR="001045A5">
          <w:rPr>
            <w:webHidden/>
          </w:rPr>
          <w:tab/>
        </w:r>
        <w:r w:rsidR="001045A5">
          <w:rPr>
            <w:webHidden/>
          </w:rPr>
          <w:fldChar w:fldCharType="begin"/>
        </w:r>
        <w:r w:rsidR="001045A5">
          <w:rPr>
            <w:webHidden/>
          </w:rPr>
          <w:instrText xml:space="preserve"> PAGEREF _Toc163197129 \h </w:instrText>
        </w:r>
        <w:r w:rsidR="001045A5">
          <w:rPr>
            <w:webHidden/>
          </w:rPr>
        </w:r>
        <w:r w:rsidR="001045A5">
          <w:rPr>
            <w:webHidden/>
          </w:rPr>
          <w:fldChar w:fldCharType="separate"/>
        </w:r>
        <w:r w:rsidR="001045A5">
          <w:rPr>
            <w:webHidden/>
          </w:rPr>
          <w:t>3</w:t>
        </w:r>
        <w:r w:rsidR="001045A5">
          <w:rPr>
            <w:webHidden/>
          </w:rPr>
          <w:fldChar w:fldCharType="end"/>
        </w:r>
      </w:hyperlink>
    </w:p>
    <w:p w14:paraId="6EBA8FF7" w14:textId="148C007D"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30" w:history="1">
        <w:r w:rsidR="001045A5" w:rsidRPr="003D1B5B">
          <w:rPr>
            <w:rStyle w:val="Hyperlink"/>
          </w:rPr>
          <w:t>Proposed legislative instrument</w:t>
        </w:r>
        <w:r w:rsidR="001045A5">
          <w:rPr>
            <w:webHidden/>
          </w:rPr>
          <w:tab/>
        </w:r>
        <w:r w:rsidR="001045A5">
          <w:rPr>
            <w:webHidden/>
          </w:rPr>
          <w:fldChar w:fldCharType="begin"/>
        </w:r>
        <w:r w:rsidR="001045A5">
          <w:rPr>
            <w:webHidden/>
          </w:rPr>
          <w:instrText xml:space="preserve"> PAGEREF _Toc163197130 \h </w:instrText>
        </w:r>
        <w:r w:rsidR="001045A5">
          <w:rPr>
            <w:webHidden/>
          </w:rPr>
        </w:r>
        <w:r w:rsidR="001045A5">
          <w:rPr>
            <w:webHidden/>
          </w:rPr>
          <w:fldChar w:fldCharType="separate"/>
        </w:r>
        <w:r w:rsidR="001045A5">
          <w:rPr>
            <w:webHidden/>
          </w:rPr>
          <w:t>5</w:t>
        </w:r>
        <w:r w:rsidR="001045A5">
          <w:rPr>
            <w:webHidden/>
          </w:rPr>
          <w:fldChar w:fldCharType="end"/>
        </w:r>
      </w:hyperlink>
    </w:p>
    <w:p w14:paraId="0631F42A" w14:textId="4ED68A25"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31" w:history="1">
        <w:r w:rsidR="001045A5" w:rsidRPr="003D1B5B">
          <w:rPr>
            <w:rStyle w:val="Hyperlink"/>
          </w:rPr>
          <w:t>Frequency ranges</w:t>
        </w:r>
        <w:r w:rsidR="001045A5">
          <w:rPr>
            <w:webHidden/>
          </w:rPr>
          <w:tab/>
        </w:r>
        <w:r w:rsidR="001045A5">
          <w:rPr>
            <w:webHidden/>
          </w:rPr>
          <w:fldChar w:fldCharType="begin"/>
        </w:r>
        <w:r w:rsidR="001045A5">
          <w:rPr>
            <w:webHidden/>
          </w:rPr>
          <w:instrText xml:space="preserve"> PAGEREF _Toc163197131 \h </w:instrText>
        </w:r>
        <w:r w:rsidR="001045A5">
          <w:rPr>
            <w:webHidden/>
          </w:rPr>
        </w:r>
        <w:r w:rsidR="001045A5">
          <w:rPr>
            <w:webHidden/>
          </w:rPr>
          <w:fldChar w:fldCharType="separate"/>
        </w:r>
        <w:r w:rsidR="001045A5">
          <w:rPr>
            <w:webHidden/>
          </w:rPr>
          <w:t>5</w:t>
        </w:r>
        <w:r w:rsidR="001045A5">
          <w:rPr>
            <w:webHidden/>
          </w:rPr>
          <w:fldChar w:fldCharType="end"/>
        </w:r>
      </w:hyperlink>
    </w:p>
    <w:p w14:paraId="4570A56E" w14:textId="4F4DED85"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32" w:history="1">
        <w:r w:rsidR="001045A5" w:rsidRPr="003D1B5B">
          <w:rPr>
            <w:rStyle w:val="Hyperlink"/>
          </w:rPr>
          <w:t>Technology</w:t>
        </w:r>
        <w:r w:rsidR="001045A5">
          <w:rPr>
            <w:webHidden/>
          </w:rPr>
          <w:tab/>
        </w:r>
        <w:r w:rsidR="001045A5">
          <w:rPr>
            <w:webHidden/>
          </w:rPr>
          <w:fldChar w:fldCharType="begin"/>
        </w:r>
        <w:r w:rsidR="001045A5">
          <w:rPr>
            <w:webHidden/>
          </w:rPr>
          <w:instrText xml:space="preserve"> PAGEREF _Toc163197132 \h </w:instrText>
        </w:r>
        <w:r w:rsidR="001045A5">
          <w:rPr>
            <w:webHidden/>
          </w:rPr>
        </w:r>
        <w:r w:rsidR="001045A5">
          <w:rPr>
            <w:webHidden/>
          </w:rPr>
          <w:fldChar w:fldCharType="separate"/>
        </w:r>
        <w:r w:rsidR="001045A5">
          <w:rPr>
            <w:webHidden/>
          </w:rPr>
          <w:t>5</w:t>
        </w:r>
        <w:r w:rsidR="001045A5">
          <w:rPr>
            <w:webHidden/>
          </w:rPr>
          <w:fldChar w:fldCharType="end"/>
        </w:r>
      </w:hyperlink>
    </w:p>
    <w:p w14:paraId="0D875351" w14:textId="4813FDF1"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33" w:history="1">
        <w:r w:rsidR="001045A5" w:rsidRPr="003D1B5B">
          <w:rPr>
            <w:rStyle w:val="Hyperlink"/>
          </w:rPr>
          <w:t>EIRP limits</w:t>
        </w:r>
        <w:r w:rsidR="001045A5">
          <w:rPr>
            <w:webHidden/>
          </w:rPr>
          <w:tab/>
        </w:r>
        <w:r w:rsidR="001045A5">
          <w:rPr>
            <w:webHidden/>
          </w:rPr>
          <w:fldChar w:fldCharType="begin"/>
        </w:r>
        <w:r w:rsidR="001045A5">
          <w:rPr>
            <w:webHidden/>
          </w:rPr>
          <w:instrText xml:space="preserve"> PAGEREF _Toc163197133 \h </w:instrText>
        </w:r>
        <w:r w:rsidR="001045A5">
          <w:rPr>
            <w:webHidden/>
          </w:rPr>
        </w:r>
        <w:r w:rsidR="001045A5">
          <w:rPr>
            <w:webHidden/>
          </w:rPr>
          <w:fldChar w:fldCharType="separate"/>
        </w:r>
        <w:r w:rsidR="001045A5">
          <w:rPr>
            <w:webHidden/>
          </w:rPr>
          <w:t>5</w:t>
        </w:r>
        <w:r w:rsidR="001045A5">
          <w:rPr>
            <w:webHidden/>
          </w:rPr>
          <w:fldChar w:fldCharType="end"/>
        </w:r>
      </w:hyperlink>
    </w:p>
    <w:p w14:paraId="1B94028D" w14:textId="58F91663"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34" w:history="1">
        <w:r w:rsidR="001045A5" w:rsidRPr="003D1B5B">
          <w:rPr>
            <w:rStyle w:val="Hyperlink"/>
          </w:rPr>
          <w:t>Consumer equipment</w:t>
        </w:r>
        <w:r w:rsidR="001045A5">
          <w:rPr>
            <w:webHidden/>
          </w:rPr>
          <w:tab/>
        </w:r>
        <w:r w:rsidR="001045A5">
          <w:rPr>
            <w:webHidden/>
          </w:rPr>
          <w:fldChar w:fldCharType="begin"/>
        </w:r>
        <w:r w:rsidR="001045A5">
          <w:rPr>
            <w:webHidden/>
          </w:rPr>
          <w:instrText xml:space="preserve"> PAGEREF _Toc163197134 \h </w:instrText>
        </w:r>
        <w:r w:rsidR="001045A5">
          <w:rPr>
            <w:webHidden/>
          </w:rPr>
        </w:r>
        <w:r w:rsidR="001045A5">
          <w:rPr>
            <w:webHidden/>
          </w:rPr>
          <w:fldChar w:fldCharType="separate"/>
        </w:r>
        <w:r w:rsidR="001045A5">
          <w:rPr>
            <w:webHidden/>
          </w:rPr>
          <w:t>7</w:t>
        </w:r>
        <w:r w:rsidR="001045A5">
          <w:rPr>
            <w:webHidden/>
          </w:rPr>
          <w:fldChar w:fldCharType="end"/>
        </w:r>
      </w:hyperlink>
    </w:p>
    <w:p w14:paraId="18329093" w14:textId="28496793"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35" w:history="1">
        <w:r w:rsidR="001045A5" w:rsidRPr="003D1B5B">
          <w:rPr>
            <w:rStyle w:val="Hyperlink"/>
          </w:rPr>
          <w:t>Consequential changes to the Equipment Rules</w:t>
        </w:r>
        <w:r w:rsidR="001045A5">
          <w:rPr>
            <w:webHidden/>
          </w:rPr>
          <w:tab/>
        </w:r>
        <w:r w:rsidR="001045A5">
          <w:rPr>
            <w:webHidden/>
          </w:rPr>
          <w:fldChar w:fldCharType="begin"/>
        </w:r>
        <w:r w:rsidR="001045A5">
          <w:rPr>
            <w:webHidden/>
          </w:rPr>
          <w:instrText xml:space="preserve"> PAGEREF _Toc163197135 \h </w:instrText>
        </w:r>
        <w:r w:rsidR="001045A5">
          <w:rPr>
            <w:webHidden/>
          </w:rPr>
        </w:r>
        <w:r w:rsidR="001045A5">
          <w:rPr>
            <w:webHidden/>
          </w:rPr>
          <w:fldChar w:fldCharType="separate"/>
        </w:r>
        <w:r w:rsidR="001045A5">
          <w:rPr>
            <w:webHidden/>
          </w:rPr>
          <w:t>8</w:t>
        </w:r>
        <w:r w:rsidR="001045A5">
          <w:rPr>
            <w:webHidden/>
          </w:rPr>
          <w:fldChar w:fldCharType="end"/>
        </w:r>
      </w:hyperlink>
    </w:p>
    <w:p w14:paraId="66E11777" w14:textId="0E17D042"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36" w:history="1">
        <w:r w:rsidR="001045A5" w:rsidRPr="003D1B5B">
          <w:rPr>
            <w:rStyle w:val="Hyperlink"/>
          </w:rPr>
          <w:t>Future work</w:t>
        </w:r>
        <w:r w:rsidR="001045A5">
          <w:rPr>
            <w:webHidden/>
          </w:rPr>
          <w:tab/>
        </w:r>
        <w:r w:rsidR="001045A5">
          <w:rPr>
            <w:webHidden/>
          </w:rPr>
          <w:fldChar w:fldCharType="begin"/>
        </w:r>
        <w:r w:rsidR="001045A5">
          <w:rPr>
            <w:webHidden/>
          </w:rPr>
          <w:instrText xml:space="preserve"> PAGEREF _Toc163197136 \h </w:instrText>
        </w:r>
        <w:r w:rsidR="001045A5">
          <w:rPr>
            <w:webHidden/>
          </w:rPr>
        </w:r>
        <w:r w:rsidR="001045A5">
          <w:rPr>
            <w:webHidden/>
          </w:rPr>
          <w:fldChar w:fldCharType="separate"/>
        </w:r>
        <w:r w:rsidR="001045A5">
          <w:rPr>
            <w:webHidden/>
          </w:rPr>
          <w:t>9</w:t>
        </w:r>
        <w:r w:rsidR="001045A5">
          <w:rPr>
            <w:webHidden/>
          </w:rPr>
          <w:fldChar w:fldCharType="end"/>
        </w:r>
      </w:hyperlink>
    </w:p>
    <w:p w14:paraId="644E15AE" w14:textId="35851980" w:rsidR="001045A5" w:rsidRDefault="000C0168">
      <w:pPr>
        <w:pStyle w:val="TOC1"/>
        <w:rPr>
          <w:rFonts w:asciiTheme="minorHAnsi" w:eastAsiaTheme="minorEastAsia" w:hAnsiTheme="minorHAnsi" w:cstheme="minorBidi"/>
          <w:b w:val="0"/>
          <w:spacing w:val="0"/>
          <w:kern w:val="2"/>
          <w:sz w:val="22"/>
          <w:szCs w:val="22"/>
          <w14:ligatures w14:val="standardContextual"/>
        </w:rPr>
      </w:pPr>
      <w:hyperlink w:anchor="_Toc163197137" w:history="1">
        <w:r w:rsidR="001045A5" w:rsidRPr="003D1B5B">
          <w:rPr>
            <w:rStyle w:val="Hyperlink"/>
          </w:rPr>
          <w:t>Invitation to comment</w:t>
        </w:r>
        <w:r w:rsidR="001045A5">
          <w:rPr>
            <w:webHidden/>
          </w:rPr>
          <w:tab/>
        </w:r>
        <w:r w:rsidR="001045A5">
          <w:rPr>
            <w:webHidden/>
          </w:rPr>
          <w:fldChar w:fldCharType="begin"/>
        </w:r>
        <w:r w:rsidR="001045A5">
          <w:rPr>
            <w:webHidden/>
          </w:rPr>
          <w:instrText xml:space="preserve"> PAGEREF _Toc163197137 \h </w:instrText>
        </w:r>
        <w:r w:rsidR="001045A5">
          <w:rPr>
            <w:webHidden/>
          </w:rPr>
        </w:r>
        <w:r w:rsidR="001045A5">
          <w:rPr>
            <w:webHidden/>
          </w:rPr>
          <w:fldChar w:fldCharType="separate"/>
        </w:r>
        <w:r w:rsidR="001045A5">
          <w:rPr>
            <w:webHidden/>
          </w:rPr>
          <w:t>10</w:t>
        </w:r>
        <w:r w:rsidR="001045A5">
          <w:rPr>
            <w:webHidden/>
          </w:rPr>
          <w:fldChar w:fldCharType="end"/>
        </w:r>
      </w:hyperlink>
    </w:p>
    <w:p w14:paraId="22A2B22B" w14:textId="4CAB5CDD" w:rsidR="001045A5" w:rsidRDefault="000C0168">
      <w:pPr>
        <w:pStyle w:val="TOC2"/>
        <w:rPr>
          <w:rFonts w:asciiTheme="minorHAnsi" w:eastAsiaTheme="minorEastAsia" w:hAnsiTheme="minorHAnsi" w:cstheme="minorBidi"/>
          <w:spacing w:val="0"/>
          <w:kern w:val="2"/>
          <w:sz w:val="22"/>
          <w:szCs w:val="22"/>
          <w14:ligatures w14:val="standardContextual"/>
        </w:rPr>
      </w:pPr>
      <w:hyperlink w:anchor="_Toc163197138" w:history="1">
        <w:r w:rsidR="001045A5" w:rsidRPr="003D1B5B">
          <w:rPr>
            <w:rStyle w:val="Hyperlink"/>
          </w:rPr>
          <w:t>Making a submission</w:t>
        </w:r>
        <w:r w:rsidR="001045A5">
          <w:rPr>
            <w:webHidden/>
          </w:rPr>
          <w:tab/>
        </w:r>
        <w:r w:rsidR="001045A5">
          <w:rPr>
            <w:webHidden/>
          </w:rPr>
          <w:fldChar w:fldCharType="begin"/>
        </w:r>
        <w:r w:rsidR="001045A5">
          <w:rPr>
            <w:webHidden/>
          </w:rPr>
          <w:instrText xml:space="preserve"> PAGEREF _Toc163197138 \h </w:instrText>
        </w:r>
        <w:r w:rsidR="001045A5">
          <w:rPr>
            <w:webHidden/>
          </w:rPr>
        </w:r>
        <w:r w:rsidR="001045A5">
          <w:rPr>
            <w:webHidden/>
          </w:rPr>
          <w:fldChar w:fldCharType="separate"/>
        </w:r>
        <w:r w:rsidR="001045A5">
          <w:rPr>
            <w:webHidden/>
          </w:rPr>
          <w:t>10</w:t>
        </w:r>
        <w:r w:rsidR="001045A5">
          <w:rPr>
            <w:webHidden/>
          </w:rPr>
          <w:fldChar w:fldCharType="end"/>
        </w:r>
      </w:hyperlink>
    </w:p>
    <w:p w14:paraId="685C0CAA" w14:textId="5699DC0F" w:rsidR="004D56FF" w:rsidRPr="00E162C4" w:rsidRDefault="006A3ECF">
      <w:pPr>
        <w:rPr>
          <w:rFonts w:cs="Arial"/>
        </w:rPr>
        <w:sectPr w:rsidR="004D56FF" w:rsidRPr="00E162C4"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2E5ECB3F" w14:textId="77777777" w:rsidR="009D6C71" w:rsidRPr="00E162C4" w:rsidRDefault="009D6C71" w:rsidP="009174F3">
      <w:pPr>
        <w:pStyle w:val="Execsummaryheading"/>
      </w:pPr>
      <w:bookmarkStart w:id="0" w:name="_Toc163197124"/>
      <w:r w:rsidRPr="00E162C4">
        <w:lastRenderedPageBreak/>
        <w:t>Executive summary</w:t>
      </w:r>
      <w:bookmarkEnd w:id="0"/>
    </w:p>
    <w:p w14:paraId="113542E0" w14:textId="0B90C8FB" w:rsidR="00D568AF" w:rsidRDefault="00D568AF" w:rsidP="00D568AF">
      <w:pPr>
        <w:pStyle w:val="Paragraph"/>
      </w:pPr>
      <w:bookmarkStart w:id="1" w:name="_Toc433122125"/>
      <w:r w:rsidRPr="00D568AF">
        <w:t xml:space="preserve">The </w:t>
      </w:r>
      <w:hyperlink r:id="rId23" w:history="1">
        <w:r w:rsidRPr="008E6FE7">
          <w:rPr>
            <w:rStyle w:val="Hyperlink"/>
          </w:rPr>
          <w:t>Radiocommunications (Cordless Communications Devices) Class Licence 2014</w:t>
        </w:r>
      </w:hyperlink>
      <w:r w:rsidRPr="00696AD0">
        <w:rPr>
          <w:i/>
          <w:iCs/>
        </w:rPr>
        <w:t xml:space="preserve"> (</w:t>
      </w:r>
      <w:r w:rsidRPr="00D568AF">
        <w:t>the CCD class licence) authorises the use of a selection of frequency bands for cordless communications devices. This instrument is due to sunset on 1 April 2025.</w:t>
      </w:r>
    </w:p>
    <w:p w14:paraId="51B64731" w14:textId="438CDCBF" w:rsidR="00D44CA6" w:rsidRDefault="00D44CA6" w:rsidP="008E6FE7">
      <w:pPr>
        <w:pStyle w:val="Paragraphbeforelist"/>
      </w:pPr>
      <w:r>
        <w:t xml:space="preserve">We are reviewing the CCD </w:t>
      </w:r>
      <w:r w:rsidR="00026F72">
        <w:t>c</w:t>
      </w:r>
      <w:r>
        <w:t xml:space="preserve">lass </w:t>
      </w:r>
      <w:r w:rsidR="00026F72">
        <w:t>l</w:t>
      </w:r>
      <w:r>
        <w:t>icence to address the following matters:</w:t>
      </w:r>
    </w:p>
    <w:p w14:paraId="58D61152" w14:textId="21ABBD6F" w:rsidR="00D44CA6" w:rsidRDefault="00D44CA6" w:rsidP="00D44CA6">
      <w:pPr>
        <w:pStyle w:val="ListNumber"/>
        <w:numPr>
          <w:ilvl w:val="0"/>
          <w:numId w:val="21"/>
        </w:numPr>
      </w:pPr>
      <w:r>
        <w:t>Removal of the</w:t>
      </w:r>
      <w:r w:rsidR="00696AD0">
        <w:t xml:space="preserve"> authorisation to use</w:t>
      </w:r>
      <w:r>
        <w:t xml:space="preserve"> 857</w:t>
      </w:r>
      <w:r w:rsidR="00026F72">
        <w:t>–</w:t>
      </w:r>
      <w:r>
        <w:t>861 MHz and 861</w:t>
      </w:r>
      <w:r w:rsidR="00026F72">
        <w:t>–</w:t>
      </w:r>
      <w:r>
        <w:t>865 MHz bands from 1</w:t>
      </w:r>
      <w:r w:rsidR="0005114D">
        <w:t> </w:t>
      </w:r>
      <w:r>
        <w:t xml:space="preserve">July 2024.  </w:t>
      </w:r>
    </w:p>
    <w:p w14:paraId="27634D8F" w14:textId="0A19B015" w:rsidR="00D44CA6" w:rsidRDefault="00D44CA6" w:rsidP="00D44CA6">
      <w:pPr>
        <w:pStyle w:val="Numberlistlevel1"/>
      </w:pPr>
      <w:r>
        <w:t>Updating arrangements in the 1880</w:t>
      </w:r>
      <w:r w:rsidR="00026F72">
        <w:t>–</w:t>
      </w:r>
      <w:r>
        <w:t>1900 MHz band.</w:t>
      </w:r>
    </w:p>
    <w:p w14:paraId="27A32777" w14:textId="77777777" w:rsidR="00D44CA6" w:rsidRDefault="00D44CA6" w:rsidP="00D44CA6">
      <w:pPr>
        <w:pStyle w:val="Numberlistlast"/>
      </w:pPr>
      <w:r>
        <w:t>Remaking the CCD class licence ahead of its sunsetting date of 1 April 2025 to ensure continuity of arrangements for cordless communications devices.</w:t>
      </w:r>
    </w:p>
    <w:p w14:paraId="4B0D49B3" w14:textId="673C548D" w:rsidR="004725B0" w:rsidRDefault="00026F72" w:rsidP="00D568AF">
      <w:pPr>
        <w:pStyle w:val="Paragraph"/>
        <w:rPr>
          <w:szCs w:val="22"/>
        </w:rPr>
      </w:pPr>
      <w:r>
        <w:rPr>
          <w:szCs w:val="22"/>
        </w:rPr>
        <w:t xml:space="preserve">We are </w:t>
      </w:r>
      <w:r w:rsidR="00D44CA6">
        <w:rPr>
          <w:szCs w:val="22"/>
        </w:rPr>
        <w:t>proposing to remake the CCD class licence prior to 1 July 2024</w:t>
      </w:r>
      <w:r w:rsidR="00D568AF">
        <w:rPr>
          <w:szCs w:val="22"/>
        </w:rPr>
        <w:t>. A draft new instrument</w:t>
      </w:r>
      <w:r w:rsidR="00696AD0">
        <w:rPr>
          <w:szCs w:val="22"/>
        </w:rPr>
        <w:t xml:space="preserve"> – </w:t>
      </w:r>
      <w:r w:rsidR="00D568AF">
        <w:rPr>
          <w:szCs w:val="22"/>
        </w:rPr>
        <w:t>t</w:t>
      </w:r>
      <w:r w:rsidR="00D568AF" w:rsidRPr="00D568AF">
        <w:rPr>
          <w:szCs w:val="22"/>
        </w:rPr>
        <w:t xml:space="preserve">he </w:t>
      </w:r>
      <w:r w:rsidR="00D568AF" w:rsidRPr="008E6FE7">
        <w:rPr>
          <w:szCs w:val="22"/>
        </w:rPr>
        <w:t>Radiocommunications (Cordless Communications Devices) Class Licence 2024</w:t>
      </w:r>
      <w:r w:rsidR="00696AD0">
        <w:rPr>
          <w:szCs w:val="22"/>
        </w:rPr>
        <w:t xml:space="preserve"> – </w:t>
      </w:r>
      <w:r w:rsidR="00D568AF">
        <w:rPr>
          <w:szCs w:val="22"/>
        </w:rPr>
        <w:t>is included</w:t>
      </w:r>
      <w:r w:rsidR="001E72DE">
        <w:rPr>
          <w:szCs w:val="22"/>
        </w:rPr>
        <w:t xml:space="preserve"> </w:t>
      </w:r>
      <w:r>
        <w:rPr>
          <w:szCs w:val="22"/>
        </w:rPr>
        <w:t>in the key documents section of this consultation</w:t>
      </w:r>
      <w:r w:rsidR="00D568AF">
        <w:rPr>
          <w:szCs w:val="22"/>
        </w:rPr>
        <w:t xml:space="preserve">. </w:t>
      </w:r>
    </w:p>
    <w:p w14:paraId="21B67D78" w14:textId="3E73A142" w:rsidR="00026F72" w:rsidRDefault="00026F72" w:rsidP="00D568AF">
      <w:pPr>
        <w:pStyle w:val="Paragraph"/>
        <w:rPr>
          <w:szCs w:val="22"/>
        </w:rPr>
      </w:pPr>
      <w:bookmarkStart w:id="2" w:name="_Hlk161311954"/>
      <w:r>
        <w:rPr>
          <w:szCs w:val="22"/>
        </w:rPr>
        <w:t>To</w:t>
      </w:r>
      <w:r w:rsidR="004725B0">
        <w:rPr>
          <w:szCs w:val="22"/>
        </w:rPr>
        <w:t xml:space="preserve"> </w:t>
      </w:r>
      <w:r w:rsidR="004725B0" w:rsidRPr="004725B0">
        <w:rPr>
          <w:szCs w:val="22"/>
        </w:rPr>
        <w:t xml:space="preserve">ensure support for </w:t>
      </w:r>
      <w:r w:rsidR="0005114D">
        <w:rPr>
          <w:szCs w:val="22"/>
        </w:rPr>
        <w:t>f</w:t>
      </w:r>
      <w:r w:rsidR="004725B0" w:rsidRPr="004725B0">
        <w:rPr>
          <w:szCs w:val="22"/>
        </w:rPr>
        <w:t xml:space="preserve">uture </w:t>
      </w:r>
      <w:r>
        <w:rPr>
          <w:szCs w:val="22"/>
        </w:rPr>
        <w:t>d</w:t>
      </w:r>
      <w:r w:rsidR="00696AD0" w:rsidRPr="00696AD0">
        <w:rPr>
          <w:szCs w:val="22"/>
        </w:rPr>
        <w:t xml:space="preserve">igitally </w:t>
      </w:r>
      <w:r>
        <w:rPr>
          <w:szCs w:val="22"/>
        </w:rPr>
        <w:t>e</w:t>
      </w:r>
      <w:r w:rsidR="00696AD0" w:rsidRPr="00696AD0">
        <w:rPr>
          <w:szCs w:val="22"/>
        </w:rPr>
        <w:t xml:space="preserve">nhanced </w:t>
      </w:r>
      <w:r>
        <w:rPr>
          <w:szCs w:val="22"/>
        </w:rPr>
        <w:t>c</w:t>
      </w:r>
      <w:r w:rsidR="00696AD0" w:rsidRPr="00696AD0">
        <w:rPr>
          <w:szCs w:val="22"/>
        </w:rPr>
        <w:t xml:space="preserve">ordless </w:t>
      </w:r>
      <w:r>
        <w:rPr>
          <w:szCs w:val="22"/>
        </w:rPr>
        <w:t>t</w:t>
      </w:r>
      <w:r w:rsidR="00696AD0" w:rsidRPr="00696AD0">
        <w:rPr>
          <w:szCs w:val="22"/>
        </w:rPr>
        <w:t xml:space="preserve">elecommunications </w:t>
      </w:r>
      <w:r w:rsidR="00696AD0">
        <w:rPr>
          <w:szCs w:val="22"/>
        </w:rPr>
        <w:t>(</w:t>
      </w:r>
      <w:r w:rsidR="004725B0" w:rsidRPr="004725B0">
        <w:rPr>
          <w:szCs w:val="22"/>
        </w:rPr>
        <w:t>DECT</w:t>
      </w:r>
      <w:r w:rsidR="00696AD0">
        <w:rPr>
          <w:szCs w:val="22"/>
        </w:rPr>
        <w:t>)</w:t>
      </w:r>
      <w:r w:rsidR="004725B0">
        <w:rPr>
          <w:szCs w:val="22"/>
        </w:rPr>
        <w:t xml:space="preserve"> in </w:t>
      </w:r>
      <w:r w:rsidR="001F7F94">
        <w:rPr>
          <w:szCs w:val="22"/>
        </w:rPr>
        <w:t xml:space="preserve">the </w:t>
      </w:r>
      <w:r w:rsidR="004725B0">
        <w:rPr>
          <w:szCs w:val="22"/>
        </w:rPr>
        <w:t>1880</w:t>
      </w:r>
      <w:r>
        <w:rPr>
          <w:szCs w:val="22"/>
        </w:rPr>
        <w:t>–</w:t>
      </w:r>
      <w:r w:rsidR="004725B0">
        <w:rPr>
          <w:szCs w:val="22"/>
        </w:rPr>
        <w:t>1900</w:t>
      </w:r>
      <w:r w:rsidR="001F7F94">
        <w:rPr>
          <w:szCs w:val="22"/>
        </w:rPr>
        <w:t> </w:t>
      </w:r>
      <w:r w:rsidR="004725B0">
        <w:rPr>
          <w:szCs w:val="22"/>
        </w:rPr>
        <w:t>MHz</w:t>
      </w:r>
      <w:r w:rsidR="001F7F94">
        <w:rPr>
          <w:szCs w:val="22"/>
        </w:rPr>
        <w:t xml:space="preserve"> band</w:t>
      </w:r>
      <w:r w:rsidR="004725B0">
        <w:rPr>
          <w:szCs w:val="22"/>
        </w:rPr>
        <w:t xml:space="preserve">, amendments are required to </w:t>
      </w:r>
      <w:r w:rsidR="004725B0" w:rsidRPr="004725B0">
        <w:rPr>
          <w:szCs w:val="22"/>
        </w:rPr>
        <w:t xml:space="preserve">the </w:t>
      </w:r>
      <w:r w:rsidR="004725B0" w:rsidRPr="008E6FE7">
        <w:rPr>
          <w:szCs w:val="22"/>
        </w:rPr>
        <w:t>Radiocommunications Equipment (General) Rules 2021</w:t>
      </w:r>
      <w:r w:rsidR="004725B0" w:rsidRPr="004725B0">
        <w:rPr>
          <w:szCs w:val="22"/>
        </w:rPr>
        <w:t xml:space="preserve"> (the </w:t>
      </w:r>
      <w:r>
        <w:rPr>
          <w:szCs w:val="22"/>
        </w:rPr>
        <w:t>e</w:t>
      </w:r>
      <w:r w:rsidR="004725B0" w:rsidRPr="004725B0">
        <w:rPr>
          <w:szCs w:val="22"/>
        </w:rPr>
        <w:t xml:space="preserve">quipment </w:t>
      </w:r>
      <w:r>
        <w:rPr>
          <w:szCs w:val="22"/>
        </w:rPr>
        <w:t>r</w:t>
      </w:r>
      <w:r w:rsidR="004725B0" w:rsidRPr="004725B0">
        <w:rPr>
          <w:szCs w:val="22"/>
        </w:rPr>
        <w:t>ules)</w:t>
      </w:r>
      <w:r w:rsidR="005E672D">
        <w:rPr>
          <w:szCs w:val="22"/>
        </w:rPr>
        <w:t xml:space="preserve">. </w:t>
      </w:r>
    </w:p>
    <w:p w14:paraId="5F3AB2FC" w14:textId="19159CEE" w:rsidR="004725B0" w:rsidRDefault="005E672D" w:rsidP="00D568AF">
      <w:pPr>
        <w:pStyle w:val="Paragraph"/>
        <w:rPr>
          <w:szCs w:val="22"/>
        </w:rPr>
      </w:pPr>
      <w:r>
        <w:rPr>
          <w:szCs w:val="22"/>
        </w:rPr>
        <w:t xml:space="preserve">A draft amendment </w:t>
      </w:r>
      <w:r w:rsidR="00696AD0">
        <w:rPr>
          <w:szCs w:val="22"/>
        </w:rPr>
        <w:t xml:space="preserve">instrument – </w:t>
      </w:r>
      <w:r>
        <w:rPr>
          <w:szCs w:val="22"/>
        </w:rPr>
        <w:t>t</w:t>
      </w:r>
      <w:r w:rsidRPr="00D568AF">
        <w:rPr>
          <w:szCs w:val="22"/>
        </w:rPr>
        <w:t xml:space="preserve">he </w:t>
      </w:r>
      <w:r w:rsidRPr="008E6FE7">
        <w:rPr>
          <w:szCs w:val="22"/>
        </w:rPr>
        <w:t>Radiocommunications Equipment (General) Amendment Rules 2024 (No. 1)</w:t>
      </w:r>
      <w:r w:rsidR="00696AD0">
        <w:rPr>
          <w:szCs w:val="22"/>
        </w:rPr>
        <w:t xml:space="preserve"> – </w:t>
      </w:r>
      <w:r>
        <w:rPr>
          <w:szCs w:val="22"/>
        </w:rPr>
        <w:t>is also included for consideration.</w:t>
      </w:r>
    </w:p>
    <w:bookmarkEnd w:id="2"/>
    <w:p w14:paraId="2FEB4DAA" w14:textId="22562A0A" w:rsidR="00D568AF" w:rsidRDefault="00026F72" w:rsidP="00D568AF">
      <w:pPr>
        <w:pStyle w:val="Paragraph"/>
        <w:rPr>
          <w:szCs w:val="22"/>
        </w:rPr>
      </w:pPr>
      <w:r>
        <w:rPr>
          <w:szCs w:val="22"/>
        </w:rPr>
        <w:t>We are seeking your v</w:t>
      </w:r>
      <w:r w:rsidR="00D568AF">
        <w:rPr>
          <w:szCs w:val="22"/>
        </w:rPr>
        <w:t xml:space="preserve">iews on the authorisation of </w:t>
      </w:r>
      <w:r w:rsidR="00D568AF" w:rsidRPr="00D568AF">
        <w:t>cordless communications devices</w:t>
      </w:r>
      <w:r w:rsidR="00D568AF">
        <w:t xml:space="preserve"> into the future</w:t>
      </w:r>
      <w:r>
        <w:t xml:space="preserve">. This </w:t>
      </w:r>
      <w:r w:rsidR="00D568AF">
        <w:t>includ</w:t>
      </w:r>
      <w:r>
        <w:t>es</w:t>
      </w:r>
      <w:r w:rsidR="00D568AF">
        <w:t xml:space="preserve"> the potential to include</w:t>
      </w:r>
      <w:r w:rsidR="0005114D">
        <w:t xml:space="preserve"> the necessary</w:t>
      </w:r>
      <w:r w:rsidR="00D568AF">
        <w:t xml:space="preserve"> arrangements in the </w:t>
      </w:r>
      <w:r w:rsidR="005845DE" w:rsidRPr="008E6FE7">
        <w:t>Radiocommunications (Low Interference Potential Devices) Class Licence</w:t>
      </w:r>
      <w:r w:rsidR="00696AD0" w:rsidRPr="008E6FE7">
        <w:t xml:space="preserve"> 2015</w:t>
      </w:r>
      <w:r w:rsidR="005845DE">
        <w:t>.</w:t>
      </w:r>
    </w:p>
    <w:p w14:paraId="2CD8870C" w14:textId="1BD12418" w:rsidR="00715722" w:rsidRPr="00E162C4" w:rsidRDefault="00715722" w:rsidP="00715722">
      <w:pPr>
        <w:pStyle w:val="Heading1"/>
      </w:pPr>
      <w:bookmarkStart w:id="3" w:name="_Toc163197125"/>
      <w:r w:rsidRPr="00E162C4">
        <w:lastRenderedPageBreak/>
        <w:t>Issues for comment</w:t>
      </w:r>
      <w:bookmarkEnd w:id="1"/>
      <w:bookmarkEnd w:id="3"/>
    </w:p>
    <w:p w14:paraId="1FB3C748" w14:textId="4871AA34" w:rsidR="005E250B" w:rsidRPr="00E162C4" w:rsidRDefault="0014512A" w:rsidP="00D61243">
      <w:pPr>
        <w:pStyle w:val="Paragraph"/>
      </w:pPr>
      <w:r w:rsidRPr="00E162C4">
        <w:t xml:space="preserve">This consultation does not </w:t>
      </w:r>
      <w:r>
        <w:t>pose</w:t>
      </w:r>
      <w:r w:rsidRPr="00E162C4">
        <w:t xml:space="preserve"> specific questions. </w:t>
      </w:r>
      <w:r w:rsidR="00D44CA6">
        <w:t>W</w:t>
      </w:r>
      <w:r w:rsidR="00584B51">
        <w:t xml:space="preserve">e </w:t>
      </w:r>
      <w:r w:rsidR="00715722" w:rsidRPr="00E162C4">
        <w:t xml:space="preserve">welcome </w:t>
      </w:r>
      <w:r w:rsidR="00026F72">
        <w:t xml:space="preserve">your </w:t>
      </w:r>
      <w:r w:rsidR="00584B51">
        <w:t>feedback</w:t>
      </w:r>
      <w:r w:rsidR="00584B51" w:rsidRPr="00E162C4">
        <w:t xml:space="preserve"> </w:t>
      </w:r>
      <w:r w:rsidR="00715722" w:rsidRPr="00E162C4">
        <w:t xml:space="preserve">on the issues raised in this </w:t>
      </w:r>
      <w:r w:rsidR="003545E8" w:rsidRPr="00E162C4">
        <w:t>consultation</w:t>
      </w:r>
      <w:r w:rsidR="00026F72">
        <w:t>,</w:t>
      </w:r>
      <w:r w:rsidR="00715722" w:rsidRPr="00E162C4">
        <w:t xml:space="preserve"> or any other issues relevant to </w:t>
      </w:r>
      <w:r>
        <w:t xml:space="preserve">spectrum </w:t>
      </w:r>
      <w:r w:rsidR="00D44CA6">
        <w:t>arrangements for cordless communications devices</w:t>
      </w:r>
      <w:r w:rsidR="00715722" w:rsidRPr="00E162C4">
        <w:t>.</w:t>
      </w:r>
    </w:p>
    <w:p w14:paraId="4EF0CC3A" w14:textId="0394C93A" w:rsidR="005E250B" w:rsidRPr="00E162C4" w:rsidRDefault="005845DE" w:rsidP="002C0530">
      <w:pPr>
        <w:pStyle w:val="Heading1"/>
      </w:pPr>
      <w:bookmarkStart w:id="4" w:name="_Toc163197126"/>
      <w:r>
        <w:lastRenderedPageBreak/>
        <w:t>Introduction</w:t>
      </w:r>
      <w:bookmarkEnd w:id="4"/>
    </w:p>
    <w:p w14:paraId="20DD1DE1" w14:textId="1719E089" w:rsidR="005845DE" w:rsidRDefault="005845DE" w:rsidP="003253EE">
      <w:pPr>
        <w:pStyle w:val="Paragraph"/>
      </w:pPr>
      <w:bookmarkStart w:id="5" w:name="_Hlk26868779"/>
      <w:r w:rsidRPr="00D568AF">
        <w:t xml:space="preserve">The CCD class licence authorises the use of a selection of frequency bands for </w:t>
      </w:r>
      <w:r w:rsidR="00B15145">
        <w:t>CCD</w:t>
      </w:r>
      <w:r w:rsidRPr="00D568AF">
        <w:t xml:space="preserve">. </w:t>
      </w:r>
      <w:r w:rsidR="00026F72">
        <w:t>This</w:t>
      </w:r>
      <w:r w:rsidR="00026F72" w:rsidRPr="0030350E">
        <w:t xml:space="preserve"> </w:t>
      </w:r>
      <w:r w:rsidR="0030350E" w:rsidRPr="0030350E">
        <w:t>include</w:t>
      </w:r>
      <w:r w:rsidR="00026F72">
        <w:t>s</w:t>
      </w:r>
      <w:r w:rsidR="0030350E" w:rsidRPr="0030350E">
        <w:t xml:space="preserve"> cordless telephones used in both residential and commercial settings</w:t>
      </w:r>
      <w:r w:rsidR="00026F72">
        <w:t xml:space="preserve">, as well as </w:t>
      </w:r>
      <w:r w:rsidR="0030350E" w:rsidRPr="0030350E">
        <w:t>wireless microphones and headsets.</w:t>
      </w:r>
    </w:p>
    <w:p w14:paraId="3DF238F2" w14:textId="4F1BABD5" w:rsidR="005845DE" w:rsidRDefault="005845DE" w:rsidP="008E6FE7">
      <w:pPr>
        <w:pStyle w:val="Paragraphbeforelist"/>
      </w:pPr>
      <w:r>
        <w:t xml:space="preserve">We are reviewing the CCD </w:t>
      </w:r>
      <w:r w:rsidR="00696AD0">
        <w:t>c</w:t>
      </w:r>
      <w:r>
        <w:t xml:space="preserve">lass </w:t>
      </w:r>
      <w:r w:rsidR="00696AD0">
        <w:t>l</w:t>
      </w:r>
      <w:r>
        <w:t>icence to address the following matters</w:t>
      </w:r>
      <w:r w:rsidR="00D44CA6">
        <w:t>:</w:t>
      </w:r>
    </w:p>
    <w:p w14:paraId="4C5F68E0" w14:textId="14C3D33C" w:rsidR="00D44CA6" w:rsidRDefault="00D44CA6" w:rsidP="00B15145">
      <w:pPr>
        <w:pStyle w:val="ListNumber"/>
        <w:numPr>
          <w:ilvl w:val="0"/>
          <w:numId w:val="23"/>
        </w:numPr>
      </w:pPr>
      <w:r>
        <w:t xml:space="preserve">Removal of the </w:t>
      </w:r>
      <w:r w:rsidR="00696AD0">
        <w:t xml:space="preserve">authorisation to operate CCD in the </w:t>
      </w:r>
      <w:r>
        <w:t>857</w:t>
      </w:r>
      <w:r w:rsidR="00026F72">
        <w:t>–</w:t>
      </w:r>
      <w:r>
        <w:t xml:space="preserve">861 MHz and </w:t>
      </w:r>
      <w:r w:rsidR="00026F72">
        <w:br/>
      </w:r>
      <w:r>
        <w:t>861</w:t>
      </w:r>
      <w:r w:rsidR="00026F72">
        <w:t>–</w:t>
      </w:r>
      <w:r>
        <w:t>865</w:t>
      </w:r>
      <w:r w:rsidR="00696AD0">
        <w:t> </w:t>
      </w:r>
      <w:r>
        <w:t xml:space="preserve">MHz bands </w:t>
      </w:r>
      <w:r w:rsidR="0005114D">
        <w:t>from</w:t>
      </w:r>
      <w:r>
        <w:t xml:space="preserve"> 1 July 2024.  </w:t>
      </w:r>
    </w:p>
    <w:p w14:paraId="03473CBC" w14:textId="7CA28F92" w:rsidR="00D44CA6" w:rsidRDefault="00D44CA6" w:rsidP="00D44CA6">
      <w:pPr>
        <w:pStyle w:val="Numberlistlevel1"/>
      </w:pPr>
      <w:r>
        <w:t>Updating arrangements in the 1880</w:t>
      </w:r>
      <w:r w:rsidR="00026F72">
        <w:t>–</w:t>
      </w:r>
      <w:r>
        <w:t>1900 MHz band.</w:t>
      </w:r>
    </w:p>
    <w:p w14:paraId="2B39E571" w14:textId="1293A8D2" w:rsidR="00D44CA6" w:rsidRDefault="00D44CA6" w:rsidP="00D44CA6">
      <w:pPr>
        <w:pStyle w:val="Numberlistlast"/>
      </w:pPr>
      <w:r>
        <w:t>Remaking the CCD class licence ahead of its sunsetting date of 1 April 2025</w:t>
      </w:r>
      <w:r w:rsidR="002A41C9">
        <w:t xml:space="preserve">. This will </w:t>
      </w:r>
      <w:r>
        <w:t xml:space="preserve">ensure continuity of arrangements for </w:t>
      </w:r>
      <w:r w:rsidR="00696AD0">
        <w:t>CCD</w:t>
      </w:r>
      <w:r>
        <w:t>.</w:t>
      </w:r>
    </w:p>
    <w:p w14:paraId="1D1388D3" w14:textId="1261CED0" w:rsidR="003253EE" w:rsidRDefault="00D44CA6" w:rsidP="00D44CA6">
      <w:pPr>
        <w:pStyle w:val="Paragraph"/>
      </w:pPr>
      <w:r>
        <w:t xml:space="preserve">These are discussed in further detail below. </w:t>
      </w:r>
    </w:p>
    <w:p w14:paraId="7CC7AA4E" w14:textId="0DCE8619" w:rsidR="001F7F94" w:rsidRDefault="001F7F94" w:rsidP="00D44CA6">
      <w:pPr>
        <w:pStyle w:val="Paragraph"/>
      </w:pPr>
      <w:r>
        <w:t xml:space="preserve">In parallel, we are proposing amendments to the </w:t>
      </w:r>
      <w:hyperlink r:id="rId24" w:history="1">
        <w:r w:rsidRPr="008E6FE7">
          <w:rPr>
            <w:rStyle w:val="Hyperlink"/>
          </w:rPr>
          <w:t>Radiocommunications Equipment (General) Rules 2021</w:t>
        </w:r>
      </w:hyperlink>
      <w:r>
        <w:t xml:space="preserve"> (the </w:t>
      </w:r>
      <w:r w:rsidR="002A41C9">
        <w:t>e</w:t>
      </w:r>
      <w:r>
        <w:t xml:space="preserve">quipment </w:t>
      </w:r>
      <w:r w:rsidR="002A41C9">
        <w:t>r</w:t>
      </w:r>
      <w:r>
        <w:t xml:space="preserve">ules) to </w:t>
      </w:r>
      <w:r w:rsidRPr="001F7F94">
        <w:t xml:space="preserve">ensure support for future DECT in </w:t>
      </w:r>
      <w:r>
        <w:t xml:space="preserve">the </w:t>
      </w:r>
      <w:r w:rsidRPr="001F7F94">
        <w:t>1880</w:t>
      </w:r>
      <w:r w:rsidR="002A41C9">
        <w:t>–</w:t>
      </w:r>
      <w:r w:rsidRPr="001F7F94">
        <w:t>1900 MHz</w:t>
      </w:r>
      <w:r>
        <w:t xml:space="preserve"> band. This is discussed in a later section of this paper. </w:t>
      </w:r>
    </w:p>
    <w:p w14:paraId="15946BD4" w14:textId="588F1D6F" w:rsidR="00D44CA6" w:rsidRDefault="00D44CA6" w:rsidP="00D44CA6">
      <w:pPr>
        <w:pStyle w:val="Heading2"/>
      </w:pPr>
      <w:bookmarkStart w:id="6" w:name="_Toc163197127"/>
      <w:r>
        <w:t>Removal of CCD arrangements in the 800 MHz band</w:t>
      </w:r>
      <w:bookmarkEnd w:id="6"/>
    </w:p>
    <w:p w14:paraId="015C1553" w14:textId="5D284329" w:rsidR="002A41C9" w:rsidRDefault="00D44CA6" w:rsidP="00D44CA6">
      <w:pPr>
        <w:pStyle w:val="Paragraph"/>
      </w:pPr>
      <w:r w:rsidRPr="00CF58F5">
        <w:t xml:space="preserve">In November 2015, </w:t>
      </w:r>
      <w:r w:rsidR="002A41C9">
        <w:t>we</w:t>
      </w:r>
      <w:r w:rsidRPr="00CF58F5">
        <w:t xml:space="preserve"> released</w:t>
      </w:r>
      <w:r w:rsidR="002A41C9">
        <w:t xml:space="preserve"> our </w:t>
      </w:r>
      <w:hyperlink r:id="rId25" w:history="1">
        <w:r w:rsidRPr="00CF58F5">
          <w:rPr>
            <w:rStyle w:val="Hyperlink"/>
            <w:i/>
          </w:rPr>
          <w:t>long-term strategy for the 803</w:t>
        </w:r>
        <w:r w:rsidR="002A41C9">
          <w:rPr>
            <w:rStyle w:val="Hyperlink"/>
            <w:i/>
          </w:rPr>
          <w:t>–</w:t>
        </w:r>
        <w:r w:rsidRPr="00CF58F5">
          <w:rPr>
            <w:rStyle w:val="Hyperlink"/>
            <w:i/>
          </w:rPr>
          <w:t>960 MHz band</w:t>
        </w:r>
      </w:hyperlink>
      <w:r w:rsidR="002A41C9">
        <w:t>. It</w:t>
      </w:r>
      <w:r w:rsidRPr="00CF58F5">
        <w:t xml:space="preserve"> outlined a plan to clear </w:t>
      </w:r>
      <w:r>
        <w:t xml:space="preserve">existing services from the </w:t>
      </w:r>
      <w:r w:rsidRPr="00CF58F5">
        <w:t>frequency ranges 809–82</w:t>
      </w:r>
      <w:r>
        <w:t>5</w:t>
      </w:r>
      <w:r w:rsidRPr="00CF58F5">
        <w:t xml:space="preserve"> MHz and 854–8</w:t>
      </w:r>
      <w:r>
        <w:t>70</w:t>
      </w:r>
      <w:r w:rsidRPr="00CF58F5">
        <w:t xml:space="preserve"> MHz </w:t>
      </w:r>
      <w:r w:rsidR="002A41C9">
        <w:t>and</w:t>
      </w:r>
      <w:r w:rsidR="002A41C9" w:rsidRPr="00CF58F5">
        <w:t xml:space="preserve"> </w:t>
      </w:r>
      <w:r w:rsidRPr="00CF58F5">
        <w:t xml:space="preserve">facilitate deployment of mobile broadband services. </w:t>
      </w:r>
    </w:p>
    <w:p w14:paraId="0285327F" w14:textId="68643F95" w:rsidR="00D44CA6" w:rsidRPr="004B127E" w:rsidRDefault="00D44CA6" w:rsidP="00D44CA6">
      <w:pPr>
        <w:pStyle w:val="Paragraph"/>
      </w:pPr>
      <w:r w:rsidRPr="00CF58F5">
        <w:t xml:space="preserve">This </w:t>
      </w:r>
      <w:r w:rsidR="003622DF">
        <w:t>strategy had been subject to numerous rounds of</w:t>
      </w:r>
      <w:r w:rsidR="002B1856">
        <w:t xml:space="preserve"> prior</w:t>
      </w:r>
      <w:r w:rsidR="003622DF">
        <w:t xml:space="preserve"> public consultation</w:t>
      </w:r>
      <w:r w:rsidR="002A41C9">
        <w:t xml:space="preserve">. It </w:t>
      </w:r>
      <w:r w:rsidRPr="004B127E">
        <w:t xml:space="preserve">included </w:t>
      </w:r>
      <w:r w:rsidR="003622DF">
        <w:t>the removal of</w:t>
      </w:r>
      <w:r w:rsidR="003622DF" w:rsidRPr="004B127E">
        <w:t xml:space="preserve"> </w:t>
      </w:r>
      <w:r w:rsidRPr="004B127E">
        <w:t>arrangements for the cordless telephone service (CTS) in 857</w:t>
      </w:r>
      <w:r w:rsidR="002A41C9">
        <w:t>–</w:t>
      </w:r>
      <w:r w:rsidRPr="004B127E">
        <w:t>865 MHz.</w:t>
      </w:r>
      <w:r>
        <w:t xml:space="preserve"> </w:t>
      </w:r>
    </w:p>
    <w:p w14:paraId="4AEEDF9E" w14:textId="7649C29C" w:rsidR="00D44CA6" w:rsidRPr="004B127E" w:rsidRDefault="00D44CA6" w:rsidP="00D44CA6">
      <w:pPr>
        <w:pStyle w:val="Paragraph"/>
      </w:pPr>
      <w:r w:rsidRPr="004B127E">
        <w:t xml:space="preserve">The </w:t>
      </w:r>
      <w:r w:rsidR="0005114D">
        <w:t xml:space="preserve">then </w:t>
      </w:r>
      <w:r w:rsidRPr="004B127E">
        <w:t xml:space="preserve">Minister for Communications, Cyber Safety and the Arts made </w:t>
      </w:r>
      <w:hyperlink r:id="rId26" w:history="1">
        <w:r w:rsidRPr="004B127E">
          <w:rPr>
            <w:rStyle w:val="Hyperlink"/>
          </w:rPr>
          <w:t>the Radiocommunications (Spectrum Re</w:t>
        </w:r>
        <w:r w:rsidRPr="004B127E">
          <w:rPr>
            <w:rStyle w:val="Hyperlink"/>
            <w:rFonts w:ascii="Cambria Math" w:hAnsi="Cambria Math" w:cs="Cambria Math"/>
          </w:rPr>
          <w:t>‑</w:t>
        </w:r>
        <w:r w:rsidRPr="004B127E">
          <w:rPr>
            <w:rStyle w:val="Hyperlink"/>
          </w:rPr>
          <w:t>allocation—850/900 MHz Band) Declaration 2020</w:t>
        </w:r>
      </w:hyperlink>
      <w:r w:rsidRPr="004B127E">
        <w:t xml:space="preserve"> on 27 October 2020. An auction to allocate spectrum licences in </w:t>
      </w:r>
      <w:r w:rsidR="002A41C9">
        <w:br/>
      </w:r>
      <w:r w:rsidRPr="004B127E">
        <w:t>the 850/900</w:t>
      </w:r>
      <w:r w:rsidR="00B15145">
        <w:t> </w:t>
      </w:r>
      <w:r w:rsidRPr="004B127E">
        <w:t xml:space="preserve">MHz band </w:t>
      </w:r>
      <w:r>
        <w:t xml:space="preserve">was </w:t>
      </w:r>
      <w:r w:rsidRPr="004B127E">
        <w:t>held in November/December 2021</w:t>
      </w:r>
      <w:r w:rsidR="002A41C9">
        <w:t>,</w:t>
      </w:r>
      <w:r w:rsidRPr="004B127E">
        <w:t xml:space="preserve"> including </w:t>
      </w:r>
      <w:r w:rsidR="002A41C9">
        <w:br/>
      </w:r>
      <w:r w:rsidRPr="004B127E">
        <w:t>859</w:t>
      </w:r>
      <w:r w:rsidR="002A41C9">
        <w:t>–</w:t>
      </w:r>
      <w:r w:rsidRPr="004B127E">
        <w:t>870</w:t>
      </w:r>
      <w:r w:rsidR="002A41C9">
        <w:t xml:space="preserve"> MHz</w:t>
      </w:r>
      <w:r w:rsidRPr="004B127E">
        <w:t xml:space="preserve">. These spectrum licences </w:t>
      </w:r>
      <w:r>
        <w:t xml:space="preserve">commence on </w:t>
      </w:r>
      <w:r w:rsidRPr="004B127E">
        <w:t>1 July 2024.</w:t>
      </w:r>
      <w:r>
        <w:t xml:space="preserve"> </w:t>
      </w:r>
      <w:r w:rsidR="00B15145">
        <w:t>T</w:t>
      </w:r>
      <w:r>
        <w:t xml:space="preserve">he removal </w:t>
      </w:r>
      <w:r w:rsidR="002A41C9">
        <w:br/>
      </w:r>
      <w:r>
        <w:t xml:space="preserve">of the </w:t>
      </w:r>
      <w:r w:rsidRPr="004B127E">
        <w:t>857</w:t>
      </w:r>
      <w:r w:rsidR="002A41C9">
        <w:t>–</w:t>
      </w:r>
      <w:r w:rsidRPr="004B127E">
        <w:t>861 MHz</w:t>
      </w:r>
      <w:r>
        <w:t xml:space="preserve"> and </w:t>
      </w:r>
      <w:r w:rsidRPr="004B127E">
        <w:t>861</w:t>
      </w:r>
      <w:r w:rsidR="002A41C9">
        <w:t>–</w:t>
      </w:r>
      <w:r w:rsidRPr="004B127E">
        <w:t>865</w:t>
      </w:r>
      <w:r w:rsidR="00B15145">
        <w:t> </w:t>
      </w:r>
      <w:r w:rsidRPr="004B127E">
        <w:t>MHz</w:t>
      </w:r>
      <w:r>
        <w:t xml:space="preserve"> bands from the CCD class licence needs to occur </w:t>
      </w:r>
      <w:r w:rsidR="00B15145">
        <w:t>prior to commencement of the spectrum licences</w:t>
      </w:r>
      <w:r>
        <w:t xml:space="preserve">. </w:t>
      </w:r>
    </w:p>
    <w:p w14:paraId="35397581" w14:textId="6A19EAA7" w:rsidR="00D44CA6" w:rsidRDefault="00D44CA6" w:rsidP="00D44CA6">
      <w:pPr>
        <w:pStyle w:val="Heading2"/>
      </w:pPr>
      <w:bookmarkStart w:id="7" w:name="_Toc163197128"/>
      <w:r>
        <w:t>Updating CCD arrangements in the 1880</w:t>
      </w:r>
      <w:r w:rsidR="002A41C9">
        <w:t>–</w:t>
      </w:r>
      <w:r>
        <w:t>1900 MHz band</w:t>
      </w:r>
      <w:bookmarkEnd w:id="7"/>
    </w:p>
    <w:p w14:paraId="6D053549" w14:textId="02C02F16" w:rsidR="00D44CA6" w:rsidRDefault="00D44CA6" w:rsidP="00D44CA6">
      <w:pPr>
        <w:pStyle w:val="Paragraph"/>
      </w:pPr>
      <w:r>
        <w:t>From</w:t>
      </w:r>
      <w:r w:rsidRPr="00CF58F5">
        <w:t xml:space="preserve"> Novem</w:t>
      </w:r>
      <w:r>
        <w:t xml:space="preserve">ber 2021 to November 2023, </w:t>
      </w:r>
      <w:r w:rsidR="002A41C9">
        <w:t>we</w:t>
      </w:r>
      <w:r>
        <w:t xml:space="preserve"> conducted a review of spectrum arrangements in the 1880</w:t>
      </w:r>
      <w:r w:rsidR="002A41C9">
        <w:t>–</w:t>
      </w:r>
      <w:r>
        <w:t xml:space="preserve">1920 MHz band. This included </w:t>
      </w:r>
      <w:r w:rsidR="002A41C9">
        <w:t xml:space="preserve">2 </w:t>
      </w:r>
      <w:r>
        <w:t xml:space="preserve">public consultation papers and concluded with the </w:t>
      </w:r>
      <w:hyperlink r:id="rId27" w:anchor="outcomes-for-this-consultation" w:history="1">
        <w:r w:rsidRPr="008E6FE7">
          <w:rPr>
            <w:rStyle w:val="Hyperlink"/>
            <w:i/>
            <w:iCs/>
          </w:rPr>
          <w:t xml:space="preserve">Replanning of the 1880–1920 MHz band: </w:t>
        </w:r>
        <w:r w:rsidR="002A41C9">
          <w:rPr>
            <w:rStyle w:val="Hyperlink"/>
            <w:i/>
            <w:iCs/>
          </w:rPr>
          <w:t>o</w:t>
        </w:r>
        <w:r w:rsidRPr="008E6FE7">
          <w:rPr>
            <w:rStyle w:val="Hyperlink"/>
            <w:i/>
            <w:iCs/>
          </w:rPr>
          <w:t>utcomes paper</w:t>
        </w:r>
      </w:hyperlink>
      <w:r>
        <w:t>. An outcome of this review was to update arrangements in the 1880</w:t>
      </w:r>
      <w:r w:rsidR="002A41C9">
        <w:t>–</w:t>
      </w:r>
      <w:r>
        <w:t xml:space="preserve">1900 MHz band to </w:t>
      </w:r>
      <w:r w:rsidRPr="002F220A">
        <w:t xml:space="preserve">support </w:t>
      </w:r>
      <w:r w:rsidR="000E5E76" w:rsidRPr="000E5E76">
        <w:t xml:space="preserve">DECT </w:t>
      </w:r>
      <w:r w:rsidRPr="002F220A">
        <w:t>and future DECT</w:t>
      </w:r>
      <w:r>
        <w:t xml:space="preserve"> technologies, and remove support for </w:t>
      </w:r>
      <w:r w:rsidR="002A41C9">
        <w:t>p</w:t>
      </w:r>
      <w:r w:rsidR="008448F6" w:rsidRPr="002F220A">
        <w:t xml:space="preserve">ersonal </w:t>
      </w:r>
      <w:r w:rsidR="002A41C9">
        <w:t>h</w:t>
      </w:r>
      <w:r w:rsidR="008448F6" w:rsidRPr="002F220A">
        <w:t>andy</w:t>
      </w:r>
      <w:r w:rsidR="008448F6">
        <w:t>phone</w:t>
      </w:r>
      <w:r w:rsidR="008448F6" w:rsidRPr="002F220A">
        <w:t xml:space="preserve"> </w:t>
      </w:r>
      <w:r w:rsidR="002A41C9">
        <w:t>s</w:t>
      </w:r>
      <w:r w:rsidR="008448F6" w:rsidRPr="002F220A">
        <w:t xml:space="preserve">ystem </w:t>
      </w:r>
      <w:r w:rsidRPr="002F220A">
        <w:t>(PHS) technology</w:t>
      </w:r>
      <w:r w:rsidR="008448F6">
        <w:t>,</w:t>
      </w:r>
      <w:r>
        <w:t xml:space="preserve"> which has become obsolete. </w:t>
      </w:r>
    </w:p>
    <w:p w14:paraId="6D6C0C67" w14:textId="59652338" w:rsidR="005845DE" w:rsidRDefault="00D44CA6" w:rsidP="005845DE">
      <w:pPr>
        <w:pStyle w:val="Heading2"/>
      </w:pPr>
      <w:bookmarkStart w:id="8" w:name="_Toc163197129"/>
      <w:bookmarkEnd w:id="5"/>
      <w:r>
        <w:t>Sunsetting</w:t>
      </w:r>
      <w:bookmarkEnd w:id="8"/>
    </w:p>
    <w:p w14:paraId="6621EA14" w14:textId="5515C0FC" w:rsidR="00696AD0" w:rsidRDefault="00696AD0" w:rsidP="00696AD0">
      <w:pPr>
        <w:pStyle w:val="Paragraph"/>
      </w:pPr>
      <w:r>
        <w:t xml:space="preserve">Under Part 4 of Chapter 3 of the </w:t>
      </w:r>
      <w:r w:rsidRPr="007A7F6A">
        <w:rPr>
          <w:i/>
          <w:iCs/>
        </w:rPr>
        <w:t>Legislation Act 2003</w:t>
      </w:r>
      <w:r>
        <w:t>, most legislative instruments ‘sunset’</w:t>
      </w:r>
      <w:r w:rsidR="002A41C9">
        <w:t>. T</w:t>
      </w:r>
      <w:r>
        <w:t>hat is, they are automatically repealed on 1 April or 1 October that first occurs 10 years after they are registered. This is an automatic process applying to most legislative instruments</w:t>
      </w:r>
      <w:r w:rsidR="002A41C9">
        <w:t>,</w:t>
      </w:r>
      <w:r>
        <w:t xml:space="preserve"> regardless of their content. </w:t>
      </w:r>
    </w:p>
    <w:p w14:paraId="3E1DE66B" w14:textId="77777777" w:rsidR="00696AD0" w:rsidRPr="004666F5" w:rsidRDefault="00696AD0" w:rsidP="00696AD0">
      <w:pPr>
        <w:pStyle w:val="Paragraph"/>
      </w:pPr>
      <w:r>
        <w:t xml:space="preserve">The sunset date for the CCD class licence is </w:t>
      </w:r>
      <w:r w:rsidRPr="005845DE">
        <w:t>1 April 2025.</w:t>
      </w:r>
    </w:p>
    <w:p w14:paraId="23E5FB0C" w14:textId="64F977EA" w:rsidR="00696AD0" w:rsidRDefault="002A41C9" w:rsidP="00696AD0">
      <w:pPr>
        <w:pStyle w:val="Paragraph"/>
      </w:pPr>
      <w:r>
        <w:lastRenderedPageBreak/>
        <w:t>We</w:t>
      </w:r>
      <w:r w:rsidR="00696AD0">
        <w:t xml:space="preserve"> can decide to revoke and remake the CCD class licence</w:t>
      </w:r>
      <w:r>
        <w:t>,</w:t>
      </w:r>
      <w:r w:rsidR="00696AD0">
        <w:t xml:space="preserve"> or allow it to sunset. If an instrument is still required, </w:t>
      </w:r>
      <w:r>
        <w:t>our</w:t>
      </w:r>
      <w:r w:rsidR="00696AD0">
        <w:t xml:space="preserve"> approach has been to revoke the existing instrument and remake it after consultation.</w:t>
      </w:r>
      <w:r w:rsidR="00696AD0" w:rsidRPr="009F7FA2">
        <w:t xml:space="preserve"> </w:t>
      </w:r>
    </w:p>
    <w:p w14:paraId="5A272075" w14:textId="7FCB4C19" w:rsidR="005845DE" w:rsidRPr="004666F5" w:rsidRDefault="00696AD0" w:rsidP="00696AD0">
      <w:pPr>
        <w:pStyle w:val="Paragraph"/>
        <w:rPr>
          <w:b/>
          <w:bCs/>
        </w:rPr>
      </w:pPr>
      <w:r>
        <w:t xml:space="preserve">For the CCD class licence, </w:t>
      </w:r>
      <w:r w:rsidR="00F30DC2">
        <w:t>we</w:t>
      </w:r>
      <w:r>
        <w:t xml:space="preserve"> </w:t>
      </w:r>
      <w:r w:rsidR="005845DE" w:rsidRPr="004666F5">
        <w:rPr>
          <w:bCs/>
        </w:rPr>
        <w:t xml:space="preserve">consider that </w:t>
      </w:r>
      <w:r w:rsidR="005845DE">
        <w:rPr>
          <w:bCs/>
        </w:rPr>
        <w:t xml:space="preserve">this </w:t>
      </w:r>
      <w:r w:rsidR="005845DE" w:rsidRPr="004666F5">
        <w:rPr>
          <w:bCs/>
        </w:rPr>
        <w:t>instrument continue</w:t>
      </w:r>
      <w:r w:rsidR="005845DE">
        <w:rPr>
          <w:bCs/>
        </w:rPr>
        <w:t>s</w:t>
      </w:r>
      <w:r w:rsidR="005845DE" w:rsidRPr="004666F5">
        <w:rPr>
          <w:bCs/>
        </w:rPr>
        <w:t xml:space="preserve"> to form a necessary and useful part of the legislative framework. Accordingly, </w:t>
      </w:r>
      <w:r w:rsidR="00F30DC2">
        <w:rPr>
          <w:bCs/>
        </w:rPr>
        <w:t>we</w:t>
      </w:r>
      <w:r w:rsidR="005845DE" w:rsidRPr="004666F5">
        <w:rPr>
          <w:bCs/>
        </w:rPr>
        <w:t xml:space="preserve"> propose to remake </w:t>
      </w:r>
      <w:r w:rsidR="005845DE">
        <w:rPr>
          <w:bCs/>
        </w:rPr>
        <w:t>it</w:t>
      </w:r>
      <w:r w:rsidR="005845DE" w:rsidRPr="004666F5">
        <w:rPr>
          <w:bCs/>
        </w:rPr>
        <w:t xml:space="preserve"> in a new instrument </w:t>
      </w:r>
      <w:r w:rsidR="005845DE">
        <w:rPr>
          <w:bCs/>
        </w:rPr>
        <w:t>before</w:t>
      </w:r>
      <w:r w:rsidR="005845DE" w:rsidRPr="004666F5">
        <w:rPr>
          <w:bCs/>
        </w:rPr>
        <w:t xml:space="preserve"> the sunset date, so that </w:t>
      </w:r>
      <w:r w:rsidR="00B15145">
        <w:rPr>
          <w:bCs/>
        </w:rPr>
        <w:t>its</w:t>
      </w:r>
      <w:r w:rsidR="005845DE" w:rsidRPr="004666F5">
        <w:rPr>
          <w:bCs/>
        </w:rPr>
        <w:t xml:space="preserve"> ongoing effect is preserved.</w:t>
      </w:r>
      <w:r w:rsidR="00D44CA6">
        <w:rPr>
          <w:bCs/>
        </w:rPr>
        <w:t xml:space="preserve"> </w:t>
      </w:r>
      <w:r w:rsidR="00D30CDE">
        <w:rPr>
          <w:bCs/>
        </w:rPr>
        <w:t>G</w:t>
      </w:r>
      <w:r w:rsidR="00D44CA6">
        <w:rPr>
          <w:bCs/>
        </w:rPr>
        <w:t xml:space="preserve">iven the timing requirements </w:t>
      </w:r>
      <w:r w:rsidR="005F046C">
        <w:rPr>
          <w:bCs/>
        </w:rPr>
        <w:t>of</w:t>
      </w:r>
      <w:r w:rsidR="00D44CA6">
        <w:rPr>
          <w:bCs/>
        </w:rPr>
        <w:t xml:space="preserve"> other changes</w:t>
      </w:r>
      <w:r w:rsidR="00D30CDE">
        <w:rPr>
          <w:bCs/>
        </w:rPr>
        <w:t>,</w:t>
      </w:r>
      <w:r w:rsidR="00D44CA6">
        <w:rPr>
          <w:bCs/>
        </w:rPr>
        <w:t xml:space="preserve"> </w:t>
      </w:r>
      <w:r w:rsidR="005F046C">
        <w:rPr>
          <w:bCs/>
        </w:rPr>
        <w:t xml:space="preserve">which are required </w:t>
      </w:r>
      <w:r w:rsidR="00D44CA6">
        <w:rPr>
          <w:bCs/>
        </w:rPr>
        <w:t xml:space="preserve">by </w:t>
      </w:r>
      <w:r w:rsidR="00D30CDE">
        <w:rPr>
          <w:bCs/>
        </w:rPr>
        <w:br/>
      </w:r>
      <w:r w:rsidR="00D44CA6">
        <w:rPr>
          <w:bCs/>
        </w:rPr>
        <w:t xml:space="preserve">1 July 2024, </w:t>
      </w:r>
      <w:r w:rsidR="00D30CDE">
        <w:rPr>
          <w:bCs/>
        </w:rPr>
        <w:t>we are</w:t>
      </w:r>
      <w:r w:rsidR="00D44CA6">
        <w:rPr>
          <w:bCs/>
        </w:rPr>
        <w:t xml:space="preserve"> proposing to bring forward the remaking of this instrument</w:t>
      </w:r>
      <w:r w:rsidR="005F046C">
        <w:rPr>
          <w:bCs/>
        </w:rPr>
        <w:t xml:space="preserve"> to before 1 July 2024</w:t>
      </w:r>
      <w:r w:rsidR="00D44CA6">
        <w:rPr>
          <w:bCs/>
        </w:rPr>
        <w:t>.</w:t>
      </w:r>
    </w:p>
    <w:p w14:paraId="06435D9D" w14:textId="11B70571" w:rsidR="005E250B" w:rsidRPr="00E162C4" w:rsidRDefault="005E250B" w:rsidP="005C34EF">
      <w:pPr>
        <w:pStyle w:val="Paragraph"/>
        <w:rPr>
          <w:b/>
        </w:rPr>
      </w:pPr>
      <w:bookmarkStart w:id="9" w:name="_Hlk26868712"/>
    </w:p>
    <w:p w14:paraId="616B03E3" w14:textId="5B6066BC" w:rsidR="000B4664" w:rsidRPr="00E162C4" w:rsidRDefault="00AD6176" w:rsidP="000B4664">
      <w:pPr>
        <w:pStyle w:val="Heading1"/>
      </w:pPr>
      <w:bookmarkStart w:id="10" w:name="_Toc163197130"/>
      <w:bookmarkEnd w:id="9"/>
      <w:r>
        <w:lastRenderedPageBreak/>
        <w:t>Proposed legislative instrument</w:t>
      </w:r>
      <w:bookmarkEnd w:id="10"/>
    </w:p>
    <w:p w14:paraId="5C2A189C" w14:textId="49D5EAEB" w:rsidR="007E6015" w:rsidRDefault="007E6015" w:rsidP="007E6015">
      <w:pPr>
        <w:pStyle w:val="Paragraphbeforelist"/>
      </w:pPr>
      <w:r w:rsidRPr="007E6015">
        <w:t xml:space="preserve">A draft </w:t>
      </w:r>
      <w:r w:rsidRPr="008E6FE7">
        <w:t>Radiocommunications (Cordless Communications Devices) Class Licence 2024</w:t>
      </w:r>
      <w:r w:rsidR="00696AD0">
        <w:t xml:space="preserve"> (draft instrument)</w:t>
      </w:r>
      <w:r w:rsidRPr="007E6015">
        <w:t xml:space="preserve"> is included with this paper for consideration.</w:t>
      </w:r>
      <w:r>
        <w:t xml:space="preserve"> Some of the key aspects of the instrument </w:t>
      </w:r>
      <w:r w:rsidR="0005114D">
        <w:t>are</w:t>
      </w:r>
      <w:r>
        <w:t xml:space="preserve"> discussed below. </w:t>
      </w:r>
    </w:p>
    <w:p w14:paraId="6181009B" w14:textId="38DEF357" w:rsidR="005E250B" w:rsidRPr="00E162C4" w:rsidRDefault="000E5E76" w:rsidP="005E250B">
      <w:pPr>
        <w:pStyle w:val="Heading2"/>
      </w:pPr>
      <w:bookmarkStart w:id="11" w:name="_Toc163197131"/>
      <w:r>
        <w:t>Frequency ranges</w:t>
      </w:r>
      <w:bookmarkEnd w:id="11"/>
    </w:p>
    <w:p w14:paraId="0289402B" w14:textId="695BB167" w:rsidR="000E5E76" w:rsidRDefault="000E5E76" w:rsidP="000E5E76">
      <w:pPr>
        <w:pStyle w:val="Paragraphbeforelist"/>
      </w:pPr>
      <w:r>
        <w:t xml:space="preserve">The frequency ranges of operation are included in the definition of </w:t>
      </w:r>
      <w:r w:rsidR="00D30CDE">
        <w:t>‘</w:t>
      </w:r>
      <w:r w:rsidRPr="008E6FE7">
        <w:t>cordless communications device</w:t>
      </w:r>
      <w:r w:rsidR="00D30CDE">
        <w:t>’</w:t>
      </w:r>
      <w:r>
        <w:t xml:space="preserve"> in</w:t>
      </w:r>
      <w:r w:rsidR="00696AD0">
        <w:t xml:space="preserve"> section 5 of</w:t>
      </w:r>
      <w:r>
        <w:t xml:space="preserve"> the draft instrument. These frequency </w:t>
      </w:r>
      <w:r w:rsidR="00D30CDE">
        <w:br/>
      </w:r>
      <w:r>
        <w:t>ranges are:</w:t>
      </w:r>
    </w:p>
    <w:p w14:paraId="261CFEAC" w14:textId="16D5843A" w:rsidR="000E5E76" w:rsidRDefault="000E5E76" w:rsidP="000E5E76">
      <w:pPr>
        <w:pStyle w:val="Bulletlevel1"/>
      </w:pPr>
      <w:r>
        <w:t>1.7175</w:t>
      </w:r>
      <w:r w:rsidR="00D30CDE">
        <w:t>–</w:t>
      </w:r>
      <w:r>
        <w:t>1.7925 MHz</w:t>
      </w:r>
    </w:p>
    <w:p w14:paraId="4162E101" w14:textId="05501952" w:rsidR="000E5E76" w:rsidRDefault="000E5E76" w:rsidP="000E5E76">
      <w:pPr>
        <w:pStyle w:val="Bulletlevel1"/>
      </w:pPr>
      <w:r>
        <w:t>30.0625</w:t>
      </w:r>
      <w:r w:rsidR="00D30CDE">
        <w:t>–</w:t>
      </w:r>
      <w:r>
        <w:t>30.3125 MHz</w:t>
      </w:r>
    </w:p>
    <w:p w14:paraId="232E35F1" w14:textId="275D42BA" w:rsidR="000E5E76" w:rsidRDefault="000E5E76" w:rsidP="000E5E76">
      <w:pPr>
        <w:pStyle w:val="Bulletlevel1"/>
      </w:pPr>
      <w:r>
        <w:t>39.7625</w:t>
      </w:r>
      <w:r w:rsidR="00D30CDE">
        <w:t>–</w:t>
      </w:r>
      <w:r>
        <w:t>40.250 MHz</w:t>
      </w:r>
    </w:p>
    <w:p w14:paraId="285418CE" w14:textId="44CB49CB" w:rsidR="000E5E76" w:rsidRDefault="000E5E76" w:rsidP="000E5E76">
      <w:pPr>
        <w:pStyle w:val="Bulletlevel1last"/>
      </w:pPr>
      <w:r w:rsidRPr="000E5E76">
        <w:t>1880</w:t>
      </w:r>
      <w:r w:rsidR="00D30CDE">
        <w:t>–</w:t>
      </w:r>
      <w:r w:rsidRPr="000E5E76">
        <w:t>1900 MHz</w:t>
      </w:r>
      <w:r w:rsidR="0005114D">
        <w:t>.</w:t>
      </w:r>
    </w:p>
    <w:p w14:paraId="58BA5672" w14:textId="00960858" w:rsidR="000E5E76" w:rsidRDefault="000E5E76" w:rsidP="00C87E8A">
      <w:pPr>
        <w:pStyle w:val="Paragraph"/>
      </w:pPr>
      <w:r>
        <w:t>As discussed below, operation in the 1880</w:t>
      </w:r>
      <w:r w:rsidR="00D30CDE">
        <w:t>–</w:t>
      </w:r>
      <w:r>
        <w:t xml:space="preserve">1900 MHz range is proposed to be limited to </w:t>
      </w:r>
      <w:r w:rsidRPr="000E5E76">
        <w:t>DECT technology</w:t>
      </w:r>
      <w:r>
        <w:t>.</w:t>
      </w:r>
    </w:p>
    <w:p w14:paraId="003E4515" w14:textId="542B94C9" w:rsidR="000E5E76" w:rsidRDefault="000E5E76" w:rsidP="00C87E8A">
      <w:pPr>
        <w:pStyle w:val="Paragraph"/>
      </w:pPr>
      <w:r>
        <w:t xml:space="preserve">The </w:t>
      </w:r>
      <w:r w:rsidR="001B7A97">
        <w:t xml:space="preserve">proposed </w:t>
      </w:r>
      <w:r>
        <w:t>changes to the frequency ranges of operation</w:t>
      </w:r>
      <w:r w:rsidR="00696AD0">
        <w:t xml:space="preserve"> set out in the CCD class licence</w:t>
      </w:r>
      <w:r>
        <w:t xml:space="preserve"> </w:t>
      </w:r>
      <w:r w:rsidR="001B7A97">
        <w:t xml:space="preserve">involve </w:t>
      </w:r>
      <w:r>
        <w:t xml:space="preserve">the removal of the </w:t>
      </w:r>
      <w:r w:rsidRPr="004B127E">
        <w:t>857</w:t>
      </w:r>
      <w:r w:rsidR="00D30CDE">
        <w:t>–</w:t>
      </w:r>
      <w:r w:rsidRPr="004B127E">
        <w:t>861</w:t>
      </w:r>
      <w:r w:rsidR="00B15145">
        <w:t> </w:t>
      </w:r>
      <w:r w:rsidRPr="004B127E">
        <w:t>MHz</w:t>
      </w:r>
      <w:r>
        <w:t xml:space="preserve"> and </w:t>
      </w:r>
      <w:r w:rsidRPr="004B127E">
        <w:t>861</w:t>
      </w:r>
      <w:r w:rsidR="00D30CDE">
        <w:t>–</w:t>
      </w:r>
      <w:r w:rsidRPr="004B127E">
        <w:t>865 MHz</w:t>
      </w:r>
      <w:r>
        <w:t xml:space="preserve"> bands to implement the outcomes of the 803</w:t>
      </w:r>
      <w:r w:rsidR="00D30CDE">
        <w:t>–</w:t>
      </w:r>
      <w:r>
        <w:t xml:space="preserve">960 MHz review. </w:t>
      </w:r>
    </w:p>
    <w:p w14:paraId="0996651A" w14:textId="50EC3515" w:rsidR="000E5E76" w:rsidRPr="00E162C4" w:rsidRDefault="000E5E76" w:rsidP="000E5E76">
      <w:pPr>
        <w:pStyle w:val="Heading2"/>
      </w:pPr>
      <w:bookmarkStart w:id="12" w:name="_Toc163197132"/>
      <w:r>
        <w:t>Technology</w:t>
      </w:r>
      <w:bookmarkEnd w:id="12"/>
    </w:p>
    <w:p w14:paraId="7FB8BAF3" w14:textId="2C70105D" w:rsidR="000E5E76" w:rsidRDefault="000E5E76" w:rsidP="007E6015">
      <w:pPr>
        <w:pStyle w:val="Paragraph"/>
      </w:pPr>
      <w:r>
        <w:t xml:space="preserve">The draft instrument specifies that </w:t>
      </w:r>
      <w:r w:rsidR="00F9034E">
        <w:t>CCD</w:t>
      </w:r>
      <w:r>
        <w:t xml:space="preserve"> operated in the 1880</w:t>
      </w:r>
      <w:r w:rsidR="00D30CDE">
        <w:t>–</w:t>
      </w:r>
      <w:r>
        <w:t xml:space="preserve">1900 MHz range </w:t>
      </w:r>
      <w:r w:rsidR="00F9034E">
        <w:t xml:space="preserve">are only authorised if they </w:t>
      </w:r>
      <w:r>
        <w:t>use DECT technology.</w:t>
      </w:r>
      <w:r w:rsidR="00200438">
        <w:t xml:space="preserve"> This includes future DECT technologies. </w:t>
      </w:r>
      <w:r>
        <w:t>Feedback from the replanning of the 1880</w:t>
      </w:r>
      <w:r w:rsidR="00D30CDE">
        <w:t>–</w:t>
      </w:r>
      <w:r>
        <w:t xml:space="preserve">1920 MHz band process indicated that PHS technology is now obsolete. Therefore, </w:t>
      </w:r>
      <w:r w:rsidR="00D30CDE">
        <w:t xml:space="preserve">we propose to remove </w:t>
      </w:r>
      <w:r>
        <w:t xml:space="preserve">support for this technology in the </w:t>
      </w:r>
      <w:r w:rsidRPr="000E5E76">
        <w:t>1895</w:t>
      </w:r>
      <w:r w:rsidR="00D30CDE">
        <w:t>–</w:t>
      </w:r>
      <w:r w:rsidRPr="000E5E76">
        <w:t>1899.8 MHz</w:t>
      </w:r>
      <w:r>
        <w:t xml:space="preserve"> band. </w:t>
      </w:r>
    </w:p>
    <w:p w14:paraId="34B86133" w14:textId="4D7E8BF6" w:rsidR="007E6015" w:rsidRDefault="007E6015" w:rsidP="007E6015">
      <w:pPr>
        <w:pStyle w:val="Paragraph"/>
      </w:pPr>
      <w:r>
        <w:t xml:space="preserve">While no specific technologies are prescribed for the use of </w:t>
      </w:r>
      <w:r w:rsidR="00F9034E">
        <w:t>CCD</w:t>
      </w:r>
      <w:r>
        <w:t xml:space="preserve"> in the </w:t>
      </w:r>
      <w:r w:rsidR="00AF7A83">
        <w:br/>
      </w:r>
      <w:r>
        <w:t>1.7175</w:t>
      </w:r>
      <w:r w:rsidR="00AF7A83">
        <w:t>–</w:t>
      </w:r>
      <w:r>
        <w:t>1.7925</w:t>
      </w:r>
      <w:r w:rsidR="00F9034E">
        <w:t> </w:t>
      </w:r>
      <w:r>
        <w:t>MHz, 30.0625</w:t>
      </w:r>
      <w:r w:rsidR="00AF7A83">
        <w:t>–</w:t>
      </w:r>
      <w:r>
        <w:t>30.3125 MHz and 39.7625</w:t>
      </w:r>
      <w:r w:rsidR="00AF7A83">
        <w:t>–</w:t>
      </w:r>
      <w:r>
        <w:t xml:space="preserve">40.250 MHz frequency ranges, </w:t>
      </w:r>
      <w:r w:rsidR="00AF7A83">
        <w:t xml:space="preserve">we propose </w:t>
      </w:r>
      <w:r>
        <w:t>e</w:t>
      </w:r>
      <w:r w:rsidRPr="007E6015">
        <w:t xml:space="preserve">quivalent </w:t>
      </w:r>
      <w:r>
        <w:t>i</w:t>
      </w:r>
      <w:r w:rsidRPr="007E6015">
        <w:t xml:space="preserve">sotropically </w:t>
      </w:r>
      <w:r>
        <w:t>r</w:t>
      </w:r>
      <w:r w:rsidRPr="007E6015">
        <w:t xml:space="preserve">adiated </w:t>
      </w:r>
      <w:r>
        <w:t>p</w:t>
      </w:r>
      <w:r w:rsidRPr="007E6015">
        <w:t>ower (EIRP) limits</w:t>
      </w:r>
      <w:r w:rsidR="00AF7A83">
        <w:t xml:space="preserve">, </w:t>
      </w:r>
      <w:r>
        <w:t xml:space="preserve">as </w:t>
      </w:r>
      <w:r w:rsidR="00AF7A83">
        <w:br/>
      </w:r>
      <w:r>
        <w:t xml:space="preserve">discussed below. </w:t>
      </w:r>
    </w:p>
    <w:p w14:paraId="06E4BF8F" w14:textId="4C703F8C" w:rsidR="007E6015" w:rsidRDefault="007E6015" w:rsidP="007E6015">
      <w:pPr>
        <w:pStyle w:val="Heading2"/>
      </w:pPr>
      <w:bookmarkStart w:id="13" w:name="_Toc163197133"/>
      <w:r>
        <w:t>EIRP limits</w:t>
      </w:r>
      <w:bookmarkEnd w:id="13"/>
    </w:p>
    <w:p w14:paraId="3BF58B50" w14:textId="2202E1AC" w:rsidR="007E6015" w:rsidRDefault="007E6015" w:rsidP="007E6015">
      <w:pPr>
        <w:pStyle w:val="Paragraph"/>
      </w:pPr>
      <w:r>
        <w:t xml:space="preserve">In the current version of the CCD class licence, EIRP </w:t>
      </w:r>
      <w:r w:rsidRPr="007E6015">
        <w:t>limits</w:t>
      </w:r>
      <w:r>
        <w:t xml:space="preserve"> are included for different technology types</w:t>
      </w:r>
      <w:r w:rsidR="006C43E6">
        <w:t xml:space="preserve"> –</w:t>
      </w:r>
      <w:r>
        <w:t xml:space="preserve"> namely</w:t>
      </w:r>
      <w:r w:rsidR="006C43E6">
        <w:t>,</w:t>
      </w:r>
      <w:r>
        <w:t xml:space="preserve"> land stations using DECT and PHS. EIRP limits are not specifically included for each frequency band</w:t>
      </w:r>
      <w:r w:rsidR="00BB0042">
        <w:t>,</w:t>
      </w:r>
      <w:r>
        <w:t xml:space="preserve"> meaning that in frequency bands where no technology is specified, there is currently no EIRP limit expressed in the </w:t>
      </w:r>
      <w:r w:rsidR="00F9034E">
        <w:t xml:space="preserve">CCD </w:t>
      </w:r>
      <w:r>
        <w:t xml:space="preserve">class licence. While not explicitly included in the </w:t>
      </w:r>
      <w:r w:rsidR="00F9034E">
        <w:t xml:space="preserve">CCD </w:t>
      </w:r>
      <w:r>
        <w:t xml:space="preserve">class licence, EIRP may be limited by other instruments, including </w:t>
      </w:r>
      <w:r w:rsidR="00F9034E">
        <w:t>the Equipment Rules</w:t>
      </w:r>
      <w:r>
        <w:t xml:space="preserve">. </w:t>
      </w:r>
    </w:p>
    <w:p w14:paraId="2A400A67" w14:textId="60E52C06" w:rsidR="007E6015" w:rsidRDefault="00F9034E" w:rsidP="007E6015">
      <w:pPr>
        <w:pStyle w:val="Paragraph"/>
      </w:pPr>
      <w:r>
        <w:t>W</w:t>
      </w:r>
      <w:r w:rsidR="007E6015">
        <w:t xml:space="preserve">e are proposing to include EIRP </w:t>
      </w:r>
      <w:r w:rsidR="007E6015" w:rsidRPr="007E6015">
        <w:t>limits</w:t>
      </w:r>
      <w:r w:rsidR="007E6015">
        <w:t xml:space="preserve"> for each frequency band in the draft new instrument</w:t>
      </w:r>
      <w:r w:rsidR="006C43E6">
        <w:t>,</w:t>
      </w:r>
      <w:r w:rsidR="007E6015">
        <w:t xml:space="preserve"> as detailed in Table 1.</w:t>
      </w:r>
    </w:p>
    <w:p w14:paraId="13AD989D" w14:textId="7BDCD345" w:rsidR="007E6015" w:rsidRPr="00E162C4" w:rsidRDefault="00302135" w:rsidP="00302135">
      <w:pPr>
        <w:pStyle w:val="Tableheading"/>
        <w:keepLines/>
      </w:pPr>
      <w:bookmarkStart w:id="14" w:name="_Hlk161304063"/>
      <w:r>
        <w:lastRenderedPageBreak/>
        <w:t>Maximum EIRP limits proposed for cordless communications devices</w:t>
      </w:r>
    </w:p>
    <w:tbl>
      <w:tblPr>
        <w:tblStyle w:val="ACMAtablestyle"/>
        <w:tblW w:w="5949" w:type="dxa"/>
        <w:tblLayout w:type="fixed"/>
        <w:tblLook w:val="01E0" w:firstRow="1" w:lastRow="1" w:firstColumn="1" w:lastColumn="1" w:noHBand="0" w:noVBand="0"/>
        <w:tblCaption w:val="Table title to go here"/>
        <w:tblDescription w:val="Table description to go here"/>
      </w:tblPr>
      <w:tblGrid>
        <w:gridCol w:w="2437"/>
        <w:gridCol w:w="3512"/>
      </w:tblGrid>
      <w:tr w:rsidR="007E6015" w:rsidRPr="00E162C4" w14:paraId="73DE78A3" w14:textId="77777777" w:rsidTr="009631F1">
        <w:trPr>
          <w:cnfStyle w:val="100000000000" w:firstRow="1" w:lastRow="0" w:firstColumn="0" w:lastColumn="0" w:oddVBand="0" w:evenVBand="0" w:oddHBand="0" w:evenHBand="0" w:firstRowFirstColumn="0" w:firstRowLastColumn="0" w:lastRowFirstColumn="0" w:lastRowLastColumn="0"/>
        </w:trPr>
        <w:tc>
          <w:tcPr>
            <w:tcW w:w="2437" w:type="dxa"/>
          </w:tcPr>
          <w:p w14:paraId="05C469D3" w14:textId="62880675" w:rsidR="007E6015" w:rsidRPr="00E162C4" w:rsidRDefault="007E6015" w:rsidP="00302135">
            <w:pPr>
              <w:pStyle w:val="Tableheaderrow"/>
              <w:keepNext/>
              <w:keepLines/>
            </w:pPr>
            <w:r>
              <w:t>Frequency range (MHz)</w:t>
            </w:r>
          </w:p>
        </w:tc>
        <w:tc>
          <w:tcPr>
            <w:tcW w:w="3512" w:type="dxa"/>
          </w:tcPr>
          <w:p w14:paraId="5B1C6C43" w14:textId="128E6551" w:rsidR="007E6015" w:rsidRPr="00A91999" w:rsidRDefault="007E6015" w:rsidP="00302135">
            <w:pPr>
              <w:pStyle w:val="Tableheaderrow"/>
              <w:keepNext/>
              <w:keepLines/>
              <w:rPr>
                <w:rFonts w:cs="Arial"/>
              </w:rPr>
            </w:pPr>
            <w:r w:rsidRPr="008E6FE7">
              <w:rPr>
                <w:rFonts w:cs="Arial"/>
                <w:szCs w:val="20"/>
              </w:rPr>
              <w:t>Maximum EIRP</w:t>
            </w:r>
            <w:r w:rsidR="00302135" w:rsidRPr="008E6FE7">
              <w:rPr>
                <w:rFonts w:cs="Arial"/>
                <w:szCs w:val="20"/>
              </w:rPr>
              <w:t xml:space="preserve"> (dBm)</w:t>
            </w:r>
          </w:p>
        </w:tc>
      </w:tr>
      <w:tr w:rsidR="007E6015" w:rsidRPr="00E162C4" w14:paraId="1A100DF7" w14:textId="77777777" w:rsidTr="009631F1">
        <w:trPr>
          <w:cnfStyle w:val="000000100000" w:firstRow="0" w:lastRow="0" w:firstColumn="0" w:lastColumn="0" w:oddVBand="0" w:evenVBand="0" w:oddHBand="1" w:evenHBand="0" w:firstRowFirstColumn="0" w:firstRowLastColumn="0" w:lastRowFirstColumn="0" w:lastRowLastColumn="0"/>
        </w:trPr>
        <w:tc>
          <w:tcPr>
            <w:tcW w:w="2437" w:type="dxa"/>
            <w:shd w:val="clear" w:color="auto" w:fill="auto"/>
          </w:tcPr>
          <w:p w14:paraId="38C6E9D8" w14:textId="4FA72BE2" w:rsidR="007E6015" w:rsidRPr="00E162C4" w:rsidRDefault="007E6015" w:rsidP="00302135">
            <w:pPr>
              <w:pStyle w:val="TableBody"/>
              <w:keepNext/>
              <w:keepLines/>
            </w:pPr>
            <w:r w:rsidRPr="007E6015">
              <w:t>1.7175</w:t>
            </w:r>
            <w:r w:rsidR="00A91999">
              <w:t>–</w:t>
            </w:r>
            <w:r w:rsidRPr="007E6015">
              <w:t>1.7925 MHz</w:t>
            </w:r>
          </w:p>
        </w:tc>
        <w:tc>
          <w:tcPr>
            <w:tcW w:w="3512" w:type="dxa"/>
            <w:shd w:val="clear" w:color="auto" w:fill="auto"/>
          </w:tcPr>
          <w:p w14:paraId="4205DB36" w14:textId="04E0F7C0" w:rsidR="007E6015" w:rsidRPr="00E162C4" w:rsidRDefault="00800080" w:rsidP="00302135">
            <w:pPr>
              <w:pStyle w:val="TableBody"/>
              <w:keepNext/>
              <w:keepLines/>
            </w:pPr>
            <w:r>
              <w:t>1.23</w:t>
            </w:r>
          </w:p>
        </w:tc>
      </w:tr>
      <w:tr w:rsidR="00800080" w:rsidRPr="00E162C4" w14:paraId="5D4820D6" w14:textId="77777777" w:rsidTr="009631F1">
        <w:trPr>
          <w:cnfStyle w:val="000000010000" w:firstRow="0" w:lastRow="0" w:firstColumn="0" w:lastColumn="0" w:oddVBand="0" w:evenVBand="0" w:oddHBand="0" w:evenHBand="1" w:firstRowFirstColumn="0" w:firstRowLastColumn="0" w:lastRowFirstColumn="0" w:lastRowLastColumn="0"/>
        </w:trPr>
        <w:tc>
          <w:tcPr>
            <w:tcW w:w="2437" w:type="dxa"/>
          </w:tcPr>
          <w:p w14:paraId="74F4808A" w14:textId="093FF8D4" w:rsidR="00800080" w:rsidRPr="00E162C4" w:rsidRDefault="00800080" w:rsidP="00800080">
            <w:pPr>
              <w:pStyle w:val="TableBody"/>
              <w:keepNext/>
              <w:keepLines/>
            </w:pPr>
            <w:r w:rsidRPr="007E6015">
              <w:t>30.0625</w:t>
            </w:r>
            <w:r w:rsidR="00A91999">
              <w:t>–</w:t>
            </w:r>
            <w:r w:rsidRPr="007E6015">
              <w:t>30.3125</w:t>
            </w:r>
          </w:p>
        </w:tc>
        <w:tc>
          <w:tcPr>
            <w:tcW w:w="3512" w:type="dxa"/>
          </w:tcPr>
          <w:p w14:paraId="62F416BB" w14:textId="1E5983A6" w:rsidR="00800080" w:rsidRPr="00E162C4" w:rsidRDefault="00800080" w:rsidP="00800080">
            <w:pPr>
              <w:pStyle w:val="TableBody"/>
              <w:keepNext/>
              <w:keepLines/>
            </w:pPr>
            <w:r>
              <w:t>1.23</w:t>
            </w:r>
          </w:p>
        </w:tc>
      </w:tr>
      <w:tr w:rsidR="00800080" w:rsidRPr="00E162C4" w14:paraId="6376FDFD" w14:textId="77777777" w:rsidTr="009631F1">
        <w:trPr>
          <w:cnfStyle w:val="000000100000" w:firstRow="0" w:lastRow="0" w:firstColumn="0" w:lastColumn="0" w:oddVBand="0" w:evenVBand="0" w:oddHBand="1" w:evenHBand="0" w:firstRowFirstColumn="0" w:firstRowLastColumn="0" w:lastRowFirstColumn="0" w:lastRowLastColumn="0"/>
        </w:trPr>
        <w:tc>
          <w:tcPr>
            <w:tcW w:w="2437" w:type="dxa"/>
            <w:shd w:val="clear" w:color="auto" w:fill="auto"/>
          </w:tcPr>
          <w:p w14:paraId="3320A369" w14:textId="48BA675A" w:rsidR="00800080" w:rsidRPr="00E162C4" w:rsidRDefault="00800080" w:rsidP="00800080">
            <w:pPr>
              <w:pStyle w:val="TableBody"/>
              <w:keepNext/>
              <w:keepLines/>
            </w:pPr>
            <w:r w:rsidRPr="007E6015">
              <w:t>39.7625</w:t>
            </w:r>
            <w:r w:rsidR="00A91999">
              <w:t>–</w:t>
            </w:r>
            <w:r w:rsidRPr="007E6015">
              <w:t>40.250</w:t>
            </w:r>
          </w:p>
        </w:tc>
        <w:tc>
          <w:tcPr>
            <w:tcW w:w="3512" w:type="dxa"/>
            <w:shd w:val="clear" w:color="auto" w:fill="auto"/>
          </w:tcPr>
          <w:p w14:paraId="0629BBAE" w14:textId="6A6898EC" w:rsidR="00800080" w:rsidRPr="00E162C4" w:rsidRDefault="00800080" w:rsidP="00800080">
            <w:pPr>
              <w:pStyle w:val="TableBody"/>
              <w:keepNext/>
              <w:keepLines/>
            </w:pPr>
            <w:r>
              <w:t>1.23</w:t>
            </w:r>
          </w:p>
        </w:tc>
      </w:tr>
      <w:tr w:rsidR="00F9034E" w:rsidRPr="00E162C4" w14:paraId="5D4E4CB5" w14:textId="77777777" w:rsidTr="009631F1">
        <w:trPr>
          <w:cnfStyle w:val="000000010000" w:firstRow="0" w:lastRow="0" w:firstColumn="0" w:lastColumn="0" w:oddVBand="0" w:evenVBand="0" w:oddHBand="0" w:evenHBand="1" w:firstRowFirstColumn="0" w:firstRowLastColumn="0" w:lastRowFirstColumn="0" w:lastRowLastColumn="0"/>
        </w:trPr>
        <w:tc>
          <w:tcPr>
            <w:tcW w:w="2437" w:type="dxa"/>
            <w:vMerge w:val="restart"/>
            <w:shd w:val="clear" w:color="auto" w:fill="auto"/>
          </w:tcPr>
          <w:p w14:paraId="39E7F3B3" w14:textId="21B5D35D" w:rsidR="00F9034E" w:rsidRPr="007E6015" w:rsidRDefault="00F9034E" w:rsidP="00F9034E">
            <w:pPr>
              <w:pStyle w:val="TableBody"/>
              <w:keepNext/>
              <w:keepLines/>
            </w:pPr>
            <w:r w:rsidRPr="007E6015">
              <w:t>1880</w:t>
            </w:r>
            <w:r w:rsidR="00A91999">
              <w:t>–</w:t>
            </w:r>
            <w:r w:rsidRPr="007E6015">
              <w:t>1900</w:t>
            </w:r>
          </w:p>
        </w:tc>
        <w:tc>
          <w:tcPr>
            <w:tcW w:w="3512" w:type="dxa"/>
            <w:shd w:val="clear" w:color="auto" w:fill="auto"/>
          </w:tcPr>
          <w:p w14:paraId="127CEAF4" w14:textId="22DEA0D8" w:rsidR="00F9034E" w:rsidRPr="00E162C4" w:rsidRDefault="00F9034E" w:rsidP="00F9034E">
            <w:pPr>
              <w:pStyle w:val="TableBody"/>
              <w:keepNext/>
              <w:keepLines/>
            </w:pPr>
            <w:r>
              <w:t xml:space="preserve">36 for devices covered by Part 1 </w:t>
            </w:r>
            <w:r w:rsidR="00726D11">
              <w:br/>
            </w:r>
            <w:r>
              <w:t xml:space="preserve">of ETSI 301 406 </w:t>
            </w:r>
            <w:r>
              <w:rPr>
                <w:bCs/>
                <w:iCs/>
              </w:rPr>
              <w:t xml:space="preserve">‘Digital Enhanced Cordless Telecommunications (DECT); Harmonised Standard </w:t>
            </w:r>
            <w:r w:rsidR="0005114D">
              <w:rPr>
                <w:bCs/>
                <w:iCs/>
              </w:rPr>
              <w:t xml:space="preserve">for access to radio spectrum’ </w:t>
            </w:r>
            <w:r>
              <w:rPr>
                <w:bCs/>
                <w:iCs/>
              </w:rPr>
              <w:t>(ETSI 301 406)</w:t>
            </w:r>
          </w:p>
        </w:tc>
      </w:tr>
      <w:tr w:rsidR="00F9034E" w:rsidRPr="00E162C4" w14:paraId="011A526B" w14:textId="77777777" w:rsidTr="009631F1">
        <w:trPr>
          <w:cnfStyle w:val="000000100000" w:firstRow="0" w:lastRow="0" w:firstColumn="0" w:lastColumn="0" w:oddVBand="0" w:evenVBand="0" w:oddHBand="1" w:evenHBand="0" w:firstRowFirstColumn="0" w:firstRowLastColumn="0" w:lastRowFirstColumn="0" w:lastRowLastColumn="0"/>
        </w:trPr>
        <w:tc>
          <w:tcPr>
            <w:tcW w:w="2437" w:type="dxa"/>
            <w:vMerge/>
            <w:shd w:val="clear" w:color="auto" w:fill="auto"/>
          </w:tcPr>
          <w:p w14:paraId="30438CB0" w14:textId="77777777" w:rsidR="00F9034E" w:rsidRPr="007E6015" w:rsidRDefault="00F9034E" w:rsidP="00F9034E">
            <w:pPr>
              <w:pStyle w:val="TableBody"/>
              <w:keepNext/>
              <w:keepLines/>
            </w:pPr>
          </w:p>
        </w:tc>
        <w:tc>
          <w:tcPr>
            <w:tcW w:w="3512" w:type="dxa"/>
            <w:shd w:val="clear" w:color="auto" w:fill="auto"/>
          </w:tcPr>
          <w:p w14:paraId="2A790DFC" w14:textId="0271A41B" w:rsidR="00F9034E" w:rsidRDefault="00F9034E" w:rsidP="00F9034E">
            <w:pPr>
              <w:pStyle w:val="TableBody"/>
              <w:keepNext/>
              <w:keepLines/>
            </w:pPr>
            <w:r>
              <w:t>30 for devices covered by Part 2 of ETSI 301 406</w:t>
            </w:r>
          </w:p>
        </w:tc>
      </w:tr>
    </w:tbl>
    <w:bookmarkEnd w:id="14"/>
    <w:p w14:paraId="0B37F332" w14:textId="04812C99" w:rsidR="007E6015" w:rsidRDefault="00302135" w:rsidP="0014512A">
      <w:pPr>
        <w:pStyle w:val="Paragraph"/>
        <w:spacing w:before="240"/>
      </w:pPr>
      <w:r>
        <w:t xml:space="preserve">On 19 October 2017, the </w:t>
      </w:r>
      <w:hyperlink r:id="rId28" w:history="1">
        <w:r w:rsidRPr="002334B8">
          <w:rPr>
            <w:rStyle w:val="Hyperlink"/>
          </w:rPr>
          <w:t>Radiocommunications (Cordless Telephone) Standard 2008</w:t>
        </w:r>
      </w:hyperlink>
      <w:r>
        <w:t xml:space="preserve"> (the 2008 </w:t>
      </w:r>
      <w:r w:rsidR="00726D11">
        <w:t>c</w:t>
      </w:r>
      <w:r>
        <w:t xml:space="preserve">ordless </w:t>
      </w:r>
      <w:r w:rsidR="00726D11">
        <w:t>t</w:t>
      </w:r>
      <w:r>
        <w:t xml:space="preserve">elephone </w:t>
      </w:r>
      <w:r w:rsidR="00726D11">
        <w:t>s</w:t>
      </w:r>
      <w:r>
        <w:t>tandard) was repealed. It was considered</w:t>
      </w:r>
      <w:r w:rsidRPr="00302135">
        <w:t xml:space="preserve"> unlikely that </w:t>
      </w:r>
      <w:r w:rsidR="00F9034E">
        <w:t>medium</w:t>
      </w:r>
      <w:r w:rsidR="00AF14AF">
        <w:t>-</w:t>
      </w:r>
      <w:r w:rsidR="00F9034E">
        <w:t>frequency and high</w:t>
      </w:r>
      <w:r w:rsidR="00AF14AF">
        <w:t>-</w:t>
      </w:r>
      <w:r w:rsidR="00F9034E">
        <w:t>frequency c</w:t>
      </w:r>
      <w:r w:rsidRPr="00302135">
        <w:t xml:space="preserve">ordless </w:t>
      </w:r>
      <w:r w:rsidR="00F9034E">
        <w:t>t</w:t>
      </w:r>
      <w:r w:rsidRPr="00302135">
        <w:t xml:space="preserve">elephone equipment </w:t>
      </w:r>
      <w:r>
        <w:t>would</w:t>
      </w:r>
      <w:r w:rsidRPr="00302135">
        <w:t xml:space="preserve"> continue to be supplied in Australia in quant</w:t>
      </w:r>
      <w:r>
        <w:t>it</w:t>
      </w:r>
      <w:r w:rsidRPr="00302135">
        <w:t xml:space="preserve">ies large enough that the need for a mandatory standard </w:t>
      </w:r>
      <w:r w:rsidR="00F9034E">
        <w:t>wa</w:t>
      </w:r>
      <w:r w:rsidRPr="00302135">
        <w:t xml:space="preserve">s justified. </w:t>
      </w:r>
      <w:r>
        <w:t>However, it was noted that o</w:t>
      </w:r>
      <w:r w:rsidRPr="00302135">
        <w:t>peration of equipment that complie</w:t>
      </w:r>
      <w:r>
        <w:t>d</w:t>
      </w:r>
      <w:r w:rsidRPr="00302135">
        <w:t xml:space="preserve"> with the </w:t>
      </w:r>
      <w:r>
        <w:t xml:space="preserve">standard would </w:t>
      </w:r>
      <w:r w:rsidRPr="00302135">
        <w:t xml:space="preserve">continue to be authorised by the </w:t>
      </w:r>
      <w:r>
        <w:t xml:space="preserve">CCD class licence. </w:t>
      </w:r>
    </w:p>
    <w:p w14:paraId="35D0796D" w14:textId="17A501CC" w:rsidR="00A857B2" w:rsidRDefault="00302135" w:rsidP="00A857B2">
      <w:pPr>
        <w:pStyle w:val="Paragraphbeforelist"/>
      </w:pPr>
      <w:r>
        <w:t>The 2008 Cordless Telephone Standard</w:t>
      </w:r>
      <w:r w:rsidR="00A857B2">
        <w:t xml:space="preserve"> required that devices comply with </w:t>
      </w:r>
      <w:r w:rsidR="00A857B2" w:rsidRPr="00A857B2">
        <w:t>AS/NZS 4281:2007</w:t>
      </w:r>
      <w:r w:rsidR="00F9034E">
        <w:t xml:space="preserve"> ‘</w:t>
      </w:r>
      <w:r w:rsidR="00F9034E" w:rsidRPr="00A857B2">
        <w:t>Radiocommunications requirements for cordless telephones operating in the 1.7 MHz and between 30 and 41 MHz frequency bands</w:t>
      </w:r>
      <w:r w:rsidR="00F9034E">
        <w:t>’</w:t>
      </w:r>
      <w:r w:rsidR="00A857B2">
        <w:t>, which has also since been withdrawn. However, th</w:t>
      </w:r>
      <w:r w:rsidR="00F9034E">
        <w:t>at AS/NZS</w:t>
      </w:r>
      <w:r w:rsidR="00A857B2">
        <w:t xml:space="preserve"> standard included the following limits for the field strength of a transmitter:</w:t>
      </w:r>
    </w:p>
    <w:p w14:paraId="5D798CBB" w14:textId="0F5A81B1" w:rsidR="00A857B2" w:rsidRDefault="00A857B2" w:rsidP="00A857B2">
      <w:pPr>
        <w:pStyle w:val="Bulletlevel1"/>
      </w:pPr>
      <w:r>
        <w:t>In Australia</w:t>
      </w:r>
      <w:r w:rsidR="00AF14AF">
        <w:t>,</w:t>
      </w:r>
      <w:r>
        <w:t xml:space="preserve"> the field strength of the transmitter’s carrier shall not exceed 86</w:t>
      </w:r>
      <w:r w:rsidR="00800080">
        <w:t> </w:t>
      </w:r>
      <w:r>
        <w:t>dB</w:t>
      </w:r>
      <w:r w:rsidRPr="00A857B2">
        <w:t>µ</w:t>
      </w:r>
      <w:r>
        <w:t>V/m at a distance of 10 m</w:t>
      </w:r>
      <w:r w:rsidR="00AF14AF">
        <w:t>.</w:t>
      </w:r>
    </w:p>
    <w:p w14:paraId="234F39E8" w14:textId="1E2E0E9D" w:rsidR="00A857B2" w:rsidRDefault="00A857B2" w:rsidP="00A857B2">
      <w:pPr>
        <w:pStyle w:val="Bulletlevel1last"/>
      </w:pPr>
      <w:r>
        <w:t>In New Zealand</w:t>
      </w:r>
      <w:r w:rsidR="00AF14AF">
        <w:t>,</w:t>
      </w:r>
      <w:r>
        <w:t xml:space="preserve"> the field strength of the transmitter’s carrier shall not exceed 107 dB</w:t>
      </w:r>
      <w:r w:rsidRPr="00A857B2">
        <w:t>µ</w:t>
      </w:r>
      <w:r>
        <w:t>V/m at a distance of 10 m</w:t>
      </w:r>
      <w:r w:rsidR="0005114D">
        <w:t>.</w:t>
      </w:r>
    </w:p>
    <w:p w14:paraId="17D1AF85" w14:textId="61034504" w:rsidR="00800080" w:rsidRDefault="00800080" w:rsidP="007E6015">
      <w:pPr>
        <w:pStyle w:val="Paragraph"/>
      </w:pPr>
      <w:r>
        <w:t>A field strength of 86 dB</w:t>
      </w:r>
      <w:r w:rsidRPr="00A857B2">
        <w:t>µ</w:t>
      </w:r>
      <w:r>
        <w:t>V/m at a distance of 10 m is equivalent to 1.</w:t>
      </w:r>
      <w:r w:rsidR="00200438">
        <w:t>2</w:t>
      </w:r>
      <w:r>
        <w:t>3 dBm EIRP. Therefore, this is the proposed limit for devices in the 1.7175</w:t>
      </w:r>
      <w:r w:rsidR="00AF14AF">
        <w:t>–</w:t>
      </w:r>
      <w:r>
        <w:t xml:space="preserve">1.7925 MHz, </w:t>
      </w:r>
      <w:r w:rsidR="00AF14AF">
        <w:br/>
      </w:r>
      <w:r>
        <w:t>30.0625</w:t>
      </w:r>
      <w:r w:rsidR="00AF14AF">
        <w:t>–</w:t>
      </w:r>
      <w:r>
        <w:t>30.3125 MHz and 39.7625</w:t>
      </w:r>
      <w:r w:rsidR="00AF14AF">
        <w:t>–</w:t>
      </w:r>
      <w:r>
        <w:t xml:space="preserve">40.250 MHz frequency ranges.   </w:t>
      </w:r>
    </w:p>
    <w:p w14:paraId="4C3908C4" w14:textId="15392BB9" w:rsidR="00055924" w:rsidRDefault="00C879DA" w:rsidP="007E6015">
      <w:pPr>
        <w:pStyle w:val="Paragraph"/>
      </w:pPr>
      <w:r>
        <w:t xml:space="preserve">In New Zealand, cordless telephones are authorised by a </w:t>
      </w:r>
      <w:hyperlink r:id="rId29" w:history="1">
        <w:r w:rsidRPr="00800080">
          <w:rPr>
            <w:rStyle w:val="Hyperlink"/>
          </w:rPr>
          <w:t>General User Radio Licence</w:t>
        </w:r>
      </w:hyperlink>
      <w:r w:rsidRPr="00C879DA">
        <w:t xml:space="preserve"> (GURL).</w:t>
      </w:r>
      <w:r w:rsidR="00800080">
        <w:t xml:space="preserve"> The maximum EIRP for cordless telephones in the </w:t>
      </w:r>
      <w:r w:rsidR="00800080" w:rsidRPr="00800080">
        <w:t>1.7125</w:t>
      </w:r>
      <w:r w:rsidR="00AF14AF">
        <w:t>–</w:t>
      </w:r>
      <w:r w:rsidR="00800080" w:rsidRPr="00055924">
        <w:t>1.7975 MHz, 30.0625</w:t>
      </w:r>
      <w:r w:rsidR="00AF14AF">
        <w:t>–</w:t>
      </w:r>
      <w:r w:rsidR="00800080" w:rsidRPr="00055924">
        <w:t>30.7875 MHz, 40.0125</w:t>
      </w:r>
      <w:r w:rsidR="00AF14AF">
        <w:t>–</w:t>
      </w:r>
      <w:r w:rsidR="00800080" w:rsidRPr="00055924">
        <w:t>40.2375 MHz and 39.7625</w:t>
      </w:r>
      <w:r w:rsidR="00AF14AF">
        <w:t>–</w:t>
      </w:r>
      <w:r w:rsidR="00800080" w:rsidRPr="00055924">
        <w:t>40.4875 MHz ranges</w:t>
      </w:r>
      <w:r w:rsidR="00200438">
        <w:rPr>
          <w:rStyle w:val="FootnoteReference"/>
        </w:rPr>
        <w:footnoteReference w:id="2"/>
      </w:r>
      <w:r w:rsidR="00800080" w:rsidRPr="00055924">
        <w:t xml:space="preserve"> is </w:t>
      </w:r>
      <w:r w:rsidR="00055924">
        <w:noBreakHyphen/>
      </w:r>
      <w:r w:rsidR="00800080" w:rsidRPr="00055924">
        <w:t>8</w:t>
      </w:r>
      <w:r w:rsidR="00055924">
        <w:t> </w:t>
      </w:r>
      <w:r w:rsidR="00800080" w:rsidRPr="00055924">
        <w:t>dBW</w:t>
      </w:r>
      <w:r w:rsidR="00055924" w:rsidRPr="00055924">
        <w:t xml:space="preserve"> (which is approximately equivalent to a field strength of </w:t>
      </w:r>
      <w:r w:rsidR="00055924">
        <w:t>107 dB</w:t>
      </w:r>
      <w:r w:rsidR="00055924" w:rsidRPr="00A857B2">
        <w:t>µ</w:t>
      </w:r>
      <w:r w:rsidR="00055924">
        <w:t xml:space="preserve">V/m at a distance of 10 m). </w:t>
      </w:r>
    </w:p>
    <w:p w14:paraId="2D013378" w14:textId="57E9A0F2" w:rsidR="00C87E8A" w:rsidRDefault="00055924" w:rsidP="007E6015">
      <w:pPr>
        <w:pStyle w:val="Paragraph"/>
      </w:pPr>
      <w:r>
        <w:t>While the proposed maximum EIRP</w:t>
      </w:r>
      <w:r w:rsidR="00BB0042">
        <w:t xml:space="preserve"> in the</w:t>
      </w:r>
      <w:r w:rsidR="00315685">
        <w:t xml:space="preserve"> draft instrument</w:t>
      </w:r>
      <w:r>
        <w:t xml:space="preserve"> for </w:t>
      </w:r>
      <w:r w:rsidR="00315685">
        <w:t>CCD</w:t>
      </w:r>
      <w:r w:rsidR="005711B2">
        <w:t xml:space="preserve"> operating</w:t>
      </w:r>
      <w:r>
        <w:t xml:space="preserve"> in the 1.7175</w:t>
      </w:r>
      <w:r w:rsidR="00831A1E">
        <w:t>–</w:t>
      </w:r>
      <w:r>
        <w:t>1.7925 MHz, 30.0625</w:t>
      </w:r>
      <w:r w:rsidR="00831A1E">
        <w:t>–</w:t>
      </w:r>
      <w:r>
        <w:t xml:space="preserve">30.3125 MHz </w:t>
      </w:r>
      <w:r w:rsidR="00315685">
        <w:t>or</w:t>
      </w:r>
      <w:r>
        <w:t xml:space="preserve"> 39.7625</w:t>
      </w:r>
      <w:r w:rsidR="00831A1E">
        <w:t>–</w:t>
      </w:r>
      <w:r>
        <w:t xml:space="preserve">40.250 MHz frequency ranges is 1.23 dBm, comment is sought on whether </w:t>
      </w:r>
      <w:r w:rsidR="00BB0042">
        <w:t xml:space="preserve">the </w:t>
      </w:r>
      <w:r>
        <w:t>EIRP limit should instead be aligned with the higher limit of 22 dBm</w:t>
      </w:r>
      <w:r w:rsidR="00200438">
        <w:rPr>
          <w:rStyle w:val="FootnoteReference"/>
        </w:rPr>
        <w:footnoteReference w:id="3"/>
      </w:r>
      <w:r>
        <w:t xml:space="preserve"> allowed in New Zealand. </w:t>
      </w:r>
    </w:p>
    <w:p w14:paraId="01052D3D" w14:textId="67019831" w:rsidR="00F1227E" w:rsidRDefault="00055924" w:rsidP="007E6015">
      <w:pPr>
        <w:pStyle w:val="Paragraph"/>
      </w:pPr>
      <w:r>
        <w:lastRenderedPageBreak/>
        <w:t xml:space="preserve">The maximum EIRP for </w:t>
      </w:r>
      <w:r w:rsidR="001F7F94">
        <w:t xml:space="preserve">devices </w:t>
      </w:r>
      <w:r w:rsidR="005711B2">
        <w:t xml:space="preserve">operating in accordance with </w:t>
      </w:r>
      <w:r w:rsidR="00315685">
        <w:t xml:space="preserve">Part 1 of </w:t>
      </w:r>
      <w:r w:rsidR="001F7F94" w:rsidRPr="005E672D">
        <w:t>ETSI 301 406</w:t>
      </w:r>
      <w:r w:rsidR="001F7F94">
        <w:rPr>
          <w:rStyle w:val="FootnoteReference"/>
        </w:rPr>
        <w:footnoteReference w:id="4"/>
      </w:r>
      <w:r w:rsidR="001F7F94">
        <w:t xml:space="preserve"> in </w:t>
      </w:r>
      <w:r>
        <w:t>the 1880</w:t>
      </w:r>
      <w:r w:rsidR="00C82CF4">
        <w:t>–</w:t>
      </w:r>
      <w:r>
        <w:t>1900 MHz band is proposed to be 36 dBm</w:t>
      </w:r>
      <w:r w:rsidR="005E672D">
        <w:t xml:space="preserve"> </w:t>
      </w:r>
      <w:r>
        <w:t xml:space="preserve">This is in line with current arrangements which stipulate a peak EIRP of 36 dBm. </w:t>
      </w:r>
    </w:p>
    <w:p w14:paraId="3463FF11" w14:textId="71A244E0" w:rsidR="00F1227E" w:rsidRDefault="001F7F94" w:rsidP="007E6015">
      <w:pPr>
        <w:pStyle w:val="Paragraph"/>
      </w:pPr>
      <w:r>
        <w:t>T</w:t>
      </w:r>
      <w:r w:rsidRPr="001F7F94">
        <w:t>o ensure support for future DECT in 1880</w:t>
      </w:r>
      <w:r w:rsidR="00C82CF4">
        <w:t>–</w:t>
      </w:r>
      <w:r w:rsidRPr="001F7F94">
        <w:t>1900 MHz</w:t>
      </w:r>
      <w:r>
        <w:t>, the maximum EIRP</w:t>
      </w:r>
      <w:r w:rsidRPr="001F7F94">
        <w:t xml:space="preserve"> </w:t>
      </w:r>
      <w:r>
        <w:t xml:space="preserve">for devices </w:t>
      </w:r>
      <w:r w:rsidR="00D05AB8">
        <w:t>operating in accordance with the</w:t>
      </w:r>
      <w:r>
        <w:t xml:space="preserve"> </w:t>
      </w:r>
      <w:r w:rsidR="00315685">
        <w:t xml:space="preserve">Part 2 of </w:t>
      </w:r>
      <w:r w:rsidRPr="005E672D">
        <w:t>ETSI 301 406</w:t>
      </w:r>
      <w:r>
        <w:rPr>
          <w:rStyle w:val="FootnoteReference"/>
        </w:rPr>
        <w:footnoteReference w:id="5"/>
      </w:r>
      <w:r>
        <w:t xml:space="preserve"> </w:t>
      </w:r>
      <w:r w:rsidR="00D05AB8">
        <w:t xml:space="preserve">in the </w:t>
      </w:r>
      <w:r w:rsidR="00C82CF4">
        <w:br/>
      </w:r>
      <w:r w:rsidR="00D05AB8">
        <w:t>1880</w:t>
      </w:r>
      <w:r w:rsidR="00C82CF4">
        <w:t>–</w:t>
      </w:r>
      <w:r w:rsidR="00D05AB8">
        <w:t xml:space="preserve">1900 MHz band </w:t>
      </w:r>
      <w:r>
        <w:t>is proposed to be</w:t>
      </w:r>
      <w:r w:rsidR="00F1227E">
        <w:t xml:space="preserve"> 30 dBm</w:t>
      </w:r>
      <w:r>
        <w:t xml:space="preserve">. This is in line with arrangements </w:t>
      </w:r>
      <w:r w:rsidR="00C82CF4">
        <w:br/>
      </w:r>
      <w:r>
        <w:t xml:space="preserve">for DECT-2020 NR (New Radio) detailed in </w:t>
      </w:r>
      <w:r w:rsidR="00315685">
        <w:t xml:space="preserve">Part 2 of </w:t>
      </w:r>
      <w:r w:rsidRPr="005E672D">
        <w:t>ETSI 301 406</w:t>
      </w:r>
      <w:r>
        <w:t>.</w:t>
      </w:r>
    </w:p>
    <w:p w14:paraId="6A9965D0" w14:textId="5E59C193" w:rsidR="00055924" w:rsidRDefault="00952D85" w:rsidP="007E6015">
      <w:pPr>
        <w:pStyle w:val="Paragraph"/>
      </w:pPr>
      <w:r>
        <w:t xml:space="preserve">This is also consistent with the Equipment Rules. </w:t>
      </w:r>
    </w:p>
    <w:p w14:paraId="07C0C106" w14:textId="046A9559" w:rsidR="00E205BF" w:rsidRDefault="00E205BF" w:rsidP="00E205BF">
      <w:pPr>
        <w:pStyle w:val="Heading2"/>
      </w:pPr>
      <w:bookmarkStart w:id="17" w:name="_Toc163197134"/>
      <w:r>
        <w:t>Consumer equipment</w:t>
      </w:r>
      <w:bookmarkEnd w:id="17"/>
    </w:p>
    <w:p w14:paraId="59D154E1" w14:textId="263E3133" w:rsidR="00E205BF" w:rsidRDefault="00E205BF" w:rsidP="007E6015">
      <w:pPr>
        <w:pStyle w:val="Paragraph"/>
      </w:pPr>
      <w:r>
        <w:t>The CCD class licence</w:t>
      </w:r>
      <w:r w:rsidR="00315685">
        <w:t xml:space="preserve"> currently</w:t>
      </w:r>
      <w:r>
        <w:t xml:space="preserve"> includes the following condition in </w:t>
      </w:r>
      <w:r w:rsidR="00315685">
        <w:t>s</w:t>
      </w:r>
      <w:r>
        <w:t>ection 6:</w:t>
      </w:r>
    </w:p>
    <w:p w14:paraId="2A7E2FDB" w14:textId="2AEC6E49" w:rsidR="00E205BF" w:rsidRPr="002334B8" w:rsidRDefault="00E205BF" w:rsidP="00E205BF">
      <w:pPr>
        <w:pStyle w:val="Paragraph"/>
        <w:numPr>
          <w:ilvl w:val="0"/>
          <w:numId w:val="24"/>
        </w:numPr>
        <w:spacing w:after="80"/>
        <w:rPr>
          <w:sz w:val="18"/>
          <w:szCs w:val="18"/>
        </w:rPr>
      </w:pPr>
      <w:r w:rsidRPr="002334B8">
        <w:rPr>
          <w:sz w:val="18"/>
          <w:szCs w:val="18"/>
        </w:rPr>
        <w:t>….. it is a condition of the operation of a cordless communications device that the device:</w:t>
      </w:r>
    </w:p>
    <w:p w14:paraId="5568A86E" w14:textId="6A34889B" w:rsidR="00E205BF" w:rsidRPr="002334B8" w:rsidRDefault="00E205BF" w:rsidP="00E205BF">
      <w:pPr>
        <w:pStyle w:val="Paragraph"/>
        <w:spacing w:after="80"/>
        <w:ind w:left="1134" w:hanging="425"/>
        <w:rPr>
          <w:sz w:val="18"/>
          <w:szCs w:val="18"/>
        </w:rPr>
      </w:pPr>
      <w:r w:rsidRPr="002334B8">
        <w:rPr>
          <w:sz w:val="18"/>
          <w:szCs w:val="18"/>
        </w:rPr>
        <w:t xml:space="preserve">(a) </w:t>
      </w:r>
      <w:r w:rsidRPr="002334B8">
        <w:rPr>
          <w:sz w:val="18"/>
          <w:szCs w:val="18"/>
        </w:rPr>
        <w:tab/>
        <w:t>must be used only for private purposes; and</w:t>
      </w:r>
    </w:p>
    <w:p w14:paraId="7A747557" w14:textId="7C69812A" w:rsidR="00E205BF" w:rsidRPr="002334B8" w:rsidRDefault="00E205BF" w:rsidP="00E205BF">
      <w:pPr>
        <w:pStyle w:val="Paragraph"/>
        <w:spacing w:after="80"/>
        <w:ind w:left="1134" w:hanging="425"/>
        <w:rPr>
          <w:sz w:val="18"/>
          <w:szCs w:val="18"/>
        </w:rPr>
      </w:pPr>
      <w:r w:rsidRPr="002334B8">
        <w:rPr>
          <w:sz w:val="18"/>
          <w:szCs w:val="18"/>
        </w:rPr>
        <w:t xml:space="preserve">(b) </w:t>
      </w:r>
      <w:r w:rsidRPr="002334B8">
        <w:rPr>
          <w:sz w:val="18"/>
          <w:szCs w:val="18"/>
        </w:rPr>
        <w:tab/>
        <w:t>must not be used for the provision of commercial cordless telecommunications services to the public; and</w:t>
      </w:r>
    </w:p>
    <w:p w14:paraId="4E67BE8B" w14:textId="768D26CF" w:rsidR="00E205BF" w:rsidRDefault="00E205BF" w:rsidP="00E205BF">
      <w:pPr>
        <w:pStyle w:val="Paragraph"/>
        <w:ind w:left="1134" w:hanging="425"/>
      </w:pPr>
      <w:r w:rsidRPr="002334B8">
        <w:rPr>
          <w:sz w:val="18"/>
          <w:szCs w:val="18"/>
        </w:rPr>
        <w:t xml:space="preserve">(c) </w:t>
      </w:r>
      <w:r w:rsidRPr="002334B8">
        <w:rPr>
          <w:sz w:val="18"/>
          <w:szCs w:val="18"/>
        </w:rPr>
        <w:tab/>
        <w:t>must not be used for the provision of a connection under a wireless local loop arrangement.</w:t>
      </w:r>
    </w:p>
    <w:p w14:paraId="258835E0" w14:textId="2C537AD2" w:rsidR="00E205BF" w:rsidRDefault="00E205BF" w:rsidP="00E205BF">
      <w:pPr>
        <w:pStyle w:val="Paragraph"/>
      </w:pPr>
      <w:r>
        <w:t xml:space="preserve">This provision limits the application of the CCD class licence to </w:t>
      </w:r>
      <w:r w:rsidR="00315685">
        <w:t>CCD</w:t>
      </w:r>
      <w:r>
        <w:t xml:space="preserve"> on the consumer side of the boundary of a telecommunications network. That is, the CCD class licence is for authorisation of consumer equipment for private purposes rather than commercial telecommunications services. </w:t>
      </w:r>
    </w:p>
    <w:p w14:paraId="78998D54" w14:textId="44DC6BDD" w:rsidR="00E205BF" w:rsidRPr="00E162C4" w:rsidRDefault="00E205BF" w:rsidP="00E205BF">
      <w:pPr>
        <w:pStyle w:val="Paragraph"/>
      </w:pPr>
      <w:r>
        <w:t>Conditions are included in the draft new instrument to maintain these limitations</w:t>
      </w:r>
      <w:r w:rsidR="00315685">
        <w:t>, but instead relying on the concept</w:t>
      </w:r>
      <w:r w:rsidR="00364ACA">
        <w:t>s</w:t>
      </w:r>
      <w:r w:rsidR="00315685">
        <w:t xml:space="preserve"> of the boundary of a telecommunications network</w:t>
      </w:r>
      <w:r w:rsidR="00364ACA">
        <w:t xml:space="preserve"> and immediate circle</w:t>
      </w:r>
      <w:r w:rsidR="00315685">
        <w:t xml:space="preserve">, as defined in the </w:t>
      </w:r>
      <w:r w:rsidR="00315685">
        <w:rPr>
          <w:i/>
          <w:iCs/>
        </w:rPr>
        <w:t>Telecommunications Act 1997</w:t>
      </w:r>
      <w:r w:rsidR="00315685">
        <w:t>.</w:t>
      </w:r>
    </w:p>
    <w:p w14:paraId="4A7EC2FE" w14:textId="04BACFC4" w:rsidR="005F046C" w:rsidRPr="00E162C4" w:rsidRDefault="00080EA5" w:rsidP="005F046C">
      <w:pPr>
        <w:pStyle w:val="Heading1"/>
      </w:pPr>
      <w:bookmarkStart w:id="18" w:name="_Toc163197135"/>
      <w:r>
        <w:lastRenderedPageBreak/>
        <w:t>Consequential changes to the Equipment Rules</w:t>
      </w:r>
      <w:bookmarkEnd w:id="18"/>
    </w:p>
    <w:p w14:paraId="6120F7B3" w14:textId="236BC4E5" w:rsidR="00DF66D9" w:rsidRDefault="00DF66D9" w:rsidP="00DF66D9">
      <w:pPr>
        <w:pStyle w:val="Paragraph"/>
      </w:pPr>
      <w:r>
        <w:t>The</w:t>
      </w:r>
      <w:r w:rsidR="001F7F94">
        <w:t xml:space="preserve"> </w:t>
      </w:r>
      <w:hyperlink r:id="rId30" w:anchor="outcomes-for-this-consultation" w:history="1">
        <w:r w:rsidR="001F7F94" w:rsidRPr="002334B8">
          <w:rPr>
            <w:rStyle w:val="Hyperlink"/>
            <w:i/>
            <w:iCs/>
          </w:rPr>
          <w:t>Replanning of the 1880–1920 MHz band: Outcomes paper</w:t>
        </w:r>
      </w:hyperlink>
      <w:r w:rsidR="001F7F94">
        <w:t xml:space="preserve"> </w:t>
      </w:r>
      <w:r>
        <w:t>details the</w:t>
      </w:r>
      <w:r w:rsidR="001F7F94">
        <w:t xml:space="preserve"> outcome</w:t>
      </w:r>
      <w:r>
        <w:t>s</w:t>
      </w:r>
      <w:r w:rsidR="001F7F94">
        <w:t xml:space="preserve"> of </w:t>
      </w:r>
      <w:r w:rsidR="00C82CF4">
        <w:t>our</w:t>
      </w:r>
      <w:r>
        <w:t xml:space="preserve"> review of the 1880</w:t>
      </w:r>
      <w:r w:rsidR="00C82CF4">
        <w:t>–</w:t>
      </w:r>
      <w:r>
        <w:t xml:space="preserve">1920 MHz band. One outcome of </w:t>
      </w:r>
      <w:r w:rsidR="001F7F94">
        <w:t>this review was to update arrangements in the 1880</w:t>
      </w:r>
      <w:r w:rsidR="00C82CF4">
        <w:t>–</w:t>
      </w:r>
      <w:r w:rsidR="001F7F94">
        <w:t xml:space="preserve">1900 MHz band to </w:t>
      </w:r>
      <w:r w:rsidR="001F7F94" w:rsidRPr="002F220A">
        <w:t xml:space="preserve">support both </w:t>
      </w:r>
      <w:r w:rsidR="001F7F94" w:rsidRPr="000E5E76">
        <w:t xml:space="preserve">DECT </w:t>
      </w:r>
      <w:r w:rsidR="001F7F94" w:rsidRPr="002F220A">
        <w:t>and future DECT</w:t>
      </w:r>
      <w:r w:rsidR="001F7F94">
        <w:t xml:space="preserve"> technologies.</w:t>
      </w:r>
    </w:p>
    <w:p w14:paraId="68DEF2DD" w14:textId="1265BB50" w:rsidR="00DF66D9" w:rsidRDefault="00DF66D9" w:rsidP="00DF66D9">
      <w:pPr>
        <w:pStyle w:val="Paragraph"/>
      </w:pPr>
      <w:r>
        <w:t>As discussed in the previous section, provisions to authorise the use of future DECT</w:t>
      </w:r>
      <w:r w:rsidR="001F7F94">
        <w:t xml:space="preserve"> </w:t>
      </w:r>
      <w:r>
        <w:t xml:space="preserve">technologies are proposed to be included in the draft new </w:t>
      </w:r>
      <w:r w:rsidR="00315685">
        <w:t>instrument</w:t>
      </w:r>
      <w:r>
        <w:t xml:space="preserve">. Further, amendments are required to Equipment Rules to ensure devices currently operating in the band using legacy DECT technology continue to be supported alongside devices using newer DECT technology. </w:t>
      </w:r>
      <w:r w:rsidR="00596C2F">
        <w:rPr>
          <w:szCs w:val="22"/>
        </w:rPr>
        <w:t>A draft amendment to the Equipment Rules</w:t>
      </w:r>
      <w:r w:rsidR="00315685">
        <w:rPr>
          <w:szCs w:val="22"/>
        </w:rPr>
        <w:t xml:space="preserve"> – </w:t>
      </w:r>
      <w:r w:rsidR="00596C2F">
        <w:rPr>
          <w:szCs w:val="22"/>
        </w:rPr>
        <w:t>t</w:t>
      </w:r>
      <w:r w:rsidR="00596C2F" w:rsidRPr="00D568AF">
        <w:rPr>
          <w:szCs w:val="22"/>
        </w:rPr>
        <w:t xml:space="preserve">he </w:t>
      </w:r>
      <w:r w:rsidR="00596C2F" w:rsidRPr="005E672D">
        <w:rPr>
          <w:szCs w:val="22"/>
        </w:rPr>
        <w:t>Radiocommunications Equipment (General) Amendment Rules 202</w:t>
      </w:r>
      <w:r w:rsidR="00596C2F">
        <w:rPr>
          <w:szCs w:val="22"/>
        </w:rPr>
        <w:t>4</w:t>
      </w:r>
      <w:r w:rsidR="00596C2F" w:rsidRPr="005E672D">
        <w:rPr>
          <w:szCs w:val="22"/>
        </w:rPr>
        <w:t xml:space="preserve"> (No. 1)</w:t>
      </w:r>
      <w:r w:rsidR="00315685">
        <w:rPr>
          <w:szCs w:val="22"/>
        </w:rPr>
        <w:t xml:space="preserve"> – </w:t>
      </w:r>
      <w:r w:rsidR="00596C2F">
        <w:rPr>
          <w:szCs w:val="22"/>
        </w:rPr>
        <w:t>is included</w:t>
      </w:r>
      <w:r w:rsidR="001E72DE">
        <w:rPr>
          <w:szCs w:val="22"/>
        </w:rPr>
        <w:t xml:space="preserve"> as an attachment to</w:t>
      </w:r>
      <w:r w:rsidR="00596C2F">
        <w:rPr>
          <w:szCs w:val="22"/>
        </w:rPr>
        <w:t xml:space="preserve"> this paper for consideration.</w:t>
      </w:r>
      <w:r w:rsidR="00596C2F" w:rsidRPr="00596C2F">
        <w:t xml:space="preserve"> </w:t>
      </w:r>
    </w:p>
    <w:p w14:paraId="619E8742" w14:textId="7F4F173E" w:rsidR="00DF66D9" w:rsidRDefault="00DF66D9" w:rsidP="002334B8">
      <w:pPr>
        <w:pStyle w:val="Paragraphbeforelist"/>
      </w:pPr>
      <w:r>
        <w:t xml:space="preserve">The relevant ETSI standard for DECT technology is </w:t>
      </w:r>
      <w:r w:rsidRPr="00DF66D9">
        <w:t>ETSI EN 301 406</w:t>
      </w:r>
      <w:r>
        <w:t xml:space="preserve">. This standard is already referenced in </w:t>
      </w:r>
      <w:r w:rsidRPr="00DF66D9">
        <w:t xml:space="preserve">Part 13 of Schedule 5 </w:t>
      </w:r>
      <w:r w:rsidR="00315685">
        <w:t xml:space="preserve">to the </w:t>
      </w:r>
      <w:r w:rsidRPr="00DF66D9">
        <w:t>Equipment Rules</w:t>
      </w:r>
      <w:r w:rsidR="000467F5">
        <w:t>,</w:t>
      </w:r>
      <w:r w:rsidRPr="00DF66D9">
        <w:t xml:space="preserve"> </w:t>
      </w:r>
      <w:r>
        <w:t>which defines</w:t>
      </w:r>
      <w:r w:rsidRPr="00DF66D9">
        <w:t xml:space="preserve"> the Digital Enhanced Cordless Telecommunications Equipment Standard</w:t>
      </w:r>
      <w:r>
        <w:t>. This includes:</w:t>
      </w:r>
    </w:p>
    <w:p w14:paraId="18E9969C" w14:textId="471379ED" w:rsidR="00DF66D9" w:rsidRDefault="000C0168" w:rsidP="001E72DE">
      <w:pPr>
        <w:pStyle w:val="ListBullet"/>
      </w:pPr>
      <w:hyperlink r:id="rId31" w:history="1">
        <w:r w:rsidR="00DF66D9" w:rsidRPr="00C34919">
          <w:rPr>
            <w:rStyle w:val="Hyperlink"/>
          </w:rPr>
          <w:t>ETSI EN 301 406-1</w:t>
        </w:r>
      </w:hyperlink>
      <w:r w:rsidR="00DF66D9">
        <w:t xml:space="preserve"> Digital Enhanced Cordless Telecommunications (DECT); Harmonised Standard for access to radio spectrum; Part 1: DECT, DECT Evolution and DECT ULE (legacy DECT technology)</w:t>
      </w:r>
      <w:r w:rsidR="000467F5">
        <w:t>.</w:t>
      </w:r>
    </w:p>
    <w:p w14:paraId="08AF3859" w14:textId="2715F64F" w:rsidR="00DF66D9" w:rsidRDefault="000C0168" w:rsidP="001E72DE">
      <w:pPr>
        <w:pStyle w:val="Bulletlevel1last"/>
      </w:pPr>
      <w:hyperlink r:id="rId32" w:history="1">
        <w:r w:rsidR="00DF66D9" w:rsidRPr="00C34919">
          <w:rPr>
            <w:rStyle w:val="Hyperlink"/>
          </w:rPr>
          <w:t>ETSI EN 301 406-2</w:t>
        </w:r>
      </w:hyperlink>
      <w:r w:rsidR="00DF66D9">
        <w:t xml:space="preserve"> Digital Enhanced Cordless Telecommunications (DECT); Harmonised Standard for access to radio spectrum; Part 2: DECT-2020 NR (future DECT technology)</w:t>
      </w:r>
      <w:r w:rsidR="0005114D">
        <w:t>.</w:t>
      </w:r>
    </w:p>
    <w:p w14:paraId="1C158873" w14:textId="7E694200" w:rsidR="00596C2F" w:rsidRDefault="00596C2F" w:rsidP="00596C2F">
      <w:pPr>
        <w:pStyle w:val="Paragraph"/>
      </w:pPr>
      <w:r w:rsidRPr="00596C2F">
        <w:t>ETSI EN 301 406-2</w:t>
      </w:r>
      <w:r>
        <w:t xml:space="preserve"> for future DECT technology stipulates a different maximum EIRP </w:t>
      </w:r>
      <w:r w:rsidR="00A85EC7">
        <w:t>than</w:t>
      </w:r>
      <w:r>
        <w:t xml:space="preserve"> </w:t>
      </w:r>
      <w:r w:rsidRPr="00596C2F">
        <w:t>ETSI EN 301 406-</w:t>
      </w:r>
      <w:r>
        <w:t>1.</w:t>
      </w:r>
    </w:p>
    <w:p w14:paraId="63F6A40E" w14:textId="3192F28A" w:rsidR="00596C2F" w:rsidRDefault="00596C2F" w:rsidP="00596C2F">
      <w:pPr>
        <w:pStyle w:val="Paragraph"/>
        <w:rPr>
          <w:szCs w:val="22"/>
        </w:rPr>
      </w:pPr>
      <w:r>
        <w:t>The proposed amendment to the Equipment Rules includes provisions to address the differing maximum EIRP values</w:t>
      </w:r>
      <w:r w:rsidR="00A85EC7">
        <w:t xml:space="preserve">. </w:t>
      </w:r>
    </w:p>
    <w:p w14:paraId="0AFB9E5E" w14:textId="01205C81" w:rsidR="00DF66D9" w:rsidRPr="00E162C4" w:rsidRDefault="00DF66D9" w:rsidP="00DF66D9">
      <w:pPr>
        <w:pStyle w:val="Paragraph"/>
      </w:pPr>
    </w:p>
    <w:p w14:paraId="4779C0BA" w14:textId="77777777" w:rsidR="00080EA5" w:rsidRPr="00E162C4" w:rsidRDefault="00080EA5" w:rsidP="00080EA5">
      <w:pPr>
        <w:pStyle w:val="Heading1"/>
      </w:pPr>
      <w:bookmarkStart w:id="19" w:name="_Toc163197136"/>
      <w:r>
        <w:lastRenderedPageBreak/>
        <w:t>Future work</w:t>
      </w:r>
      <w:bookmarkEnd w:id="19"/>
    </w:p>
    <w:p w14:paraId="24E36867" w14:textId="77777777" w:rsidR="0014512A" w:rsidRDefault="0014512A" w:rsidP="0014512A">
      <w:pPr>
        <w:pStyle w:val="Paragraph"/>
      </w:pPr>
      <w:r>
        <w:t xml:space="preserve">The </w:t>
      </w:r>
      <w:hyperlink r:id="rId33" w:history="1">
        <w:r w:rsidRPr="00C84125">
          <w:rPr>
            <w:rStyle w:val="Hyperlink"/>
          </w:rPr>
          <w:t>Radiocommunications (Low Interference Potential Devices) Class Licence 2015</w:t>
        </w:r>
      </w:hyperlink>
      <w:r>
        <w:t xml:space="preserve"> (the LIPD class licence)</w:t>
      </w:r>
      <w:r w:rsidRPr="0014512A">
        <w:t xml:space="preserve"> authorise</w:t>
      </w:r>
      <w:r>
        <w:t>s</w:t>
      </w:r>
      <w:r w:rsidRPr="0014512A">
        <w:t xml:space="preserve"> the use of a broad range of radiocommunications transmitters by the general publi</w:t>
      </w:r>
      <w:r>
        <w:t xml:space="preserve">c. </w:t>
      </w:r>
      <w:r w:rsidRPr="00D568AF">
        <w:t xml:space="preserve">This instrument is due to sunset on 1 </w:t>
      </w:r>
      <w:r>
        <w:t>October</w:t>
      </w:r>
      <w:r w:rsidRPr="00D568AF">
        <w:t xml:space="preserve"> 2025.</w:t>
      </w:r>
    </w:p>
    <w:p w14:paraId="4329002C" w14:textId="3DF276B4" w:rsidR="00952D85" w:rsidRDefault="00952D85" w:rsidP="00952D85">
      <w:pPr>
        <w:pStyle w:val="Paragraph"/>
      </w:pPr>
      <w:r>
        <w:t>Given the similarities between the types of devices authorised by the CCD class licence and the LIPD class licence, there is an opportunity to include arrangements for cordless communications devices in the LIPD class licence instead of maintaining arrangements in a standalone instrument. However, the interaction between the LIPD class licence and the</w:t>
      </w:r>
      <w:r w:rsidR="00A23282">
        <w:t xml:space="preserve"> Equipment </w:t>
      </w:r>
      <w:r>
        <w:t xml:space="preserve">Rules needs to be investigated to ensure it is appropriate to include cordless communications devices in the LIPD class licence. </w:t>
      </w:r>
    </w:p>
    <w:p w14:paraId="16F88023" w14:textId="0D007CC7" w:rsidR="00A23282" w:rsidRDefault="00A23282" w:rsidP="00952D85">
      <w:pPr>
        <w:pStyle w:val="Paragraph"/>
      </w:pPr>
      <w:r>
        <w:t>The Equipment Rules</w:t>
      </w:r>
      <w:r w:rsidR="00952D85">
        <w:t xml:space="preserve"> specify standards for many devices, including short range equipment in the Short Range Equipment Standard in Part 15 of Schedule 5</w:t>
      </w:r>
      <w:r>
        <w:t>. Short</w:t>
      </w:r>
      <w:r w:rsidR="00A07DEE">
        <w:t>-</w:t>
      </w:r>
      <w:r>
        <w:t xml:space="preserve">range equipment includes all </w:t>
      </w:r>
      <w:r w:rsidR="00952D85">
        <w:t xml:space="preserve">radiocommunications devices authorised by the LIPD class licence. By authorising </w:t>
      </w:r>
      <w:r w:rsidR="00315685">
        <w:t>CCD under</w:t>
      </w:r>
      <w:r w:rsidR="003A276D">
        <w:t xml:space="preserve"> </w:t>
      </w:r>
      <w:r w:rsidR="00952D85">
        <w:t xml:space="preserve">the LIPD class licence, they </w:t>
      </w:r>
      <w:r w:rsidR="003A276D">
        <w:t xml:space="preserve">would </w:t>
      </w:r>
      <w:r w:rsidR="00952D85">
        <w:t>become, by definition, ‘short</w:t>
      </w:r>
      <w:r w:rsidR="00A07DEE">
        <w:t>-</w:t>
      </w:r>
      <w:r w:rsidR="00952D85">
        <w:t>range equipment’</w:t>
      </w:r>
      <w:r w:rsidR="003A276D">
        <w:t>,</w:t>
      </w:r>
      <w:r>
        <w:t xml:space="preserve"> and therefore the Short Range Equipment Standard would apply, where </w:t>
      </w:r>
      <w:r w:rsidR="00200438">
        <w:t>it does</w:t>
      </w:r>
      <w:r>
        <w:t xml:space="preserve"> not currently. </w:t>
      </w:r>
    </w:p>
    <w:p w14:paraId="5658849F" w14:textId="225C2C2A" w:rsidR="00A23282" w:rsidRDefault="00A23282" w:rsidP="00C84125">
      <w:pPr>
        <w:pStyle w:val="Paragraphbeforelist"/>
      </w:pPr>
      <w:r>
        <w:t>This would mean that to</w:t>
      </w:r>
      <w:r w:rsidRPr="00A23282">
        <w:t xml:space="preserve"> determine whether a </w:t>
      </w:r>
      <w:r w:rsidR="00315685">
        <w:t>CCD</w:t>
      </w:r>
      <w:r w:rsidRPr="00A23282">
        <w:t xml:space="preserve"> meets the requirements of the Short Range Equipment Standard, the testing methods identified </w:t>
      </w:r>
      <w:r w:rsidR="00C84125">
        <w:t xml:space="preserve">in the </w:t>
      </w:r>
      <w:r>
        <w:t xml:space="preserve">Short Range Equipment Standard </w:t>
      </w:r>
      <w:r w:rsidRPr="00A23282">
        <w:t>for the device must be used</w:t>
      </w:r>
      <w:r w:rsidR="003F294A">
        <w:t>. The testing methods are:</w:t>
      </w:r>
    </w:p>
    <w:p w14:paraId="1CE4B3A9" w14:textId="3ACAFB0F" w:rsidR="003F294A" w:rsidRDefault="003F294A" w:rsidP="003F294A">
      <w:pPr>
        <w:pStyle w:val="Bulletlevel1"/>
      </w:pPr>
      <w:r>
        <w:t>for the 1.7175</w:t>
      </w:r>
      <w:r w:rsidR="006A30AC">
        <w:t>–</w:t>
      </w:r>
      <w:r>
        <w:t>1.7925 MHz</w:t>
      </w:r>
      <w:r w:rsidRPr="003F294A">
        <w:t xml:space="preserve"> </w:t>
      </w:r>
      <w:r>
        <w:t>band</w:t>
      </w:r>
      <w:r w:rsidR="006A30AC">
        <w:rPr>
          <w:szCs w:val="22"/>
        </w:rPr>
        <w:t>:</w:t>
      </w:r>
      <w:r w:rsidR="00315685">
        <w:rPr>
          <w:szCs w:val="22"/>
        </w:rPr>
        <w:t xml:space="preserve"> </w:t>
      </w:r>
      <w:r>
        <w:t>ETSI EN 300 330</w:t>
      </w:r>
      <w:r>
        <w:rPr>
          <w:rStyle w:val="FootnoteReference"/>
        </w:rPr>
        <w:footnoteReference w:id="6"/>
      </w:r>
    </w:p>
    <w:p w14:paraId="0CCD2374" w14:textId="3807BC31" w:rsidR="003F294A" w:rsidRDefault="003F294A" w:rsidP="003F294A">
      <w:pPr>
        <w:pStyle w:val="Bulletlevel1"/>
      </w:pPr>
      <w:r>
        <w:t>for the 30.0625</w:t>
      </w:r>
      <w:r w:rsidR="006A30AC">
        <w:t>–</w:t>
      </w:r>
      <w:r>
        <w:t>30.3125 MHz and 39.7625</w:t>
      </w:r>
      <w:r w:rsidR="006A30AC">
        <w:t>–</w:t>
      </w:r>
      <w:r>
        <w:t>40.250 MHz bands</w:t>
      </w:r>
      <w:r w:rsidR="006A30AC">
        <w:t>:</w:t>
      </w:r>
      <w:r w:rsidR="00315685">
        <w:rPr>
          <w:szCs w:val="22"/>
        </w:rPr>
        <w:t xml:space="preserve"> </w:t>
      </w:r>
      <w:r w:rsidRPr="003F294A">
        <w:t>ETSI</w:t>
      </w:r>
      <w:r>
        <w:t> </w:t>
      </w:r>
      <w:r w:rsidRPr="003F294A">
        <w:t>EN</w:t>
      </w:r>
      <w:r>
        <w:t> </w:t>
      </w:r>
      <w:r w:rsidRPr="003F294A">
        <w:t>300</w:t>
      </w:r>
      <w:r>
        <w:t> </w:t>
      </w:r>
      <w:r w:rsidRPr="003F294A">
        <w:t>220</w:t>
      </w:r>
      <w:r>
        <w:noBreakHyphen/>
      </w:r>
      <w:r w:rsidRPr="003F294A">
        <w:t>1</w:t>
      </w:r>
      <w:r>
        <w:rPr>
          <w:rStyle w:val="FootnoteReference"/>
        </w:rPr>
        <w:footnoteReference w:id="7"/>
      </w:r>
    </w:p>
    <w:p w14:paraId="34D5D070" w14:textId="49731115" w:rsidR="003F294A" w:rsidRDefault="003F294A" w:rsidP="003F294A">
      <w:pPr>
        <w:pStyle w:val="Bulletlevel1last"/>
      </w:pPr>
      <w:r>
        <w:t>for the 1880</w:t>
      </w:r>
      <w:r w:rsidR="006A30AC">
        <w:t>–</w:t>
      </w:r>
      <w:r>
        <w:t>1900 MHz band</w:t>
      </w:r>
      <w:r w:rsidR="006A30AC">
        <w:t>:</w:t>
      </w:r>
      <w:r w:rsidR="00315685">
        <w:rPr>
          <w:szCs w:val="22"/>
        </w:rPr>
        <w:t xml:space="preserve"> </w:t>
      </w:r>
      <w:r w:rsidRPr="003F294A">
        <w:t>ETSI EN 300 440</w:t>
      </w:r>
      <w:r>
        <w:rPr>
          <w:rStyle w:val="FootnoteReference"/>
        </w:rPr>
        <w:footnoteReference w:id="8"/>
      </w:r>
    </w:p>
    <w:p w14:paraId="09AA347A" w14:textId="106F6C58" w:rsidR="00A23282" w:rsidRDefault="00A23282" w:rsidP="00952D85">
      <w:pPr>
        <w:pStyle w:val="Paragraph"/>
      </w:pPr>
      <w:r>
        <w:t xml:space="preserve">Comment is sought on whether it </w:t>
      </w:r>
      <w:r w:rsidR="003A276D">
        <w:t xml:space="preserve">would be </w:t>
      </w:r>
      <w:r>
        <w:t xml:space="preserve">appropriate to include </w:t>
      </w:r>
      <w:r w:rsidR="00315685">
        <w:t>CCD</w:t>
      </w:r>
      <w:r>
        <w:t xml:space="preserve"> in a future </w:t>
      </w:r>
      <w:r w:rsidR="003A276D">
        <w:t>update to</w:t>
      </w:r>
      <w:r>
        <w:t xml:space="preserve"> the LIPD class licence. </w:t>
      </w:r>
    </w:p>
    <w:p w14:paraId="4782E214" w14:textId="61ABF35A" w:rsidR="00C02F26" w:rsidRPr="00E162C4" w:rsidRDefault="00C02F26" w:rsidP="00F71F2F">
      <w:pPr>
        <w:pStyle w:val="Paragraph"/>
      </w:pPr>
      <w:bookmarkStart w:id="20" w:name="_Toc298924672"/>
      <w:bookmarkStart w:id="21" w:name="_Toc300909555"/>
      <w:bookmarkStart w:id="22" w:name="_Toc348105636"/>
    </w:p>
    <w:p w14:paraId="0327F847" w14:textId="77777777" w:rsidR="006C1631" w:rsidRPr="00E162C4" w:rsidRDefault="006C1631" w:rsidP="006C1631">
      <w:pPr>
        <w:pStyle w:val="Heading1"/>
      </w:pPr>
      <w:bookmarkStart w:id="23" w:name="_Toc163197137"/>
      <w:bookmarkEnd w:id="20"/>
      <w:bookmarkEnd w:id="21"/>
      <w:bookmarkEnd w:id="22"/>
      <w:r w:rsidRPr="00E162C4">
        <w:lastRenderedPageBreak/>
        <w:t>Invitation to comment</w:t>
      </w:r>
      <w:bookmarkEnd w:id="23"/>
    </w:p>
    <w:p w14:paraId="2F6C7B8F" w14:textId="77777777" w:rsidR="006C1631" w:rsidRPr="00E162C4" w:rsidRDefault="006C1631" w:rsidP="006C1631">
      <w:pPr>
        <w:pStyle w:val="Heading2"/>
      </w:pPr>
      <w:bookmarkStart w:id="24" w:name="_Toc433122131"/>
      <w:bookmarkStart w:id="25" w:name="_Toc348105637"/>
      <w:bookmarkStart w:id="26" w:name="_Toc300909556"/>
      <w:bookmarkStart w:id="27" w:name="_Toc298924673"/>
      <w:bookmarkStart w:id="28" w:name="_Toc163197138"/>
      <w:bookmarkStart w:id="29" w:name="_Toc348105638"/>
      <w:bookmarkStart w:id="30" w:name="_Toc300909557"/>
      <w:bookmarkStart w:id="31" w:name="_Toc298924674"/>
      <w:bookmarkStart w:id="32" w:name="_Toc274296357"/>
      <w:r w:rsidRPr="00E162C4">
        <w:t>Making a submission</w:t>
      </w:r>
      <w:bookmarkEnd w:id="24"/>
      <w:bookmarkEnd w:id="25"/>
      <w:bookmarkEnd w:id="26"/>
      <w:bookmarkEnd w:id="27"/>
      <w:bookmarkEnd w:id="28"/>
    </w:p>
    <w:p w14:paraId="6FCCE687" w14:textId="7319D02B" w:rsidR="006C1631" w:rsidRPr="00E162C4" w:rsidRDefault="006C5FD4" w:rsidP="006C1631">
      <w:r w:rsidRPr="00E162C4">
        <w:t>We</w:t>
      </w:r>
      <w:r w:rsidR="006C1631" w:rsidRPr="00E162C4">
        <w:t xml:space="preserve"> invite comments on the issues set out in this </w:t>
      </w:r>
      <w:r w:rsidR="00315685">
        <w:t>consultation</w:t>
      </w:r>
      <w:r w:rsidR="006C1631" w:rsidRPr="00E162C4">
        <w:t xml:space="preserve"> paper. </w:t>
      </w:r>
    </w:p>
    <w:p w14:paraId="22B4C820" w14:textId="77777777" w:rsidR="0070133D" w:rsidRPr="005F046C" w:rsidRDefault="000C0168" w:rsidP="0070133D">
      <w:pPr>
        <w:pStyle w:val="Bulletlevel1"/>
      </w:pPr>
      <w:hyperlink r:id="rId34"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 xml:space="preserve">Microsoft Word or Rich Text Format are </w:t>
      </w:r>
      <w:r w:rsidR="0070133D" w:rsidRPr="005F046C">
        <w:t>preferred.</w:t>
      </w:r>
    </w:p>
    <w:p w14:paraId="0C6E2980" w14:textId="77777777" w:rsidR="006C1631" w:rsidRPr="005F046C" w:rsidRDefault="006C1631" w:rsidP="0070133D">
      <w:pPr>
        <w:pStyle w:val="Bulletlevel1"/>
      </w:pPr>
      <w:r w:rsidRPr="005F046C">
        <w:t xml:space="preserve">Submissions by post can be sent to: </w:t>
      </w:r>
    </w:p>
    <w:p w14:paraId="793ADDFA" w14:textId="77777777" w:rsidR="006C1631" w:rsidRPr="005F046C" w:rsidRDefault="006C1631" w:rsidP="006C1631">
      <w:pPr>
        <w:tabs>
          <w:tab w:val="num" w:pos="295"/>
        </w:tabs>
        <w:spacing w:after="0"/>
        <w:ind w:left="295"/>
        <w:rPr>
          <w:szCs w:val="20"/>
        </w:rPr>
      </w:pPr>
      <w:r w:rsidRPr="005F046C">
        <w:rPr>
          <w:szCs w:val="20"/>
        </w:rPr>
        <w:t>The Manager</w:t>
      </w:r>
    </w:p>
    <w:p w14:paraId="6262AECA" w14:textId="5682A814" w:rsidR="006C1631" w:rsidRPr="005F046C" w:rsidRDefault="005F046C" w:rsidP="006C1631">
      <w:pPr>
        <w:spacing w:after="0"/>
        <w:ind w:left="295"/>
        <w:rPr>
          <w:szCs w:val="20"/>
        </w:rPr>
      </w:pPr>
      <w:r w:rsidRPr="005F046C">
        <w:rPr>
          <w:szCs w:val="20"/>
        </w:rPr>
        <w:t>Spectrum Planning Section</w:t>
      </w:r>
    </w:p>
    <w:p w14:paraId="7ED855AB" w14:textId="77777777" w:rsidR="006C1631" w:rsidRPr="005F046C" w:rsidRDefault="006C1631" w:rsidP="006C1631">
      <w:pPr>
        <w:spacing w:after="0"/>
        <w:ind w:left="295"/>
        <w:rPr>
          <w:szCs w:val="20"/>
        </w:rPr>
      </w:pPr>
      <w:r w:rsidRPr="005F046C">
        <w:rPr>
          <w:szCs w:val="20"/>
        </w:rPr>
        <w:t>Australian Communications and Media Authority</w:t>
      </w:r>
    </w:p>
    <w:p w14:paraId="4C5B7C9A" w14:textId="77777777" w:rsidR="006C1631" w:rsidRPr="005F046C" w:rsidRDefault="006C1631" w:rsidP="006C1631">
      <w:pPr>
        <w:spacing w:after="0"/>
        <w:ind w:left="295"/>
        <w:rPr>
          <w:szCs w:val="20"/>
        </w:rPr>
      </w:pPr>
      <w:r w:rsidRPr="005F046C">
        <w:rPr>
          <w:szCs w:val="20"/>
        </w:rPr>
        <w:t>PO Box 78</w:t>
      </w:r>
    </w:p>
    <w:p w14:paraId="6CC806F8" w14:textId="77777777" w:rsidR="006C1631" w:rsidRPr="005F046C" w:rsidRDefault="006C1631" w:rsidP="006C1631">
      <w:pPr>
        <w:ind w:left="295"/>
        <w:rPr>
          <w:szCs w:val="20"/>
        </w:rPr>
      </w:pPr>
      <w:r w:rsidRPr="005F046C">
        <w:rPr>
          <w:szCs w:val="20"/>
        </w:rPr>
        <w:t>Belconnen ACT 2616</w:t>
      </w:r>
    </w:p>
    <w:p w14:paraId="50C04EEE" w14:textId="744BD8E9" w:rsidR="006C1631" w:rsidRPr="005F046C" w:rsidRDefault="006C1631" w:rsidP="006C1631">
      <w:r w:rsidRPr="005F046C">
        <w:t xml:space="preserve">The closing date for submissions is </w:t>
      </w:r>
      <w:r w:rsidRPr="00C84125">
        <w:rPr>
          <w:b/>
          <w:bCs/>
        </w:rPr>
        <w:t>COB,</w:t>
      </w:r>
      <w:r w:rsidRPr="005F046C">
        <w:t xml:space="preserve"> </w:t>
      </w:r>
      <w:r w:rsidR="000C0168">
        <w:rPr>
          <w:b/>
          <w:bCs/>
        </w:rPr>
        <w:t>Monday 13</w:t>
      </w:r>
      <w:r w:rsidR="005F046C" w:rsidRPr="005F046C">
        <w:rPr>
          <w:b/>
          <w:bCs/>
        </w:rPr>
        <w:t xml:space="preserve"> May 2024</w:t>
      </w:r>
      <w:r w:rsidRPr="005F046C">
        <w:t>.</w:t>
      </w:r>
    </w:p>
    <w:p w14:paraId="7CA0DD98" w14:textId="470B1982" w:rsidR="006C1631" w:rsidRPr="00E162C4" w:rsidRDefault="006C1631" w:rsidP="006C1631">
      <w:pPr>
        <w:rPr>
          <w:szCs w:val="20"/>
        </w:rPr>
      </w:pPr>
      <w:r w:rsidRPr="005F046C">
        <w:t xml:space="preserve">Consultation enquiries can be emailed </w:t>
      </w:r>
      <w:r w:rsidRPr="005F046C">
        <w:rPr>
          <w:szCs w:val="20"/>
        </w:rPr>
        <w:t xml:space="preserve">to </w:t>
      </w:r>
      <w:hyperlink r:id="rId35" w:history="1">
        <w:r w:rsidR="005F046C" w:rsidRPr="005F046C">
          <w:rPr>
            <w:rStyle w:val="Hyperlink"/>
            <w:szCs w:val="20"/>
          </w:rPr>
          <w:t>freqplan@acma.gov.au</w:t>
        </w:r>
      </w:hyperlink>
      <w:r w:rsidRPr="005F046C">
        <w:rPr>
          <w:szCs w:val="20"/>
        </w:rPr>
        <w:t>.</w:t>
      </w:r>
      <w:r w:rsidR="005F046C">
        <w:rPr>
          <w:szCs w:val="20"/>
        </w:rPr>
        <w:t xml:space="preserve"> </w:t>
      </w:r>
    </w:p>
    <w:p w14:paraId="426207F4" w14:textId="77777777" w:rsidR="006C1631" w:rsidRPr="00E162C4" w:rsidRDefault="006C1631" w:rsidP="005B2F0D">
      <w:pPr>
        <w:pStyle w:val="Heading4"/>
      </w:pPr>
      <w:bookmarkStart w:id="33" w:name="_Toc348105639"/>
      <w:bookmarkStart w:id="34" w:name="_Toc300909558"/>
      <w:bookmarkStart w:id="35" w:name="_Hlk59627494"/>
      <w:bookmarkEnd w:id="29"/>
      <w:bookmarkEnd w:id="30"/>
      <w:r w:rsidRPr="00E162C4">
        <w:t>Publication of submissions</w:t>
      </w:r>
      <w:bookmarkEnd w:id="31"/>
      <w:bookmarkEnd w:id="32"/>
      <w:bookmarkEnd w:id="33"/>
      <w:bookmarkEnd w:id="34"/>
    </w:p>
    <w:p w14:paraId="45D7FFAB" w14:textId="77777777" w:rsidR="006C1631" w:rsidRPr="00E162C4" w:rsidRDefault="006C5FD4" w:rsidP="006C1631">
      <w:bookmarkStart w:id="36" w:name="_Toc348105640"/>
      <w:bookmarkStart w:id="37" w:name="_Toc300909559"/>
      <w:bookmarkStart w:id="38"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0A782FC5" w14:textId="77777777" w:rsidR="006C1631" w:rsidRPr="00E162C4" w:rsidRDefault="006C1631" w:rsidP="006C1631">
      <w:r w:rsidRPr="00E162C4">
        <w:t>Confidential information will not be published or otherwise released unless required or authorised by law.</w:t>
      </w:r>
    </w:p>
    <w:p w14:paraId="3FCD5A94" w14:textId="77777777" w:rsidR="006C1631" w:rsidRPr="00E162C4" w:rsidRDefault="006C1631" w:rsidP="005B2F0D">
      <w:pPr>
        <w:pStyle w:val="Heading4"/>
      </w:pPr>
      <w:r w:rsidRPr="00E162C4">
        <w:t>Privacy</w:t>
      </w:r>
    </w:p>
    <w:p w14:paraId="4418BA94"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6"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6"/>
    <w:bookmarkEnd w:id="37"/>
    <w:bookmarkEnd w:id="38"/>
    <w:p w14:paraId="03BA9F4E"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7" w:history="1">
        <w:r w:rsidR="00E21056" w:rsidRPr="00E162C4">
          <w:rPr>
            <w:rStyle w:val="Hyperlink"/>
          </w:rPr>
          <w:t>privacy policy</w:t>
        </w:r>
      </w:hyperlink>
      <w:r w:rsidRPr="00E162C4">
        <w:t>.</w:t>
      </w:r>
      <w:r w:rsidR="00A4193E" w:rsidRPr="00E162C4">
        <w:t xml:space="preserve"> </w:t>
      </w:r>
    </w:p>
    <w:bookmarkEnd w:id="35"/>
    <w:sectPr w:rsidR="00A4193E" w:rsidRPr="00E162C4" w:rsidSect="00C77380">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C5E9" w14:textId="77777777" w:rsidR="00DA02C5" w:rsidRDefault="00DA02C5">
      <w:r>
        <w:separator/>
      </w:r>
    </w:p>
  </w:endnote>
  <w:endnote w:type="continuationSeparator" w:id="0">
    <w:p w14:paraId="3FC59693" w14:textId="77777777" w:rsidR="00DA02C5" w:rsidRDefault="00DA02C5">
      <w:r>
        <w:continuationSeparator/>
      </w:r>
    </w:p>
  </w:endnote>
  <w:endnote w:type="continuationNotice" w:id="1">
    <w:p w14:paraId="00FFD414" w14:textId="77777777" w:rsidR="00830DF5" w:rsidRDefault="00830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3DA" w14:textId="77777777" w:rsidR="005E250B" w:rsidRDefault="005E250B" w:rsidP="005E250B">
    <w:pPr>
      <w:pStyle w:val="Footer"/>
      <w:jc w:val="right"/>
    </w:pPr>
    <w:r w:rsidRPr="005E250B">
      <w:rPr>
        <w:noProof/>
        <w:vertAlign w:val="subscript"/>
      </w:rPr>
      <w:drawing>
        <wp:inline distT="0" distB="0" distL="0" distR="0" wp14:anchorId="33B558CC" wp14:editId="4F1C66B8">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39D"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C6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256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A6FBCE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045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496B3156"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396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B670E7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0E3D"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C7B1B32"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66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4D2B31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C67A" w14:textId="77777777" w:rsidR="00DA02C5" w:rsidRDefault="00DA02C5" w:rsidP="00EA0969">
      <w:pPr>
        <w:spacing w:after="0"/>
      </w:pPr>
      <w:r>
        <w:separator/>
      </w:r>
    </w:p>
  </w:footnote>
  <w:footnote w:type="continuationSeparator" w:id="0">
    <w:p w14:paraId="2FFE8EC6" w14:textId="77777777" w:rsidR="00DA02C5" w:rsidRDefault="00DA02C5">
      <w:r>
        <w:continuationSeparator/>
      </w:r>
    </w:p>
  </w:footnote>
  <w:footnote w:type="continuationNotice" w:id="1">
    <w:p w14:paraId="57B255E3" w14:textId="77777777" w:rsidR="00830DF5" w:rsidRDefault="00830DF5">
      <w:pPr>
        <w:spacing w:after="0" w:line="240" w:lineRule="auto"/>
      </w:pPr>
    </w:p>
  </w:footnote>
  <w:footnote w:id="2">
    <w:p w14:paraId="07B22516" w14:textId="19844F05" w:rsidR="00200438" w:rsidRDefault="00200438">
      <w:pPr>
        <w:pStyle w:val="FootnoteText"/>
      </w:pPr>
      <w:r>
        <w:rPr>
          <w:rStyle w:val="FootnoteReference"/>
        </w:rPr>
        <w:footnoteRef/>
      </w:r>
      <w:r>
        <w:t xml:space="preserve"> Note that the frequency ranges authorised for cordless communications devices in New Zealand differ slightly to those authorised in Australia. </w:t>
      </w:r>
    </w:p>
  </w:footnote>
  <w:footnote w:id="3">
    <w:p w14:paraId="1AC28910" w14:textId="55A2B30A" w:rsidR="00200438" w:rsidRDefault="00200438">
      <w:pPr>
        <w:pStyle w:val="FootnoteText"/>
      </w:pPr>
      <w:r>
        <w:rPr>
          <w:rStyle w:val="FootnoteReference"/>
        </w:rPr>
        <w:footnoteRef/>
      </w:r>
      <w:r>
        <w:t xml:space="preserve"> 22 dBm is equivalent to -8 dBW. </w:t>
      </w:r>
    </w:p>
  </w:footnote>
  <w:footnote w:id="4">
    <w:p w14:paraId="07CC9C5B" w14:textId="7F7E4963" w:rsidR="001F7F94" w:rsidRDefault="001F7F94" w:rsidP="001F7F94">
      <w:pPr>
        <w:pStyle w:val="FootnoteText"/>
      </w:pPr>
      <w:r>
        <w:rPr>
          <w:rStyle w:val="FootnoteReference"/>
        </w:rPr>
        <w:footnoteRef/>
      </w:r>
      <w:r>
        <w:t xml:space="preserve"> </w:t>
      </w:r>
      <w:bookmarkStart w:id="15" w:name="_Hlk161304081"/>
      <w:r>
        <w:fldChar w:fldCharType="begin"/>
      </w:r>
      <w:r>
        <w:instrText>HYPERLINK "https://www.etsi.org/deliver/etsi_en/301400_301499/30140601/03.01.01_60/en_30140601v030101p.pdf"</w:instrText>
      </w:r>
      <w:r>
        <w:fldChar w:fldCharType="separate"/>
      </w:r>
      <w:r w:rsidRPr="00C34919">
        <w:rPr>
          <w:rStyle w:val="Hyperlink"/>
        </w:rPr>
        <w:t>ETSI EN 301 406-1</w:t>
      </w:r>
      <w:r>
        <w:fldChar w:fldCharType="end"/>
      </w:r>
      <w:r>
        <w:t xml:space="preserve">- Digital Enhanced Cordless Telecommunications (DECT); Harmonised Standard for access to radio spectrum; Part 1: DECT, DECT Evolution and DECT </w:t>
      </w:r>
      <w:r w:rsidR="006A21D6">
        <w:t>Ultra Low Energy (</w:t>
      </w:r>
      <w:r>
        <w:t>ULE</w:t>
      </w:r>
      <w:r w:rsidR="006A21D6">
        <w:t>)</w:t>
      </w:r>
      <w:r>
        <w:t>.</w:t>
      </w:r>
      <w:bookmarkEnd w:id="15"/>
    </w:p>
  </w:footnote>
  <w:footnote w:id="5">
    <w:p w14:paraId="4177EA5C" w14:textId="77777777" w:rsidR="001F7F94" w:rsidRDefault="001F7F94" w:rsidP="001F7F94">
      <w:pPr>
        <w:pStyle w:val="FootnoteText"/>
      </w:pPr>
      <w:r>
        <w:rPr>
          <w:rStyle w:val="FootnoteReference"/>
        </w:rPr>
        <w:footnoteRef/>
      </w:r>
      <w:r>
        <w:t xml:space="preserve"> </w:t>
      </w:r>
      <w:bookmarkStart w:id="16" w:name="_Hlk161304094"/>
      <w:r>
        <w:rPr>
          <w:u w:color="0000FF"/>
        </w:rPr>
        <w:fldChar w:fldCharType="begin"/>
      </w:r>
      <w:r>
        <w:rPr>
          <w:u w:color="0000FF"/>
        </w:rPr>
        <w:instrText>HYPERLINK "https://www.etsi.org/deliver/etsi_en/301400_301499/30140602/03.01.01_60/en_30140602v030101p.pdf"</w:instrText>
      </w:r>
      <w:r>
        <w:rPr>
          <w:u w:color="0000FF"/>
        </w:rPr>
      </w:r>
      <w:r>
        <w:rPr>
          <w:u w:color="0000FF"/>
        </w:rPr>
        <w:fldChar w:fldCharType="separate"/>
      </w:r>
      <w:r w:rsidRPr="00C34919">
        <w:rPr>
          <w:rStyle w:val="Hyperlink"/>
        </w:rPr>
        <w:t>ETSI EN 301 406-2</w:t>
      </w:r>
      <w:r>
        <w:rPr>
          <w:u w:color="0000FF"/>
        </w:rPr>
        <w:fldChar w:fldCharType="end"/>
      </w:r>
      <w:r>
        <w:t>- Digital Enhanced Cordless Telecommunications (DECT); Harmonised Standard for access to radio spectrum; Part 2: DECT-2020 NR.</w:t>
      </w:r>
      <w:bookmarkEnd w:id="16"/>
    </w:p>
  </w:footnote>
  <w:footnote w:id="6">
    <w:p w14:paraId="1CA3A508" w14:textId="1096F55E" w:rsidR="003F294A" w:rsidRDefault="003F294A" w:rsidP="003F294A">
      <w:pPr>
        <w:pStyle w:val="FootnoteText"/>
      </w:pPr>
      <w:r>
        <w:rPr>
          <w:rStyle w:val="FootnoteReference"/>
        </w:rPr>
        <w:footnoteRef/>
      </w:r>
      <w:r>
        <w:t xml:space="preserve"> </w:t>
      </w:r>
      <w:hyperlink r:id="rId1" w:history="1">
        <w:r w:rsidRPr="003F294A">
          <w:rPr>
            <w:rStyle w:val="Hyperlink"/>
          </w:rPr>
          <w:t>ETSI EN 300 330</w:t>
        </w:r>
      </w:hyperlink>
      <w:r>
        <w:t xml:space="preserve"> Short Range Devices (SRD); Radio equipment in the frequency range 9 kHz to 25 MHz and inductive loop systems in the frequency range 9 kHz to 30 MHz; </w:t>
      </w:r>
      <w:r w:rsidR="000C0F21">
        <w:t>h</w:t>
      </w:r>
      <w:r>
        <w:t xml:space="preserve">armonised </w:t>
      </w:r>
      <w:r w:rsidR="000C0F21">
        <w:t>s</w:t>
      </w:r>
      <w:r>
        <w:t>tandard covering the essential requirements of article 3.2 of Directive 2014/53/EU</w:t>
      </w:r>
      <w:r w:rsidR="006A30AC">
        <w:t>.</w:t>
      </w:r>
    </w:p>
  </w:footnote>
  <w:footnote w:id="7">
    <w:p w14:paraId="4CFED582" w14:textId="30A4CAD0" w:rsidR="003F294A" w:rsidRDefault="003F294A" w:rsidP="003F294A">
      <w:pPr>
        <w:pStyle w:val="FootnoteText"/>
      </w:pPr>
      <w:r>
        <w:rPr>
          <w:rStyle w:val="FootnoteReference"/>
        </w:rPr>
        <w:footnoteRef/>
      </w:r>
      <w:r>
        <w:t xml:space="preserve"> </w:t>
      </w:r>
      <w:hyperlink r:id="rId2" w:history="1">
        <w:r w:rsidRPr="003F294A">
          <w:rPr>
            <w:rStyle w:val="Hyperlink"/>
          </w:rPr>
          <w:t>ETSI EN 300 220-1</w:t>
        </w:r>
      </w:hyperlink>
      <w:r>
        <w:t xml:space="preserve"> Short Range Devices (SRD) operating in the frequency range 25 MHz to 1 000 MHz; </w:t>
      </w:r>
    </w:p>
    <w:p w14:paraId="6751BF81" w14:textId="7864650C" w:rsidR="003F294A" w:rsidRDefault="003F294A" w:rsidP="003F294A">
      <w:pPr>
        <w:pStyle w:val="FootnoteText"/>
      </w:pPr>
      <w:r>
        <w:t>Part 1: Technical characteristics and methods of measurement</w:t>
      </w:r>
      <w:r w:rsidR="006A30AC">
        <w:t>.</w:t>
      </w:r>
    </w:p>
  </w:footnote>
  <w:footnote w:id="8">
    <w:p w14:paraId="462CAB8D" w14:textId="2ECAB2E4" w:rsidR="003F294A" w:rsidRDefault="003F294A" w:rsidP="003F294A">
      <w:pPr>
        <w:pStyle w:val="FootnoteText"/>
      </w:pPr>
      <w:r>
        <w:rPr>
          <w:rStyle w:val="FootnoteReference"/>
        </w:rPr>
        <w:footnoteRef/>
      </w:r>
      <w:r>
        <w:t xml:space="preserve"> </w:t>
      </w:r>
      <w:hyperlink r:id="rId3" w:history="1">
        <w:r w:rsidRPr="003F294A">
          <w:rPr>
            <w:rStyle w:val="Hyperlink"/>
          </w:rPr>
          <w:t>ETSI EN 300 440</w:t>
        </w:r>
      </w:hyperlink>
      <w:r>
        <w:t xml:space="preserve"> Short Range Devices (SRD); Radio equipment to be used in the 1 GHz to 40 GHz frequency range; </w:t>
      </w:r>
      <w:r w:rsidR="000C0F21">
        <w:t>h</w:t>
      </w:r>
      <w:r>
        <w:t xml:space="preserve">armonised </w:t>
      </w:r>
      <w:r w:rsidR="000C0F21">
        <w:t>s</w:t>
      </w:r>
      <w:r>
        <w:t>tandard for access to radio spectrum</w:t>
      </w:r>
      <w:r w:rsidR="006A30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5092" w14:textId="77777777" w:rsidR="00C053A1" w:rsidRPr="00A5474E" w:rsidRDefault="0021426C" w:rsidP="00A5474E">
    <w:pPr>
      <w:pStyle w:val="Header"/>
    </w:pPr>
    <w:r>
      <w:rPr>
        <w:noProof/>
      </w:rPr>
      <w:drawing>
        <wp:inline distT="0" distB="0" distL="0" distR="0" wp14:anchorId="0FE00B3A" wp14:editId="211B69C4">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38B"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EE31"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94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7DDBCDD" w14:textId="77777777" w:rsidTr="003B0421">
      <w:trPr>
        <w:trHeight w:hRule="exact" w:val="988"/>
      </w:trPr>
      <w:tc>
        <w:tcPr>
          <w:tcW w:w="7678" w:type="dxa"/>
          <w:shd w:val="clear" w:color="auto" w:fill="auto"/>
        </w:tcPr>
        <w:p w14:paraId="1A92413F" w14:textId="77777777" w:rsidR="00971914" w:rsidRDefault="00971914" w:rsidP="00971914">
          <w:pPr>
            <w:pStyle w:val="Header"/>
          </w:pPr>
        </w:p>
      </w:tc>
    </w:tr>
    <w:tr w:rsidR="00971914" w14:paraId="6795369A" w14:textId="77777777" w:rsidTr="003B0421">
      <w:tc>
        <w:tcPr>
          <w:tcW w:w="7678" w:type="dxa"/>
          <w:shd w:val="clear" w:color="auto" w:fill="auto"/>
        </w:tcPr>
        <w:p w14:paraId="10A36638" w14:textId="77777777" w:rsidR="00971914" w:rsidRDefault="00971914" w:rsidP="00971914">
          <w:pPr>
            <w:pStyle w:val="GridTable31"/>
          </w:pPr>
          <w:r>
            <w:t xml:space="preserve">Contents </w:t>
          </w:r>
          <w:r w:rsidRPr="00915B1C">
            <w:rPr>
              <w:b w:val="0"/>
              <w:spacing w:val="0"/>
              <w:sz w:val="28"/>
              <w:szCs w:val="28"/>
            </w:rPr>
            <w:t>(Continued)</w:t>
          </w:r>
        </w:p>
      </w:tc>
    </w:tr>
    <w:tr w:rsidR="00971914" w14:paraId="1625F045" w14:textId="77777777" w:rsidTr="003B0421">
      <w:trPr>
        <w:trHeight w:val="1220"/>
      </w:trPr>
      <w:tc>
        <w:tcPr>
          <w:tcW w:w="7678" w:type="dxa"/>
          <w:shd w:val="clear" w:color="auto" w:fill="auto"/>
        </w:tcPr>
        <w:p w14:paraId="625C9DFD" w14:textId="77777777" w:rsidR="00971914" w:rsidRDefault="00971914" w:rsidP="00971914"/>
      </w:tc>
    </w:tr>
  </w:tbl>
  <w:p w14:paraId="487F361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8607C5B" w14:textId="77777777" w:rsidTr="003B0421">
      <w:trPr>
        <w:trHeight w:hRule="exact" w:val="988"/>
      </w:trPr>
      <w:tc>
        <w:tcPr>
          <w:tcW w:w="7678" w:type="dxa"/>
          <w:shd w:val="clear" w:color="auto" w:fill="auto"/>
        </w:tcPr>
        <w:p w14:paraId="2A6CBB77" w14:textId="77777777" w:rsidR="00971914" w:rsidRDefault="00971914" w:rsidP="00971914">
          <w:pPr>
            <w:pStyle w:val="Header"/>
          </w:pPr>
        </w:p>
      </w:tc>
    </w:tr>
    <w:tr w:rsidR="00971914" w14:paraId="500BD035" w14:textId="77777777" w:rsidTr="003B0421">
      <w:tc>
        <w:tcPr>
          <w:tcW w:w="7678" w:type="dxa"/>
          <w:shd w:val="clear" w:color="auto" w:fill="auto"/>
        </w:tcPr>
        <w:p w14:paraId="188F6469" w14:textId="77777777" w:rsidR="00971914" w:rsidRDefault="00971914" w:rsidP="00971914">
          <w:pPr>
            <w:pStyle w:val="GridTable31"/>
          </w:pPr>
          <w:r>
            <w:t xml:space="preserve">Contents </w:t>
          </w:r>
          <w:r w:rsidRPr="00915B1C">
            <w:rPr>
              <w:b w:val="0"/>
              <w:spacing w:val="0"/>
              <w:sz w:val="28"/>
              <w:szCs w:val="28"/>
            </w:rPr>
            <w:t>(Continued)</w:t>
          </w:r>
        </w:p>
      </w:tc>
    </w:tr>
    <w:tr w:rsidR="00971914" w14:paraId="4B540558" w14:textId="77777777" w:rsidTr="003B0421">
      <w:trPr>
        <w:trHeight w:val="1220"/>
      </w:trPr>
      <w:tc>
        <w:tcPr>
          <w:tcW w:w="7678" w:type="dxa"/>
          <w:shd w:val="clear" w:color="auto" w:fill="auto"/>
        </w:tcPr>
        <w:p w14:paraId="703F66B4" w14:textId="77777777" w:rsidR="00971914" w:rsidRDefault="00971914" w:rsidP="00971914"/>
      </w:tc>
    </w:tr>
  </w:tbl>
  <w:p w14:paraId="715DE7D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A579"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93E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346E19"/>
    <w:multiLevelType w:val="hybridMultilevel"/>
    <w:tmpl w:val="28104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ECE41AD"/>
    <w:multiLevelType w:val="hybridMultilevel"/>
    <w:tmpl w:val="0A62B07A"/>
    <w:lvl w:ilvl="0" w:tplc="764A7D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12"/>
  </w:num>
  <w:num w:numId="7" w16cid:durableId="1179462982">
    <w:abstractNumId w:val="10"/>
  </w:num>
  <w:num w:numId="8" w16cid:durableId="2010865431">
    <w:abstractNumId w:val="11"/>
  </w:num>
  <w:num w:numId="9" w16cid:durableId="153958827">
    <w:abstractNumId w:val="13"/>
  </w:num>
  <w:num w:numId="10" w16cid:durableId="770122694">
    <w:abstractNumId w:val="6"/>
  </w:num>
  <w:num w:numId="11" w16cid:durableId="1981958685">
    <w:abstractNumId w:val="5"/>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9"/>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811243897">
    <w:abstractNumId w:val="2"/>
    <w:lvlOverride w:ilvl="0">
      <w:startOverride w:val="1"/>
    </w:lvlOverride>
  </w:num>
  <w:num w:numId="21" w16cid:durableId="1138454190">
    <w:abstractNumId w:val="2"/>
    <w:lvlOverride w:ilvl="0">
      <w:startOverride w:val="1"/>
    </w:lvlOverride>
  </w:num>
  <w:num w:numId="22" w16cid:durableId="520240222">
    <w:abstractNumId w:val="4"/>
  </w:num>
  <w:num w:numId="23" w16cid:durableId="54813810">
    <w:abstractNumId w:val="2"/>
    <w:lvlOverride w:ilvl="0">
      <w:startOverride w:val="1"/>
    </w:lvlOverride>
  </w:num>
  <w:num w:numId="24" w16cid:durableId="34085689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C5"/>
    <w:rsid w:val="00010667"/>
    <w:rsid w:val="000129D5"/>
    <w:rsid w:val="00015AE7"/>
    <w:rsid w:val="00016E21"/>
    <w:rsid w:val="0001719C"/>
    <w:rsid w:val="0002224E"/>
    <w:rsid w:val="00023A36"/>
    <w:rsid w:val="000245E5"/>
    <w:rsid w:val="000249DA"/>
    <w:rsid w:val="00026F72"/>
    <w:rsid w:val="00026F91"/>
    <w:rsid w:val="00032621"/>
    <w:rsid w:val="000467F5"/>
    <w:rsid w:val="0004764C"/>
    <w:rsid w:val="0005011A"/>
    <w:rsid w:val="0005045A"/>
    <w:rsid w:val="0005114D"/>
    <w:rsid w:val="00051C1E"/>
    <w:rsid w:val="000539F9"/>
    <w:rsid w:val="00054C27"/>
    <w:rsid w:val="00055924"/>
    <w:rsid w:val="00055EC3"/>
    <w:rsid w:val="000563CE"/>
    <w:rsid w:val="000659B6"/>
    <w:rsid w:val="0006686F"/>
    <w:rsid w:val="00066D59"/>
    <w:rsid w:val="0006722A"/>
    <w:rsid w:val="000732CF"/>
    <w:rsid w:val="00075B96"/>
    <w:rsid w:val="00080EA5"/>
    <w:rsid w:val="0008196A"/>
    <w:rsid w:val="000915ED"/>
    <w:rsid w:val="0009209D"/>
    <w:rsid w:val="0009463C"/>
    <w:rsid w:val="000969BD"/>
    <w:rsid w:val="000969BF"/>
    <w:rsid w:val="000A0C22"/>
    <w:rsid w:val="000A1400"/>
    <w:rsid w:val="000A3C43"/>
    <w:rsid w:val="000A4A51"/>
    <w:rsid w:val="000A5D2B"/>
    <w:rsid w:val="000B4664"/>
    <w:rsid w:val="000B5DE3"/>
    <w:rsid w:val="000C0168"/>
    <w:rsid w:val="000C0A57"/>
    <w:rsid w:val="000C0F21"/>
    <w:rsid w:val="000C230C"/>
    <w:rsid w:val="000C6AB4"/>
    <w:rsid w:val="000D71D9"/>
    <w:rsid w:val="000D76E0"/>
    <w:rsid w:val="000D7E8B"/>
    <w:rsid w:val="000E4449"/>
    <w:rsid w:val="000E5E76"/>
    <w:rsid w:val="000E6097"/>
    <w:rsid w:val="00103829"/>
    <w:rsid w:val="001045A5"/>
    <w:rsid w:val="00111FCE"/>
    <w:rsid w:val="001229A5"/>
    <w:rsid w:val="0012489B"/>
    <w:rsid w:val="00130017"/>
    <w:rsid w:val="00130F91"/>
    <w:rsid w:val="001349ED"/>
    <w:rsid w:val="00136991"/>
    <w:rsid w:val="00137424"/>
    <w:rsid w:val="00140318"/>
    <w:rsid w:val="00141AD9"/>
    <w:rsid w:val="0014512A"/>
    <w:rsid w:val="00146CE6"/>
    <w:rsid w:val="00152903"/>
    <w:rsid w:val="00153FD5"/>
    <w:rsid w:val="0015614F"/>
    <w:rsid w:val="001577C2"/>
    <w:rsid w:val="001633C4"/>
    <w:rsid w:val="001704D5"/>
    <w:rsid w:val="00171591"/>
    <w:rsid w:val="00173981"/>
    <w:rsid w:val="00175D76"/>
    <w:rsid w:val="0017719D"/>
    <w:rsid w:val="00183FD7"/>
    <w:rsid w:val="00185CAB"/>
    <w:rsid w:val="001875B7"/>
    <w:rsid w:val="00187CB3"/>
    <w:rsid w:val="0019050A"/>
    <w:rsid w:val="001910D4"/>
    <w:rsid w:val="001976E3"/>
    <w:rsid w:val="001A44EC"/>
    <w:rsid w:val="001B45B7"/>
    <w:rsid w:val="001B58AA"/>
    <w:rsid w:val="001B7A97"/>
    <w:rsid w:val="001B7E48"/>
    <w:rsid w:val="001C17CE"/>
    <w:rsid w:val="001C36CA"/>
    <w:rsid w:val="001C44D1"/>
    <w:rsid w:val="001C6AEE"/>
    <w:rsid w:val="001C7630"/>
    <w:rsid w:val="001D6D15"/>
    <w:rsid w:val="001E72DE"/>
    <w:rsid w:val="001F50F7"/>
    <w:rsid w:val="001F7558"/>
    <w:rsid w:val="001F7F94"/>
    <w:rsid w:val="00200438"/>
    <w:rsid w:val="00201EE2"/>
    <w:rsid w:val="00203ED1"/>
    <w:rsid w:val="00205B57"/>
    <w:rsid w:val="0021426C"/>
    <w:rsid w:val="002157E0"/>
    <w:rsid w:val="00216047"/>
    <w:rsid w:val="00216A57"/>
    <w:rsid w:val="00217448"/>
    <w:rsid w:val="0022334F"/>
    <w:rsid w:val="00226819"/>
    <w:rsid w:val="00233101"/>
    <w:rsid w:val="002334B8"/>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A41C9"/>
    <w:rsid w:val="002B0DED"/>
    <w:rsid w:val="002B1856"/>
    <w:rsid w:val="002B19A2"/>
    <w:rsid w:val="002B1FF6"/>
    <w:rsid w:val="002B381A"/>
    <w:rsid w:val="002B4FCC"/>
    <w:rsid w:val="002B5FA5"/>
    <w:rsid w:val="002B7408"/>
    <w:rsid w:val="002B7CFD"/>
    <w:rsid w:val="002C0530"/>
    <w:rsid w:val="002C210F"/>
    <w:rsid w:val="002D3600"/>
    <w:rsid w:val="002E4DDC"/>
    <w:rsid w:val="002E4EC0"/>
    <w:rsid w:val="00302135"/>
    <w:rsid w:val="00302480"/>
    <w:rsid w:val="00302758"/>
    <w:rsid w:val="0030350E"/>
    <w:rsid w:val="00315685"/>
    <w:rsid w:val="003165E6"/>
    <w:rsid w:val="003215B5"/>
    <w:rsid w:val="003221CF"/>
    <w:rsid w:val="003233ED"/>
    <w:rsid w:val="00324D9F"/>
    <w:rsid w:val="003253EE"/>
    <w:rsid w:val="003269CD"/>
    <w:rsid w:val="00327948"/>
    <w:rsid w:val="0033000F"/>
    <w:rsid w:val="00332011"/>
    <w:rsid w:val="00332518"/>
    <w:rsid w:val="00332925"/>
    <w:rsid w:val="00332E3F"/>
    <w:rsid w:val="003332ED"/>
    <w:rsid w:val="00334789"/>
    <w:rsid w:val="003368DC"/>
    <w:rsid w:val="0034490B"/>
    <w:rsid w:val="00345927"/>
    <w:rsid w:val="00350584"/>
    <w:rsid w:val="00351857"/>
    <w:rsid w:val="003545E8"/>
    <w:rsid w:val="003610E1"/>
    <w:rsid w:val="003622DF"/>
    <w:rsid w:val="00364ACA"/>
    <w:rsid w:val="003671BE"/>
    <w:rsid w:val="00372485"/>
    <w:rsid w:val="00373200"/>
    <w:rsid w:val="00375EF5"/>
    <w:rsid w:val="003767A5"/>
    <w:rsid w:val="003803BD"/>
    <w:rsid w:val="00381D15"/>
    <w:rsid w:val="00385254"/>
    <w:rsid w:val="00390D91"/>
    <w:rsid w:val="003933E8"/>
    <w:rsid w:val="00394031"/>
    <w:rsid w:val="00396DC2"/>
    <w:rsid w:val="003A04DB"/>
    <w:rsid w:val="003A276D"/>
    <w:rsid w:val="003A5F5B"/>
    <w:rsid w:val="003A789A"/>
    <w:rsid w:val="003B12EC"/>
    <w:rsid w:val="003C03B8"/>
    <w:rsid w:val="003C77E0"/>
    <w:rsid w:val="003D17D7"/>
    <w:rsid w:val="003D2678"/>
    <w:rsid w:val="003D71A3"/>
    <w:rsid w:val="003E2B8A"/>
    <w:rsid w:val="003F10EE"/>
    <w:rsid w:val="003F16F6"/>
    <w:rsid w:val="003F294A"/>
    <w:rsid w:val="003F4DC7"/>
    <w:rsid w:val="003F5235"/>
    <w:rsid w:val="004027E4"/>
    <w:rsid w:val="0041071D"/>
    <w:rsid w:val="00414AFC"/>
    <w:rsid w:val="004151A7"/>
    <w:rsid w:val="00415310"/>
    <w:rsid w:val="00420E42"/>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67B67"/>
    <w:rsid w:val="004718CC"/>
    <w:rsid w:val="004725B0"/>
    <w:rsid w:val="00481695"/>
    <w:rsid w:val="00486FF6"/>
    <w:rsid w:val="00495A96"/>
    <w:rsid w:val="00495BB3"/>
    <w:rsid w:val="004A1A4E"/>
    <w:rsid w:val="004A56BB"/>
    <w:rsid w:val="004A70D6"/>
    <w:rsid w:val="004B1751"/>
    <w:rsid w:val="004C0253"/>
    <w:rsid w:val="004C5D38"/>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63EF1"/>
    <w:rsid w:val="00566AB4"/>
    <w:rsid w:val="005711B2"/>
    <w:rsid w:val="00573812"/>
    <w:rsid w:val="00575AC5"/>
    <w:rsid w:val="0057605D"/>
    <w:rsid w:val="00581347"/>
    <w:rsid w:val="00581AC9"/>
    <w:rsid w:val="005845DE"/>
    <w:rsid w:val="005849F8"/>
    <w:rsid w:val="00584B51"/>
    <w:rsid w:val="005938DF"/>
    <w:rsid w:val="00594E9C"/>
    <w:rsid w:val="00596C2F"/>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672D"/>
    <w:rsid w:val="005E7226"/>
    <w:rsid w:val="005E7A57"/>
    <w:rsid w:val="005F046C"/>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1E44"/>
    <w:rsid w:val="00632B89"/>
    <w:rsid w:val="0063346D"/>
    <w:rsid w:val="00634478"/>
    <w:rsid w:val="00644373"/>
    <w:rsid w:val="00645915"/>
    <w:rsid w:val="00646CC4"/>
    <w:rsid w:val="006519C3"/>
    <w:rsid w:val="00652B30"/>
    <w:rsid w:val="00656345"/>
    <w:rsid w:val="00656DC6"/>
    <w:rsid w:val="00660EC6"/>
    <w:rsid w:val="00660F2F"/>
    <w:rsid w:val="00664110"/>
    <w:rsid w:val="00664D17"/>
    <w:rsid w:val="00666520"/>
    <w:rsid w:val="00667C5B"/>
    <w:rsid w:val="00691EB8"/>
    <w:rsid w:val="00692CDE"/>
    <w:rsid w:val="00693073"/>
    <w:rsid w:val="00696AD0"/>
    <w:rsid w:val="006977FF"/>
    <w:rsid w:val="006A01FA"/>
    <w:rsid w:val="006A0E9E"/>
    <w:rsid w:val="006A21D6"/>
    <w:rsid w:val="006A25C7"/>
    <w:rsid w:val="006A30AC"/>
    <w:rsid w:val="006A3ECF"/>
    <w:rsid w:val="006A4AAD"/>
    <w:rsid w:val="006A4CCA"/>
    <w:rsid w:val="006A6DA2"/>
    <w:rsid w:val="006A7AB2"/>
    <w:rsid w:val="006B0765"/>
    <w:rsid w:val="006B0912"/>
    <w:rsid w:val="006B52DE"/>
    <w:rsid w:val="006B5717"/>
    <w:rsid w:val="006B582F"/>
    <w:rsid w:val="006B5EB2"/>
    <w:rsid w:val="006C0CEB"/>
    <w:rsid w:val="006C1631"/>
    <w:rsid w:val="006C2532"/>
    <w:rsid w:val="006C3B1E"/>
    <w:rsid w:val="006C43E6"/>
    <w:rsid w:val="006C47FD"/>
    <w:rsid w:val="006C5C19"/>
    <w:rsid w:val="006C5FD4"/>
    <w:rsid w:val="006C6AC5"/>
    <w:rsid w:val="006C70A0"/>
    <w:rsid w:val="006D27CB"/>
    <w:rsid w:val="006D2F08"/>
    <w:rsid w:val="006D576C"/>
    <w:rsid w:val="006D5865"/>
    <w:rsid w:val="006E2D0A"/>
    <w:rsid w:val="006E4B1B"/>
    <w:rsid w:val="006E5445"/>
    <w:rsid w:val="006E7BF7"/>
    <w:rsid w:val="006E7D93"/>
    <w:rsid w:val="0070133D"/>
    <w:rsid w:val="007029A3"/>
    <w:rsid w:val="00706E4E"/>
    <w:rsid w:val="0070791C"/>
    <w:rsid w:val="007134F7"/>
    <w:rsid w:val="0071383C"/>
    <w:rsid w:val="007141A7"/>
    <w:rsid w:val="00715722"/>
    <w:rsid w:val="00715BAF"/>
    <w:rsid w:val="00717B8A"/>
    <w:rsid w:val="00721032"/>
    <w:rsid w:val="00721B55"/>
    <w:rsid w:val="00726CE4"/>
    <w:rsid w:val="00726D11"/>
    <w:rsid w:val="0073063B"/>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1AF4"/>
    <w:rsid w:val="007C509D"/>
    <w:rsid w:val="007C5D5A"/>
    <w:rsid w:val="007C607F"/>
    <w:rsid w:val="007C79DD"/>
    <w:rsid w:val="007D1A97"/>
    <w:rsid w:val="007D2CD6"/>
    <w:rsid w:val="007D3063"/>
    <w:rsid w:val="007D3CEB"/>
    <w:rsid w:val="007E6015"/>
    <w:rsid w:val="007E7683"/>
    <w:rsid w:val="007E7BEB"/>
    <w:rsid w:val="007F49FA"/>
    <w:rsid w:val="007F54C4"/>
    <w:rsid w:val="007F6E9A"/>
    <w:rsid w:val="00800080"/>
    <w:rsid w:val="00800CCD"/>
    <w:rsid w:val="00801FEB"/>
    <w:rsid w:val="008044D4"/>
    <w:rsid w:val="00810AB4"/>
    <w:rsid w:val="00817B56"/>
    <w:rsid w:val="00821A88"/>
    <w:rsid w:val="0082322E"/>
    <w:rsid w:val="0082495D"/>
    <w:rsid w:val="00825310"/>
    <w:rsid w:val="00830DF5"/>
    <w:rsid w:val="00831A1E"/>
    <w:rsid w:val="00831AC3"/>
    <w:rsid w:val="00836FCE"/>
    <w:rsid w:val="008408FF"/>
    <w:rsid w:val="008448F6"/>
    <w:rsid w:val="008500E5"/>
    <w:rsid w:val="00851F3F"/>
    <w:rsid w:val="00856EDC"/>
    <w:rsid w:val="008623B5"/>
    <w:rsid w:val="00870ABA"/>
    <w:rsid w:val="008710E1"/>
    <w:rsid w:val="008716E5"/>
    <w:rsid w:val="00881CA9"/>
    <w:rsid w:val="00883628"/>
    <w:rsid w:val="00885544"/>
    <w:rsid w:val="0088634E"/>
    <w:rsid w:val="00893AB8"/>
    <w:rsid w:val="008A04C8"/>
    <w:rsid w:val="008A4066"/>
    <w:rsid w:val="008A6913"/>
    <w:rsid w:val="008B70F3"/>
    <w:rsid w:val="008B71C4"/>
    <w:rsid w:val="008B76DF"/>
    <w:rsid w:val="008C10F4"/>
    <w:rsid w:val="008C65F7"/>
    <w:rsid w:val="008E0428"/>
    <w:rsid w:val="008E4767"/>
    <w:rsid w:val="008E6FE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2D85"/>
    <w:rsid w:val="0095490B"/>
    <w:rsid w:val="00960A33"/>
    <w:rsid w:val="009631F1"/>
    <w:rsid w:val="00971914"/>
    <w:rsid w:val="00974363"/>
    <w:rsid w:val="00974883"/>
    <w:rsid w:val="00981898"/>
    <w:rsid w:val="00983041"/>
    <w:rsid w:val="0099577C"/>
    <w:rsid w:val="009A021C"/>
    <w:rsid w:val="009A25CC"/>
    <w:rsid w:val="009B24A5"/>
    <w:rsid w:val="009B2601"/>
    <w:rsid w:val="009B4E9E"/>
    <w:rsid w:val="009C1690"/>
    <w:rsid w:val="009C2480"/>
    <w:rsid w:val="009C6881"/>
    <w:rsid w:val="009C7759"/>
    <w:rsid w:val="009D043D"/>
    <w:rsid w:val="009D07C8"/>
    <w:rsid w:val="009D4C85"/>
    <w:rsid w:val="009D6C71"/>
    <w:rsid w:val="009E0631"/>
    <w:rsid w:val="009E16D0"/>
    <w:rsid w:val="009E2051"/>
    <w:rsid w:val="009E38FD"/>
    <w:rsid w:val="009F13D6"/>
    <w:rsid w:val="009F4C6B"/>
    <w:rsid w:val="009F78A8"/>
    <w:rsid w:val="00A017E0"/>
    <w:rsid w:val="00A02AD6"/>
    <w:rsid w:val="00A07096"/>
    <w:rsid w:val="00A07318"/>
    <w:rsid w:val="00A07DEE"/>
    <w:rsid w:val="00A11370"/>
    <w:rsid w:val="00A224CE"/>
    <w:rsid w:val="00A22522"/>
    <w:rsid w:val="00A23282"/>
    <w:rsid w:val="00A24AFD"/>
    <w:rsid w:val="00A24F5C"/>
    <w:rsid w:val="00A32F96"/>
    <w:rsid w:val="00A3653D"/>
    <w:rsid w:val="00A40871"/>
    <w:rsid w:val="00A412AB"/>
    <w:rsid w:val="00A4193E"/>
    <w:rsid w:val="00A440E0"/>
    <w:rsid w:val="00A442EF"/>
    <w:rsid w:val="00A51D1A"/>
    <w:rsid w:val="00A5418D"/>
    <w:rsid w:val="00A5474E"/>
    <w:rsid w:val="00A5508B"/>
    <w:rsid w:val="00A64234"/>
    <w:rsid w:val="00A70ADF"/>
    <w:rsid w:val="00A7142B"/>
    <w:rsid w:val="00A71466"/>
    <w:rsid w:val="00A74B5E"/>
    <w:rsid w:val="00A81BED"/>
    <w:rsid w:val="00A81EC4"/>
    <w:rsid w:val="00A824E8"/>
    <w:rsid w:val="00A82661"/>
    <w:rsid w:val="00A857B2"/>
    <w:rsid w:val="00A85C35"/>
    <w:rsid w:val="00A85EC7"/>
    <w:rsid w:val="00A91999"/>
    <w:rsid w:val="00A967FD"/>
    <w:rsid w:val="00AA2DE5"/>
    <w:rsid w:val="00AB156C"/>
    <w:rsid w:val="00AB6814"/>
    <w:rsid w:val="00AC04BA"/>
    <w:rsid w:val="00AC0E39"/>
    <w:rsid w:val="00AD3082"/>
    <w:rsid w:val="00AD32B4"/>
    <w:rsid w:val="00AD4AD0"/>
    <w:rsid w:val="00AD5436"/>
    <w:rsid w:val="00AD60CD"/>
    <w:rsid w:val="00AD6176"/>
    <w:rsid w:val="00AD6C8C"/>
    <w:rsid w:val="00AE091D"/>
    <w:rsid w:val="00AE3B60"/>
    <w:rsid w:val="00AE53A1"/>
    <w:rsid w:val="00AF14AF"/>
    <w:rsid w:val="00AF2484"/>
    <w:rsid w:val="00AF63E7"/>
    <w:rsid w:val="00AF6E17"/>
    <w:rsid w:val="00AF7A83"/>
    <w:rsid w:val="00B0165D"/>
    <w:rsid w:val="00B01B60"/>
    <w:rsid w:val="00B031F3"/>
    <w:rsid w:val="00B052A4"/>
    <w:rsid w:val="00B125DE"/>
    <w:rsid w:val="00B13FDD"/>
    <w:rsid w:val="00B15145"/>
    <w:rsid w:val="00B22EB2"/>
    <w:rsid w:val="00B27442"/>
    <w:rsid w:val="00B31167"/>
    <w:rsid w:val="00B329D8"/>
    <w:rsid w:val="00B32BB9"/>
    <w:rsid w:val="00B33AE1"/>
    <w:rsid w:val="00B37C38"/>
    <w:rsid w:val="00B40307"/>
    <w:rsid w:val="00B4288C"/>
    <w:rsid w:val="00B43262"/>
    <w:rsid w:val="00B44100"/>
    <w:rsid w:val="00B46CBA"/>
    <w:rsid w:val="00B46F94"/>
    <w:rsid w:val="00B6003C"/>
    <w:rsid w:val="00B61F03"/>
    <w:rsid w:val="00B626E4"/>
    <w:rsid w:val="00B64500"/>
    <w:rsid w:val="00B72F4A"/>
    <w:rsid w:val="00B83C27"/>
    <w:rsid w:val="00B84BC3"/>
    <w:rsid w:val="00B84BDD"/>
    <w:rsid w:val="00B92812"/>
    <w:rsid w:val="00B93EF0"/>
    <w:rsid w:val="00BA66BC"/>
    <w:rsid w:val="00BB0042"/>
    <w:rsid w:val="00BB45A1"/>
    <w:rsid w:val="00BB4CC6"/>
    <w:rsid w:val="00BB6335"/>
    <w:rsid w:val="00BB7686"/>
    <w:rsid w:val="00BB7802"/>
    <w:rsid w:val="00BC23F9"/>
    <w:rsid w:val="00BC3421"/>
    <w:rsid w:val="00BC732C"/>
    <w:rsid w:val="00BD12D2"/>
    <w:rsid w:val="00BD4421"/>
    <w:rsid w:val="00BE2580"/>
    <w:rsid w:val="00BE266D"/>
    <w:rsid w:val="00BE3938"/>
    <w:rsid w:val="00BE4C11"/>
    <w:rsid w:val="00BE71C0"/>
    <w:rsid w:val="00BF610C"/>
    <w:rsid w:val="00C0060B"/>
    <w:rsid w:val="00C01A6C"/>
    <w:rsid w:val="00C0277D"/>
    <w:rsid w:val="00C02F26"/>
    <w:rsid w:val="00C053A1"/>
    <w:rsid w:val="00C13CA7"/>
    <w:rsid w:val="00C16198"/>
    <w:rsid w:val="00C2083D"/>
    <w:rsid w:val="00C221C8"/>
    <w:rsid w:val="00C24466"/>
    <w:rsid w:val="00C24A53"/>
    <w:rsid w:val="00C34919"/>
    <w:rsid w:val="00C34A05"/>
    <w:rsid w:val="00C35CCE"/>
    <w:rsid w:val="00C4032F"/>
    <w:rsid w:val="00C41F21"/>
    <w:rsid w:val="00C44047"/>
    <w:rsid w:val="00C45155"/>
    <w:rsid w:val="00C5498F"/>
    <w:rsid w:val="00C55235"/>
    <w:rsid w:val="00C64CD0"/>
    <w:rsid w:val="00C65F61"/>
    <w:rsid w:val="00C6684F"/>
    <w:rsid w:val="00C70E70"/>
    <w:rsid w:val="00C75F8D"/>
    <w:rsid w:val="00C77380"/>
    <w:rsid w:val="00C7746C"/>
    <w:rsid w:val="00C82CF4"/>
    <w:rsid w:val="00C84125"/>
    <w:rsid w:val="00C879DA"/>
    <w:rsid w:val="00C87E8A"/>
    <w:rsid w:val="00C913D6"/>
    <w:rsid w:val="00C97736"/>
    <w:rsid w:val="00CA345A"/>
    <w:rsid w:val="00CB0FDF"/>
    <w:rsid w:val="00CB1E82"/>
    <w:rsid w:val="00CB4BA8"/>
    <w:rsid w:val="00CB52D7"/>
    <w:rsid w:val="00CC6732"/>
    <w:rsid w:val="00CD6ACF"/>
    <w:rsid w:val="00CE3C96"/>
    <w:rsid w:val="00CE51A8"/>
    <w:rsid w:val="00CF0BFE"/>
    <w:rsid w:val="00CF369B"/>
    <w:rsid w:val="00D00E28"/>
    <w:rsid w:val="00D0269E"/>
    <w:rsid w:val="00D03276"/>
    <w:rsid w:val="00D04C32"/>
    <w:rsid w:val="00D05AB8"/>
    <w:rsid w:val="00D05D6C"/>
    <w:rsid w:val="00D13ADB"/>
    <w:rsid w:val="00D15810"/>
    <w:rsid w:val="00D16D4E"/>
    <w:rsid w:val="00D16FE3"/>
    <w:rsid w:val="00D27F41"/>
    <w:rsid w:val="00D30CDE"/>
    <w:rsid w:val="00D36441"/>
    <w:rsid w:val="00D4064E"/>
    <w:rsid w:val="00D43B47"/>
    <w:rsid w:val="00D44CA6"/>
    <w:rsid w:val="00D44E9B"/>
    <w:rsid w:val="00D47AEB"/>
    <w:rsid w:val="00D50DB9"/>
    <w:rsid w:val="00D51302"/>
    <w:rsid w:val="00D52C43"/>
    <w:rsid w:val="00D568AF"/>
    <w:rsid w:val="00D61243"/>
    <w:rsid w:val="00D6507F"/>
    <w:rsid w:val="00D730BC"/>
    <w:rsid w:val="00D73912"/>
    <w:rsid w:val="00D85226"/>
    <w:rsid w:val="00D87B94"/>
    <w:rsid w:val="00D92D49"/>
    <w:rsid w:val="00D92EC1"/>
    <w:rsid w:val="00D96DEA"/>
    <w:rsid w:val="00DA02C5"/>
    <w:rsid w:val="00DA4E41"/>
    <w:rsid w:val="00DB117A"/>
    <w:rsid w:val="00DB5173"/>
    <w:rsid w:val="00DB7873"/>
    <w:rsid w:val="00DC187B"/>
    <w:rsid w:val="00DD1A43"/>
    <w:rsid w:val="00DD73C2"/>
    <w:rsid w:val="00DE319B"/>
    <w:rsid w:val="00DF34FE"/>
    <w:rsid w:val="00DF56AA"/>
    <w:rsid w:val="00DF56AF"/>
    <w:rsid w:val="00DF66D9"/>
    <w:rsid w:val="00DF78E7"/>
    <w:rsid w:val="00E110E0"/>
    <w:rsid w:val="00E15371"/>
    <w:rsid w:val="00E162C4"/>
    <w:rsid w:val="00E205BF"/>
    <w:rsid w:val="00E21056"/>
    <w:rsid w:val="00E24104"/>
    <w:rsid w:val="00E302D0"/>
    <w:rsid w:val="00E35707"/>
    <w:rsid w:val="00E36AA1"/>
    <w:rsid w:val="00E41ECB"/>
    <w:rsid w:val="00E42676"/>
    <w:rsid w:val="00E5426D"/>
    <w:rsid w:val="00E54FDB"/>
    <w:rsid w:val="00E5617D"/>
    <w:rsid w:val="00E563D7"/>
    <w:rsid w:val="00E663F4"/>
    <w:rsid w:val="00E666F2"/>
    <w:rsid w:val="00E66DD4"/>
    <w:rsid w:val="00E71872"/>
    <w:rsid w:val="00E748CC"/>
    <w:rsid w:val="00E74F15"/>
    <w:rsid w:val="00E75415"/>
    <w:rsid w:val="00E775B1"/>
    <w:rsid w:val="00E77682"/>
    <w:rsid w:val="00E810A7"/>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E5FB3"/>
    <w:rsid w:val="00EE7F79"/>
    <w:rsid w:val="00EF715A"/>
    <w:rsid w:val="00F06E14"/>
    <w:rsid w:val="00F1227E"/>
    <w:rsid w:val="00F179D4"/>
    <w:rsid w:val="00F22A23"/>
    <w:rsid w:val="00F30DC2"/>
    <w:rsid w:val="00F33C56"/>
    <w:rsid w:val="00F347C7"/>
    <w:rsid w:val="00F34848"/>
    <w:rsid w:val="00F361D7"/>
    <w:rsid w:val="00F42D46"/>
    <w:rsid w:val="00F4496C"/>
    <w:rsid w:val="00F44F3A"/>
    <w:rsid w:val="00F51F10"/>
    <w:rsid w:val="00F529A5"/>
    <w:rsid w:val="00F5310D"/>
    <w:rsid w:val="00F60F00"/>
    <w:rsid w:val="00F614C0"/>
    <w:rsid w:val="00F71F2F"/>
    <w:rsid w:val="00F83848"/>
    <w:rsid w:val="00F9034E"/>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7D7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rsid w:val="00D568AF"/>
    <w:pPr>
      <w:suppressAutoHyphens/>
      <w:spacing w:before="80" w:after="120" w:line="260" w:lineRule="atLeast"/>
    </w:pPr>
    <w:rPr>
      <w:rFonts w:ascii="Arial" w:hAnsi="Arial"/>
      <w:snapToGrid w:val="0"/>
      <w:sz w:val="22"/>
      <w:szCs w:val="20"/>
      <w:lang w:eastAsia="en-US"/>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locked/>
    <w:rsid w:val="005845DE"/>
    <w:rPr>
      <w:rFonts w:ascii="Arial" w:hAnsi="Arial"/>
      <w:sz w:val="16"/>
      <w:szCs w:val="16"/>
    </w:rPr>
  </w:style>
  <w:style w:type="paragraph" w:styleId="NormalWeb">
    <w:name w:val="Normal (Web)"/>
    <w:basedOn w:val="Normal"/>
    <w:uiPriority w:val="99"/>
    <w:semiHidden/>
    <w:unhideWhenUsed/>
    <w:rsid w:val="00952D85"/>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2949676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Details/F2020L01407" TargetMode="External"/><Relationship Id="rId39" Type="http://schemas.openxmlformats.org/officeDocument/2006/relationships/header" Target="header8.xml"/><Relationship Id="rId21" Type="http://schemas.openxmlformats.org/officeDocument/2006/relationships/footer" Target="footer5.xml"/><Relationship Id="rId34" Type="http://schemas.openxmlformats.org/officeDocument/2006/relationships/hyperlink" Target="https://www.acma.gov.au/have-your-sa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rsm.govt.nz/about/publications/gazette-notices/general-user-radio-licence-gurl-notice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21L00661/latest/text" TargetMode="External"/><Relationship Id="rId32" Type="http://schemas.openxmlformats.org/officeDocument/2006/relationships/hyperlink" Target="https://www.etsi.org/deliver/etsi_en/301400_301499/30140602/03.01.01_60/en_30140602v030101p.pdf" TargetMode="External"/><Relationship Id="rId37" Type="http://schemas.openxmlformats.org/officeDocument/2006/relationships/hyperlink" Target="https://www.acma.gov.au/privacy-policy"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F2014L01800/latest/text" TargetMode="External"/><Relationship Id="rId28" Type="http://schemas.openxmlformats.org/officeDocument/2006/relationships/hyperlink" Target="https://www.legislation.gov.au/F2008L04652/latest/details" TargetMode="External"/><Relationship Id="rId36" Type="http://schemas.openxmlformats.org/officeDocument/2006/relationships/hyperlink" Target="https://www.acma.gov.au/publication-submission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etsi.org/deliver/etsi_en/301400_301499/30140601/03.01.01_60/en_30140601v030101p.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ma.gov.au/consultations/2021-11/exploring-future-use-19-ghz-band-consultation-402021" TargetMode="External"/><Relationship Id="rId30" Type="http://schemas.openxmlformats.org/officeDocument/2006/relationships/hyperlink" Target="https://www.acma.gov.au/consultations/2021-11/exploring-future-use-19-ghz-band-consultation-402021" TargetMode="External"/><Relationship Id="rId35" Type="http://schemas.openxmlformats.org/officeDocument/2006/relationships/hyperlink" Target="mailto:freqplan@acma.gov.au"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publications/2019-12/report/acmas-long-term-strategy-803-960-mhz-band-decision-paper" TargetMode="External"/><Relationship Id="rId33" Type="http://schemas.openxmlformats.org/officeDocument/2006/relationships/hyperlink" Target="https://www.legislation.gov.au/F2015L01438/latest/text" TargetMode="Externa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si.org/deliver/etsi_en/300400_300499/300440/02.02.01_60/en_300440v020201p.pdf" TargetMode="External"/><Relationship Id="rId2" Type="http://schemas.openxmlformats.org/officeDocument/2006/relationships/hyperlink" Target="https://www.etsi.org/deliver/etsi_en/300200_300299/30022001/03.01.01_60/en_30022001v030101p.pdf" TargetMode="External"/><Relationship Id="rId1" Type="http://schemas.openxmlformats.org/officeDocument/2006/relationships/hyperlink" Target="https://www.etsi.org/deliver/etsi_en/300300_300399/300330/02.01.01_60/en_300330v020101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2742</Words>
  <Characters>14487</Characters>
  <Application>Microsoft Office Word</Application>
  <DocSecurity>0</DocSecurity>
  <Lines>322</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2024-04-04T21:13:00Z</dcterms:created>
  <dcterms:modified xsi:type="dcterms:W3CDTF">2024-04-07T22:22:00Z</dcterms:modified>
  <cp:category/>
</cp:coreProperties>
</file>