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F984A" w14:textId="6FF464E1" w:rsidR="00F06E14" w:rsidRPr="00A51D1A" w:rsidRDefault="00DE5B98" w:rsidP="00A51D1A">
      <w:pPr>
        <w:pStyle w:val="Reporttitle"/>
      </w:pPr>
      <w:r>
        <w:t xml:space="preserve">Sunsetting of </w:t>
      </w:r>
      <w:r w:rsidR="00AE64D2">
        <w:t xml:space="preserve">2.3 GHz </w:t>
      </w:r>
      <w:r>
        <w:t>spectrum licensing legislative instruments</w:t>
      </w:r>
    </w:p>
    <w:p w14:paraId="50F21803" w14:textId="21AFC364" w:rsidR="00F06E14" w:rsidRDefault="00EF3F45" w:rsidP="00F06E14">
      <w:pPr>
        <w:pStyle w:val="Reportsubtitle"/>
      </w:pPr>
      <w:r w:rsidRPr="00057029">
        <w:t>Outcomes paper</w:t>
      </w:r>
    </w:p>
    <w:p w14:paraId="72900FB7" w14:textId="08202EB3" w:rsidR="00C97736" w:rsidRPr="000D76E0" w:rsidRDefault="00BB4239" w:rsidP="00EC2B68">
      <w:pPr>
        <w:pStyle w:val="Reportdate"/>
        <w:spacing w:after="720"/>
        <w:rPr>
          <w:rFonts w:cs="Arial"/>
        </w:rPr>
        <w:sectPr w:rsidR="00C97736" w:rsidRPr="000D76E0"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 xml:space="preserve">March </w:t>
      </w:r>
      <w:r w:rsidR="00326AC7">
        <w:t>2024</w:t>
      </w:r>
    </w:p>
    <w:p w14:paraId="28E11A4A" w14:textId="77777777" w:rsidR="00326AC7" w:rsidRPr="00F44F3A" w:rsidRDefault="00326AC7" w:rsidP="00326AC7">
      <w:pPr>
        <w:pStyle w:val="ACMACorporateAddressHeader"/>
      </w:pPr>
      <w:r w:rsidRPr="00F44F3A">
        <w:lastRenderedPageBreak/>
        <w:t>Canberra</w:t>
      </w:r>
    </w:p>
    <w:p w14:paraId="5EBA4A85" w14:textId="77777777" w:rsidR="00326AC7" w:rsidRPr="00FC07B9" w:rsidRDefault="00326AC7" w:rsidP="00326AC7">
      <w:pPr>
        <w:pStyle w:val="ACMACorporateAddresses"/>
      </w:pPr>
      <w:r>
        <w:t>Level 3</w:t>
      </w:r>
      <w:r>
        <w:br/>
        <w:t>40 Cameron Avenue</w:t>
      </w:r>
      <w:r w:rsidRPr="00FC07B9">
        <w:t xml:space="preserve"> </w:t>
      </w:r>
      <w:r w:rsidRPr="00FC07B9">
        <w:br/>
        <w:t>Belconnen ACT</w:t>
      </w:r>
    </w:p>
    <w:p w14:paraId="2BC9BA27" w14:textId="77777777" w:rsidR="00326AC7" w:rsidRPr="00FC07B9" w:rsidRDefault="00326AC7" w:rsidP="00326AC7">
      <w:pPr>
        <w:pStyle w:val="ACMACorporateAddresses"/>
      </w:pPr>
      <w:r w:rsidRPr="00FC07B9">
        <w:t>PO Box 78</w:t>
      </w:r>
      <w:r w:rsidRPr="00FC07B9">
        <w:br/>
        <w:t>Belconnen ACT 2616</w:t>
      </w:r>
    </w:p>
    <w:p w14:paraId="74F746A0" w14:textId="77777777" w:rsidR="00326AC7" w:rsidRPr="00FC07B9" w:rsidRDefault="00326AC7" w:rsidP="00326AC7">
      <w:pPr>
        <w:pStyle w:val="ACMACorporateAddresses"/>
      </w:pPr>
      <w:r w:rsidRPr="00FC07B9">
        <w:t>T</w:t>
      </w:r>
      <w:r w:rsidRPr="00FC07B9">
        <w:tab/>
        <w:t>+61 2 6219 5555</w:t>
      </w:r>
      <w:r w:rsidRPr="00FC07B9">
        <w:br/>
        <w:t>F</w:t>
      </w:r>
      <w:r w:rsidRPr="00FC07B9">
        <w:tab/>
        <w:t>+61 2 6219 5353</w:t>
      </w:r>
    </w:p>
    <w:p w14:paraId="4D5D6DDF" w14:textId="77777777" w:rsidR="00326AC7" w:rsidRPr="00F44F3A" w:rsidRDefault="00326AC7" w:rsidP="00326AC7">
      <w:pPr>
        <w:pStyle w:val="ACMACorporateAddressHeader"/>
      </w:pPr>
      <w:r w:rsidRPr="00F44F3A">
        <w:t>Melbourne</w:t>
      </w:r>
    </w:p>
    <w:p w14:paraId="144CE6B2" w14:textId="77777777" w:rsidR="00326AC7" w:rsidRPr="00F44F3A" w:rsidRDefault="00326AC7" w:rsidP="00326AC7">
      <w:pPr>
        <w:pStyle w:val="ACMACorporateAddresses"/>
      </w:pPr>
      <w:r w:rsidRPr="00F44F3A">
        <w:t xml:space="preserve">Level 32 </w:t>
      </w:r>
      <w:r w:rsidRPr="00F44F3A">
        <w:br/>
        <w:t>Melbourne Central Tower</w:t>
      </w:r>
      <w:r w:rsidRPr="00F44F3A">
        <w:br/>
        <w:t xml:space="preserve">360 Elizabeth Street </w:t>
      </w:r>
      <w:r w:rsidRPr="00F44F3A">
        <w:br/>
        <w:t>Melbourne VIC</w:t>
      </w:r>
    </w:p>
    <w:p w14:paraId="653AF69B" w14:textId="77777777" w:rsidR="00326AC7" w:rsidRPr="00F44F3A" w:rsidRDefault="00326AC7" w:rsidP="00326AC7">
      <w:pPr>
        <w:pStyle w:val="ACMACorporateAddresses"/>
      </w:pPr>
      <w:r w:rsidRPr="00F44F3A">
        <w:t>PO Box 13112</w:t>
      </w:r>
      <w:r w:rsidRPr="00F44F3A">
        <w:br/>
        <w:t xml:space="preserve">Law Courts </w:t>
      </w:r>
      <w:r w:rsidRPr="00F44F3A">
        <w:br/>
        <w:t>Melbourne VIC 8010</w:t>
      </w:r>
    </w:p>
    <w:p w14:paraId="22137E23" w14:textId="77777777" w:rsidR="00326AC7" w:rsidRPr="00F44F3A" w:rsidRDefault="00326AC7" w:rsidP="00326AC7">
      <w:pPr>
        <w:pStyle w:val="ACMACorporateAddresses"/>
      </w:pPr>
      <w:r w:rsidRPr="00F44F3A">
        <w:t>T</w:t>
      </w:r>
      <w:r w:rsidRPr="00F44F3A">
        <w:tab/>
        <w:t>+61 3 9963 6800</w:t>
      </w:r>
      <w:r w:rsidRPr="00F44F3A">
        <w:br/>
        <w:t>F</w:t>
      </w:r>
      <w:r w:rsidRPr="00F44F3A">
        <w:tab/>
        <w:t>+61 3 9963 6899</w:t>
      </w:r>
    </w:p>
    <w:p w14:paraId="60DAD8C8" w14:textId="77777777" w:rsidR="00326AC7" w:rsidRPr="00F44F3A" w:rsidRDefault="00326AC7" w:rsidP="00326AC7">
      <w:pPr>
        <w:pStyle w:val="ACMACorporateAddressHeader"/>
      </w:pPr>
      <w:r w:rsidRPr="00F44F3A">
        <w:t>Sydney</w:t>
      </w:r>
    </w:p>
    <w:p w14:paraId="46BB6937" w14:textId="77777777" w:rsidR="00326AC7" w:rsidRPr="00F44F3A" w:rsidRDefault="00326AC7" w:rsidP="00326AC7">
      <w:pPr>
        <w:pStyle w:val="ACMACorporateAddresses"/>
      </w:pPr>
      <w:r w:rsidRPr="00F44F3A">
        <w:t xml:space="preserve">Level 5 </w:t>
      </w:r>
      <w:r w:rsidRPr="00F44F3A">
        <w:br/>
        <w:t>The Bay Centre</w:t>
      </w:r>
      <w:r w:rsidRPr="00F44F3A">
        <w:br/>
        <w:t xml:space="preserve">65 Pirrama Road </w:t>
      </w:r>
      <w:r w:rsidRPr="00F44F3A">
        <w:br/>
        <w:t>Pyrmont NSW</w:t>
      </w:r>
    </w:p>
    <w:p w14:paraId="1EC046CA" w14:textId="77777777" w:rsidR="00326AC7" w:rsidRPr="00F44F3A" w:rsidRDefault="00326AC7" w:rsidP="00326AC7">
      <w:pPr>
        <w:pStyle w:val="ACMACorporateAddresses"/>
      </w:pPr>
      <w:r w:rsidRPr="00F44F3A">
        <w:t>PO Box Q500</w:t>
      </w:r>
      <w:r w:rsidRPr="00F44F3A">
        <w:br/>
        <w:t xml:space="preserve">Queen Victoria Building </w:t>
      </w:r>
      <w:r w:rsidRPr="00F44F3A">
        <w:br/>
        <w:t>NSW 1230</w:t>
      </w:r>
    </w:p>
    <w:p w14:paraId="516864C3" w14:textId="77777777" w:rsidR="00326AC7" w:rsidRPr="00F44F3A" w:rsidRDefault="00326AC7" w:rsidP="00326AC7">
      <w:pPr>
        <w:pStyle w:val="ACMACorporateAddresses"/>
      </w:pPr>
      <w:r w:rsidRPr="00F44F3A">
        <w:t>T</w:t>
      </w:r>
      <w:r w:rsidRPr="00F44F3A">
        <w:tab/>
        <w:t>+61 2 9334 7700 or 1800 226 667</w:t>
      </w:r>
      <w:r w:rsidRPr="00F44F3A">
        <w:br/>
        <w:t>F</w:t>
      </w:r>
      <w:r w:rsidRPr="00F44F3A">
        <w:tab/>
        <w:t>+61 2 9334 7799</w:t>
      </w:r>
    </w:p>
    <w:p w14:paraId="2CEE5B37" w14:textId="77777777" w:rsidR="00326AC7" w:rsidRPr="006D46E5" w:rsidRDefault="00326AC7" w:rsidP="00326AC7">
      <w:pPr>
        <w:pStyle w:val="ACMACopyrightHeader"/>
        <w:spacing w:before="4560"/>
      </w:pPr>
      <w:r w:rsidRPr="00140318">
        <w:t>Copyright notice</w:t>
      </w:r>
    </w:p>
    <w:p w14:paraId="4F2E26AB" w14:textId="77777777" w:rsidR="00326AC7" w:rsidRPr="006D46E5" w:rsidRDefault="00326AC7" w:rsidP="00326AC7">
      <w:pPr>
        <w:pStyle w:val="ACMACClogo"/>
      </w:pPr>
      <w:r w:rsidRPr="00623FF9">
        <w:rPr>
          <w:noProof/>
        </w:rPr>
        <w:drawing>
          <wp:inline distT="0" distB="0" distL="0" distR="0" wp14:anchorId="73CFF271" wp14:editId="0B94D0CA">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388E5838" w14:textId="77777777" w:rsidR="00326AC7" w:rsidRDefault="00FD13A1" w:rsidP="00326AC7">
      <w:pPr>
        <w:pStyle w:val="ACMACorporateAddresses"/>
        <w:rPr>
          <w:rStyle w:val="Hyperlink"/>
        </w:rPr>
      </w:pPr>
      <w:hyperlink r:id="rId13" w:history="1">
        <w:r w:rsidR="00326AC7">
          <w:rPr>
            <w:rStyle w:val="Hyperlink"/>
          </w:rPr>
          <w:t>https://creativecommons.org/licenses/by/4.0/</w:t>
        </w:r>
      </w:hyperlink>
    </w:p>
    <w:p w14:paraId="47DB3DFA" w14:textId="77777777" w:rsidR="00326AC7" w:rsidRPr="00E162C4" w:rsidRDefault="00326AC7" w:rsidP="00326AC7">
      <w:pPr>
        <w:pStyle w:val="ACMACorporateAddresses"/>
      </w:pPr>
      <w:r>
        <w:t>Except for the Commonwealth</w:t>
      </w:r>
      <w:r w:rsidRPr="00E162C4">
        <w:t xml:space="preserve"> </w:t>
      </w:r>
      <w:r>
        <w:t>C</w:t>
      </w:r>
      <w:r w:rsidRPr="00E162C4">
        <w:t xml:space="preserve">oat of </w:t>
      </w:r>
      <w:r>
        <w:t>A</w:t>
      </w:r>
      <w:r w:rsidRPr="00E162C4">
        <w:t xml:space="preserve">rms, logos, emblems, images, other third-party material or devices protected by a trademark, this content is made available under the terms of the Creative Commons Attribution 4.0 International (CC BY 4.0) licence. </w:t>
      </w:r>
    </w:p>
    <w:p w14:paraId="40E56D4C" w14:textId="77777777" w:rsidR="00326AC7" w:rsidRPr="00E162C4" w:rsidRDefault="00326AC7" w:rsidP="00326AC7">
      <w:pPr>
        <w:pStyle w:val="ACMACorporateAddresses"/>
      </w:pPr>
      <w:r w:rsidRPr="00E162C4">
        <w:t>All other rights are reserved.</w:t>
      </w:r>
    </w:p>
    <w:p w14:paraId="3C9ECF68" w14:textId="77777777" w:rsidR="00326AC7" w:rsidRDefault="00326AC7" w:rsidP="00326AC7">
      <w:pPr>
        <w:pStyle w:val="ACMACorporateAddresses"/>
      </w:pPr>
      <w:r w:rsidRPr="00E162C4">
        <w:t>The Australian Communications and Media Authority has undertaken reasonable enquiries to identify material owned by third parties and secure permission for its reproduction. Permission may need to be obtained from third parties to re-use their material.</w:t>
      </w:r>
    </w:p>
    <w:p w14:paraId="3387979B" w14:textId="77777777" w:rsidR="00326AC7" w:rsidRDefault="00326AC7" w:rsidP="00326AC7">
      <w:pPr>
        <w:pStyle w:val="ACMACorporateAddresses"/>
        <w:rPr>
          <w:rStyle w:val="Hyperlink"/>
        </w:rPr>
      </w:pPr>
      <w:r w:rsidRPr="00E162C4">
        <w:t>We request attribution as © Commonwealth of Australia (Australian Communications and Media Authority) 202</w:t>
      </w:r>
      <w:r>
        <w:t>4.</w:t>
      </w:r>
    </w:p>
    <w:p w14:paraId="44837049" w14:textId="77777777" w:rsidR="00D16FE3" w:rsidRPr="005C22C8" w:rsidRDefault="00D16FE3" w:rsidP="00D16FE3">
      <w:pPr>
        <w:pStyle w:val="ACMACorporateAddresses"/>
        <w:rPr>
          <w:lang w:val="fr-FR"/>
        </w:rPr>
        <w:sectPr w:rsidR="00D16FE3" w:rsidRPr="005C22C8">
          <w:headerReference w:type="even" r:id="rId14"/>
          <w:headerReference w:type="default" r:id="rId15"/>
          <w:footerReference w:type="even" r:id="rId16"/>
          <w:footerReference w:type="default" r:id="rId17"/>
          <w:pgSz w:w="11906" w:h="16838" w:code="9"/>
          <w:pgMar w:top="3924" w:right="1797" w:bottom="697" w:left="1134" w:header="709" w:footer="119" w:gutter="0"/>
          <w:cols w:space="708"/>
          <w:docGrid w:linePitch="360"/>
        </w:sectPr>
      </w:pPr>
    </w:p>
    <w:p w14:paraId="210FA21F" w14:textId="545C8924" w:rsidR="006C056A" w:rsidRDefault="004F0452">
      <w:pPr>
        <w:pStyle w:val="TOC1"/>
        <w:rPr>
          <w:rFonts w:asciiTheme="minorHAnsi" w:eastAsiaTheme="minorEastAsia" w:hAnsiTheme="minorHAnsi" w:cstheme="minorBidi"/>
          <w:b w:val="0"/>
          <w:spacing w:val="0"/>
          <w:kern w:val="2"/>
          <w:sz w:val="22"/>
          <w:szCs w:val="22"/>
          <w14:ligatures w14:val="standardContextual"/>
        </w:rPr>
      </w:pPr>
      <w:r w:rsidRPr="00057029">
        <w:rPr>
          <w:rFonts w:cs="Arial"/>
          <w:b w:val="0"/>
        </w:rPr>
        <w:lastRenderedPageBreak/>
        <w:fldChar w:fldCharType="begin"/>
      </w:r>
      <w:r w:rsidRPr="00057029">
        <w:rPr>
          <w:rFonts w:cs="Arial"/>
          <w:b w:val="0"/>
        </w:rPr>
        <w:instrText xml:space="preserve"> TOC \o "1-3" \h \z \t "ACMA_ExecSummaryHeading,1" </w:instrText>
      </w:r>
      <w:r w:rsidRPr="00057029">
        <w:rPr>
          <w:rFonts w:cs="Arial"/>
          <w:b w:val="0"/>
        </w:rPr>
        <w:fldChar w:fldCharType="separate"/>
      </w:r>
      <w:hyperlink w:anchor="_Toc159920160" w:history="1">
        <w:r w:rsidR="006C056A" w:rsidRPr="00EF5EF5">
          <w:rPr>
            <w:rStyle w:val="Hyperlink"/>
          </w:rPr>
          <w:t>Introduction</w:t>
        </w:r>
        <w:r w:rsidR="006C056A">
          <w:rPr>
            <w:webHidden/>
          </w:rPr>
          <w:tab/>
        </w:r>
        <w:r w:rsidR="006C056A">
          <w:rPr>
            <w:webHidden/>
          </w:rPr>
          <w:fldChar w:fldCharType="begin"/>
        </w:r>
        <w:r w:rsidR="006C056A">
          <w:rPr>
            <w:webHidden/>
          </w:rPr>
          <w:instrText xml:space="preserve"> PAGEREF _Toc159920160 \h </w:instrText>
        </w:r>
        <w:r w:rsidR="006C056A">
          <w:rPr>
            <w:webHidden/>
          </w:rPr>
        </w:r>
        <w:r w:rsidR="006C056A">
          <w:rPr>
            <w:webHidden/>
          </w:rPr>
          <w:fldChar w:fldCharType="separate"/>
        </w:r>
        <w:r w:rsidR="006C056A">
          <w:rPr>
            <w:webHidden/>
          </w:rPr>
          <w:t>1</w:t>
        </w:r>
        <w:r w:rsidR="006C056A">
          <w:rPr>
            <w:webHidden/>
          </w:rPr>
          <w:fldChar w:fldCharType="end"/>
        </w:r>
      </w:hyperlink>
    </w:p>
    <w:p w14:paraId="6FCB3D73" w14:textId="7F4F94F2" w:rsidR="006C056A" w:rsidRDefault="00FD13A1">
      <w:pPr>
        <w:pStyle w:val="TOC1"/>
        <w:rPr>
          <w:rFonts w:asciiTheme="minorHAnsi" w:eastAsiaTheme="minorEastAsia" w:hAnsiTheme="minorHAnsi" w:cstheme="minorBidi"/>
          <w:b w:val="0"/>
          <w:spacing w:val="0"/>
          <w:kern w:val="2"/>
          <w:sz w:val="22"/>
          <w:szCs w:val="22"/>
          <w14:ligatures w14:val="standardContextual"/>
        </w:rPr>
      </w:pPr>
      <w:hyperlink w:anchor="_Toc159920161" w:history="1">
        <w:r w:rsidR="006C056A" w:rsidRPr="00EF5EF5">
          <w:rPr>
            <w:rStyle w:val="Hyperlink"/>
          </w:rPr>
          <w:t>Summary and response to issues</w:t>
        </w:r>
        <w:r w:rsidR="006C056A">
          <w:rPr>
            <w:webHidden/>
          </w:rPr>
          <w:tab/>
        </w:r>
        <w:r w:rsidR="006C056A">
          <w:rPr>
            <w:webHidden/>
          </w:rPr>
          <w:fldChar w:fldCharType="begin"/>
        </w:r>
        <w:r w:rsidR="006C056A">
          <w:rPr>
            <w:webHidden/>
          </w:rPr>
          <w:instrText xml:space="preserve"> PAGEREF _Toc159920161 \h </w:instrText>
        </w:r>
        <w:r w:rsidR="006C056A">
          <w:rPr>
            <w:webHidden/>
          </w:rPr>
        </w:r>
        <w:r w:rsidR="006C056A">
          <w:rPr>
            <w:webHidden/>
          </w:rPr>
          <w:fldChar w:fldCharType="separate"/>
        </w:r>
        <w:r w:rsidR="006C056A">
          <w:rPr>
            <w:webHidden/>
          </w:rPr>
          <w:t>2</w:t>
        </w:r>
        <w:r w:rsidR="006C056A">
          <w:rPr>
            <w:webHidden/>
          </w:rPr>
          <w:fldChar w:fldCharType="end"/>
        </w:r>
      </w:hyperlink>
    </w:p>
    <w:p w14:paraId="63015BD6" w14:textId="016F3A67" w:rsidR="006C056A" w:rsidRDefault="00FD13A1">
      <w:pPr>
        <w:pStyle w:val="TOC2"/>
        <w:rPr>
          <w:rFonts w:asciiTheme="minorHAnsi" w:eastAsiaTheme="minorEastAsia" w:hAnsiTheme="minorHAnsi" w:cstheme="minorBidi"/>
          <w:spacing w:val="0"/>
          <w:kern w:val="2"/>
          <w:sz w:val="22"/>
          <w:szCs w:val="22"/>
          <w14:ligatures w14:val="standardContextual"/>
        </w:rPr>
      </w:pPr>
      <w:hyperlink w:anchor="_Toc159920162" w:history="1">
        <w:r w:rsidR="006C056A" w:rsidRPr="00EF5EF5">
          <w:rPr>
            <w:rStyle w:val="Hyperlink"/>
          </w:rPr>
          <w:t>Issues for comment</w:t>
        </w:r>
        <w:r w:rsidR="006C056A">
          <w:rPr>
            <w:webHidden/>
          </w:rPr>
          <w:tab/>
        </w:r>
        <w:r w:rsidR="006C056A">
          <w:rPr>
            <w:webHidden/>
          </w:rPr>
          <w:fldChar w:fldCharType="begin"/>
        </w:r>
        <w:r w:rsidR="006C056A">
          <w:rPr>
            <w:webHidden/>
          </w:rPr>
          <w:instrText xml:space="preserve"> PAGEREF _Toc159920162 \h </w:instrText>
        </w:r>
        <w:r w:rsidR="006C056A">
          <w:rPr>
            <w:webHidden/>
          </w:rPr>
        </w:r>
        <w:r w:rsidR="006C056A">
          <w:rPr>
            <w:webHidden/>
          </w:rPr>
          <w:fldChar w:fldCharType="separate"/>
        </w:r>
        <w:r w:rsidR="006C056A">
          <w:rPr>
            <w:webHidden/>
          </w:rPr>
          <w:t>2</w:t>
        </w:r>
        <w:r w:rsidR="006C056A">
          <w:rPr>
            <w:webHidden/>
          </w:rPr>
          <w:fldChar w:fldCharType="end"/>
        </w:r>
      </w:hyperlink>
    </w:p>
    <w:p w14:paraId="462D12B5" w14:textId="1CBBF4A0" w:rsidR="006C056A" w:rsidRDefault="00FD13A1">
      <w:pPr>
        <w:pStyle w:val="TOC1"/>
        <w:rPr>
          <w:rFonts w:asciiTheme="minorHAnsi" w:eastAsiaTheme="minorEastAsia" w:hAnsiTheme="minorHAnsi" w:cstheme="minorBidi"/>
          <w:b w:val="0"/>
          <w:spacing w:val="0"/>
          <w:kern w:val="2"/>
          <w:sz w:val="22"/>
          <w:szCs w:val="22"/>
          <w14:ligatures w14:val="standardContextual"/>
        </w:rPr>
      </w:pPr>
      <w:hyperlink w:anchor="_Toc159920163" w:history="1">
        <w:r w:rsidR="006C056A" w:rsidRPr="00EF5EF5">
          <w:rPr>
            <w:rStyle w:val="Hyperlink"/>
          </w:rPr>
          <w:t>Outcomes of consultation</w:t>
        </w:r>
        <w:r w:rsidR="006C056A">
          <w:rPr>
            <w:webHidden/>
          </w:rPr>
          <w:tab/>
        </w:r>
        <w:r w:rsidR="006C056A">
          <w:rPr>
            <w:webHidden/>
          </w:rPr>
          <w:fldChar w:fldCharType="begin"/>
        </w:r>
        <w:r w:rsidR="006C056A">
          <w:rPr>
            <w:webHidden/>
          </w:rPr>
          <w:instrText xml:space="preserve"> PAGEREF _Toc159920163 \h </w:instrText>
        </w:r>
        <w:r w:rsidR="006C056A">
          <w:rPr>
            <w:webHidden/>
          </w:rPr>
        </w:r>
        <w:r w:rsidR="006C056A">
          <w:rPr>
            <w:webHidden/>
          </w:rPr>
          <w:fldChar w:fldCharType="separate"/>
        </w:r>
        <w:r w:rsidR="006C056A">
          <w:rPr>
            <w:webHidden/>
          </w:rPr>
          <w:t>7</w:t>
        </w:r>
        <w:r w:rsidR="006C056A">
          <w:rPr>
            <w:webHidden/>
          </w:rPr>
          <w:fldChar w:fldCharType="end"/>
        </w:r>
      </w:hyperlink>
    </w:p>
    <w:p w14:paraId="5914CBD4" w14:textId="4764AEB7" w:rsidR="004D56FF" w:rsidRPr="000D76E0" w:rsidRDefault="004F0452" w:rsidP="004F0452">
      <w:pPr>
        <w:rPr>
          <w:rFonts w:cs="Arial"/>
        </w:rPr>
        <w:sectPr w:rsidR="004D56FF" w:rsidRPr="000D76E0" w:rsidSect="00C77380">
          <w:headerReference w:type="even" r:id="rId18"/>
          <w:headerReference w:type="default" r:id="rId19"/>
          <w:footerReference w:type="even" r:id="rId20"/>
          <w:footerReference w:type="default" r:id="rId21"/>
          <w:footerReference w:type="first" r:id="rId22"/>
          <w:pgSz w:w="11906" w:h="16838" w:code="9"/>
          <w:pgMar w:top="3646" w:right="3101" w:bottom="1134" w:left="1134" w:header="709" w:footer="119" w:gutter="0"/>
          <w:cols w:space="708"/>
          <w:titlePg/>
          <w:docGrid w:linePitch="360"/>
        </w:sectPr>
      </w:pPr>
      <w:r w:rsidRPr="00057029">
        <w:rPr>
          <w:rFonts w:cs="Arial"/>
          <w:b/>
        </w:rPr>
        <w:fldChar w:fldCharType="end"/>
      </w:r>
    </w:p>
    <w:p w14:paraId="0E17F3F9" w14:textId="623B3C6D" w:rsidR="00E0400E" w:rsidRPr="00E0400E" w:rsidRDefault="00E0400E" w:rsidP="00BC5475">
      <w:pPr>
        <w:pStyle w:val="Heading1"/>
      </w:pPr>
      <w:bookmarkStart w:id="0" w:name="_Toc441074798"/>
      <w:bookmarkStart w:id="1" w:name="_Toc159920160"/>
      <w:r w:rsidRPr="00E0400E">
        <w:lastRenderedPageBreak/>
        <w:t>Introduction</w:t>
      </w:r>
      <w:bookmarkEnd w:id="0"/>
      <w:bookmarkEnd w:id="1"/>
      <w:r w:rsidRPr="00E0400E">
        <w:t xml:space="preserve"> </w:t>
      </w:r>
    </w:p>
    <w:p w14:paraId="0B7906D2" w14:textId="706E8ECB" w:rsidR="00AD3095" w:rsidRDefault="00E0400E" w:rsidP="00B36A19">
      <w:pPr>
        <w:pStyle w:val="Paragraph"/>
        <w:rPr>
          <w:szCs w:val="20"/>
        </w:rPr>
      </w:pPr>
      <w:r w:rsidRPr="00E0400E">
        <w:t>The Australian Communications and Media Authority (ACMA) released the</w:t>
      </w:r>
      <w:hyperlink r:id="rId23" w:history="1"/>
      <w:r w:rsidRPr="00E0400E">
        <w:rPr>
          <w:szCs w:val="20"/>
        </w:rPr>
        <w:t xml:space="preserve"> </w:t>
      </w:r>
      <w:hyperlink r:id="rId24" w:history="1">
        <w:r w:rsidR="006B0118" w:rsidRPr="00BD3716">
          <w:rPr>
            <w:rStyle w:val="Hyperlink"/>
            <w:i/>
            <w:iCs/>
            <w:szCs w:val="20"/>
          </w:rPr>
          <w:t>Proposal to remake instruments for the 2.</w:t>
        </w:r>
        <w:r w:rsidR="00CF35B1" w:rsidRPr="00BD3716">
          <w:rPr>
            <w:rStyle w:val="Hyperlink"/>
            <w:i/>
            <w:iCs/>
            <w:szCs w:val="20"/>
          </w:rPr>
          <w:t>3</w:t>
        </w:r>
        <w:r w:rsidR="006B0118" w:rsidRPr="00BD3716">
          <w:rPr>
            <w:rStyle w:val="Hyperlink"/>
            <w:i/>
            <w:iCs/>
            <w:szCs w:val="20"/>
          </w:rPr>
          <w:t xml:space="preserve"> GHz spectrum</w:t>
        </w:r>
        <w:r w:rsidR="00940DFF" w:rsidRPr="00BD3716">
          <w:rPr>
            <w:rStyle w:val="Hyperlink"/>
            <w:i/>
            <w:iCs/>
            <w:szCs w:val="20"/>
          </w:rPr>
          <w:t xml:space="preserve"> </w:t>
        </w:r>
        <w:r w:rsidR="006B0118" w:rsidRPr="00BD3716">
          <w:rPr>
            <w:rStyle w:val="Hyperlink"/>
            <w:i/>
            <w:iCs/>
            <w:szCs w:val="20"/>
          </w:rPr>
          <w:t>licensed</w:t>
        </w:r>
        <w:r w:rsidR="00326AC7">
          <w:rPr>
            <w:rStyle w:val="Hyperlink"/>
            <w:i/>
            <w:iCs/>
            <w:szCs w:val="20"/>
          </w:rPr>
          <w:t>-</w:t>
        </w:r>
        <w:r w:rsidR="006B0118" w:rsidRPr="00BD3716">
          <w:rPr>
            <w:rStyle w:val="Hyperlink"/>
            <w:i/>
            <w:iCs/>
            <w:szCs w:val="20"/>
          </w:rPr>
          <w:t>band</w:t>
        </w:r>
      </w:hyperlink>
      <w:r w:rsidR="006B0118">
        <w:rPr>
          <w:szCs w:val="20"/>
        </w:rPr>
        <w:t xml:space="preserve"> </w:t>
      </w:r>
      <w:r w:rsidRPr="00896D08">
        <w:rPr>
          <w:szCs w:val="20"/>
        </w:rPr>
        <w:t>consultation paper</w:t>
      </w:r>
      <w:r w:rsidR="00564475">
        <w:rPr>
          <w:szCs w:val="20"/>
        </w:rPr>
        <w:t xml:space="preserve"> (the consultation paper)</w:t>
      </w:r>
      <w:r w:rsidRPr="00E0400E">
        <w:rPr>
          <w:szCs w:val="20"/>
        </w:rPr>
        <w:t xml:space="preserve"> on </w:t>
      </w:r>
      <w:r w:rsidR="00CF35B1">
        <w:rPr>
          <w:szCs w:val="20"/>
        </w:rPr>
        <w:t xml:space="preserve">15 September </w:t>
      </w:r>
      <w:r w:rsidRPr="00E0400E">
        <w:rPr>
          <w:szCs w:val="20"/>
        </w:rPr>
        <w:t>202</w:t>
      </w:r>
      <w:r w:rsidR="00CF35B1">
        <w:rPr>
          <w:szCs w:val="20"/>
        </w:rPr>
        <w:t>3</w:t>
      </w:r>
      <w:r w:rsidRPr="00E0400E">
        <w:rPr>
          <w:szCs w:val="20"/>
        </w:rPr>
        <w:t xml:space="preserve">. The paper sought industry feedback on </w:t>
      </w:r>
      <w:r w:rsidR="00B278D7">
        <w:rPr>
          <w:szCs w:val="20"/>
        </w:rPr>
        <w:t>our</w:t>
      </w:r>
      <w:r w:rsidRPr="00E0400E">
        <w:rPr>
          <w:szCs w:val="20"/>
        </w:rPr>
        <w:t xml:space="preserve"> proposed</w:t>
      </w:r>
      <w:r w:rsidR="006B0118">
        <w:rPr>
          <w:szCs w:val="20"/>
        </w:rPr>
        <w:t xml:space="preserve"> draft</w:t>
      </w:r>
      <w:r w:rsidRPr="00E0400E">
        <w:rPr>
          <w:szCs w:val="20"/>
        </w:rPr>
        <w:t xml:space="preserve"> </w:t>
      </w:r>
      <w:r w:rsidR="006B0118">
        <w:rPr>
          <w:szCs w:val="20"/>
        </w:rPr>
        <w:t>l</w:t>
      </w:r>
      <w:r w:rsidR="006B0118" w:rsidRPr="006B0118">
        <w:rPr>
          <w:szCs w:val="20"/>
        </w:rPr>
        <w:t xml:space="preserve">egislative instruments linked to the technical framework for </w:t>
      </w:r>
      <w:r w:rsidR="00CF35B1">
        <w:rPr>
          <w:szCs w:val="20"/>
        </w:rPr>
        <w:t>the 2.</w:t>
      </w:r>
      <w:r w:rsidR="00326AC7">
        <w:rPr>
          <w:szCs w:val="20"/>
        </w:rPr>
        <w:t>3 </w:t>
      </w:r>
      <w:r w:rsidR="00CF35B1">
        <w:rPr>
          <w:szCs w:val="20"/>
        </w:rPr>
        <w:t>GHz</w:t>
      </w:r>
      <w:r w:rsidR="006B0118" w:rsidRPr="006B0118">
        <w:rPr>
          <w:szCs w:val="20"/>
        </w:rPr>
        <w:t xml:space="preserve"> spectrum licence band </w:t>
      </w:r>
      <w:r w:rsidR="006B0118">
        <w:rPr>
          <w:szCs w:val="20"/>
        </w:rPr>
        <w:t xml:space="preserve">that </w:t>
      </w:r>
      <w:r w:rsidR="00D01E46">
        <w:rPr>
          <w:szCs w:val="20"/>
        </w:rPr>
        <w:t>are</w:t>
      </w:r>
      <w:r w:rsidR="006B0118" w:rsidRPr="006B0118">
        <w:rPr>
          <w:szCs w:val="20"/>
        </w:rPr>
        <w:t xml:space="preserve"> due to sunset on 1 April 202</w:t>
      </w:r>
      <w:r w:rsidR="00CF35B1">
        <w:rPr>
          <w:szCs w:val="20"/>
        </w:rPr>
        <w:t>4</w:t>
      </w:r>
      <w:r w:rsidR="006B0118" w:rsidRPr="006B0118">
        <w:rPr>
          <w:szCs w:val="20"/>
        </w:rPr>
        <w:t xml:space="preserve">. </w:t>
      </w:r>
    </w:p>
    <w:p w14:paraId="37241C2F" w14:textId="753D19A9" w:rsidR="00AD3095" w:rsidRPr="00E162C4" w:rsidRDefault="006B0118" w:rsidP="00AD3095">
      <w:pPr>
        <w:pStyle w:val="Paragraphbeforelist"/>
      </w:pPr>
      <w:r w:rsidRPr="006B0118">
        <w:rPr>
          <w:szCs w:val="20"/>
        </w:rPr>
        <w:t xml:space="preserve">The </w:t>
      </w:r>
      <w:r w:rsidR="00AD3095">
        <w:rPr>
          <w:szCs w:val="20"/>
        </w:rPr>
        <w:t>proposed</w:t>
      </w:r>
      <w:r w:rsidR="00DB4CFF">
        <w:rPr>
          <w:szCs w:val="20"/>
        </w:rPr>
        <w:t xml:space="preserve"> rema</w:t>
      </w:r>
      <w:r w:rsidR="00D2002E">
        <w:rPr>
          <w:szCs w:val="20"/>
        </w:rPr>
        <w:t>de</w:t>
      </w:r>
      <w:r w:rsidR="00AD3095">
        <w:rPr>
          <w:szCs w:val="20"/>
        </w:rPr>
        <w:t xml:space="preserve"> legislative instruments </w:t>
      </w:r>
      <w:r w:rsidR="00AD3095">
        <w:t>were:</w:t>
      </w:r>
    </w:p>
    <w:p w14:paraId="4B3AE039" w14:textId="5C6901CC" w:rsidR="00AD3095" w:rsidRPr="007D717B" w:rsidRDefault="00AD3095" w:rsidP="00AD3095">
      <w:pPr>
        <w:pStyle w:val="Numberlistlevel1"/>
      </w:pPr>
      <w:r w:rsidRPr="008E586C">
        <w:t>Radiocommunications Advisory Guidelines (Managing Interference from Transmitters – 2.</w:t>
      </w:r>
      <w:r w:rsidR="00CF35B1">
        <w:t>3</w:t>
      </w:r>
      <w:r w:rsidRPr="008E586C">
        <w:t xml:space="preserve"> GHz Band)</w:t>
      </w:r>
      <w:r w:rsidR="0019126C" w:rsidRPr="008E586C">
        <w:t xml:space="preserve"> 20</w:t>
      </w:r>
      <w:r w:rsidR="000A7B91">
        <w:t>23 (RAG Tx)</w:t>
      </w:r>
    </w:p>
    <w:p w14:paraId="2CB8CEE3" w14:textId="4376D948" w:rsidR="00AD3095" w:rsidRPr="007D717B" w:rsidRDefault="00AD3095" w:rsidP="00AD3095">
      <w:pPr>
        <w:pStyle w:val="Numberlistlevel1"/>
      </w:pPr>
      <w:r w:rsidRPr="008E586C">
        <w:t>Radiocommunications Advisory Guidelines (Managing Interference to Receivers – 2.</w:t>
      </w:r>
      <w:r w:rsidR="00CF35B1">
        <w:t>3</w:t>
      </w:r>
      <w:r w:rsidRPr="008E586C">
        <w:t xml:space="preserve"> GHz Band)</w:t>
      </w:r>
      <w:r w:rsidR="0019126C" w:rsidRPr="008E586C">
        <w:t xml:space="preserve"> 20</w:t>
      </w:r>
      <w:r w:rsidR="000A7B91">
        <w:t>2</w:t>
      </w:r>
      <w:r w:rsidR="00CF35B1">
        <w:t>3</w:t>
      </w:r>
      <w:r w:rsidR="000A7B91">
        <w:t xml:space="preserve"> (RAG Rx)</w:t>
      </w:r>
    </w:p>
    <w:p w14:paraId="48E5AEAF" w14:textId="440E6AD8" w:rsidR="00AD3095" w:rsidRPr="007D717B" w:rsidRDefault="00AD3095" w:rsidP="00AD3095">
      <w:pPr>
        <w:pStyle w:val="Numberlistlevel1"/>
      </w:pPr>
      <w:r w:rsidRPr="008E586C">
        <w:t>Radiocommunications (Unacceptable Levels of Interference – 2.</w:t>
      </w:r>
      <w:r w:rsidR="00CF35B1">
        <w:t>3</w:t>
      </w:r>
      <w:r w:rsidRPr="008E586C">
        <w:t xml:space="preserve"> GHz Band) Determination</w:t>
      </w:r>
      <w:r w:rsidR="0019126C" w:rsidRPr="008E586C">
        <w:t xml:space="preserve"> 20</w:t>
      </w:r>
      <w:r w:rsidR="00DB4CFF">
        <w:t>2</w:t>
      </w:r>
      <w:r w:rsidR="00CF35B1">
        <w:t>3</w:t>
      </w:r>
      <w:r w:rsidR="000A7B91">
        <w:t xml:space="preserve"> (</w:t>
      </w:r>
      <w:proofErr w:type="spellStart"/>
      <w:r w:rsidR="000A7B91">
        <w:t>ULoI</w:t>
      </w:r>
      <w:proofErr w:type="spellEnd"/>
      <w:r w:rsidR="000A7B91">
        <w:t>)</w:t>
      </w:r>
      <w:r w:rsidRPr="007D717B">
        <w:t>.</w:t>
      </w:r>
    </w:p>
    <w:p w14:paraId="2C687784" w14:textId="534822A8" w:rsidR="00CF35B1" w:rsidRDefault="00130528" w:rsidP="00681A32">
      <w:pPr>
        <w:pStyle w:val="Paragraphbeforelist"/>
        <w:spacing w:before="240" w:after="240"/>
      </w:pPr>
      <w:bookmarkStart w:id="2" w:name="_Hlk156292624"/>
      <w:r>
        <w:t xml:space="preserve">The ACMA </w:t>
      </w:r>
      <w:r w:rsidR="00DB4CFF">
        <w:t>also</w:t>
      </w:r>
      <w:r>
        <w:t xml:space="preserve"> proposed the creation of the </w:t>
      </w:r>
      <w:r w:rsidR="00041FC1" w:rsidRPr="00041FC1">
        <w:t>Radiocommunications (Interpretation – Technical Framework) Determination 2023</w:t>
      </w:r>
      <w:r w:rsidR="00DB4CFF">
        <w:t xml:space="preserve"> (the ITF Determination)</w:t>
      </w:r>
      <w:r>
        <w:t xml:space="preserve">. The purpose of this instrument </w:t>
      </w:r>
      <w:r w:rsidR="00DB4CFF">
        <w:t xml:space="preserve">is </w:t>
      </w:r>
      <w:r>
        <w:t xml:space="preserve">to </w:t>
      </w:r>
      <w:r w:rsidR="00DB4CFF">
        <w:t>consolidate</w:t>
      </w:r>
      <w:r w:rsidR="00326AC7">
        <w:t>,</w:t>
      </w:r>
      <w:r w:rsidR="00DB4CFF">
        <w:t xml:space="preserve"> in one place, </w:t>
      </w:r>
      <w:r w:rsidR="000F55F4">
        <w:t>c</w:t>
      </w:r>
      <w:r w:rsidR="000F55F4" w:rsidRPr="000F55F4">
        <w:t xml:space="preserve">ommon </w:t>
      </w:r>
      <w:r w:rsidR="00DB4CFF">
        <w:t>expressions used in the legislative instruments that form</w:t>
      </w:r>
      <w:r w:rsidR="00B6583F">
        <w:t xml:space="preserve"> the</w:t>
      </w:r>
      <w:r w:rsidR="00DB4CFF">
        <w:t xml:space="preserve"> technical framework for </w:t>
      </w:r>
      <w:r w:rsidR="000F55F4">
        <w:t>various spectrum licen</w:t>
      </w:r>
      <w:r w:rsidR="00B6583F">
        <w:t>s</w:t>
      </w:r>
      <w:r w:rsidR="000F55F4">
        <w:t>ed bands</w:t>
      </w:r>
      <w:r w:rsidR="000F55F4" w:rsidRPr="000F55F4">
        <w:t>.</w:t>
      </w:r>
      <w:bookmarkEnd w:id="2"/>
    </w:p>
    <w:p w14:paraId="540DAB82" w14:textId="0354C4DD" w:rsidR="00E0400E" w:rsidRPr="00E0400E" w:rsidRDefault="00041FC1" w:rsidP="008E586C">
      <w:pPr>
        <w:pStyle w:val="Paragraphbeforelist"/>
      </w:pPr>
      <w:r>
        <w:t>Four</w:t>
      </w:r>
      <w:r w:rsidR="00E0400E" w:rsidRPr="00E0400E">
        <w:t xml:space="preserve"> submissions were received to the consultation paper from the following organisations:</w:t>
      </w:r>
    </w:p>
    <w:p w14:paraId="4AF506E7" w14:textId="570BF948" w:rsidR="009F4A03" w:rsidRDefault="00412CF3" w:rsidP="00B36A19">
      <w:pPr>
        <w:pStyle w:val="Bulletlevel1"/>
      </w:pPr>
      <w:r>
        <w:t>Australian Mobile Telecommunications Association (</w:t>
      </w:r>
      <w:r w:rsidR="009F4A03">
        <w:t>AMTA</w:t>
      </w:r>
      <w:r>
        <w:t>)</w:t>
      </w:r>
    </w:p>
    <w:p w14:paraId="6F326D27" w14:textId="7D06C79C" w:rsidR="00E0400E" w:rsidRDefault="00041FC1" w:rsidP="00B36A19">
      <w:pPr>
        <w:pStyle w:val="Bulletlevel1"/>
      </w:pPr>
      <w:r>
        <w:t>Ericsson</w:t>
      </w:r>
    </w:p>
    <w:p w14:paraId="414F103C" w14:textId="49464F66" w:rsidR="009F4A03" w:rsidRDefault="009F4A03" w:rsidP="00B36A19">
      <w:pPr>
        <w:pStyle w:val="Bulletlevel1"/>
      </w:pPr>
      <w:r>
        <w:t>Optus</w:t>
      </w:r>
    </w:p>
    <w:p w14:paraId="43586290" w14:textId="3C457106" w:rsidR="00E0400E" w:rsidRPr="00E0400E" w:rsidRDefault="009F4A03" w:rsidP="00681A32">
      <w:pPr>
        <w:pStyle w:val="Bulletlevel1last"/>
      </w:pPr>
      <w:r>
        <w:t>Telstra</w:t>
      </w:r>
      <w:r w:rsidR="007D717B">
        <w:t>.</w:t>
      </w:r>
    </w:p>
    <w:p w14:paraId="30C9FF89" w14:textId="262F7540" w:rsidR="00E0400E" w:rsidRPr="00E0400E" w:rsidRDefault="00BC5AF1" w:rsidP="008E586C">
      <w:pPr>
        <w:pStyle w:val="Paragraph"/>
        <w:keepNext/>
        <w:keepLines/>
      </w:pPr>
      <w:r>
        <w:t xml:space="preserve">These submissions are available on the </w:t>
      </w:r>
      <w:hyperlink r:id="rId25" w:history="1">
        <w:r w:rsidRPr="00BC5AF1">
          <w:rPr>
            <w:rStyle w:val="Hyperlink"/>
          </w:rPr>
          <w:t>ACMA website</w:t>
        </w:r>
      </w:hyperlink>
      <w:r>
        <w:t xml:space="preserve">. </w:t>
      </w:r>
      <w:r w:rsidR="00E0400E" w:rsidRPr="00E0400E">
        <w:t xml:space="preserve">A </w:t>
      </w:r>
      <w:r w:rsidR="00E0400E" w:rsidRPr="008A2B87">
        <w:rPr>
          <w:u w:color="0000FF"/>
        </w:rPr>
        <w:t>summary of submissions</w:t>
      </w:r>
      <w:r w:rsidR="00E0400E" w:rsidRPr="00E0400E">
        <w:t xml:space="preserve"> received and </w:t>
      </w:r>
      <w:r w:rsidR="00E760B8">
        <w:t xml:space="preserve">our </w:t>
      </w:r>
      <w:r w:rsidR="00E0400E" w:rsidRPr="00E0400E">
        <w:t xml:space="preserve">response to the issues raised </w:t>
      </w:r>
      <w:r w:rsidR="001C06FA">
        <w:t>are</w:t>
      </w:r>
      <w:r w:rsidR="001C06FA" w:rsidRPr="00E0400E">
        <w:t xml:space="preserve"> </w:t>
      </w:r>
      <w:r w:rsidR="00E0400E" w:rsidRPr="00E0400E">
        <w:t xml:space="preserve">outlined </w:t>
      </w:r>
      <w:r w:rsidR="00E760B8">
        <w:t>below</w:t>
      </w:r>
      <w:r w:rsidR="00E0400E" w:rsidRPr="00E0400E">
        <w:t xml:space="preserve">. </w:t>
      </w:r>
      <w:r w:rsidR="00D2002E">
        <w:t>A summary of t</w:t>
      </w:r>
      <w:r w:rsidR="00E0400E" w:rsidRPr="00E0400E">
        <w:t xml:space="preserve">he </w:t>
      </w:r>
      <w:hyperlink w:anchor="_3_Outcomes_of" w:history="1">
        <w:r w:rsidR="00E0400E" w:rsidRPr="00E760B8">
          <w:rPr>
            <w:rStyle w:val="Hyperlink"/>
          </w:rPr>
          <w:t>outcomes of the consultation</w:t>
        </w:r>
      </w:hyperlink>
      <w:r w:rsidR="00E0400E" w:rsidRPr="00E0400E">
        <w:t xml:space="preserve"> are </w:t>
      </w:r>
      <w:r w:rsidR="00E81059">
        <w:t>listed</w:t>
      </w:r>
      <w:r w:rsidR="00E81059" w:rsidRPr="00E0400E">
        <w:t xml:space="preserve"> </w:t>
      </w:r>
      <w:r w:rsidR="00E0400E" w:rsidRPr="00E0400E">
        <w:t xml:space="preserve">in </w:t>
      </w:r>
      <w:r w:rsidR="00E760B8">
        <w:t>the final s</w:t>
      </w:r>
      <w:r w:rsidR="00E0400E" w:rsidRPr="00E0400E">
        <w:t xml:space="preserve">ection </w:t>
      </w:r>
      <w:r w:rsidR="00E760B8">
        <w:t>of this paper</w:t>
      </w:r>
      <w:r w:rsidR="00E0400E" w:rsidRPr="00E0400E">
        <w:t xml:space="preserve">. </w:t>
      </w:r>
    </w:p>
    <w:p w14:paraId="505D00B6" w14:textId="0573DE89" w:rsidR="00E0400E" w:rsidRPr="00E0400E" w:rsidRDefault="00E0400E" w:rsidP="00BC5475">
      <w:pPr>
        <w:pStyle w:val="Heading1"/>
      </w:pPr>
      <w:bookmarkStart w:id="3" w:name="_2_Summary_and"/>
      <w:bookmarkStart w:id="4" w:name="_Toc441074818"/>
      <w:bookmarkStart w:id="5" w:name="_Toc159920161"/>
      <w:bookmarkEnd w:id="3"/>
      <w:r w:rsidRPr="00E0400E">
        <w:lastRenderedPageBreak/>
        <w:t>Summary and response to issues</w:t>
      </w:r>
      <w:bookmarkEnd w:id="4"/>
      <w:bookmarkEnd w:id="5"/>
    </w:p>
    <w:p w14:paraId="744B2394" w14:textId="6A6E9212" w:rsidR="00FB0922" w:rsidRDefault="00D01E46" w:rsidP="008D5D86">
      <w:pPr>
        <w:pStyle w:val="Paragraph"/>
      </w:pPr>
      <w:r>
        <w:t>S</w:t>
      </w:r>
      <w:r w:rsidR="00E0400E" w:rsidRPr="00E0400E">
        <w:t xml:space="preserve">ubmissions were generally supportive of the proposed </w:t>
      </w:r>
      <w:r w:rsidR="008A2B87">
        <w:t>draft legislative instruments</w:t>
      </w:r>
      <w:r w:rsidR="00E65373">
        <w:t xml:space="preserve">. </w:t>
      </w:r>
      <w:r>
        <w:t>S</w:t>
      </w:r>
      <w:r w:rsidR="00FB0922">
        <w:t>ome editorials changes and corrections</w:t>
      </w:r>
      <w:r>
        <w:t xml:space="preserve"> were identified</w:t>
      </w:r>
      <w:r w:rsidR="00FB0922">
        <w:t xml:space="preserve">. </w:t>
      </w:r>
      <w:r>
        <w:t xml:space="preserve">Submissions </w:t>
      </w:r>
      <w:r w:rsidR="00FB0922">
        <w:t>also proposed</w:t>
      </w:r>
      <w:r w:rsidR="00D2002E">
        <w:t xml:space="preserve"> more substantive </w:t>
      </w:r>
      <w:r w:rsidR="00FB0922">
        <w:t xml:space="preserve">amendments to consider. </w:t>
      </w:r>
    </w:p>
    <w:p w14:paraId="077AA26E" w14:textId="5FCE639D" w:rsidR="00932BBB" w:rsidRPr="00B1465F" w:rsidRDefault="00E0400E" w:rsidP="008D5D86">
      <w:pPr>
        <w:pStyle w:val="Paragraph"/>
      </w:pPr>
      <w:r w:rsidRPr="00E0400E">
        <w:t>This section summarises</w:t>
      </w:r>
      <w:r w:rsidR="008E4D39">
        <w:t xml:space="preserve"> </w:t>
      </w:r>
      <w:r w:rsidR="00FB0922">
        <w:t xml:space="preserve">the main issues raised in </w:t>
      </w:r>
      <w:r w:rsidR="00DC44B6">
        <w:t xml:space="preserve">the </w:t>
      </w:r>
      <w:r w:rsidR="00FB0922">
        <w:t>submissions</w:t>
      </w:r>
      <w:r w:rsidR="00DC44B6">
        <w:t xml:space="preserve"> and o</w:t>
      </w:r>
      <w:r w:rsidR="00E81059">
        <w:t xml:space="preserve">ur </w:t>
      </w:r>
      <w:r w:rsidRPr="00E0400E">
        <w:t>views on these.</w:t>
      </w:r>
      <w:r w:rsidR="00932BBB">
        <w:t xml:space="preserve"> We have not included discussion on the simple editorial</w:t>
      </w:r>
      <w:r w:rsidR="00DC44B6">
        <w:t xml:space="preserve"> changes</w:t>
      </w:r>
      <w:r w:rsidR="00932BBB">
        <w:t xml:space="preserve"> and corrections identified</w:t>
      </w:r>
      <w:r w:rsidR="003028BC">
        <w:t xml:space="preserve"> in submissions</w:t>
      </w:r>
      <w:r w:rsidR="00932BBB">
        <w:t xml:space="preserve">, however, these have generally been incorporated in the final instruments made. </w:t>
      </w:r>
    </w:p>
    <w:p w14:paraId="04ABE81B" w14:textId="40DCD2A5" w:rsidR="00E0400E" w:rsidRPr="00E0400E" w:rsidRDefault="00E0400E" w:rsidP="00BC5475">
      <w:pPr>
        <w:pStyle w:val="Heading2"/>
      </w:pPr>
      <w:bookmarkStart w:id="6" w:name="_Toc159920162"/>
      <w:bookmarkStart w:id="7" w:name="_Toc441074847"/>
      <w:r w:rsidRPr="00E0400E">
        <w:t xml:space="preserve">Issues for </w:t>
      </w:r>
      <w:r w:rsidR="00E81059">
        <w:t>c</w:t>
      </w:r>
      <w:r w:rsidRPr="00E0400E">
        <w:t>omment</w:t>
      </w:r>
      <w:bookmarkEnd w:id="6"/>
      <w:r w:rsidRPr="00E0400E">
        <w:t xml:space="preserve"> </w:t>
      </w:r>
    </w:p>
    <w:p w14:paraId="51F416DE" w14:textId="77777777" w:rsidR="00E0400E" w:rsidRPr="00E0400E" w:rsidRDefault="00E0400E" w:rsidP="00E0400E">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outlineLvl w:val="2"/>
        <w:rPr>
          <w:rFonts w:cs="Arial"/>
          <w:b/>
          <w:bCs/>
          <w:szCs w:val="26"/>
        </w:rPr>
      </w:pPr>
      <w:bookmarkStart w:id="8" w:name="_Toc89760804"/>
      <w:r w:rsidRPr="00E0400E">
        <w:rPr>
          <w:rFonts w:cs="Arial"/>
          <w:b/>
          <w:bCs/>
          <w:szCs w:val="26"/>
        </w:rPr>
        <w:t>Question 1</w:t>
      </w:r>
      <w:bookmarkEnd w:id="8"/>
    </w:p>
    <w:p w14:paraId="0795B633" w14:textId="418AD5B0" w:rsidR="00A03BF7" w:rsidRPr="00E162C4" w:rsidRDefault="00A03BF7" w:rsidP="00A03BF7">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9" w:name="_Hlk142390723"/>
      <w:r>
        <w:t xml:space="preserve">The ACMA seeks comment on the </w:t>
      </w:r>
      <w:r w:rsidR="00A966B9">
        <w:t>draft</w:t>
      </w:r>
      <w:r>
        <w:t xml:space="preserve"> </w:t>
      </w:r>
      <w:r w:rsidRPr="008C3A5F">
        <w:t xml:space="preserve">Radiocommunications Advisory Guidelines (Managing Interference </w:t>
      </w:r>
      <w:r w:rsidRPr="00A75DCD">
        <w:t xml:space="preserve">from Spectrum Licensed Transmitters </w:t>
      </w:r>
      <w:r>
        <w:t>–</w:t>
      </w:r>
      <w:r w:rsidRPr="00A75DCD">
        <w:t xml:space="preserve"> </w:t>
      </w:r>
      <w:r>
        <w:t>2.3 G</w:t>
      </w:r>
      <w:r w:rsidRPr="00A75DCD">
        <w:t>Hz Band)</w:t>
      </w:r>
      <w:r>
        <w:t xml:space="preserve"> 2023.</w:t>
      </w:r>
      <w:r w:rsidRPr="00A75DCD">
        <w:t xml:space="preserve"> </w:t>
      </w:r>
    </w:p>
    <w:bookmarkEnd w:id="9"/>
    <w:p w14:paraId="24DB1FDE" w14:textId="679269F2" w:rsidR="00117DEA" w:rsidRDefault="007729DE" w:rsidP="00C1763F">
      <w:r>
        <w:t>One</w:t>
      </w:r>
      <w:r w:rsidR="00117DEA">
        <w:t xml:space="preserve"> submission identified that Part 4 </w:t>
      </w:r>
      <w:r w:rsidR="00DC44B6">
        <w:t>‘</w:t>
      </w:r>
      <w:r w:rsidR="00870131">
        <w:t>Space service</w:t>
      </w:r>
      <w:r w:rsidR="00DC44B6">
        <w:t xml:space="preserve">’ </w:t>
      </w:r>
      <w:r w:rsidR="00117DEA">
        <w:t>had been updated to include reference to Recommendation ITU-R</w:t>
      </w:r>
      <w:r w:rsidR="00D01E46">
        <w:rPr>
          <w:rStyle w:val="FootnoteReference"/>
        </w:rPr>
        <w:footnoteReference w:id="2"/>
      </w:r>
      <w:r w:rsidR="00117DEA">
        <w:t xml:space="preserve"> SF.1006 and </w:t>
      </w:r>
      <w:r w:rsidR="00D01E46" w:rsidRPr="00D01E46">
        <w:t xml:space="preserve">Radiocommunications </w:t>
      </w:r>
      <w:r w:rsidR="00DC44B6">
        <w:t>A</w:t>
      </w:r>
      <w:r w:rsidR="00DC44B6" w:rsidRPr="00D01E46">
        <w:t xml:space="preserve">ssignment </w:t>
      </w:r>
      <w:r w:rsidR="00D01E46" w:rsidRPr="00D01E46">
        <w:t xml:space="preserve">and </w:t>
      </w:r>
      <w:r w:rsidR="00DC44B6">
        <w:t>L</w:t>
      </w:r>
      <w:r w:rsidR="00D01E46" w:rsidRPr="00D01E46">
        <w:t xml:space="preserve">icensing </w:t>
      </w:r>
      <w:r w:rsidR="00DC44B6">
        <w:t>I</w:t>
      </w:r>
      <w:r w:rsidR="00D01E46" w:rsidRPr="00D01E46">
        <w:t>nstruction</w:t>
      </w:r>
      <w:r w:rsidR="00D01E46">
        <w:t xml:space="preserve"> (</w:t>
      </w:r>
      <w:r w:rsidR="00117DEA">
        <w:t>RALI</w:t>
      </w:r>
      <w:r w:rsidR="00D01E46">
        <w:t>)</w:t>
      </w:r>
      <w:r w:rsidR="00117DEA">
        <w:t xml:space="preserve"> MS</w:t>
      </w:r>
      <w:r w:rsidR="00E67E57">
        <w:t xml:space="preserve"> </w:t>
      </w:r>
      <w:r w:rsidR="00117DEA">
        <w:t>3</w:t>
      </w:r>
      <w:r w:rsidR="00E67E57">
        <w:t>7</w:t>
      </w:r>
      <w:r w:rsidR="00117DEA">
        <w:t>. The submitter argued this is a material change that should have been more clearly identified and explained in the consultation paper.</w:t>
      </w:r>
    </w:p>
    <w:p w14:paraId="41AF4E41" w14:textId="122DFB9A" w:rsidR="00787D6E" w:rsidRDefault="00117DEA" w:rsidP="00C1763F">
      <w:r>
        <w:t xml:space="preserve">Another </w:t>
      </w:r>
      <w:r w:rsidR="00787D6E">
        <w:t xml:space="preserve">submission </w:t>
      </w:r>
      <w:bookmarkStart w:id="10" w:name="_Hlk156485266"/>
      <w:r w:rsidR="000110EA">
        <w:t xml:space="preserve">indicated that </w:t>
      </w:r>
      <w:r w:rsidR="00DC44B6">
        <w:t xml:space="preserve">2 </w:t>
      </w:r>
      <w:r w:rsidR="000A7B91">
        <w:t>sections</w:t>
      </w:r>
      <w:r w:rsidR="000110EA">
        <w:t xml:space="preserve"> in Part 5 </w:t>
      </w:r>
      <w:r w:rsidR="00DC44B6">
        <w:t>‘</w:t>
      </w:r>
      <w:r w:rsidR="00870131">
        <w:t>Mobile services</w:t>
      </w:r>
      <w:r w:rsidR="00DC44B6">
        <w:t xml:space="preserve">’ </w:t>
      </w:r>
      <w:r w:rsidR="000A7B91">
        <w:t>contradicted each other.</w:t>
      </w:r>
      <w:r w:rsidR="00787D6E">
        <w:t xml:space="preserve"> </w:t>
      </w:r>
      <w:r w:rsidR="00237A61">
        <w:t>S</w:t>
      </w:r>
      <w:r w:rsidR="00870131">
        <w:t>ubs</w:t>
      </w:r>
      <w:r w:rsidR="000A7B91">
        <w:t>ection 1</w:t>
      </w:r>
      <w:r w:rsidR="00237A61">
        <w:t>3</w:t>
      </w:r>
      <w:r w:rsidR="00A05B04">
        <w:t>(</w:t>
      </w:r>
      <w:r w:rsidR="008A2812">
        <w:t>a</w:t>
      </w:r>
      <w:r w:rsidR="000A7B91">
        <w:t xml:space="preserve">) states </w:t>
      </w:r>
      <w:r w:rsidR="00787D6E">
        <w:t>that a</w:t>
      </w:r>
      <w:r w:rsidR="00787D6E" w:rsidRPr="00787D6E">
        <w:t xml:space="preserve"> transmitter is not taken to cause unacceptable interference to an apparatus licensed fixed receive station used for </w:t>
      </w:r>
      <w:bookmarkStart w:id="11" w:name="_Hlk156485564"/>
      <w:r w:rsidR="006E3EDA" w:rsidRPr="006E3EDA">
        <w:t>aeronautical mobile telemetry</w:t>
      </w:r>
      <w:r w:rsidR="006E3EDA">
        <w:t xml:space="preserve"> (</w:t>
      </w:r>
      <w:r w:rsidR="00787D6E" w:rsidRPr="00787D6E">
        <w:t>AMT</w:t>
      </w:r>
      <w:r w:rsidR="006E3EDA">
        <w:t>)</w:t>
      </w:r>
      <w:r w:rsidR="00787D6E" w:rsidRPr="00787D6E">
        <w:t xml:space="preserve"> </w:t>
      </w:r>
      <w:bookmarkEnd w:id="11"/>
      <w:r w:rsidR="00787D6E" w:rsidRPr="00787D6E">
        <w:t>services</w:t>
      </w:r>
      <w:r w:rsidR="00D01E46">
        <w:t>,</w:t>
      </w:r>
      <w:r w:rsidR="00787D6E">
        <w:t xml:space="preserve"> if the </w:t>
      </w:r>
      <w:r w:rsidR="00E11644">
        <w:t>transmitter is operating in accordance with its licence</w:t>
      </w:r>
      <w:r w:rsidR="00237A61">
        <w:t>.</w:t>
      </w:r>
      <w:r w:rsidR="000A7B91">
        <w:t xml:space="preserve"> </w:t>
      </w:r>
      <w:r w:rsidR="002967DA">
        <w:t>However,</w:t>
      </w:r>
      <w:r w:rsidR="00237A61">
        <w:t xml:space="preserve"> </w:t>
      </w:r>
      <w:r w:rsidR="00870131">
        <w:t>sub</w:t>
      </w:r>
      <w:r w:rsidR="000A7B91">
        <w:t>section 1</w:t>
      </w:r>
      <w:r w:rsidR="00237A61">
        <w:t>2</w:t>
      </w:r>
      <w:r w:rsidR="000A7B91">
        <w:t>(3) states that a</w:t>
      </w:r>
      <w:r w:rsidR="000A7B91" w:rsidRPr="000A7B91">
        <w:t>pparatus licensed fixed receive stations used for AMT are afforded protection from 2.3</w:t>
      </w:r>
      <w:r w:rsidR="00D01E46">
        <w:t> </w:t>
      </w:r>
      <w:r w:rsidR="000A7B91" w:rsidRPr="000A7B91">
        <w:t>GHz spectrum licensed radiocommunications transmitters</w:t>
      </w:r>
      <w:r w:rsidR="002967DA">
        <w:t>, which appears to contradict the former provision</w:t>
      </w:r>
      <w:r w:rsidR="000A7B91" w:rsidRPr="000A7B91">
        <w:t>.</w:t>
      </w:r>
      <w:r w:rsidR="000A7B91">
        <w:t xml:space="preserve"> </w:t>
      </w:r>
      <w:bookmarkEnd w:id="10"/>
    </w:p>
    <w:p w14:paraId="32B772E3" w14:textId="30C50F34" w:rsidR="000110EA" w:rsidRDefault="00237A61" w:rsidP="00C1763F">
      <w:bookmarkStart w:id="12" w:name="_Hlk156485597"/>
      <w:r>
        <w:t xml:space="preserve">The same </w:t>
      </w:r>
      <w:r w:rsidR="000A7B91">
        <w:t xml:space="preserve">submission noted that the inclusion in Part 8 of the protection requirement for the </w:t>
      </w:r>
      <w:r w:rsidR="000A7B91" w:rsidRPr="000A7B91">
        <w:t>Australian Radio Quiet Zone Western Australia</w:t>
      </w:r>
      <w:r w:rsidR="000A7B91">
        <w:t xml:space="preserve"> (ARQZWA)</w:t>
      </w:r>
      <w:r w:rsidR="00E67E57">
        <w:t xml:space="preserve"> is a material change </w:t>
      </w:r>
      <w:r w:rsidR="000A7B91">
        <w:t>not identified in the consultation paper.</w:t>
      </w:r>
      <w:r w:rsidR="00932BBB">
        <w:t xml:space="preserve"> </w:t>
      </w:r>
    </w:p>
    <w:bookmarkEnd w:id="12"/>
    <w:p w14:paraId="685C2EA6" w14:textId="77777777" w:rsidR="00E0400E" w:rsidRPr="00E0400E" w:rsidRDefault="00E0400E" w:rsidP="00DB4EF9">
      <w:pPr>
        <w:pStyle w:val="Heading4"/>
      </w:pPr>
      <w:r w:rsidRPr="00E0400E">
        <w:t>ACMA response</w:t>
      </w:r>
    </w:p>
    <w:p w14:paraId="4BB6E7DD" w14:textId="44BEB704" w:rsidR="00E67E57" w:rsidRPr="00870131" w:rsidRDefault="00E67E57" w:rsidP="008E586C">
      <w:r>
        <w:t>We note that</w:t>
      </w:r>
      <w:r w:rsidR="000B73C8">
        <w:t xml:space="preserve"> the</w:t>
      </w:r>
      <w:r>
        <w:t xml:space="preserve"> </w:t>
      </w:r>
      <w:r w:rsidR="00870131">
        <w:t xml:space="preserve">current </w:t>
      </w:r>
      <w:r w:rsidR="00870131" w:rsidRPr="00BD3716">
        <w:t>Radiocommunications Advisory Guidelines (Managing Interference from Spectrum Licensed Transmitters – 2.3 GHz Band) 2013</w:t>
      </w:r>
      <w:r w:rsidR="00870131">
        <w:t xml:space="preserve"> </w:t>
      </w:r>
      <w:r w:rsidR="00AA5395">
        <w:t xml:space="preserve">(2013 RAG Tx) </w:t>
      </w:r>
      <w:r w:rsidR="00870131">
        <w:t>contains reference</w:t>
      </w:r>
      <w:r w:rsidR="001C5366">
        <w:t>s</w:t>
      </w:r>
      <w:r w:rsidR="00870131">
        <w:t xml:space="preserve"> to Recommendation ITU-R SF.1006 and RALI MS 37 for the protection of specific space</w:t>
      </w:r>
      <w:r w:rsidR="002967DA">
        <w:t>-</w:t>
      </w:r>
      <w:r w:rsidR="00870131">
        <w:t>related service</w:t>
      </w:r>
      <w:r w:rsidR="00CE2764">
        <w:t>s</w:t>
      </w:r>
      <w:r w:rsidR="00870131">
        <w:t xml:space="preserve">. So, we do not consider </w:t>
      </w:r>
      <w:r w:rsidR="002967DA">
        <w:t>that</w:t>
      </w:r>
      <w:r w:rsidR="00870131">
        <w:t xml:space="preserve"> the inclusion of these reference</w:t>
      </w:r>
      <w:r w:rsidR="002967DA">
        <w:t>s</w:t>
      </w:r>
      <w:r w:rsidR="00870131">
        <w:t xml:space="preserve"> to the new RAG Tx </w:t>
      </w:r>
      <w:r w:rsidR="002967DA">
        <w:t>is</w:t>
      </w:r>
      <w:r w:rsidR="00870131">
        <w:t xml:space="preserve"> a material change. We </w:t>
      </w:r>
      <w:r w:rsidR="00A05B04">
        <w:t xml:space="preserve">acknowledge </w:t>
      </w:r>
      <w:r w:rsidR="00870131">
        <w:t xml:space="preserve">that </w:t>
      </w:r>
      <w:r w:rsidR="002967DA">
        <w:t>the current</w:t>
      </w:r>
      <w:r w:rsidR="00870131">
        <w:t xml:space="preserve"> reference to Recommendation ITU-R SF.1006 in the </w:t>
      </w:r>
      <w:r w:rsidR="00AA5395">
        <w:t xml:space="preserve">2013 </w:t>
      </w:r>
      <w:r w:rsidR="00870131">
        <w:t xml:space="preserve">RAG </w:t>
      </w:r>
      <w:r w:rsidR="00AA5395">
        <w:t xml:space="preserve">Tx </w:t>
      </w:r>
      <w:r w:rsidR="00870131">
        <w:t xml:space="preserve">is in the </w:t>
      </w:r>
      <w:r w:rsidR="00DC44B6">
        <w:t>‘</w:t>
      </w:r>
      <w:r w:rsidR="00870131">
        <w:t>Background</w:t>
      </w:r>
      <w:r w:rsidR="00DC44B6">
        <w:t>’</w:t>
      </w:r>
      <w:r w:rsidR="00870131">
        <w:t xml:space="preserve"> </w:t>
      </w:r>
      <w:r w:rsidR="002967DA">
        <w:t>section</w:t>
      </w:r>
      <w:r w:rsidR="00870131">
        <w:t>. However, this text clearly states that earth stations are to be provided in-band protection in accordance with this recommendation. Moving</w:t>
      </w:r>
      <w:r w:rsidR="00AA5395">
        <w:t xml:space="preserve"> </w:t>
      </w:r>
      <w:r w:rsidR="00A05B04">
        <w:t>this text</w:t>
      </w:r>
      <w:r w:rsidR="00AA5395">
        <w:t xml:space="preserve"> </w:t>
      </w:r>
      <w:r w:rsidR="00A05B04">
        <w:t xml:space="preserve">to </w:t>
      </w:r>
      <w:r w:rsidR="00870131">
        <w:t xml:space="preserve">the protection requirement section of the new RAG Tx </w:t>
      </w:r>
      <w:r w:rsidR="00A05B04">
        <w:t>i</w:t>
      </w:r>
      <w:r w:rsidR="00870131">
        <w:t xml:space="preserve">s </w:t>
      </w:r>
      <w:r w:rsidR="002967DA">
        <w:t xml:space="preserve">simply </w:t>
      </w:r>
      <w:r w:rsidR="00870131">
        <w:t xml:space="preserve">intended to </w:t>
      </w:r>
      <w:r w:rsidR="00AA5395">
        <w:t xml:space="preserve">improve </w:t>
      </w:r>
      <w:r w:rsidR="00870131">
        <w:t>clarity</w:t>
      </w:r>
      <w:r w:rsidR="00AA5395">
        <w:t xml:space="preserve"> </w:t>
      </w:r>
      <w:r w:rsidR="00A05B04">
        <w:t>on how it applies</w:t>
      </w:r>
      <w:r w:rsidR="00870131">
        <w:t xml:space="preserve">.  </w:t>
      </w:r>
    </w:p>
    <w:p w14:paraId="5B4555E9" w14:textId="40668814" w:rsidR="009D6152" w:rsidRDefault="00065266" w:rsidP="00BD3716">
      <w:pPr>
        <w:keepLines/>
      </w:pPr>
      <w:r>
        <w:lastRenderedPageBreak/>
        <w:t>We</w:t>
      </w:r>
      <w:r w:rsidR="009D6152">
        <w:t xml:space="preserve"> </w:t>
      </w:r>
      <w:r w:rsidR="00870131">
        <w:t xml:space="preserve">agree that the </w:t>
      </w:r>
      <w:r w:rsidR="00DC44B6">
        <w:t xml:space="preserve">2 </w:t>
      </w:r>
      <w:r w:rsidR="00870131">
        <w:t xml:space="preserve">subsections identified </w:t>
      </w:r>
      <w:r w:rsidR="009D6152">
        <w:t>in</w:t>
      </w:r>
      <w:r w:rsidR="00870131">
        <w:t xml:space="preserve"> </w:t>
      </w:r>
      <w:r w:rsidR="009D6152">
        <w:t xml:space="preserve">Part </w:t>
      </w:r>
      <w:r w:rsidR="00870131">
        <w:t>5</w:t>
      </w:r>
      <w:r w:rsidR="009D6152">
        <w:t xml:space="preserve"> </w:t>
      </w:r>
      <w:r w:rsidR="00A05B04">
        <w:t xml:space="preserve">appear to </w:t>
      </w:r>
      <w:r w:rsidR="009D6152">
        <w:t xml:space="preserve">contradict each other. </w:t>
      </w:r>
      <w:r w:rsidR="00A05B04">
        <w:t>We note that t</w:t>
      </w:r>
      <w:r w:rsidR="00870131">
        <w:t xml:space="preserve">he intention </w:t>
      </w:r>
      <w:r w:rsidR="00A05B04">
        <w:t xml:space="preserve">of Part 5 </w:t>
      </w:r>
      <w:r w:rsidR="00390211">
        <w:t xml:space="preserve">is that fixed receive stations used for AMT services are afforded </w:t>
      </w:r>
      <w:r w:rsidR="00091EDA">
        <w:t xml:space="preserve">a </w:t>
      </w:r>
      <w:r w:rsidR="00A05B04">
        <w:t xml:space="preserve">defined </w:t>
      </w:r>
      <w:r w:rsidR="00091EDA">
        <w:t xml:space="preserve">level of </w:t>
      </w:r>
      <w:r w:rsidR="00390211">
        <w:t xml:space="preserve">protection. </w:t>
      </w:r>
      <w:r w:rsidR="0011340A">
        <w:t>T</w:t>
      </w:r>
      <w:r w:rsidR="00390211">
        <w:t>he level of protection afforded is based on the conditions</w:t>
      </w:r>
      <w:r w:rsidR="0011340A">
        <w:t>, including core conditions</w:t>
      </w:r>
      <w:r w:rsidR="00390211">
        <w:t xml:space="preserve"> (in particular</w:t>
      </w:r>
      <w:r w:rsidR="00DC44B6">
        <w:t>,</w:t>
      </w:r>
      <w:r w:rsidR="00390211">
        <w:t xml:space="preserve"> the unwanted emission limits)</w:t>
      </w:r>
      <w:r w:rsidR="0011340A">
        <w:t>,</w:t>
      </w:r>
      <w:r w:rsidR="00390211">
        <w:t xml:space="preserve"> stated on 2.3 GHz band spectrum licence</w:t>
      </w:r>
      <w:r w:rsidR="0011340A">
        <w:t>s</w:t>
      </w:r>
      <w:r w:rsidR="00390211">
        <w:t>. Provided these conditions are adhered to, a radiocommunications transmitter operated under a 2.3</w:t>
      </w:r>
      <w:r w:rsidR="0011340A">
        <w:t> </w:t>
      </w:r>
      <w:r w:rsidR="00390211">
        <w:t xml:space="preserve">GHz band spectrum licence is not deemed to cause interference to a fixed receive station used for AMT services. To </w:t>
      </w:r>
      <w:r w:rsidR="00A05B04">
        <w:t>ensure there is no ambiguity</w:t>
      </w:r>
      <w:r w:rsidR="00390211">
        <w:t>, w</w:t>
      </w:r>
      <w:r w:rsidR="009D6152">
        <w:t xml:space="preserve">e have removed </w:t>
      </w:r>
      <w:r w:rsidR="00390211">
        <w:t>sub</w:t>
      </w:r>
      <w:r w:rsidR="009D6152">
        <w:t>section 1</w:t>
      </w:r>
      <w:r w:rsidR="00390211">
        <w:t>2</w:t>
      </w:r>
      <w:r w:rsidR="009D6152">
        <w:t>(3)</w:t>
      </w:r>
      <w:r w:rsidR="00091EDA">
        <w:t xml:space="preserve"> from the RAG Tx.</w:t>
      </w:r>
      <w:r w:rsidR="00410F74">
        <w:t xml:space="preserve"> This amendment ensures spectrum licences can continue to operate</w:t>
      </w:r>
      <w:r w:rsidR="00091EDA">
        <w:t xml:space="preserve"> transmitters</w:t>
      </w:r>
      <w:r w:rsidR="00410F74">
        <w:t xml:space="preserve"> in the same manner</w:t>
      </w:r>
      <w:r w:rsidR="00091EDA">
        <w:t xml:space="preserve"> </w:t>
      </w:r>
      <w:r w:rsidR="00BC015C">
        <w:t xml:space="preserve">as </w:t>
      </w:r>
      <w:r w:rsidR="00091EDA">
        <w:t xml:space="preserve">they </w:t>
      </w:r>
      <w:r w:rsidR="00BC015C">
        <w:t xml:space="preserve">were </w:t>
      </w:r>
      <w:r w:rsidR="00410F74">
        <w:t xml:space="preserve">prior to the remaking of the instrument. </w:t>
      </w:r>
    </w:p>
    <w:p w14:paraId="658B815B" w14:textId="4AA71EAA" w:rsidR="00302123" w:rsidRDefault="00065266" w:rsidP="008E586C">
      <w:r>
        <w:t xml:space="preserve">We </w:t>
      </w:r>
      <w:r w:rsidR="00091EDA">
        <w:t xml:space="preserve">acknowledge </w:t>
      </w:r>
      <w:r w:rsidR="00302123">
        <w:t xml:space="preserve">that the inclusion of the protection requirement for the ARQZWA </w:t>
      </w:r>
      <w:r w:rsidR="00091EDA">
        <w:t xml:space="preserve">was not </w:t>
      </w:r>
      <w:r w:rsidR="00302123">
        <w:t xml:space="preserve">identified in the consultation paper. </w:t>
      </w:r>
      <w:r w:rsidR="00D01E46">
        <w:t>H</w:t>
      </w:r>
      <w:r w:rsidR="00091EDA">
        <w:t xml:space="preserve">owever, this </w:t>
      </w:r>
      <w:r w:rsidR="00302123">
        <w:t xml:space="preserve">is not a new </w:t>
      </w:r>
      <w:r w:rsidR="00BC015C">
        <w:t>condition</w:t>
      </w:r>
      <w:r w:rsidR="00091EDA">
        <w:t xml:space="preserve"> </w:t>
      </w:r>
      <w:r w:rsidR="00BC015C">
        <w:t xml:space="preserve">– it </w:t>
      </w:r>
      <w:r w:rsidR="00091EDA">
        <w:t xml:space="preserve">is </w:t>
      </w:r>
      <w:r w:rsidR="00BC015C">
        <w:t>set out</w:t>
      </w:r>
      <w:r w:rsidR="00091EDA">
        <w:t xml:space="preserve"> in section 8 of Licence Schedule 4 o</w:t>
      </w:r>
      <w:r w:rsidR="0011340A">
        <w:t>n</w:t>
      </w:r>
      <w:r w:rsidR="00091EDA">
        <w:t xml:space="preserve"> all 2.3 GHz band spectrum licences</w:t>
      </w:r>
      <w:r w:rsidR="00302123">
        <w:t xml:space="preserve"> </w:t>
      </w:r>
      <w:r w:rsidR="00BC015C">
        <w:t>and its inclusion</w:t>
      </w:r>
      <w:r w:rsidR="00302123">
        <w:t xml:space="preserve"> in the RAG Tx is </w:t>
      </w:r>
      <w:r w:rsidR="00BC015C">
        <w:t xml:space="preserve">simply </w:t>
      </w:r>
      <w:r w:rsidR="00F410BA">
        <w:t xml:space="preserve">intended </w:t>
      </w:r>
      <w:r w:rsidR="00BC015C">
        <w:t>to provide more visibility</w:t>
      </w:r>
      <w:r w:rsidR="00302123">
        <w:t>.</w:t>
      </w:r>
    </w:p>
    <w:p w14:paraId="66117B10" w14:textId="77777777" w:rsidR="00E0400E" w:rsidRPr="00E0400E" w:rsidRDefault="00E0400E" w:rsidP="00E0400E">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outlineLvl w:val="2"/>
        <w:rPr>
          <w:rFonts w:cs="Arial"/>
          <w:b/>
          <w:bCs/>
          <w:szCs w:val="26"/>
        </w:rPr>
      </w:pPr>
      <w:bookmarkStart w:id="13" w:name="_Toc89760805"/>
      <w:r w:rsidRPr="00E0400E">
        <w:rPr>
          <w:rFonts w:cs="Arial"/>
          <w:b/>
          <w:bCs/>
          <w:szCs w:val="26"/>
        </w:rPr>
        <w:t>Question 2</w:t>
      </w:r>
      <w:bookmarkEnd w:id="13"/>
    </w:p>
    <w:p w14:paraId="115461F1" w14:textId="393BF44E" w:rsidR="00A03BF7" w:rsidRPr="00E162C4" w:rsidRDefault="00A03BF7" w:rsidP="00A03BF7">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14" w:name="_Hlk142390739"/>
      <w:r>
        <w:t xml:space="preserve">The ACMA seeks comment on the </w:t>
      </w:r>
      <w:r w:rsidR="00A966B9">
        <w:t>draft</w:t>
      </w:r>
      <w:r>
        <w:t xml:space="preserve"> </w:t>
      </w:r>
      <w:r w:rsidRPr="008C3A5F">
        <w:t xml:space="preserve">Radiocommunications Advisory Guidelines (Managing Interference to Spectrum Licensed Receivers </w:t>
      </w:r>
      <w:r>
        <w:t>–</w:t>
      </w:r>
      <w:r w:rsidRPr="008C3A5F">
        <w:t xml:space="preserve"> </w:t>
      </w:r>
      <w:r>
        <w:t>2.3</w:t>
      </w:r>
      <w:r w:rsidRPr="008C3A5F">
        <w:t xml:space="preserve"> </w:t>
      </w:r>
      <w:r>
        <w:t>G</w:t>
      </w:r>
      <w:r w:rsidRPr="008C3A5F">
        <w:t>Hz Band)</w:t>
      </w:r>
      <w:r>
        <w:t xml:space="preserve"> 2023.</w:t>
      </w:r>
    </w:p>
    <w:bookmarkEnd w:id="14"/>
    <w:p w14:paraId="58A1D91E" w14:textId="387F4261" w:rsidR="007B2B28" w:rsidRDefault="00BC015C" w:rsidP="00890F86">
      <w:pPr>
        <w:rPr>
          <w:szCs w:val="20"/>
        </w:rPr>
      </w:pPr>
      <w:r>
        <w:rPr>
          <w:szCs w:val="20"/>
        </w:rPr>
        <w:t>One</w:t>
      </w:r>
      <w:r w:rsidR="00FD3982">
        <w:rPr>
          <w:szCs w:val="20"/>
        </w:rPr>
        <w:t xml:space="preserve"> submission </w:t>
      </w:r>
      <w:r w:rsidR="00DD629C">
        <w:rPr>
          <w:szCs w:val="20"/>
        </w:rPr>
        <w:t>opposed the inclusion of</w:t>
      </w:r>
      <w:r w:rsidR="00FD3982" w:rsidRPr="00FD3982">
        <w:rPr>
          <w:szCs w:val="20"/>
        </w:rPr>
        <w:t xml:space="preserve"> the text in </w:t>
      </w:r>
      <w:r w:rsidR="00DD629C">
        <w:rPr>
          <w:szCs w:val="20"/>
        </w:rPr>
        <w:t>sub</w:t>
      </w:r>
      <w:r w:rsidR="00FD3982">
        <w:rPr>
          <w:szCs w:val="20"/>
        </w:rPr>
        <w:t xml:space="preserve">section </w:t>
      </w:r>
      <w:r w:rsidR="00FD3982" w:rsidRPr="00FD3982">
        <w:rPr>
          <w:szCs w:val="20"/>
        </w:rPr>
        <w:t>8(4)</w:t>
      </w:r>
      <w:r w:rsidR="00DD629C">
        <w:rPr>
          <w:szCs w:val="20"/>
        </w:rPr>
        <w:t>.</w:t>
      </w:r>
      <w:r w:rsidR="00FD3982" w:rsidRPr="00FD3982">
        <w:rPr>
          <w:szCs w:val="20"/>
        </w:rPr>
        <w:t xml:space="preserve"> </w:t>
      </w:r>
      <w:r>
        <w:rPr>
          <w:szCs w:val="20"/>
        </w:rPr>
        <w:t xml:space="preserve">It </w:t>
      </w:r>
      <w:r w:rsidR="00E97F0F">
        <w:rPr>
          <w:szCs w:val="20"/>
        </w:rPr>
        <w:t xml:space="preserve">argued </w:t>
      </w:r>
      <w:r>
        <w:rPr>
          <w:szCs w:val="20"/>
        </w:rPr>
        <w:t>that</w:t>
      </w:r>
      <w:r w:rsidR="00E97F0F">
        <w:rPr>
          <w:szCs w:val="20"/>
        </w:rPr>
        <w:t xml:space="preserve"> d</w:t>
      </w:r>
      <w:r w:rsidR="00DD629C">
        <w:rPr>
          <w:szCs w:val="20"/>
        </w:rPr>
        <w:t>evices operating under a c</w:t>
      </w:r>
      <w:r w:rsidR="00FD3982">
        <w:rPr>
          <w:szCs w:val="20"/>
        </w:rPr>
        <w:t>lass licence</w:t>
      </w:r>
      <w:r w:rsidR="00FD3982" w:rsidRPr="00FD3982">
        <w:rPr>
          <w:szCs w:val="20"/>
        </w:rPr>
        <w:t xml:space="preserve"> </w:t>
      </w:r>
      <w:r w:rsidR="00DD629C">
        <w:rPr>
          <w:szCs w:val="20"/>
        </w:rPr>
        <w:t xml:space="preserve">typically </w:t>
      </w:r>
      <w:r w:rsidR="00E97F0F">
        <w:rPr>
          <w:szCs w:val="20"/>
        </w:rPr>
        <w:t xml:space="preserve">do so </w:t>
      </w:r>
      <w:r w:rsidR="00FD3982" w:rsidRPr="00FD3982">
        <w:rPr>
          <w:szCs w:val="20"/>
        </w:rPr>
        <w:t xml:space="preserve">on a </w:t>
      </w:r>
      <w:r w:rsidR="00DD629C">
        <w:rPr>
          <w:szCs w:val="20"/>
        </w:rPr>
        <w:t>‘</w:t>
      </w:r>
      <w:r w:rsidR="00FD3982">
        <w:rPr>
          <w:szCs w:val="20"/>
        </w:rPr>
        <w:t>no interference no protection</w:t>
      </w:r>
      <w:r w:rsidR="00DD629C">
        <w:rPr>
          <w:szCs w:val="20"/>
        </w:rPr>
        <w:t>’</w:t>
      </w:r>
      <w:r w:rsidR="00FD3982">
        <w:rPr>
          <w:szCs w:val="20"/>
        </w:rPr>
        <w:t xml:space="preserve"> (NINP)</w:t>
      </w:r>
      <w:r w:rsidR="00FD3982" w:rsidRPr="00FD3982">
        <w:rPr>
          <w:szCs w:val="20"/>
        </w:rPr>
        <w:t xml:space="preserve"> basis</w:t>
      </w:r>
      <w:r w:rsidR="00DD629C">
        <w:rPr>
          <w:szCs w:val="20"/>
        </w:rPr>
        <w:t xml:space="preserve">. </w:t>
      </w:r>
      <w:r w:rsidR="00140DE9">
        <w:rPr>
          <w:szCs w:val="20"/>
        </w:rPr>
        <w:t>However, t</w:t>
      </w:r>
      <w:r w:rsidR="00DD629C">
        <w:rPr>
          <w:szCs w:val="20"/>
        </w:rPr>
        <w:t xml:space="preserve">he </w:t>
      </w:r>
      <w:r w:rsidR="00FD3982" w:rsidRPr="00FD3982">
        <w:rPr>
          <w:szCs w:val="20"/>
        </w:rPr>
        <w:t xml:space="preserve">text </w:t>
      </w:r>
      <w:r w:rsidR="00DD629C">
        <w:rPr>
          <w:szCs w:val="20"/>
        </w:rPr>
        <w:t xml:space="preserve">in subsection 8(4) </w:t>
      </w:r>
      <w:r w:rsidR="00140DE9">
        <w:rPr>
          <w:szCs w:val="20"/>
        </w:rPr>
        <w:t>states</w:t>
      </w:r>
      <w:r w:rsidR="00DD629C">
        <w:rPr>
          <w:szCs w:val="20"/>
        </w:rPr>
        <w:t xml:space="preserve"> that the ACMA would not act </w:t>
      </w:r>
      <w:r w:rsidR="00140DE9">
        <w:rPr>
          <w:szCs w:val="20"/>
        </w:rPr>
        <w:t>in</w:t>
      </w:r>
      <w:r w:rsidR="00BF7DDD">
        <w:rPr>
          <w:szCs w:val="20"/>
        </w:rPr>
        <w:t xml:space="preserve"> </w:t>
      </w:r>
      <w:r w:rsidR="00140DE9">
        <w:rPr>
          <w:szCs w:val="20"/>
        </w:rPr>
        <w:t xml:space="preserve">relation to interference caused by such devices. </w:t>
      </w:r>
    </w:p>
    <w:p w14:paraId="571D31EE" w14:textId="3E2FFE5E" w:rsidR="00890F86" w:rsidRDefault="00AB454F" w:rsidP="00890F86">
      <w:pPr>
        <w:rPr>
          <w:szCs w:val="20"/>
        </w:rPr>
      </w:pPr>
      <w:r>
        <w:rPr>
          <w:szCs w:val="20"/>
        </w:rPr>
        <w:t>Two</w:t>
      </w:r>
      <w:r w:rsidR="00C354E1">
        <w:rPr>
          <w:szCs w:val="20"/>
        </w:rPr>
        <w:t xml:space="preserve"> submissions </w:t>
      </w:r>
      <w:r w:rsidR="00AA5395">
        <w:rPr>
          <w:szCs w:val="20"/>
        </w:rPr>
        <w:t xml:space="preserve">commented on </w:t>
      </w:r>
      <w:r w:rsidR="00C354E1">
        <w:rPr>
          <w:szCs w:val="20"/>
        </w:rPr>
        <w:t>the changes to the notional receiver</w:t>
      </w:r>
      <w:r w:rsidR="00AA5395">
        <w:rPr>
          <w:szCs w:val="20"/>
        </w:rPr>
        <w:t xml:space="preserve"> performance</w:t>
      </w:r>
      <w:r w:rsidR="00C354E1">
        <w:rPr>
          <w:szCs w:val="20"/>
        </w:rPr>
        <w:t>. The</w:t>
      </w:r>
      <w:r>
        <w:rPr>
          <w:szCs w:val="20"/>
        </w:rPr>
        <w:t xml:space="preserve"> submitters</w:t>
      </w:r>
      <w:r w:rsidR="00C354E1">
        <w:rPr>
          <w:szCs w:val="20"/>
        </w:rPr>
        <w:t xml:space="preserve"> </w:t>
      </w:r>
      <w:r>
        <w:rPr>
          <w:szCs w:val="20"/>
        </w:rPr>
        <w:t xml:space="preserve">suggested </w:t>
      </w:r>
      <w:r w:rsidR="00C354E1">
        <w:rPr>
          <w:szCs w:val="20"/>
        </w:rPr>
        <w:t xml:space="preserve">that Schedule 1 had been </w:t>
      </w:r>
      <w:r w:rsidR="00C354E1" w:rsidRPr="00C354E1">
        <w:rPr>
          <w:szCs w:val="20"/>
        </w:rPr>
        <w:t>completely re-written</w:t>
      </w:r>
      <w:r w:rsidR="00C354E1">
        <w:rPr>
          <w:szCs w:val="20"/>
        </w:rPr>
        <w:t xml:space="preserve">. While </w:t>
      </w:r>
      <w:r w:rsidR="00140DE9">
        <w:rPr>
          <w:szCs w:val="20"/>
        </w:rPr>
        <w:t xml:space="preserve">they welcomed </w:t>
      </w:r>
      <w:r>
        <w:rPr>
          <w:szCs w:val="20"/>
        </w:rPr>
        <w:t>the proposed</w:t>
      </w:r>
      <w:r w:rsidR="00140DE9">
        <w:rPr>
          <w:szCs w:val="20"/>
        </w:rPr>
        <w:t xml:space="preserve"> modernisation of the notional receiver performance to align with </w:t>
      </w:r>
      <w:r w:rsidR="00C354E1" w:rsidRPr="00C354E1">
        <w:rPr>
          <w:szCs w:val="20"/>
        </w:rPr>
        <w:t xml:space="preserve">3GPP </w:t>
      </w:r>
      <w:r w:rsidR="00140DE9">
        <w:rPr>
          <w:szCs w:val="20"/>
        </w:rPr>
        <w:t xml:space="preserve">standards, </w:t>
      </w:r>
      <w:r w:rsidR="00C354E1" w:rsidRPr="00C354E1">
        <w:rPr>
          <w:szCs w:val="20"/>
        </w:rPr>
        <w:t xml:space="preserve">they </w:t>
      </w:r>
      <w:r w:rsidR="00AA5395">
        <w:rPr>
          <w:szCs w:val="20"/>
        </w:rPr>
        <w:t>commented</w:t>
      </w:r>
      <w:r w:rsidR="008F38FD">
        <w:rPr>
          <w:szCs w:val="20"/>
        </w:rPr>
        <w:t xml:space="preserve"> that</w:t>
      </w:r>
      <w:r w:rsidR="00140DE9">
        <w:rPr>
          <w:szCs w:val="20"/>
        </w:rPr>
        <w:t xml:space="preserve"> the</w:t>
      </w:r>
      <w:r w:rsidR="00AA5395">
        <w:rPr>
          <w:szCs w:val="20"/>
        </w:rPr>
        <w:t>se</w:t>
      </w:r>
      <w:r w:rsidR="00140DE9">
        <w:rPr>
          <w:szCs w:val="20"/>
        </w:rPr>
        <w:t xml:space="preserve"> changes and how they compare to the existing </w:t>
      </w:r>
      <w:r w:rsidR="008F38FD">
        <w:rPr>
          <w:szCs w:val="20"/>
        </w:rPr>
        <w:t xml:space="preserve">level of </w:t>
      </w:r>
      <w:r w:rsidR="00140DE9">
        <w:rPr>
          <w:szCs w:val="20"/>
        </w:rPr>
        <w:t xml:space="preserve">performance were not identified in the consultation paper. </w:t>
      </w:r>
    </w:p>
    <w:p w14:paraId="3AF1A7E2" w14:textId="05225849" w:rsidR="000C4802" w:rsidRDefault="00AB454F" w:rsidP="00890F86">
      <w:pPr>
        <w:rPr>
          <w:szCs w:val="20"/>
        </w:rPr>
      </w:pPr>
      <w:r>
        <w:rPr>
          <w:szCs w:val="20"/>
        </w:rPr>
        <w:t>Two</w:t>
      </w:r>
      <w:r w:rsidR="00122B78">
        <w:rPr>
          <w:szCs w:val="20"/>
        </w:rPr>
        <w:t xml:space="preserve"> submission</w:t>
      </w:r>
      <w:r w:rsidR="005B41B8">
        <w:rPr>
          <w:szCs w:val="20"/>
        </w:rPr>
        <w:t>s</w:t>
      </w:r>
      <w:r w:rsidR="000C4802">
        <w:rPr>
          <w:szCs w:val="20"/>
        </w:rPr>
        <w:t xml:space="preserve"> </w:t>
      </w:r>
      <w:r w:rsidR="005B41B8">
        <w:rPr>
          <w:szCs w:val="20"/>
        </w:rPr>
        <w:t>identified</w:t>
      </w:r>
      <w:r w:rsidR="000C4802">
        <w:rPr>
          <w:szCs w:val="20"/>
        </w:rPr>
        <w:t xml:space="preserve"> that</w:t>
      </w:r>
      <w:r w:rsidR="00122B78">
        <w:rPr>
          <w:szCs w:val="20"/>
        </w:rPr>
        <w:t xml:space="preserve"> </w:t>
      </w:r>
      <w:r w:rsidR="000C4802" w:rsidRPr="000C4802">
        <w:rPr>
          <w:szCs w:val="20"/>
        </w:rPr>
        <w:t xml:space="preserve">the filter attenuation specification in </w:t>
      </w:r>
      <w:r w:rsidR="00140DE9">
        <w:rPr>
          <w:szCs w:val="20"/>
        </w:rPr>
        <w:t>sub</w:t>
      </w:r>
      <w:r w:rsidR="00F10563">
        <w:rPr>
          <w:szCs w:val="20"/>
        </w:rPr>
        <w:t>item</w:t>
      </w:r>
      <w:r w:rsidR="00140DE9">
        <w:rPr>
          <w:szCs w:val="20"/>
        </w:rPr>
        <w:t xml:space="preserve"> 1(3) of </w:t>
      </w:r>
      <w:r w:rsidR="000C4802">
        <w:rPr>
          <w:szCs w:val="20"/>
        </w:rPr>
        <w:t xml:space="preserve">Schedule 1 </w:t>
      </w:r>
      <w:r w:rsidR="00140DE9">
        <w:rPr>
          <w:szCs w:val="20"/>
        </w:rPr>
        <w:t>appear</w:t>
      </w:r>
      <w:r>
        <w:rPr>
          <w:szCs w:val="20"/>
        </w:rPr>
        <w:t>ed</w:t>
      </w:r>
      <w:r w:rsidR="00140DE9">
        <w:rPr>
          <w:szCs w:val="20"/>
        </w:rPr>
        <w:t xml:space="preserve"> to have been </w:t>
      </w:r>
      <w:r>
        <w:rPr>
          <w:szCs w:val="20"/>
        </w:rPr>
        <w:t xml:space="preserve">inadvertently </w:t>
      </w:r>
      <w:r w:rsidR="000C4802" w:rsidRPr="000C4802">
        <w:rPr>
          <w:szCs w:val="20"/>
        </w:rPr>
        <w:t xml:space="preserve">carried over from the </w:t>
      </w:r>
      <w:r w:rsidR="00A75E40">
        <w:rPr>
          <w:szCs w:val="20"/>
        </w:rPr>
        <w:t xml:space="preserve">old </w:t>
      </w:r>
      <w:r w:rsidR="000C4802" w:rsidRPr="000C4802">
        <w:rPr>
          <w:szCs w:val="20"/>
        </w:rPr>
        <w:t xml:space="preserve">800 MHz </w:t>
      </w:r>
      <w:r w:rsidR="00BF7DDD">
        <w:rPr>
          <w:szCs w:val="20"/>
        </w:rPr>
        <w:t>b</w:t>
      </w:r>
      <w:r w:rsidR="000C4802" w:rsidRPr="000C4802">
        <w:rPr>
          <w:szCs w:val="20"/>
        </w:rPr>
        <w:t xml:space="preserve">and </w:t>
      </w:r>
      <w:r w:rsidR="000C4802">
        <w:rPr>
          <w:szCs w:val="20"/>
        </w:rPr>
        <w:t>spectrum licensing technical framework</w:t>
      </w:r>
      <w:r w:rsidR="00A75E40">
        <w:rPr>
          <w:szCs w:val="20"/>
        </w:rPr>
        <w:t xml:space="preserve">. </w:t>
      </w:r>
      <w:r w:rsidR="00796200">
        <w:rPr>
          <w:szCs w:val="20"/>
        </w:rPr>
        <w:t>The submitters</w:t>
      </w:r>
      <w:r w:rsidR="00A75E40">
        <w:rPr>
          <w:szCs w:val="20"/>
        </w:rPr>
        <w:t xml:space="preserve"> argued </w:t>
      </w:r>
      <w:r>
        <w:rPr>
          <w:szCs w:val="20"/>
        </w:rPr>
        <w:t>that the requirement would</w:t>
      </w:r>
      <w:r w:rsidR="00A75E40">
        <w:rPr>
          <w:szCs w:val="20"/>
        </w:rPr>
        <w:t xml:space="preserve"> not </w:t>
      </w:r>
      <w:r>
        <w:rPr>
          <w:szCs w:val="20"/>
        </w:rPr>
        <w:t>be</w:t>
      </w:r>
      <w:r w:rsidR="00A75E40">
        <w:rPr>
          <w:szCs w:val="20"/>
        </w:rPr>
        <w:t xml:space="preserve"> required for the 2.3 GHz band and </w:t>
      </w:r>
      <w:r w:rsidR="000C4802" w:rsidRPr="000C4802">
        <w:rPr>
          <w:szCs w:val="20"/>
        </w:rPr>
        <w:t xml:space="preserve">should be </w:t>
      </w:r>
      <w:r w:rsidR="00E97F0F">
        <w:rPr>
          <w:szCs w:val="20"/>
        </w:rPr>
        <w:t xml:space="preserve">removed from </w:t>
      </w:r>
      <w:r w:rsidR="000C4802" w:rsidRPr="000C4802">
        <w:rPr>
          <w:szCs w:val="20"/>
        </w:rPr>
        <w:t xml:space="preserve">the RAG </w:t>
      </w:r>
      <w:r w:rsidR="000C4802">
        <w:rPr>
          <w:szCs w:val="20"/>
        </w:rPr>
        <w:t>Rx</w:t>
      </w:r>
      <w:r w:rsidR="00A75E40">
        <w:rPr>
          <w:szCs w:val="20"/>
        </w:rPr>
        <w:t>.</w:t>
      </w:r>
    </w:p>
    <w:p w14:paraId="21F8E42D" w14:textId="1A211D02" w:rsidR="005B41B8" w:rsidRDefault="00FD5F13" w:rsidP="00890F86">
      <w:pPr>
        <w:rPr>
          <w:szCs w:val="20"/>
        </w:rPr>
      </w:pPr>
      <w:r>
        <w:rPr>
          <w:szCs w:val="20"/>
        </w:rPr>
        <w:t>One</w:t>
      </w:r>
      <w:r w:rsidR="00122B78">
        <w:rPr>
          <w:szCs w:val="20"/>
        </w:rPr>
        <w:t xml:space="preserve"> submission </w:t>
      </w:r>
      <w:r w:rsidR="005B41B8">
        <w:rPr>
          <w:szCs w:val="20"/>
        </w:rPr>
        <w:t>identified that</w:t>
      </w:r>
      <w:r w:rsidR="005B41B8" w:rsidRPr="005B41B8">
        <w:rPr>
          <w:szCs w:val="20"/>
        </w:rPr>
        <w:t xml:space="preserve"> </w:t>
      </w:r>
      <w:r w:rsidR="005B41B8">
        <w:rPr>
          <w:szCs w:val="20"/>
        </w:rPr>
        <w:t xml:space="preserve">in </w:t>
      </w:r>
      <w:r w:rsidR="00A75E40">
        <w:rPr>
          <w:szCs w:val="20"/>
        </w:rPr>
        <w:t>sub</w:t>
      </w:r>
      <w:r w:rsidR="0059338B">
        <w:rPr>
          <w:szCs w:val="20"/>
        </w:rPr>
        <w:t>item</w:t>
      </w:r>
      <w:r w:rsidR="00A75E40">
        <w:rPr>
          <w:szCs w:val="20"/>
        </w:rPr>
        <w:t xml:space="preserve"> 4(1) of </w:t>
      </w:r>
      <w:r w:rsidR="005B41B8" w:rsidRPr="005B41B8">
        <w:rPr>
          <w:szCs w:val="20"/>
        </w:rPr>
        <w:t>Schedule 1</w:t>
      </w:r>
      <w:r w:rsidR="00A75E40">
        <w:rPr>
          <w:szCs w:val="20"/>
        </w:rPr>
        <w:t>,</w:t>
      </w:r>
      <w:r w:rsidR="005B41B8">
        <w:rPr>
          <w:szCs w:val="20"/>
        </w:rPr>
        <w:t xml:space="preserve"> </w:t>
      </w:r>
      <w:r w:rsidR="005B41B8" w:rsidRPr="005B41B8">
        <w:rPr>
          <w:szCs w:val="20"/>
        </w:rPr>
        <w:t>the</w:t>
      </w:r>
      <w:r w:rsidR="00A75E40">
        <w:rPr>
          <w:szCs w:val="20"/>
        </w:rPr>
        <w:t xml:space="preserve"> frequency</w:t>
      </w:r>
      <w:r w:rsidR="005B41B8" w:rsidRPr="005B41B8">
        <w:rPr>
          <w:szCs w:val="20"/>
        </w:rPr>
        <w:t xml:space="preserve"> range </w:t>
      </w:r>
      <w:r>
        <w:rPr>
          <w:szCs w:val="20"/>
        </w:rPr>
        <w:t xml:space="preserve">that </w:t>
      </w:r>
      <w:r w:rsidR="00CC6637">
        <w:rPr>
          <w:szCs w:val="20"/>
        </w:rPr>
        <w:t xml:space="preserve">is subject to </w:t>
      </w:r>
      <w:r w:rsidR="00A75E40">
        <w:rPr>
          <w:szCs w:val="20"/>
        </w:rPr>
        <w:t xml:space="preserve">the receiver blocking requirement </w:t>
      </w:r>
      <w:r w:rsidR="005B41B8" w:rsidRPr="005B41B8">
        <w:rPr>
          <w:szCs w:val="20"/>
        </w:rPr>
        <w:t xml:space="preserve">should </w:t>
      </w:r>
      <w:r>
        <w:rPr>
          <w:szCs w:val="20"/>
        </w:rPr>
        <w:t>start at</w:t>
      </w:r>
      <w:r w:rsidR="005B41B8" w:rsidRPr="005B41B8">
        <w:rPr>
          <w:szCs w:val="20"/>
        </w:rPr>
        <w:t xml:space="preserve"> 20 MHz </w:t>
      </w:r>
      <w:r>
        <w:rPr>
          <w:szCs w:val="20"/>
        </w:rPr>
        <w:t xml:space="preserve">away </w:t>
      </w:r>
      <w:r w:rsidR="00A75E40">
        <w:rPr>
          <w:szCs w:val="20"/>
        </w:rPr>
        <w:t>from the edge of the 2.3 GHz band</w:t>
      </w:r>
      <w:r w:rsidR="00CC6637">
        <w:rPr>
          <w:szCs w:val="20"/>
        </w:rPr>
        <w:t>,</w:t>
      </w:r>
      <w:r w:rsidR="00A75E40">
        <w:rPr>
          <w:szCs w:val="20"/>
        </w:rPr>
        <w:t xml:space="preserve"> rather than </w:t>
      </w:r>
      <w:r w:rsidR="005B41B8" w:rsidRPr="005B41B8">
        <w:rPr>
          <w:szCs w:val="20"/>
        </w:rPr>
        <w:t>30 MHz</w:t>
      </w:r>
      <w:r w:rsidR="00CC6637">
        <w:rPr>
          <w:szCs w:val="20"/>
        </w:rPr>
        <w:t xml:space="preserve"> away</w:t>
      </w:r>
      <w:r w:rsidR="00A75E40">
        <w:rPr>
          <w:szCs w:val="20"/>
        </w:rPr>
        <w:t>.</w:t>
      </w:r>
      <w:r w:rsidR="005B41B8" w:rsidRPr="005B41B8">
        <w:rPr>
          <w:szCs w:val="20"/>
        </w:rPr>
        <w:t xml:space="preserve"> </w:t>
      </w:r>
    </w:p>
    <w:p w14:paraId="1A26AB02" w14:textId="40E9EA79" w:rsidR="00C354E1" w:rsidRDefault="00FD5F13" w:rsidP="00890F86">
      <w:pPr>
        <w:rPr>
          <w:szCs w:val="20"/>
        </w:rPr>
      </w:pPr>
      <w:r>
        <w:rPr>
          <w:szCs w:val="20"/>
        </w:rPr>
        <w:t>One</w:t>
      </w:r>
      <w:r w:rsidR="007B2B28">
        <w:rPr>
          <w:szCs w:val="20"/>
        </w:rPr>
        <w:t xml:space="preserve"> </w:t>
      </w:r>
      <w:r w:rsidR="00C354E1">
        <w:rPr>
          <w:szCs w:val="20"/>
        </w:rPr>
        <w:t xml:space="preserve">submission </w:t>
      </w:r>
      <w:r w:rsidR="00A75E40">
        <w:rPr>
          <w:szCs w:val="20"/>
        </w:rPr>
        <w:t xml:space="preserve">proposed that the compatibility requirement in Schedule 2 </w:t>
      </w:r>
      <w:r w:rsidR="00796200">
        <w:rPr>
          <w:szCs w:val="20"/>
        </w:rPr>
        <w:t xml:space="preserve">should </w:t>
      </w:r>
      <w:r w:rsidR="00A75E40">
        <w:rPr>
          <w:szCs w:val="20"/>
        </w:rPr>
        <w:t>be framed as a maximum unwanted signal level</w:t>
      </w:r>
      <w:r w:rsidR="00CC6637">
        <w:rPr>
          <w:szCs w:val="20"/>
        </w:rPr>
        <w:t>,</w:t>
      </w:r>
      <w:r w:rsidR="00A75E40">
        <w:rPr>
          <w:szCs w:val="20"/>
        </w:rPr>
        <w:t xml:space="preserve"> rather than a minimum wanted signal level. </w:t>
      </w:r>
      <w:r w:rsidR="009E033A">
        <w:rPr>
          <w:szCs w:val="20"/>
        </w:rPr>
        <w:t>With this change, t</w:t>
      </w:r>
      <w:r w:rsidR="00A75E40">
        <w:rPr>
          <w:szCs w:val="20"/>
        </w:rPr>
        <w:t xml:space="preserve">hey acknowledged </w:t>
      </w:r>
      <w:r w:rsidR="00CC6637">
        <w:rPr>
          <w:szCs w:val="20"/>
        </w:rPr>
        <w:t xml:space="preserve">that </w:t>
      </w:r>
      <w:r w:rsidR="009E033A">
        <w:rPr>
          <w:szCs w:val="20"/>
        </w:rPr>
        <w:t xml:space="preserve">the magnitude of the compatibility requirement would need to be adjusted </w:t>
      </w:r>
      <w:r w:rsidR="00284166">
        <w:rPr>
          <w:szCs w:val="20"/>
        </w:rPr>
        <w:t>accordingly</w:t>
      </w:r>
      <w:r w:rsidR="009E033A">
        <w:rPr>
          <w:szCs w:val="20"/>
        </w:rPr>
        <w:t xml:space="preserve">. They </w:t>
      </w:r>
      <w:r w:rsidR="00A75E40">
        <w:rPr>
          <w:szCs w:val="20"/>
        </w:rPr>
        <w:t>request</w:t>
      </w:r>
      <w:r w:rsidR="009E033A">
        <w:rPr>
          <w:szCs w:val="20"/>
        </w:rPr>
        <w:t>ed</w:t>
      </w:r>
      <w:r w:rsidR="00A75E40">
        <w:rPr>
          <w:szCs w:val="20"/>
        </w:rPr>
        <w:t xml:space="preserve"> the </w:t>
      </w:r>
      <w:r w:rsidR="007B2B28" w:rsidRPr="007B2B28">
        <w:rPr>
          <w:szCs w:val="20"/>
        </w:rPr>
        <w:t xml:space="preserve">ACMA consult with spectrum licensees further to determine an appropriate level of </w:t>
      </w:r>
      <w:r w:rsidR="00FD3982" w:rsidRPr="007B2B28">
        <w:rPr>
          <w:szCs w:val="20"/>
        </w:rPr>
        <w:t>protection.</w:t>
      </w:r>
    </w:p>
    <w:p w14:paraId="1D499F4D" w14:textId="77777777" w:rsidR="00071A6A" w:rsidRPr="00E0400E" w:rsidRDefault="00071A6A" w:rsidP="00071A6A">
      <w:pPr>
        <w:pStyle w:val="Heading4"/>
      </w:pPr>
      <w:r w:rsidRPr="00E0400E">
        <w:t>ACMA response</w:t>
      </w:r>
    </w:p>
    <w:p w14:paraId="2C711EA5" w14:textId="4A32309F" w:rsidR="00071A6A" w:rsidRDefault="00564475" w:rsidP="00071A6A">
      <w:pPr>
        <w:rPr>
          <w:szCs w:val="20"/>
        </w:rPr>
      </w:pPr>
      <w:r>
        <w:rPr>
          <w:szCs w:val="20"/>
        </w:rPr>
        <w:t xml:space="preserve">Based on comments received, we have reviewed </w:t>
      </w:r>
      <w:r w:rsidR="00FE43AD">
        <w:rPr>
          <w:szCs w:val="20"/>
        </w:rPr>
        <w:t xml:space="preserve">the text in </w:t>
      </w:r>
      <w:r>
        <w:rPr>
          <w:szCs w:val="20"/>
        </w:rPr>
        <w:t>sub</w:t>
      </w:r>
      <w:r w:rsidR="00FE43AD">
        <w:rPr>
          <w:szCs w:val="20"/>
        </w:rPr>
        <w:t>section 8(4)</w:t>
      </w:r>
      <w:r>
        <w:rPr>
          <w:szCs w:val="20"/>
        </w:rPr>
        <w:t xml:space="preserve">. We agree that </w:t>
      </w:r>
      <w:r w:rsidR="005359F0">
        <w:rPr>
          <w:szCs w:val="20"/>
        </w:rPr>
        <w:t xml:space="preserve">the operation of a class licence </w:t>
      </w:r>
      <w:r>
        <w:rPr>
          <w:szCs w:val="20"/>
        </w:rPr>
        <w:t xml:space="preserve">is typically </w:t>
      </w:r>
      <w:r w:rsidR="005359F0">
        <w:rPr>
          <w:szCs w:val="20"/>
        </w:rPr>
        <w:t>on a NINP basis</w:t>
      </w:r>
      <w:r w:rsidR="00071A6A">
        <w:rPr>
          <w:szCs w:val="20"/>
        </w:rPr>
        <w:t>.</w:t>
      </w:r>
      <w:r w:rsidR="005359F0">
        <w:rPr>
          <w:szCs w:val="20"/>
        </w:rPr>
        <w:t xml:space="preserve"> </w:t>
      </w:r>
      <w:r>
        <w:rPr>
          <w:szCs w:val="20"/>
        </w:rPr>
        <w:t xml:space="preserve">To resolve this </w:t>
      </w:r>
      <w:r w:rsidR="005C22C8">
        <w:rPr>
          <w:szCs w:val="20"/>
        </w:rPr>
        <w:t>issue,</w:t>
      </w:r>
      <w:r>
        <w:rPr>
          <w:szCs w:val="20"/>
        </w:rPr>
        <w:t xml:space="preserve"> w</w:t>
      </w:r>
      <w:r w:rsidR="005359F0">
        <w:rPr>
          <w:szCs w:val="20"/>
        </w:rPr>
        <w:t xml:space="preserve">e have deleted the proposed text and </w:t>
      </w:r>
      <w:r w:rsidR="00CC6637">
        <w:rPr>
          <w:szCs w:val="20"/>
        </w:rPr>
        <w:t>reverted to</w:t>
      </w:r>
      <w:r w:rsidR="005359F0">
        <w:rPr>
          <w:szCs w:val="20"/>
        </w:rPr>
        <w:t xml:space="preserve"> the </w:t>
      </w:r>
      <w:r>
        <w:rPr>
          <w:szCs w:val="20"/>
        </w:rPr>
        <w:t xml:space="preserve">original </w:t>
      </w:r>
      <w:r w:rsidR="005359F0">
        <w:rPr>
          <w:szCs w:val="20"/>
        </w:rPr>
        <w:t xml:space="preserve">text in the </w:t>
      </w:r>
      <w:r w:rsidRPr="00BD3716">
        <w:t>Radiocommunications Advisory Guidelines (Managing Interference to Spectrum Licensed Receivers – 2.3 GHz Band) 2013</w:t>
      </w:r>
      <w:r>
        <w:t xml:space="preserve"> (2013 </w:t>
      </w:r>
      <w:r w:rsidR="009C05C4">
        <w:rPr>
          <w:szCs w:val="20"/>
        </w:rPr>
        <w:t>RAG Tx</w:t>
      </w:r>
      <w:r>
        <w:rPr>
          <w:szCs w:val="20"/>
        </w:rPr>
        <w:t>)</w:t>
      </w:r>
      <w:r w:rsidR="009C05C4">
        <w:rPr>
          <w:szCs w:val="20"/>
        </w:rPr>
        <w:t>.</w:t>
      </w:r>
    </w:p>
    <w:p w14:paraId="1CC9B5F5" w14:textId="122CD212" w:rsidR="00BF7DDD" w:rsidRDefault="00564475" w:rsidP="00071A6A">
      <w:pPr>
        <w:rPr>
          <w:szCs w:val="20"/>
        </w:rPr>
      </w:pPr>
      <w:r>
        <w:rPr>
          <w:szCs w:val="20"/>
        </w:rPr>
        <w:t xml:space="preserve">As stated in the consultation paper, one aspect of the proposed remaking of the sunsetting instruments was to </w:t>
      </w:r>
      <w:r>
        <w:t xml:space="preserve">ensure consistency between </w:t>
      </w:r>
      <w:r w:rsidR="00796200">
        <w:t xml:space="preserve">the </w:t>
      </w:r>
      <w:r>
        <w:t xml:space="preserve">2.3 GHz band </w:t>
      </w:r>
      <w:r>
        <w:lastRenderedPageBreak/>
        <w:t>technical framework instruments and other recently reviewed technical frameworks. Th</w:t>
      </w:r>
      <w:r w:rsidR="00796200">
        <w:t>is</w:t>
      </w:r>
      <w:r>
        <w:t xml:space="preserve"> include</w:t>
      </w:r>
      <w:r w:rsidR="00796200">
        <w:t>s</w:t>
      </w:r>
      <w:r>
        <w:t xml:space="preserve"> changes made as part of the recent </w:t>
      </w:r>
      <w:hyperlink r:id="rId26" w:history="1">
        <w:r w:rsidR="00BF7DDD">
          <w:rPr>
            <w:rStyle w:val="Hyperlink"/>
          </w:rPr>
          <w:t>development and review of technical frameworks</w:t>
        </w:r>
      </w:hyperlink>
      <w:r>
        <w:t xml:space="preserve"> </w:t>
      </w:r>
      <w:r w:rsidR="00BF7DDD" w:rsidRPr="00BF7DDD">
        <w:rPr>
          <w:szCs w:val="20"/>
        </w:rPr>
        <w:t>for the 700 MHz, 850/900 MHz, 1800 MHz, 2 GHz, 2.5 GHz, 3.4 GHz and 26 GHz bands</w:t>
      </w:r>
      <w:r w:rsidR="00BF7DDD">
        <w:rPr>
          <w:szCs w:val="20"/>
        </w:rPr>
        <w:t>.</w:t>
      </w:r>
    </w:p>
    <w:p w14:paraId="690B709F" w14:textId="036A36EC" w:rsidR="005C213C" w:rsidRDefault="00564475" w:rsidP="00071A6A">
      <w:pPr>
        <w:rPr>
          <w:szCs w:val="20"/>
        </w:rPr>
      </w:pPr>
      <w:r>
        <w:rPr>
          <w:szCs w:val="20"/>
        </w:rPr>
        <w:t xml:space="preserve">For this </w:t>
      </w:r>
      <w:r w:rsidR="00F50391">
        <w:rPr>
          <w:szCs w:val="20"/>
        </w:rPr>
        <w:t>reason,</w:t>
      </w:r>
      <w:r>
        <w:rPr>
          <w:szCs w:val="20"/>
        </w:rPr>
        <w:t xml:space="preserve"> we sought to align the text and definition of </w:t>
      </w:r>
      <w:r w:rsidR="005C213C">
        <w:rPr>
          <w:szCs w:val="20"/>
        </w:rPr>
        <w:t xml:space="preserve">the </w:t>
      </w:r>
      <w:r>
        <w:rPr>
          <w:szCs w:val="20"/>
        </w:rPr>
        <w:t>n</w:t>
      </w:r>
      <w:r w:rsidR="005C213C">
        <w:rPr>
          <w:szCs w:val="20"/>
        </w:rPr>
        <w:t xml:space="preserve">otional receiver </w:t>
      </w:r>
      <w:r>
        <w:rPr>
          <w:szCs w:val="20"/>
        </w:rPr>
        <w:t xml:space="preserve">performance </w:t>
      </w:r>
      <w:r w:rsidR="005C213C">
        <w:rPr>
          <w:szCs w:val="20"/>
        </w:rPr>
        <w:t xml:space="preserve">in Schedule 1 with the changes </w:t>
      </w:r>
      <w:r>
        <w:rPr>
          <w:szCs w:val="20"/>
        </w:rPr>
        <w:t xml:space="preserve">implemented in </w:t>
      </w:r>
      <w:r w:rsidR="005C213C">
        <w:rPr>
          <w:szCs w:val="20"/>
        </w:rPr>
        <w:t xml:space="preserve">other spectrum licensed bands. </w:t>
      </w:r>
      <w:r>
        <w:rPr>
          <w:szCs w:val="20"/>
        </w:rPr>
        <w:t xml:space="preserve">A key </w:t>
      </w:r>
      <w:r w:rsidR="00CC6637">
        <w:rPr>
          <w:szCs w:val="20"/>
        </w:rPr>
        <w:t>element</w:t>
      </w:r>
      <w:r>
        <w:rPr>
          <w:szCs w:val="20"/>
        </w:rPr>
        <w:t xml:space="preserve"> of this was providing further alignment with relevant 3GPP standards. </w:t>
      </w:r>
      <w:r w:rsidR="005C213C">
        <w:rPr>
          <w:szCs w:val="20"/>
        </w:rPr>
        <w:t xml:space="preserve">The changes are based on </w:t>
      </w:r>
      <w:r w:rsidR="00065266">
        <w:rPr>
          <w:szCs w:val="20"/>
        </w:rPr>
        <w:t xml:space="preserve">the </w:t>
      </w:r>
      <w:r w:rsidR="005C213C">
        <w:rPr>
          <w:szCs w:val="20"/>
        </w:rPr>
        <w:t>agreed text</w:t>
      </w:r>
      <w:r w:rsidR="00065266">
        <w:rPr>
          <w:szCs w:val="20"/>
        </w:rPr>
        <w:t xml:space="preserve"> and parameters</w:t>
      </w:r>
      <w:r w:rsidR="005C213C">
        <w:rPr>
          <w:szCs w:val="20"/>
        </w:rPr>
        <w:t xml:space="preserve"> </w:t>
      </w:r>
      <w:r>
        <w:rPr>
          <w:szCs w:val="20"/>
        </w:rPr>
        <w:t>adopted for the</w:t>
      </w:r>
      <w:r w:rsidR="003D17C1">
        <w:rPr>
          <w:szCs w:val="20"/>
        </w:rPr>
        <w:t xml:space="preserve"> notional receiver performance in the</w:t>
      </w:r>
      <w:r>
        <w:rPr>
          <w:szCs w:val="20"/>
        </w:rPr>
        <w:t xml:space="preserve"> </w:t>
      </w:r>
      <w:r w:rsidR="005C213C">
        <w:rPr>
          <w:szCs w:val="20"/>
        </w:rPr>
        <w:t xml:space="preserve">700 MHz, </w:t>
      </w:r>
      <w:r>
        <w:rPr>
          <w:szCs w:val="20"/>
        </w:rPr>
        <w:t>850/900 MHz</w:t>
      </w:r>
      <w:r w:rsidR="00065266">
        <w:rPr>
          <w:szCs w:val="20"/>
        </w:rPr>
        <w:t xml:space="preserve"> and</w:t>
      </w:r>
      <w:r>
        <w:rPr>
          <w:szCs w:val="20"/>
        </w:rPr>
        <w:t xml:space="preserve"> </w:t>
      </w:r>
      <w:r w:rsidR="00AF4640">
        <w:rPr>
          <w:szCs w:val="20"/>
        </w:rPr>
        <w:t xml:space="preserve">2 GHz </w:t>
      </w:r>
      <w:r w:rsidR="00065266">
        <w:rPr>
          <w:szCs w:val="20"/>
        </w:rPr>
        <w:t>frequency bands</w:t>
      </w:r>
      <w:r w:rsidR="005C213C">
        <w:rPr>
          <w:szCs w:val="20"/>
        </w:rPr>
        <w:t xml:space="preserve">. </w:t>
      </w:r>
      <w:r w:rsidR="00065266">
        <w:rPr>
          <w:szCs w:val="20"/>
        </w:rPr>
        <w:t xml:space="preserve">We acknowledge </w:t>
      </w:r>
      <w:r w:rsidR="00CC6637">
        <w:rPr>
          <w:szCs w:val="20"/>
        </w:rPr>
        <w:t>that</w:t>
      </w:r>
      <w:r w:rsidR="00065266">
        <w:rPr>
          <w:szCs w:val="20"/>
        </w:rPr>
        <w:t xml:space="preserve"> there could have been more information </w:t>
      </w:r>
      <w:r w:rsidR="00796200">
        <w:rPr>
          <w:szCs w:val="20"/>
        </w:rPr>
        <w:t xml:space="preserve">on </w:t>
      </w:r>
      <w:r w:rsidR="00065266">
        <w:rPr>
          <w:szCs w:val="20"/>
        </w:rPr>
        <w:t>the</w:t>
      </w:r>
      <w:r w:rsidR="00CC6637">
        <w:rPr>
          <w:szCs w:val="20"/>
        </w:rPr>
        <w:t>se</w:t>
      </w:r>
      <w:r w:rsidR="00065266">
        <w:rPr>
          <w:szCs w:val="20"/>
        </w:rPr>
        <w:t xml:space="preserve"> provided in the consultation paper and we will </w:t>
      </w:r>
      <w:r w:rsidR="00CC6637">
        <w:rPr>
          <w:szCs w:val="20"/>
        </w:rPr>
        <w:t xml:space="preserve">endeavour </w:t>
      </w:r>
      <w:r w:rsidR="00065266">
        <w:rPr>
          <w:szCs w:val="20"/>
        </w:rPr>
        <w:t xml:space="preserve">to consider this in future papers. </w:t>
      </w:r>
    </w:p>
    <w:p w14:paraId="12CA38C7" w14:textId="0362A095" w:rsidR="00FB6042" w:rsidRDefault="00065266" w:rsidP="00071A6A">
      <w:pPr>
        <w:rPr>
          <w:szCs w:val="20"/>
        </w:rPr>
      </w:pPr>
      <w:r>
        <w:rPr>
          <w:szCs w:val="20"/>
        </w:rPr>
        <w:t>The filter arrangements detailed in sub</w:t>
      </w:r>
      <w:r w:rsidR="008D0E3E">
        <w:rPr>
          <w:szCs w:val="20"/>
        </w:rPr>
        <w:t>item</w:t>
      </w:r>
      <w:r>
        <w:rPr>
          <w:szCs w:val="20"/>
        </w:rPr>
        <w:t xml:space="preserve"> 1(3) of Schedule 1 were mistakenly incorporated into the RAG </w:t>
      </w:r>
      <w:r w:rsidR="003D17C1">
        <w:rPr>
          <w:szCs w:val="20"/>
        </w:rPr>
        <w:t>R</w:t>
      </w:r>
      <w:r>
        <w:rPr>
          <w:szCs w:val="20"/>
        </w:rPr>
        <w:t xml:space="preserve">x. We </w:t>
      </w:r>
      <w:r w:rsidR="00FB6042">
        <w:rPr>
          <w:szCs w:val="20"/>
        </w:rPr>
        <w:t xml:space="preserve">agree </w:t>
      </w:r>
      <w:r>
        <w:rPr>
          <w:szCs w:val="20"/>
        </w:rPr>
        <w:t xml:space="preserve">they are </w:t>
      </w:r>
      <w:r w:rsidR="00FB6042">
        <w:rPr>
          <w:szCs w:val="20"/>
        </w:rPr>
        <w:t xml:space="preserve">not required </w:t>
      </w:r>
      <w:r>
        <w:rPr>
          <w:szCs w:val="20"/>
        </w:rPr>
        <w:t xml:space="preserve">for the 2.3 GHz </w:t>
      </w:r>
      <w:r w:rsidR="00FB6042">
        <w:rPr>
          <w:szCs w:val="20"/>
        </w:rPr>
        <w:t>band</w:t>
      </w:r>
      <w:r w:rsidR="003D17C1">
        <w:rPr>
          <w:szCs w:val="20"/>
        </w:rPr>
        <w:t xml:space="preserve"> and </w:t>
      </w:r>
      <w:r>
        <w:rPr>
          <w:szCs w:val="20"/>
        </w:rPr>
        <w:t>have removed them from the final RAG Rx</w:t>
      </w:r>
      <w:r w:rsidR="00FB6042">
        <w:rPr>
          <w:szCs w:val="20"/>
        </w:rPr>
        <w:t>.</w:t>
      </w:r>
    </w:p>
    <w:p w14:paraId="54951C38" w14:textId="0F68057C" w:rsidR="00AF4640" w:rsidRDefault="00AF4640" w:rsidP="00071A6A">
      <w:pPr>
        <w:rPr>
          <w:szCs w:val="20"/>
        </w:rPr>
      </w:pPr>
      <w:r>
        <w:rPr>
          <w:szCs w:val="20"/>
        </w:rPr>
        <w:t>We have reviewed the receiver blocking requirement text in sub</w:t>
      </w:r>
      <w:r w:rsidR="008D0E3E">
        <w:rPr>
          <w:szCs w:val="20"/>
        </w:rPr>
        <w:t>item</w:t>
      </w:r>
      <w:r>
        <w:rPr>
          <w:szCs w:val="20"/>
        </w:rPr>
        <w:t xml:space="preserve"> 4</w:t>
      </w:r>
      <w:r w:rsidR="00AB1A05">
        <w:rPr>
          <w:szCs w:val="20"/>
        </w:rPr>
        <w:t>(1)</w:t>
      </w:r>
      <w:r>
        <w:rPr>
          <w:szCs w:val="20"/>
        </w:rPr>
        <w:t xml:space="preserve"> of Schedule 1. To align with 3GPP standards</w:t>
      </w:r>
      <w:r w:rsidR="00BF7DDD">
        <w:rPr>
          <w:szCs w:val="20"/>
        </w:rPr>
        <w:t>,</w:t>
      </w:r>
      <w:r>
        <w:rPr>
          <w:szCs w:val="20"/>
        </w:rPr>
        <w:t xml:space="preserve"> we have decided to have this sub</w:t>
      </w:r>
      <w:r w:rsidR="00E60326">
        <w:rPr>
          <w:szCs w:val="20"/>
        </w:rPr>
        <w:t>item</w:t>
      </w:r>
      <w:r>
        <w:rPr>
          <w:szCs w:val="20"/>
        </w:rPr>
        <w:t xml:space="preserve"> apply within the frequency range 2280 MHz to 2420 </w:t>
      </w:r>
      <w:proofErr w:type="spellStart"/>
      <w:r>
        <w:rPr>
          <w:szCs w:val="20"/>
        </w:rPr>
        <w:t>MHz.</w:t>
      </w:r>
      <w:proofErr w:type="spellEnd"/>
      <w:r>
        <w:rPr>
          <w:szCs w:val="20"/>
        </w:rPr>
        <w:t xml:space="preserve"> This applies </w:t>
      </w:r>
      <w:r w:rsidR="00796200">
        <w:rPr>
          <w:szCs w:val="20"/>
        </w:rPr>
        <w:t>a</w:t>
      </w:r>
      <w:r>
        <w:rPr>
          <w:szCs w:val="20"/>
        </w:rPr>
        <w:t xml:space="preserve"> 20 MHz offset to the 3GPP profile band edge</w:t>
      </w:r>
      <w:r w:rsidR="00796200">
        <w:rPr>
          <w:szCs w:val="20"/>
        </w:rPr>
        <w:t>s</w:t>
      </w:r>
      <w:r>
        <w:rPr>
          <w:szCs w:val="20"/>
        </w:rPr>
        <w:t xml:space="preserve"> </w:t>
      </w:r>
      <w:r w:rsidR="00796200">
        <w:rPr>
          <w:szCs w:val="20"/>
        </w:rPr>
        <w:t>(which</w:t>
      </w:r>
      <w:r>
        <w:rPr>
          <w:szCs w:val="20"/>
        </w:rPr>
        <w:t xml:space="preserve"> equipment specifications are based on</w:t>
      </w:r>
      <w:r w:rsidR="00796200">
        <w:rPr>
          <w:szCs w:val="20"/>
        </w:rPr>
        <w:t>)</w:t>
      </w:r>
      <w:r>
        <w:rPr>
          <w:szCs w:val="20"/>
        </w:rPr>
        <w:t>, which is 2300</w:t>
      </w:r>
      <w:r w:rsidR="00BF7DDD">
        <w:rPr>
          <w:szCs w:val="20"/>
        </w:rPr>
        <w:t>–</w:t>
      </w:r>
      <w:r>
        <w:rPr>
          <w:szCs w:val="20"/>
        </w:rPr>
        <w:t xml:space="preserve">2400 MHz, rather than </w:t>
      </w:r>
      <w:r w:rsidR="00796200">
        <w:rPr>
          <w:szCs w:val="20"/>
        </w:rPr>
        <w:t xml:space="preserve">basing it on the frequency range subject to </w:t>
      </w:r>
      <w:r w:rsidR="0020030D">
        <w:rPr>
          <w:szCs w:val="20"/>
        </w:rPr>
        <w:t>spectrum</w:t>
      </w:r>
      <w:r w:rsidR="00796200">
        <w:rPr>
          <w:szCs w:val="20"/>
        </w:rPr>
        <w:t xml:space="preserve"> licensing in Australia (</w:t>
      </w:r>
      <w:r w:rsidR="00BF7DDD">
        <w:rPr>
          <w:szCs w:val="20"/>
        </w:rPr>
        <w:t>that is,</w:t>
      </w:r>
      <w:r w:rsidR="00796200">
        <w:rPr>
          <w:szCs w:val="20"/>
        </w:rPr>
        <w:t xml:space="preserve"> </w:t>
      </w:r>
      <w:r>
        <w:rPr>
          <w:szCs w:val="20"/>
        </w:rPr>
        <w:t>2302</w:t>
      </w:r>
      <w:r w:rsidR="00BF7DDD">
        <w:rPr>
          <w:szCs w:val="20"/>
        </w:rPr>
        <w:t>–</w:t>
      </w:r>
      <w:r>
        <w:rPr>
          <w:szCs w:val="20"/>
        </w:rPr>
        <w:t>2400 MHz</w:t>
      </w:r>
      <w:r w:rsidR="00796200">
        <w:rPr>
          <w:szCs w:val="20"/>
        </w:rPr>
        <w:t>)</w:t>
      </w:r>
      <w:r>
        <w:rPr>
          <w:szCs w:val="20"/>
        </w:rPr>
        <w:t xml:space="preserve">. </w:t>
      </w:r>
    </w:p>
    <w:p w14:paraId="08AA2FDB" w14:textId="3ABE8D84" w:rsidR="00AF4640" w:rsidRPr="00071A6A" w:rsidRDefault="00AF4640" w:rsidP="00AF4640">
      <w:pPr>
        <w:rPr>
          <w:szCs w:val="20"/>
        </w:rPr>
      </w:pPr>
      <w:r>
        <w:rPr>
          <w:szCs w:val="20"/>
        </w:rPr>
        <w:t xml:space="preserve">To address comments received regarding the compatibility requirement, we have </w:t>
      </w:r>
      <w:r w:rsidR="0020030D">
        <w:rPr>
          <w:szCs w:val="20"/>
        </w:rPr>
        <w:t xml:space="preserve">decided to </w:t>
      </w:r>
      <w:r>
        <w:rPr>
          <w:szCs w:val="20"/>
        </w:rPr>
        <w:t xml:space="preserve">adopt a maximum unwanted signal level of -108 dBm/5 </w:t>
      </w:r>
      <w:proofErr w:type="spellStart"/>
      <w:r>
        <w:rPr>
          <w:szCs w:val="20"/>
        </w:rPr>
        <w:t>MHz.</w:t>
      </w:r>
      <w:proofErr w:type="spellEnd"/>
      <w:r>
        <w:rPr>
          <w:szCs w:val="20"/>
        </w:rPr>
        <w:t xml:space="preserve"> </w:t>
      </w:r>
      <w:r w:rsidR="0020030D">
        <w:rPr>
          <w:szCs w:val="20"/>
        </w:rPr>
        <w:t xml:space="preserve">We note </w:t>
      </w:r>
      <w:r w:rsidR="00CC6637">
        <w:rPr>
          <w:szCs w:val="20"/>
        </w:rPr>
        <w:t xml:space="preserve">that </w:t>
      </w:r>
      <w:r w:rsidR="003D17C1">
        <w:rPr>
          <w:szCs w:val="20"/>
        </w:rPr>
        <w:t>this</w:t>
      </w:r>
      <w:r w:rsidR="0020030D">
        <w:rPr>
          <w:szCs w:val="20"/>
        </w:rPr>
        <w:t xml:space="preserve"> </w:t>
      </w:r>
      <w:r>
        <w:rPr>
          <w:szCs w:val="20"/>
        </w:rPr>
        <w:t>aligns with the compatibility requirements implemented in the 700 MHz, 850/</w:t>
      </w:r>
      <w:r w:rsidR="00BF7DDD">
        <w:rPr>
          <w:szCs w:val="20"/>
        </w:rPr>
        <w:t>900 </w:t>
      </w:r>
      <w:r>
        <w:rPr>
          <w:szCs w:val="20"/>
        </w:rPr>
        <w:t xml:space="preserve">MHz, 2 GHz and 3.4 GHz frequency bands. It is based on </w:t>
      </w:r>
      <w:r w:rsidR="00CC6637">
        <w:rPr>
          <w:szCs w:val="20"/>
        </w:rPr>
        <w:t xml:space="preserve">a requirement to protect </w:t>
      </w:r>
      <w:r>
        <w:rPr>
          <w:szCs w:val="20"/>
        </w:rPr>
        <w:t xml:space="preserve">radiocommunications receivers to an interference to noise ratio (I/N) of -6 </w:t>
      </w:r>
      <w:proofErr w:type="spellStart"/>
      <w:r>
        <w:rPr>
          <w:szCs w:val="20"/>
        </w:rPr>
        <w:t>dB.</w:t>
      </w:r>
      <w:proofErr w:type="spellEnd"/>
      <w:r>
        <w:rPr>
          <w:szCs w:val="20"/>
        </w:rPr>
        <w:t xml:space="preserve">  </w:t>
      </w:r>
    </w:p>
    <w:p w14:paraId="641F2028" w14:textId="77777777" w:rsidR="00E0400E" w:rsidRPr="00E0400E" w:rsidRDefault="00E0400E" w:rsidP="00E0400E">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outlineLvl w:val="2"/>
        <w:rPr>
          <w:rFonts w:cs="Arial"/>
          <w:b/>
          <w:bCs/>
          <w:szCs w:val="26"/>
        </w:rPr>
      </w:pPr>
      <w:bookmarkStart w:id="15" w:name="_Toc89760806"/>
      <w:r w:rsidRPr="00E0400E">
        <w:rPr>
          <w:rFonts w:cs="Arial"/>
          <w:b/>
          <w:bCs/>
          <w:szCs w:val="26"/>
        </w:rPr>
        <w:t>Question 3</w:t>
      </w:r>
      <w:bookmarkEnd w:id="15"/>
    </w:p>
    <w:p w14:paraId="5C9CD0D0" w14:textId="14865D18" w:rsidR="00A03BF7" w:rsidRPr="00E162C4" w:rsidRDefault="00A03BF7" w:rsidP="00A03BF7">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The ACMA seeks comment on the </w:t>
      </w:r>
      <w:r w:rsidR="00237A61">
        <w:t>draft</w:t>
      </w:r>
      <w:r>
        <w:t xml:space="preserve"> </w:t>
      </w:r>
      <w:r w:rsidRPr="00A75DCD">
        <w:t xml:space="preserve">Radiocommunications (Unacceptable Levels of Interference </w:t>
      </w:r>
      <w:r>
        <w:t>–</w:t>
      </w:r>
      <w:r w:rsidRPr="00A75DCD">
        <w:t xml:space="preserve"> </w:t>
      </w:r>
      <w:r>
        <w:t>2.3 G</w:t>
      </w:r>
      <w:r w:rsidRPr="00A75DCD">
        <w:t>Hz Band) Determination</w:t>
      </w:r>
      <w:r>
        <w:t xml:space="preserve"> 2023.</w:t>
      </w:r>
    </w:p>
    <w:p w14:paraId="0F4D992E" w14:textId="4BB8F0EA" w:rsidR="00FC65CD" w:rsidRDefault="00CC6637" w:rsidP="006F4E48">
      <w:pPr>
        <w:rPr>
          <w:szCs w:val="20"/>
        </w:rPr>
      </w:pPr>
      <w:r>
        <w:rPr>
          <w:szCs w:val="20"/>
        </w:rPr>
        <w:t>One</w:t>
      </w:r>
      <w:r w:rsidR="00FC65CD">
        <w:rPr>
          <w:szCs w:val="20"/>
        </w:rPr>
        <w:t xml:space="preserve"> submission requested that the ‘</w:t>
      </w:r>
      <w:r w:rsidR="00BF7DDD">
        <w:rPr>
          <w:szCs w:val="20"/>
        </w:rPr>
        <w:t xml:space="preserve">Purpose’ </w:t>
      </w:r>
      <w:r w:rsidR="00FC65CD">
        <w:rPr>
          <w:szCs w:val="20"/>
        </w:rPr>
        <w:t xml:space="preserve">section of the </w:t>
      </w:r>
      <w:proofErr w:type="spellStart"/>
      <w:r w:rsidR="00FC65CD">
        <w:rPr>
          <w:szCs w:val="20"/>
        </w:rPr>
        <w:t>ULoI</w:t>
      </w:r>
      <w:proofErr w:type="spellEnd"/>
      <w:r w:rsidR="00FC65CD">
        <w:rPr>
          <w:szCs w:val="20"/>
        </w:rPr>
        <w:t xml:space="preserve"> and RAGs be maintained. </w:t>
      </w:r>
      <w:r>
        <w:rPr>
          <w:szCs w:val="20"/>
        </w:rPr>
        <w:t>The submitter</w:t>
      </w:r>
      <w:r w:rsidR="00FC65CD">
        <w:rPr>
          <w:szCs w:val="20"/>
        </w:rPr>
        <w:t xml:space="preserve"> noted that some </w:t>
      </w:r>
      <w:r>
        <w:rPr>
          <w:szCs w:val="20"/>
        </w:rPr>
        <w:t xml:space="preserve">of the relevant </w:t>
      </w:r>
      <w:r w:rsidR="00FC65CD">
        <w:rPr>
          <w:szCs w:val="20"/>
        </w:rPr>
        <w:t>text was retained in the ‘</w:t>
      </w:r>
      <w:r w:rsidR="00BF7DDD">
        <w:rPr>
          <w:szCs w:val="20"/>
        </w:rPr>
        <w:t xml:space="preserve">Background’ </w:t>
      </w:r>
      <w:r w:rsidR="00FC65CD">
        <w:rPr>
          <w:szCs w:val="20"/>
        </w:rPr>
        <w:t xml:space="preserve">sections of the </w:t>
      </w:r>
      <w:proofErr w:type="gramStart"/>
      <w:r w:rsidR="00FC65CD">
        <w:rPr>
          <w:szCs w:val="20"/>
        </w:rPr>
        <w:t>RAGs</w:t>
      </w:r>
      <w:r>
        <w:rPr>
          <w:szCs w:val="20"/>
        </w:rPr>
        <w:t>, but</w:t>
      </w:r>
      <w:proofErr w:type="gramEnd"/>
      <w:r>
        <w:rPr>
          <w:szCs w:val="20"/>
        </w:rPr>
        <w:t xml:space="preserve"> </w:t>
      </w:r>
      <w:r w:rsidR="005C22C8">
        <w:rPr>
          <w:szCs w:val="20"/>
        </w:rPr>
        <w:t>suggested that</w:t>
      </w:r>
      <w:r w:rsidR="0099043D">
        <w:rPr>
          <w:szCs w:val="20"/>
        </w:rPr>
        <w:t xml:space="preserve"> </w:t>
      </w:r>
      <w:r w:rsidR="00FC65CD">
        <w:rPr>
          <w:szCs w:val="20"/>
        </w:rPr>
        <w:t xml:space="preserve">the purpose of the instrument </w:t>
      </w:r>
      <w:r w:rsidR="0099043D">
        <w:rPr>
          <w:szCs w:val="20"/>
        </w:rPr>
        <w:t xml:space="preserve">should </w:t>
      </w:r>
      <w:r w:rsidR="00FC65CD">
        <w:rPr>
          <w:szCs w:val="20"/>
        </w:rPr>
        <w:t xml:space="preserve">be made clear up front. </w:t>
      </w:r>
    </w:p>
    <w:p w14:paraId="5F70C150" w14:textId="012BB6DD" w:rsidR="00D43D9D" w:rsidRDefault="00704EAF" w:rsidP="006F4E48">
      <w:pPr>
        <w:rPr>
          <w:szCs w:val="20"/>
        </w:rPr>
      </w:pPr>
      <w:r>
        <w:rPr>
          <w:szCs w:val="20"/>
        </w:rPr>
        <w:t>One</w:t>
      </w:r>
      <w:r w:rsidR="00D43D9D">
        <w:rPr>
          <w:szCs w:val="20"/>
        </w:rPr>
        <w:t xml:space="preserve"> submission </w:t>
      </w:r>
      <w:r w:rsidR="00B95D00">
        <w:rPr>
          <w:szCs w:val="20"/>
        </w:rPr>
        <w:t xml:space="preserve">argued </w:t>
      </w:r>
      <w:r w:rsidR="00D43D9D">
        <w:rPr>
          <w:szCs w:val="20"/>
        </w:rPr>
        <w:t>that</w:t>
      </w:r>
      <w:r w:rsidR="00B95D00">
        <w:rPr>
          <w:szCs w:val="20"/>
        </w:rPr>
        <w:t xml:space="preserve"> </w:t>
      </w:r>
      <w:r w:rsidR="00D110AB">
        <w:rPr>
          <w:szCs w:val="20"/>
        </w:rPr>
        <w:t>paragraph</w:t>
      </w:r>
      <w:r w:rsidR="00B95D00">
        <w:rPr>
          <w:szCs w:val="20"/>
        </w:rPr>
        <w:t xml:space="preserve"> 7(1)(a) was unnecessarily complicated. </w:t>
      </w:r>
      <w:r>
        <w:rPr>
          <w:szCs w:val="20"/>
        </w:rPr>
        <w:t xml:space="preserve">The submitter </w:t>
      </w:r>
      <w:r w:rsidR="00B95D00">
        <w:rPr>
          <w:szCs w:val="20"/>
        </w:rPr>
        <w:t>proposed</w:t>
      </w:r>
      <w:r>
        <w:rPr>
          <w:szCs w:val="20"/>
        </w:rPr>
        <w:t xml:space="preserve"> that</w:t>
      </w:r>
      <w:r w:rsidR="00B95D00">
        <w:rPr>
          <w:szCs w:val="20"/>
        </w:rPr>
        <w:t xml:space="preserve"> it be simplified to state that the operation of transmitters must not be in </w:t>
      </w:r>
      <w:r w:rsidR="00BF7DDD">
        <w:rPr>
          <w:szCs w:val="20"/>
        </w:rPr>
        <w:t>‘</w:t>
      </w:r>
      <w:r w:rsidR="00D43D9D" w:rsidRPr="00D43D9D">
        <w:rPr>
          <w:szCs w:val="20"/>
        </w:rPr>
        <w:t>contravention of a core condition of the licence [full stop</w:t>
      </w:r>
      <w:r w:rsidR="00BF7DDD" w:rsidRPr="00D43D9D">
        <w:rPr>
          <w:szCs w:val="20"/>
        </w:rPr>
        <w:t>]</w:t>
      </w:r>
      <w:r w:rsidR="00BF7DDD">
        <w:rPr>
          <w:szCs w:val="20"/>
        </w:rPr>
        <w:t>’</w:t>
      </w:r>
      <w:r w:rsidR="00BF7DDD" w:rsidRPr="00D43D9D">
        <w:rPr>
          <w:szCs w:val="20"/>
        </w:rPr>
        <w:t>.</w:t>
      </w:r>
      <w:r w:rsidR="00BF7DDD">
        <w:rPr>
          <w:szCs w:val="20"/>
        </w:rPr>
        <w:t xml:space="preserve"> </w:t>
      </w:r>
      <w:r w:rsidR="00D43D9D">
        <w:rPr>
          <w:szCs w:val="20"/>
        </w:rPr>
        <w:t xml:space="preserve">The remainder of the text in </w:t>
      </w:r>
      <w:r w:rsidR="00B95D00">
        <w:rPr>
          <w:szCs w:val="20"/>
        </w:rPr>
        <w:t>sub</w:t>
      </w:r>
      <w:r w:rsidR="00D110AB">
        <w:rPr>
          <w:szCs w:val="20"/>
        </w:rPr>
        <w:t>paragraph</w:t>
      </w:r>
      <w:r w:rsidR="001E4C9C">
        <w:rPr>
          <w:szCs w:val="20"/>
        </w:rPr>
        <w:t>s</w:t>
      </w:r>
      <w:r w:rsidR="00B95D00">
        <w:rPr>
          <w:szCs w:val="20"/>
        </w:rPr>
        <w:t xml:space="preserve"> </w:t>
      </w:r>
      <w:r w:rsidR="00D43D9D">
        <w:rPr>
          <w:szCs w:val="20"/>
        </w:rPr>
        <w:t>7(1)(a)(i) and 7(1)(a)(ii) is superfluous and can be deleted.</w:t>
      </w:r>
    </w:p>
    <w:p w14:paraId="266F0C65" w14:textId="106ED202" w:rsidR="00D43D9D" w:rsidRDefault="00B95D00" w:rsidP="006F4E48">
      <w:pPr>
        <w:rPr>
          <w:szCs w:val="20"/>
        </w:rPr>
      </w:pPr>
      <w:r>
        <w:rPr>
          <w:szCs w:val="20"/>
        </w:rPr>
        <w:t xml:space="preserve">The same </w:t>
      </w:r>
      <w:r w:rsidR="00D43D9D">
        <w:rPr>
          <w:szCs w:val="20"/>
        </w:rPr>
        <w:t xml:space="preserve">submission </w:t>
      </w:r>
      <w:r>
        <w:rPr>
          <w:szCs w:val="20"/>
        </w:rPr>
        <w:t xml:space="preserve">argued </w:t>
      </w:r>
      <w:r w:rsidR="00D43D9D">
        <w:rPr>
          <w:szCs w:val="20"/>
        </w:rPr>
        <w:t xml:space="preserve">that the </w:t>
      </w:r>
      <w:r w:rsidR="00767A49">
        <w:rPr>
          <w:szCs w:val="20"/>
        </w:rPr>
        <w:t>provisions of sub</w:t>
      </w:r>
      <w:r>
        <w:rPr>
          <w:szCs w:val="20"/>
        </w:rPr>
        <w:t xml:space="preserve">section </w:t>
      </w:r>
      <w:r w:rsidR="00767A49">
        <w:rPr>
          <w:szCs w:val="20"/>
        </w:rPr>
        <w:t xml:space="preserve">7(3) </w:t>
      </w:r>
      <w:r w:rsidR="00D43D9D">
        <w:rPr>
          <w:szCs w:val="20"/>
        </w:rPr>
        <w:t xml:space="preserve">effectively </w:t>
      </w:r>
      <w:r w:rsidR="00767A49">
        <w:rPr>
          <w:szCs w:val="20"/>
        </w:rPr>
        <w:t xml:space="preserve">make subsection 7(2) redundant. They proposed that subsection </w:t>
      </w:r>
      <w:r w:rsidR="00D43D9D">
        <w:rPr>
          <w:szCs w:val="20"/>
        </w:rPr>
        <w:t>7</w:t>
      </w:r>
      <w:r w:rsidR="00D43D9D" w:rsidRPr="00D43D9D">
        <w:rPr>
          <w:szCs w:val="20"/>
        </w:rPr>
        <w:t xml:space="preserve">(2) </w:t>
      </w:r>
      <w:r w:rsidR="00767A49">
        <w:rPr>
          <w:szCs w:val="20"/>
        </w:rPr>
        <w:t xml:space="preserve">could </w:t>
      </w:r>
      <w:r w:rsidR="00D43D9D" w:rsidRPr="00D43D9D">
        <w:rPr>
          <w:szCs w:val="20"/>
        </w:rPr>
        <w:t>be removed</w:t>
      </w:r>
      <w:r w:rsidR="00D43D9D">
        <w:rPr>
          <w:szCs w:val="20"/>
        </w:rPr>
        <w:t>.</w:t>
      </w:r>
    </w:p>
    <w:p w14:paraId="1DD78FFB" w14:textId="11CFC288" w:rsidR="00767A49" w:rsidRDefault="00704EAF" w:rsidP="006F4E48">
      <w:pPr>
        <w:rPr>
          <w:szCs w:val="20"/>
        </w:rPr>
      </w:pPr>
      <w:r>
        <w:rPr>
          <w:szCs w:val="20"/>
        </w:rPr>
        <w:t>One</w:t>
      </w:r>
      <w:r w:rsidR="00690528">
        <w:rPr>
          <w:szCs w:val="20"/>
        </w:rPr>
        <w:t xml:space="preserve"> submission </w:t>
      </w:r>
      <w:r w:rsidR="00767A49">
        <w:rPr>
          <w:szCs w:val="20"/>
        </w:rPr>
        <w:t xml:space="preserve">noted </w:t>
      </w:r>
      <w:r w:rsidR="00690528">
        <w:rPr>
          <w:szCs w:val="20"/>
        </w:rPr>
        <w:t xml:space="preserve">that </w:t>
      </w:r>
      <w:r w:rsidR="00767A49">
        <w:rPr>
          <w:szCs w:val="20"/>
        </w:rPr>
        <w:t>s</w:t>
      </w:r>
      <w:r w:rsidR="00690528" w:rsidRPr="00690528">
        <w:rPr>
          <w:szCs w:val="20"/>
        </w:rPr>
        <w:t>ection 8</w:t>
      </w:r>
      <w:r w:rsidR="00767A49">
        <w:rPr>
          <w:szCs w:val="20"/>
        </w:rPr>
        <w:t xml:space="preserve"> on </w:t>
      </w:r>
      <w:r w:rsidR="00AC1705">
        <w:rPr>
          <w:szCs w:val="20"/>
        </w:rPr>
        <w:t xml:space="preserve">the </w:t>
      </w:r>
      <w:r w:rsidR="00767A49">
        <w:rPr>
          <w:szCs w:val="20"/>
        </w:rPr>
        <w:t>a</w:t>
      </w:r>
      <w:r w:rsidR="00690528" w:rsidRPr="00690528">
        <w:rPr>
          <w:szCs w:val="20"/>
        </w:rPr>
        <w:t>ccuracy</w:t>
      </w:r>
      <w:r w:rsidR="00767A49">
        <w:rPr>
          <w:szCs w:val="20"/>
        </w:rPr>
        <w:t xml:space="preserve"> </w:t>
      </w:r>
      <w:r w:rsidR="00AC1705">
        <w:rPr>
          <w:szCs w:val="20"/>
        </w:rPr>
        <w:t xml:space="preserve">of parameters </w:t>
      </w:r>
      <w:r w:rsidR="00690528">
        <w:rPr>
          <w:szCs w:val="20"/>
        </w:rPr>
        <w:t xml:space="preserve">is </w:t>
      </w:r>
      <w:r w:rsidR="00767A49">
        <w:rPr>
          <w:szCs w:val="20"/>
        </w:rPr>
        <w:t xml:space="preserve">also </w:t>
      </w:r>
      <w:r w:rsidR="00690528">
        <w:rPr>
          <w:szCs w:val="20"/>
        </w:rPr>
        <w:t xml:space="preserve">included </w:t>
      </w:r>
      <w:r w:rsidR="00690528" w:rsidRPr="00690528">
        <w:rPr>
          <w:szCs w:val="20"/>
        </w:rPr>
        <w:t>in</w:t>
      </w:r>
      <w:r w:rsidR="00690528">
        <w:rPr>
          <w:szCs w:val="20"/>
        </w:rPr>
        <w:t xml:space="preserve"> section 6 of</w:t>
      </w:r>
      <w:r w:rsidR="00690528" w:rsidRPr="00690528">
        <w:rPr>
          <w:szCs w:val="20"/>
        </w:rPr>
        <w:t xml:space="preserve"> the ITF </w:t>
      </w:r>
      <w:r w:rsidR="00690528">
        <w:rPr>
          <w:szCs w:val="20"/>
        </w:rPr>
        <w:t>Determination</w:t>
      </w:r>
      <w:r w:rsidR="00767A49">
        <w:rPr>
          <w:szCs w:val="20"/>
        </w:rPr>
        <w:t xml:space="preserve">. They consequently proposed that section 8 could </w:t>
      </w:r>
      <w:r w:rsidR="00690528" w:rsidRPr="00690528">
        <w:rPr>
          <w:szCs w:val="20"/>
        </w:rPr>
        <w:t>be removed</w:t>
      </w:r>
      <w:r w:rsidR="00690528">
        <w:rPr>
          <w:szCs w:val="20"/>
        </w:rPr>
        <w:t xml:space="preserve">. </w:t>
      </w:r>
      <w:r w:rsidR="00767A49">
        <w:rPr>
          <w:szCs w:val="20"/>
        </w:rPr>
        <w:t xml:space="preserve">The level of accuracy </w:t>
      </w:r>
      <w:r w:rsidR="00690528" w:rsidRPr="00690528">
        <w:rPr>
          <w:szCs w:val="20"/>
        </w:rPr>
        <w:t xml:space="preserve">in the </w:t>
      </w:r>
      <w:proofErr w:type="spellStart"/>
      <w:r w:rsidR="00690528">
        <w:rPr>
          <w:szCs w:val="20"/>
        </w:rPr>
        <w:t>ULoI</w:t>
      </w:r>
      <w:proofErr w:type="spellEnd"/>
      <w:r w:rsidR="00690528">
        <w:rPr>
          <w:szCs w:val="20"/>
        </w:rPr>
        <w:t xml:space="preserve"> instrument </w:t>
      </w:r>
      <w:r w:rsidR="00767A49">
        <w:rPr>
          <w:szCs w:val="20"/>
        </w:rPr>
        <w:t xml:space="preserve">could then be </w:t>
      </w:r>
      <w:r>
        <w:rPr>
          <w:szCs w:val="20"/>
        </w:rPr>
        <w:t xml:space="preserve">specified by </w:t>
      </w:r>
      <w:r w:rsidR="00690528" w:rsidRPr="00690528">
        <w:rPr>
          <w:szCs w:val="20"/>
        </w:rPr>
        <w:t xml:space="preserve">reference to </w:t>
      </w:r>
      <w:r w:rsidR="00767A49">
        <w:rPr>
          <w:szCs w:val="20"/>
        </w:rPr>
        <w:t xml:space="preserve">the </w:t>
      </w:r>
      <w:r w:rsidR="003D17C1">
        <w:rPr>
          <w:szCs w:val="20"/>
        </w:rPr>
        <w:t xml:space="preserve">definition </w:t>
      </w:r>
      <w:r w:rsidR="00767A49">
        <w:rPr>
          <w:szCs w:val="20"/>
        </w:rPr>
        <w:t xml:space="preserve">in the </w:t>
      </w:r>
      <w:r w:rsidR="00690528" w:rsidRPr="00690528">
        <w:rPr>
          <w:szCs w:val="20"/>
        </w:rPr>
        <w:t>ITF</w:t>
      </w:r>
      <w:r w:rsidR="00690528">
        <w:rPr>
          <w:szCs w:val="20"/>
        </w:rPr>
        <w:t xml:space="preserve"> Determination.</w:t>
      </w:r>
      <w:r w:rsidR="00767A49">
        <w:rPr>
          <w:szCs w:val="20"/>
        </w:rPr>
        <w:t xml:space="preserve"> </w:t>
      </w:r>
    </w:p>
    <w:p w14:paraId="4F257536" w14:textId="77949F73" w:rsidR="00690528" w:rsidRPr="00767A49" w:rsidRDefault="00767A49" w:rsidP="00BD3716">
      <w:pPr>
        <w:keepLines/>
        <w:rPr>
          <w:szCs w:val="20"/>
        </w:rPr>
      </w:pPr>
      <w:r>
        <w:rPr>
          <w:szCs w:val="20"/>
        </w:rPr>
        <w:lastRenderedPageBreak/>
        <w:t xml:space="preserve">Another submission requested that the level of </w:t>
      </w:r>
      <w:r w:rsidR="00817427">
        <w:rPr>
          <w:szCs w:val="20"/>
        </w:rPr>
        <w:t>a</w:t>
      </w:r>
      <w:r>
        <w:rPr>
          <w:szCs w:val="20"/>
        </w:rPr>
        <w:t xml:space="preserve">ccuracy and various other </w:t>
      </w:r>
      <w:r w:rsidR="00817427">
        <w:rPr>
          <w:szCs w:val="20"/>
        </w:rPr>
        <w:t>expressions</w:t>
      </w:r>
      <w:r>
        <w:rPr>
          <w:szCs w:val="20"/>
        </w:rPr>
        <w:t xml:space="preserve"> be better aligned </w:t>
      </w:r>
      <w:r w:rsidRPr="00767A49">
        <w:rPr>
          <w:szCs w:val="20"/>
        </w:rPr>
        <w:t xml:space="preserve">with </w:t>
      </w:r>
      <w:r w:rsidRPr="00681A32">
        <w:rPr>
          <w:szCs w:val="20"/>
        </w:rPr>
        <w:t xml:space="preserve">3GPP 37.141 </w:t>
      </w:r>
      <w:r w:rsidRPr="00681A32">
        <w:rPr>
          <w:i/>
          <w:iCs/>
          <w:szCs w:val="20"/>
        </w:rPr>
        <w:t>NR, E-UTRA, UTRA and GSM/EDGE; Multi-Standard Radio (MSR) Base Station (BS) conformance testing</w:t>
      </w:r>
      <w:r w:rsidRPr="00767A49">
        <w:rPr>
          <w:szCs w:val="20"/>
        </w:rPr>
        <w:t>.</w:t>
      </w:r>
      <w:r>
        <w:rPr>
          <w:szCs w:val="20"/>
        </w:rPr>
        <w:t xml:space="preserve"> For the level of accuracy this requires the inclusion of a 2 dB margin of error for </w:t>
      </w:r>
      <w:r w:rsidR="00817427">
        <w:rPr>
          <w:szCs w:val="20"/>
        </w:rPr>
        <w:t xml:space="preserve">the relevant </w:t>
      </w:r>
      <w:r>
        <w:rPr>
          <w:szCs w:val="20"/>
        </w:rPr>
        <w:t xml:space="preserve">parameters. </w:t>
      </w:r>
    </w:p>
    <w:p w14:paraId="6FF283D1" w14:textId="0512E62D" w:rsidR="00393CB8" w:rsidRDefault="00072BE4" w:rsidP="00BD3716">
      <w:pPr>
        <w:pStyle w:val="Paragraphbeforelist"/>
      </w:pPr>
      <w:r>
        <w:t>One</w:t>
      </w:r>
      <w:r w:rsidR="00690528">
        <w:t xml:space="preserve"> submission </w:t>
      </w:r>
      <w:r w:rsidR="00767A49">
        <w:t>indicated</w:t>
      </w:r>
      <w:r w:rsidR="00690528">
        <w:t xml:space="preserve"> that the</w:t>
      </w:r>
      <w:r w:rsidR="00690528" w:rsidRPr="006F4E48">
        <w:t xml:space="preserve"> grandfathering </w:t>
      </w:r>
      <w:r w:rsidR="00393CB8">
        <w:t xml:space="preserve">clause </w:t>
      </w:r>
      <w:r w:rsidR="00690528" w:rsidRPr="006F4E48">
        <w:t xml:space="preserve">in </w:t>
      </w:r>
      <w:r w:rsidR="00393CB8">
        <w:t>section</w:t>
      </w:r>
      <w:r w:rsidR="00690528">
        <w:t xml:space="preserve"> 9</w:t>
      </w:r>
      <w:r w:rsidR="00690528" w:rsidRPr="006F4E48">
        <w:t xml:space="preserve"> is incorrectly framed. The </w:t>
      </w:r>
      <w:r w:rsidR="00690528">
        <w:t xml:space="preserve">submission </w:t>
      </w:r>
      <w:r>
        <w:t xml:space="preserve">suggested </w:t>
      </w:r>
      <w:r w:rsidR="00690528">
        <w:t xml:space="preserve">that the current wording </w:t>
      </w:r>
      <w:r w:rsidR="00690528" w:rsidRPr="006F4E48">
        <w:t xml:space="preserve">binds </w:t>
      </w:r>
      <w:r w:rsidR="00393CB8">
        <w:t xml:space="preserve">existing </w:t>
      </w:r>
      <w:r w:rsidR="00690528" w:rsidRPr="006F4E48">
        <w:t>transmitter</w:t>
      </w:r>
      <w:r w:rsidR="00393CB8">
        <w:t xml:space="preserve"> registrations</w:t>
      </w:r>
      <w:r w:rsidR="00690528" w:rsidRPr="006F4E48">
        <w:t xml:space="preserve"> in perpetuity to the </w:t>
      </w:r>
      <w:proofErr w:type="spellStart"/>
      <w:r w:rsidR="00690528" w:rsidRPr="006F4E48">
        <w:t>ULoI</w:t>
      </w:r>
      <w:proofErr w:type="spellEnd"/>
      <w:r w:rsidR="00690528" w:rsidRPr="006F4E48">
        <w:t xml:space="preserve"> in force at the time that they were registered. </w:t>
      </w:r>
      <w:r w:rsidR="00393CB8">
        <w:t xml:space="preserve">They recommended that section 9 should only apply when the following </w:t>
      </w:r>
      <w:r w:rsidR="006C056A">
        <w:t xml:space="preserve">2 </w:t>
      </w:r>
      <w:r w:rsidR="00393CB8">
        <w:t xml:space="preserve">conditions are met: </w:t>
      </w:r>
    </w:p>
    <w:p w14:paraId="2DAF8E81" w14:textId="4114EE11" w:rsidR="00393CB8" w:rsidRPr="003D17C1" w:rsidRDefault="00393CB8" w:rsidP="005C22C8">
      <w:pPr>
        <w:pStyle w:val="Bulletlevel1"/>
      </w:pPr>
      <w:r>
        <w:t>the radiocommunications transmitter was included in the register of radiocommunications licence</w:t>
      </w:r>
      <w:r w:rsidR="008F3933">
        <w:t>s</w:t>
      </w:r>
      <w:r>
        <w:t xml:space="preserve"> before the commencement of the new/updated </w:t>
      </w:r>
      <w:proofErr w:type="gramStart"/>
      <w:r>
        <w:t>instrument</w:t>
      </w:r>
      <w:proofErr w:type="gramEnd"/>
    </w:p>
    <w:p w14:paraId="5014455D" w14:textId="7B7F896B" w:rsidR="00393CB8" w:rsidRPr="003D17C1" w:rsidRDefault="00393CB8" w:rsidP="005C22C8">
      <w:pPr>
        <w:pStyle w:val="Bulletlevel1"/>
        <w:spacing w:after="240"/>
      </w:pPr>
      <w:r>
        <w:t>the radiocommunications transmitter is deemed to cause an unacceptable level of interference under the new/updated instrument.</w:t>
      </w:r>
    </w:p>
    <w:p w14:paraId="3D034CC8" w14:textId="20435E73" w:rsidR="00393CB8" w:rsidRDefault="0099481A" w:rsidP="00690528">
      <w:pPr>
        <w:rPr>
          <w:szCs w:val="20"/>
        </w:rPr>
      </w:pPr>
      <w:r>
        <w:rPr>
          <w:szCs w:val="20"/>
        </w:rPr>
        <w:t>One</w:t>
      </w:r>
      <w:r w:rsidR="00393CB8">
        <w:rPr>
          <w:szCs w:val="20"/>
        </w:rPr>
        <w:t xml:space="preserve"> submission identified that the additional device boundary </w:t>
      </w:r>
      <w:r w:rsidR="00817427">
        <w:rPr>
          <w:szCs w:val="20"/>
        </w:rPr>
        <w:t xml:space="preserve">requirements </w:t>
      </w:r>
      <w:r w:rsidR="00393CB8">
        <w:rPr>
          <w:szCs w:val="20"/>
        </w:rPr>
        <w:t xml:space="preserve">specified in subsection 9(4) (and other relevant subsections) does not apply to the 2.3 GHz band. </w:t>
      </w:r>
      <w:r w:rsidR="00817427">
        <w:rPr>
          <w:szCs w:val="20"/>
        </w:rPr>
        <w:t>The</w:t>
      </w:r>
      <w:r w:rsidR="003D17C1">
        <w:rPr>
          <w:szCs w:val="20"/>
        </w:rPr>
        <w:t>y</w:t>
      </w:r>
      <w:r w:rsidR="00817427">
        <w:rPr>
          <w:szCs w:val="20"/>
        </w:rPr>
        <w:t xml:space="preserve"> proposed </w:t>
      </w:r>
      <w:r>
        <w:rPr>
          <w:szCs w:val="20"/>
        </w:rPr>
        <w:t>that</w:t>
      </w:r>
      <w:r w:rsidR="00817427">
        <w:rPr>
          <w:szCs w:val="20"/>
        </w:rPr>
        <w:t xml:space="preserve"> it be removed.</w:t>
      </w:r>
    </w:p>
    <w:p w14:paraId="66F019C0" w14:textId="4C872EB7" w:rsidR="00CE0506" w:rsidRPr="006F4E48" w:rsidRDefault="0099481A" w:rsidP="006F4E48">
      <w:pPr>
        <w:rPr>
          <w:szCs w:val="20"/>
        </w:rPr>
      </w:pPr>
      <w:r>
        <w:rPr>
          <w:szCs w:val="20"/>
        </w:rPr>
        <w:t>One</w:t>
      </w:r>
      <w:r w:rsidR="00CE0506">
        <w:rPr>
          <w:szCs w:val="20"/>
        </w:rPr>
        <w:t xml:space="preserve"> submission requested</w:t>
      </w:r>
      <w:r>
        <w:rPr>
          <w:szCs w:val="20"/>
        </w:rPr>
        <w:t xml:space="preserve"> that</w:t>
      </w:r>
      <w:r w:rsidR="003D17C1">
        <w:rPr>
          <w:szCs w:val="20"/>
        </w:rPr>
        <w:t xml:space="preserve"> the</w:t>
      </w:r>
      <w:r w:rsidR="00CE0506">
        <w:rPr>
          <w:szCs w:val="20"/>
        </w:rPr>
        <w:t xml:space="preserve"> </w:t>
      </w:r>
      <w:r w:rsidR="00280DCC">
        <w:rPr>
          <w:szCs w:val="20"/>
        </w:rPr>
        <w:t>item</w:t>
      </w:r>
      <w:r w:rsidR="00817427">
        <w:rPr>
          <w:szCs w:val="20"/>
        </w:rPr>
        <w:t xml:space="preserve"> detailing </w:t>
      </w:r>
      <w:r w:rsidR="00393CB8">
        <w:rPr>
          <w:szCs w:val="20"/>
        </w:rPr>
        <w:t xml:space="preserve">how to determine </w:t>
      </w:r>
      <w:r w:rsidR="00690528">
        <w:rPr>
          <w:szCs w:val="20"/>
        </w:rPr>
        <w:t xml:space="preserve">antenna height </w:t>
      </w:r>
      <w:r w:rsidR="00393CB8">
        <w:rPr>
          <w:szCs w:val="20"/>
        </w:rPr>
        <w:t xml:space="preserve">(and associated accuracy) for transmitters and groups of transmitters, which is defined in </w:t>
      </w:r>
      <w:r w:rsidR="00206AAE">
        <w:rPr>
          <w:szCs w:val="20"/>
        </w:rPr>
        <w:t xml:space="preserve">Part 1 of </w:t>
      </w:r>
      <w:r w:rsidR="00CE0506">
        <w:rPr>
          <w:szCs w:val="20"/>
        </w:rPr>
        <w:t xml:space="preserve">Schedule 3 </w:t>
      </w:r>
      <w:r w:rsidR="004F7E74">
        <w:rPr>
          <w:szCs w:val="20"/>
        </w:rPr>
        <w:t>to</w:t>
      </w:r>
      <w:r w:rsidR="00206AAE">
        <w:rPr>
          <w:szCs w:val="20"/>
        </w:rPr>
        <w:t xml:space="preserve"> the </w:t>
      </w:r>
      <w:r w:rsidR="00206AAE" w:rsidRPr="00BD3716">
        <w:rPr>
          <w:iCs/>
        </w:rPr>
        <w:t>Radiocommunications (Unacceptable Levels of Interference – 2.3 GHz Band) Determination 2013</w:t>
      </w:r>
      <w:r w:rsidR="00D60DDD">
        <w:rPr>
          <w:i/>
        </w:rPr>
        <w:t xml:space="preserve"> </w:t>
      </w:r>
      <w:r w:rsidR="00D60DDD">
        <w:rPr>
          <w:iCs/>
        </w:rPr>
        <w:t xml:space="preserve">(2013 </w:t>
      </w:r>
      <w:proofErr w:type="spellStart"/>
      <w:r w:rsidR="00D60DDD">
        <w:rPr>
          <w:iCs/>
        </w:rPr>
        <w:t>ULoI</w:t>
      </w:r>
      <w:proofErr w:type="spellEnd"/>
      <w:r w:rsidR="00D60DDD">
        <w:rPr>
          <w:iCs/>
        </w:rPr>
        <w:t>)</w:t>
      </w:r>
      <w:r w:rsidR="00206AAE">
        <w:rPr>
          <w:i/>
        </w:rPr>
        <w:t xml:space="preserve">, </w:t>
      </w:r>
      <w:r w:rsidR="00CE0506">
        <w:rPr>
          <w:szCs w:val="20"/>
        </w:rPr>
        <w:t xml:space="preserve">be </w:t>
      </w:r>
      <w:r w:rsidR="00206AAE">
        <w:rPr>
          <w:szCs w:val="20"/>
        </w:rPr>
        <w:t xml:space="preserve">included in the </w:t>
      </w:r>
      <w:proofErr w:type="spellStart"/>
      <w:r w:rsidR="00206AAE">
        <w:rPr>
          <w:szCs w:val="20"/>
        </w:rPr>
        <w:t>UL</w:t>
      </w:r>
      <w:r w:rsidR="00AC1705">
        <w:rPr>
          <w:szCs w:val="20"/>
        </w:rPr>
        <w:t>o</w:t>
      </w:r>
      <w:r w:rsidR="00206AAE">
        <w:rPr>
          <w:szCs w:val="20"/>
        </w:rPr>
        <w:t>I</w:t>
      </w:r>
      <w:proofErr w:type="spellEnd"/>
      <w:r w:rsidR="00206AAE">
        <w:rPr>
          <w:szCs w:val="20"/>
        </w:rPr>
        <w:t xml:space="preserve">. </w:t>
      </w:r>
      <w:r w:rsidR="00CE0506">
        <w:rPr>
          <w:szCs w:val="20"/>
        </w:rPr>
        <w:t xml:space="preserve">Their position was that removing </w:t>
      </w:r>
      <w:r w:rsidR="00690528">
        <w:rPr>
          <w:szCs w:val="20"/>
        </w:rPr>
        <w:t>the antenna height provision, which is</w:t>
      </w:r>
      <w:r w:rsidR="003D17C1">
        <w:rPr>
          <w:szCs w:val="20"/>
        </w:rPr>
        <w:t xml:space="preserve"> also</w:t>
      </w:r>
      <w:r w:rsidR="00690528">
        <w:rPr>
          <w:szCs w:val="20"/>
        </w:rPr>
        <w:t xml:space="preserve"> not included in the ITF Determination, </w:t>
      </w:r>
      <w:r w:rsidR="00CE0506">
        <w:rPr>
          <w:szCs w:val="20"/>
        </w:rPr>
        <w:t xml:space="preserve">reduces the clarity of the </w:t>
      </w:r>
      <w:proofErr w:type="spellStart"/>
      <w:r w:rsidR="00690528">
        <w:rPr>
          <w:szCs w:val="20"/>
        </w:rPr>
        <w:t>ULoI</w:t>
      </w:r>
      <w:proofErr w:type="spellEnd"/>
      <w:r w:rsidR="00690528">
        <w:rPr>
          <w:szCs w:val="20"/>
        </w:rPr>
        <w:t xml:space="preserve"> instrument</w:t>
      </w:r>
      <w:r w:rsidR="00CE0506">
        <w:rPr>
          <w:szCs w:val="20"/>
        </w:rPr>
        <w:t>.</w:t>
      </w:r>
    </w:p>
    <w:p w14:paraId="0F325098" w14:textId="77777777" w:rsidR="00071A6A" w:rsidRPr="00E0400E" w:rsidRDefault="00071A6A" w:rsidP="00071A6A">
      <w:pPr>
        <w:pStyle w:val="Heading4"/>
      </w:pPr>
      <w:r w:rsidRPr="00E0400E">
        <w:t>ACMA response</w:t>
      </w:r>
    </w:p>
    <w:p w14:paraId="5C036B52" w14:textId="32E2FFB6" w:rsidR="00FC65CD" w:rsidRDefault="00FC65CD" w:rsidP="00071A6A">
      <w:pPr>
        <w:rPr>
          <w:szCs w:val="20"/>
        </w:rPr>
      </w:pPr>
      <w:r>
        <w:rPr>
          <w:szCs w:val="20"/>
        </w:rPr>
        <w:t xml:space="preserve">To improve stakeholder understanding of the intent of the </w:t>
      </w:r>
      <w:proofErr w:type="spellStart"/>
      <w:r>
        <w:rPr>
          <w:szCs w:val="20"/>
        </w:rPr>
        <w:t>ULoI</w:t>
      </w:r>
      <w:proofErr w:type="spellEnd"/>
      <w:r>
        <w:rPr>
          <w:szCs w:val="20"/>
        </w:rPr>
        <w:t xml:space="preserve">, we have </w:t>
      </w:r>
      <w:r w:rsidR="0099481A">
        <w:rPr>
          <w:szCs w:val="20"/>
        </w:rPr>
        <w:t>reinstated</w:t>
      </w:r>
      <w:r>
        <w:rPr>
          <w:szCs w:val="20"/>
        </w:rPr>
        <w:t xml:space="preserve"> </w:t>
      </w:r>
      <w:r w:rsidR="00E958BE">
        <w:rPr>
          <w:szCs w:val="20"/>
        </w:rPr>
        <w:t xml:space="preserve">most of </w:t>
      </w:r>
      <w:r>
        <w:rPr>
          <w:szCs w:val="20"/>
        </w:rPr>
        <w:t>the ‘</w:t>
      </w:r>
      <w:r w:rsidR="006C056A">
        <w:rPr>
          <w:szCs w:val="20"/>
        </w:rPr>
        <w:t xml:space="preserve">Purpose’ </w:t>
      </w:r>
      <w:r>
        <w:rPr>
          <w:szCs w:val="20"/>
        </w:rPr>
        <w:t>section</w:t>
      </w:r>
      <w:r w:rsidR="0099481A">
        <w:rPr>
          <w:szCs w:val="20"/>
        </w:rPr>
        <w:t xml:space="preserve"> from the existing instrument</w:t>
      </w:r>
      <w:r>
        <w:rPr>
          <w:szCs w:val="20"/>
        </w:rPr>
        <w:t xml:space="preserve">. </w:t>
      </w:r>
      <w:r w:rsidR="00040E02">
        <w:rPr>
          <w:szCs w:val="20"/>
        </w:rPr>
        <w:t>This has resulted in the renumbering of sections</w:t>
      </w:r>
      <w:r w:rsidR="00E34FE0">
        <w:rPr>
          <w:szCs w:val="20"/>
        </w:rPr>
        <w:t xml:space="preserve"> in the final instrument</w:t>
      </w:r>
      <w:r w:rsidR="00040E02">
        <w:rPr>
          <w:szCs w:val="20"/>
        </w:rPr>
        <w:t xml:space="preserve"> from</w:t>
      </w:r>
      <w:r w:rsidR="00E34FE0">
        <w:rPr>
          <w:szCs w:val="20"/>
        </w:rPr>
        <w:t xml:space="preserve"> the</w:t>
      </w:r>
      <w:r w:rsidR="00040E02">
        <w:rPr>
          <w:szCs w:val="20"/>
        </w:rPr>
        <w:t xml:space="preserve"> ‘</w:t>
      </w:r>
      <w:r w:rsidR="006C056A">
        <w:rPr>
          <w:szCs w:val="20"/>
        </w:rPr>
        <w:t xml:space="preserve">Definitions’ </w:t>
      </w:r>
      <w:r w:rsidR="00E34FE0">
        <w:rPr>
          <w:szCs w:val="20"/>
        </w:rPr>
        <w:t xml:space="preserve">section </w:t>
      </w:r>
      <w:r w:rsidR="00040E02">
        <w:rPr>
          <w:szCs w:val="20"/>
        </w:rPr>
        <w:t xml:space="preserve">onwards. </w:t>
      </w:r>
      <w:r w:rsidR="0066508D">
        <w:rPr>
          <w:szCs w:val="20"/>
        </w:rPr>
        <w:t>A ‘</w:t>
      </w:r>
      <w:r w:rsidR="006C056A">
        <w:rPr>
          <w:szCs w:val="20"/>
        </w:rPr>
        <w:t xml:space="preserve">Purpose’ </w:t>
      </w:r>
      <w:r w:rsidR="0066508D">
        <w:rPr>
          <w:szCs w:val="20"/>
        </w:rPr>
        <w:t xml:space="preserve">section has not been included </w:t>
      </w:r>
      <w:r w:rsidR="007156BC">
        <w:rPr>
          <w:szCs w:val="20"/>
        </w:rPr>
        <w:t xml:space="preserve">in </w:t>
      </w:r>
      <w:r w:rsidR="0066508D">
        <w:rPr>
          <w:szCs w:val="20"/>
        </w:rPr>
        <w:t>the RAGs as we consider the ‘</w:t>
      </w:r>
      <w:r w:rsidR="006C056A">
        <w:rPr>
          <w:szCs w:val="20"/>
        </w:rPr>
        <w:t>B</w:t>
      </w:r>
      <w:r w:rsidR="0066508D">
        <w:rPr>
          <w:szCs w:val="20"/>
        </w:rPr>
        <w:t xml:space="preserve">ackground’ section effectively </w:t>
      </w:r>
      <w:r w:rsidR="0099481A">
        <w:rPr>
          <w:szCs w:val="20"/>
        </w:rPr>
        <w:t>conveys the necessary information</w:t>
      </w:r>
      <w:r w:rsidR="0066508D">
        <w:rPr>
          <w:szCs w:val="20"/>
        </w:rPr>
        <w:t xml:space="preserve">.  </w:t>
      </w:r>
    </w:p>
    <w:p w14:paraId="5BF0C6D1" w14:textId="4978BD43" w:rsidR="006B00DA" w:rsidRDefault="00AC1705" w:rsidP="00071A6A">
      <w:pPr>
        <w:rPr>
          <w:szCs w:val="20"/>
        </w:rPr>
      </w:pPr>
      <w:r>
        <w:rPr>
          <w:szCs w:val="20"/>
        </w:rPr>
        <w:t xml:space="preserve">We </w:t>
      </w:r>
      <w:r w:rsidR="006B00DA">
        <w:rPr>
          <w:szCs w:val="20"/>
        </w:rPr>
        <w:t xml:space="preserve">support the simplification of text wherever possible. </w:t>
      </w:r>
      <w:r>
        <w:rPr>
          <w:szCs w:val="20"/>
        </w:rPr>
        <w:t xml:space="preserve">We </w:t>
      </w:r>
      <w:r w:rsidR="006B00DA">
        <w:rPr>
          <w:szCs w:val="20"/>
        </w:rPr>
        <w:t xml:space="preserve">agree with the proposals to </w:t>
      </w:r>
      <w:r>
        <w:rPr>
          <w:szCs w:val="20"/>
        </w:rPr>
        <w:t>remove subsection 7(2)</w:t>
      </w:r>
      <w:r w:rsidR="00FC65CD">
        <w:rPr>
          <w:szCs w:val="20"/>
        </w:rPr>
        <w:t xml:space="preserve"> as subsection 7(3) makes it redundant</w:t>
      </w:r>
      <w:r>
        <w:rPr>
          <w:szCs w:val="20"/>
        </w:rPr>
        <w:t xml:space="preserve">. The ULOI </w:t>
      </w:r>
      <w:r w:rsidR="006B00DA">
        <w:rPr>
          <w:szCs w:val="20"/>
        </w:rPr>
        <w:t>has been amended accordingly.</w:t>
      </w:r>
      <w:r w:rsidR="006C056A">
        <w:rPr>
          <w:szCs w:val="20"/>
        </w:rPr>
        <w:t xml:space="preserve"> </w:t>
      </w:r>
      <w:r w:rsidR="00FC65CD">
        <w:rPr>
          <w:szCs w:val="20"/>
        </w:rPr>
        <w:t xml:space="preserve">However, we have </w:t>
      </w:r>
      <w:r w:rsidR="0099481A">
        <w:rPr>
          <w:szCs w:val="20"/>
        </w:rPr>
        <w:t>retained</w:t>
      </w:r>
      <w:r w:rsidR="00FC65CD">
        <w:rPr>
          <w:szCs w:val="20"/>
        </w:rPr>
        <w:t xml:space="preserve"> subsection 7(1) as consulted. The intention of that subsection is to define levels of emissions that are </w:t>
      </w:r>
      <w:r w:rsidR="0099043D">
        <w:rPr>
          <w:szCs w:val="20"/>
        </w:rPr>
        <w:t xml:space="preserve">deemed </w:t>
      </w:r>
      <w:r w:rsidR="00FC65CD">
        <w:rPr>
          <w:szCs w:val="20"/>
        </w:rPr>
        <w:t>unacceptable</w:t>
      </w:r>
      <w:r w:rsidR="0099043D">
        <w:rPr>
          <w:szCs w:val="20"/>
        </w:rPr>
        <w:t>. This means</w:t>
      </w:r>
      <w:r w:rsidR="00FC65CD">
        <w:rPr>
          <w:szCs w:val="20"/>
        </w:rPr>
        <w:t xml:space="preserve"> </w:t>
      </w:r>
      <w:r w:rsidR="0099481A">
        <w:rPr>
          <w:szCs w:val="20"/>
        </w:rPr>
        <w:t>that</w:t>
      </w:r>
      <w:r w:rsidR="00FC65CD">
        <w:rPr>
          <w:szCs w:val="20"/>
        </w:rPr>
        <w:t xml:space="preserve"> </w:t>
      </w:r>
      <w:r w:rsidR="00CC0294">
        <w:rPr>
          <w:szCs w:val="20"/>
        </w:rPr>
        <w:t xml:space="preserve">only </w:t>
      </w:r>
      <w:r w:rsidR="00FC65CD">
        <w:rPr>
          <w:szCs w:val="20"/>
        </w:rPr>
        <w:t xml:space="preserve">core conditions </w:t>
      </w:r>
      <w:r w:rsidR="00CC0294">
        <w:rPr>
          <w:szCs w:val="20"/>
        </w:rPr>
        <w:t xml:space="preserve">that </w:t>
      </w:r>
      <w:r w:rsidR="00FC65CD">
        <w:rPr>
          <w:szCs w:val="20"/>
        </w:rPr>
        <w:t>relate to levels of emissions</w:t>
      </w:r>
      <w:r w:rsidR="00CC0294">
        <w:rPr>
          <w:szCs w:val="20"/>
        </w:rPr>
        <w:t xml:space="preserve"> need to be referenced</w:t>
      </w:r>
      <w:r w:rsidR="0099481A">
        <w:rPr>
          <w:szCs w:val="20"/>
        </w:rPr>
        <w:t>, which is how the</w:t>
      </w:r>
      <w:r w:rsidR="0099043D">
        <w:rPr>
          <w:szCs w:val="20"/>
        </w:rPr>
        <w:t xml:space="preserve"> proposed text </w:t>
      </w:r>
      <w:r w:rsidR="0099481A">
        <w:rPr>
          <w:szCs w:val="20"/>
        </w:rPr>
        <w:t>has been drafted</w:t>
      </w:r>
      <w:r w:rsidR="00FC65CD">
        <w:rPr>
          <w:szCs w:val="20"/>
        </w:rPr>
        <w:t xml:space="preserve">. We </w:t>
      </w:r>
      <w:r w:rsidR="00CC0294">
        <w:rPr>
          <w:szCs w:val="20"/>
        </w:rPr>
        <w:t xml:space="preserve">do </w:t>
      </w:r>
      <w:r w:rsidR="00FC65CD">
        <w:rPr>
          <w:szCs w:val="20"/>
        </w:rPr>
        <w:t>note that</w:t>
      </w:r>
      <w:r w:rsidR="00CC0294">
        <w:rPr>
          <w:szCs w:val="20"/>
        </w:rPr>
        <w:t xml:space="preserve">, irrespective of whether it is a condition in the </w:t>
      </w:r>
      <w:proofErr w:type="spellStart"/>
      <w:r w:rsidR="00CC0294">
        <w:rPr>
          <w:szCs w:val="20"/>
        </w:rPr>
        <w:t>ULoI</w:t>
      </w:r>
      <w:proofErr w:type="spellEnd"/>
      <w:r w:rsidR="00CC0294">
        <w:rPr>
          <w:szCs w:val="20"/>
        </w:rPr>
        <w:t xml:space="preserve"> or not, all devices operated under a spectrum licence must adhere to all core conditions stated on the licence. </w:t>
      </w:r>
    </w:p>
    <w:p w14:paraId="1F50C388" w14:textId="2E78108C" w:rsidR="006B00DA" w:rsidRDefault="00AC1705" w:rsidP="00071A6A">
      <w:pPr>
        <w:rPr>
          <w:szCs w:val="20"/>
        </w:rPr>
      </w:pPr>
      <w:r>
        <w:rPr>
          <w:szCs w:val="20"/>
        </w:rPr>
        <w:t>We</w:t>
      </w:r>
      <w:r w:rsidR="00E40B27">
        <w:rPr>
          <w:szCs w:val="20"/>
        </w:rPr>
        <w:t xml:space="preserve"> do not intend to remove </w:t>
      </w:r>
      <w:r>
        <w:rPr>
          <w:szCs w:val="20"/>
        </w:rPr>
        <w:t xml:space="preserve">section </w:t>
      </w:r>
      <w:r w:rsidR="00E40B27">
        <w:rPr>
          <w:szCs w:val="20"/>
        </w:rPr>
        <w:t>8</w:t>
      </w:r>
      <w:r>
        <w:rPr>
          <w:szCs w:val="20"/>
        </w:rPr>
        <w:t xml:space="preserve"> on the accuracy of parameters</w:t>
      </w:r>
      <w:r w:rsidR="00E40B27">
        <w:rPr>
          <w:szCs w:val="20"/>
        </w:rPr>
        <w:t xml:space="preserve"> from the </w:t>
      </w:r>
      <w:proofErr w:type="spellStart"/>
      <w:r w:rsidR="00E40B27">
        <w:rPr>
          <w:szCs w:val="20"/>
        </w:rPr>
        <w:t>ULoI</w:t>
      </w:r>
      <w:proofErr w:type="spellEnd"/>
      <w:r w:rsidR="00E40B27">
        <w:rPr>
          <w:szCs w:val="20"/>
        </w:rPr>
        <w:t xml:space="preserve"> instrument. We believe that in this instance</w:t>
      </w:r>
      <w:r w:rsidR="006C056A">
        <w:rPr>
          <w:szCs w:val="20"/>
        </w:rPr>
        <w:t>,</w:t>
      </w:r>
      <w:r w:rsidR="00E40B27">
        <w:rPr>
          <w:szCs w:val="20"/>
        </w:rPr>
        <w:t xml:space="preserve"> the inclusion is necessary as the </w:t>
      </w:r>
      <w:r w:rsidR="00526AD8">
        <w:rPr>
          <w:szCs w:val="20"/>
        </w:rPr>
        <w:t>a</w:t>
      </w:r>
      <w:r w:rsidR="00E40B27">
        <w:rPr>
          <w:szCs w:val="20"/>
        </w:rPr>
        <w:t xml:space="preserve">ccuracy provision is nuanced </w:t>
      </w:r>
      <w:r w:rsidR="00811E0D">
        <w:rPr>
          <w:szCs w:val="20"/>
        </w:rPr>
        <w:t xml:space="preserve">for </w:t>
      </w:r>
      <w:r w:rsidR="00E40B27">
        <w:rPr>
          <w:szCs w:val="20"/>
        </w:rPr>
        <w:t>this band</w:t>
      </w:r>
      <w:r>
        <w:rPr>
          <w:szCs w:val="20"/>
        </w:rPr>
        <w:t xml:space="preserve"> as it applies directly </w:t>
      </w:r>
      <w:r w:rsidR="003147B9">
        <w:rPr>
          <w:szCs w:val="20"/>
        </w:rPr>
        <w:t>in</w:t>
      </w:r>
      <w:r>
        <w:rPr>
          <w:szCs w:val="20"/>
        </w:rPr>
        <w:t xml:space="preserve"> </w:t>
      </w:r>
      <w:r w:rsidR="00FB271E">
        <w:rPr>
          <w:szCs w:val="20"/>
        </w:rPr>
        <w:t>Schedule</w:t>
      </w:r>
      <w:r>
        <w:rPr>
          <w:szCs w:val="20"/>
        </w:rPr>
        <w:t xml:space="preserve"> 1 </w:t>
      </w:r>
      <w:r w:rsidR="009D1429">
        <w:rPr>
          <w:szCs w:val="20"/>
        </w:rPr>
        <w:t>to</w:t>
      </w:r>
      <w:r>
        <w:rPr>
          <w:szCs w:val="20"/>
        </w:rPr>
        <w:t xml:space="preserve"> the </w:t>
      </w:r>
      <w:proofErr w:type="spellStart"/>
      <w:r>
        <w:rPr>
          <w:szCs w:val="20"/>
        </w:rPr>
        <w:t>ULoI</w:t>
      </w:r>
      <w:proofErr w:type="spellEnd"/>
      <w:r w:rsidR="00FB271E">
        <w:rPr>
          <w:szCs w:val="20"/>
        </w:rPr>
        <w:t xml:space="preserve">, while in the ITF Determination </w:t>
      </w:r>
      <w:r w:rsidR="006C056A">
        <w:rPr>
          <w:szCs w:val="20"/>
        </w:rPr>
        <w:t xml:space="preserve">it </w:t>
      </w:r>
      <w:r w:rsidR="00FB271E">
        <w:rPr>
          <w:szCs w:val="20"/>
        </w:rPr>
        <w:t xml:space="preserve">applies </w:t>
      </w:r>
      <w:r w:rsidR="003147B9">
        <w:rPr>
          <w:szCs w:val="20"/>
        </w:rPr>
        <w:t>in</w:t>
      </w:r>
      <w:r w:rsidR="00FB271E">
        <w:rPr>
          <w:szCs w:val="20"/>
        </w:rPr>
        <w:t xml:space="preserve"> </w:t>
      </w:r>
      <w:r w:rsidR="006C056A">
        <w:rPr>
          <w:szCs w:val="20"/>
        </w:rPr>
        <w:t>s</w:t>
      </w:r>
      <w:r w:rsidR="00FB271E">
        <w:rPr>
          <w:szCs w:val="20"/>
        </w:rPr>
        <w:t xml:space="preserve">chedules 2 and 3 </w:t>
      </w:r>
      <w:r w:rsidR="003147B9">
        <w:rPr>
          <w:szCs w:val="20"/>
        </w:rPr>
        <w:t>to</w:t>
      </w:r>
      <w:r w:rsidR="00FB271E">
        <w:rPr>
          <w:szCs w:val="20"/>
        </w:rPr>
        <w:t xml:space="preserve"> that instrument</w:t>
      </w:r>
      <w:r w:rsidR="00E40B27">
        <w:rPr>
          <w:szCs w:val="20"/>
        </w:rPr>
        <w:t xml:space="preserve">. Trying to include </w:t>
      </w:r>
      <w:r w:rsidR="00FB271E">
        <w:rPr>
          <w:szCs w:val="20"/>
        </w:rPr>
        <w:t xml:space="preserve">this term </w:t>
      </w:r>
      <w:r w:rsidR="00E40B27">
        <w:rPr>
          <w:szCs w:val="20"/>
        </w:rPr>
        <w:t>via reference to the ITF Determination would be</w:t>
      </w:r>
      <w:r w:rsidR="00FB271E">
        <w:rPr>
          <w:szCs w:val="20"/>
        </w:rPr>
        <w:t xml:space="preserve"> </w:t>
      </w:r>
      <w:r w:rsidR="0099481A">
        <w:rPr>
          <w:szCs w:val="20"/>
        </w:rPr>
        <w:t>complex, however</w:t>
      </w:r>
      <w:r w:rsidR="00D74CE6">
        <w:rPr>
          <w:szCs w:val="20"/>
        </w:rPr>
        <w:t xml:space="preserve"> </w:t>
      </w:r>
      <w:r w:rsidR="00CF0FCE">
        <w:rPr>
          <w:szCs w:val="20"/>
        </w:rPr>
        <w:t xml:space="preserve">it </w:t>
      </w:r>
      <w:r w:rsidR="00D74CE6">
        <w:rPr>
          <w:szCs w:val="20"/>
        </w:rPr>
        <w:t>is something that may be considered in future reviews of spectrum licence technical framework</w:t>
      </w:r>
      <w:r w:rsidR="0099481A">
        <w:rPr>
          <w:szCs w:val="20"/>
        </w:rPr>
        <w:t>s</w:t>
      </w:r>
      <w:r w:rsidR="00D74CE6">
        <w:rPr>
          <w:szCs w:val="20"/>
        </w:rPr>
        <w:t xml:space="preserve">. </w:t>
      </w:r>
      <w:r w:rsidR="00E40B27">
        <w:rPr>
          <w:szCs w:val="20"/>
        </w:rPr>
        <w:t xml:space="preserve"> </w:t>
      </w:r>
    </w:p>
    <w:p w14:paraId="48E12CF7" w14:textId="52B605D6" w:rsidR="00FB271E" w:rsidRDefault="00FB271E" w:rsidP="00071A6A">
      <w:pPr>
        <w:rPr>
          <w:szCs w:val="20"/>
        </w:rPr>
      </w:pPr>
      <w:r>
        <w:rPr>
          <w:szCs w:val="20"/>
        </w:rPr>
        <w:t>W</w:t>
      </w:r>
      <w:r w:rsidR="006C056A">
        <w:rPr>
          <w:szCs w:val="20"/>
        </w:rPr>
        <w:t>h</w:t>
      </w:r>
      <w:r>
        <w:rPr>
          <w:szCs w:val="20"/>
        </w:rPr>
        <w:t xml:space="preserve">ere it makes sense to do so, we support aligning </w:t>
      </w:r>
      <w:r w:rsidR="00817427">
        <w:rPr>
          <w:szCs w:val="20"/>
        </w:rPr>
        <w:t>expressions</w:t>
      </w:r>
      <w:r>
        <w:rPr>
          <w:szCs w:val="20"/>
        </w:rPr>
        <w:t xml:space="preserve"> used in the technical framework instruments with those in international standards. </w:t>
      </w:r>
      <w:r w:rsidR="00BD3716">
        <w:rPr>
          <w:szCs w:val="20"/>
        </w:rPr>
        <w:t>However, we think the changes proposed</w:t>
      </w:r>
      <w:r>
        <w:rPr>
          <w:szCs w:val="20"/>
        </w:rPr>
        <w:t xml:space="preserve"> require more detailed examination and consultation with affected </w:t>
      </w:r>
      <w:r>
        <w:rPr>
          <w:szCs w:val="20"/>
        </w:rPr>
        <w:lastRenderedPageBreak/>
        <w:t>stakeholders</w:t>
      </w:r>
      <w:r w:rsidR="00BD3716">
        <w:rPr>
          <w:szCs w:val="20"/>
        </w:rPr>
        <w:t xml:space="preserve"> before implementation</w:t>
      </w:r>
      <w:r>
        <w:rPr>
          <w:szCs w:val="20"/>
        </w:rPr>
        <w:t xml:space="preserve">. We may consider it </w:t>
      </w:r>
      <w:r w:rsidR="0099481A">
        <w:rPr>
          <w:szCs w:val="20"/>
        </w:rPr>
        <w:t>as part of a</w:t>
      </w:r>
      <w:r>
        <w:rPr>
          <w:szCs w:val="20"/>
        </w:rPr>
        <w:t xml:space="preserve"> future review of spectrum licence technical framework</w:t>
      </w:r>
      <w:r w:rsidR="0099481A">
        <w:rPr>
          <w:szCs w:val="20"/>
        </w:rPr>
        <w:t>s</w:t>
      </w:r>
      <w:r>
        <w:rPr>
          <w:szCs w:val="20"/>
        </w:rPr>
        <w:t xml:space="preserve">.  </w:t>
      </w:r>
    </w:p>
    <w:p w14:paraId="7E85D69B" w14:textId="443A3D02" w:rsidR="00392F40" w:rsidRDefault="00343A15" w:rsidP="00CD129A">
      <w:pPr>
        <w:rPr>
          <w:szCs w:val="20"/>
        </w:rPr>
      </w:pPr>
      <w:r>
        <w:rPr>
          <w:szCs w:val="20"/>
        </w:rPr>
        <w:t xml:space="preserve">We </w:t>
      </w:r>
      <w:r w:rsidR="00E40B27">
        <w:rPr>
          <w:szCs w:val="20"/>
        </w:rPr>
        <w:t>agree</w:t>
      </w:r>
      <w:r>
        <w:rPr>
          <w:szCs w:val="20"/>
        </w:rPr>
        <w:t xml:space="preserve"> that the grandfathering clause in section 9 could </w:t>
      </w:r>
      <w:r w:rsidR="00D60DDD">
        <w:rPr>
          <w:szCs w:val="20"/>
        </w:rPr>
        <w:t xml:space="preserve">be made clearer with regards to when it applies. </w:t>
      </w:r>
      <w:r w:rsidR="0046068A">
        <w:rPr>
          <w:szCs w:val="20"/>
        </w:rPr>
        <w:t xml:space="preserve">The intent of the grandfathering clause is to allow an </w:t>
      </w:r>
      <w:r w:rsidR="00CD129A">
        <w:rPr>
          <w:szCs w:val="20"/>
        </w:rPr>
        <w:t>existing transmitter to continue operati</w:t>
      </w:r>
      <w:r w:rsidR="00D60DDD">
        <w:rPr>
          <w:szCs w:val="20"/>
        </w:rPr>
        <w:t xml:space="preserve">ng when it doesn’t meet </w:t>
      </w:r>
      <w:r w:rsidR="00CD129A">
        <w:rPr>
          <w:szCs w:val="20"/>
        </w:rPr>
        <w:t xml:space="preserve">the requirement </w:t>
      </w:r>
      <w:r w:rsidR="00D60DDD">
        <w:rPr>
          <w:szCs w:val="20"/>
        </w:rPr>
        <w:t xml:space="preserve">of a </w:t>
      </w:r>
      <w:r w:rsidR="00CD129A">
        <w:rPr>
          <w:szCs w:val="20"/>
        </w:rPr>
        <w:t>new</w:t>
      </w:r>
      <w:r w:rsidR="00D60DDD">
        <w:rPr>
          <w:szCs w:val="20"/>
        </w:rPr>
        <w:t>/updated</w:t>
      </w:r>
      <w:r w:rsidR="00CD129A">
        <w:rPr>
          <w:szCs w:val="20"/>
        </w:rPr>
        <w:t xml:space="preserve"> </w:t>
      </w:r>
      <w:proofErr w:type="spellStart"/>
      <w:r w:rsidR="00CD129A">
        <w:rPr>
          <w:szCs w:val="20"/>
        </w:rPr>
        <w:t>ULoI</w:t>
      </w:r>
      <w:proofErr w:type="spellEnd"/>
      <w:r w:rsidR="00CD129A">
        <w:rPr>
          <w:szCs w:val="20"/>
        </w:rPr>
        <w:t xml:space="preserve">. This includes allowing for </w:t>
      </w:r>
      <w:r w:rsidR="00D60DDD">
        <w:rPr>
          <w:szCs w:val="20"/>
        </w:rPr>
        <w:t xml:space="preserve">minor </w:t>
      </w:r>
      <w:r w:rsidR="00CD129A">
        <w:rPr>
          <w:szCs w:val="20"/>
        </w:rPr>
        <w:t xml:space="preserve">modification </w:t>
      </w:r>
      <w:r w:rsidR="00D60DDD">
        <w:rPr>
          <w:szCs w:val="20"/>
        </w:rPr>
        <w:t xml:space="preserve">to </w:t>
      </w:r>
      <w:r w:rsidR="00CD129A">
        <w:rPr>
          <w:szCs w:val="20"/>
        </w:rPr>
        <w:t>an existing transmitter</w:t>
      </w:r>
      <w:r w:rsidR="00D60DDD">
        <w:rPr>
          <w:szCs w:val="20"/>
        </w:rPr>
        <w:t>. We</w:t>
      </w:r>
      <w:r w:rsidR="0046068A">
        <w:rPr>
          <w:szCs w:val="20"/>
        </w:rPr>
        <w:t xml:space="preserve"> ha</w:t>
      </w:r>
      <w:r w:rsidR="00D60DDD">
        <w:rPr>
          <w:szCs w:val="20"/>
        </w:rPr>
        <w:t>ve</w:t>
      </w:r>
      <w:r w:rsidR="0046068A">
        <w:rPr>
          <w:szCs w:val="20"/>
        </w:rPr>
        <w:t xml:space="preserve"> </w:t>
      </w:r>
      <w:r w:rsidR="00D60DDD">
        <w:rPr>
          <w:szCs w:val="20"/>
        </w:rPr>
        <w:t>cons</w:t>
      </w:r>
      <w:r w:rsidR="00817427">
        <w:rPr>
          <w:szCs w:val="20"/>
        </w:rPr>
        <w:t>equently</w:t>
      </w:r>
      <w:r w:rsidR="00D60DDD">
        <w:rPr>
          <w:szCs w:val="20"/>
        </w:rPr>
        <w:t xml:space="preserve"> </w:t>
      </w:r>
      <w:r w:rsidR="0046068A">
        <w:rPr>
          <w:szCs w:val="20"/>
        </w:rPr>
        <w:t xml:space="preserve">reviewed </w:t>
      </w:r>
      <w:r w:rsidR="00D60DDD">
        <w:rPr>
          <w:szCs w:val="20"/>
        </w:rPr>
        <w:t>section</w:t>
      </w:r>
      <w:r w:rsidR="0046068A">
        <w:rPr>
          <w:szCs w:val="20"/>
        </w:rPr>
        <w:t xml:space="preserve"> </w:t>
      </w:r>
      <w:r w:rsidR="00D60DDD">
        <w:rPr>
          <w:szCs w:val="20"/>
        </w:rPr>
        <w:t xml:space="preserve">9 </w:t>
      </w:r>
      <w:r w:rsidR="0046068A">
        <w:rPr>
          <w:szCs w:val="20"/>
        </w:rPr>
        <w:t xml:space="preserve">and amended </w:t>
      </w:r>
      <w:r w:rsidR="004445A0">
        <w:rPr>
          <w:szCs w:val="20"/>
        </w:rPr>
        <w:t>sub</w:t>
      </w:r>
      <w:r w:rsidR="00D60DDD">
        <w:rPr>
          <w:szCs w:val="20"/>
        </w:rPr>
        <w:t xml:space="preserve">section </w:t>
      </w:r>
      <w:r w:rsidR="0046068A">
        <w:rPr>
          <w:szCs w:val="20"/>
        </w:rPr>
        <w:t xml:space="preserve">9(1) to </w:t>
      </w:r>
      <w:r w:rsidR="00D60DDD">
        <w:rPr>
          <w:szCs w:val="20"/>
        </w:rPr>
        <w:t>provide further clarity on this issue</w:t>
      </w:r>
      <w:r w:rsidR="0046068A">
        <w:rPr>
          <w:szCs w:val="20"/>
        </w:rPr>
        <w:t xml:space="preserve">. </w:t>
      </w:r>
      <w:r w:rsidR="00E40B27">
        <w:rPr>
          <w:szCs w:val="20"/>
        </w:rPr>
        <w:t xml:space="preserve"> </w:t>
      </w:r>
    </w:p>
    <w:p w14:paraId="1BD217FD" w14:textId="2972F17F" w:rsidR="003769B1" w:rsidRPr="00071A6A" w:rsidRDefault="00D60DDD" w:rsidP="00071A6A">
      <w:pPr>
        <w:rPr>
          <w:szCs w:val="20"/>
        </w:rPr>
      </w:pPr>
      <w:r>
        <w:rPr>
          <w:szCs w:val="20"/>
        </w:rPr>
        <w:t>We a</w:t>
      </w:r>
      <w:r w:rsidR="00817427">
        <w:rPr>
          <w:szCs w:val="20"/>
        </w:rPr>
        <w:t>gree</w:t>
      </w:r>
      <w:r w:rsidR="003769B1">
        <w:rPr>
          <w:szCs w:val="20"/>
        </w:rPr>
        <w:t xml:space="preserve"> that retaining </w:t>
      </w:r>
      <w:r>
        <w:rPr>
          <w:szCs w:val="20"/>
        </w:rPr>
        <w:t xml:space="preserve">Part 1 </w:t>
      </w:r>
      <w:r w:rsidR="00D7122B">
        <w:rPr>
          <w:szCs w:val="20"/>
        </w:rPr>
        <w:t>in</w:t>
      </w:r>
      <w:r>
        <w:rPr>
          <w:szCs w:val="20"/>
        </w:rPr>
        <w:t xml:space="preserve"> </w:t>
      </w:r>
      <w:r w:rsidR="003769B1">
        <w:rPr>
          <w:szCs w:val="20"/>
        </w:rPr>
        <w:t xml:space="preserve">Schedule 3 </w:t>
      </w:r>
      <w:r w:rsidR="00D7122B">
        <w:rPr>
          <w:szCs w:val="20"/>
        </w:rPr>
        <w:t>to</w:t>
      </w:r>
      <w:r>
        <w:rPr>
          <w:szCs w:val="20"/>
        </w:rPr>
        <w:t xml:space="preserve"> the 2013 </w:t>
      </w:r>
      <w:proofErr w:type="spellStart"/>
      <w:r>
        <w:rPr>
          <w:szCs w:val="20"/>
        </w:rPr>
        <w:t>ULoI</w:t>
      </w:r>
      <w:proofErr w:type="spellEnd"/>
      <w:r>
        <w:rPr>
          <w:szCs w:val="20"/>
        </w:rPr>
        <w:t xml:space="preserve"> will help to </w:t>
      </w:r>
      <w:r w:rsidR="003769B1">
        <w:rPr>
          <w:szCs w:val="20"/>
        </w:rPr>
        <w:t>improv</w:t>
      </w:r>
      <w:r>
        <w:rPr>
          <w:szCs w:val="20"/>
        </w:rPr>
        <w:t>e</w:t>
      </w:r>
      <w:r w:rsidR="003769B1">
        <w:rPr>
          <w:szCs w:val="20"/>
        </w:rPr>
        <w:t xml:space="preserve"> the clarity </w:t>
      </w:r>
      <w:r>
        <w:rPr>
          <w:szCs w:val="20"/>
        </w:rPr>
        <w:t>on how to determine antenna height</w:t>
      </w:r>
      <w:r w:rsidR="003769B1">
        <w:rPr>
          <w:szCs w:val="20"/>
        </w:rPr>
        <w:t>.</w:t>
      </w:r>
      <w:r>
        <w:rPr>
          <w:szCs w:val="20"/>
        </w:rPr>
        <w:t xml:space="preserve"> </w:t>
      </w:r>
    </w:p>
    <w:p w14:paraId="376C2642" w14:textId="77777777" w:rsidR="00E0400E" w:rsidRPr="00E0400E" w:rsidRDefault="00E0400E" w:rsidP="00E0400E">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outlineLvl w:val="2"/>
        <w:rPr>
          <w:rFonts w:cs="Arial"/>
          <w:b/>
          <w:bCs/>
          <w:szCs w:val="26"/>
        </w:rPr>
      </w:pPr>
      <w:bookmarkStart w:id="16" w:name="_Toc89760807"/>
      <w:r w:rsidRPr="00E0400E">
        <w:rPr>
          <w:rFonts w:cs="Arial"/>
          <w:b/>
          <w:bCs/>
          <w:szCs w:val="26"/>
        </w:rPr>
        <w:t>Question 4</w:t>
      </w:r>
      <w:bookmarkEnd w:id="16"/>
    </w:p>
    <w:p w14:paraId="4B63D7CD" w14:textId="77777777" w:rsidR="00A03BF7" w:rsidRPr="00E162C4" w:rsidRDefault="00A03BF7" w:rsidP="00A03BF7">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17" w:name="_Hlk142390771"/>
      <w:r>
        <w:t>The ACMA seeks comment on the proposed new structure for technical framework instruments.</w:t>
      </w:r>
    </w:p>
    <w:bookmarkEnd w:id="17"/>
    <w:p w14:paraId="48D1B963" w14:textId="1CDCB176" w:rsidR="00071A6A" w:rsidRDefault="00555E4E" w:rsidP="00E0400E">
      <w:pPr>
        <w:rPr>
          <w:szCs w:val="20"/>
        </w:rPr>
      </w:pPr>
      <w:r>
        <w:t xml:space="preserve">Submissions were supportive of the proposed structure for the technical framework instruments. </w:t>
      </w:r>
      <w:bookmarkStart w:id="18" w:name="_Hlk158383288"/>
      <w:r w:rsidR="00BC3813">
        <w:t xml:space="preserve">No </w:t>
      </w:r>
      <w:r>
        <w:t>substanti</w:t>
      </w:r>
      <w:r w:rsidR="00B47331">
        <w:t>al</w:t>
      </w:r>
      <w:r>
        <w:t xml:space="preserve"> </w:t>
      </w:r>
      <w:r w:rsidR="00BC3813">
        <w:t xml:space="preserve">issues were raised. </w:t>
      </w:r>
      <w:bookmarkEnd w:id="18"/>
    </w:p>
    <w:p w14:paraId="1B5FDAE9" w14:textId="77777777" w:rsidR="008337D7" w:rsidRPr="006C056A" w:rsidRDefault="008337D7" w:rsidP="00BD3716">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outlineLvl w:val="2"/>
      </w:pPr>
      <w:bookmarkStart w:id="19" w:name="_Toc128486794"/>
      <w:bookmarkStart w:id="20" w:name="_Toc156999643"/>
      <w:r w:rsidRPr="006C056A">
        <w:rPr>
          <w:rFonts w:cs="Arial"/>
          <w:b/>
          <w:bCs/>
          <w:szCs w:val="26"/>
        </w:rPr>
        <w:t>Question 5</w:t>
      </w:r>
      <w:bookmarkEnd w:id="19"/>
      <w:bookmarkEnd w:id="20"/>
    </w:p>
    <w:p w14:paraId="39820AB3" w14:textId="1A45B21F" w:rsidR="00A03BF7" w:rsidRPr="00E162C4" w:rsidRDefault="00A03BF7" w:rsidP="00A03BF7">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The ACMA seeks comment on the proposed new </w:t>
      </w:r>
      <w:r w:rsidR="00237A61">
        <w:t>draft</w:t>
      </w:r>
      <w:r>
        <w:t xml:space="preserve"> </w:t>
      </w:r>
      <w:r w:rsidRPr="000F4522">
        <w:t xml:space="preserve">Radiocommunications (Interpretation – Technical Framework) Determination </w:t>
      </w:r>
      <w:r>
        <w:t>2023</w:t>
      </w:r>
    </w:p>
    <w:p w14:paraId="239DB11E" w14:textId="1752772B" w:rsidR="00D74CE6" w:rsidRDefault="00B47331" w:rsidP="008E4D39">
      <w:r>
        <w:t>Two</w:t>
      </w:r>
      <w:r w:rsidR="00986B62">
        <w:t xml:space="preserve"> submissions raised a concern with </w:t>
      </w:r>
      <w:r w:rsidR="00C16B7B">
        <w:t xml:space="preserve">section 6 </w:t>
      </w:r>
      <w:r>
        <w:t xml:space="preserve">which describes </w:t>
      </w:r>
      <w:r w:rsidR="00C16B7B">
        <w:t>the level of a</w:t>
      </w:r>
      <w:r w:rsidR="00986B62">
        <w:t>ccuracy</w:t>
      </w:r>
      <w:r w:rsidR="00C16B7B">
        <w:t xml:space="preserve"> </w:t>
      </w:r>
      <w:r>
        <w:t xml:space="preserve">of specified </w:t>
      </w:r>
      <w:r w:rsidR="00C16B7B">
        <w:t>parameters</w:t>
      </w:r>
      <w:r w:rsidR="00986B62">
        <w:t>, in particular the 95% confidence</w:t>
      </w:r>
      <w:r>
        <w:t xml:space="preserve"> provision</w:t>
      </w:r>
      <w:r w:rsidR="00986B62">
        <w:t xml:space="preserve">. The </w:t>
      </w:r>
      <w:r>
        <w:t xml:space="preserve">submitters </w:t>
      </w:r>
      <w:r w:rsidR="00986B62" w:rsidRPr="00986B62">
        <w:t>recommend</w:t>
      </w:r>
      <w:r w:rsidR="00986B62">
        <w:t>ed</w:t>
      </w:r>
      <w:r w:rsidR="00986B62" w:rsidRPr="00986B62">
        <w:t xml:space="preserve"> that </w:t>
      </w:r>
      <w:r w:rsidR="001B509F">
        <w:t xml:space="preserve">the </w:t>
      </w:r>
      <w:r w:rsidR="00986B62" w:rsidRPr="00986B62">
        <w:t xml:space="preserve">ACMA align with 3GPP standards </w:t>
      </w:r>
      <w:r w:rsidR="00C16B7B">
        <w:t>on</w:t>
      </w:r>
      <w:r w:rsidR="00986B62" w:rsidRPr="00986B62">
        <w:t xml:space="preserve"> the definition and application </w:t>
      </w:r>
      <w:r>
        <w:t>of the</w:t>
      </w:r>
      <w:r w:rsidRPr="00986B62">
        <w:t xml:space="preserve"> </w:t>
      </w:r>
      <w:r w:rsidR="00986B62" w:rsidRPr="00986B62">
        <w:t>95% confidence</w:t>
      </w:r>
      <w:r>
        <w:t xml:space="preserve"> provision</w:t>
      </w:r>
      <w:r w:rsidR="00986B62" w:rsidRPr="00986B62">
        <w:t>.</w:t>
      </w:r>
      <w:r w:rsidR="00986B62">
        <w:t xml:space="preserve"> </w:t>
      </w:r>
      <w:r w:rsidR="00CD0214">
        <w:t>The</w:t>
      </w:r>
      <w:r w:rsidR="00C16B7B">
        <w:t>ir</w:t>
      </w:r>
      <w:r w:rsidR="00CD0214">
        <w:t xml:space="preserve"> recommendation was </w:t>
      </w:r>
      <w:r>
        <w:t xml:space="preserve">that </w:t>
      </w:r>
      <w:r w:rsidR="00C16B7B">
        <w:t>section 6</w:t>
      </w:r>
      <w:r w:rsidR="00CD0214" w:rsidRPr="00CD0214">
        <w:t xml:space="preserve"> be updated to align with 3GPP compliance requirements</w:t>
      </w:r>
      <w:r w:rsidR="00CD0214">
        <w:t xml:space="preserve"> and </w:t>
      </w:r>
      <w:r w:rsidR="00CD0214" w:rsidRPr="00CD0214">
        <w:t>methodologies</w:t>
      </w:r>
      <w:r w:rsidR="00CD0214">
        <w:t>.</w:t>
      </w:r>
      <w:r w:rsidR="00D74CE6">
        <w:t xml:space="preserve"> </w:t>
      </w:r>
      <w:r>
        <w:t>One</w:t>
      </w:r>
      <w:r w:rsidR="00D74CE6">
        <w:t xml:space="preserve"> of these submissions further proposed that </w:t>
      </w:r>
      <w:r w:rsidR="00D74CE6">
        <w:rPr>
          <w:szCs w:val="20"/>
        </w:rPr>
        <w:t>various other</w:t>
      </w:r>
      <w:r w:rsidR="00C16B7B">
        <w:rPr>
          <w:szCs w:val="20"/>
        </w:rPr>
        <w:t xml:space="preserve"> expression</w:t>
      </w:r>
      <w:r w:rsidR="00D74CE6">
        <w:rPr>
          <w:szCs w:val="20"/>
        </w:rPr>
        <w:t xml:space="preserve"> should be </w:t>
      </w:r>
      <w:r w:rsidR="00C16B7B">
        <w:rPr>
          <w:szCs w:val="20"/>
        </w:rPr>
        <w:t xml:space="preserve">modified to </w:t>
      </w:r>
      <w:r w:rsidR="00D74CE6">
        <w:rPr>
          <w:szCs w:val="20"/>
        </w:rPr>
        <w:t xml:space="preserve">better align </w:t>
      </w:r>
      <w:r w:rsidR="00D74CE6" w:rsidRPr="00767A49">
        <w:rPr>
          <w:szCs w:val="20"/>
        </w:rPr>
        <w:t xml:space="preserve">with </w:t>
      </w:r>
      <w:r w:rsidR="00D74CE6" w:rsidRPr="00E33FAF">
        <w:rPr>
          <w:szCs w:val="20"/>
        </w:rPr>
        <w:t xml:space="preserve">3GPP 37.141 </w:t>
      </w:r>
      <w:r w:rsidR="00D74CE6" w:rsidRPr="00E33FAF">
        <w:rPr>
          <w:i/>
          <w:iCs/>
          <w:szCs w:val="20"/>
        </w:rPr>
        <w:t>NR, E-UTRA, UTRA and GSM/EDGE; Multi-Standard Radio (MSR) Base Station (BS) conformance testing</w:t>
      </w:r>
      <w:r w:rsidR="00D74CE6" w:rsidRPr="00767A49">
        <w:rPr>
          <w:szCs w:val="20"/>
        </w:rPr>
        <w:t>.</w:t>
      </w:r>
    </w:p>
    <w:p w14:paraId="2815D7B9" w14:textId="182AC984" w:rsidR="003D2C02" w:rsidRDefault="00B47331" w:rsidP="003D2C02">
      <w:r>
        <w:t>One</w:t>
      </w:r>
      <w:r w:rsidR="003D2C02">
        <w:t xml:space="preserve"> submission identified that </w:t>
      </w:r>
      <w:r w:rsidR="003D2C02" w:rsidRPr="003D2C02">
        <w:t>the definition of the location of a radiocommunications receiver and group of receivers</w:t>
      </w:r>
      <w:r w:rsidR="003D2C02">
        <w:t xml:space="preserve"> ha</w:t>
      </w:r>
      <w:r>
        <w:t>d</w:t>
      </w:r>
      <w:r w:rsidR="003D2C02">
        <w:t xml:space="preserve"> not been included in the ITF Determination and is also not included in the </w:t>
      </w:r>
      <w:proofErr w:type="spellStart"/>
      <w:r w:rsidR="003D2C02" w:rsidRPr="003D2C02">
        <w:t>ULoI</w:t>
      </w:r>
      <w:proofErr w:type="spellEnd"/>
      <w:r w:rsidR="003D2C02">
        <w:t>.</w:t>
      </w:r>
    </w:p>
    <w:p w14:paraId="3702673D" w14:textId="77777777" w:rsidR="00071A6A" w:rsidRPr="00E0400E" w:rsidRDefault="00071A6A" w:rsidP="00071A6A">
      <w:pPr>
        <w:pStyle w:val="Heading4"/>
      </w:pPr>
      <w:r w:rsidRPr="00E0400E">
        <w:t>ACMA response</w:t>
      </w:r>
    </w:p>
    <w:p w14:paraId="3AE0367E" w14:textId="4D5B303C" w:rsidR="00D74CE6" w:rsidRDefault="00D74CE6" w:rsidP="00D74CE6">
      <w:pPr>
        <w:rPr>
          <w:szCs w:val="20"/>
        </w:rPr>
      </w:pPr>
      <w:r>
        <w:rPr>
          <w:szCs w:val="20"/>
        </w:rPr>
        <w:t xml:space="preserve">We have considered </w:t>
      </w:r>
      <w:r w:rsidR="00CD0214">
        <w:rPr>
          <w:szCs w:val="20"/>
        </w:rPr>
        <w:t xml:space="preserve">comments </w:t>
      </w:r>
      <w:r>
        <w:rPr>
          <w:szCs w:val="20"/>
        </w:rPr>
        <w:t xml:space="preserve">made </w:t>
      </w:r>
      <w:r w:rsidR="00CD0214">
        <w:rPr>
          <w:szCs w:val="20"/>
        </w:rPr>
        <w:t xml:space="preserve">regarding </w:t>
      </w:r>
      <w:r w:rsidR="00C16B7B">
        <w:rPr>
          <w:szCs w:val="20"/>
        </w:rPr>
        <w:t>section 6</w:t>
      </w:r>
      <w:r w:rsidR="00CD0214">
        <w:t xml:space="preserve">. </w:t>
      </w:r>
      <w:r w:rsidR="006B00DA">
        <w:t>We support adopting</w:t>
      </w:r>
      <w:r w:rsidR="00C16B7B">
        <w:t xml:space="preserve"> </w:t>
      </w:r>
      <w:r w:rsidR="006B00DA">
        <w:t xml:space="preserve">globally recognised </w:t>
      </w:r>
      <w:r w:rsidR="006B00DA" w:rsidRPr="00CD0214">
        <w:t>compliance requirements</w:t>
      </w:r>
      <w:r w:rsidR="006B00DA">
        <w:t xml:space="preserve"> and </w:t>
      </w:r>
      <w:r w:rsidR="006B00DA" w:rsidRPr="00CD0214">
        <w:t>methodologies</w:t>
      </w:r>
      <w:r w:rsidR="006B00DA">
        <w:t xml:space="preserve"> where possible.</w:t>
      </w:r>
      <w:r>
        <w:t xml:space="preserve"> </w:t>
      </w:r>
      <w:r w:rsidR="00BD3716" w:rsidRPr="00BD3716">
        <w:t>However, as stated in our response to question</w:t>
      </w:r>
      <w:r w:rsidR="001D38A3">
        <w:t xml:space="preserve"> </w:t>
      </w:r>
      <w:r w:rsidR="007A5D7C">
        <w:t>3</w:t>
      </w:r>
      <w:r w:rsidR="00BD3716" w:rsidRPr="00BD3716">
        <w:t>, we think the changes proposed require more detailed examination and consultation with affected stakeholders before implementing. We may consider it as part of a future review of spectrum licence technical frameworks.</w:t>
      </w:r>
    </w:p>
    <w:p w14:paraId="51526D65" w14:textId="67C5F778" w:rsidR="00D74CE6" w:rsidRPr="00D74CE6" w:rsidRDefault="00D74CE6" w:rsidP="00D74CE6">
      <w:r>
        <w:rPr>
          <w:szCs w:val="20"/>
        </w:rPr>
        <w:t xml:space="preserve">At this stage we have not amended </w:t>
      </w:r>
      <w:r w:rsidR="00B47331">
        <w:rPr>
          <w:szCs w:val="20"/>
        </w:rPr>
        <w:t xml:space="preserve">the </w:t>
      </w:r>
      <w:r>
        <w:rPr>
          <w:szCs w:val="20"/>
        </w:rPr>
        <w:t xml:space="preserve">definitions </w:t>
      </w:r>
      <w:r w:rsidR="00B47331">
        <w:rPr>
          <w:szCs w:val="20"/>
        </w:rPr>
        <w:t xml:space="preserve">of </w:t>
      </w:r>
      <w:r>
        <w:rPr>
          <w:szCs w:val="20"/>
        </w:rPr>
        <w:t xml:space="preserve">other </w:t>
      </w:r>
      <w:r w:rsidR="00C16B7B">
        <w:rPr>
          <w:szCs w:val="20"/>
        </w:rPr>
        <w:t>expressions</w:t>
      </w:r>
      <w:r w:rsidR="00B47331">
        <w:rPr>
          <w:szCs w:val="20"/>
        </w:rPr>
        <w:t>,</w:t>
      </w:r>
      <w:r>
        <w:rPr>
          <w:szCs w:val="20"/>
        </w:rPr>
        <w:t xml:space="preserve"> as </w:t>
      </w:r>
      <w:r w:rsidR="00B47331">
        <w:rPr>
          <w:szCs w:val="20"/>
        </w:rPr>
        <w:t>that</w:t>
      </w:r>
      <w:r>
        <w:rPr>
          <w:szCs w:val="20"/>
        </w:rPr>
        <w:t xml:space="preserve"> would require more detailed examination and consultation with affected stakeholders. We may consider it </w:t>
      </w:r>
      <w:r w:rsidR="00B47331">
        <w:rPr>
          <w:szCs w:val="20"/>
        </w:rPr>
        <w:t xml:space="preserve">as part of a </w:t>
      </w:r>
      <w:r>
        <w:rPr>
          <w:szCs w:val="20"/>
        </w:rPr>
        <w:t xml:space="preserve">future review of </w:t>
      </w:r>
      <w:r w:rsidR="00D04B56">
        <w:rPr>
          <w:szCs w:val="20"/>
        </w:rPr>
        <w:t xml:space="preserve">the </w:t>
      </w:r>
      <w:r>
        <w:rPr>
          <w:szCs w:val="20"/>
        </w:rPr>
        <w:t>spectrum licence technical framework</w:t>
      </w:r>
      <w:r w:rsidR="00B47331">
        <w:rPr>
          <w:szCs w:val="20"/>
        </w:rPr>
        <w:t xml:space="preserve">, </w:t>
      </w:r>
      <w:r>
        <w:rPr>
          <w:szCs w:val="20"/>
        </w:rPr>
        <w:t xml:space="preserve">in consultation with spectrum licensees.  </w:t>
      </w:r>
    </w:p>
    <w:p w14:paraId="1FC5602E" w14:textId="4F1FA2F9" w:rsidR="00A55A82" w:rsidRDefault="003D2C02" w:rsidP="008E4D39">
      <w:r>
        <w:rPr>
          <w:szCs w:val="20"/>
        </w:rPr>
        <w:t xml:space="preserve">The ACMA agrees that </w:t>
      </w:r>
      <w:r w:rsidRPr="003D2C02">
        <w:t>definition</w:t>
      </w:r>
      <w:r>
        <w:t>s</w:t>
      </w:r>
      <w:r w:rsidRPr="003D2C02">
        <w:t xml:space="preserve"> </w:t>
      </w:r>
      <w:r>
        <w:t>for</w:t>
      </w:r>
      <w:r w:rsidRPr="003D2C02">
        <w:t xml:space="preserve"> the location of a radiocommunications receiver and group of receivers</w:t>
      </w:r>
      <w:r>
        <w:t xml:space="preserve"> are required</w:t>
      </w:r>
      <w:r w:rsidR="00B47331">
        <w:t>, which we have included</w:t>
      </w:r>
      <w:r>
        <w:t xml:space="preserve"> in sub</w:t>
      </w:r>
      <w:r w:rsidR="00321F20">
        <w:t xml:space="preserve">items </w:t>
      </w:r>
      <w:r>
        <w:t>5(3) and 5(4)</w:t>
      </w:r>
      <w:r w:rsidR="00321F20">
        <w:t xml:space="preserve"> of Schedule 1</w:t>
      </w:r>
      <w:r>
        <w:t>.</w:t>
      </w:r>
    </w:p>
    <w:p w14:paraId="39D63EB6" w14:textId="41DFA733" w:rsidR="00E0400E" w:rsidRPr="00E0400E" w:rsidRDefault="00E0400E" w:rsidP="00BC5475">
      <w:pPr>
        <w:pStyle w:val="Heading1"/>
      </w:pPr>
      <w:bookmarkStart w:id="21" w:name="_3_Outcomes_of"/>
      <w:bookmarkStart w:id="22" w:name="_Toc159920163"/>
      <w:bookmarkEnd w:id="7"/>
      <w:bookmarkEnd w:id="21"/>
      <w:r w:rsidRPr="00E0400E">
        <w:lastRenderedPageBreak/>
        <w:t>Outcomes of consultation</w:t>
      </w:r>
      <w:bookmarkStart w:id="23" w:name="_Toc59624862"/>
      <w:bookmarkEnd w:id="22"/>
    </w:p>
    <w:p w14:paraId="1443BCDE" w14:textId="25B9F89C" w:rsidR="009E4285" w:rsidRDefault="00D874C0" w:rsidP="005C22C8">
      <w:r>
        <w:rPr>
          <w:rFonts w:cs="Arial"/>
          <w:szCs w:val="20"/>
        </w:rPr>
        <w:t xml:space="preserve">After considering submissions to the consultation paper, </w:t>
      </w:r>
      <w:r w:rsidR="009026F0">
        <w:rPr>
          <w:rFonts w:cs="Arial"/>
          <w:szCs w:val="20"/>
        </w:rPr>
        <w:t xml:space="preserve">we have </w:t>
      </w:r>
      <w:r w:rsidR="00AD3095">
        <w:t>rema</w:t>
      </w:r>
      <w:r w:rsidR="00B737E8">
        <w:t>d</w:t>
      </w:r>
      <w:r w:rsidR="00AD3095">
        <w:t xml:space="preserve">e the identified legislative instruments </w:t>
      </w:r>
      <w:r w:rsidR="00AD3095" w:rsidRPr="00057029">
        <w:t>as proposed in the consultation paper, with the amendment</w:t>
      </w:r>
      <w:r w:rsidR="0025045F">
        <w:t>s</w:t>
      </w:r>
      <w:r w:rsidR="00907314">
        <w:t xml:space="preserve"> summarised in this section. We </w:t>
      </w:r>
      <w:r w:rsidR="005421AE">
        <w:t>have</w:t>
      </w:r>
      <w:r w:rsidR="00907314">
        <w:t xml:space="preserve"> also made numerous editorial </w:t>
      </w:r>
      <w:r w:rsidR="006C056A">
        <w:t xml:space="preserve">changes </w:t>
      </w:r>
      <w:r w:rsidR="00907314">
        <w:t xml:space="preserve">and corrections that were identified in submissions, </w:t>
      </w:r>
      <w:r w:rsidR="005421AE">
        <w:t xml:space="preserve">which </w:t>
      </w:r>
      <w:r w:rsidR="00907314">
        <w:t>are not individually detailed here.</w:t>
      </w:r>
      <w:r w:rsidR="000D2840">
        <w:t xml:space="preserve"> For example, the year the instruments apply has been updated from 2023 to 2024. </w:t>
      </w:r>
      <w:r w:rsidR="003C522F">
        <w:t xml:space="preserve">We have also changed the commencement date for all instruments to 31 March 2024. This is </w:t>
      </w:r>
      <w:r w:rsidR="003C522F" w:rsidRPr="003C522F">
        <w:t>to provide time for accredited persons and affected licensees to review and implement any changes required.</w:t>
      </w:r>
    </w:p>
    <w:p w14:paraId="7A7FE81D" w14:textId="18FECD4C" w:rsidR="00AE6013" w:rsidRDefault="00AE6013" w:rsidP="005C22C8">
      <w:pPr>
        <w:spacing w:after="80"/>
      </w:pPr>
      <w:r>
        <w:t>A summary of the main changes made to the instruments</w:t>
      </w:r>
      <w:r w:rsidR="00BE217E">
        <w:t xml:space="preserve"> </w:t>
      </w:r>
      <w:r>
        <w:t>follows:</w:t>
      </w:r>
    </w:p>
    <w:p w14:paraId="4B07F63E" w14:textId="605FF252" w:rsidR="00AD3095" w:rsidRPr="00BD3716" w:rsidRDefault="0025045F" w:rsidP="005C22C8">
      <w:pPr>
        <w:pStyle w:val="Paragraphbeforelist"/>
        <w:numPr>
          <w:ilvl w:val="0"/>
          <w:numId w:val="24"/>
        </w:numPr>
        <w:ind w:left="284" w:hanging="284"/>
      </w:pPr>
      <w:bookmarkStart w:id="24" w:name="_Hlk157502515"/>
      <w:r w:rsidRPr="00BD3716">
        <w:t>Radiocommunications Advisory Guidelines (Managing Interference from Spectrum Licensed Transmitters – 2.</w:t>
      </w:r>
      <w:r w:rsidR="009E4285" w:rsidRPr="00BD3716">
        <w:t xml:space="preserve">3 </w:t>
      </w:r>
      <w:r w:rsidRPr="00BD3716">
        <w:t>GHz Band) 202</w:t>
      </w:r>
      <w:r w:rsidR="000D2840" w:rsidRPr="00BD3716">
        <w:t>4</w:t>
      </w:r>
      <w:r w:rsidR="00AD3095" w:rsidRPr="006C056A">
        <w:t>:</w:t>
      </w:r>
      <w:r w:rsidR="00AD3095" w:rsidRPr="00BD3716">
        <w:t xml:space="preserve"> </w:t>
      </w:r>
    </w:p>
    <w:p w14:paraId="45E91D91" w14:textId="19C3C972" w:rsidR="0025045F" w:rsidRDefault="009E4285" w:rsidP="005C22C8">
      <w:pPr>
        <w:pStyle w:val="Bulletlevel2"/>
        <w:ind w:left="590" w:hanging="295"/>
      </w:pPr>
      <w:bookmarkStart w:id="25" w:name="_Hlk128491438"/>
      <w:r w:rsidRPr="00E84F83">
        <w:t>S</w:t>
      </w:r>
      <w:r w:rsidR="001E3648" w:rsidRPr="00E84F83">
        <w:t>ubs</w:t>
      </w:r>
      <w:r w:rsidRPr="00E84F83">
        <w:t xml:space="preserve">ection </w:t>
      </w:r>
      <w:r w:rsidR="003D2C02">
        <w:t>12</w:t>
      </w:r>
      <w:r>
        <w:t xml:space="preserve">(3) has been </w:t>
      </w:r>
      <w:r w:rsidR="003D2C02">
        <w:t xml:space="preserve">removed </w:t>
      </w:r>
      <w:r>
        <w:t xml:space="preserve">to </w:t>
      </w:r>
      <w:r w:rsidRPr="009E4285">
        <w:t>ensure spectrum licences can continue to operate in the same manner prior to the remaking of the instrument.</w:t>
      </w:r>
      <w:r w:rsidR="0025045F">
        <w:t xml:space="preserve"> </w:t>
      </w:r>
      <w:r w:rsidR="008C3282">
        <w:t xml:space="preserve"> </w:t>
      </w:r>
    </w:p>
    <w:bookmarkEnd w:id="25"/>
    <w:p w14:paraId="261132E4" w14:textId="3D9469DE" w:rsidR="009E4285" w:rsidRPr="00BD3716" w:rsidRDefault="009E4285" w:rsidP="005C22C8">
      <w:pPr>
        <w:pStyle w:val="Paragraphbeforelist"/>
        <w:numPr>
          <w:ilvl w:val="0"/>
          <w:numId w:val="24"/>
        </w:numPr>
        <w:ind w:left="284" w:hanging="284"/>
      </w:pPr>
      <w:r w:rsidRPr="00BD3716">
        <w:t>Radiocommunications Advisory Guidelines (Managing Interference to Spectrum Licensed Receivers – 2.3 GHz Band) 202</w:t>
      </w:r>
      <w:r w:rsidR="000D2840" w:rsidRPr="00BD3716">
        <w:t>4</w:t>
      </w:r>
      <w:r w:rsidRPr="006C056A">
        <w:t>:</w:t>
      </w:r>
      <w:r w:rsidRPr="00BD3716">
        <w:t xml:space="preserve"> </w:t>
      </w:r>
    </w:p>
    <w:p w14:paraId="7CDA285F" w14:textId="41E7E7B9" w:rsidR="009E4285" w:rsidRDefault="001E3648" w:rsidP="005C22C8">
      <w:pPr>
        <w:pStyle w:val="Bulletlevel2"/>
        <w:ind w:left="590" w:hanging="295"/>
      </w:pPr>
      <w:r w:rsidRPr="00E84F83">
        <w:t>The text in subs</w:t>
      </w:r>
      <w:r w:rsidR="009E4285" w:rsidRPr="00E84F83">
        <w:t xml:space="preserve">ection </w:t>
      </w:r>
      <w:r w:rsidR="009E4285" w:rsidRPr="009E4285">
        <w:t xml:space="preserve">8(4) </w:t>
      </w:r>
      <w:r w:rsidR="009E4285">
        <w:t xml:space="preserve">has been replaced with the </w:t>
      </w:r>
      <w:r>
        <w:t xml:space="preserve">original </w:t>
      </w:r>
      <w:r w:rsidR="009E4285">
        <w:t xml:space="preserve">text </w:t>
      </w:r>
      <w:r>
        <w:t xml:space="preserve">in the 2013 RAG Rx. This states that </w:t>
      </w:r>
      <w:r w:rsidRPr="005C22C8">
        <w:t>the interference management framework</w:t>
      </w:r>
      <w:r w:rsidR="005421AE" w:rsidRPr="005421AE">
        <w:t xml:space="preserve"> </w:t>
      </w:r>
      <w:r w:rsidR="005421AE" w:rsidRPr="003A31F8">
        <w:t>for</w:t>
      </w:r>
      <w:r w:rsidR="000E186F">
        <w:t xml:space="preserve"> radiocommunications</w:t>
      </w:r>
      <w:r w:rsidR="005421AE" w:rsidRPr="003A31F8">
        <w:t xml:space="preserve"> devices operated under a class licence</w:t>
      </w:r>
      <w:r w:rsidRPr="005C22C8">
        <w:t xml:space="preserve">, if </w:t>
      </w:r>
      <w:r w:rsidR="00F50391" w:rsidRPr="005C22C8">
        <w:t>required, is</w:t>
      </w:r>
      <w:r w:rsidRPr="005C22C8">
        <w:t> contained in the relevant class licence</w:t>
      </w:r>
      <w:r w:rsidR="009E4285" w:rsidRPr="009E4285">
        <w:t xml:space="preserve">. </w:t>
      </w:r>
    </w:p>
    <w:p w14:paraId="6FDC2D14" w14:textId="7FEF3C7D" w:rsidR="003D2C02" w:rsidRPr="003D2C02" w:rsidRDefault="003D2C02" w:rsidP="005C22C8">
      <w:pPr>
        <w:pStyle w:val="Bulletlevel2"/>
        <w:ind w:left="590" w:hanging="295"/>
      </w:pPr>
      <w:r w:rsidRPr="00E84F83">
        <w:t>Sub</w:t>
      </w:r>
      <w:r w:rsidR="00C62113">
        <w:t>item</w:t>
      </w:r>
      <w:r w:rsidRPr="00E84F83">
        <w:t xml:space="preserve"> 1(3) of Schedule 1 has been removed as the filter arrangements are not required for the 2.3 GHz band. </w:t>
      </w:r>
    </w:p>
    <w:p w14:paraId="6A855E81" w14:textId="6A832DF2" w:rsidR="003D2C02" w:rsidRPr="003D2C02" w:rsidRDefault="001E3648" w:rsidP="005C22C8">
      <w:pPr>
        <w:pStyle w:val="Bulletlevel2"/>
        <w:ind w:left="590" w:hanging="295"/>
      </w:pPr>
      <w:r w:rsidRPr="00E84F83">
        <w:t xml:space="preserve">The frequency range </w:t>
      </w:r>
      <w:r w:rsidR="005421AE">
        <w:t xml:space="preserve">that </w:t>
      </w:r>
      <w:r w:rsidRPr="00E84F83">
        <w:t>the receiver blocking requirement applies</w:t>
      </w:r>
      <w:r w:rsidR="003D2C02" w:rsidRPr="00E84F83">
        <w:t xml:space="preserve"> </w:t>
      </w:r>
      <w:r w:rsidRPr="00E84F83">
        <w:t xml:space="preserve">to in </w:t>
      </w:r>
      <w:r w:rsidR="003D2C02" w:rsidRPr="00E84F83">
        <w:t>sub</w:t>
      </w:r>
      <w:r w:rsidR="00C62113">
        <w:t>item</w:t>
      </w:r>
      <w:r w:rsidR="003D2C02" w:rsidRPr="00E84F83">
        <w:t xml:space="preserve"> 4</w:t>
      </w:r>
      <w:r w:rsidRPr="00E84F83">
        <w:t>(1)</w:t>
      </w:r>
      <w:r w:rsidR="003D2C02" w:rsidRPr="00E84F83">
        <w:t xml:space="preserve"> of Schedule 1 has been amended to</w:t>
      </w:r>
      <w:r w:rsidR="003D2C02" w:rsidRPr="003D2C02">
        <w:t xml:space="preserve"> </w:t>
      </w:r>
      <w:r w:rsidR="003D2C02" w:rsidRPr="00E84F83">
        <w:t>2280 MHz to 2420 MHz</w:t>
      </w:r>
      <w:r w:rsidRPr="00E84F83">
        <w:t xml:space="preserve">, </w:t>
      </w:r>
      <w:r w:rsidR="005421AE">
        <w:t>to</w:t>
      </w:r>
      <w:r w:rsidR="005421AE" w:rsidRPr="00E84F83">
        <w:t xml:space="preserve"> </w:t>
      </w:r>
      <w:r w:rsidR="003D2C02" w:rsidRPr="00E84F83">
        <w:t xml:space="preserve">align with 3GPP standards.  </w:t>
      </w:r>
    </w:p>
    <w:p w14:paraId="4353EBC1" w14:textId="60095BC3" w:rsidR="003D2C02" w:rsidRPr="00E84F83" w:rsidRDefault="003D2C02" w:rsidP="005C22C8">
      <w:pPr>
        <w:pStyle w:val="Bulletlevel2"/>
        <w:ind w:left="590" w:hanging="295"/>
      </w:pPr>
      <w:r w:rsidRPr="00E84F83">
        <w:t xml:space="preserve">In Schedule 2, the compatibility requirement has been amended to </w:t>
      </w:r>
      <w:r w:rsidR="001E3648" w:rsidRPr="00E84F83">
        <w:t xml:space="preserve">define </w:t>
      </w:r>
      <w:r w:rsidRPr="00E84F83">
        <w:t xml:space="preserve">a maximum unwanted signal level of -108 dBm/5 </w:t>
      </w:r>
      <w:proofErr w:type="spellStart"/>
      <w:r w:rsidRPr="00E84F83">
        <w:t>MHz.</w:t>
      </w:r>
      <w:proofErr w:type="spellEnd"/>
      <w:r w:rsidRPr="00E84F83">
        <w:t xml:space="preserve"> This aligns with the compatibility requirements implemented in the 700 MHz, 850/900 MHz, 2 GHz and 3.4 GHz frequency bands.  </w:t>
      </w:r>
    </w:p>
    <w:p w14:paraId="50B37876" w14:textId="659716A5" w:rsidR="003D2C02" w:rsidRPr="00BD3716" w:rsidRDefault="003D2C02" w:rsidP="005C22C8">
      <w:pPr>
        <w:pStyle w:val="Paragraphbeforelist"/>
        <w:numPr>
          <w:ilvl w:val="0"/>
          <w:numId w:val="24"/>
        </w:numPr>
        <w:ind w:left="284" w:hanging="284"/>
      </w:pPr>
      <w:r w:rsidRPr="00BD3716">
        <w:t>Radiocommunications (Unacceptable Levels of Interference – 2.3 GHz Band) Determination 202</w:t>
      </w:r>
      <w:r w:rsidR="000D2840" w:rsidRPr="00BD3716">
        <w:t>4</w:t>
      </w:r>
      <w:r w:rsidRPr="006C056A">
        <w:t>:</w:t>
      </w:r>
      <w:r w:rsidRPr="00BD3716">
        <w:t xml:space="preserve"> </w:t>
      </w:r>
    </w:p>
    <w:p w14:paraId="12556132" w14:textId="45867C5F" w:rsidR="00040E02" w:rsidRPr="00040E02" w:rsidRDefault="00040E02" w:rsidP="005C22C8">
      <w:pPr>
        <w:pStyle w:val="Bulletlevel2"/>
        <w:ind w:left="590" w:hanging="295"/>
      </w:pPr>
      <w:r>
        <w:t>A ‘</w:t>
      </w:r>
      <w:r w:rsidR="006C056A">
        <w:t xml:space="preserve">Purpose’ </w:t>
      </w:r>
      <w:r>
        <w:t xml:space="preserve">section has been included in the instrument. This has resulted in </w:t>
      </w:r>
      <w:r w:rsidR="005421AE">
        <w:t xml:space="preserve">a consequent change to </w:t>
      </w:r>
      <w:r>
        <w:t>the numbering of sections from the definitions onwards.</w:t>
      </w:r>
    </w:p>
    <w:p w14:paraId="01FFCBAA" w14:textId="03023307" w:rsidR="003D2C02" w:rsidRDefault="003D2C02" w:rsidP="005C22C8">
      <w:pPr>
        <w:pStyle w:val="Bulletlevel2"/>
        <w:ind w:left="590" w:hanging="295"/>
      </w:pPr>
      <w:r w:rsidRPr="00E84F83">
        <w:t>S</w:t>
      </w:r>
      <w:r w:rsidR="001E3648" w:rsidRPr="00E84F83">
        <w:t>ubs</w:t>
      </w:r>
      <w:r w:rsidRPr="00E84F83">
        <w:t xml:space="preserve">ection </w:t>
      </w:r>
      <w:r>
        <w:t>7</w:t>
      </w:r>
      <w:r w:rsidRPr="009E4285">
        <w:t>(</w:t>
      </w:r>
      <w:r>
        <w:t>2</w:t>
      </w:r>
      <w:r w:rsidRPr="009E4285">
        <w:t>)</w:t>
      </w:r>
      <w:r w:rsidR="00040E02">
        <w:t xml:space="preserve"> of the instrument consulted on,</w:t>
      </w:r>
      <w:r w:rsidRPr="009E4285">
        <w:t xml:space="preserve"> </w:t>
      </w:r>
      <w:r>
        <w:t>has been removed as it is redundant</w:t>
      </w:r>
      <w:r w:rsidRPr="009E4285">
        <w:t xml:space="preserve">. </w:t>
      </w:r>
    </w:p>
    <w:p w14:paraId="0BF1068D" w14:textId="5FE40789" w:rsidR="003D2C02" w:rsidRPr="003D2C02" w:rsidRDefault="003D2C02" w:rsidP="005C22C8">
      <w:pPr>
        <w:pStyle w:val="Bulletlevel2"/>
        <w:ind w:left="590" w:hanging="295"/>
      </w:pPr>
      <w:r w:rsidRPr="00E84F83">
        <w:t xml:space="preserve">Subsection </w:t>
      </w:r>
      <w:r w:rsidR="00040E02" w:rsidRPr="00E84F83">
        <w:t>10</w:t>
      </w:r>
      <w:r w:rsidRPr="00E84F83">
        <w:t xml:space="preserve">(1) </w:t>
      </w:r>
      <w:r w:rsidR="00040E02">
        <w:t xml:space="preserve">(previously section 9 of the instrument consulted on) </w:t>
      </w:r>
      <w:r w:rsidRPr="00E84F83">
        <w:t>has been amended to clarify the</w:t>
      </w:r>
      <w:r w:rsidR="001E3648" w:rsidRPr="00E84F83">
        <w:t xml:space="preserve"> circumstances </w:t>
      </w:r>
      <w:r w:rsidRPr="00E84F83">
        <w:t>the grandfathering provision</w:t>
      </w:r>
      <w:r w:rsidR="001E3648" w:rsidRPr="00E84F83">
        <w:t xml:space="preserve"> applies</w:t>
      </w:r>
      <w:r w:rsidR="00E72062">
        <w:t xml:space="preserve"> to</w:t>
      </w:r>
      <w:r w:rsidRPr="00E84F83">
        <w:t xml:space="preserve">. </w:t>
      </w:r>
    </w:p>
    <w:p w14:paraId="0B284E95" w14:textId="066C4C0B" w:rsidR="003D2C02" w:rsidRPr="003D2C02" w:rsidRDefault="004E2E5B" w:rsidP="005C22C8">
      <w:pPr>
        <w:pStyle w:val="Bulletlevel2"/>
        <w:ind w:left="590" w:hanging="295"/>
      </w:pPr>
      <w:r>
        <w:t>Item</w:t>
      </w:r>
      <w:r w:rsidR="003D2C02" w:rsidRPr="00E84F83">
        <w:t xml:space="preserve"> 4 of Schedule 1 has been included to provide</w:t>
      </w:r>
      <w:r w:rsidR="001E3648" w:rsidRPr="00E84F83">
        <w:t xml:space="preserve"> clarity on how to determine the</w:t>
      </w:r>
      <w:r w:rsidR="003D2C02" w:rsidRPr="00E84F83">
        <w:t xml:space="preserve"> antenna height </w:t>
      </w:r>
      <w:r w:rsidR="001E3648" w:rsidRPr="00E84F83">
        <w:t>of a transmitter for use in device boundary calculations</w:t>
      </w:r>
      <w:r w:rsidR="003D2C02" w:rsidRPr="00E84F83">
        <w:t>.</w:t>
      </w:r>
    </w:p>
    <w:p w14:paraId="6A7E501E" w14:textId="51DBC8D6" w:rsidR="003D2C02" w:rsidRPr="00BD3716" w:rsidRDefault="003D2C02" w:rsidP="005C22C8">
      <w:pPr>
        <w:pStyle w:val="Paragraphbeforelist"/>
        <w:numPr>
          <w:ilvl w:val="0"/>
          <w:numId w:val="24"/>
        </w:numPr>
        <w:ind w:left="284" w:hanging="284"/>
      </w:pPr>
      <w:r w:rsidRPr="00BD3716">
        <w:t>Radiocommunications (Interpretation – Technical Framework) Determination 202</w:t>
      </w:r>
      <w:r w:rsidR="000D2840" w:rsidRPr="00BD3716">
        <w:t>4</w:t>
      </w:r>
      <w:r w:rsidRPr="006C056A">
        <w:t>:</w:t>
      </w:r>
      <w:r w:rsidRPr="00BD3716">
        <w:t xml:space="preserve"> </w:t>
      </w:r>
    </w:p>
    <w:p w14:paraId="030B29F6" w14:textId="3350A099" w:rsidR="009E4285" w:rsidRPr="00E84F83" w:rsidRDefault="00B52C27" w:rsidP="00C41624">
      <w:pPr>
        <w:pStyle w:val="Bulletlevel2"/>
        <w:ind w:left="590" w:hanging="295"/>
      </w:pPr>
      <w:r>
        <w:t>S</w:t>
      </w:r>
      <w:r w:rsidR="003D2C02" w:rsidRPr="00E84F83">
        <w:t>ub</w:t>
      </w:r>
      <w:r>
        <w:t>items</w:t>
      </w:r>
      <w:r w:rsidR="003D2C02" w:rsidRPr="00E84F83">
        <w:t xml:space="preserve"> 5(3) and 5(4) </w:t>
      </w:r>
      <w:r>
        <w:t xml:space="preserve">of Schedule 1 </w:t>
      </w:r>
      <w:r w:rsidR="003D2C02" w:rsidRPr="00E84F83">
        <w:t xml:space="preserve">have been amended to include definitions </w:t>
      </w:r>
      <w:r w:rsidR="003D2C02" w:rsidRPr="003D2C02">
        <w:t>for the location of a radiocommunications receiver and group of receivers</w:t>
      </w:r>
      <w:r w:rsidR="00E84F83">
        <w:t>.</w:t>
      </w:r>
      <w:bookmarkEnd w:id="24"/>
    </w:p>
    <w:bookmarkEnd w:id="23"/>
    <w:sectPr w:rsidR="009E4285" w:rsidRPr="00E84F83" w:rsidSect="00C77380">
      <w:headerReference w:type="even" r:id="rId27"/>
      <w:headerReference w:type="default" r:id="rId28"/>
      <w:footerReference w:type="even" r:id="rId29"/>
      <w:footerReference w:type="default" r:id="rId30"/>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F1DC3" w14:textId="77777777" w:rsidR="00630272" w:rsidRDefault="00630272">
      <w:r>
        <w:separator/>
      </w:r>
    </w:p>
  </w:endnote>
  <w:endnote w:type="continuationSeparator" w:id="0">
    <w:p w14:paraId="76F212C6" w14:textId="77777777" w:rsidR="00630272" w:rsidRDefault="00630272">
      <w:r>
        <w:continuationSeparator/>
      </w:r>
    </w:p>
  </w:endnote>
  <w:endnote w:type="continuationNotice" w:id="1">
    <w:p w14:paraId="558369FB" w14:textId="77777777" w:rsidR="00C32D95" w:rsidRDefault="00C32D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956A" w14:textId="77777777" w:rsidR="005E250B" w:rsidRDefault="005E250B" w:rsidP="005E250B">
    <w:pPr>
      <w:pStyle w:val="Footer"/>
      <w:jc w:val="right"/>
    </w:pPr>
    <w:r w:rsidRPr="005E250B">
      <w:rPr>
        <w:noProof/>
        <w:vertAlign w:val="subscript"/>
      </w:rPr>
      <w:drawing>
        <wp:inline distT="0" distB="0" distL="0" distR="0" wp14:anchorId="6E051D07" wp14:editId="5537870F">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E9E3"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762D"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1F65"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66FE393C"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17D7"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22D4683A"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B1C5"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4D1EAF8D"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E4E4"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513AC8B5"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CF6D"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400B53C0"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FD7FF" w14:textId="77777777" w:rsidR="00630272" w:rsidRDefault="00630272" w:rsidP="00EA0969">
      <w:pPr>
        <w:spacing w:after="0"/>
      </w:pPr>
      <w:r>
        <w:separator/>
      </w:r>
    </w:p>
  </w:footnote>
  <w:footnote w:type="continuationSeparator" w:id="0">
    <w:p w14:paraId="1CA18009" w14:textId="77777777" w:rsidR="00630272" w:rsidRDefault="00630272">
      <w:r>
        <w:continuationSeparator/>
      </w:r>
    </w:p>
  </w:footnote>
  <w:footnote w:type="continuationNotice" w:id="1">
    <w:p w14:paraId="3CD1DC1E" w14:textId="77777777" w:rsidR="00C32D95" w:rsidRDefault="00C32D95">
      <w:pPr>
        <w:spacing w:after="0" w:line="240" w:lineRule="auto"/>
      </w:pPr>
    </w:p>
  </w:footnote>
  <w:footnote w:id="2">
    <w:p w14:paraId="5C569D99" w14:textId="7DF84AAD" w:rsidR="00D01E46" w:rsidRDefault="00D01E46">
      <w:pPr>
        <w:pStyle w:val="FootnoteText"/>
      </w:pPr>
      <w:r>
        <w:rPr>
          <w:rStyle w:val="FootnoteReference"/>
        </w:rPr>
        <w:footnoteRef/>
      </w:r>
      <w:r>
        <w:t xml:space="preserve"> The ITU-R is the </w:t>
      </w:r>
      <w:r w:rsidR="00C671BD">
        <w:t>R</w:t>
      </w:r>
      <w:r>
        <w:t xml:space="preserve">adiocommunication </w:t>
      </w:r>
      <w:r w:rsidR="00C671BD">
        <w:t>S</w:t>
      </w:r>
      <w:r>
        <w:t xml:space="preserve">ector of the International Telecommunications Union.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BF06" w14:textId="77777777" w:rsidR="00C053A1" w:rsidRPr="00A5474E" w:rsidRDefault="0021426C" w:rsidP="00A5474E">
    <w:pPr>
      <w:pStyle w:val="Header"/>
    </w:pPr>
    <w:r>
      <w:rPr>
        <w:noProof/>
      </w:rPr>
      <w:drawing>
        <wp:inline distT="0" distB="0" distL="0" distR="0" wp14:anchorId="5730400B" wp14:editId="7115D7CF">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32DF"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1594"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018B"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509CF5EB" w14:textId="77777777" w:rsidTr="003B0421">
      <w:trPr>
        <w:trHeight w:hRule="exact" w:val="988"/>
      </w:trPr>
      <w:tc>
        <w:tcPr>
          <w:tcW w:w="7678" w:type="dxa"/>
          <w:shd w:val="clear" w:color="auto" w:fill="auto"/>
        </w:tcPr>
        <w:p w14:paraId="5FF18C37" w14:textId="77777777" w:rsidR="00971914" w:rsidRDefault="00971914" w:rsidP="00971914">
          <w:pPr>
            <w:pStyle w:val="Header"/>
          </w:pPr>
        </w:p>
      </w:tc>
    </w:tr>
    <w:tr w:rsidR="00971914" w14:paraId="14739BB3" w14:textId="77777777" w:rsidTr="003B0421">
      <w:tc>
        <w:tcPr>
          <w:tcW w:w="7678" w:type="dxa"/>
          <w:shd w:val="clear" w:color="auto" w:fill="auto"/>
        </w:tcPr>
        <w:p w14:paraId="30930D57" w14:textId="77777777" w:rsidR="00971914" w:rsidRDefault="00971914" w:rsidP="00971914">
          <w:pPr>
            <w:pStyle w:val="GridTable31"/>
          </w:pPr>
          <w:r>
            <w:t xml:space="preserve">Contents </w:t>
          </w:r>
          <w:r w:rsidRPr="00915B1C">
            <w:rPr>
              <w:b w:val="0"/>
              <w:spacing w:val="0"/>
              <w:sz w:val="28"/>
              <w:szCs w:val="28"/>
            </w:rPr>
            <w:t>(Continued)</w:t>
          </w:r>
        </w:p>
      </w:tc>
    </w:tr>
    <w:tr w:rsidR="00971914" w14:paraId="63686979" w14:textId="77777777" w:rsidTr="003B0421">
      <w:trPr>
        <w:trHeight w:val="1220"/>
      </w:trPr>
      <w:tc>
        <w:tcPr>
          <w:tcW w:w="7678" w:type="dxa"/>
          <w:shd w:val="clear" w:color="auto" w:fill="auto"/>
        </w:tcPr>
        <w:p w14:paraId="3228D461" w14:textId="77777777" w:rsidR="00971914" w:rsidRDefault="00971914" w:rsidP="00971914"/>
      </w:tc>
    </w:tr>
  </w:tbl>
  <w:p w14:paraId="37A337CD"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6AA46DD5" w14:textId="77777777" w:rsidTr="003B0421">
      <w:trPr>
        <w:trHeight w:hRule="exact" w:val="988"/>
      </w:trPr>
      <w:tc>
        <w:tcPr>
          <w:tcW w:w="7678" w:type="dxa"/>
          <w:shd w:val="clear" w:color="auto" w:fill="auto"/>
        </w:tcPr>
        <w:p w14:paraId="26C4E57B" w14:textId="77777777" w:rsidR="00971914" w:rsidRDefault="00971914" w:rsidP="00971914">
          <w:pPr>
            <w:pStyle w:val="Header"/>
          </w:pPr>
        </w:p>
      </w:tc>
    </w:tr>
    <w:tr w:rsidR="00971914" w14:paraId="14C15E25" w14:textId="77777777" w:rsidTr="003B0421">
      <w:tc>
        <w:tcPr>
          <w:tcW w:w="7678" w:type="dxa"/>
          <w:shd w:val="clear" w:color="auto" w:fill="auto"/>
        </w:tcPr>
        <w:p w14:paraId="41166F87" w14:textId="77777777" w:rsidR="00971914" w:rsidRDefault="00971914" w:rsidP="00971914">
          <w:pPr>
            <w:pStyle w:val="GridTable31"/>
          </w:pPr>
          <w:r>
            <w:t xml:space="preserve">Contents </w:t>
          </w:r>
          <w:r w:rsidRPr="00915B1C">
            <w:rPr>
              <w:b w:val="0"/>
              <w:spacing w:val="0"/>
              <w:sz w:val="28"/>
              <w:szCs w:val="28"/>
            </w:rPr>
            <w:t>(Continued)</w:t>
          </w:r>
        </w:p>
      </w:tc>
    </w:tr>
    <w:tr w:rsidR="00971914" w14:paraId="573D3188" w14:textId="77777777" w:rsidTr="003B0421">
      <w:trPr>
        <w:trHeight w:val="1220"/>
      </w:trPr>
      <w:tc>
        <w:tcPr>
          <w:tcW w:w="7678" w:type="dxa"/>
          <w:shd w:val="clear" w:color="auto" w:fill="auto"/>
        </w:tcPr>
        <w:p w14:paraId="59456B96" w14:textId="77777777" w:rsidR="00971914" w:rsidRDefault="00971914" w:rsidP="00971914"/>
      </w:tc>
    </w:tr>
  </w:tbl>
  <w:p w14:paraId="61A218A7"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11F0"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3D1B"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3060412"/>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0D6E17"/>
    <w:multiLevelType w:val="hybridMultilevel"/>
    <w:tmpl w:val="5262F4F0"/>
    <w:lvl w:ilvl="0" w:tplc="44EEC084">
      <w:start w:val="1"/>
      <w:numFmt w:val="bullet"/>
      <w:lvlText w:val="&gt;"/>
      <w:lvlJc w:val="left"/>
      <w:pPr>
        <w:ind w:left="360" w:hanging="360"/>
      </w:pPr>
      <w:rPr>
        <w:rFonts w:ascii="HelveticaNeueLT Std" w:hAnsi="HelveticaNeueLT Std"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2272419"/>
    <w:multiLevelType w:val="hybridMultilevel"/>
    <w:tmpl w:val="3A309010"/>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3BB41F0B"/>
    <w:multiLevelType w:val="hybridMultilevel"/>
    <w:tmpl w:val="49D6E9B0"/>
    <w:lvl w:ilvl="0" w:tplc="47306316">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C9F6F3C"/>
    <w:multiLevelType w:val="hybridMultilevel"/>
    <w:tmpl w:val="9144886C"/>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19A51C3"/>
    <w:multiLevelType w:val="hybridMultilevel"/>
    <w:tmpl w:val="BB181222"/>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2A1F40"/>
    <w:multiLevelType w:val="hybridMultilevel"/>
    <w:tmpl w:val="A9FE16E8"/>
    <w:lvl w:ilvl="0" w:tplc="73BEB9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E46CE6"/>
    <w:multiLevelType w:val="hybridMultilevel"/>
    <w:tmpl w:val="F5EC1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3F010A"/>
    <w:multiLevelType w:val="hybridMultilevel"/>
    <w:tmpl w:val="259892DE"/>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98675193">
    <w:abstractNumId w:val="3"/>
  </w:num>
  <w:num w:numId="2" w16cid:durableId="158930005">
    <w:abstractNumId w:val="1"/>
  </w:num>
  <w:num w:numId="3" w16cid:durableId="1124229407">
    <w:abstractNumId w:val="2"/>
  </w:num>
  <w:num w:numId="4" w16cid:durableId="892234616">
    <w:abstractNumId w:val="0"/>
  </w:num>
  <w:num w:numId="5" w16cid:durableId="1881896321">
    <w:abstractNumId w:val="8"/>
  </w:num>
  <w:num w:numId="6" w16cid:durableId="645747562">
    <w:abstractNumId w:val="17"/>
  </w:num>
  <w:num w:numId="7" w16cid:durableId="1145854534">
    <w:abstractNumId w:val="13"/>
  </w:num>
  <w:num w:numId="8" w16cid:durableId="1298874449">
    <w:abstractNumId w:val="16"/>
  </w:num>
  <w:num w:numId="9" w16cid:durableId="557857125">
    <w:abstractNumId w:val="18"/>
  </w:num>
  <w:num w:numId="10" w16cid:durableId="1452239157">
    <w:abstractNumId w:val="5"/>
  </w:num>
  <w:num w:numId="11" w16cid:durableId="839319651">
    <w:abstractNumId w:val="4"/>
  </w:num>
  <w:num w:numId="12" w16cid:durableId="916205784">
    <w:abstractNumId w:val="3"/>
  </w:num>
  <w:num w:numId="13" w16cid:durableId="1288271257">
    <w:abstractNumId w:val="2"/>
    <w:lvlOverride w:ilvl="0">
      <w:startOverride w:val="1"/>
    </w:lvlOverride>
  </w:num>
  <w:num w:numId="14" w16cid:durableId="1058210951">
    <w:abstractNumId w:val="2"/>
    <w:lvlOverride w:ilvl="0">
      <w:startOverride w:val="1"/>
    </w:lvlOverride>
  </w:num>
  <w:num w:numId="15" w16cid:durableId="455879085">
    <w:abstractNumId w:val="2"/>
    <w:lvlOverride w:ilvl="0">
      <w:startOverride w:val="1"/>
    </w:lvlOverride>
  </w:num>
  <w:num w:numId="16" w16cid:durableId="1297763289">
    <w:abstractNumId w:val="9"/>
  </w:num>
  <w:num w:numId="17" w16cid:durableId="1221359909">
    <w:abstractNumId w:val="2"/>
    <w:lvlOverride w:ilvl="0">
      <w:startOverride w:val="1"/>
    </w:lvlOverride>
  </w:num>
  <w:num w:numId="18" w16cid:durableId="1965693420">
    <w:abstractNumId w:val="10"/>
  </w:num>
  <w:num w:numId="19" w16cid:durableId="58943214">
    <w:abstractNumId w:val="17"/>
    <w:lvlOverride w:ilvl="0">
      <w:startOverride w:val="1"/>
    </w:lvlOverride>
  </w:num>
  <w:num w:numId="20" w16cid:durableId="1895971133">
    <w:abstractNumId w:val="11"/>
  </w:num>
  <w:num w:numId="21" w16cid:durableId="646595810">
    <w:abstractNumId w:val="6"/>
  </w:num>
  <w:num w:numId="22" w16cid:durableId="1532500380">
    <w:abstractNumId w:val="12"/>
  </w:num>
  <w:num w:numId="23" w16cid:durableId="1249391328">
    <w:abstractNumId w:val="2"/>
    <w:lvlOverride w:ilvl="0">
      <w:startOverride w:val="1"/>
    </w:lvlOverride>
  </w:num>
  <w:num w:numId="24" w16cid:durableId="1720516844">
    <w:abstractNumId w:val="19"/>
  </w:num>
  <w:num w:numId="25" w16cid:durableId="2106147724">
    <w:abstractNumId w:val="7"/>
  </w:num>
  <w:num w:numId="26" w16cid:durableId="1386031538">
    <w:abstractNumId w:val="14"/>
  </w:num>
  <w:num w:numId="27" w16cid:durableId="1034159643">
    <w:abstractNumId w:val="15"/>
  </w:num>
  <w:num w:numId="28" w16cid:durableId="61031900">
    <w:abstractNumId w:val="3"/>
  </w:num>
  <w:num w:numId="29" w16cid:durableId="1858928794">
    <w:abstractNumId w:val="1"/>
  </w:num>
  <w:num w:numId="30" w16cid:durableId="942373717">
    <w:abstractNumId w:val="1"/>
  </w:num>
  <w:num w:numId="31" w16cid:durableId="866403836">
    <w:abstractNumId w:val="1"/>
  </w:num>
  <w:num w:numId="32" w16cid:durableId="174857565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0E"/>
    <w:rsid w:val="00003059"/>
    <w:rsid w:val="000032EE"/>
    <w:rsid w:val="00010667"/>
    <w:rsid w:val="0001089A"/>
    <w:rsid w:val="000110EA"/>
    <w:rsid w:val="000129D5"/>
    <w:rsid w:val="00014669"/>
    <w:rsid w:val="00015AE7"/>
    <w:rsid w:val="0001680B"/>
    <w:rsid w:val="00016E21"/>
    <w:rsid w:val="0001719C"/>
    <w:rsid w:val="0002224E"/>
    <w:rsid w:val="00023A36"/>
    <w:rsid w:val="000245E5"/>
    <w:rsid w:val="000257A5"/>
    <w:rsid w:val="00026F91"/>
    <w:rsid w:val="00032621"/>
    <w:rsid w:val="00040E02"/>
    <w:rsid w:val="00041FC1"/>
    <w:rsid w:val="0004764C"/>
    <w:rsid w:val="0005011A"/>
    <w:rsid w:val="0005045A"/>
    <w:rsid w:val="00051C1E"/>
    <w:rsid w:val="000539F9"/>
    <w:rsid w:val="00054C27"/>
    <w:rsid w:val="00055EC3"/>
    <w:rsid w:val="000563CE"/>
    <w:rsid w:val="00065266"/>
    <w:rsid w:val="000659B6"/>
    <w:rsid w:val="00065C3A"/>
    <w:rsid w:val="0006686F"/>
    <w:rsid w:val="0006722A"/>
    <w:rsid w:val="00071A6A"/>
    <w:rsid w:val="00072BE4"/>
    <w:rsid w:val="000732CF"/>
    <w:rsid w:val="00075B96"/>
    <w:rsid w:val="00076CF9"/>
    <w:rsid w:val="0008196A"/>
    <w:rsid w:val="00087F95"/>
    <w:rsid w:val="000915ED"/>
    <w:rsid w:val="00091EDA"/>
    <w:rsid w:val="0009209D"/>
    <w:rsid w:val="0009463C"/>
    <w:rsid w:val="000969BD"/>
    <w:rsid w:val="000969BF"/>
    <w:rsid w:val="000A0C22"/>
    <w:rsid w:val="000A1400"/>
    <w:rsid w:val="000A3C43"/>
    <w:rsid w:val="000A4A51"/>
    <w:rsid w:val="000A5B4B"/>
    <w:rsid w:val="000A5D2B"/>
    <w:rsid w:val="000A7B91"/>
    <w:rsid w:val="000B1167"/>
    <w:rsid w:val="000B4664"/>
    <w:rsid w:val="000B4F5A"/>
    <w:rsid w:val="000B5DE3"/>
    <w:rsid w:val="000B73C8"/>
    <w:rsid w:val="000B780C"/>
    <w:rsid w:val="000C0A57"/>
    <w:rsid w:val="000C230C"/>
    <w:rsid w:val="000C2C9E"/>
    <w:rsid w:val="000C4802"/>
    <w:rsid w:val="000C6AB4"/>
    <w:rsid w:val="000D2840"/>
    <w:rsid w:val="000D61C3"/>
    <w:rsid w:val="000D64EA"/>
    <w:rsid w:val="000D71D9"/>
    <w:rsid w:val="000D76E0"/>
    <w:rsid w:val="000D7E8B"/>
    <w:rsid w:val="000E186F"/>
    <w:rsid w:val="000E363B"/>
    <w:rsid w:val="000E4449"/>
    <w:rsid w:val="000E6097"/>
    <w:rsid w:val="000F55F4"/>
    <w:rsid w:val="00103829"/>
    <w:rsid w:val="00111FCE"/>
    <w:rsid w:val="0011340A"/>
    <w:rsid w:val="00117DEA"/>
    <w:rsid w:val="001229A5"/>
    <w:rsid w:val="00122B78"/>
    <w:rsid w:val="0012489B"/>
    <w:rsid w:val="00130017"/>
    <w:rsid w:val="00130528"/>
    <w:rsid w:val="00130F91"/>
    <w:rsid w:val="001349ED"/>
    <w:rsid w:val="00137424"/>
    <w:rsid w:val="00137857"/>
    <w:rsid w:val="00140318"/>
    <w:rsid w:val="00140DE9"/>
    <w:rsid w:val="00141AD9"/>
    <w:rsid w:val="001435A7"/>
    <w:rsid w:val="00146CE6"/>
    <w:rsid w:val="00150922"/>
    <w:rsid w:val="001520B3"/>
    <w:rsid w:val="00152903"/>
    <w:rsid w:val="001531D0"/>
    <w:rsid w:val="00153FD5"/>
    <w:rsid w:val="00155947"/>
    <w:rsid w:val="0015614F"/>
    <w:rsid w:val="00156614"/>
    <w:rsid w:val="001577C2"/>
    <w:rsid w:val="0016173E"/>
    <w:rsid w:val="001633C4"/>
    <w:rsid w:val="001704D5"/>
    <w:rsid w:val="00171591"/>
    <w:rsid w:val="00173981"/>
    <w:rsid w:val="0017719D"/>
    <w:rsid w:val="001837E6"/>
    <w:rsid w:val="00183FD7"/>
    <w:rsid w:val="00185CAB"/>
    <w:rsid w:val="001875B7"/>
    <w:rsid w:val="00187CB3"/>
    <w:rsid w:val="0019050A"/>
    <w:rsid w:val="0019090B"/>
    <w:rsid w:val="001910D4"/>
    <w:rsid w:val="0019126C"/>
    <w:rsid w:val="00193109"/>
    <w:rsid w:val="001976E3"/>
    <w:rsid w:val="00197B65"/>
    <w:rsid w:val="001A206A"/>
    <w:rsid w:val="001A44EC"/>
    <w:rsid w:val="001A4B22"/>
    <w:rsid w:val="001B509F"/>
    <w:rsid w:val="001B5810"/>
    <w:rsid w:val="001B58AA"/>
    <w:rsid w:val="001B599C"/>
    <w:rsid w:val="001B7E48"/>
    <w:rsid w:val="001C06FA"/>
    <w:rsid w:val="001C0DAE"/>
    <w:rsid w:val="001C17CE"/>
    <w:rsid w:val="001C36CA"/>
    <w:rsid w:val="001C44D1"/>
    <w:rsid w:val="001C4803"/>
    <w:rsid w:val="001C5366"/>
    <w:rsid w:val="001C6AEE"/>
    <w:rsid w:val="001C7630"/>
    <w:rsid w:val="001D38A3"/>
    <w:rsid w:val="001D5301"/>
    <w:rsid w:val="001D5702"/>
    <w:rsid w:val="001D6D15"/>
    <w:rsid w:val="001D7D39"/>
    <w:rsid w:val="001E0413"/>
    <w:rsid w:val="001E3648"/>
    <w:rsid w:val="001E4C9C"/>
    <w:rsid w:val="001F50F7"/>
    <w:rsid w:val="001F6CC9"/>
    <w:rsid w:val="001F7558"/>
    <w:rsid w:val="0020030D"/>
    <w:rsid w:val="00201EE2"/>
    <w:rsid w:val="00203DEE"/>
    <w:rsid w:val="00205B57"/>
    <w:rsid w:val="00206AAE"/>
    <w:rsid w:val="002115A1"/>
    <w:rsid w:val="002120F7"/>
    <w:rsid w:val="0021426C"/>
    <w:rsid w:val="00214AB0"/>
    <w:rsid w:val="002157E0"/>
    <w:rsid w:val="002168F2"/>
    <w:rsid w:val="00216A57"/>
    <w:rsid w:val="00217448"/>
    <w:rsid w:val="00221637"/>
    <w:rsid w:val="002220C4"/>
    <w:rsid w:val="0022334F"/>
    <w:rsid w:val="00226819"/>
    <w:rsid w:val="00233101"/>
    <w:rsid w:val="00233817"/>
    <w:rsid w:val="002367FF"/>
    <w:rsid w:val="00237A61"/>
    <w:rsid w:val="00240CE9"/>
    <w:rsid w:val="002434BA"/>
    <w:rsid w:val="00244055"/>
    <w:rsid w:val="00246089"/>
    <w:rsid w:val="00246093"/>
    <w:rsid w:val="00246702"/>
    <w:rsid w:val="00247C59"/>
    <w:rsid w:val="00247F2E"/>
    <w:rsid w:val="0025045F"/>
    <w:rsid w:val="00250ADC"/>
    <w:rsid w:val="00250B07"/>
    <w:rsid w:val="00251BB9"/>
    <w:rsid w:val="0025487B"/>
    <w:rsid w:val="00257553"/>
    <w:rsid w:val="0026028F"/>
    <w:rsid w:val="00260FB2"/>
    <w:rsid w:val="00262128"/>
    <w:rsid w:val="002654C0"/>
    <w:rsid w:val="0027165D"/>
    <w:rsid w:val="00273CEB"/>
    <w:rsid w:val="002753C0"/>
    <w:rsid w:val="00280DCC"/>
    <w:rsid w:val="00281858"/>
    <w:rsid w:val="00281C89"/>
    <w:rsid w:val="0028282F"/>
    <w:rsid w:val="00284166"/>
    <w:rsid w:val="0029593B"/>
    <w:rsid w:val="002967DA"/>
    <w:rsid w:val="00297FC5"/>
    <w:rsid w:val="002A0417"/>
    <w:rsid w:val="002A16D8"/>
    <w:rsid w:val="002A1BC8"/>
    <w:rsid w:val="002A3EF2"/>
    <w:rsid w:val="002B0DED"/>
    <w:rsid w:val="002B19A2"/>
    <w:rsid w:val="002B381A"/>
    <w:rsid w:val="002B425D"/>
    <w:rsid w:val="002B4FCC"/>
    <w:rsid w:val="002B5B47"/>
    <w:rsid w:val="002B7408"/>
    <w:rsid w:val="002B7CFD"/>
    <w:rsid w:val="002C0530"/>
    <w:rsid w:val="002C210F"/>
    <w:rsid w:val="002C301E"/>
    <w:rsid w:val="002C30A3"/>
    <w:rsid w:val="002C5339"/>
    <w:rsid w:val="002D3600"/>
    <w:rsid w:val="002D45DA"/>
    <w:rsid w:val="002D778E"/>
    <w:rsid w:val="002E2C0A"/>
    <w:rsid w:val="002E4DDC"/>
    <w:rsid w:val="002F24B3"/>
    <w:rsid w:val="002F7AB8"/>
    <w:rsid w:val="00302123"/>
    <w:rsid w:val="00302480"/>
    <w:rsid w:val="00302758"/>
    <w:rsid w:val="003028BC"/>
    <w:rsid w:val="003147B9"/>
    <w:rsid w:val="003165E6"/>
    <w:rsid w:val="003215B5"/>
    <w:rsid w:val="00321C23"/>
    <w:rsid w:val="00321F20"/>
    <w:rsid w:val="003221CF"/>
    <w:rsid w:val="003233ED"/>
    <w:rsid w:val="00324D9F"/>
    <w:rsid w:val="003253EE"/>
    <w:rsid w:val="00326AC7"/>
    <w:rsid w:val="00327948"/>
    <w:rsid w:val="0033000F"/>
    <w:rsid w:val="00332011"/>
    <w:rsid w:val="00332518"/>
    <w:rsid w:val="00332925"/>
    <w:rsid w:val="00332E3F"/>
    <w:rsid w:val="003332ED"/>
    <w:rsid w:val="003368DC"/>
    <w:rsid w:val="00343A15"/>
    <w:rsid w:val="0034490B"/>
    <w:rsid w:val="00345927"/>
    <w:rsid w:val="00350584"/>
    <w:rsid w:val="00351857"/>
    <w:rsid w:val="003545E8"/>
    <w:rsid w:val="003610E1"/>
    <w:rsid w:val="003656FD"/>
    <w:rsid w:val="003671BE"/>
    <w:rsid w:val="00372485"/>
    <w:rsid w:val="00373200"/>
    <w:rsid w:val="00375EF5"/>
    <w:rsid w:val="003767A5"/>
    <w:rsid w:val="003769B1"/>
    <w:rsid w:val="00381D15"/>
    <w:rsid w:val="00385254"/>
    <w:rsid w:val="00390211"/>
    <w:rsid w:val="00390D91"/>
    <w:rsid w:val="00392F40"/>
    <w:rsid w:val="003933E8"/>
    <w:rsid w:val="00393CB8"/>
    <w:rsid w:val="00394031"/>
    <w:rsid w:val="00395DAC"/>
    <w:rsid w:val="00396DC2"/>
    <w:rsid w:val="003A04DB"/>
    <w:rsid w:val="003A5F5B"/>
    <w:rsid w:val="003A789A"/>
    <w:rsid w:val="003B12EC"/>
    <w:rsid w:val="003B17D2"/>
    <w:rsid w:val="003B24F9"/>
    <w:rsid w:val="003B2E39"/>
    <w:rsid w:val="003C03B8"/>
    <w:rsid w:val="003C522F"/>
    <w:rsid w:val="003C77E0"/>
    <w:rsid w:val="003D0934"/>
    <w:rsid w:val="003D17C1"/>
    <w:rsid w:val="003D17D7"/>
    <w:rsid w:val="003D2678"/>
    <w:rsid w:val="003D2974"/>
    <w:rsid w:val="003D2C02"/>
    <w:rsid w:val="003D2D87"/>
    <w:rsid w:val="003D71A3"/>
    <w:rsid w:val="003E2B8A"/>
    <w:rsid w:val="003E7FDE"/>
    <w:rsid w:val="003F10EE"/>
    <w:rsid w:val="003F16F6"/>
    <w:rsid w:val="003F4DC7"/>
    <w:rsid w:val="003F5235"/>
    <w:rsid w:val="00400891"/>
    <w:rsid w:val="004027E4"/>
    <w:rsid w:val="00404086"/>
    <w:rsid w:val="0041071D"/>
    <w:rsid w:val="00410F74"/>
    <w:rsid w:val="00412CF3"/>
    <w:rsid w:val="00414AFC"/>
    <w:rsid w:val="004151A7"/>
    <w:rsid w:val="00415310"/>
    <w:rsid w:val="00421709"/>
    <w:rsid w:val="00423763"/>
    <w:rsid w:val="004241F1"/>
    <w:rsid w:val="004271E8"/>
    <w:rsid w:val="0042762F"/>
    <w:rsid w:val="00427DC7"/>
    <w:rsid w:val="00431613"/>
    <w:rsid w:val="00431792"/>
    <w:rsid w:val="00431C00"/>
    <w:rsid w:val="0043297A"/>
    <w:rsid w:val="00432EB2"/>
    <w:rsid w:val="0043714F"/>
    <w:rsid w:val="004438B5"/>
    <w:rsid w:val="004445A0"/>
    <w:rsid w:val="00447037"/>
    <w:rsid w:val="0045124D"/>
    <w:rsid w:val="00454596"/>
    <w:rsid w:val="0045605D"/>
    <w:rsid w:val="0046068A"/>
    <w:rsid w:val="0046135B"/>
    <w:rsid w:val="00461D47"/>
    <w:rsid w:val="004718CC"/>
    <w:rsid w:val="00481695"/>
    <w:rsid w:val="00481D61"/>
    <w:rsid w:val="00495A96"/>
    <w:rsid w:val="00495BB3"/>
    <w:rsid w:val="0049720E"/>
    <w:rsid w:val="004A097C"/>
    <w:rsid w:val="004A56BB"/>
    <w:rsid w:val="004A70D6"/>
    <w:rsid w:val="004B1751"/>
    <w:rsid w:val="004B700F"/>
    <w:rsid w:val="004C0253"/>
    <w:rsid w:val="004C1871"/>
    <w:rsid w:val="004C7BAD"/>
    <w:rsid w:val="004D56FF"/>
    <w:rsid w:val="004E2CE4"/>
    <w:rsid w:val="004E2E5B"/>
    <w:rsid w:val="004E39D3"/>
    <w:rsid w:val="004E508A"/>
    <w:rsid w:val="004E616D"/>
    <w:rsid w:val="004F0452"/>
    <w:rsid w:val="004F1BDE"/>
    <w:rsid w:val="004F2CEE"/>
    <w:rsid w:val="004F314B"/>
    <w:rsid w:val="004F556E"/>
    <w:rsid w:val="004F591C"/>
    <w:rsid w:val="004F7E74"/>
    <w:rsid w:val="004F7F44"/>
    <w:rsid w:val="005037B4"/>
    <w:rsid w:val="005079BF"/>
    <w:rsid w:val="0051269A"/>
    <w:rsid w:val="005219E7"/>
    <w:rsid w:val="0052343D"/>
    <w:rsid w:val="0052547D"/>
    <w:rsid w:val="00526AD8"/>
    <w:rsid w:val="00531B9A"/>
    <w:rsid w:val="00531D15"/>
    <w:rsid w:val="005340FE"/>
    <w:rsid w:val="00534917"/>
    <w:rsid w:val="00534D8A"/>
    <w:rsid w:val="005359F0"/>
    <w:rsid w:val="005361DE"/>
    <w:rsid w:val="00537604"/>
    <w:rsid w:val="00541546"/>
    <w:rsid w:val="005421AE"/>
    <w:rsid w:val="00542377"/>
    <w:rsid w:val="005476EB"/>
    <w:rsid w:val="00550C0D"/>
    <w:rsid w:val="00551782"/>
    <w:rsid w:val="00555E4E"/>
    <w:rsid w:val="00563EF1"/>
    <w:rsid w:val="00564475"/>
    <w:rsid w:val="00566AB4"/>
    <w:rsid w:val="00573812"/>
    <w:rsid w:val="00575AC5"/>
    <w:rsid w:val="0057605D"/>
    <w:rsid w:val="00581347"/>
    <w:rsid w:val="00581AC9"/>
    <w:rsid w:val="005849F8"/>
    <w:rsid w:val="0058739A"/>
    <w:rsid w:val="00591163"/>
    <w:rsid w:val="005923B4"/>
    <w:rsid w:val="0059338B"/>
    <w:rsid w:val="005938DF"/>
    <w:rsid w:val="00594E9C"/>
    <w:rsid w:val="005A099B"/>
    <w:rsid w:val="005A2D9C"/>
    <w:rsid w:val="005A2E6C"/>
    <w:rsid w:val="005A55FE"/>
    <w:rsid w:val="005A6A11"/>
    <w:rsid w:val="005B2F0D"/>
    <w:rsid w:val="005B41B8"/>
    <w:rsid w:val="005B4AED"/>
    <w:rsid w:val="005C213C"/>
    <w:rsid w:val="005C22C8"/>
    <w:rsid w:val="005C34EF"/>
    <w:rsid w:val="005D2502"/>
    <w:rsid w:val="005D40BB"/>
    <w:rsid w:val="005D4154"/>
    <w:rsid w:val="005D47F3"/>
    <w:rsid w:val="005D49BF"/>
    <w:rsid w:val="005D4AA5"/>
    <w:rsid w:val="005D6F4E"/>
    <w:rsid w:val="005D7C73"/>
    <w:rsid w:val="005E250B"/>
    <w:rsid w:val="005E3ACD"/>
    <w:rsid w:val="005E3FAC"/>
    <w:rsid w:val="005E7226"/>
    <w:rsid w:val="005E741C"/>
    <w:rsid w:val="005E7A57"/>
    <w:rsid w:val="005F24B0"/>
    <w:rsid w:val="005F494A"/>
    <w:rsid w:val="00602368"/>
    <w:rsid w:val="006039F1"/>
    <w:rsid w:val="00604315"/>
    <w:rsid w:val="0060474A"/>
    <w:rsid w:val="00604E26"/>
    <w:rsid w:val="0060523F"/>
    <w:rsid w:val="006052CF"/>
    <w:rsid w:val="00607B8D"/>
    <w:rsid w:val="00611F5C"/>
    <w:rsid w:val="00616E09"/>
    <w:rsid w:val="00622A3B"/>
    <w:rsid w:val="00622EEA"/>
    <w:rsid w:val="0062396C"/>
    <w:rsid w:val="00623FF9"/>
    <w:rsid w:val="0062437D"/>
    <w:rsid w:val="00627D4E"/>
    <w:rsid w:val="00630272"/>
    <w:rsid w:val="00632B89"/>
    <w:rsid w:val="0063346D"/>
    <w:rsid w:val="00634478"/>
    <w:rsid w:val="00640BB5"/>
    <w:rsid w:val="00644373"/>
    <w:rsid w:val="00645915"/>
    <w:rsid w:val="00646CC4"/>
    <w:rsid w:val="006519C3"/>
    <w:rsid w:val="00652B30"/>
    <w:rsid w:val="00656345"/>
    <w:rsid w:val="00656DC6"/>
    <w:rsid w:val="00660EC6"/>
    <w:rsid w:val="00662450"/>
    <w:rsid w:val="00664110"/>
    <w:rsid w:val="00664D17"/>
    <w:rsid w:val="0066508D"/>
    <w:rsid w:val="00666520"/>
    <w:rsid w:val="00666DA5"/>
    <w:rsid w:val="00667C5B"/>
    <w:rsid w:val="006810AE"/>
    <w:rsid w:val="00681A32"/>
    <w:rsid w:val="00681EF6"/>
    <w:rsid w:val="00690528"/>
    <w:rsid w:val="006907D4"/>
    <w:rsid w:val="00691EB8"/>
    <w:rsid w:val="00692CDE"/>
    <w:rsid w:val="00693073"/>
    <w:rsid w:val="006930A9"/>
    <w:rsid w:val="00694304"/>
    <w:rsid w:val="006977FF"/>
    <w:rsid w:val="006A01FA"/>
    <w:rsid w:val="006A0E9E"/>
    <w:rsid w:val="006A0F53"/>
    <w:rsid w:val="006A25C7"/>
    <w:rsid w:val="006A3ECF"/>
    <w:rsid w:val="006A4AAD"/>
    <w:rsid w:val="006A4CCA"/>
    <w:rsid w:val="006A6DA2"/>
    <w:rsid w:val="006A7AB2"/>
    <w:rsid w:val="006B00DA"/>
    <w:rsid w:val="006B0118"/>
    <w:rsid w:val="006B0765"/>
    <w:rsid w:val="006B52DE"/>
    <w:rsid w:val="006B5717"/>
    <w:rsid w:val="006B582F"/>
    <w:rsid w:val="006B5EB2"/>
    <w:rsid w:val="006C056A"/>
    <w:rsid w:val="006C0CEB"/>
    <w:rsid w:val="006C1631"/>
    <w:rsid w:val="006C3B1E"/>
    <w:rsid w:val="006C47FD"/>
    <w:rsid w:val="006C5C19"/>
    <w:rsid w:val="006C5FD4"/>
    <w:rsid w:val="006C70A0"/>
    <w:rsid w:val="006D1DE9"/>
    <w:rsid w:val="006D27CB"/>
    <w:rsid w:val="006D2F08"/>
    <w:rsid w:val="006D3309"/>
    <w:rsid w:val="006D576C"/>
    <w:rsid w:val="006D5865"/>
    <w:rsid w:val="006D5D64"/>
    <w:rsid w:val="006E3644"/>
    <w:rsid w:val="006E3EDA"/>
    <w:rsid w:val="006E4B1B"/>
    <w:rsid w:val="006E5445"/>
    <w:rsid w:val="006E65D1"/>
    <w:rsid w:val="006E7D93"/>
    <w:rsid w:val="006F45C1"/>
    <w:rsid w:val="006F47AC"/>
    <w:rsid w:val="006F4E48"/>
    <w:rsid w:val="0070133D"/>
    <w:rsid w:val="007029A3"/>
    <w:rsid w:val="00704EAF"/>
    <w:rsid w:val="00706E4E"/>
    <w:rsid w:val="0070791C"/>
    <w:rsid w:val="0071383C"/>
    <w:rsid w:val="007141A7"/>
    <w:rsid w:val="0071459D"/>
    <w:rsid w:val="007156BC"/>
    <w:rsid w:val="00715722"/>
    <w:rsid w:val="00715827"/>
    <w:rsid w:val="00715BAF"/>
    <w:rsid w:val="00721032"/>
    <w:rsid w:val="00721B55"/>
    <w:rsid w:val="00726CE4"/>
    <w:rsid w:val="007327F0"/>
    <w:rsid w:val="00733D63"/>
    <w:rsid w:val="00734143"/>
    <w:rsid w:val="00737E47"/>
    <w:rsid w:val="00740EAC"/>
    <w:rsid w:val="007438A4"/>
    <w:rsid w:val="00744551"/>
    <w:rsid w:val="00744956"/>
    <w:rsid w:val="00744D2D"/>
    <w:rsid w:val="00745A5C"/>
    <w:rsid w:val="0074605F"/>
    <w:rsid w:val="00747E94"/>
    <w:rsid w:val="00750805"/>
    <w:rsid w:val="00753443"/>
    <w:rsid w:val="00754C83"/>
    <w:rsid w:val="00761E5C"/>
    <w:rsid w:val="00765DF8"/>
    <w:rsid w:val="00766749"/>
    <w:rsid w:val="007673C2"/>
    <w:rsid w:val="00767A49"/>
    <w:rsid w:val="00767C1B"/>
    <w:rsid w:val="00770B3F"/>
    <w:rsid w:val="007714A9"/>
    <w:rsid w:val="007729DE"/>
    <w:rsid w:val="00774F88"/>
    <w:rsid w:val="00774FDB"/>
    <w:rsid w:val="00777BA2"/>
    <w:rsid w:val="00777F71"/>
    <w:rsid w:val="00781408"/>
    <w:rsid w:val="007821A1"/>
    <w:rsid w:val="00784F7F"/>
    <w:rsid w:val="007878BD"/>
    <w:rsid w:val="00787D6E"/>
    <w:rsid w:val="0079295D"/>
    <w:rsid w:val="00796200"/>
    <w:rsid w:val="00796F25"/>
    <w:rsid w:val="007A231C"/>
    <w:rsid w:val="007A2E98"/>
    <w:rsid w:val="007A3BA3"/>
    <w:rsid w:val="007A5D7C"/>
    <w:rsid w:val="007A6CC0"/>
    <w:rsid w:val="007A7FEC"/>
    <w:rsid w:val="007B1499"/>
    <w:rsid w:val="007B1BBF"/>
    <w:rsid w:val="007B2960"/>
    <w:rsid w:val="007B2B28"/>
    <w:rsid w:val="007B355D"/>
    <w:rsid w:val="007B7980"/>
    <w:rsid w:val="007C0DEF"/>
    <w:rsid w:val="007C5D5A"/>
    <w:rsid w:val="007C607F"/>
    <w:rsid w:val="007C79DD"/>
    <w:rsid w:val="007D1A97"/>
    <w:rsid w:val="007D2CD6"/>
    <w:rsid w:val="007D3063"/>
    <w:rsid w:val="007D3CEB"/>
    <w:rsid w:val="007D717B"/>
    <w:rsid w:val="007E445E"/>
    <w:rsid w:val="007E5598"/>
    <w:rsid w:val="007E7683"/>
    <w:rsid w:val="007F3651"/>
    <w:rsid w:val="007F49FA"/>
    <w:rsid w:val="007F54C4"/>
    <w:rsid w:val="007F6E9A"/>
    <w:rsid w:val="00800CCD"/>
    <w:rsid w:val="00800EF0"/>
    <w:rsid w:val="00801FEB"/>
    <w:rsid w:val="0080316E"/>
    <w:rsid w:val="00803A64"/>
    <w:rsid w:val="008044D4"/>
    <w:rsid w:val="00810AB4"/>
    <w:rsid w:val="00811E0D"/>
    <w:rsid w:val="00817427"/>
    <w:rsid w:val="00817B56"/>
    <w:rsid w:val="00821A88"/>
    <w:rsid w:val="0082322E"/>
    <w:rsid w:val="0082495D"/>
    <w:rsid w:val="00831AC3"/>
    <w:rsid w:val="008337D7"/>
    <w:rsid w:val="00835098"/>
    <w:rsid w:val="00836FCE"/>
    <w:rsid w:val="008408FF"/>
    <w:rsid w:val="00851F3F"/>
    <w:rsid w:val="0085444F"/>
    <w:rsid w:val="00856EDC"/>
    <w:rsid w:val="0086058E"/>
    <w:rsid w:val="00861423"/>
    <w:rsid w:val="008623B5"/>
    <w:rsid w:val="00870131"/>
    <w:rsid w:val="00870ABA"/>
    <w:rsid w:val="008710E1"/>
    <w:rsid w:val="008716E5"/>
    <w:rsid w:val="00881CA9"/>
    <w:rsid w:val="00883628"/>
    <w:rsid w:val="00885544"/>
    <w:rsid w:val="0088634E"/>
    <w:rsid w:val="00890F86"/>
    <w:rsid w:val="00893AB8"/>
    <w:rsid w:val="0089616F"/>
    <w:rsid w:val="00896D08"/>
    <w:rsid w:val="008A04C8"/>
    <w:rsid w:val="008A2812"/>
    <w:rsid w:val="008A2B87"/>
    <w:rsid w:val="008A4066"/>
    <w:rsid w:val="008A6913"/>
    <w:rsid w:val="008B2142"/>
    <w:rsid w:val="008B5F96"/>
    <w:rsid w:val="008B70F3"/>
    <w:rsid w:val="008B71C4"/>
    <w:rsid w:val="008B76AD"/>
    <w:rsid w:val="008B76DF"/>
    <w:rsid w:val="008C10F4"/>
    <w:rsid w:val="008C1E09"/>
    <w:rsid w:val="008C3282"/>
    <w:rsid w:val="008C398A"/>
    <w:rsid w:val="008C47EA"/>
    <w:rsid w:val="008C65F7"/>
    <w:rsid w:val="008C7CBB"/>
    <w:rsid w:val="008D0BC0"/>
    <w:rsid w:val="008D0E3E"/>
    <w:rsid w:val="008D5D86"/>
    <w:rsid w:val="008E0428"/>
    <w:rsid w:val="008E4767"/>
    <w:rsid w:val="008E4D39"/>
    <w:rsid w:val="008E586C"/>
    <w:rsid w:val="008E7A8C"/>
    <w:rsid w:val="008F38FD"/>
    <w:rsid w:val="008F3933"/>
    <w:rsid w:val="008F6AAB"/>
    <w:rsid w:val="0090203B"/>
    <w:rsid w:val="009026F0"/>
    <w:rsid w:val="00903285"/>
    <w:rsid w:val="00906F40"/>
    <w:rsid w:val="00906FCB"/>
    <w:rsid w:val="00907314"/>
    <w:rsid w:val="0090731E"/>
    <w:rsid w:val="00915B1C"/>
    <w:rsid w:val="009174F3"/>
    <w:rsid w:val="0091797D"/>
    <w:rsid w:val="00923CBA"/>
    <w:rsid w:val="0092594D"/>
    <w:rsid w:val="00926703"/>
    <w:rsid w:val="00927691"/>
    <w:rsid w:val="00927A5F"/>
    <w:rsid w:val="00930510"/>
    <w:rsid w:val="00930836"/>
    <w:rsid w:val="00932BBB"/>
    <w:rsid w:val="00935B63"/>
    <w:rsid w:val="00936BBE"/>
    <w:rsid w:val="00936E95"/>
    <w:rsid w:val="0094078F"/>
    <w:rsid w:val="00940DFF"/>
    <w:rsid w:val="00940FA3"/>
    <w:rsid w:val="00941FB0"/>
    <w:rsid w:val="009426D4"/>
    <w:rsid w:val="00947F25"/>
    <w:rsid w:val="00950159"/>
    <w:rsid w:val="00950FB4"/>
    <w:rsid w:val="0095490B"/>
    <w:rsid w:val="00957C7F"/>
    <w:rsid w:val="00960A33"/>
    <w:rsid w:val="00965D01"/>
    <w:rsid w:val="00971914"/>
    <w:rsid w:val="00974363"/>
    <w:rsid w:val="00977706"/>
    <w:rsid w:val="00980488"/>
    <w:rsid w:val="00981898"/>
    <w:rsid w:val="00985CB3"/>
    <w:rsid w:val="00986B62"/>
    <w:rsid w:val="0099043D"/>
    <w:rsid w:val="009942F4"/>
    <w:rsid w:val="0099481A"/>
    <w:rsid w:val="0099577C"/>
    <w:rsid w:val="009A021C"/>
    <w:rsid w:val="009A25CC"/>
    <w:rsid w:val="009A5540"/>
    <w:rsid w:val="009B24A5"/>
    <w:rsid w:val="009B2601"/>
    <w:rsid w:val="009B4E9E"/>
    <w:rsid w:val="009C05C4"/>
    <w:rsid w:val="009C1690"/>
    <w:rsid w:val="009C5E49"/>
    <w:rsid w:val="009C6881"/>
    <w:rsid w:val="009C7759"/>
    <w:rsid w:val="009D043D"/>
    <w:rsid w:val="009D07C8"/>
    <w:rsid w:val="009D1429"/>
    <w:rsid w:val="009D4C85"/>
    <w:rsid w:val="009D6152"/>
    <w:rsid w:val="009D6C71"/>
    <w:rsid w:val="009E033A"/>
    <w:rsid w:val="009E0631"/>
    <w:rsid w:val="009E16D0"/>
    <w:rsid w:val="009E2051"/>
    <w:rsid w:val="009E38FD"/>
    <w:rsid w:val="009E4285"/>
    <w:rsid w:val="009F13D6"/>
    <w:rsid w:val="009F4A03"/>
    <w:rsid w:val="009F4C6B"/>
    <w:rsid w:val="009F78A8"/>
    <w:rsid w:val="00A017E0"/>
    <w:rsid w:val="00A02AD6"/>
    <w:rsid w:val="00A03BF7"/>
    <w:rsid w:val="00A05B04"/>
    <w:rsid w:val="00A06446"/>
    <w:rsid w:val="00A07096"/>
    <w:rsid w:val="00A07318"/>
    <w:rsid w:val="00A11370"/>
    <w:rsid w:val="00A13BB7"/>
    <w:rsid w:val="00A209A9"/>
    <w:rsid w:val="00A224CE"/>
    <w:rsid w:val="00A22522"/>
    <w:rsid w:val="00A24AFD"/>
    <w:rsid w:val="00A24F5C"/>
    <w:rsid w:val="00A27001"/>
    <w:rsid w:val="00A32F96"/>
    <w:rsid w:val="00A349B4"/>
    <w:rsid w:val="00A40871"/>
    <w:rsid w:val="00A412AB"/>
    <w:rsid w:val="00A4193E"/>
    <w:rsid w:val="00A440E0"/>
    <w:rsid w:val="00A442EF"/>
    <w:rsid w:val="00A51D1A"/>
    <w:rsid w:val="00A5418D"/>
    <w:rsid w:val="00A5474E"/>
    <w:rsid w:val="00A55A82"/>
    <w:rsid w:val="00A56843"/>
    <w:rsid w:val="00A64234"/>
    <w:rsid w:val="00A70ADF"/>
    <w:rsid w:val="00A71466"/>
    <w:rsid w:val="00A74B5E"/>
    <w:rsid w:val="00A75CB9"/>
    <w:rsid w:val="00A75E40"/>
    <w:rsid w:val="00A76094"/>
    <w:rsid w:val="00A81BED"/>
    <w:rsid w:val="00A81EC4"/>
    <w:rsid w:val="00A824E8"/>
    <w:rsid w:val="00A82661"/>
    <w:rsid w:val="00A966B9"/>
    <w:rsid w:val="00A967FD"/>
    <w:rsid w:val="00A9754A"/>
    <w:rsid w:val="00AA2DE5"/>
    <w:rsid w:val="00AA5395"/>
    <w:rsid w:val="00AB156C"/>
    <w:rsid w:val="00AB1A05"/>
    <w:rsid w:val="00AB3C53"/>
    <w:rsid w:val="00AB454F"/>
    <w:rsid w:val="00AB6814"/>
    <w:rsid w:val="00AC04BA"/>
    <w:rsid w:val="00AC0E39"/>
    <w:rsid w:val="00AC1705"/>
    <w:rsid w:val="00AD3082"/>
    <w:rsid w:val="00AD3095"/>
    <w:rsid w:val="00AD32B4"/>
    <w:rsid w:val="00AD4AD0"/>
    <w:rsid w:val="00AD5436"/>
    <w:rsid w:val="00AD60CD"/>
    <w:rsid w:val="00AD6C8C"/>
    <w:rsid w:val="00AD7782"/>
    <w:rsid w:val="00AE091D"/>
    <w:rsid w:val="00AE3B60"/>
    <w:rsid w:val="00AE53A1"/>
    <w:rsid w:val="00AE6013"/>
    <w:rsid w:val="00AE64D2"/>
    <w:rsid w:val="00AF2484"/>
    <w:rsid w:val="00AF4640"/>
    <w:rsid w:val="00AF63E7"/>
    <w:rsid w:val="00AF6E17"/>
    <w:rsid w:val="00B00307"/>
    <w:rsid w:val="00B0165D"/>
    <w:rsid w:val="00B01B60"/>
    <w:rsid w:val="00B031F3"/>
    <w:rsid w:val="00B052A4"/>
    <w:rsid w:val="00B125DE"/>
    <w:rsid w:val="00B13FDD"/>
    <w:rsid w:val="00B1465F"/>
    <w:rsid w:val="00B1477D"/>
    <w:rsid w:val="00B229FA"/>
    <w:rsid w:val="00B22EB2"/>
    <w:rsid w:val="00B27442"/>
    <w:rsid w:val="00B278D7"/>
    <w:rsid w:val="00B31167"/>
    <w:rsid w:val="00B329D8"/>
    <w:rsid w:val="00B32BB9"/>
    <w:rsid w:val="00B33AE1"/>
    <w:rsid w:val="00B36A19"/>
    <w:rsid w:val="00B36B13"/>
    <w:rsid w:val="00B37C38"/>
    <w:rsid w:val="00B4288C"/>
    <w:rsid w:val="00B43262"/>
    <w:rsid w:val="00B44100"/>
    <w:rsid w:val="00B44222"/>
    <w:rsid w:val="00B469FB"/>
    <w:rsid w:val="00B46CBA"/>
    <w:rsid w:val="00B46F94"/>
    <w:rsid w:val="00B47331"/>
    <w:rsid w:val="00B52C27"/>
    <w:rsid w:val="00B6003C"/>
    <w:rsid w:val="00B61F03"/>
    <w:rsid w:val="00B626E4"/>
    <w:rsid w:val="00B6583F"/>
    <w:rsid w:val="00B72F4A"/>
    <w:rsid w:val="00B737E8"/>
    <w:rsid w:val="00B76DC2"/>
    <w:rsid w:val="00B83C27"/>
    <w:rsid w:val="00B84BC3"/>
    <w:rsid w:val="00B84BDD"/>
    <w:rsid w:val="00B92812"/>
    <w:rsid w:val="00B95D00"/>
    <w:rsid w:val="00B96D3B"/>
    <w:rsid w:val="00BA0B46"/>
    <w:rsid w:val="00BB4239"/>
    <w:rsid w:val="00BB45A1"/>
    <w:rsid w:val="00BB4FD0"/>
    <w:rsid w:val="00BB550E"/>
    <w:rsid w:val="00BB6335"/>
    <w:rsid w:val="00BB7686"/>
    <w:rsid w:val="00BB7802"/>
    <w:rsid w:val="00BC015C"/>
    <w:rsid w:val="00BC23F9"/>
    <w:rsid w:val="00BC3421"/>
    <w:rsid w:val="00BC3529"/>
    <w:rsid w:val="00BC3813"/>
    <w:rsid w:val="00BC5475"/>
    <w:rsid w:val="00BC5AF1"/>
    <w:rsid w:val="00BC732C"/>
    <w:rsid w:val="00BD3716"/>
    <w:rsid w:val="00BD4421"/>
    <w:rsid w:val="00BD6942"/>
    <w:rsid w:val="00BD77BB"/>
    <w:rsid w:val="00BE217E"/>
    <w:rsid w:val="00BE2580"/>
    <w:rsid w:val="00BE266D"/>
    <w:rsid w:val="00BE3938"/>
    <w:rsid w:val="00BE4C11"/>
    <w:rsid w:val="00BE71C0"/>
    <w:rsid w:val="00BF330C"/>
    <w:rsid w:val="00BF4037"/>
    <w:rsid w:val="00BF5258"/>
    <w:rsid w:val="00BF610C"/>
    <w:rsid w:val="00BF7DDD"/>
    <w:rsid w:val="00C0060B"/>
    <w:rsid w:val="00C01A6C"/>
    <w:rsid w:val="00C0277D"/>
    <w:rsid w:val="00C02F26"/>
    <w:rsid w:val="00C04F41"/>
    <w:rsid w:val="00C053A1"/>
    <w:rsid w:val="00C078E0"/>
    <w:rsid w:val="00C107C7"/>
    <w:rsid w:val="00C11AC6"/>
    <w:rsid w:val="00C16198"/>
    <w:rsid w:val="00C16B7B"/>
    <w:rsid w:val="00C1763F"/>
    <w:rsid w:val="00C2083D"/>
    <w:rsid w:val="00C24A53"/>
    <w:rsid w:val="00C31B2A"/>
    <w:rsid w:val="00C32D95"/>
    <w:rsid w:val="00C331E0"/>
    <w:rsid w:val="00C34A05"/>
    <w:rsid w:val="00C354E1"/>
    <w:rsid w:val="00C35CCE"/>
    <w:rsid w:val="00C35D17"/>
    <w:rsid w:val="00C4032F"/>
    <w:rsid w:val="00C41F21"/>
    <w:rsid w:val="00C421F9"/>
    <w:rsid w:val="00C44047"/>
    <w:rsid w:val="00C45155"/>
    <w:rsid w:val="00C505A0"/>
    <w:rsid w:val="00C5498F"/>
    <w:rsid w:val="00C55235"/>
    <w:rsid w:val="00C62113"/>
    <w:rsid w:val="00C64CD0"/>
    <w:rsid w:val="00C65F61"/>
    <w:rsid w:val="00C6684F"/>
    <w:rsid w:val="00C671BD"/>
    <w:rsid w:val="00C70E70"/>
    <w:rsid w:val="00C70EA2"/>
    <w:rsid w:val="00C742F6"/>
    <w:rsid w:val="00C75F8D"/>
    <w:rsid w:val="00C77380"/>
    <w:rsid w:val="00C81ACC"/>
    <w:rsid w:val="00C82ECE"/>
    <w:rsid w:val="00C841ED"/>
    <w:rsid w:val="00C87E8A"/>
    <w:rsid w:val="00C913D6"/>
    <w:rsid w:val="00C97736"/>
    <w:rsid w:val="00CA345A"/>
    <w:rsid w:val="00CA5A21"/>
    <w:rsid w:val="00CB1E82"/>
    <w:rsid w:val="00CB4163"/>
    <w:rsid w:val="00CB4254"/>
    <w:rsid w:val="00CB4BA8"/>
    <w:rsid w:val="00CB4C16"/>
    <w:rsid w:val="00CB52D7"/>
    <w:rsid w:val="00CC0294"/>
    <w:rsid w:val="00CC0DBE"/>
    <w:rsid w:val="00CC6637"/>
    <w:rsid w:val="00CC6732"/>
    <w:rsid w:val="00CD0214"/>
    <w:rsid w:val="00CD0F8C"/>
    <w:rsid w:val="00CD129A"/>
    <w:rsid w:val="00CD25B4"/>
    <w:rsid w:val="00CD6ACF"/>
    <w:rsid w:val="00CE0506"/>
    <w:rsid w:val="00CE2764"/>
    <w:rsid w:val="00CE2C4A"/>
    <w:rsid w:val="00CE3C96"/>
    <w:rsid w:val="00CE51A8"/>
    <w:rsid w:val="00CF0BFE"/>
    <w:rsid w:val="00CF0FCE"/>
    <w:rsid w:val="00CF35B1"/>
    <w:rsid w:val="00CF368B"/>
    <w:rsid w:val="00CF369B"/>
    <w:rsid w:val="00CF7199"/>
    <w:rsid w:val="00CF7D81"/>
    <w:rsid w:val="00D00E28"/>
    <w:rsid w:val="00D01E46"/>
    <w:rsid w:val="00D021E9"/>
    <w:rsid w:val="00D0269E"/>
    <w:rsid w:val="00D0343B"/>
    <w:rsid w:val="00D04643"/>
    <w:rsid w:val="00D04B56"/>
    <w:rsid w:val="00D05D6C"/>
    <w:rsid w:val="00D07669"/>
    <w:rsid w:val="00D110AB"/>
    <w:rsid w:val="00D118B1"/>
    <w:rsid w:val="00D15810"/>
    <w:rsid w:val="00D16D4E"/>
    <w:rsid w:val="00D16FE3"/>
    <w:rsid w:val="00D2002E"/>
    <w:rsid w:val="00D21864"/>
    <w:rsid w:val="00D2377D"/>
    <w:rsid w:val="00D27F41"/>
    <w:rsid w:val="00D33EAC"/>
    <w:rsid w:val="00D36441"/>
    <w:rsid w:val="00D4064E"/>
    <w:rsid w:val="00D42534"/>
    <w:rsid w:val="00D43B47"/>
    <w:rsid w:val="00D43D9D"/>
    <w:rsid w:val="00D44DA8"/>
    <w:rsid w:val="00D44E9B"/>
    <w:rsid w:val="00D47AEB"/>
    <w:rsid w:val="00D50DB9"/>
    <w:rsid w:val="00D51302"/>
    <w:rsid w:val="00D52C43"/>
    <w:rsid w:val="00D554DD"/>
    <w:rsid w:val="00D60DDD"/>
    <w:rsid w:val="00D61243"/>
    <w:rsid w:val="00D62A43"/>
    <w:rsid w:val="00D64327"/>
    <w:rsid w:val="00D6507F"/>
    <w:rsid w:val="00D7122B"/>
    <w:rsid w:val="00D718C5"/>
    <w:rsid w:val="00D730BC"/>
    <w:rsid w:val="00D73912"/>
    <w:rsid w:val="00D74CE6"/>
    <w:rsid w:val="00D76901"/>
    <w:rsid w:val="00D85226"/>
    <w:rsid w:val="00D874C0"/>
    <w:rsid w:val="00D87B94"/>
    <w:rsid w:val="00D9298B"/>
    <w:rsid w:val="00D92D49"/>
    <w:rsid w:val="00D92EC1"/>
    <w:rsid w:val="00D96DEA"/>
    <w:rsid w:val="00DA4E41"/>
    <w:rsid w:val="00DB117A"/>
    <w:rsid w:val="00DB4CFF"/>
    <w:rsid w:val="00DB4EF9"/>
    <w:rsid w:val="00DB5173"/>
    <w:rsid w:val="00DB7873"/>
    <w:rsid w:val="00DC187B"/>
    <w:rsid w:val="00DC44B6"/>
    <w:rsid w:val="00DC7202"/>
    <w:rsid w:val="00DC7D7A"/>
    <w:rsid w:val="00DD1A43"/>
    <w:rsid w:val="00DD629C"/>
    <w:rsid w:val="00DD73C2"/>
    <w:rsid w:val="00DE26EE"/>
    <w:rsid w:val="00DE319B"/>
    <w:rsid w:val="00DE5B98"/>
    <w:rsid w:val="00DF34FE"/>
    <w:rsid w:val="00DF56AA"/>
    <w:rsid w:val="00DF56AF"/>
    <w:rsid w:val="00DF78E7"/>
    <w:rsid w:val="00E0400E"/>
    <w:rsid w:val="00E110E0"/>
    <w:rsid w:val="00E11644"/>
    <w:rsid w:val="00E15371"/>
    <w:rsid w:val="00E21056"/>
    <w:rsid w:val="00E24104"/>
    <w:rsid w:val="00E274FA"/>
    <w:rsid w:val="00E276EE"/>
    <w:rsid w:val="00E302D0"/>
    <w:rsid w:val="00E31E50"/>
    <w:rsid w:val="00E34FE0"/>
    <w:rsid w:val="00E35707"/>
    <w:rsid w:val="00E36AA1"/>
    <w:rsid w:val="00E40B27"/>
    <w:rsid w:val="00E41ECB"/>
    <w:rsid w:val="00E42676"/>
    <w:rsid w:val="00E44C5E"/>
    <w:rsid w:val="00E46439"/>
    <w:rsid w:val="00E54FDB"/>
    <w:rsid w:val="00E5617D"/>
    <w:rsid w:val="00E563D7"/>
    <w:rsid w:val="00E565BB"/>
    <w:rsid w:val="00E60326"/>
    <w:rsid w:val="00E65373"/>
    <w:rsid w:val="00E663F4"/>
    <w:rsid w:val="00E666F2"/>
    <w:rsid w:val="00E66DD4"/>
    <w:rsid w:val="00E67E57"/>
    <w:rsid w:val="00E71872"/>
    <w:rsid w:val="00E72062"/>
    <w:rsid w:val="00E748CC"/>
    <w:rsid w:val="00E74F15"/>
    <w:rsid w:val="00E75415"/>
    <w:rsid w:val="00E760B8"/>
    <w:rsid w:val="00E775B1"/>
    <w:rsid w:val="00E81059"/>
    <w:rsid w:val="00E810A7"/>
    <w:rsid w:val="00E8152A"/>
    <w:rsid w:val="00E84F83"/>
    <w:rsid w:val="00E850D0"/>
    <w:rsid w:val="00E93629"/>
    <w:rsid w:val="00E93B5C"/>
    <w:rsid w:val="00E94CEC"/>
    <w:rsid w:val="00E958BE"/>
    <w:rsid w:val="00E95AA8"/>
    <w:rsid w:val="00E97F0F"/>
    <w:rsid w:val="00EA04EF"/>
    <w:rsid w:val="00EA0969"/>
    <w:rsid w:val="00EA6C79"/>
    <w:rsid w:val="00EA6F19"/>
    <w:rsid w:val="00EB685F"/>
    <w:rsid w:val="00EB7090"/>
    <w:rsid w:val="00EC1BBE"/>
    <w:rsid w:val="00EC2B68"/>
    <w:rsid w:val="00EC3AEF"/>
    <w:rsid w:val="00EC5554"/>
    <w:rsid w:val="00EC5CD7"/>
    <w:rsid w:val="00ED2DCB"/>
    <w:rsid w:val="00EE1EBB"/>
    <w:rsid w:val="00EE5FB3"/>
    <w:rsid w:val="00EE7F79"/>
    <w:rsid w:val="00EF28BB"/>
    <w:rsid w:val="00EF3F45"/>
    <w:rsid w:val="00EF40AE"/>
    <w:rsid w:val="00EF715A"/>
    <w:rsid w:val="00F02D71"/>
    <w:rsid w:val="00F06E14"/>
    <w:rsid w:val="00F07E67"/>
    <w:rsid w:val="00F10563"/>
    <w:rsid w:val="00F1213A"/>
    <w:rsid w:val="00F16FF3"/>
    <w:rsid w:val="00F179D4"/>
    <w:rsid w:val="00F22A23"/>
    <w:rsid w:val="00F30BB3"/>
    <w:rsid w:val="00F33C56"/>
    <w:rsid w:val="00F347C7"/>
    <w:rsid w:val="00F34848"/>
    <w:rsid w:val="00F355A4"/>
    <w:rsid w:val="00F361D7"/>
    <w:rsid w:val="00F410BA"/>
    <w:rsid w:val="00F420AB"/>
    <w:rsid w:val="00F42D46"/>
    <w:rsid w:val="00F42D55"/>
    <w:rsid w:val="00F4496C"/>
    <w:rsid w:val="00F44F3A"/>
    <w:rsid w:val="00F50391"/>
    <w:rsid w:val="00F51F10"/>
    <w:rsid w:val="00F529A5"/>
    <w:rsid w:val="00F5310D"/>
    <w:rsid w:val="00F60F00"/>
    <w:rsid w:val="00F614C0"/>
    <w:rsid w:val="00F6183C"/>
    <w:rsid w:val="00F62A5B"/>
    <w:rsid w:val="00F63EDC"/>
    <w:rsid w:val="00F83848"/>
    <w:rsid w:val="00F86125"/>
    <w:rsid w:val="00F92662"/>
    <w:rsid w:val="00F975E9"/>
    <w:rsid w:val="00FA1B7D"/>
    <w:rsid w:val="00FA1EE9"/>
    <w:rsid w:val="00FA3EBF"/>
    <w:rsid w:val="00FA698C"/>
    <w:rsid w:val="00FB0922"/>
    <w:rsid w:val="00FB271E"/>
    <w:rsid w:val="00FB2FDF"/>
    <w:rsid w:val="00FB4A51"/>
    <w:rsid w:val="00FB6042"/>
    <w:rsid w:val="00FC07B9"/>
    <w:rsid w:val="00FC4DDC"/>
    <w:rsid w:val="00FC4E21"/>
    <w:rsid w:val="00FC5F6D"/>
    <w:rsid w:val="00FC65CD"/>
    <w:rsid w:val="00FD0107"/>
    <w:rsid w:val="00FD13A1"/>
    <w:rsid w:val="00FD2C2F"/>
    <w:rsid w:val="00FD32E8"/>
    <w:rsid w:val="00FD3982"/>
    <w:rsid w:val="00FD3B31"/>
    <w:rsid w:val="00FD5F13"/>
    <w:rsid w:val="00FE1823"/>
    <w:rsid w:val="00FE43AD"/>
    <w:rsid w:val="00FE487A"/>
    <w:rsid w:val="00FF0569"/>
    <w:rsid w:val="00FF206E"/>
    <w:rsid w:val="00FF3C3A"/>
    <w:rsid w:val="00FF3C69"/>
    <w:rsid w:val="00FF6E0A"/>
    <w:rsid w:val="00FF7B68"/>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7F7C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4F0452"/>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Style 12,(NECG) Footnote Reference,Style 124,o,fr,Style 3,Appel note de bas de p1,Appel note de bas de p2,Appel note de bas de p3,Footnote Reference/,Style 13,FR"/>
    <w:basedOn w:val="DefaultParagraphFont"/>
    <w:qFormat/>
    <w:rsid w:val="00566AB4"/>
    <w:rPr>
      <w:rFonts w:ascii="Arial" w:hAnsi="Arial"/>
      <w:vertAlign w:val="superscript"/>
    </w:rPr>
  </w:style>
  <w:style w:type="paragraph" w:styleId="FootnoteText">
    <w:name w:val="footnote text"/>
    <w:aliases w:val="Footnote text"/>
    <w:basedOn w:val="Normal"/>
    <w:uiPriority w:val="23"/>
    <w:rsid w:val="00D61243"/>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F361D7"/>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paragraph" w:styleId="ListParagraph">
    <w:name w:val="List Paragraph"/>
    <w:basedOn w:val="Normal"/>
    <w:semiHidden/>
    <w:rsid w:val="00404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399326347">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784807786">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header" Target="header5.xml"/><Relationship Id="rId26" Type="http://schemas.openxmlformats.org/officeDocument/2006/relationships/hyperlink" Target="https://www.acma.gov.au/consultations/2022-11/proposal-remake-instruments-700-mhz-1800-mhz-25-ghz-and-25-ghz-mid-band-gap-spectrum-licensed-bands-consultation-362022"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hyperlink" Target="https://www.acma.gov.au/consultations/2022-11/proposal-remake-instruments-700-mhz-1800-mhz-25-ghz-and-25-ghz-mid-band-gap-spectrum-licensed-bands-consultation-362022"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acma.gov.au/consultations/2023-09/proposal-remake-instruments-23-ghz-spectrum-licensed-ban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acma.gov.au/~/media/Spectrum%20Transformation%20and%20Government/Issue%20for%20comment/Word%20Document/IFC%2022%202015%20MBB%20Strategy%20consultation%20paper%20docx.docx" TargetMode="Externa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8.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3341</Words>
  <Characters>19044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2024-02-29T22:51:00Z</dcterms:created>
  <dcterms:modified xsi:type="dcterms:W3CDTF">2024-02-29T22:51:00Z</dcterms:modified>
  <cp:category/>
</cp:coreProperties>
</file>