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125F" w14:textId="4CEDADBB" w:rsidR="00F06E14" w:rsidRPr="00E162C4" w:rsidRDefault="007E4B25" w:rsidP="00A51D1A">
      <w:pPr>
        <w:pStyle w:val="Reporttitle"/>
      </w:pPr>
      <w:r>
        <w:t xml:space="preserve">Expiring spectrum licences: stage </w:t>
      </w:r>
      <w:r w:rsidR="00E94FBD">
        <w:t>2</w:t>
      </w:r>
    </w:p>
    <w:p w14:paraId="0E50A41A" w14:textId="525FE81B" w:rsidR="00F06E14" w:rsidRPr="00E162C4" w:rsidRDefault="007E4B25" w:rsidP="00F06E14">
      <w:pPr>
        <w:pStyle w:val="Reportsubtitle"/>
      </w:pPr>
      <w:r>
        <w:t xml:space="preserve">Information gathering, </w:t>
      </w:r>
      <w:r w:rsidR="002B0926">
        <w:t>and view</w:t>
      </w:r>
      <w:r w:rsidR="005D4F9A">
        <w:t>s</w:t>
      </w:r>
      <w:r w:rsidR="002B0926">
        <w:t xml:space="preserve"> on uses of </w:t>
      </w:r>
      <w:r w:rsidR="00A57C7D">
        <w:t xml:space="preserve">frequency </w:t>
      </w:r>
      <w:r w:rsidR="004221B9">
        <w:t>band</w:t>
      </w:r>
      <w:r w:rsidR="00921D66">
        <w:t>s</w:t>
      </w:r>
      <w:r w:rsidR="004221B9">
        <w:t xml:space="preserve"> </w:t>
      </w:r>
      <w:r w:rsidR="00A57C7D">
        <w:t xml:space="preserve">and </w:t>
      </w:r>
      <w:r w:rsidR="002B0926">
        <w:t xml:space="preserve">alternative </w:t>
      </w:r>
      <w:r w:rsidR="004221B9">
        <w:t xml:space="preserve">licence </w:t>
      </w:r>
      <w:proofErr w:type="gramStart"/>
      <w:r w:rsidR="004221B9">
        <w:t>conditions</w:t>
      </w:r>
      <w:proofErr w:type="gramEnd"/>
    </w:p>
    <w:p w14:paraId="46B427E7" w14:textId="198E5DDC" w:rsidR="00C97736" w:rsidRPr="00E162C4" w:rsidRDefault="004221B9"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March</w:t>
      </w:r>
      <w:r w:rsidRPr="00E162C4">
        <w:t xml:space="preserve"> </w:t>
      </w:r>
      <w:r w:rsidR="00BD4421" w:rsidRPr="00E162C4">
        <w:t>20</w:t>
      </w:r>
      <w:r w:rsidR="008E0428" w:rsidRPr="00E162C4">
        <w:t>2</w:t>
      </w:r>
      <w:r w:rsidR="00D04C32">
        <w:t>4</w:t>
      </w:r>
    </w:p>
    <w:p w14:paraId="086B9413" w14:textId="77777777" w:rsidR="0005011A" w:rsidRPr="00E162C4" w:rsidRDefault="0005011A" w:rsidP="00FC07B9">
      <w:pPr>
        <w:pStyle w:val="ACMACorporateAddressHeader"/>
      </w:pPr>
      <w:r w:rsidRPr="00E162C4">
        <w:lastRenderedPageBreak/>
        <w:t>Canberra</w:t>
      </w:r>
    </w:p>
    <w:p w14:paraId="221C5780" w14:textId="77777777" w:rsidR="0005011A" w:rsidRPr="00E162C4" w:rsidRDefault="00C7746C" w:rsidP="00FC07B9">
      <w:pPr>
        <w:pStyle w:val="ACMACorporateAddresses"/>
      </w:pPr>
      <w:r>
        <w:t>Level 3</w:t>
      </w:r>
      <w:r>
        <w:br/>
        <w:t>40 Cameron Avenue</w:t>
      </w:r>
      <w:r w:rsidR="0005011A" w:rsidRPr="00E162C4">
        <w:t xml:space="preserve"> </w:t>
      </w:r>
      <w:r w:rsidR="0005011A" w:rsidRPr="00E162C4">
        <w:br/>
        <w:t>Belconnen ACT</w:t>
      </w:r>
    </w:p>
    <w:p w14:paraId="34557EA0" w14:textId="77777777" w:rsidR="0005011A" w:rsidRPr="00E162C4" w:rsidRDefault="0005011A" w:rsidP="00FC07B9">
      <w:pPr>
        <w:pStyle w:val="ACMACorporateAddresses"/>
      </w:pPr>
      <w:r w:rsidRPr="00E162C4">
        <w:t>PO Box 78</w:t>
      </w:r>
      <w:r w:rsidRPr="00E162C4">
        <w:br/>
        <w:t>Belconnen ACT 2616</w:t>
      </w:r>
    </w:p>
    <w:p w14:paraId="4EE791A5"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24CB58C2" w14:textId="77777777" w:rsidR="0005011A" w:rsidRPr="00E162C4" w:rsidRDefault="0005011A" w:rsidP="00FC07B9">
      <w:pPr>
        <w:pStyle w:val="ACMACorporateAddressHeader"/>
      </w:pPr>
      <w:r w:rsidRPr="00E162C4">
        <w:t>Melbourne</w:t>
      </w:r>
    </w:p>
    <w:p w14:paraId="2818E0F2"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5D7A6EEA"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3CFE0064"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7761E00E" w14:textId="77777777" w:rsidR="0005011A" w:rsidRPr="00E162C4" w:rsidRDefault="0005011A" w:rsidP="00FC07B9">
      <w:pPr>
        <w:pStyle w:val="ACMACorporateAddressHeader"/>
      </w:pPr>
      <w:r w:rsidRPr="00E162C4">
        <w:t>Sydney</w:t>
      </w:r>
    </w:p>
    <w:p w14:paraId="00DD703A"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4A270D5A"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57381CF2"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1EBB60C2" w14:textId="77777777" w:rsidR="00140318" w:rsidRPr="00E162C4" w:rsidRDefault="00140318" w:rsidP="00D04C32">
      <w:pPr>
        <w:pStyle w:val="ACMACopyrightHeader"/>
        <w:spacing w:before="4560"/>
      </w:pPr>
      <w:r w:rsidRPr="00E162C4">
        <w:t>Copyright notice</w:t>
      </w:r>
    </w:p>
    <w:p w14:paraId="157BBB16" w14:textId="26E04825" w:rsidR="00140318" w:rsidRPr="00E162C4" w:rsidRDefault="00623FF9" w:rsidP="00623FF9">
      <w:pPr>
        <w:pStyle w:val="ACMACClogo"/>
      </w:pPr>
      <w:r w:rsidRPr="00E162C4">
        <w:rPr>
          <w:noProof/>
        </w:rPr>
        <w:drawing>
          <wp:inline distT="0" distB="0" distL="0" distR="0" wp14:anchorId="4520D5BE" wp14:editId="17B4B4B1">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6C4EED8" w14:textId="77777777" w:rsidR="00AA2DE5" w:rsidRPr="00E162C4" w:rsidRDefault="00463061" w:rsidP="00AA2DE5">
      <w:pPr>
        <w:pStyle w:val="ACMACorporateAddresses"/>
        <w:rPr>
          <w:rStyle w:val="Hyperlink"/>
        </w:rPr>
      </w:pPr>
      <w:hyperlink r:id="rId13" w:history="1">
        <w:r w:rsidR="00AA2DE5" w:rsidRPr="00E162C4">
          <w:rPr>
            <w:rStyle w:val="Hyperlink"/>
          </w:rPr>
          <w:t>https://creativecommons.org/licenses/by/4.0/</w:t>
        </w:r>
      </w:hyperlink>
    </w:p>
    <w:p w14:paraId="0C0BA29F" w14:textId="77777777" w:rsidR="00AA2DE5" w:rsidRPr="00E162C4" w:rsidRDefault="00D04C32" w:rsidP="00AA2DE5">
      <w:pPr>
        <w:pStyle w:val="ACMACorporateAddresses"/>
      </w:pPr>
      <w:r>
        <w:t xml:space="preserve">Except for </w:t>
      </w:r>
      <w:r w:rsidR="007C509D">
        <w:t>the Commonwealth</w:t>
      </w:r>
      <w:r w:rsidR="00AA2DE5" w:rsidRPr="00E162C4">
        <w:t xml:space="preserve"> </w:t>
      </w:r>
      <w:r w:rsidR="007C509D">
        <w:t>C</w:t>
      </w:r>
      <w:r w:rsidR="00AA2DE5" w:rsidRPr="00E162C4">
        <w:t xml:space="preserve">oat of </w:t>
      </w:r>
      <w:r w:rsidR="007C509D">
        <w:t>A</w:t>
      </w:r>
      <w:r w:rsidR="00AA2DE5" w:rsidRPr="00E162C4">
        <w:t xml:space="preserve">rms, logos, emblems, images, other third-party material or devices protected by a trademark, this content is made available under the terms of the Creative Commons Attribution 4.0 International (CC BY 4.0) licence. </w:t>
      </w:r>
    </w:p>
    <w:p w14:paraId="356A728C" w14:textId="77777777" w:rsidR="00AA2DE5" w:rsidRPr="00E162C4" w:rsidRDefault="00AA2DE5" w:rsidP="00AA2DE5">
      <w:pPr>
        <w:pStyle w:val="ACMACorporateAddresses"/>
      </w:pPr>
      <w:r w:rsidRPr="00E162C4">
        <w:t>All other rights are reserved.</w:t>
      </w:r>
    </w:p>
    <w:p w14:paraId="4FB934F5" w14:textId="77777777" w:rsidR="00D04C32" w:rsidRDefault="00AA2DE5" w:rsidP="00D16FE3">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0F317B84" w14:textId="77777777" w:rsidR="00D16FE3" w:rsidRPr="00D04C32" w:rsidRDefault="00D04C32" w:rsidP="00D16FE3">
      <w:pPr>
        <w:pStyle w:val="ACMACorporateAddresses"/>
        <w:rPr>
          <w:rStyle w:val="Hyperlink"/>
          <w:color w:val="auto"/>
          <w:u w:val="none"/>
        </w:rPr>
      </w:pPr>
      <w:r w:rsidRPr="00E162C4">
        <w:t>We request attribution as © Commonwealth of Australia (Australian Communications and Media Authority) 202</w:t>
      </w:r>
      <w:r>
        <w:t>4</w:t>
      </w:r>
      <w:r w:rsidRPr="00E162C4">
        <w:t>.</w:t>
      </w:r>
      <w:r w:rsidR="00AA2DE5" w:rsidRPr="00E162C4">
        <w:t xml:space="preserve"> </w:t>
      </w:r>
    </w:p>
    <w:p w14:paraId="785C28A1" w14:textId="77777777" w:rsidR="00D16FE3" w:rsidRPr="00E162C4" w:rsidRDefault="00D16FE3" w:rsidP="00D16FE3">
      <w:pPr>
        <w:pStyle w:val="ACMACorporateAddresses"/>
        <w:sectPr w:rsidR="00D16FE3" w:rsidRPr="00E162C4">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1DA9B7A0" w14:textId="1272E438" w:rsidR="004431FE" w:rsidRDefault="006A3ECF">
      <w:pPr>
        <w:pStyle w:val="TOC1"/>
        <w:rPr>
          <w:rFonts w:asciiTheme="minorHAnsi" w:eastAsiaTheme="minorEastAsia" w:hAnsiTheme="minorHAnsi" w:cstheme="minorBidi"/>
          <w:b w:val="0"/>
          <w:spacing w:val="0"/>
          <w:kern w:val="2"/>
          <w:sz w:val="22"/>
          <w:szCs w:val="22"/>
          <w14:ligatures w14:val="standardContextual"/>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61756515" w:history="1">
        <w:r w:rsidR="004431FE" w:rsidRPr="00A21C66">
          <w:rPr>
            <w:rStyle w:val="Hyperlink"/>
          </w:rPr>
          <w:t>Executive summary</w:t>
        </w:r>
        <w:r w:rsidR="004431FE">
          <w:rPr>
            <w:webHidden/>
          </w:rPr>
          <w:tab/>
        </w:r>
        <w:r w:rsidR="004431FE">
          <w:rPr>
            <w:webHidden/>
          </w:rPr>
          <w:fldChar w:fldCharType="begin"/>
        </w:r>
        <w:r w:rsidR="004431FE">
          <w:rPr>
            <w:webHidden/>
          </w:rPr>
          <w:instrText xml:space="preserve"> PAGEREF _Toc161756515 \h </w:instrText>
        </w:r>
        <w:r w:rsidR="004431FE">
          <w:rPr>
            <w:webHidden/>
          </w:rPr>
        </w:r>
        <w:r w:rsidR="004431FE">
          <w:rPr>
            <w:webHidden/>
          </w:rPr>
          <w:fldChar w:fldCharType="separate"/>
        </w:r>
        <w:r w:rsidR="004431FE">
          <w:rPr>
            <w:webHidden/>
          </w:rPr>
          <w:t>1</w:t>
        </w:r>
        <w:r w:rsidR="004431FE">
          <w:rPr>
            <w:webHidden/>
          </w:rPr>
          <w:fldChar w:fldCharType="end"/>
        </w:r>
      </w:hyperlink>
    </w:p>
    <w:p w14:paraId="12F63FD5" w14:textId="0E0DD72F" w:rsidR="004431FE" w:rsidRDefault="00463061">
      <w:pPr>
        <w:pStyle w:val="TOC1"/>
        <w:rPr>
          <w:rFonts w:asciiTheme="minorHAnsi" w:eastAsiaTheme="minorEastAsia" w:hAnsiTheme="minorHAnsi" w:cstheme="minorBidi"/>
          <w:b w:val="0"/>
          <w:spacing w:val="0"/>
          <w:kern w:val="2"/>
          <w:sz w:val="22"/>
          <w:szCs w:val="22"/>
          <w14:ligatures w14:val="standardContextual"/>
        </w:rPr>
      </w:pPr>
      <w:hyperlink w:anchor="_Toc161756516" w:history="1">
        <w:r w:rsidR="004431FE" w:rsidRPr="00A21C66">
          <w:rPr>
            <w:rStyle w:val="Hyperlink"/>
          </w:rPr>
          <w:t>Issues for comment</w:t>
        </w:r>
        <w:r w:rsidR="004431FE">
          <w:rPr>
            <w:webHidden/>
          </w:rPr>
          <w:tab/>
        </w:r>
        <w:r w:rsidR="004431FE">
          <w:rPr>
            <w:webHidden/>
          </w:rPr>
          <w:fldChar w:fldCharType="begin"/>
        </w:r>
        <w:r w:rsidR="004431FE">
          <w:rPr>
            <w:webHidden/>
          </w:rPr>
          <w:instrText xml:space="preserve"> PAGEREF _Toc161756516 \h </w:instrText>
        </w:r>
        <w:r w:rsidR="004431FE">
          <w:rPr>
            <w:webHidden/>
          </w:rPr>
        </w:r>
        <w:r w:rsidR="004431FE">
          <w:rPr>
            <w:webHidden/>
          </w:rPr>
          <w:fldChar w:fldCharType="separate"/>
        </w:r>
        <w:r w:rsidR="004431FE">
          <w:rPr>
            <w:webHidden/>
          </w:rPr>
          <w:t>3</w:t>
        </w:r>
        <w:r w:rsidR="004431FE">
          <w:rPr>
            <w:webHidden/>
          </w:rPr>
          <w:fldChar w:fldCharType="end"/>
        </w:r>
      </w:hyperlink>
    </w:p>
    <w:p w14:paraId="0BFB8588" w14:textId="76F4D2A5" w:rsidR="004431FE" w:rsidRDefault="00463061">
      <w:pPr>
        <w:pStyle w:val="TOC1"/>
        <w:rPr>
          <w:rFonts w:asciiTheme="minorHAnsi" w:eastAsiaTheme="minorEastAsia" w:hAnsiTheme="minorHAnsi" w:cstheme="minorBidi"/>
          <w:b w:val="0"/>
          <w:spacing w:val="0"/>
          <w:kern w:val="2"/>
          <w:sz w:val="22"/>
          <w:szCs w:val="22"/>
          <w14:ligatures w14:val="standardContextual"/>
        </w:rPr>
      </w:pPr>
      <w:hyperlink w:anchor="_Toc161756517" w:history="1">
        <w:r w:rsidR="004431FE" w:rsidRPr="00A21C66">
          <w:rPr>
            <w:rStyle w:val="Hyperlink"/>
          </w:rPr>
          <w:t>Introduction</w:t>
        </w:r>
        <w:r w:rsidR="004431FE">
          <w:rPr>
            <w:webHidden/>
          </w:rPr>
          <w:tab/>
        </w:r>
        <w:r w:rsidR="004431FE">
          <w:rPr>
            <w:webHidden/>
          </w:rPr>
          <w:fldChar w:fldCharType="begin"/>
        </w:r>
        <w:r w:rsidR="004431FE">
          <w:rPr>
            <w:webHidden/>
          </w:rPr>
          <w:instrText xml:space="preserve"> PAGEREF _Toc161756517 \h </w:instrText>
        </w:r>
        <w:r w:rsidR="004431FE">
          <w:rPr>
            <w:webHidden/>
          </w:rPr>
        </w:r>
        <w:r w:rsidR="004431FE">
          <w:rPr>
            <w:webHidden/>
          </w:rPr>
          <w:fldChar w:fldCharType="separate"/>
        </w:r>
        <w:r w:rsidR="004431FE">
          <w:rPr>
            <w:webHidden/>
          </w:rPr>
          <w:t>4</w:t>
        </w:r>
        <w:r w:rsidR="004431FE">
          <w:rPr>
            <w:webHidden/>
          </w:rPr>
          <w:fldChar w:fldCharType="end"/>
        </w:r>
      </w:hyperlink>
    </w:p>
    <w:p w14:paraId="4B3E59E5" w14:textId="58650B2F"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18" w:history="1">
        <w:r w:rsidR="004431FE" w:rsidRPr="00A21C66">
          <w:rPr>
            <w:rStyle w:val="Hyperlink"/>
          </w:rPr>
          <w:t>Spectrum licences</w:t>
        </w:r>
        <w:r w:rsidR="004431FE">
          <w:rPr>
            <w:webHidden/>
          </w:rPr>
          <w:tab/>
        </w:r>
        <w:r w:rsidR="004431FE">
          <w:rPr>
            <w:webHidden/>
          </w:rPr>
          <w:fldChar w:fldCharType="begin"/>
        </w:r>
        <w:r w:rsidR="004431FE">
          <w:rPr>
            <w:webHidden/>
          </w:rPr>
          <w:instrText xml:space="preserve"> PAGEREF _Toc161756518 \h </w:instrText>
        </w:r>
        <w:r w:rsidR="004431FE">
          <w:rPr>
            <w:webHidden/>
          </w:rPr>
        </w:r>
        <w:r w:rsidR="004431FE">
          <w:rPr>
            <w:webHidden/>
          </w:rPr>
          <w:fldChar w:fldCharType="separate"/>
        </w:r>
        <w:r w:rsidR="004431FE">
          <w:rPr>
            <w:webHidden/>
          </w:rPr>
          <w:t>4</w:t>
        </w:r>
        <w:r w:rsidR="004431FE">
          <w:rPr>
            <w:webHidden/>
          </w:rPr>
          <w:fldChar w:fldCharType="end"/>
        </w:r>
      </w:hyperlink>
    </w:p>
    <w:p w14:paraId="320B7577" w14:textId="05F551E3"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19" w:history="1">
        <w:r w:rsidR="004431FE" w:rsidRPr="00A21C66">
          <w:rPr>
            <w:rStyle w:val="Hyperlink"/>
          </w:rPr>
          <w:t>Expiring spectrum licences</w:t>
        </w:r>
        <w:r w:rsidR="004431FE">
          <w:rPr>
            <w:webHidden/>
          </w:rPr>
          <w:tab/>
        </w:r>
        <w:r w:rsidR="004431FE">
          <w:rPr>
            <w:webHidden/>
          </w:rPr>
          <w:fldChar w:fldCharType="begin"/>
        </w:r>
        <w:r w:rsidR="004431FE">
          <w:rPr>
            <w:webHidden/>
          </w:rPr>
          <w:instrText xml:space="preserve"> PAGEREF _Toc161756519 \h </w:instrText>
        </w:r>
        <w:r w:rsidR="004431FE">
          <w:rPr>
            <w:webHidden/>
          </w:rPr>
        </w:r>
        <w:r w:rsidR="004431FE">
          <w:rPr>
            <w:webHidden/>
          </w:rPr>
          <w:fldChar w:fldCharType="separate"/>
        </w:r>
        <w:r w:rsidR="004431FE">
          <w:rPr>
            <w:webHidden/>
          </w:rPr>
          <w:t>4</w:t>
        </w:r>
        <w:r w:rsidR="004431FE">
          <w:rPr>
            <w:webHidden/>
          </w:rPr>
          <w:fldChar w:fldCharType="end"/>
        </w:r>
      </w:hyperlink>
    </w:p>
    <w:p w14:paraId="7CA636CF" w14:textId="1B51AF76"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20" w:history="1">
        <w:r w:rsidR="004431FE" w:rsidRPr="00A21C66">
          <w:rPr>
            <w:rStyle w:val="Hyperlink"/>
          </w:rPr>
          <w:t>The ESL process</w:t>
        </w:r>
        <w:r w:rsidR="004431FE">
          <w:rPr>
            <w:webHidden/>
          </w:rPr>
          <w:tab/>
        </w:r>
        <w:r w:rsidR="004431FE">
          <w:rPr>
            <w:webHidden/>
          </w:rPr>
          <w:fldChar w:fldCharType="begin"/>
        </w:r>
        <w:r w:rsidR="004431FE">
          <w:rPr>
            <w:webHidden/>
          </w:rPr>
          <w:instrText xml:space="preserve"> PAGEREF _Toc161756520 \h </w:instrText>
        </w:r>
        <w:r w:rsidR="004431FE">
          <w:rPr>
            <w:webHidden/>
          </w:rPr>
        </w:r>
        <w:r w:rsidR="004431FE">
          <w:rPr>
            <w:webHidden/>
          </w:rPr>
          <w:fldChar w:fldCharType="separate"/>
        </w:r>
        <w:r w:rsidR="004431FE">
          <w:rPr>
            <w:webHidden/>
          </w:rPr>
          <w:t>7</w:t>
        </w:r>
        <w:r w:rsidR="004431FE">
          <w:rPr>
            <w:webHidden/>
          </w:rPr>
          <w:fldChar w:fldCharType="end"/>
        </w:r>
      </w:hyperlink>
    </w:p>
    <w:p w14:paraId="0F91A893" w14:textId="47420FB7"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21" w:history="1">
        <w:r w:rsidR="004431FE" w:rsidRPr="00A21C66">
          <w:rPr>
            <w:rStyle w:val="Hyperlink"/>
            <w:rFonts w:eastAsia="Arial"/>
          </w:rPr>
          <w:t>Consultation on Ministerial policy statement (MPS)</w:t>
        </w:r>
        <w:r w:rsidR="004431FE">
          <w:rPr>
            <w:webHidden/>
          </w:rPr>
          <w:tab/>
        </w:r>
        <w:r w:rsidR="004431FE">
          <w:rPr>
            <w:webHidden/>
          </w:rPr>
          <w:fldChar w:fldCharType="begin"/>
        </w:r>
        <w:r w:rsidR="004431FE">
          <w:rPr>
            <w:webHidden/>
          </w:rPr>
          <w:instrText xml:space="preserve"> PAGEREF _Toc161756521 \h </w:instrText>
        </w:r>
        <w:r w:rsidR="004431FE">
          <w:rPr>
            <w:webHidden/>
          </w:rPr>
        </w:r>
        <w:r w:rsidR="004431FE">
          <w:rPr>
            <w:webHidden/>
          </w:rPr>
          <w:fldChar w:fldCharType="separate"/>
        </w:r>
        <w:r w:rsidR="004431FE">
          <w:rPr>
            <w:webHidden/>
          </w:rPr>
          <w:t>7</w:t>
        </w:r>
        <w:r w:rsidR="004431FE">
          <w:rPr>
            <w:webHidden/>
          </w:rPr>
          <w:fldChar w:fldCharType="end"/>
        </w:r>
      </w:hyperlink>
    </w:p>
    <w:p w14:paraId="61FCCF2A" w14:textId="4CBACEF5" w:rsidR="004431FE" w:rsidRDefault="00463061">
      <w:pPr>
        <w:pStyle w:val="TOC1"/>
        <w:rPr>
          <w:rFonts w:asciiTheme="minorHAnsi" w:eastAsiaTheme="minorEastAsia" w:hAnsiTheme="minorHAnsi" w:cstheme="minorBidi"/>
          <w:b w:val="0"/>
          <w:spacing w:val="0"/>
          <w:kern w:val="2"/>
          <w:sz w:val="22"/>
          <w:szCs w:val="22"/>
          <w14:ligatures w14:val="standardContextual"/>
        </w:rPr>
      </w:pPr>
      <w:hyperlink w:anchor="_Toc161756522" w:history="1">
        <w:r w:rsidR="004431FE" w:rsidRPr="00A21C66">
          <w:rPr>
            <w:rStyle w:val="Hyperlink"/>
          </w:rPr>
          <w:t>Information-gathering exercise</w:t>
        </w:r>
        <w:r w:rsidR="004431FE">
          <w:rPr>
            <w:webHidden/>
          </w:rPr>
          <w:tab/>
        </w:r>
        <w:r w:rsidR="004431FE">
          <w:rPr>
            <w:webHidden/>
          </w:rPr>
          <w:fldChar w:fldCharType="begin"/>
        </w:r>
        <w:r w:rsidR="004431FE">
          <w:rPr>
            <w:webHidden/>
          </w:rPr>
          <w:instrText xml:space="preserve"> PAGEREF _Toc161756522 \h </w:instrText>
        </w:r>
        <w:r w:rsidR="004431FE">
          <w:rPr>
            <w:webHidden/>
          </w:rPr>
        </w:r>
        <w:r w:rsidR="004431FE">
          <w:rPr>
            <w:webHidden/>
          </w:rPr>
          <w:fldChar w:fldCharType="separate"/>
        </w:r>
        <w:r w:rsidR="004431FE">
          <w:rPr>
            <w:webHidden/>
          </w:rPr>
          <w:t>9</w:t>
        </w:r>
        <w:r w:rsidR="004431FE">
          <w:rPr>
            <w:webHidden/>
          </w:rPr>
          <w:fldChar w:fldCharType="end"/>
        </w:r>
      </w:hyperlink>
    </w:p>
    <w:p w14:paraId="3AA46E34" w14:textId="767B80F0"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23" w:history="1">
        <w:r w:rsidR="004431FE" w:rsidRPr="00A21C66">
          <w:rPr>
            <w:rStyle w:val="Hyperlink"/>
          </w:rPr>
          <w:t>How we will use the information gathered</w:t>
        </w:r>
        <w:r w:rsidR="004431FE">
          <w:rPr>
            <w:webHidden/>
          </w:rPr>
          <w:tab/>
        </w:r>
        <w:r w:rsidR="004431FE">
          <w:rPr>
            <w:webHidden/>
          </w:rPr>
          <w:fldChar w:fldCharType="begin"/>
        </w:r>
        <w:r w:rsidR="004431FE">
          <w:rPr>
            <w:webHidden/>
          </w:rPr>
          <w:instrText xml:space="preserve"> PAGEREF _Toc161756523 \h </w:instrText>
        </w:r>
        <w:r w:rsidR="004431FE">
          <w:rPr>
            <w:webHidden/>
          </w:rPr>
        </w:r>
        <w:r w:rsidR="004431FE">
          <w:rPr>
            <w:webHidden/>
          </w:rPr>
          <w:fldChar w:fldCharType="separate"/>
        </w:r>
        <w:r w:rsidR="004431FE">
          <w:rPr>
            <w:webHidden/>
          </w:rPr>
          <w:t>9</w:t>
        </w:r>
        <w:r w:rsidR="004431FE">
          <w:rPr>
            <w:webHidden/>
          </w:rPr>
          <w:fldChar w:fldCharType="end"/>
        </w:r>
      </w:hyperlink>
    </w:p>
    <w:p w14:paraId="5124829A" w14:textId="2FCAA781"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24" w:history="1">
        <w:r w:rsidR="004431FE" w:rsidRPr="00A21C66">
          <w:rPr>
            <w:rStyle w:val="Hyperlink"/>
          </w:rPr>
          <w:t>Guidance for all stakeholders</w:t>
        </w:r>
        <w:r w:rsidR="004431FE">
          <w:rPr>
            <w:webHidden/>
          </w:rPr>
          <w:tab/>
        </w:r>
        <w:r w:rsidR="004431FE">
          <w:rPr>
            <w:webHidden/>
          </w:rPr>
          <w:fldChar w:fldCharType="begin"/>
        </w:r>
        <w:r w:rsidR="004431FE">
          <w:rPr>
            <w:webHidden/>
          </w:rPr>
          <w:instrText xml:space="preserve"> PAGEREF _Toc161756524 \h </w:instrText>
        </w:r>
        <w:r w:rsidR="004431FE">
          <w:rPr>
            <w:webHidden/>
          </w:rPr>
        </w:r>
        <w:r w:rsidR="004431FE">
          <w:rPr>
            <w:webHidden/>
          </w:rPr>
          <w:fldChar w:fldCharType="separate"/>
        </w:r>
        <w:r w:rsidR="004431FE">
          <w:rPr>
            <w:webHidden/>
          </w:rPr>
          <w:t>10</w:t>
        </w:r>
        <w:r w:rsidR="004431FE">
          <w:rPr>
            <w:webHidden/>
          </w:rPr>
          <w:fldChar w:fldCharType="end"/>
        </w:r>
      </w:hyperlink>
    </w:p>
    <w:p w14:paraId="00B33341" w14:textId="1B679265"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25" w:history="1">
        <w:r w:rsidR="004431FE" w:rsidRPr="00A21C66">
          <w:rPr>
            <w:rStyle w:val="Hyperlink"/>
          </w:rPr>
          <w:t>Guidance for incumbent licensees</w:t>
        </w:r>
        <w:r w:rsidR="004431FE">
          <w:rPr>
            <w:webHidden/>
          </w:rPr>
          <w:tab/>
        </w:r>
        <w:r w:rsidR="004431FE">
          <w:rPr>
            <w:webHidden/>
          </w:rPr>
          <w:fldChar w:fldCharType="begin"/>
        </w:r>
        <w:r w:rsidR="004431FE">
          <w:rPr>
            <w:webHidden/>
          </w:rPr>
          <w:instrText xml:space="preserve"> PAGEREF _Toc161756525 \h </w:instrText>
        </w:r>
        <w:r w:rsidR="004431FE">
          <w:rPr>
            <w:webHidden/>
          </w:rPr>
        </w:r>
        <w:r w:rsidR="004431FE">
          <w:rPr>
            <w:webHidden/>
          </w:rPr>
          <w:fldChar w:fldCharType="separate"/>
        </w:r>
        <w:r w:rsidR="004431FE">
          <w:rPr>
            <w:webHidden/>
          </w:rPr>
          <w:t>11</w:t>
        </w:r>
        <w:r w:rsidR="004431FE">
          <w:rPr>
            <w:webHidden/>
          </w:rPr>
          <w:fldChar w:fldCharType="end"/>
        </w:r>
      </w:hyperlink>
    </w:p>
    <w:p w14:paraId="75C1E7E7" w14:textId="041F9A6C"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26" w:history="1">
        <w:r w:rsidR="004431FE" w:rsidRPr="00A21C66">
          <w:rPr>
            <w:rStyle w:val="Hyperlink"/>
          </w:rPr>
          <w:t>Information requested from incumbent licensees</w:t>
        </w:r>
        <w:r w:rsidR="004431FE">
          <w:rPr>
            <w:webHidden/>
          </w:rPr>
          <w:tab/>
        </w:r>
        <w:r w:rsidR="004431FE">
          <w:rPr>
            <w:webHidden/>
          </w:rPr>
          <w:fldChar w:fldCharType="begin"/>
        </w:r>
        <w:r w:rsidR="004431FE">
          <w:rPr>
            <w:webHidden/>
          </w:rPr>
          <w:instrText xml:space="preserve"> PAGEREF _Toc161756526 \h </w:instrText>
        </w:r>
        <w:r w:rsidR="004431FE">
          <w:rPr>
            <w:webHidden/>
          </w:rPr>
        </w:r>
        <w:r w:rsidR="004431FE">
          <w:rPr>
            <w:webHidden/>
          </w:rPr>
          <w:fldChar w:fldCharType="separate"/>
        </w:r>
        <w:r w:rsidR="004431FE">
          <w:rPr>
            <w:webHidden/>
          </w:rPr>
          <w:t>12</w:t>
        </w:r>
        <w:r w:rsidR="004431FE">
          <w:rPr>
            <w:webHidden/>
          </w:rPr>
          <w:fldChar w:fldCharType="end"/>
        </w:r>
      </w:hyperlink>
    </w:p>
    <w:p w14:paraId="2AEA77F7" w14:textId="2A03BA88"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27" w:history="1">
        <w:r w:rsidR="004431FE" w:rsidRPr="00A21C66">
          <w:rPr>
            <w:rStyle w:val="Hyperlink"/>
          </w:rPr>
          <w:t>Guidance for prospective alternative licensees</w:t>
        </w:r>
        <w:r w:rsidR="004431FE">
          <w:rPr>
            <w:webHidden/>
          </w:rPr>
          <w:tab/>
        </w:r>
        <w:r w:rsidR="004431FE">
          <w:rPr>
            <w:webHidden/>
          </w:rPr>
          <w:fldChar w:fldCharType="begin"/>
        </w:r>
        <w:r w:rsidR="004431FE">
          <w:rPr>
            <w:webHidden/>
          </w:rPr>
          <w:instrText xml:space="preserve"> PAGEREF _Toc161756527 \h </w:instrText>
        </w:r>
        <w:r w:rsidR="004431FE">
          <w:rPr>
            <w:webHidden/>
          </w:rPr>
        </w:r>
        <w:r w:rsidR="004431FE">
          <w:rPr>
            <w:webHidden/>
          </w:rPr>
          <w:fldChar w:fldCharType="separate"/>
        </w:r>
        <w:r w:rsidR="004431FE">
          <w:rPr>
            <w:webHidden/>
          </w:rPr>
          <w:t>14</w:t>
        </w:r>
        <w:r w:rsidR="004431FE">
          <w:rPr>
            <w:webHidden/>
          </w:rPr>
          <w:fldChar w:fldCharType="end"/>
        </w:r>
      </w:hyperlink>
    </w:p>
    <w:p w14:paraId="00090518" w14:textId="57CF891B"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28" w:history="1">
        <w:r w:rsidR="004431FE" w:rsidRPr="00A21C66">
          <w:rPr>
            <w:rStyle w:val="Hyperlink"/>
          </w:rPr>
          <w:t>Information requested from prospective alternative licensees</w:t>
        </w:r>
        <w:r w:rsidR="004431FE">
          <w:rPr>
            <w:webHidden/>
          </w:rPr>
          <w:tab/>
        </w:r>
        <w:r w:rsidR="004431FE">
          <w:rPr>
            <w:webHidden/>
          </w:rPr>
          <w:fldChar w:fldCharType="begin"/>
        </w:r>
        <w:r w:rsidR="004431FE">
          <w:rPr>
            <w:webHidden/>
          </w:rPr>
          <w:instrText xml:space="preserve"> PAGEREF _Toc161756528 \h </w:instrText>
        </w:r>
        <w:r w:rsidR="004431FE">
          <w:rPr>
            <w:webHidden/>
          </w:rPr>
        </w:r>
        <w:r w:rsidR="004431FE">
          <w:rPr>
            <w:webHidden/>
          </w:rPr>
          <w:fldChar w:fldCharType="separate"/>
        </w:r>
        <w:r w:rsidR="004431FE">
          <w:rPr>
            <w:webHidden/>
          </w:rPr>
          <w:t>15</w:t>
        </w:r>
        <w:r w:rsidR="004431FE">
          <w:rPr>
            <w:webHidden/>
          </w:rPr>
          <w:fldChar w:fldCharType="end"/>
        </w:r>
      </w:hyperlink>
    </w:p>
    <w:p w14:paraId="75150C55" w14:textId="5DCD6781"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29" w:history="1">
        <w:r w:rsidR="004431FE" w:rsidRPr="00A21C66">
          <w:rPr>
            <w:rStyle w:val="Hyperlink"/>
          </w:rPr>
          <w:t>Resilience and temporary disaster responses</w:t>
        </w:r>
        <w:r w:rsidR="004431FE">
          <w:rPr>
            <w:webHidden/>
          </w:rPr>
          <w:tab/>
        </w:r>
        <w:r w:rsidR="004431FE">
          <w:rPr>
            <w:webHidden/>
          </w:rPr>
          <w:fldChar w:fldCharType="begin"/>
        </w:r>
        <w:r w:rsidR="004431FE">
          <w:rPr>
            <w:webHidden/>
          </w:rPr>
          <w:instrText xml:space="preserve"> PAGEREF _Toc161756529 \h </w:instrText>
        </w:r>
        <w:r w:rsidR="004431FE">
          <w:rPr>
            <w:webHidden/>
          </w:rPr>
        </w:r>
        <w:r w:rsidR="004431FE">
          <w:rPr>
            <w:webHidden/>
          </w:rPr>
          <w:fldChar w:fldCharType="separate"/>
        </w:r>
        <w:r w:rsidR="004431FE">
          <w:rPr>
            <w:webHidden/>
          </w:rPr>
          <w:t>16</w:t>
        </w:r>
        <w:r w:rsidR="004431FE">
          <w:rPr>
            <w:webHidden/>
          </w:rPr>
          <w:fldChar w:fldCharType="end"/>
        </w:r>
      </w:hyperlink>
    </w:p>
    <w:p w14:paraId="438715F0" w14:textId="00AB5BA7"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30" w:history="1">
        <w:r w:rsidR="004431FE" w:rsidRPr="00A21C66">
          <w:rPr>
            <w:rStyle w:val="Hyperlink"/>
          </w:rPr>
          <w:t>Coverage maps</w:t>
        </w:r>
        <w:r w:rsidR="004431FE">
          <w:rPr>
            <w:webHidden/>
          </w:rPr>
          <w:tab/>
        </w:r>
        <w:r w:rsidR="004431FE">
          <w:rPr>
            <w:webHidden/>
          </w:rPr>
          <w:fldChar w:fldCharType="begin"/>
        </w:r>
        <w:r w:rsidR="004431FE">
          <w:rPr>
            <w:webHidden/>
          </w:rPr>
          <w:instrText xml:space="preserve"> PAGEREF _Toc161756530 \h </w:instrText>
        </w:r>
        <w:r w:rsidR="004431FE">
          <w:rPr>
            <w:webHidden/>
          </w:rPr>
        </w:r>
        <w:r w:rsidR="004431FE">
          <w:rPr>
            <w:webHidden/>
          </w:rPr>
          <w:fldChar w:fldCharType="separate"/>
        </w:r>
        <w:r w:rsidR="004431FE">
          <w:rPr>
            <w:webHidden/>
          </w:rPr>
          <w:t>16</w:t>
        </w:r>
        <w:r w:rsidR="004431FE">
          <w:rPr>
            <w:webHidden/>
          </w:rPr>
          <w:fldChar w:fldCharType="end"/>
        </w:r>
      </w:hyperlink>
    </w:p>
    <w:p w14:paraId="30615F72" w14:textId="63345888"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31" w:history="1">
        <w:r w:rsidR="004431FE" w:rsidRPr="00A21C66">
          <w:rPr>
            <w:rStyle w:val="Hyperlink"/>
          </w:rPr>
          <w:t>Requests for further information</w:t>
        </w:r>
        <w:r w:rsidR="004431FE">
          <w:rPr>
            <w:webHidden/>
          </w:rPr>
          <w:tab/>
        </w:r>
        <w:r w:rsidR="004431FE">
          <w:rPr>
            <w:webHidden/>
          </w:rPr>
          <w:fldChar w:fldCharType="begin"/>
        </w:r>
        <w:r w:rsidR="004431FE">
          <w:rPr>
            <w:webHidden/>
          </w:rPr>
          <w:instrText xml:space="preserve"> PAGEREF _Toc161756531 \h </w:instrText>
        </w:r>
        <w:r w:rsidR="004431FE">
          <w:rPr>
            <w:webHidden/>
          </w:rPr>
        </w:r>
        <w:r w:rsidR="004431FE">
          <w:rPr>
            <w:webHidden/>
          </w:rPr>
          <w:fldChar w:fldCharType="separate"/>
        </w:r>
        <w:r w:rsidR="004431FE">
          <w:rPr>
            <w:webHidden/>
          </w:rPr>
          <w:t>18</w:t>
        </w:r>
        <w:r w:rsidR="004431FE">
          <w:rPr>
            <w:webHidden/>
          </w:rPr>
          <w:fldChar w:fldCharType="end"/>
        </w:r>
      </w:hyperlink>
    </w:p>
    <w:p w14:paraId="2297684A" w14:textId="12D93AC8" w:rsidR="004431FE" w:rsidRDefault="00463061">
      <w:pPr>
        <w:pStyle w:val="TOC1"/>
        <w:rPr>
          <w:rFonts w:asciiTheme="minorHAnsi" w:eastAsiaTheme="minorEastAsia" w:hAnsiTheme="minorHAnsi" w:cstheme="minorBidi"/>
          <w:b w:val="0"/>
          <w:spacing w:val="0"/>
          <w:kern w:val="2"/>
          <w:sz w:val="22"/>
          <w:szCs w:val="22"/>
          <w14:ligatures w14:val="standardContextual"/>
        </w:rPr>
      </w:pPr>
      <w:hyperlink w:anchor="_Toc161756532" w:history="1">
        <w:r w:rsidR="004431FE" w:rsidRPr="00A21C66">
          <w:rPr>
            <w:rStyle w:val="Hyperlink"/>
          </w:rPr>
          <w:t>Views on uses of frequency bands</w:t>
        </w:r>
        <w:r w:rsidR="004431FE">
          <w:rPr>
            <w:webHidden/>
          </w:rPr>
          <w:tab/>
        </w:r>
        <w:r w:rsidR="004431FE">
          <w:rPr>
            <w:webHidden/>
          </w:rPr>
          <w:fldChar w:fldCharType="begin"/>
        </w:r>
        <w:r w:rsidR="004431FE">
          <w:rPr>
            <w:webHidden/>
          </w:rPr>
          <w:instrText xml:space="preserve"> PAGEREF _Toc161756532 \h </w:instrText>
        </w:r>
        <w:r w:rsidR="004431FE">
          <w:rPr>
            <w:webHidden/>
          </w:rPr>
        </w:r>
        <w:r w:rsidR="004431FE">
          <w:rPr>
            <w:webHidden/>
          </w:rPr>
          <w:fldChar w:fldCharType="separate"/>
        </w:r>
        <w:r w:rsidR="004431FE">
          <w:rPr>
            <w:webHidden/>
          </w:rPr>
          <w:t>19</w:t>
        </w:r>
        <w:r w:rsidR="004431FE">
          <w:rPr>
            <w:webHidden/>
          </w:rPr>
          <w:fldChar w:fldCharType="end"/>
        </w:r>
      </w:hyperlink>
    </w:p>
    <w:p w14:paraId="2588AA7D" w14:textId="516BAD37"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33" w:history="1">
        <w:r w:rsidR="004431FE" w:rsidRPr="00A21C66">
          <w:rPr>
            <w:rStyle w:val="Hyperlink"/>
          </w:rPr>
          <w:t>Environment and equipment considerations</w:t>
        </w:r>
        <w:r w:rsidR="004431FE">
          <w:rPr>
            <w:webHidden/>
          </w:rPr>
          <w:tab/>
        </w:r>
        <w:r w:rsidR="004431FE">
          <w:rPr>
            <w:webHidden/>
          </w:rPr>
          <w:fldChar w:fldCharType="begin"/>
        </w:r>
        <w:r w:rsidR="004431FE">
          <w:rPr>
            <w:webHidden/>
          </w:rPr>
          <w:instrText xml:space="preserve"> PAGEREF _Toc161756533 \h </w:instrText>
        </w:r>
        <w:r w:rsidR="004431FE">
          <w:rPr>
            <w:webHidden/>
          </w:rPr>
        </w:r>
        <w:r w:rsidR="004431FE">
          <w:rPr>
            <w:webHidden/>
          </w:rPr>
          <w:fldChar w:fldCharType="separate"/>
        </w:r>
        <w:r w:rsidR="004431FE">
          <w:rPr>
            <w:webHidden/>
          </w:rPr>
          <w:t>19</w:t>
        </w:r>
        <w:r w:rsidR="004431FE">
          <w:rPr>
            <w:webHidden/>
          </w:rPr>
          <w:fldChar w:fldCharType="end"/>
        </w:r>
      </w:hyperlink>
    </w:p>
    <w:p w14:paraId="07013B74" w14:textId="68DC7AE8"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34" w:history="1">
        <w:r w:rsidR="004431FE" w:rsidRPr="00A21C66">
          <w:rPr>
            <w:rStyle w:val="Hyperlink"/>
          </w:rPr>
          <w:t>Analysis and frequency band use views</w:t>
        </w:r>
        <w:r w:rsidR="004431FE">
          <w:rPr>
            <w:webHidden/>
          </w:rPr>
          <w:tab/>
        </w:r>
        <w:r w:rsidR="004431FE">
          <w:rPr>
            <w:webHidden/>
          </w:rPr>
          <w:fldChar w:fldCharType="begin"/>
        </w:r>
        <w:r w:rsidR="004431FE">
          <w:rPr>
            <w:webHidden/>
          </w:rPr>
          <w:instrText xml:space="preserve"> PAGEREF _Toc161756534 \h </w:instrText>
        </w:r>
        <w:r w:rsidR="004431FE">
          <w:rPr>
            <w:webHidden/>
          </w:rPr>
        </w:r>
        <w:r w:rsidR="004431FE">
          <w:rPr>
            <w:webHidden/>
          </w:rPr>
          <w:fldChar w:fldCharType="separate"/>
        </w:r>
        <w:r w:rsidR="004431FE">
          <w:rPr>
            <w:webHidden/>
          </w:rPr>
          <w:t>22</w:t>
        </w:r>
        <w:r w:rsidR="004431FE">
          <w:rPr>
            <w:webHidden/>
          </w:rPr>
          <w:fldChar w:fldCharType="end"/>
        </w:r>
      </w:hyperlink>
    </w:p>
    <w:p w14:paraId="555293E7" w14:textId="68727709" w:rsidR="004431FE" w:rsidRDefault="00463061">
      <w:pPr>
        <w:pStyle w:val="TOC1"/>
        <w:rPr>
          <w:rFonts w:asciiTheme="minorHAnsi" w:eastAsiaTheme="minorEastAsia" w:hAnsiTheme="minorHAnsi" w:cstheme="minorBidi"/>
          <w:b w:val="0"/>
          <w:spacing w:val="0"/>
          <w:kern w:val="2"/>
          <w:sz w:val="22"/>
          <w:szCs w:val="22"/>
          <w14:ligatures w14:val="standardContextual"/>
        </w:rPr>
      </w:pPr>
      <w:hyperlink w:anchor="_Toc161756535" w:history="1">
        <w:r w:rsidR="004431FE" w:rsidRPr="00A21C66">
          <w:rPr>
            <w:rStyle w:val="Hyperlink"/>
          </w:rPr>
          <w:t>Alternative licence conditions</w:t>
        </w:r>
        <w:r w:rsidR="004431FE">
          <w:rPr>
            <w:webHidden/>
          </w:rPr>
          <w:tab/>
        </w:r>
        <w:r w:rsidR="004431FE">
          <w:rPr>
            <w:webHidden/>
          </w:rPr>
          <w:fldChar w:fldCharType="begin"/>
        </w:r>
        <w:r w:rsidR="004431FE">
          <w:rPr>
            <w:webHidden/>
          </w:rPr>
          <w:instrText xml:space="preserve"> PAGEREF _Toc161756535 \h </w:instrText>
        </w:r>
        <w:r w:rsidR="004431FE">
          <w:rPr>
            <w:webHidden/>
          </w:rPr>
        </w:r>
        <w:r w:rsidR="004431FE">
          <w:rPr>
            <w:webHidden/>
          </w:rPr>
          <w:fldChar w:fldCharType="separate"/>
        </w:r>
        <w:r w:rsidR="004431FE">
          <w:rPr>
            <w:webHidden/>
          </w:rPr>
          <w:t>24</w:t>
        </w:r>
        <w:r w:rsidR="004431FE">
          <w:rPr>
            <w:webHidden/>
          </w:rPr>
          <w:fldChar w:fldCharType="end"/>
        </w:r>
      </w:hyperlink>
    </w:p>
    <w:p w14:paraId="5C00D8B0" w14:textId="25FE2952"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36" w:history="1">
        <w:r w:rsidR="004431FE" w:rsidRPr="00A21C66">
          <w:rPr>
            <w:rStyle w:val="Hyperlink"/>
          </w:rPr>
          <w:t>Summary of alternative licence conditions</w:t>
        </w:r>
        <w:r w:rsidR="004431FE">
          <w:rPr>
            <w:webHidden/>
          </w:rPr>
          <w:tab/>
        </w:r>
        <w:r w:rsidR="004431FE">
          <w:rPr>
            <w:webHidden/>
          </w:rPr>
          <w:fldChar w:fldCharType="begin"/>
        </w:r>
        <w:r w:rsidR="004431FE">
          <w:rPr>
            <w:webHidden/>
          </w:rPr>
          <w:instrText xml:space="preserve"> PAGEREF _Toc161756536 \h </w:instrText>
        </w:r>
        <w:r w:rsidR="004431FE">
          <w:rPr>
            <w:webHidden/>
          </w:rPr>
        </w:r>
        <w:r w:rsidR="004431FE">
          <w:rPr>
            <w:webHidden/>
          </w:rPr>
          <w:fldChar w:fldCharType="separate"/>
        </w:r>
        <w:r w:rsidR="004431FE">
          <w:rPr>
            <w:webHidden/>
          </w:rPr>
          <w:t>24</w:t>
        </w:r>
        <w:r w:rsidR="004431FE">
          <w:rPr>
            <w:webHidden/>
          </w:rPr>
          <w:fldChar w:fldCharType="end"/>
        </w:r>
      </w:hyperlink>
    </w:p>
    <w:p w14:paraId="2785B4A0" w14:textId="6DA0F17E"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37" w:history="1">
        <w:r w:rsidR="004431FE" w:rsidRPr="00A21C66">
          <w:rPr>
            <w:rStyle w:val="Hyperlink"/>
          </w:rPr>
          <w:t>Design elements of alternative licence conditions</w:t>
        </w:r>
        <w:r w:rsidR="004431FE">
          <w:rPr>
            <w:webHidden/>
          </w:rPr>
          <w:tab/>
        </w:r>
        <w:r w:rsidR="004431FE">
          <w:rPr>
            <w:webHidden/>
          </w:rPr>
          <w:fldChar w:fldCharType="begin"/>
        </w:r>
        <w:r w:rsidR="004431FE">
          <w:rPr>
            <w:webHidden/>
          </w:rPr>
          <w:instrText xml:space="preserve"> PAGEREF _Toc161756537 \h </w:instrText>
        </w:r>
        <w:r w:rsidR="004431FE">
          <w:rPr>
            <w:webHidden/>
          </w:rPr>
        </w:r>
        <w:r w:rsidR="004431FE">
          <w:rPr>
            <w:webHidden/>
          </w:rPr>
          <w:fldChar w:fldCharType="separate"/>
        </w:r>
        <w:r w:rsidR="004431FE">
          <w:rPr>
            <w:webHidden/>
          </w:rPr>
          <w:t>25</w:t>
        </w:r>
        <w:r w:rsidR="004431FE">
          <w:rPr>
            <w:webHidden/>
          </w:rPr>
          <w:fldChar w:fldCharType="end"/>
        </w:r>
      </w:hyperlink>
    </w:p>
    <w:p w14:paraId="4F6F2C0D" w14:textId="28E339F3"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38" w:history="1">
        <w:r w:rsidR="004431FE" w:rsidRPr="00A21C66">
          <w:rPr>
            <w:rStyle w:val="Hyperlink"/>
          </w:rPr>
          <w:t>Implementation of alternative licence conditions</w:t>
        </w:r>
        <w:r w:rsidR="004431FE">
          <w:rPr>
            <w:webHidden/>
          </w:rPr>
          <w:tab/>
        </w:r>
        <w:r w:rsidR="004431FE">
          <w:rPr>
            <w:webHidden/>
          </w:rPr>
          <w:fldChar w:fldCharType="begin"/>
        </w:r>
        <w:r w:rsidR="004431FE">
          <w:rPr>
            <w:webHidden/>
          </w:rPr>
          <w:instrText xml:space="preserve"> PAGEREF _Toc161756538 \h </w:instrText>
        </w:r>
        <w:r w:rsidR="004431FE">
          <w:rPr>
            <w:webHidden/>
          </w:rPr>
        </w:r>
        <w:r w:rsidR="004431FE">
          <w:rPr>
            <w:webHidden/>
          </w:rPr>
          <w:fldChar w:fldCharType="separate"/>
        </w:r>
        <w:r w:rsidR="004431FE">
          <w:rPr>
            <w:webHidden/>
          </w:rPr>
          <w:t>28</w:t>
        </w:r>
        <w:r w:rsidR="004431FE">
          <w:rPr>
            <w:webHidden/>
          </w:rPr>
          <w:fldChar w:fldCharType="end"/>
        </w:r>
      </w:hyperlink>
    </w:p>
    <w:p w14:paraId="76F9C4F6" w14:textId="203093A4"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39" w:history="1">
        <w:r w:rsidR="004431FE" w:rsidRPr="00A21C66">
          <w:rPr>
            <w:rStyle w:val="Hyperlink"/>
          </w:rPr>
          <w:t>Alternative mechanisms to achieve outcomes</w:t>
        </w:r>
        <w:r w:rsidR="004431FE">
          <w:rPr>
            <w:webHidden/>
          </w:rPr>
          <w:tab/>
        </w:r>
        <w:r w:rsidR="004431FE">
          <w:rPr>
            <w:webHidden/>
          </w:rPr>
          <w:fldChar w:fldCharType="begin"/>
        </w:r>
        <w:r w:rsidR="004431FE">
          <w:rPr>
            <w:webHidden/>
          </w:rPr>
          <w:instrText xml:space="preserve"> PAGEREF _Toc161756539 \h </w:instrText>
        </w:r>
        <w:r w:rsidR="004431FE">
          <w:rPr>
            <w:webHidden/>
          </w:rPr>
        </w:r>
        <w:r w:rsidR="004431FE">
          <w:rPr>
            <w:webHidden/>
          </w:rPr>
          <w:fldChar w:fldCharType="separate"/>
        </w:r>
        <w:r w:rsidR="004431FE">
          <w:rPr>
            <w:webHidden/>
          </w:rPr>
          <w:t>33</w:t>
        </w:r>
        <w:r w:rsidR="004431FE">
          <w:rPr>
            <w:webHidden/>
          </w:rPr>
          <w:fldChar w:fldCharType="end"/>
        </w:r>
      </w:hyperlink>
    </w:p>
    <w:p w14:paraId="67061431" w14:textId="64D32FEB" w:rsidR="004431FE" w:rsidRDefault="00463061">
      <w:pPr>
        <w:pStyle w:val="TOC1"/>
        <w:rPr>
          <w:rFonts w:asciiTheme="minorHAnsi" w:eastAsiaTheme="minorEastAsia" w:hAnsiTheme="minorHAnsi" w:cstheme="minorBidi"/>
          <w:b w:val="0"/>
          <w:spacing w:val="0"/>
          <w:kern w:val="2"/>
          <w:sz w:val="22"/>
          <w:szCs w:val="22"/>
          <w14:ligatures w14:val="standardContextual"/>
        </w:rPr>
      </w:pPr>
      <w:hyperlink w:anchor="_Toc161756540" w:history="1">
        <w:r w:rsidR="004431FE" w:rsidRPr="00A21C66">
          <w:rPr>
            <w:rStyle w:val="Hyperlink"/>
          </w:rPr>
          <w:t>Invitation to comment</w:t>
        </w:r>
        <w:r w:rsidR="004431FE">
          <w:rPr>
            <w:webHidden/>
          </w:rPr>
          <w:tab/>
        </w:r>
        <w:r w:rsidR="004431FE">
          <w:rPr>
            <w:webHidden/>
          </w:rPr>
          <w:fldChar w:fldCharType="begin"/>
        </w:r>
        <w:r w:rsidR="004431FE">
          <w:rPr>
            <w:webHidden/>
          </w:rPr>
          <w:instrText xml:space="preserve"> PAGEREF _Toc161756540 \h </w:instrText>
        </w:r>
        <w:r w:rsidR="004431FE">
          <w:rPr>
            <w:webHidden/>
          </w:rPr>
        </w:r>
        <w:r w:rsidR="004431FE">
          <w:rPr>
            <w:webHidden/>
          </w:rPr>
          <w:fldChar w:fldCharType="separate"/>
        </w:r>
        <w:r w:rsidR="004431FE">
          <w:rPr>
            <w:webHidden/>
          </w:rPr>
          <w:t>35</w:t>
        </w:r>
        <w:r w:rsidR="004431FE">
          <w:rPr>
            <w:webHidden/>
          </w:rPr>
          <w:fldChar w:fldCharType="end"/>
        </w:r>
      </w:hyperlink>
    </w:p>
    <w:p w14:paraId="6F417B55" w14:textId="2E8A24E3"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41" w:history="1">
        <w:r w:rsidR="004431FE" w:rsidRPr="00A21C66">
          <w:rPr>
            <w:rStyle w:val="Hyperlink"/>
          </w:rPr>
          <w:t>Making a submission</w:t>
        </w:r>
        <w:r w:rsidR="004431FE">
          <w:rPr>
            <w:webHidden/>
          </w:rPr>
          <w:tab/>
        </w:r>
        <w:r w:rsidR="004431FE">
          <w:rPr>
            <w:webHidden/>
          </w:rPr>
          <w:fldChar w:fldCharType="begin"/>
        </w:r>
        <w:r w:rsidR="004431FE">
          <w:rPr>
            <w:webHidden/>
          </w:rPr>
          <w:instrText xml:space="preserve"> PAGEREF _Toc161756541 \h </w:instrText>
        </w:r>
        <w:r w:rsidR="004431FE">
          <w:rPr>
            <w:webHidden/>
          </w:rPr>
        </w:r>
        <w:r w:rsidR="004431FE">
          <w:rPr>
            <w:webHidden/>
          </w:rPr>
          <w:fldChar w:fldCharType="separate"/>
        </w:r>
        <w:r w:rsidR="004431FE">
          <w:rPr>
            <w:webHidden/>
          </w:rPr>
          <w:t>35</w:t>
        </w:r>
        <w:r w:rsidR="004431FE">
          <w:rPr>
            <w:webHidden/>
          </w:rPr>
          <w:fldChar w:fldCharType="end"/>
        </w:r>
      </w:hyperlink>
    </w:p>
    <w:p w14:paraId="3E255C6C" w14:textId="75F5F71B" w:rsidR="004431FE" w:rsidRDefault="00463061">
      <w:pPr>
        <w:pStyle w:val="TOC1"/>
        <w:rPr>
          <w:rFonts w:asciiTheme="minorHAnsi" w:eastAsiaTheme="minorEastAsia" w:hAnsiTheme="minorHAnsi" w:cstheme="minorBidi"/>
          <w:b w:val="0"/>
          <w:spacing w:val="0"/>
          <w:kern w:val="2"/>
          <w:sz w:val="22"/>
          <w:szCs w:val="22"/>
          <w14:ligatures w14:val="standardContextual"/>
        </w:rPr>
      </w:pPr>
      <w:hyperlink w:anchor="_Toc161756542" w:history="1">
        <w:r w:rsidR="004431FE" w:rsidRPr="00A21C66">
          <w:rPr>
            <w:rStyle w:val="Hyperlink"/>
          </w:rPr>
          <w:t>Appendix A: Public interest criteria: issues and guidance for stakeholders</w:t>
        </w:r>
        <w:r w:rsidR="004431FE">
          <w:rPr>
            <w:webHidden/>
          </w:rPr>
          <w:tab/>
        </w:r>
        <w:r w:rsidR="004431FE">
          <w:rPr>
            <w:webHidden/>
          </w:rPr>
          <w:fldChar w:fldCharType="begin"/>
        </w:r>
        <w:r w:rsidR="004431FE">
          <w:rPr>
            <w:webHidden/>
          </w:rPr>
          <w:instrText xml:space="preserve"> PAGEREF _Toc161756542 \h </w:instrText>
        </w:r>
        <w:r w:rsidR="004431FE">
          <w:rPr>
            <w:webHidden/>
          </w:rPr>
        </w:r>
        <w:r w:rsidR="004431FE">
          <w:rPr>
            <w:webHidden/>
          </w:rPr>
          <w:fldChar w:fldCharType="separate"/>
        </w:r>
        <w:r w:rsidR="004431FE">
          <w:rPr>
            <w:webHidden/>
          </w:rPr>
          <w:t>36</w:t>
        </w:r>
        <w:r w:rsidR="004431FE">
          <w:rPr>
            <w:webHidden/>
          </w:rPr>
          <w:fldChar w:fldCharType="end"/>
        </w:r>
      </w:hyperlink>
    </w:p>
    <w:p w14:paraId="3A576E7B" w14:textId="0A106142"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43" w:history="1">
        <w:r w:rsidR="004431FE" w:rsidRPr="00A21C66">
          <w:rPr>
            <w:rStyle w:val="Hyperlink"/>
          </w:rPr>
          <w:t>Relevant resources</w:t>
        </w:r>
        <w:r w:rsidR="004431FE">
          <w:rPr>
            <w:webHidden/>
          </w:rPr>
          <w:tab/>
        </w:r>
        <w:r w:rsidR="004431FE">
          <w:rPr>
            <w:webHidden/>
          </w:rPr>
          <w:fldChar w:fldCharType="begin"/>
        </w:r>
        <w:r w:rsidR="004431FE">
          <w:rPr>
            <w:webHidden/>
          </w:rPr>
          <w:instrText xml:space="preserve"> PAGEREF _Toc161756543 \h </w:instrText>
        </w:r>
        <w:r w:rsidR="004431FE">
          <w:rPr>
            <w:webHidden/>
          </w:rPr>
        </w:r>
        <w:r w:rsidR="004431FE">
          <w:rPr>
            <w:webHidden/>
          </w:rPr>
          <w:fldChar w:fldCharType="separate"/>
        </w:r>
        <w:r w:rsidR="004431FE">
          <w:rPr>
            <w:webHidden/>
          </w:rPr>
          <w:t>36</w:t>
        </w:r>
        <w:r w:rsidR="004431FE">
          <w:rPr>
            <w:webHidden/>
          </w:rPr>
          <w:fldChar w:fldCharType="end"/>
        </w:r>
      </w:hyperlink>
    </w:p>
    <w:p w14:paraId="473636F4" w14:textId="43EE5864"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44" w:history="1">
        <w:r w:rsidR="004431FE" w:rsidRPr="00A21C66">
          <w:rPr>
            <w:rStyle w:val="Hyperlink"/>
          </w:rPr>
          <w:t>Public interest criteria</w:t>
        </w:r>
        <w:r w:rsidR="004431FE">
          <w:rPr>
            <w:webHidden/>
          </w:rPr>
          <w:tab/>
        </w:r>
        <w:r w:rsidR="004431FE">
          <w:rPr>
            <w:webHidden/>
          </w:rPr>
          <w:fldChar w:fldCharType="begin"/>
        </w:r>
        <w:r w:rsidR="004431FE">
          <w:rPr>
            <w:webHidden/>
          </w:rPr>
          <w:instrText xml:space="preserve"> PAGEREF _Toc161756544 \h </w:instrText>
        </w:r>
        <w:r w:rsidR="004431FE">
          <w:rPr>
            <w:webHidden/>
          </w:rPr>
        </w:r>
        <w:r w:rsidR="004431FE">
          <w:rPr>
            <w:webHidden/>
          </w:rPr>
          <w:fldChar w:fldCharType="separate"/>
        </w:r>
        <w:r w:rsidR="004431FE">
          <w:rPr>
            <w:webHidden/>
          </w:rPr>
          <w:t>36</w:t>
        </w:r>
        <w:r w:rsidR="004431FE">
          <w:rPr>
            <w:webHidden/>
          </w:rPr>
          <w:fldChar w:fldCharType="end"/>
        </w:r>
      </w:hyperlink>
    </w:p>
    <w:p w14:paraId="05E7196B" w14:textId="7B27C8C4" w:rsidR="004431FE" w:rsidRDefault="00463061">
      <w:pPr>
        <w:pStyle w:val="TOC1"/>
        <w:rPr>
          <w:rFonts w:asciiTheme="minorHAnsi" w:eastAsiaTheme="minorEastAsia" w:hAnsiTheme="minorHAnsi" w:cstheme="minorBidi"/>
          <w:b w:val="0"/>
          <w:spacing w:val="0"/>
          <w:kern w:val="2"/>
          <w:sz w:val="22"/>
          <w:szCs w:val="22"/>
          <w14:ligatures w14:val="standardContextual"/>
        </w:rPr>
      </w:pPr>
      <w:hyperlink w:anchor="_Toc161756545" w:history="1">
        <w:r w:rsidR="004431FE" w:rsidRPr="00A21C66">
          <w:rPr>
            <w:rStyle w:val="Hyperlink"/>
          </w:rPr>
          <w:t>Appendix B: Stages 3 and 4</w:t>
        </w:r>
        <w:r w:rsidR="004431FE">
          <w:rPr>
            <w:webHidden/>
          </w:rPr>
          <w:tab/>
        </w:r>
        <w:r w:rsidR="004431FE">
          <w:rPr>
            <w:webHidden/>
          </w:rPr>
          <w:fldChar w:fldCharType="begin"/>
        </w:r>
        <w:r w:rsidR="004431FE">
          <w:rPr>
            <w:webHidden/>
          </w:rPr>
          <w:instrText xml:space="preserve"> PAGEREF _Toc161756545 \h </w:instrText>
        </w:r>
        <w:r w:rsidR="004431FE">
          <w:rPr>
            <w:webHidden/>
          </w:rPr>
        </w:r>
        <w:r w:rsidR="004431FE">
          <w:rPr>
            <w:webHidden/>
          </w:rPr>
          <w:fldChar w:fldCharType="separate"/>
        </w:r>
        <w:r w:rsidR="004431FE">
          <w:rPr>
            <w:webHidden/>
          </w:rPr>
          <w:t>46</w:t>
        </w:r>
        <w:r w:rsidR="004431FE">
          <w:rPr>
            <w:webHidden/>
          </w:rPr>
          <w:fldChar w:fldCharType="end"/>
        </w:r>
      </w:hyperlink>
    </w:p>
    <w:p w14:paraId="0DC6CB22" w14:textId="67848A0E"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46" w:history="1">
        <w:r w:rsidR="004431FE" w:rsidRPr="00A21C66">
          <w:rPr>
            <w:rStyle w:val="Hyperlink"/>
          </w:rPr>
          <w:t>Stage 3: preliminary views (Q4 2024)</w:t>
        </w:r>
        <w:r w:rsidR="004431FE">
          <w:rPr>
            <w:webHidden/>
          </w:rPr>
          <w:tab/>
        </w:r>
        <w:r w:rsidR="004431FE">
          <w:rPr>
            <w:webHidden/>
          </w:rPr>
          <w:fldChar w:fldCharType="begin"/>
        </w:r>
        <w:r w:rsidR="004431FE">
          <w:rPr>
            <w:webHidden/>
          </w:rPr>
          <w:instrText xml:space="preserve"> PAGEREF _Toc161756546 \h </w:instrText>
        </w:r>
        <w:r w:rsidR="004431FE">
          <w:rPr>
            <w:webHidden/>
          </w:rPr>
        </w:r>
        <w:r w:rsidR="004431FE">
          <w:rPr>
            <w:webHidden/>
          </w:rPr>
          <w:fldChar w:fldCharType="separate"/>
        </w:r>
        <w:r w:rsidR="004431FE">
          <w:rPr>
            <w:webHidden/>
          </w:rPr>
          <w:t>46</w:t>
        </w:r>
        <w:r w:rsidR="004431FE">
          <w:rPr>
            <w:webHidden/>
          </w:rPr>
          <w:fldChar w:fldCharType="end"/>
        </w:r>
      </w:hyperlink>
    </w:p>
    <w:p w14:paraId="1E6B7FBE" w14:textId="77F47637"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47" w:history="1">
        <w:r w:rsidR="004431FE" w:rsidRPr="00A21C66">
          <w:rPr>
            <w:rStyle w:val="Hyperlink"/>
          </w:rPr>
          <w:t>Stage 4: preferred views, renewal application and decision-making (commencing 2025)</w:t>
        </w:r>
        <w:r w:rsidR="004431FE">
          <w:rPr>
            <w:webHidden/>
          </w:rPr>
          <w:tab/>
        </w:r>
        <w:r w:rsidR="004431FE">
          <w:rPr>
            <w:webHidden/>
          </w:rPr>
          <w:fldChar w:fldCharType="begin"/>
        </w:r>
        <w:r w:rsidR="004431FE">
          <w:rPr>
            <w:webHidden/>
          </w:rPr>
          <w:instrText xml:space="preserve"> PAGEREF _Toc161756547 \h </w:instrText>
        </w:r>
        <w:r w:rsidR="004431FE">
          <w:rPr>
            <w:webHidden/>
          </w:rPr>
        </w:r>
        <w:r w:rsidR="004431FE">
          <w:rPr>
            <w:webHidden/>
          </w:rPr>
          <w:fldChar w:fldCharType="separate"/>
        </w:r>
        <w:r w:rsidR="004431FE">
          <w:rPr>
            <w:webHidden/>
          </w:rPr>
          <w:t>47</w:t>
        </w:r>
        <w:r w:rsidR="004431FE">
          <w:rPr>
            <w:webHidden/>
          </w:rPr>
          <w:fldChar w:fldCharType="end"/>
        </w:r>
      </w:hyperlink>
    </w:p>
    <w:p w14:paraId="1D104BD5" w14:textId="1967770B" w:rsidR="004431FE" w:rsidRDefault="00463061">
      <w:pPr>
        <w:pStyle w:val="TOC1"/>
        <w:rPr>
          <w:rFonts w:asciiTheme="minorHAnsi" w:eastAsiaTheme="minorEastAsia" w:hAnsiTheme="minorHAnsi" w:cstheme="minorBidi"/>
          <w:b w:val="0"/>
          <w:spacing w:val="0"/>
          <w:kern w:val="2"/>
          <w:sz w:val="22"/>
          <w:szCs w:val="22"/>
          <w14:ligatures w14:val="standardContextual"/>
        </w:rPr>
      </w:pPr>
      <w:hyperlink w:anchor="_Toc161756548" w:history="1">
        <w:r w:rsidR="004431FE" w:rsidRPr="00A21C66">
          <w:rPr>
            <w:rStyle w:val="Hyperlink"/>
          </w:rPr>
          <w:t>Appendix C: International examples of alternative licence conditions</w:t>
        </w:r>
        <w:r w:rsidR="004431FE">
          <w:rPr>
            <w:webHidden/>
          </w:rPr>
          <w:tab/>
        </w:r>
        <w:r w:rsidR="004431FE">
          <w:rPr>
            <w:webHidden/>
          </w:rPr>
          <w:fldChar w:fldCharType="begin"/>
        </w:r>
        <w:r w:rsidR="004431FE">
          <w:rPr>
            <w:webHidden/>
          </w:rPr>
          <w:instrText xml:space="preserve"> PAGEREF _Toc161756548 \h </w:instrText>
        </w:r>
        <w:r w:rsidR="004431FE">
          <w:rPr>
            <w:webHidden/>
          </w:rPr>
        </w:r>
        <w:r w:rsidR="004431FE">
          <w:rPr>
            <w:webHidden/>
          </w:rPr>
          <w:fldChar w:fldCharType="separate"/>
        </w:r>
        <w:r w:rsidR="004431FE">
          <w:rPr>
            <w:webHidden/>
          </w:rPr>
          <w:t>48</w:t>
        </w:r>
        <w:r w:rsidR="004431FE">
          <w:rPr>
            <w:webHidden/>
          </w:rPr>
          <w:fldChar w:fldCharType="end"/>
        </w:r>
      </w:hyperlink>
    </w:p>
    <w:p w14:paraId="1539D983" w14:textId="48765EB0"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49" w:history="1">
        <w:r w:rsidR="004431FE" w:rsidRPr="00A21C66">
          <w:rPr>
            <w:rStyle w:val="Hyperlink"/>
          </w:rPr>
          <w:t>Rollout obligations</w:t>
        </w:r>
        <w:r w:rsidR="004431FE">
          <w:rPr>
            <w:webHidden/>
          </w:rPr>
          <w:tab/>
        </w:r>
        <w:r w:rsidR="004431FE">
          <w:rPr>
            <w:webHidden/>
          </w:rPr>
          <w:fldChar w:fldCharType="begin"/>
        </w:r>
        <w:r w:rsidR="004431FE">
          <w:rPr>
            <w:webHidden/>
          </w:rPr>
          <w:instrText xml:space="preserve"> PAGEREF _Toc161756549 \h </w:instrText>
        </w:r>
        <w:r w:rsidR="004431FE">
          <w:rPr>
            <w:webHidden/>
          </w:rPr>
        </w:r>
        <w:r w:rsidR="004431FE">
          <w:rPr>
            <w:webHidden/>
          </w:rPr>
          <w:fldChar w:fldCharType="separate"/>
        </w:r>
        <w:r w:rsidR="004431FE">
          <w:rPr>
            <w:webHidden/>
          </w:rPr>
          <w:t>48</w:t>
        </w:r>
        <w:r w:rsidR="004431FE">
          <w:rPr>
            <w:webHidden/>
          </w:rPr>
          <w:fldChar w:fldCharType="end"/>
        </w:r>
      </w:hyperlink>
    </w:p>
    <w:p w14:paraId="675A33BB" w14:textId="779AC70E"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50" w:history="1">
        <w:r w:rsidR="004431FE" w:rsidRPr="00A21C66">
          <w:rPr>
            <w:rStyle w:val="Hyperlink"/>
          </w:rPr>
          <w:t>UIOLI regimes</w:t>
        </w:r>
        <w:r w:rsidR="004431FE">
          <w:rPr>
            <w:webHidden/>
          </w:rPr>
          <w:tab/>
        </w:r>
        <w:r w:rsidR="004431FE">
          <w:rPr>
            <w:webHidden/>
          </w:rPr>
          <w:fldChar w:fldCharType="begin"/>
        </w:r>
        <w:r w:rsidR="004431FE">
          <w:rPr>
            <w:webHidden/>
          </w:rPr>
          <w:instrText xml:space="preserve"> PAGEREF _Toc161756550 \h </w:instrText>
        </w:r>
        <w:r w:rsidR="004431FE">
          <w:rPr>
            <w:webHidden/>
          </w:rPr>
        </w:r>
        <w:r w:rsidR="004431FE">
          <w:rPr>
            <w:webHidden/>
          </w:rPr>
          <w:fldChar w:fldCharType="separate"/>
        </w:r>
        <w:r w:rsidR="004431FE">
          <w:rPr>
            <w:webHidden/>
          </w:rPr>
          <w:t>49</w:t>
        </w:r>
        <w:r w:rsidR="004431FE">
          <w:rPr>
            <w:webHidden/>
          </w:rPr>
          <w:fldChar w:fldCharType="end"/>
        </w:r>
      </w:hyperlink>
    </w:p>
    <w:p w14:paraId="0A7F6F2B" w14:textId="37B9C69D" w:rsidR="004431FE" w:rsidRDefault="00463061">
      <w:pPr>
        <w:pStyle w:val="TOC2"/>
        <w:rPr>
          <w:rFonts w:asciiTheme="minorHAnsi" w:eastAsiaTheme="minorEastAsia" w:hAnsiTheme="minorHAnsi" w:cstheme="minorBidi"/>
          <w:spacing w:val="0"/>
          <w:kern w:val="2"/>
          <w:sz w:val="22"/>
          <w:szCs w:val="22"/>
          <w14:ligatures w14:val="standardContextual"/>
        </w:rPr>
      </w:pPr>
      <w:hyperlink w:anchor="_Toc161756551" w:history="1">
        <w:r w:rsidR="004431FE" w:rsidRPr="00A21C66">
          <w:rPr>
            <w:rStyle w:val="Hyperlink"/>
          </w:rPr>
          <w:t>UIOSI regimes</w:t>
        </w:r>
        <w:r w:rsidR="004431FE">
          <w:rPr>
            <w:webHidden/>
          </w:rPr>
          <w:tab/>
        </w:r>
        <w:r w:rsidR="004431FE">
          <w:rPr>
            <w:webHidden/>
          </w:rPr>
          <w:fldChar w:fldCharType="begin"/>
        </w:r>
        <w:r w:rsidR="004431FE">
          <w:rPr>
            <w:webHidden/>
          </w:rPr>
          <w:instrText xml:space="preserve"> PAGEREF _Toc161756551 \h </w:instrText>
        </w:r>
        <w:r w:rsidR="004431FE">
          <w:rPr>
            <w:webHidden/>
          </w:rPr>
        </w:r>
        <w:r w:rsidR="004431FE">
          <w:rPr>
            <w:webHidden/>
          </w:rPr>
          <w:fldChar w:fldCharType="separate"/>
        </w:r>
        <w:r w:rsidR="004431FE">
          <w:rPr>
            <w:webHidden/>
          </w:rPr>
          <w:t>50</w:t>
        </w:r>
        <w:r w:rsidR="004431FE">
          <w:rPr>
            <w:webHidden/>
          </w:rPr>
          <w:fldChar w:fldCharType="end"/>
        </w:r>
      </w:hyperlink>
    </w:p>
    <w:p w14:paraId="44D2CA6C" w14:textId="55D87D1E" w:rsidR="004D56FF" w:rsidRPr="00E162C4" w:rsidRDefault="006A3ECF">
      <w:pPr>
        <w:rPr>
          <w:rFonts w:cs="Arial"/>
        </w:rPr>
        <w:sectPr w:rsidR="004D56FF" w:rsidRPr="00E162C4" w:rsidSect="00C77380">
          <w:headerReference w:type="even" r:id="rId18"/>
          <w:headerReference w:type="default" r:id="rId19"/>
          <w:footerReference w:type="even" r:id="rId20"/>
          <w:footerReference w:type="default" r:id="rId21"/>
          <w:footerReference w:type="first" r:id="rId22"/>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65AC6647" w14:textId="35C1E089" w:rsidR="009D6C71" w:rsidRPr="00E162C4" w:rsidRDefault="009D6C71" w:rsidP="0022165E">
      <w:pPr>
        <w:pStyle w:val="Heading1"/>
      </w:pPr>
      <w:bookmarkStart w:id="0" w:name="_Toc161756515"/>
      <w:r w:rsidRPr="00E162C4">
        <w:lastRenderedPageBreak/>
        <w:t>Executive summary</w:t>
      </w:r>
      <w:bookmarkEnd w:id="0"/>
    </w:p>
    <w:p w14:paraId="44C357E5" w14:textId="5C26CC0F" w:rsidR="00D57398" w:rsidRDefault="00D57398" w:rsidP="00D57398">
      <w:pPr>
        <w:pStyle w:val="Paragraph"/>
      </w:pPr>
      <w:bookmarkStart w:id="1" w:name="_Toc433122125"/>
      <w:r>
        <w:t xml:space="preserve">In the ACMA’s </w:t>
      </w:r>
      <w:hyperlink r:id="rId23">
        <w:r w:rsidRPr="000A6842">
          <w:rPr>
            <w:rStyle w:val="Hyperlink"/>
            <w:i/>
          </w:rPr>
          <w:t>Five-year spectrum outlook 2023</w:t>
        </w:r>
        <w:r w:rsidR="004431FE">
          <w:rPr>
            <w:rStyle w:val="Hyperlink"/>
            <w:i/>
          </w:rPr>
          <w:t>–</w:t>
        </w:r>
        <w:r w:rsidRPr="000A6842">
          <w:rPr>
            <w:rStyle w:val="Hyperlink"/>
            <w:i/>
          </w:rPr>
          <w:t>28</w:t>
        </w:r>
      </w:hyperlink>
      <w:r>
        <w:t xml:space="preserve"> (</w:t>
      </w:r>
      <w:r w:rsidR="0098455B">
        <w:t xml:space="preserve">the </w:t>
      </w:r>
      <w:r>
        <w:t>FYSO 2023</w:t>
      </w:r>
      <w:r w:rsidR="004431FE">
        <w:t>–</w:t>
      </w:r>
      <w:r>
        <w:t xml:space="preserve">28), we identified </w:t>
      </w:r>
      <w:r w:rsidR="002279DA">
        <w:t xml:space="preserve">the </w:t>
      </w:r>
      <w:r>
        <w:t xml:space="preserve">delivery of the expiring spectrum licence (ESL) work program as a key priority. </w:t>
      </w:r>
      <w:proofErr w:type="gramStart"/>
      <w:r>
        <w:t>The majority of</w:t>
      </w:r>
      <w:proofErr w:type="gramEnd"/>
      <w:r>
        <w:t xml:space="preserve"> current spectrum licences will expire between June 2028 and October 2032. These ESLs cover a range of spectrum bands</w:t>
      </w:r>
      <w:r>
        <w:rPr>
          <w:rStyle w:val="FootnoteReference"/>
        </w:rPr>
        <w:footnoteReference w:id="2"/>
      </w:r>
      <w:r w:rsidR="00E34840">
        <w:t xml:space="preserve"> and</w:t>
      </w:r>
      <w:r>
        <w:t xml:space="preserve"> are </w:t>
      </w:r>
      <w:r w:rsidR="00D24763">
        <w:t>generally</w:t>
      </w:r>
      <w:r>
        <w:t xml:space="preserve"> used to deliver wireless broadband (WBB), rail safety</w:t>
      </w:r>
      <w:r w:rsidR="00EB73E5">
        <w:t xml:space="preserve"> and</w:t>
      </w:r>
      <w:r>
        <w:t xml:space="preserve"> communications, and electronic news gathering (ENG)</w:t>
      </w:r>
      <w:r w:rsidR="00DC1FE6">
        <w:t xml:space="preserve"> services</w:t>
      </w:r>
      <w:r>
        <w:t xml:space="preserve">. </w:t>
      </w:r>
    </w:p>
    <w:p w14:paraId="2E346F9E" w14:textId="56625C50" w:rsidR="00CE109C" w:rsidRDefault="00D57398" w:rsidP="00F0632A">
      <w:pPr>
        <w:pStyle w:val="Paragraph"/>
        <w:rPr>
          <w:szCs w:val="20"/>
        </w:rPr>
      </w:pPr>
      <w:r>
        <w:rPr>
          <w:szCs w:val="20"/>
        </w:rPr>
        <w:t xml:space="preserve">In December 2023, we </w:t>
      </w:r>
      <w:r w:rsidR="00D34878" w:rsidRPr="00D34878">
        <w:rPr>
          <w:szCs w:val="20"/>
          <w:u w:color="0000FF"/>
        </w:rPr>
        <w:t xml:space="preserve">finalised our </w:t>
      </w:r>
      <w:hyperlink r:id="rId24" w:history="1">
        <w:r>
          <w:rPr>
            <w:rStyle w:val="Hyperlink"/>
            <w:szCs w:val="20"/>
          </w:rPr>
          <w:t>ESL framework</w:t>
        </w:r>
      </w:hyperlink>
      <w:r w:rsidR="00D34878" w:rsidRPr="00D34878">
        <w:rPr>
          <w:szCs w:val="20"/>
          <w:u w:color="0000FF"/>
        </w:rPr>
        <w:t>,</w:t>
      </w:r>
      <w:r>
        <w:rPr>
          <w:szCs w:val="20"/>
        </w:rPr>
        <w:t xml:space="preserve"> including </w:t>
      </w:r>
      <w:r w:rsidR="00E401AC">
        <w:rPr>
          <w:szCs w:val="20"/>
        </w:rPr>
        <w:t xml:space="preserve">the </w:t>
      </w:r>
      <w:r>
        <w:rPr>
          <w:szCs w:val="20"/>
        </w:rPr>
        <w:t xml:space="preserve">4-stage process and public interest criteria. We also published submissions </w:t>
      </w:r>
      <w:r w:rsidR="0082468A">
        <w:rPr>
          <w:szCs w:val="20"/>
        </w:rPr>
        <w:t xml:space="preserve">received </w:t>
      </w:r>
      <w:r>
        <w:rPr>
          <w:szCs w:val="20"/>
        </w:rPr>
        <w:t>to our May</w:t>
      </w:r>
      <w:r w:rsidR="001C60C4">
        <w:rPr>
          <w:szCs w:val="20"/>
        </w:rPr>
        <w:t xml:space="preserve"> to</w:t>
      </w:r>
      <w:r w:rsidR="00F76049">
        <w:rPr>
          <w:szCs w:val="20"/>
        </w:rPr>
        <w:t xml:space="preserve"> </w:t>
      </w:r>
      <w:r>
        <w:rPr>
          <w:szCs w:val="20"/>
        </w:rPr>
        <w:t xml:space="preserve">August 2023 consultation on the ESL process, </w:t>
      </w:r>
      <w:r w:rsidR="00054CE6">
        <w:rPr>
          <w:szCs w:val="20"/>
        </w:rPr>
        <w:t xml:space="preserve">and our response to those </w:t>
      </w:r>
      <w:r>
        <w:rPr>
          <w:szCs w:val="20"/>
        </w:rPr>
        <w:t xml:space="preserve">submissions. </w:t>
      </w:r>
    </w:p>
    <w:p w14:paraId="43289199" w14:textId="6D23B1DD" w:rsidR="00D57398" w:rsidRDefault="00D57398" w:rsidP="007F6163">
      <w:pPr>
        <w:pStyle w:val="Paragraph"/>
      </w:pPr>
      <w:r>
        <w:t xml:space="preserve">This </w:t>
      </w:r>
      <w:r w:rsidRPr="00E75513">
        <w:t>paper</w:t>
      </w:r>
      <w:r>
        <w:t xml:space="preserve"> </w:t>
      </w:r>
      <w:r w:rsidR="00C92B36">
        <w:t xml:space="preserve">marks </w:t>
      </w:r>
      <w:r>
        <w:t xml:space="preserve">the </w:t>
      </w:r>
      <w:r w:rsidR="00C52403">
        <w:t xml:space="preserve">start </w:t>
      </w:r>
      <w:r>
        <w:t>of stage 2 of the ESL process</w:t>
      </w:r>
      <w:r w:rsidR="00476B44">
        <w:t>, which principally involves an information</w:t>
      </w:r>
      <w:r w:rsidR="00BE6846">
        <w:t>-</w:t>
      </w:r>
      <w:r w:rsidR="00476B44">
        <w:t>gathering exercise</w:t>
      </w:r>
      <w:r>
        <w:t xml:space="preserve">. </w:t>
      </w:r>
      <w:r w:rsidR="008231DD">
        <w:t>We are seeking information from incumbent licensees and prospective alternative licensees (</w:t>
      </w:r>
      <w:r w:rsidR="00DC657E">
        <w:t>those</w:t>
      </w:r>
      <w:r w:rsidR="008231DD" w:rsidDel="005045BB">
        <w:t xml:space="preserve"> </w:t>
      </w:r>
      <w:r w:rsidR="008231DD">
        <w:t xml:space="preserve">interested </w:t>
      </w:r>
      <w:r w:rsidR="00FA308A">
        <w:t xml:space="preserve">in </w:t>
      </w:r>
      <w:r w:rsidR="008231DD">
        <w:t>accessing the spectrum covered by one or more ESL</w:t>
      </w:r>
      <w:r w:rsidR="000410D6">
        <w:t>s</w:t>
      </w:r>
      <w:r w:rsidR="008231DD">
        <w:t xml:space="preserve">) </w:t>
      </w:r>
      <w:r>
        <w:t xml:space="preserve">about their current </w:t>
      </w:r>
      <w:r w:rsidR="00F87C13">
        <w:t xml:space="preserve">or </w:t>
      </w:r>
      <w:r>
        <w:t xml:space="preserve">potential future use of the spectrum, and how </w:t>
      </w:r>
      <w:r w:rsidR="00EF54F5">
        <w:t>it</w:t>
      </w:r>
      <w:r>
        <w:t xml:space="preserve"> promote</w:t>
      </w:r>
      <w:r w:rsidR="00A57843">
        <w:t>s</w:t>
      </w:r>
      <w:r>
        <w:t xml:space="preserve"> the long-term public interest. </w:t>
      </w:r>
    </w:p>
    <w:p w14:paraId="16F7724E" w14:textId="5BBA4FCF" w:rsidR="00FF5B5E" w:rsidRDefault="00E55C9C" w:rsidP="007F6163">
      <w:pPr>
        <w:pStyle w:val="Paragraph"/>
      </w:pPr>
      <w:r>
        <w:t>Our</w:t>
      </w:r>
      <w:r w:rsidR="00FF5B5E">
        <w:t xml:space="preserve"> information</w:t>
      </w:r>
      <w:r w:rsidR="00BE6846">
        <w:t>-</w:t>
      </w:r>
      <w:r w:rsidR="00FF5B5E">
        <w:t xml:space="preserve">gathering exercise provides stakeholders with a unique opportunity to shape the policy and decision-making framework in which applications for licence renewal </w:t>
      </w:r>
      <w:r w:rsidR="00A02494">
        <w:t xml:space="preserve">and alternative use options </w:t>
      </w:r>
      <w:r w:rsidR="00FF5B5E">
        <w:t>will be considered.</w:t>
      </w:r>
      <w:r w:rsidR="000A73FE">
        <w:t xml:space="preserve"> </w:t>
      </w:r>
      <w:r w:rsidR="00FF5B5E">
        <w:t xml:space="preserve">The exercise </w:t>
      </w:r>
      <w:r w:rsidR="00833EBE">
        <w:t>will</w:t>
      </w:r>
      <w:r w:rsidR="00FF5B5E">
        <w:t xml:space="preserve"> develop our understa</w:t>
      </w:r>
      <w:r w:rsidR="00AE7046">
        <w:t>nd</w:t>
      </w:r>
      <w:r w:rsidR="00FF5B5E">
        <w:t xml:space="preserve">ing of how current </w:t>
      </w:r>
      <w:r w:rsidR="008A4BC1">
        <w:t xml:space="preserve">or </w:t>
      </w:r>
      <w:r w:rsidR="00FF5B5E">
        <w:t xml:space="preserve">potential future use of the spectrum promotes, or would promote, the long-term public interest, with reference to </w:t>
      </w:r>
      <w:r w:rsidR="004569B7">
        <w:t xml:space="preserve">our </w:t>
      </w:r>
      <w:r w:rsidR="00FF5B5E">
        <w:t>public interest criteria. It is also intended to deepen our understanding of competing demand for, and alternative users of, the spectrum covered by ESLs.</w:t>
      </w:r>
      <w:r w:rsidR="002C1022">
        <w:t xml:space="preserve"> We </w:t>
      </w:r>
      <w:r w:rsidR="00F331DF">
        <w:t>look forward to engaging with</w:t>
      </w:r>
      <w:r w:rsidR="002C1022">
        <w:t xml:space="preserve"> </w:t>
      </w:r>
      <w:r w:rsidR="00991516">
        <w:t xml:space="preserve">incumbent licensees and </w:t>
      </w:r>
      <w:r w:rsidR="002C1022">
        <w:t>stakeholders who may be alternative users, or who have proposed alternative uses or use</w:t>
      </w:r>
      <w:r w:rsidR="0022165E">
        <w:t xml:space="preserve"> </w:t>
      </w:r>
      <w:r w:rsidR="002C1022">
        <w:t>cases for the spectrum covered by ESLs</w:t>
      </w:r>
      <w:r w:rsidR="000E05D2">
        <w:t>.</w:t>
      </w:r>
    </w:p>
    <w:p w14:paraId="2DE8CF63" w14:textId="39C8069E" w:rsidR="00FF5B5E" w:rsidRDefault="00FF5B5E" w:rsidP="007F6163">
      <w:pPr>
        <w:pStyle w:val="Paragraph"/>
      </w:pPr>
      <w:r>
        <w:t xml:space="preserve">Information gathered as part of this exercise, along with other inputs, </w:t>
      </w:r>
      <w:r w:rsidR="004C2E5C">
        <w:t xml:space="preserve">will </w:t>
      </w:r>
      <w:r>
        <w:t xml:space="preserve">be used to inform the development of preliminary views </w:t>
      </w:r>
      <w:r w:rsidR="00FD54E6">
        <w:t>in</w:t>
      </w:r>
      <w:r>
        <w:t xml:space="preserve"> stage 3 of the ESL process. </w:t>
      </w:r>
    </w:p>
    <w:p w14:paraId="10E63E61" w14:textId="5856EB74" w:rsidR="005A036C" w:rsidRDefault="004C2E5C" w:rsidP="007F6163">
      <w:pPr>
        <w:pStyle w:val="Paragraph"/>
      </w:pPr>
      <w:r>
        <w:t>The r</w:t>
      </w:r>
      <w:r w:rsidR="00B0514F">
        <w:t xml:space="preserve">elease of this paper coincides with a </w:t>
      </w:r>
      <w:hyperlink r:id="rId25" w:history="1">
        <w:r w:rsidR="00B0514F" w:rsidRPr="00F8623F">
          <w:rPr>
            <w:rStyle w:val="Hyperlink"/>
          </w:rPr>
          <w:t xml:space="preserve">consultation </w:t>
        </w:r>
        <w:r w:rsidR="00F105B1" w:rsidRPr="00F8623F">
          <w:rPr>
            <w:rStyle w:val="Hyperlink"/>
          </w:rPr>
          <w:t xml:space="preserve">on a draft </w:t>
        </w:r>
        <w:r w:rsidR="00B572E4" w:rsidRPr="00F8623F">
          <w:rPr>
            <w:rStyle w:val="Hyperlink"/>
          </w:rPr>
          <w:t>M</w:t>
        </w:r>
        <w:r w:rsidR="00F105B1" w:rsidRPr="00F8623F">
          <w:rPr>
            <w:rStyle w:val="Hyperlink"/>
          </w:rPr>
          <w:t xml:space="preserve">inisterial </w:t>
        </w:r>
        <w:r w:rsidR="004431FE">
          <w:rPr>
            <w:rStyle w:val="Hyperlink"/>
          </w:rPr>
          <w:t>P</w:t>
        </w:r>
        <w:r w:rsidR="00F105B1" w:rsidRPr="00F8623F">
          <w:rPr>
            <w:rStyle w:val="Hyperlink"/>
          </w:rPr>
          <w:t xml:space="preserve">olicy </w:t>
        </w:r>
        <w:r w:rsidR="004431FE">
          <w:rPr>
            <w:rStyle w:val="Hyperlink"/>
          </w:rPr>
          <w:t>S</w:t>
        </w:r>
        <w:r w:rsidR="00F105B1" w:rsidRPr="00F8623F">
          <w:rPr>
            <w:rStyle w:val="Hyperlink"/>
          </w:rPr>
          <w:t>tatement</w:t>
        </w:r>
      </w:hyperlink>
      <w:r w:rsidR="00420E45">
        <w:t xml:space="preserve"> (MPS)</w:t>
      </w:r>
      <w:r w:rsidR="00F105B1">
        <w:t>.</w:t>
      </w:r>
      <w:r w:rsidR="00B0514F">
        <w:t xml:space="preserve"> </w:t>
      </w:r>
      <w:r w:rsidR="003F4645">
        <w:t xml:space="preserve">The </w:t>
      </w:r>
      <w:r w:rsidR="00DD2C41">
        <w:t>M</w:t>
      </w:r>
      <w:r w:rsidR="003F4645">
        <w:t xml:space="preserve">inister </w:t>
      </w:r>
      <w:r w:rsidR="00DD2C41">
        <w:t xml:space="preserve">for Communications </w:t>
      </w:r>
      <w:r w:rsidR="003F4645">
        <w:t>is seeking views on proposed policy priorities</w:t>
      </w:r>
      <w:r w:rsidR="00E03E45">
        <w:t>,</w:t>
      </w:r>
      <w:r w:rsidR="003F4645">
        <w:t xml:space="preserve"> to which </w:t>
      </w:r>
      <w:r w:rsidR="00C93D61">
        <w:t xml:space="preserve">we will </w:t>
      </w:r>
      <w:r w:rsidR="003F4645">
        <w:t xml:space="preserve">need to have regard </w:t>
      </w:r>
      <w:r w:rsidR="00EB7F76">
        <w:t xml:space="preserve">to </w:t>
      </w:r>
      <w:r w:rsidR="003F4645">
        <w:t xml:space="preserve">as </w:t>
      </w:r>
      <w:r w:rsidR="00FD2A06">
        <w:t>we</w:t>
      </w:r>
      <w:r w:rsidR="003F4645">
        <w:t xml:space="preserve"> </w:t>
      </w:r>
      <w:r w:rsidR="00B401CF">
        <w:t xml:space="preserve">manage the ESL process. </w:t>
      </w:r>
      <w:r w:rsidR="00420E45">
        <w:t>Our finalised ESL framework set</w:t>
      </w:r>
      <w:r w:rsidR="006D28FF">
        <w:t>s</w:t>
      </w:r>
      <w:r w:rsidR="00420E45">
        <w:t xml:space="preserve"> out how we will incorporate these priorities</w:t>
      </w:r>
      <w:r w:rsidR="00D03977">
        <w:t xml:space="preserve">, as well as those in the </w:t>
      </w:r>
      <w:hyperlink r:id="rId26" w:history="1">
        <w:r w:rsidR="00D03977" w:rsidRPr="002C687A">
          <w:rPr>
            <w:rStyle w:val="Hyperlink"/>
          </w:rPr>
          <w:t>2022 Statement of Expectations</w:t>
        </w:r>
      </w:hyperlink>
      <w:r w:rsidR="00420E45">
        <w:t xml:space="preserve"> </w:t>
      </w:r>
      <w:r w:rsidR="006F0A97">
        <w:t xml:space="preserve">and </w:t>
      </w:r>
      <w:r w:rsidR="006D28FF">
        <w:t xml:space="preserve">other priorities </w:t>
      </w:r>
      <w:r w:rsidR="00982A54">
        <w:t xml:space="preserve">that are </w:t>
      </w:r>
      <w:r w:rsidR="006F0A97">
        <w:t>identified as relevant to ESL</w:t>
      </w:r>
      <w:r w:rsidR="00574EFC">
        <w:t>s</w:t>
      </w:r>
      <w:r w:rsidR="006F0A97">
        <w:t xml:space="preserve"> by the minister, </w:t>
      </w:r>
      <w:r w:rsidR="00420E45">
        <w:t>into our public interest criteria</w:t>
      </w:r>
      <w:r w:rsidR="00D03977">
        <w:t>. We</w:t>
      </w:r>
      <w:r w:rsidR="00420E45">
        <w:t xml:space="preserve"> will make any necessary changes </w:t>
      </w:r>
      <w:r w:rsidR="00221DED">
        <w:t>to our approach</w:t>
      </w:r>
      <w:r w:rsidR="00420E45">
        <w:t xml:space="preserve"> </w:t>
      </w:r>
      <w:proofErr w:type="gramStart"/>
      <w:r w:rsidR="007869D6">
        <w:t xml:space="preserve">if and </w:t>
      </w:r>
      <w:r w:rsidR="00420E45">
        <w:t>when</w:t>
      </w:r>
      <w:proofErr w:type="gramEnd"/>
      <w:r w:rsidR="00420E45">
        <w:t xml:space="preserve"> the MPS is finalised. Submissions to our information</w:t>
      </w:r>
      <w:r w:rsidR="00BE6846">
        <w:t>-</w:t>
      </w:r>
      <w:r w:rsidR="00420E45">
        <w:t>gathering exercise are due by</w:t>
      </w:r>
      <w:r w:rsidR="00C639C5">
        <w:t xml:space="preserve"> 15</w:t>
      </w:r>
      <w:r w:rsidR="00420E45">
        <w:t xml:space="preserve"> </w:t>
      </w:r>
      <w:r w:rsidR="00C639C5">
        <w:t>May</w:t>
      </w:r>
      <w:r w:rsidR="00F06696">
        <w:t xml:space="preserve">, </w:t>
      </w:r>
      <w:r w:rsidR="0029285C">
        <w:t>we encourage</w:t>
      </w:r>
      <w:r w:rsidR="00F06696">
        <w:t xml:space="preserve"> stakeholders </w:t>
      </w:r>
      <w:r w:rsidR="00424C72">
        <w:t>to</w:t>
      </w:r>
      <w:r w:rsidR="00A26939">
        <w:t xml:space="preserve"> refer to the MPS, if issued, in forming </w:t>
      </w:r>
      <w:r w:rsidR="00F06696">
        <w:t>their submissions</w:t>
      </w:r>
      <w:r w:rsidR="0078626B">
        <w:t>.</w:t>
      </w:r>
      <w:r w:rsidR="00420E45">
        <w:t xml:space="preserve"> </w:t>
      </w:r>
    </w:p>
    <w:p w14:paraId="5EB06F9B" w14:textId="5A96D590" w:rsidR="006F12BB" w:rsidRDefault="00FE25B6" w:rsidP="007F6163">
      <w:pPr>
        <w:pStyle w:val="Paragraph"/>
      </w:pPr>
      <w:r>
        <w:t xml:space="preserve">This paper </w:t>
      </w:r>
      <w:r w:rsidR="00991516">
        <w:t xml:space="preserve">also </w:t>
      </w:r>
      <w:r w:rsidR="00637F71">
        <w:t xml:space="preserve">deals with matters raised by the </w:t>
      </w:r>
      <w:r w:rsidR="00687E59">
        <w:t>m</w:t>
      </w:r>
      <w:r w:rsidR="00637F71">
        <w:t>inister</w:t>
      </w:r>
      <w:r w:rsidR="00687E59">
        <w:t xml:space="preserve"> </w:t>
      </w:r>
      <w:r w:rsidR="00637F71">
        <w:t>in her letter of December</w:t>
      </w:r>
      <w:r w:rsidR="00A93EA6">
        <w:t> </w:t>
      </w:r>
      <w:r w:rsidR="00637F71">
        <w:t>2023 to the ACMA.</w:t>
      </w:r>
      <w:r w:rsidR="00637F71">
        <w:rPr>
          <w:rStyle w:val="FootnoteReference"/>
        </w:rPr>
        <w:footnoteReference w:id="3"/>
      </w:r>
      <w:r w:rsidR="00637F71">
        <w:t xml:space="preserve"> </w:t>
      </w:r>
      <w:r w:rsidR="00FB2578">
        <w:t>In that letter, the minister request</w:t>
      </w:r>
      <w:r w:rsidR="002C687A">
        <w:t>ed</w:t>
      </w:r>
      <w:r w:rsidR="00FB2578">
        <w:t xml:space="preserve"> that we develop considered views on a range of alternative licen</w:t>
      </w:r>
      <w:r w:rsidR="0039016E">
        <w:t>ce</w:t>
      </w:r>
      <w:r w:rsidR="00FB2578">
        <w:t xml:space="preserve"> conditions, including rollout </w:t>
      </w:r>
      <w:r w:rsidR="00815808">
        <w:t>obligations</w:t>
      </w:r>
      <w:r w:rsidR="00F13742">
        <w:t>,</w:t>
      </w:r>
      <w:r w:rsidR="00815808" w:rsidDel="00C8124F">
        <w:t xml:space="preserve"> </w:t>
      </w:r>
      <w:r w:rsidR="00FB2578">
        <w:t xml:space="preserve">use-it-or-lose-it (UIOLI) and </w:t>
      </w:r>
      <w:r w:rsidR="00F13742">
        <w:t xml:space="preserve">use-it-or-share-it </w:t>
      </w:r>
      <w:r w:rsidR="00FB2578">
        <w:t>(UIOSI)</w:t>
      </w:r>
      <w:r w:rsidR="00815808">
        <w:t xml:space="preserve"> conditions.</w:t>
      </w:r>
      <w:r w:rsidR="00F60048">
        <w:t xml:space="preserve"> </w:t>
      </w:r>
      <w:r w:rsidR="00332D49">
        <w:t xml:space="preserve">The minister also asked that </w:t>
      </w:r>
      <w:r w:rsidR="00332D49" w:rsidDel="0025408C">
        <w:t xml:space="preserve">we seek </w:t>
      </w:r>
      <w:r w:rsidR="00332D49">
        <w:t xml:space="preserve">feedback </w:t>
      </w:r>
      <w:r w:rsidR="00332D49" w:rsidDel="0025408C">
        <w:t xml:space="preserve">from stakeholders </w:t>
      </w:r>
      <w:r w:rsidR="009A6325">
        <w:t>about</w:t>
      </w:r>
      <w:r w:rsidR="00332D49" w:rsidRPr="003A20E3" w:rsidDel="0025408C">
        <w:t xml:space="preserve"> resilience and temporary disaster responses that arise in the context of the ESL</w:t>
      </w:r>
      <w:r w:rsidR="00E20321">
        <w:t>s</w:t>
      </w:r>
      <w:r w:rsidR="00332D49" w:rsidDel="0025408C">
        <w:t>.</w:t>
      </w:r>
      <w:r w:rsidR="00332D49">
        <w:t xml:space="preserve"> T</w:t>
      </w:r>
      <w:r w:rsidR="00F60048">
        <w:t xml:space="preserve">his paper </w:t>
      </w:r>
      <w:r w:rsidR="00D57398">
        <w:t>provides</w:t>
      </w:r>
      <w:r w:rsidR="00FD2462">
        <w:t xml:space="preserve"> </w:t>
      </w:r>
      <w:r w:rsidR="006D634F">
        <w:t xml:space="preserve">a general overview of </w:t>
      </w:r>
      <w:r w:rsidR="00B14D66">
        <w:t xml:space="preserve">these conditions and </w:t>
      </w:r>
      <w:r w:rsidR="00FC5EBD">
        <w:t>potential implementation</w:t>
      </w:r>
      <w:r w:rsidR="00B14D66">
        <w:t xml:space="preserve"> under the Act</w:t>
      </w:r>
      <w:r w:rsidR="0022165E">
        <w:t xml:space="preserve"> </w:t>
      </w:r>
      <w:r w:rsidR="00332D49">
        <w:t>and seeks</w:t>
      </w:r>
      <w:r w:rsidR="00FC5EBD">
        <w:t xml:space="preserve"> stakeholder views on a range of issues including their effectiveness</w:t>
      </w:r>
      <w:r w:rsidR="0032542C">
        <w:t xml:space="preserve"> </w:t>
      </w:r>
      <w:r w:rsidR="0032542C">
        <w:lastRenderedPageBreak/>
        <w:t xml:space="preserve">and </w:t>
      </w:r>
      <w:r w:rsidR="006F59D5">
        <w:t>impacts</w:t>
      </w:r>
      <w:r w:rsidR="00EC6158">
        <w:t>.</w:t>
      </w:r>
      <w:r w:rsidR="00EA64FF">
        <w:t xml:space="preserve"> </w:t>
      </w:r>
      <w:r w:rsidR="006E2409">
        <w:t xml:space="preserve">After considering feedback from stakeholders on these issues, we will develop considered </w:t>
      </w:r>
      <w:r w:rsidR="00E04890">
        <w:t>advice to the minister</w:t>
      </w:r>
      <w:r w:rsidR="00CE4D60">
        <w:t xml:space="preserve"> later this year</w:t>
      </w:r>
      <w:r w:rsidR="00925F5E">
        <w:t>.</w:t>
      </w:r>
      <w:r w:rsidR="006F12BB">
        <w:t xml:space="preserve"> </w:t>
      </w:r>
    </w:p>
    <w:p w14:paraId="71B7983A" w14:textId="4CC4881B" w:rsidR="00D57398" w:rsidRPr="007F6163" w:rsidRDefault="00D57398" w:rsidP="00F0632A">
      <w:pPr>
        <w:pStyle w:val="Heading3"/>
      </w:pPr>
      <w:bookmarkStart w:id="2" w:name="_Toc159360651"/>
      <w:r w:rsidRPr="007F6163">
        <w:t>Views on uses of frequency bands</w:t>
      </w:r>
      <w:bookmarkEnd w:id="2"/>
    </w:p>
    <w:p w14:paraId="712D4441" w14:textId="43D75D05" w:rsidR="00F978DC" w:rsidRDefault="003F72A6" w:rsidP="00F0632A">
      <w:pPr>
        <w:pStyle w:val="Paragraphbeforelist"/>
      </w:pPr>
      <w:r>
        <w:t>Our v</w:t>
      </w:r>
      <w:r w:rsidR="00D57398">
        <w:t xml:space="preserve">iews </w:t>
      </w:r>
      <w:r>
        <w:t xml:space="preserve">on </w:t>
      </w:r>
      <w:r w:rsidR="00D57398">
        <w:t xml:space="preserve">uses of the </w:t>
      </w:r>
      <w:r>
        <w:t xml:space="preserve">spectrum </w:t>
      </w:r>
      <w:r w:rsidR="00D57398">
        <w:t>that will likely best promote the long-term public interest</w:t>
      </w:r>
      <w:r>
        <w:t xml:space="preserve"> are </w:t>
      </w:r>
      <w:r w:rsidR="00D57398">
        <w:t>based on current information about international harmonisation, industry standardisation, equipment availability, and the domestic and global environments.</w:t>
      </w:r>
      <w:r w:rsidR="000A73FE">
        <w:t xml:space="preserve"> </w:t>
      </w:r>
      <w:r w:rsidR="00BE10FB">
        <w:t>We consider that</w:t>
      </w:r>
      <w:r w:rsidR="00F978DC">
        <w:t>:</w:t>
      </w:r>
    </w:p>
    <w:p w14:paraId="5FF4F414" w14:textId="2A4701FF" w:rsidR="00D57398" w:rsidRDefault="00BE10FB" w:rsidP="0040651D">
      <w:pPr>
        <w:pStyle w:val="Bulletlevel1"/>
      </w:pPr>
      <w:r>
        <w:t>c</w:t>
      </w:r>
      <w:r w:rsidR="00D57398">
        <w:t xml:space="preserve">ontinued </w:t>
      </w:r>
      <w:r w:rsidR="0064756D">
        <w:t>support for</w:t>
      </w:r>
      <w:r w:rsidR="00D57398">
        <w:t xml:space="preserve"> </w:t>
      </w:r>
      <w:r w:rsidR="3B700125">
        <w:t>wireless broadband (</w:t>
      </w:r>
      <w:r w:rsidR="00D57398">
        <w:t>WBB</w:t>
      </w:r>
      <w:r w:rsidR="4AF425CD">
        <w:t>)</w:t>
      </w:r>
      <w:r w:rsidR="00D57398">
        <w:t xml:space="preserve"> use of the 700 MHz, 850 MHz, 2 GHz, 2.3 GHz, 2.5 GHz and 3.4 GHz bands is likely conducive to promoting the long-term public interest. This is supported by international and domestic environments and trends </w:t>
      </w:r>
      <w:r w:rsidR="00E042A1">
        <w:t xml:space="preserve">that </w:t>
      </w:r>
      <w:r w:rsidR="00D57398">
        <w:t xml:space="preserve">are largely directed towards supporting WBB use across these </w:t>
      </w:r>
      <w:proofErr w:type="gramStart"/>
      <w:r w:rsidR="00D57398">
        <w:t>bands</w:t>
      </w:r>
      <w:proofErr w:type="gramEnd"/>
      <w:r w:rsidR="00D57398">
        <w:t xml:space="preserve">  </w:t>
      </w:r>
    </w:p>
    <w:p w14:paraId="0D31FF59" w14:textId="3D2C97D0" w:rsidR="00D57398" w:rsidRDefault="00F978DC" w:rsidP="0040651D">
      <w:pPr>
        <w:pStyle w:val="Bulletlevel1"/>
      </w:pPr>
      <w:r>
        <w:t>c</w:t>
      </w:r>
      <w:r w:rsidR="00D57398">
        <w:t xml:space="preserve">ontinued </w:t>
      </w:r>
      <w:r w:rsidR="007967A5">
        <w:t xml:space="preserve">support </w:t>
      </w:r>
      <w:r w:rsidR="00D5180B">
        <w:t>for</w:t>
      </w:r>
      <w:r w:rsidR="00D57398">
        <w:t xml:space="preserve"> use of the 1800 MHz </w:t>
      </w:r>
      <w:r>
        <w:t xml:space="preserve">band </w:t>
      </w:r>
      <w:r w:rsidR="00D57398">
        <w:t xml:space="preserve">for rail safety and WBB </w:t>
      </w:r>
      <w:r>
        <w:t>uses is</w:t>
      </w:r>
      <w:r w:rsidR="00D57398">
        <w:t xml:space="preserve"> likely conducive to promoting the long-term public interest. A range of international and domestic factors make </w:t>
      </w:r>
      <w:r w:rsidR="00D57398" w:rsidRPr="00ED2B59">
        <w:t>ongoing WBB use</w:t>
      </w:r>
      <w:r w:rsidR="00D57398">
        <w:t xml:space="preserve"> of this band conducive to promoting the long-term public interest</w:t>
      </w:r>
      <w:r w:rsidR="00D57398" w:rsidRPr="00ED2B59">
        <w:t xml:space="preserve">. </w:t>
      </w:r>
      <w:r w:rsidR="004748C8">
        <w:t>D</w:t>
      </w:r>
      <w:r w:rsidR="00D57398">
        <w:t xml:space="preserve">omestic </w:t>
      </w:r>
      <w:r w:rsidR="004748C8">
        <w:t xml:space="preserve">considerations </w:t>
      </w:r>
      <w:r w:rsidR="00D57398">
        <w:t>suppor</w:t>
      </w:r>
      <w:r w:rsidR="004748C8">
        <w:t>t</w:t>
      </w:r>
      <w:r w:rsidR="00D57398">
        <w:t xml:space="preserve"> rail safety use of the band</w:t>
      </w:r>
      <w:r w:rsidR="004748C8">
        <w:t xml:space="preserve">, but </w:t>
      </w:r>
      <w:r w:rsidR="00D57398">
        <w:t xml:space="preserve">recent planning outcomes </w:t>
      </w:r>
      <w:r w:rsidR="00E042A1">
        <w:t xml:space="preserve">relating </w:t>
      </w:r>
      <w:r w:rsidR="004748C8">
        <w:t xml:space="preserve">to the </w:t>
      </w:r>
      <w:r w:rsidR="00D57398">
        <w:t xml:space="preserve">1900 </w:t>
      </w:r>
      <w:r w:rsidR="00CF670E">
        <w:t xml:space="preserve">MHz </w:t>
      </w:r>
      <w:r w:rsidR="004748C8">
        <w:t xml:space="preserve">band </w:t>
      </w:r>
      <w:r w:rsidR="00CF670E" w:rsidRPr="00A61532">
        <w:t>could</w:t>
      </w:r>
      <w:r w:rsidR="00D57398" w:rsidRPr="00A61532">
        <w:t xml:space="preserve"> provide </w:t>
      </w:r>
      <w:r w:rsidR="00D57398">
        <w:t xml:space="preserve">a longer-term option for </w:t>
      </w:r>
      <w:r w:rsidR="00D57398" w:rsidRPr="00A61532">
        <w:t xml:space="preserve">rail </w:t>
      </w:r>
      <w:proofErr w:type="gramStart"/>
      <w:r w:rsidR="00D57398">
        <w:t>use</w:t>
      </w:r>
      <w:proofErr w:type="gramEnd"/>
    </w:p>
    <w:p w14:paraId="681B97AF" w14:textId="1C011555" w:rsidR="00D57398" w:rsidRPr="007E274D" w:rsidRDefault="00D57398" w:rsidP="00AF2FE0">
      <w:pPr>
        <w:pStyle w:val="Bulletlevel1last"/>
        <w:numPr>
          <w:ilvl w:val="0"/>
          <w:numId w:val="47"/>
        </w:numPr>
        <w:rPr>
          <w:color w:val="1F497D" w:themeColor="text2"/>
        </w:rPr>
      </w:pPr>
      <w:r w:rsidRPr="00E115B8">
        <w:t xml:space="preserve">there continues to be a case that </w:t>
      </w:r>
      <w:r w:rsidR="00EF3F86">
        <w:t>support for</w:t>
      </w:r>
      <w:r w:rsidRPr="00E115B8">
        <w:t xml:space="preserve"> </w:t>
      </w:r>
      <w:r w:rsidR="59C52D59">
        <w:t>electronic news gathering (</w:t>
      </w:r>
      <w:r w:rsidRPr="00E115B8">
        <w:t>ENG</w:t>
      </w:r>
      <w:r w:rsidR="73D62C1F">
        <w:t>)</w:t>
      </w:r>
      <w:r w:rsidRPr="00E115B8">
        <w:t xml:space="preserve"> </w:t>
      </w:r>
      <w:r>
        <w:t xml:space="preserve">use of </w:t>
      </w:r>
      <w:r w:rsidRPr="00E115B8">
        <w:t xml:space="preserve">the 2.5 GHz </w:t>
      </w:r>
      <w:r w:rsidR="00B910BD">
        <w:t>m</w:t>
      </w:r>
      <w:r>
        <w:t>id</w:t>
      </w:r>
      <w:r w:rsidR="007525B7">
        <w:t>-</w:t>
      </w:r>
      <w:r w:rsidR="00B910BD">
        <w:t>b</w:t>
      </w:r>
      <w:r w:rsidRPr="00E115B8">
        <w:t>and</w:t>
      </w:r>
      <w:r>
        <w:t xml:space="preserve"> </w:t>
      </w:r>
      <w:r w:rsidR="00B910BD">
        <w:t>g</w:t>
      </w:r>
      <w:r>
        <w:t>ap</w:t>
      </w:r>
      <w:r w:rsidRPr="00E115B8">
        <w:t xml:space="preserve"> </w:t>
      </w:r>
      <w:r w:rsidR="00E97E5C">
        <w:t>is conducive to promoting</w:t>
      </w:r>
      <w:r w:rsidR="00E97E5C" w:rsidRPr="00E115B8">
        <w:t xml:space="preserve"> </w:t>
      </w:r>
      <w:r w:rsidRPr="00E115B8">
        <w:t xml:space="preserve">the long-term </w:t>
      </w:r>
      <w:r w:rsidR="00D801D2">
        <w:t xml:space="preserve">public </w:t>
      </w:r>
      <w:r w:rsidRPr="00E115B8">
        <w:t>interest</w:t>
      </w:r>
      <w:r>
        <w:t>,</w:t>
      </w:r>
      <w:r w:rsidRPr="00E115B8">
        <w:t xml:space="preserve"> </w:t>
      </w:r>
      <w:r w:rsidR="00DC1C4C">
        <w:t xml:space="preserve">but </w:t>
      </w:r>
      <w:r>
        <w:t>f</w:t>
      </w:r>
      <w:r w:rsidRPr="00E115B8">
        <w:t xml:space="preserve">urther consideration needs to be given to WBB </w:t>
      </w:r>
      <w:r w:rsidR="00DC1C4C">
        <w:t xml:space="preserve">as </w:t>
      </w:r>
      <w:r w:rsidRPr="00E115B8">
        <w:t>an alternative or complementary use of the band</w:t>
      </w:r>
      <w:r w:rsidR="009665DF">
        <w:t>.</w:t>
      </w:r>
    </w:p>
    <w:p w14:paraId="55CB2733" w14:textId="716BABC0" w:rsidR="00105C43" w:rsidRPr="00FC76DF" w:rsidRDefault="009E26FC" w:rsidP="0022165E">
      <w:pPr>
        <w:pStyle w:val="Bulletlevel1last"/>
        <w:numPr>
          <w:ilvl w:val="0"/>
          <w:numId w:val="0"/>
        </w:numPr>
        <w:rPr>
          <w:color w:val="1F497D" w:themeColor="text2"/>
        </w:rPr>
      </w:pPr>
      <w:r>
        <w:t xml:space="preserve">We note that </w:t>
      </w:r>
      <w:r w:rsidR="00912949">
        <w:t xml:space="preserve">while we </w:t>
      </w:r>
      <w:r w:rsidR="002A6CD9">
        <w:t>consider</w:t>
      </w:r>
      <w:r w:rsidR="009C18C9">
        <w:t xml:space="preserve"> that the use of the </w:t>
      </w:r>
      <w:r w:rsidR="00FD658B">
        <w:t xml:space="preserve">relevant </w:t>
      </w:r>
      <w:r w:rsidR="009C18C9">
        <w:t xml:space="preserve">spectrum for WBB is likely conducive to the long-term public interest, </w:t>
      </w:r>
      <w:r w:rsidR="001F714E">
        <w:t xml:space="preserve">there are </w:t>
      </w:r>
      <w:r w:rsidR="006534D0">
        <w:t>a</w:t>
      </w:r>
      <w:r w:rsidR="008759B2">
        <w:t xml:space="preserve"> range of potential use</w:t>
      </w:r>
      <w:r w:rsidR="0022165E">
        <w:t xml:space="preserve"> </w:t>
      </w:r>
      <w:r w:rsidR="008759B2">
        <w:t>cases, such as fixed or mobile WBB</w:t>
      </w:r>
      <w:r w:rsidR="00362955">
        <w:t>, wide area</w:t>
      </w:r>
      <w:r w:rsidR="00157105">
        <w:t xml:space="preserve"> </w:t>
      </w:r>
      <w:r w:rsidR="00882A05">
        <w:t>and local area</w:t>
      </w:r>
      <w:r w:rsidR="00970672">
        <w:t xml:space="preserve"> WBB</w:t>
      </w:r>
      <w:r w:rsidR="00882A05">
        <w:t>, and public and private networks</w:t>
      </w:r>
      <w:r w:rsidR="001E5E03">
        <w:t>, that could be facilitated through various potential licensing options</w:t>
      </w:r>
      <w:r w:rsidR="00882A05">
        <w:t>.</w:t>
      </w:r>
      <w:r w:rsidR="00F06C8D">
        <w:t xml:space="preserve"> We will consider stakeholder submissions to </w:t>
      </w:r>
      <w:r w:rsidR="00991516">
        <w:t xml:space="preserve">the </w:t>
      </w:r>
      <w:r w:rsidR="00F06C8D">
        <w:t>ESL process and consult on views on use</w:t>
      </w:r>
      <w:r w:rsidR="0022165E">
        <w:t xml:space="preserve"> </w:t>
      </w:r>
      <w:r w:rsidR="00F06C8D">
        <w:t xml:space="preserve">cases as part of stage 3. </w:t>
      </w:r>
    </w:p>
    <w:p w14:paraId="05970785" w14:textId="6A297CB1" w:rsidR="00D57398" w:rsidRPr="007B0324" w:rsidRDefault="00EA64FF" w:rsidP="00F0632A">
      <w:pPr>
        <w:pStyle w:val="Heading3"/>
      </w:pPr>
      <w:bookmarkStart w:id="3" w:name="_Toc159360652"/>
      <w:r>
        <w:t>A</w:t>
      </w:r>
      <w:r w:rsidR="00D57398" w:rsidRPr="004978FD">
        <w:t>lternative licence conditions</w:t>
      </w:r>
      <w:bookmarkEnd w:id="3"/>
    </w:p>
    <w:p w14:paraId="1908648F" w14:textId="11D2043A" w:rsidR="003E733F" w:rsidRDefault="007C267A" w:rsidP="00D57398">
      <w:pPr>
        <w:pStyle w:val="Paragraph"/>
      </w:pPr>
      <w:r w:rsidRPr="007C267A">
        <w:t>The minister has requested that we develop a view on the use of alternative licen</w:t>
      </w:r>
      <w:r w:rsidR="0039016E">
        <w:t>ce</w:t>
      </w:r>
      <w:r w:rsidRPr="007C267A">
        <w:t xml:space="preserve"> conditions that could achieve broader coverage and more efficient spectrum use, </w:t>
      </w:r>
      <w:r w:rsidR="3A37233D">
        <w:t xml:space="preserve">as </w:t>
      </w:r>
      <w:r w:rsidRPr="007C267A">
        <w:t>the ESL process offers an opportunity to consider these issues</w:t>
      </w:r>
      <w:r w:rsidR="0090032F">
        <w:t xml:space="preserve"> across a range of spectrum licences</w:t>
      </w:r>
      <w:r w:rsidRPr="007C267A">
        <w:t xml:space="preserve">. Our consideration of these issues in this paper is largely confined to </w:t>
      </w:r>
      <w:r w:rsidR="00BE42B7">
        <w:t xml:space="preserve">how they may be designed and </w:t>
      </w:r>
      <w:r w:rsidRPr="007C267A">
        <w:t>might be implemented through the ESL process and under the spectrum</w:t>
      </w:r>
      <w:r w:rsidR="00E626C5">
        <w:t xml:space="preserve"> </w:t>
      </w:r>
      <w:r w:rsidRPr="007C267A">
        <w:t xml:space="preserve">licensing </w:t>
      </w:r>
      <w:r w:rsidR="00C95076">
        <w:t>framework</w:t>
      </w:r>
      <w:r w:rsidRPr="007C267A">
        <w:t xml:space="preserve"> as licensing conditions. Where relevant, we have also considered how they might be implemented under the Act more generally.</w:t>
      </w:r>
    </w:p>
    <w:p w14:paraId="1661BA96" w14:textId="04F1C75A" w:rsidR="00F67C6E" w:rsidRDefault="00D57398" w:rsidP="00D57398">
      <w:pPr>
        <w:pStyle w:val="Paragraph"/>
      </w:pPr>
      <w:r>
        <w:t>Rollout obligations</w:t>
      </w:r>
      <w:r w:rsidR="00F95CA9">
        <w:t xml:space="preserve"> and</w:t>
      </w:r>
      <w:r>
        <w:t xml:space="preserve"> UIOLI and UIOSI </w:t>
      </w:r>
      <w:r w:rsidR="00F95CA9">
        <w:t xml:space="preserve">conditions </w:t>
      </w:r>
      <w:r>
        <w:t xml:space="preserve">have not historically been a feature of the </w:t>
      </w:r>
      <w:bookmarkStart w:id="4" w:name="_Hlk160799659"/>
      <w:r>
        <w:t>spectrum licensing framework</w:t>
      </w:r>
      <w:r w:rsidR="00991516">
        <w:t xml:space="preserve"> in Australia</w:t>
      </w:r>
      <w:r w:rsidR="00C42061">
        <w:t xml:space="preserve"> and </w:t>
      </w:r>
      <w:r w:rsidR="00FE0D0A">
        <w:t xml:space="preserve">the legislated </w:t>
      </w:r>
      <w:r w:rsidR="003400C2">
        <w:t xml:space="preserve">components of the framework </w:t>
      </w:r>
      <w:r w:rsidR="000F637D">
        <w:t xml:space="preserve">do not expressly contemplate </w:t>
      </w:r>
      <w:r w:rsidR="003B14B6">
        <w:t xml:space="preserve">their </w:t>
      </w:r>
      <w:r w:rsidR="00452BA6">
        <w:t>application</w:t>
      </w:r>
      <w:bookmarkEnd w:id="4"/>
      <w:r w:rsidR="00140899">
        <w:t>.</w:t>
      </w:r>
      <w:r w:rsidR="00847417">
        <w:t xml:space="preserve"> </w:t>
      </w:r>
      <w:r w:rsidR="00223427">
        <w:t>However, there are likely options for their implementation under the Act.</w:t>
      </w:r>
    </w:p>
    <w:p w14:paraId="162BF0B5" w14:textId="083D79C6" w:rsidR="0080030F" w:rsidRDefault="0080030F" w:rsidP="00D57398">
      <w:pPr>
        <w:pStyle w:val="Paragraph"/>
      </w:pPr>
      <w:r>
        <w:t xml:space="preserve">We </w:t>
      </w:r>
      <w:r w:rsidR="00FA15DD">
        <w:t xml:space="preserve">are seeking stakeholder feedback </w:t>
      </w:r>
      <w:r>
        <w:t xml:space="preserve">about the potential effectiveness </w:t>
      </w:r>
      <w:r w:rsidR="00A067EA">
        <w:t xml:space="preserve">and impacts </w:t>
      </w:r>
      <w:r>
        <w:t>of alternative licen</w:t>
      </w:r>
      <w:r w:rsidR="00FB291E">
        <w:t>ce</w:t>
      </w:r>
      <w:r>
        <w:t xml:space="preserve"> conditions </w:t>
      </w:r>
      <w:r w:rsidR="00A067EA">
        <w:t xml:space="preserve">including </w:t>
      </w:r>
      <w:r w:rsidR="009518BA">
        <w:t xml:space="preserve">views on </w:t>
      </w:r>
      <w:r w:rsidR="002C7115">
        <w:t>the practical implications of</w:t>
      </w:r>
      <w:r w:rsidR="000C415C">
        <w:t xml:space="preserve"> applying such conditions </w:t>
      </w:r>
      <w:r>
        <w:t xml:space="preserve">to inform our consideration and development of advice to the minister.   </w:t>
      </w:r>
    </w:p>
    <w:p w14:paraId="36B497E3" w14:textId="5251CE1A" w:rsidR="003253EE" w:rsidRDefault="007F6163" w:rsidP="00D57398">
      <w:pPr>
        <w:pStyle w:val="Paragraph"/>
      </w:pPr>
      <w:r>
        <w:t xml:space="preserve">Outside of the ESL process, we note that there may be </w:t>
      </w:r>
      <w:r w:rsidR="00BE42B7">
        <w:t xml:space="preserve">alternative </w:t>
      </w:r>
      <w:r>
        <w:t>mechanisms that, either independently or in connection with ESL</w:t>
      </w:r>
      <w:r w:rsidR="00801C49">
        <w:t>s</w:t>
      </w:r>
      <w:r>
        <w:t xml:space="preserve">, could </w:t>
      </w:r>
      <w:r w:rsidR="000D36CF">
        <w:t xml:space="preserve">potentially </w:t>
      </w:r>
      <w:r>
        <w:t xml:space="preserve">achieve the relevant objectives. While we have not considered these other mechanisms in detail, they are likely to include roaming regulation, co-funding programs, and carrier licensing mechanisms under the </w:t>
      </w:r>
      <w:r>
        <w:rPr>
          <w:i/>
          <w:iCs/>
        </w:rPr>
        <w:t>Telecommunications Act 1997</w:t>
      </w:r>
      <w:r>
        <w:t xml:space="preserve">. </w:t>
      </w:r>
    </w:p>
    <w:p w14:paraId="4933B050" w14:textId="60D71E7C" w:rsidR="00715722" w:rsidRPr="00E162C4" w:rsidRDefault="00715722" w:rsidP="00715722">
      <w:pPr>
        <w:pStyle w:val="Heading1"/>
      </w:pPr>
      <w:bookmarkStart w:id="5" w:name="_Toc161756516"/>
      <w:r w:rsidRPr="006C5530">
        <w:lastRenderedPageBreak/>
        <w:t>Issues for comment</w:t>
      </w:r>
      <w:bookmarkEnd w:id="1"/>
      <w:bookmarkEnd w:id="5"/>
    </w:p>
    <w:p w14:paraId="00103C14" w14:textId="576F03DC" w:rsidR="00AF6B8D" w:rsidRDefault="00B060EB" w:rsidP="00305954">
      <w:pPr>
        <w:pStyle w:val="Paragraph"/>
      </w:pPr>
      <w:r>
        <w:t>W</w:t>
      </w:r>
      <w:r w:rsidR="00607054">
        <w:t>e are seeking information from incumbent spectrum licensees and prospective alternative licen</w:t>
      </w:r>
      <w:r w:rsidR="00F0782D">
        <w:t>se</w:t>
      </w:r>
      <w:r w:rsidR="00607054">
        <w:t>es interested in the spectrum covered by ESLs</w:t>
      </w:r>
      <w:r w:rsidR="00AF6B8D">
        <w:t xml:space="preserve"> about their current and potential future use</w:t>
      </w:r>
      <w:r w:rsidR="003A5C05">
        <w:t>s</w:t>
      </w:r>
      <w:r w:rsidR="00AF6B8D">
        <w:t xml:space="preserve"> of the spectrum</w:t>
      </w:r>
      <w:r w:rsidR="000C12C8">
        <w:t>,</w:t>
      </w:r>
      <w:r w:rsidR="002750BA">
        <w:t xml:space="preserve"> and how </w:t>
      </w:r>
      <w:r w:rsidR="00132EDE">
        <w:t>these promote,</w:t>
      </w:r>
      <w:r w:rsidR="00BD0172">
        <w:t xml:space="preserve"> or may </w:t>
      </w:r>
      <w:r w:rsidR="00FB7704">
        <w:t>promote</w:t>
      </w:r>
      <w:r w:rsidR="00132EDE">
        <w:t>,</w:t>
      </w:r>
      <w:r w:rsidR="00BD0172">
        <w:t xml:space="preserve"> the long-term public interest</w:t>
      </w:r>
      <w:r w:rsidR="003C45D8" w:rsidRPr="00FF0EED">
        <w:t>.</w:t>
      </w:r>
    </w:p>
    <w:p w14:paraId="72074C8B" w14:textId="58F3EBE8" w:rsidR="00AF6B8D" w:rsidRPr="00E162C4" w:rsidRDefault="00AF6B8D" w:rsidP="00305954">
      <w:pPr>
        <w:pStyle w:val="Paragraph"/>
      </w:pPr>
      <w:r>
        <w:t>Specific information requested from</w:t>
      </w:r>
      <w:r w:rsidR="003B1681">
        <w:t xml:space="preserve"> incumbent licensees and</w:t>
      </w:r>
      <w:r>
        <w:t xml:space="preserve"> </w:t>
      </w:r>
      <w:r w:rsidR="003B1681">
        <w:t>prospective</w:t>
      </w:r>
      <w:r>
        <w:t xml:space="preserve"> alternative licensees</w:t>
      </w:r>
      <w:r w:rsidR="003B1681">
        <w:t>, along with guidance material to support stakeholders in responding to the request,</w:t>
      </w:r>
      <w:r>
        <w:t xml:space="preserve"> can be found </w:t>
      </w:r>
      <w:r w:rsidR="003B1681">
        <w:t xml:space="preserve">from </w:t>
      </w:r>
      <w:r>
        <w:t>page</w:t>
      </w:r>
      <w:r w:rsidR="003B1681">
        <w:t xml:space="preserve"> </w:t>
      </w:r>
      <w:r w:rsidR="001257D0">
        <w:t>10</w:t>
      </w:r>
      <w:r w:rsidR="00837C2D">
        <w:t xml:space="preserve"> onwards</w:t>
      </w:r>
      <w:r w:rsidR="003B1681">
        <w:t xml:space="preserve">. </w:t>
      </w:r>
    </w:p>
    <w:p w14:paraId="1956D882" w14:textId="3A5F2065" w:rsidR="00C24E75" w:rsidRDefault="003B1681" w:rsidP="00F0632A">
      <w:pPr>
        <w:pStyle w:val="Paragraphbeforelist"/>
        <w:rPr>
          <w:bCs/>
        </w:rPr>
      </w:pPr>
      <w:r>
        <w:rPr>
          <w:bCs/>
        </w:rPr>
        <w:t xml:space="preserve">In addition to </w:t>
      </w:r>
      <w:r w:rsidR="000F51AA">
        <w:t>our</w:t>
      </w:r>
      <w:r w:rsidR="00EB2CF4">
        <w:t xml:space="preserve"> </w:t>
      </w:r>
      <w:r>
        <w:rPr>
          <w:bCs/>
        </w:rPr>
        <w:t xml:space="preserve">information request, </w:t>
      </w:r>
      <w:r w:rsidR="00211E14">
        <w:rPr>
          <w:bCs/>
        </w:rPr>
        <w:t xml:space="preserve">we </w:t>
      </w:r>
      <w:r w:rsidR="00814954">
        <w:rPr>
          <w:bCs/>
        </w:rPr>
        <w:t xml:space="preserve">are seeking stakeholder feedback </w:t>
      </w:r>
      <w:r w:rsidR="004365BA">
        <w:rPr>
          <w:bCs/>
        </w:rPr>
        <w:t>on</w:t>
      </w:r>
      <w:r w:rsidR="005748B7">
        <w:rPr>
          <w:bCs/>
        </w:rPr>
        <w:t>:</w:t>
      </w:r>
    </w:p>
    <w:p w14:paraId="0D034801" w14:textId="72C865A1" w:rsidR="005748B7" w:rsidRPr="00305954" w:rsidRDefault="00C24E75" w:rsidP="00F0632A">
      <w:pPr>
        <w:pStyle w:val="Bulletlevel1"/>
        <w:rPr>
          <w:b/>
        </w:rPr>
      </w:pPr>
      <w:r w:rsidRPr="00352852">
        <w:t>approaches to examin</w:t>
      </w:r>
      <w:r>
        <w:t>ing</w:t>
      </w:r>
      <w:r w:rsidRPr="00352852">
        <w:t xml:space="preserve"> use under existing </w:t>
      </w:r>
      <w:r w:rsidR="00AE1839">
        <w:t xml:space="preserve">spectrum </w:t>
      </w:r>
      <w:proofErr w:type="gramStart"/>
      <w:r w:rsidRPr="00352852">
        <w:t>licences</w:t>
      </w:r>
      <w:proofErr w:type="gramEnd"/>
    </w:p>
    <w:p w14:paraId="39CB3D14" w14:textId="511775ED" w:rsidR="00FC7CA2" w:rsidRDefault="00642921" w:rsidP="00C37E20">
      <w:pPr>
        <w:pStyle w:val="Bulletlevel1"/>
      </w:pPr>
      <w:r>
        <w:t xml:space="preserve">issues around </w:t>
      </w:r>
      <w:r w:rsidR="005E2614" w:rsidRPr="00305954">
        <w:t xml:space="preserve">resilience and temporary disaster responses that arise in the context of spectrum licences and the ESL </w:t>
      </w:r>
      <w:proofErr w:type="gramStart"/>
      <w:r w:rsidR="005E2614" w:rsidRPr="00305954">
        <w:t>process</w:t>
      </w:r>
      <w:proofErr w:type="gramEnd"/>
    </w:p>
    <w:p w14:paraId="6902E07A" w14:textId="610EF77F" w:rsidR="00246E1E" w:rsidRPr="00305954" w:rsidRDefault="00246E1E" w:rsidP="00A12AEE">
      <w:pPr>
        <w:pStyle w:val="Bulletlevel1"/>
      </w:pPr>
      <w:r>
        <w:t>o</w:t>
      </w:r>
      <w:r w:rsidRPr="00305954">
        <w:t>ur views on the uses of</w:t>
      </w:r>
      <w:r>
        <w:t xml:space="preserve"> the</w:t>
      </w:r>
      <w:r w:rsidRPr="00305954">
        <w:t xml:space="preserve"> frequency </w:t>
      </w:r>
      <w:r>
        <w:t xml:space="preserve">bands that are conducive to promoting the long-term public interest, and any </w:t>
      </w:r>
      <w:r w:rsidRPr="00305954">
        <w:t xml:space="preserve">additional evidence or analysis related to these </w:t>
      </w:r>
      <w:proofErr w:type="gramStart"/>
      <w:r w:rsidRPr="00305954">
        <w:t>views</w:t>
      </w:r>
      <w:proofErr w:type="gramEnd"/>
    </w:p>
    <w:p w14:paraId="31A3638F" w14:textId="407FE721" w:rsidR="00CA22DB" w:rsidRPr="00305954" w:rsidRDefault="00F75565" w:rsidP="00F0632A">
      <w:pPr>
        <w:pStyle w:val="Bulletlevel1last"/>
      </w:pPr>
      <w:r w:rsidRPr="00305954">
        <w:t xml:space="preserve">the effectiveness of rollout </w:t>
      </w:r>
      <w:r w:rsidR="53B75789">
        <w:t>obligation</w:t>
      </w:r>
      <w:r w:rsidR="5DC7FF54">
        <w:t>s</w:t>
      </w:r>
      <w:r w:rsidRPr="00305954">
        <w:t xml:space="preserve"> </w:t>
      </w:r>
      <w:r w:rsidR="0060460C">
        <w:t>to</w:t>
      </w:r>
      <w:r w:rsidR="0060460C" w:rsidRPr="00305954">
        <w:t xml:space="preserve"> </w:t>
      </w:r>
      <w:r w:rsidRPr="00305954">
        <w:t>achiev</w:t>
      </w:r>
      <w:r w:rsidR="0060460C">
        <w:t>e</w:t>
      </w:r>
      <w:r w:rsidRPr="00305954">
        <w:t xml:space="preserve"> improve</w:t>
      </w:r>
      <w:r w:rsidR="00872AB5">
        <w:t>d</w:t>
      </w:r>
      <w:r w:rsidRPr="00305954">
        <w:t xml:space="preserve"> </w:t>
      </w:r>
      <w:r w:rsidR="00FC7CA2" w:rsidRPr="00305954">
        <w:t>coverage</w:t>
      </w:r>
      <w:r w:rsidR="0097043F">
        <w:t>,</w:t>
      </w:r>
      <w:r w:rsidRPr="00305954">
        <w:t xml:space="preserve"> UIOLI and UIOSI conditions </w:t>
      </w:r>
      <w:r w:rsidR="00DF6D1F">
        <w:t>to</w:t>
      </w:r>
      <w:r w:rsidR="00DF6D1F" w:rsidRPr="00305954">
        <w:t xml:space="preserve"> </w:t>
      </w:r>
      <w:r w:rsidRPr="00305954">
        <w:t>achiev</w:t>
      </w:r>
      <w:r w:rsidR="00DF6D1F">
        <w:t>e</w:t>
      </w:r>
      <w:r w:rsidRPr="00305954">
        <w:t xml:space="preserve"> more </w:t>
      </w:r>
      <w:r w:rsidR="00FC7CA2" w:rsidRPr="00305954">
        <w:t>efficient</w:t>
      </w:r>
      <w:r w:rsidRPr="00305954">
        <w:t xml:space="preserve"> use of the spectrum</w:t>
      </w:r>
      <w:r w:rsidR="0097043F">
        <w:t>,</w:t>
      </w:r>
      <w:r w:rsidR="00642921">
        <w:t xml:space="preserve"> any evidence or analysis</w:t>
      </w:r>
      <w:r w:rsidR="00D451FF">
        <w:t xml:space="preserve"> </w:t>
      </w:r>
      <w:r w:rsidR="00445804">
        <w:t>to support</w:t>
      </w:r>
      <w:r w:rsidR="00625FBD">
        <w:t xml:space="preserve"> these</w:t>
      </w:r>
      <w:r w:rsidR="00445804">
        <w:t xml:space="preserve"> views</w:t>
      </w:r>
      <w:r w:rsidR="006F2581">
        <w:t xml:space="preserve"> and </w:t>
      </w:r>
      <w:r w:rsidR="00484E59">
        <w:t>input</w:t>
      </w:r>
      <w:r w:rsidR="00743C88">
        <w:t xml:space="preserve"> on the practical implications of applying such conditions</w:t>
      </w:r>
      <w:r w:rsidR="00445804">
        <w:t xml:space="preserve">. </w:t>
      </w:r>
      <w:r w:rsidR="00642921">
        <w:t xml:space="preserve"> </w:t>
      </w:r>
    </w:p>
    <w:p w14:paraId="24EE0870" w14:textId="77777777" w:rsidR="006C5530" w:rsidRDefault="006C5530" w:rsidP="003253EE">
      <w:pPr>
        <w:pStyle w:val="Paragraphbeforelist"/>
      </w:pPr>
    </w:p>
    <w:p w14:paraId="1AF409F3" w14:textId="24FCD3CA" w:rsidR="00D57398" w:rsidRDefault="00D57398" w:rsidP="00D57398">
      <w:pPr>
        <w:pStyle w:val="Heading1"/>
      </w:pPr>
      <w:bookmarkStart w:id="6" w:name="_Toc159360653"/>
      <w:bookmarkStart w:id="7" w:name="_Toc161756517"/>
      <w:r>
        <w:lastRenderedPageBreak/>
        <w:t>Introduction</w:t>
      </w:r>
      <w:bookmarkEnd w:id="6"/>
      <w:bookmarkEnd w:id="7"/>
    </w:p>
    <w:p w14:paraId="1F2E7650" w14:textId="3A3083D6" w:rsidR="00D57398" w:rsidRDefault="00D57398" w:rsidP="00D57398">
      <w:pPr>
        <w:pStyle w:val="Heading2"/>
      </w:pPr>
      <w:bookmarkStart w:id="8" w:name="_Toc159360654"/>
      <w:bookmarkStart w:id="9" w:name="_Toc161756518"/>
      <w:r>
        <w:t>Spectrum licences</w:t>
      </w:r>
      <w:bookmarkEnd w:id="8"/>
      <w:bookmarkEnd w:id="9"/>
    </w:p>
    <w:p w14:paraId="547D9608" w14:textId="13B68E1E" w:rsidR="00D57398" w:rsidRDefault="00D57398" w:rsidP="00D57398">
      <w:pPr>
        <w:pStyle w:val="Paragraph"/>
        <w:rPr>
          <w:rStyle w:val="normaltextrun"/>
        </w:rPr>
      </w:pPr>
      <w:r w:rsidRPr="22FF8CA1">
        <w:rPr>
          <w:rStyle w:val="normaltextrun"/>
        </w:rPr>
        <w:t>Spectrum licences authorise licensees to operate</w:t>
      </w:r>
      <w:r w:rsidRPr="22FF8CA1" w:rsidDel="00340E83">
        <w:rPr>
          <w:rStyle w:val="normaltextrun"/>
        </w:rPr>
        <w:t xml:space="preserve"> </w:t>
      </w:r>
      <w:r w:rsidRPr="22FF8CA1">
        <w:rPr>
          <w:rStyle w:val="normaltextrun"/>
        </w:rPr>
        <w:t xml:space="preserve">radiocommunication devices </w:t>
      </w:r>
      <w:r w:rsidR="22E4908C" w:rsidRPr="467B9D82">
        <w:rPr>
          <w:rStyle w:val="normaltextrun"/>
        </w:rPr>
        <w:t xml:space="preserve">within </w:t>
      </w:r>
      <w:r w:rsidRPr="467B9D82">
        <w:rPr>
          <w:rStyle w:val="normaltextrun"/>
        </w:rPr>
        <w:t>frequencies</w:t>
      </w:r>
      <w:r w:rsidRPr="22FF8CA1">
        <w:rPr>
          <w:rStyle w:val="normaltextrun"/>
        </w:rPr>
        <w:t xml:space="preserve"> and corresponding geographic areas </w:t>
      </w:r>
      <w:r w:rsidR="00DD379D" w:rsidRPr="22FF8CA1">
        <w:rPr>
          <w:rStyle w:val="normaltextrun"/>
        </w:rPr>
        <w:t>(sometimes referred to as a spectrum space)</w:t>
      </w:r>
      <w:r w:rsidRPr="22FF8CA1">
        <w:rPr>
          <w:rStyle w:val="normaltextrun"/>
        </w:rPr>
        <w:t xml:space="preserve"> specified</w:t>
      </w:r>
      <w:r w:rsidR="00C65205" w:rsidRPr="22FF8CA1">
        <w:rPr>
          <w:rStyle w:val="normaltextrun"/>
        </w:rPr>
        <w:t xml:space="preserve"> </w:t>
      </w:r>
      <w:r w:rsidRPr="22FF8CA1">
        <w:rPr>
          <w:rStyle w:val="normaltextrun"/>
        </w:rPr>
        <w:t>in the licence. Spectrum licences are typically used to</w:t>
      </w:r>
      <w:r w:rsidRPr="22FF8CA1" w:rsidDel="00C95E74">
        <w:rPr>
          <w:rStyle w:val="normaltextrun"/>
        </w:rPr>
        <w:t xml:space="preserve"> </w:t>
      </w:r>
      <w:r w:rsidRPr="22FF8CA1">
        <w:rPr>
          <w:rStyle w:val="normaltextrun"/>
        </w:rPr>
        <w:t xml:space="preserve">enable a broad range of communication services for Australian </w:t>
      </w:r>
      <w:r w:rsidR="00D92A2E">
        <w:rPr>
          <w:rStyle w:val="normaltextrun"/>
        </w:rPr>
        <w:t>society</w:t>
      </w:r>
      <w:r w:rsidRPr="22FF8CA1">
        <w:rPr>
          <w:rStyle w:val="normaltextrun"/>
        </w:rPr>
        <w:t xml:space="preserve"> and have profound impact</w:t>
      </w:r>
      <w:r w:rsidR="00547D4D">
        <w:rPr>
          <w:rStyle w:val="normaltextrun"/>
        </w:rPr>
        <w:t>s</w:t>
      </w:r>
      <w:r w:rsidRPr="22FF8CA1">
        <w:rPr>
          <w:rStyle w:val="normaltextrun"/>
        </w:rPr>
        <w:t xml:space="preserve"> on our economy, health and social engagement.</w:t>
      </w:r>
    </w:p>
    <w:p w14:paraId="70F188DF" w14:textId="5F04A3EC" w:rsidR="00D57398" w:rsidRDefault="00D57398" w:rsidP="00D57398">
      <w:pPr>
        <w:pStyle w:val="Paragraph"/>
        <w:rPr>
          <w:rStyle w:val="normaltextrun"/>
        </w:rPr>
      </w:pPr>
      <w:r w:rsidRPr="05C47FCF">
        <w:rPr>
          <w:rStyle w:val="normaltextrun"/>
        </w:rPr>
        <w:t>Spectrum licences have typically been used to licence large bandwidths of spectrum across large geographies to facilitate wide area networks, such as mobile networks. They have typically been allocated via competitive auction processes and were historically issued for up to 15 years</w:t>
      </w:r>
      <w:r w:rsidR="002F2457" w:rsidRPr="05C47FCF">
        <w:rPr>
          <w:rStyle w:val="normaltextrun"/>
        </w:rPr>
        <w:t xml:space="preserve"> but</w:t>
      </w:r>
      <w:r w:rsidRPr="05C47FCF">
        <w:rPr>
          <w:rStyle w:val="normaltextrun"/>
        </w:rPr>
        <w:t xml:space="preserve"> may now be issued for up to 20 years. </w:t>
      </w:r>
    </w:p>
    <w:p w14:paraId="7D1CB64A" w14:textId="30283822" w:rsidR="00D57398" w:rsidRDefault="00D57398" w:rsidP="00D57398">
      <w:pPr>
        <w:pStyle w:val="Paragraph"/>
      </w:pPr>
      <w:r>
        <w:t>Spectrum licences are trad</w:t>
      </w:r>
      <w:r w:rsidR="00F12CA7">
        <w:t>e</w:t>
      </w:r>
      <w:r>
        <w:t xml:space="preserve">able, in part or in full, enabling both disaggregation and aggregation of </w:t>
      </w:r>
      <w:r w:rsidR="00BA0361">
        <w:t xml:space="preserve">licensed </w:t>
      </w:r>
      <w:r>
        <w:t>spectrum spaces.</w:t>
      </w:r>
      <w:r w:rsidR="007D74B7">
        <w:t xml:space="preserve"> </w:t>
      </w:r>
      <w:r w:rsidR="002A0A76">
        <w:t>Trad</w:t>
      </w:r>
      <w:r w:rsidR="00166633">
        <w:t>e</w:t>
      </w:r>
      <w:r w:rsidR="002A0A76">
        <w:t>ability may facilitate greater efficiency in spectrum use.</w:t>
      </w:r>
      <w:r w:rsidR="007D74B7">
        <w:t xml:space="preserve"> </w:t>
      </w:r>
      <w:r>
        <w:t xml:space="preserve">Licensees may also authorise third-party users, sometimes referred to as leasing, to use the licensed spectrum. </w:t>
      </w:r>
    </w:p>
    <w:p w14:paraId="518A28A5" w14:textId="29738F81" w:rsidR="00D57398" w:rsidRDefault="00D57398" w:rsidP="00D57398">
      <w:pPr>
        <w:pStyle w:val="Paragraph"/>
      </w:pPr>
      <w:r>
        <w:t xml:space="preserve">Spectrum licences are subject to technology-flexible technical frameworks, which although may be optimised for a particular technology or </w:t>
      </w:r>
      <w:r w:rsidR="00DD379D">
        <w:t>use case</w:t>
      </w:r>
      <w:r>
        <w:t xml:space="preserve"> (for example, 5G), enable multiple generations of technology to be deployed under a single licence</w:t>
      </w:r>
      <w:r w:rsidR="00530BAC">
        <w:t>,</w:t>
      </w:r>
      <w:r>
        <w:t xml:space="preserve"> and allow licensees to repurpose spectrum for other uses. This means licensees can operate any type of radiocommunications device for any purpose, provided they comply with the technical framework for that band and any other requirements that apply (such as equipment rules made under the Act).</w:t>
      </w:r>
    </w:p>
    <w:p w14:paraId="3C463435" w14:textId="5F247A7B" w:rsidR="00D57398" w:rsidRPr="00AA2240" w:rsidRDefault="00D57398" w:rsidP="00D57398">
      <w:pPr>
        <w:pStyle w:val="Paragraph"/>
      </w:pPr>
      <w:r>
        <w:t xml:space="preserve">Spectrum licences </w:t>
      </w:r>
      <w:r w:rsidR="0077167A">
        <w:t xml:space="preserve">issued </w:t>
      </w:r>
      <w:r>
        <w:t>after 2021 must also include renewal statements</w:t>
      </w:r>
      <w:r w:rsidR="0077167A">
        <w:t xml:space="preserve"> and (if appropriate)</w:t>
      </w:r>
      <w:r>
        <w:t xml:space="preserve"> renewal application period statements</w:t>
      </w:r>
      <w:r w:rsidR="0077167A">
        <w:t xml:space="preserve"> and</w:t>
      </w:r>
      <w:r>
        <w:t xml:space="preserve"> </w:t>
      </w:r>
      <w:r w:rsidR="0077167A">
        <w:t xml:space="preserve">may include </w:t>
      </w:r>
      <w:r>
        <w:t xml:space="preserve">renewal decision-making period statements </w:t>
      </w:r>
      <w:r w:rsidR="0077167A">
        <w:t>and</w:t>
      </w:r>
      <w:r>
        <w:t xml:space="preserve"> public interest statements.</w:t>
      </w:r>
      <w:r>
        <w:rPr>
          <w:rStyle w:val="FootnoteReference"/>
        </w:rPr>
        <w:footnoteReference w:id="4"/>
      </w:r>
      <w:r>
        <w:t xml:space="preserve"> These statements set out the terms and timeframes under which renewal may be considered. </w:t>
      </w:r>
    </w:p>
    <w:p w14:paraId="6C4DAF2A" w14:textId="77777777" w:rsidR="00D57398" w:rsidRPr="007044D8" w:rsidRDefault="00D57398" w:rsidP="0006069F">
      <w:pPr>
        <w:pStyle w:val="Heading2"/>
      </w:pPr>
      <w:bookmarkStart w:id="10" w:name="_Toc161756519"/>
      <w:r w:rsidRPr="00002C71">
        <w:t>Expiring spectrum licences</w:t>
      </w:r>
      <w:bookmarkEnd w:id="10"/>
      <w:r w:rsidRPr="00002C71">
        <w:t xml:space="preserve"> </w:t>
      </w:r>
    </w:p>
    <w:p w14:paraId="7B45DD42" w14:textId="74D2FF9D" w:rsidR="00D57398" w:rsidRDefault="002C74B4" w:rsidP="00D57398">
      <w:pPr>
        <w:pStyle w:val="Paragraph"/>
        <w:rPr>
          <w:rFonts w:eastAsia="Arial"/>
          <w:color w:val="000000" w:themeColor="text1"/>
        </w:rPr>
      </w:pPr>
      <w:r w:rsidRPr="643AA032">
        <w:rPr>
          <w:rFonts w:eastAsia="Arial"/>
          <w:color w:val="000000" w:themeColor="text1"/>
        </w:rPr>
        <w:t xml:space="preserve">Spectrum licences within the scope of the ESL process are </w:t>
      </w:r>
      <w:r w:rsidR="69448FF4" w:rsidRPr="643AA032">
        <w:rPr>
          <w:rFonts w:eastAsia="Arial"/>
          <w:color w:val="000000" w:themeColor="text1"/>
        </w:rPr>
        <w:t xml:space="preserve">listed </w:t>
      </w:r>
      <w:r w:rsidRPr="643AA032">
        <w:rPr>
          <w:rFonts w:eastAsia="Arial"/>
          <w:color w:val="000000" w:themeColor="text1"/>
        </w:rPr>
        <w:t xml:space="preserve">in </w:t>
      </w:r>
      <w:r w:rsidR="00D57398" w:rsidRPr="643AA032">
        <w:rPr>
          <w:rFonts w:eastAsia="Arial"/>
          <w:color w:val="000000" w:themeColor="text1"/>
        </w:rPr>
        <w:t xml:space="preserve">Table 1. </w:t>
      </w:r>
      <w:r w:rsidR="008043A4">
        <w:t xml:space="preserve">Further details about these licences can be found in the </w:t>
      </w:r>
      <w:hyperlink r:id="rId27">
        <w:r w:rsidR="008043A4" w:rsidRPr="643AA032">
          <w:rPr>
            <w:color w:val="0000FF"/>
            <w:u w:val="single"/>
          </w:rPr>
          <w:t>Register of Radiocommunications Licences</w:t>
        </w:r>
      </w:hyperlink>
      <w:r w:rsidR="008043A4">
        <w:t xml:space="preserve"> (RRL).  </w:t>
      </w:r>
    </w:p>
    <w:p w14:paraId="18939738" w14:textId="76194E23" w:rsidR="00D57398" w:rsidRPr="001A5E12" w:rsidRDefault="00D57398" w:rsidP="003655FC">
      <w:pPr>
        <w:pStyle w:val="Tableheading"/>
        <w:keepLines/>
        <w:rPr>
          <w:rFonts w:eastAsia="Arial"/>
          <w:color w:val="000000" w:themeColor="text1"/>
        </w:rPr>
      </w:pPr>
      <w:r w:rsidRPr="003B6AD7">
        <w:rPr>
          <w:rFonts w:eastAsia="Arial"/>
        </w:rPr>
        <w:lastRenderedPageBreak/>
        <w:t>Summary</w:t>
      </w:r>
      <w:r w:rsidRPr="001A5E12">
        <w:rPr>
          <w:rFonts w:eastAsia="Arial"/>
          <w:color w:val="000000" w:themeColor="text1"/>
        </w:rPr>
        <w:t xml:space="preserve"> of ESLs</w:t>
      </w:r>
    </w:p>
    <w:tbl>
      <w:tblPr>
        <w:tblStyle w:val="ACMAtablestyle"/>
        <w:tblW w:w="6383" w:type="pct"/>
        <w:tblLook w:val="04A0" w:firstRow="1" w:lastRow="0" w:firstColumn="1" w:lastColumn="0" w:noHBand="0" w:noVBand="1"/>
      </w:tblPr>
      <w:tblGrid>
        <w:gridCol w:w="1457"/>
        <w:gridCol w:w="2052"/>
        <w:gridCol w:w="2390"/>
        <w:gridCol w:w="1981"/>
        <w:gridCol w:w="1900"/>
      </w:tblGrid>
      <w:tr w:rsidR="00090B13" w:rsidRPr="006C7221" w14:paraId="28188C59" w14:textId="77777777" w:rsidTr="00043BC0">
        <w:trPr>
          <w:cnfStyle w:val="100000000000" w:firstRow="1" w:lastRow="0" w:firstColumn="0" w:lastColumn="0" w:oddVBand="0" w:evenVBand="0" w:oddHBand="0" w:evenHBand="0" w:firstRowFirstColumn="0" w:firstRowLastColumn="0" w:lastRowFirstColumn="0" w:lastRowLastColumn="0"/>
          <w:trHeight w:val="300"/>
        </w:trPr>
        <w:tc>
          <w:tcPr>
            <w:tcW w:w="0" w:type="pct"/>
            <w:hideMark/>
          </w:tcPr>
          <w:p w14:paraId="711D0A6B"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b/>
                <w:bCs/>
                <w:color w:val="FFFFFF"/>
                <w:sz w:val="21"/>
                <w:szCs w:val="21"/>
              </w:rPr>
              <w:t>Band</w:t>
            </w:r>
            <w:r w:rsidRPr="006C7221">
              <w:rPr>
                <w:rFonts w:cs="Arial"/>
                <w:sz w:val="21"/>
                <w:szCs w:val="21"/>
              </w:rPr>
              <w:t> </w:t>
            </w:r>
          </w:p>
        </w:tc>
        <w:tc>
          <w:tcPr>
            <w:tcW w:w="0" w:type="pct"/>
            <w:hideMark/>
          </w:tcPr>
          <w:p w14:paraId="0225AB3A"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b/>
                <w:bCs/>
                <w:color w:val="FFFFFF"/>
                <w:sz w:val="21"/>
                <w:szCs w:val="21"/>
              </w:rPr>
              <w:t>Licensees</w:t>
            </w:r>
            <w:r w:rsidRPr="006C7221">
              <w:rPr>
                <w:rFonts w:cs="Arial"/>
                <w:sz w:val="21"/>
                <w:szCs w:val="21"/>
              </w:rPr>
              <w:t> </w:t>
            </w:r>
          </w:p>
        </w:tc>
        <w:tc>
          <w:tcPr>
            <w:tcW w:w="0" w:type="pct"/>
          </w:tcPr>
          <w:p w14:paraId="69EF8302" w14:textId="359B8151" w:rsidR="000C038F" w:rsidRDefault="000C038F" w:rsidP="003655FC">
            <w:pPr>
              <w:keepNext/>
              <w:keepLines/>
              <w:spacing w:after="0" w:line="240" w:lineRule="auto"/>
              <w:textAlignment w:val="baseline"/>
              <w:rPr>
                <w:rFonts w:cs="Arial"/>
                <w:b/>
                <w:bCs/>
                <w:color w:val="FFFFFF"/>
                <w:sz w:val="21"/>
                <w:szCs w:val="21"/>
              </w:rPr>
            </w:pPr>
            <w:r>
              <w:rPr>
                <w:rFonts w:cs="Arial"/>
                <w:b/>
                <w:bCs/>
                <w:color w:val="FFFFFF"/>
                <w:sz w:val="21"/>
                <w:szCs w:val="21"/>
              </w:rPr>
              <w:t xml:space="preserve">Current </w:t>
            </w:r>
            <w:r w:rsidR="00E753B1">
              <w:rPr>
                <w:rFonts w:cs="Arial"/>
                <w:b/>
                <w:bCs/>
                <w:color w:val="FFFFFF"/>
                <w:sz w:val="21"/>
                <w:szCs w:val="21"/>
              </w:rPr>
              <w:t xml:space="preserve">primary </w:t>
            </w:r>
            <w:r>
              <w:rPr>
                <w:rFonts w:cs="Arial"/>
                <w:b/>
                <w:bCs/>
                <w:color w:val="FFFFFF"/>
                <w:sz w:val="21"/>
                <w:szCs w:val="21"/>
              </w:rPr>
              <w:t>u</w:t>
            </w:r>
            <w:r w:rsidR="008A412D">
              <w:rPr>
                <w:rFonts w:cs="Arial"/>
                <w:b/>
                <w:bCs/>
                <w:color w:val="FFFFFF"/>
                <w:sz w:val="21"/>
                <w:szCs w:val="21"/>
              </w:rPr>
              <w:t>se</w:t>
            </w:r>
          </w:p>
        </w:tc>
        <w:tc>
          <w:tcPr>
            <w:tcW w:w="0" w:type="pct"/>
            <w:hideMark/>
          </w:tcPr>
          <w:p w14:paraId="7A268963" w14:textId="19AE96B3" w:rsidR="00D57398" w:rsidRPr="006C7221" w:rsidRDefault="00D57398" w:rsidP="003655FC">
            <w:pPr>
              <w:keepNext/>
              <w:keepLines/>
              <w:spacing w:after="0" w:line="240" w:lineRule="auto"/>
              <w:textAlignment w:val="baseline"/>
              <w:rPr>
                <w:rFonts w:ascii="Segoe UI" w:hAnsi="Segoe UI" w:cs="Segoe UI"/>
                <w:sz w:val="18"/>
                <w:szCs w:val="18"/>
              </w:rPr>
            </w:pPr>
            <w:r w:rsidRPr="48D3B618">
              <w:rPr>
                <w:rFonts w:cs="Arial"/>
                <w:b/>
                <w:sz w:val="21"/>
                <w:szCs w:val="21"/>
              </w:rPr>
              <w:t xml:space="preserve">Renewal application </w:t>
            </w:r>
            <w:r w:rsidR="003D11CD">
              <w:rPr>
                <w:rFonts w:cs="Arial"/>
                <w:b/>
                <w:sz w:val="21"/>
                <w:szCs w:val="21"/>
              </w:rPr>
              <w:br/>
            </w:r>
            <w:r w:rsidRPr="48D3B618">
              <w:rPr>
                <w:rFonts w:cs="Arial"/>
                <w:b/>
                <w:sz w:val="21"/>
                <w:szCs w:val="21"/>
              </w:rPr>
              <w:t xml:space="preserve">period </w:t>
            </w:r>
            <w:r w:rsidR="267D1B57" w:rsidRPr="00FF4D6C">
              <w:rPr>
                <w:rFonts w:cs="Arial"/>
                <w:b/>
                <w:sz w:val="21"/>
                <w:szCs w:val="21"/>
              </w:rPr>
              <w:t>begins</w:t>
            </w:r>
          </w:p>
        </w:tc>
        <w:tc>
          <w:tcPr>
            <w:tcW w:w="0" w:type="pct"/>
            <w:hideMark/>
          </w:tcPr>
          <w:p w14:paraId="33719972"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b/>
                <w:bCs/>
                <w:color w:val="FFFFFF"/>
                <w:sz w:val="21"/>
                <w:szCs w:val="21"/>
              </w:rPr>
              <w:t>Expiry</w:t>
            </w:r>
            <w:r w:rsidRPr="006C7221">
              <w:rPr>
                <w:rFonts w:cs="Arial"/>
                <w:sz w:val="21"/>
                <w:szCs w:val="21"/>
              </w:rPr>
              <w:t> </w:t>
            </w:r>
          </w:p>
        </w:tc>
      </w:tr>
      <w:tr w:rsidR="00D57398" w:rsidRPr="006C7221" w14:paraId="75D99B69" w14:textId="77777777" w:rsidTr="005C6B58">
        <w:trPr>
          <w:cnfStyle w:val="000000100000" w:firstRow="0" w:lastRow="0" w:firstColumn="0" w:lastColumn="0" w:oddVBand="0" w:evenVBand="0" w:oddHBand="1" w:evenHBand="0" w:firstRowFirstColumn="0" w:firstRowLastColumn="0" w:lastRowFirstColumn="0" w:lastRowLastColumn="0"/>
          <w:trHeight w:val="300"/>
        </w:trPr>
        <w:tc>
          <w:tcPr>
            <w:tcW w:w="0" w:type="pct"/>
            <w:shd w:val="clear" w:color="auto" w:fill="auto"/>
            <w:hideMark/>
          </w:tcPr>
          <w:p w14:paraId="50CCF551"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b/>
                <w:bCs/>
                <w:sz w:val="21"/>
                <w:szCs w:val="21"/>
              </w:rPr>
              <w:t>850 MHz</w:t>
            </w:r>
            <w:r w:rsidRPr="006C7221">
              <w:rPr>
                <w:rFonts w:cs="Arial"/>
                <w:sz w:val="21"/>
                <w:szCs w:val="21"/>
              </w:rPr>
              <w:t> </w:t>
            </w:r>
          </w:p>
        </w:tc>
        <w:tc>
          <w:tcPr>
            <w:tcW w:w="0" w:type="pct"/>
            <w:shd w:val="clear" w:color="auto" w:fill="auto"/>
            <w:hideMark/>
          </w:tcPr>
          <w:p w14:paraId="61EC0D19" w14:textId="480FDBED"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TPG</w:t>
            </w:r>
            <w:r w:rsidR="7D19AE0C" w:rsidRPr="65DF5A38">
              <w:rPr>
                <w:rFonts w:cs="Arial"/>
                <w:sz w:val="21"/>
                <w:szCs w:val="21"/>
              </w:rPr>
              <w:t>,</w:t>
            </w:r>
            <w:r w:rsidR="00C707A5">
              <w:rPr>
                <w:rFonts w:cs="Arial"/>
                <w:sz w:val="21"/>
                <w:szCs w:val="21"/>
              </w:rPr>
              <w:t xml:space="preserve"> </w:t>
            </w:r>
            <w:r w:rsidRPr="006C7221">
              <w:rPr>
                <w:rFonts w:cs="Arial"/>
                <w:sz w:val="21"/>
                <w:szCs w:val="21"/>
              </w:rPr>
              <w:t>Telstra (original band) </w:t>
            </w:r>
          </w:p>
          <w:p w14:paraId="37BF6EC5"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 </w:t>
            </w:r>
          </w:p>
          <w:p w14:paraId="46094A9E"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Optus (downshift) </w:t>
            </w:r>
          </w:p>
        </w:tc>
        <w:tc>
          <w:tcPr>
            <w:tcW w:w="0" w:type="pct"/>
          </w:tcPr>
          <w:p w14:paraId="4C33743E" w14:textId="7A872D5E" w:rsidR="00B85CDC" w:rsidRDefault="00B85CDC" w:rsidP="003655FC">
            <w:pPr>
              <w:keepNext/>
              <w:keepLines/>
              <w:spacing w:after="0" w:line="240" w:lineRule="auto"/>
              <w:textAlignment w:val="baseline"/>
              <w:rPr>
                <w:rFonts w:cs="Arial"/>
                <w:sz w:val="21"/>
                <w:szCs w:val="21"/>
              </w:rPr>
            </w:pPr>
            <w:r>
              <w:rPr>
                <w:rFonts w:cs="Arial"/>
                <w:sz w:val="21"/>
                <w:szCs w:val="21"/>
              </w:rPr>
              <w:t>WBB</w:t>
            </w:r>
          </w:p>
        </w:tc>
        <w:tc>
          <w:tcPr>
            <w:tcW w:w="0" w:type="pct"/>
            <w:shd w:val="clear" w:color="auto" w:fill="auto"/>
            <w:hideMark/>
          </w:tcPr>
          <w:p w14:paraId="6D805B13"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18 June 2026 </w:t>
            </w:r>
          </w:p>
          <w:p w14:paraId="7032D346" w14:textId="77777777" w:rsidR="00D57398" w:rsidRPr="006C7221" w:rsidRDefault="00D57398" w:rsidP="003655FC">
            <w:pPr>
              <w:keepNext/>
              <w:keepLines/>
              <w:spacing w:after="0" w:line="240" w:lineRule="auto"/>
              <w:textAlignment w:val="baseline"/>
              <w:rPr>
                <w:rFonts w:ascii="Segoe UI" w:hAnsi="Segoe UI" w:cs="Segoe UI"/>
                <w:sz w:val="18"/>
                <w:szCs w:val="18"/>
              </w:rPr>
            </w:pPr>
          </w:p>
        </w:tc>
        <w:tc>
          <w:tcPr>
            <w:tcW w:w="0" w:type="pct"/>
            <w:shd w:val="clear" w:color="auto" w:fill="auto"/>
            <w:hideMark/>
          </w:tcPr>
          <w:p w14:paraId="68E00981"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17 June 2028 </w:t>
            </w:r>
          </w:p>
        </w:tc>
      </w:tr>
      <w:tr w:rsidR="00853B86" w:rsidRPr="006C7221" w14:paraId="33EF386B" w14:textId="77777777" w:rsidTr="00043BC0">
        <w:trPr>
          <w:cnfStyle w:val="000000010000" w:firstRow="0" w:lastRow="0" w:firstColumn="0" w:lastColumn="0" w:oddVBand="0" w:evenVBand="0" w:oddHBand="0" w:evenHBand="1" w:firstRowFirstColumn="0" w:firstRowLastColumn="0" w:lastRowFirstColumn="0" w:lastRowLastColumn="0"/>
          <w:trHeight w:val="300"/>
        </w:trPr>
        <w:tc>
          <w:tcPr>
            <w:tcW w:w="0" w:type="pct"/>
            <w:hideMark/>
          </w:tcPr>
          <w:p w14:paraId="382C0D85"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b/>
                <w:bCs/>
                <w:sz w:val="21"/>
                <w:szCs w:val="21"/>
              </w:rPr>
              <w:t>1800 MHz</w:t>
            </w:r>
            <w:r w:rsidRPr="006C7221">
              <w:rPr>
                <w:rFonts w:cs="Arial"/>
                <w:sz w:val="21"/>
                <w:szCs w:val="21"/>
              </w:rPr>
              <w:t> </w:t>
            </w:r>
          </w:p>
        </w:tc>
        <w:tc>
          <w:tcPr>
            <w:tcW w:w="0" w:type="pct"/>
            <w:hideMark/>
          </w:tcPr>
          <w:p w14:paraId="0D0F8342" w14:textId="0D7C5053"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TPG, Telstra</w:t>
            </w:r>
            <w:r w:rsidR="7BA714E9" w:rsidRPr="1686AD16">
              <w:rPr>
                <w:rFonts w:cs="Arial"/>
                <w:sz w:val="21"/>
                <w:szCs w:val="21"/>
              </w:rPr>
              <w:t>,</w:t>
            </w:r>
            <w:r w:rsidRPr="006C7221">
              <w:rPr>
                <w:rFonts w:cs="Arial"/>
                <w:sz w:val="21"/>
                <w:szCs w:val="21"/>
              </w:rPr>
              <w:t xml:space="preserve"> Optus </w:t>
            </w:r>
          </w:p>
          <w:p w14:paraId="272B2995"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 </w:t>
            </w:r>
          </w:p>
          <w:p w14:paraId="3DE71238" w14:textId="1E38E8A6" w:rsidR="00D57398" w:rsidRPr="006C7221" w:rsidRDefault="00D57398" w:rsidP="003655FC">
            <w:pPr>
              <w:keepNext/>
              <w:keepLines/>
              <w:spacing w:after="0" w:line="240" w:lineRule="auto"/>
              <w:textAlignment w:val="baseline"/>
            </w:pPr>
            <w:r>
              <w:t>RailCorp (NSW); VicTrack; Queensland Rail; Department of Planning, Transport and Infrastructure (SA); Public Transport Authority of Western Australia</w:t>
            </w:r>
          </w:p>
        </w:tc>
        <w:tc>
          <w:tcPr>
            <w:tcW w:w="0" w:type="pct"/>
          </w:tcPr>
          <w:p w14:paraId="1775CC66" w14:textId="7F452989" w:rsidR="000C038F" w:rsidRDefault="006647BD" w:rsidP="003655FC">
            <w:pPr>
              <w:keepNext/>
              <w:keepLines/>
              <w:spacing w:after="0" w:line="240" w:lineRule="auto"/>
              <w:textAlignment w:val="baseline"/>
              <w:rPr>
                <w:rFonts w:cs="Arial"/>
                <w:sz w:val="21"/>
                <w:szCs w:val="21"/>
              </w:rPr>
            </w:pPr>
            <w:r>
              <w:rPr>
                <w:rFonts w:cs="Arial"/>
                <w:sz w:val="21"/>
                <w:szCs w:val="21"/>
              </w:rPr>
              <w:t>WBB</w:t>
            </w:r>
          </w:p>
          <w:p w14:paraId="1043558C" w14:textId="77777777" w:rsidR="006647BD" w:rsidRDefault="006647BD" w:rsidP="003655FC">
            <w:pPr>
              <w:keepNext/>
              <w:keepLines/>
              <w:spacing w:after="0" w:line="240" w:lineRule="auto"/>
              <w:textAlignment w:val="baseline"/>
              <w:rPr>
                <w:rFonts w:cs="Arial"/>
                <w:sz w:val="21"/>
                <w:szCs w:val="21"/>
              </w:rPr>
            </w:pPr>
          </w:p>
          <w:p w14:paraId="301FA12E" w14:textId="32B77CFE" w:rsidR="000C038F" w:rsidRPr="006C7221" w:rsidRDefault="00026BD5" w:rsidP="003655FC">
            <w:pPr>
              <w:keepNext/>
              <w:keepLines/>
              <w:spacing w:after="0" w:line="240" w:lineRule="auto"/>
              <w:textAlignment w:val="baseline"/>
              <w:rPr>
                <w:rFonts w:cs="Arial"/>
                <w:sz w:val="21"/>
                <w:szCs w:val="21"/>
              </w:rPr>
            </w:pPr>
            <w:r>
              <w:rPr>
                <w:rFonts w:cs="Arial"/>
                <w:sz w:val="21"/>
                <w:szCs w:val="21"/>
              </w:rPr>
              <w:t xml:space="preserve">Rail safety </w:t>
            </w:r>
            <w:r w:rsidR="006B1AED">
              <w:rPr>
                <w:rFonts w:cs="Arial"/>
                <w:sz w:val="21"/>
                <w:szCs w:val="21"/>
              </w:rPr>
              <w:t xml:space="preserve">and </w:t>
            </w:r>
            <w:r>
              <w:rPr>
                <w:rFonts w:cs="Arial"/>
                <w:sz w:val="21"/>
                <w:szCs w:val="21"/>
              </w:rPr>
              <w:t>communication</w:t>
            </w:r>
            <w:r w:rsidR="003046F8">
              <w:rPr>
                <w:rFonts w:cs="Arial"/>
                <w:sz w:val="21"/>
                <w:szCs w:val="21"/>
              </w:rPr>
              <w:t>s</w:t>
            </w:r>
          </w:p>
        </w:tc>
        <w:tc>
          <w:tcPr>
            <w:tcW w:w="0" w:type="pct"/>
            <w:hideMark/>
          </w:tcPr>
          <w:p w14:paraId="64B2C70F"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18 June 2026 </w:t>
            </w:r>
          </w:p>
        </w:tc>
        <w:tc>
          <w:tcPr>
            <w:tcW w:w="0" w:type="pct"/>
            <w:hideMark/>
          </w:tcPr>
          <w:p w14:paraId="398B66B0"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17 June 2028 </w:t>
            </w:r>
          </w:p>
        </w:tc>
      </w:tr>
      <w:tr w:rsidR="00D57398" w:rsidRPr="006C7221" w14:paraId="00F5F86B" w14:textId="77777777" w:rsidTr="005C6B58">
        <w:trPr>
          <w:cnfStyle w:val="000000100000" w:firstRow="0" w:lastRow="0" w:firstColumn="0" w:lastColumn="0" w:oddVBand="0" w:evenVBand="0" w:oddHBand="1" w:evenHBand="0" w:firstRowFirstColumn="0" w:firstRowLastColumn="0" w:lastRowFirstColumn="0" w:lastRowLastColumn="0"/>
          <w:trHeight w:val="541"/>
        </w:trPr>
        <w:tc>
          <w:tcPr>
            <w:tcW w:w="0" w:type="pct"/>
            <w:shd w:val="clear" w:color="auto" w:fill="auto"/>
            <w:hideMark/>
          </w:tcPr>
          <w:p w14:paraId="7B542979"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b/>
                <w:bCs/>
                <w:sz w:val="21"/>
                <w:szCs w:val="21"/>
              </w:rPr>
              <w:t>2.5 GHz</w:t>
            </w:r>
            <w:r w:rsidRPr="006C7221">
              <w:rPr>
                <w:rFonts w:cs="Arial"/>
                <w:sz w:val="21"/>
                <w:szCs w:val="21"/>
              </w:rPr>
              <w:t> </w:t>
            </w:r>
          </w:p>
        </w:tc>
        <w:tc>
          <w:tcPr>
            <w:tcW w:w="0" w:type="pct"/>
            <w:shd w:val="clear" w:color="auto" w:fill="auto"/>
            <w:hideMark/>
          </w:tcPr>
          <w:p w14:paraId="66C80788" w14:textId="47F4F564"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Telstra</w:t>
            </w:r>
            <w:r w:rsidR="5481C55A" w:rsidRPr="5B432168">
              <w:rPr>
                <w:rFonts w:cs="Arial"/>
                <w:sz w:val="21"/>
                <w:szCs w:val="21"/>
              </w:rPr>
              <w:t>,</w:t>
            </w:r>
            <w:r w:rsidRPr="006C7221">
              <w:rPr>
                <w:rFonts w:cs="Arial"/>
                <w:sz w:val="21"/>
                <w:szCs w:val="21"/>
              </w:rPr>
              <w:t xml:space="preserve"> Optus </w:t>
            </w:r>
          </w:p>
        </w:tc>
        <w:tc>
          <w:tcPr>
            <w:tcW w:w="0" w:type="pct"/>
          </w:tcPr>
          <w:p w14:paraId="5A8B42BC" w14:textId="5C30C497" w:rsidR="000C038F" w:rsidRPr="006C7221" w:rsidRDefault="00E753B1" w:rsidP="003655FC">
            <w:pPr>
              <w:keepNext/>
              <w:keepLines/>
              <w:spacing w:after="0" w:line="240" w:lineRule="auto"/>
              <w:textAlignment w:val="baseline"/>
              <w:rPr>
                <w:rFonts w:cs="Arial"/>
                <w:sz w:val="21"/>
                <w:szCs w:val="21"/>
              </w:rPr>
            </w:pPr>
            <w:r>
              <w:rPr>
                <w:rFonts w:cs="Arial"/>
                <w:sz w:val="21"/>
                <w:szCs w:val="21"/>
              </w:rPr>
              <w:t>WBB</w:t>
            </w:r>
          </w:p>
        </w:tc>
        <w:tc>
          <w:tcPr>
            <w:tcW w:w="0" w:type="pct"/>
            <w:shd w:val="clear" w:color="auto" w:fill="auto"/>
            <w:hideMark/>
          </w:tcPr>
          <w:p w14:paraId="22D5E0EC"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1 October 2027 </w:t>
            </w:r>
          </w:p>
        </w:tc>
        <w:tc>
          <w:tcPr>
            <w:tcW w:w="0" w:type="pct"/>
            <w:shd w:val="clear" w:color="auto" w:fill="auto"/>
            <w:hideMark/>
          </w:tcPr>
          <w:p w14:paraId="02228286"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30 September 2029 </w:t>
            </w:r>
          </w:p>
        </w:tc>
      </w:tr>
      <w:tr w:rsidR="00853B86" w:rsidRPr="006C7221" w14:paraId="43C6B033" w14:textId="77777777" w:rsidTr="00043BC0">
        <w:trPr>
          <w:cnfStyle w:val="000000010000" w:firstRow="0" w:lastRow="0" w:firstColumn="0" w:lastColumn="0" w:oddVBand="0" w:evenVBand="0" w:oddHBand="0" w:evenHBand="1" w:firstRowFirstColumn="0" w:firstRowLastColumn="0" w:lastRowFirstColumn="0" w:lastRowLastColumn="0"/>
          <w:trHeight w:val="773"/>
        </w:trPr>
        <w:tc>
          <w:tcPr>
            <w:tcW w:w="0" w:type="pct"/>
            <w:hideMark/>
          </w:tcPr>
          <w:p w14:paraId="7747DB04" w14:textId="4B9458E2"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b/>
                <w:bCs/>
                <w:sz w:val="21"/>
                <w:szCs w:val="21"/>
              </w:rPr>
              <w:t xml:space="preserve">2.5 GHz </w:t>
            </w:r>
            <w:r w:rsidR="38963F0E" w:rsidRPr="6A53AFF0">
              <w:rPr>
                <w:rFonts w:cs="Arial"/>
                <w:b/>
                <w:bCs/>
                <w:sz w:val="21"/>
                <w:szCs w:val="21"/>
              </w:rPr>
              <w:t>m</w:t>
            </w:r>
            <w:r w:rsidRPr="6A53AFF0">
              <w:rPr>
                <w:rFonts w:cs="Arial"/>
                <w:b/>
                <w:bCs/>
                <w:sz w:val="21"/>
                <w:szCs w:val="21"/>
              </w:rPr>
              <w:t>id</w:t>
            </w:r>
            <w:r w:rsidR="006C1C07">
              <w:rPr>
                <w:rFonts w:cs="Arial"/>
                <w:b/>
                <w:bCs/>
                <w:sz w:val="21"/>
                <w:szCs w:val="21"/>
              </w:rPr>
              <w:t>-</w:t>
            </w:r>
            <w:r w:rsidR="4A6A7818" w:rsidRPr="6A53AFF0">
              <w:rPr>
                <w:rFonts w:cs="Arial"/>
                <w:b/>
                <w:bCs/>
                <w:sz w:val="21"/>
                <w:szCs w:val="21"/>
              </w:rPr>
              <w:t>b</w:t>
            </w:r>
            <w:r w:rsidRPr="6A53AFF0">
              <w:rPr>
                <w:rFonts w:cs="Arial"/>
                <w:b/>
                <w:bCs/>
                <w:sz w:val="21"/>
                <w:szCs w:val="21"/>
              </w:rPr>
              <w:t>and</w:t>
            </w:r>
            <w:r w:rsidRPr="006C7221">
              <w:rPr>
                <w:rFonts w:cs="Arial"/>
                <w:b/>
                <w:bCs/>
                <w:sz w:val="21"/>
                <w:szCs w:val="21"/>
              </w:rPr>
              <w:t xml:space="preserve"> </w:t>
            </w:r>
            <w:r w:rsidR="006C1C07">
              <w:rPr>
                <w:rFonts w:cs="Arial"/>
                <w:b/>
                <w:bCs/>
                <w:sz w:val="21"/>
                <w:szCs w:val="21"/>
              </w:rPr>
              <w:t>g</w:t>
            </w:r>
            <w:r w:rsidRPr="006C7221">
              <w:rPr>
                <w:rFonts w:cs="Arial"/>
                <w:b/>
                <w:bCs/>
                <w:sz w:val="21"/>
                <w:szCs w:val="21"/>
              </w:rPr>
              <w:t>ap</w:t>
            </w:r>
            <w:r w:rsidRPr="006C7221">
              <w:rPr>
                <w:rFonts w:cs="Arial"/>
                <w:sz w:val="21"/>
                <w:szCs w:val="21"/>
              </w:rPr>
              <w:t> </w:t>
            </w:r>
          </w:p>
        </w:tc>
        <w:tc>
          <w:tcPr>
            <w:tcW w:w="0" w:type="pct"/>
            <w:hideMark/>
          </w:tcPr>
          <w:p w14:paraId="1AAA177E" w14:textId="541B3E72"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ABC, Channel 7, Nine Network</w:t>
            </w:r>
            <w:r w:rsidR="00EA0C27">
              <w:rPr>
                <w:rFonts w:cs="Arial"/>
                <w:sz w:val="21"/>
                <w:szCs w:val="21"/>
              </w:rPr>
              <w:t>,</w:t>
            </w:r>
            <w:r w:rsidRPr="006C7221">
              <w:rPr>
                <w:rFonts w:cs="Arial"/>
                <w:sz w:val="21"/>
                <w:szCs w:val="21"/>
              </w:rPr>
              <w:t xml:space="preserve"> Network 10 </w:t>
            </w:r>
          </w:p>
        </w:tc>
        <w:tc>
          <w:tcPr>
            <w:tcW w:w="0" w:type="pct"/>
          </w:tcPr>
          <w:p w14:paraId="0C0FFF46" w14:textId="4907F0B8" w:rsidR="000C038F" w:rsidRPr="006C7221" w:rsidRDefault="00E753B1" w:rsidP="003655FC">
            <w:pPr>
              <w:keepNext/>
              <w:keepLines/>
              <w:spacing w:after="0" w:line="240" w:lineRule="auto"/>
              <w:textAlignment w:val="baseline"/>
              <w:rPr>
                <w:rFonts w:cs="Arial"/>
                <w:sz w:val="21"/>
                <w:szCs w:val="21"/>
              </w:rPr>
            </w:pPr>
            <w:r>
              <w:rPr>
                <w:rFonts w:cs="Arial"/>
                <w:sz w:val="21"/>
                <w:szCs w:val="21"/>
              </w:rPr>
              <w:t>ENG</w:t>
            </w:r>
            <w:r w:rsidR="00C707A5">
              <w:rPr>
                <w:rFonts w:cs="Arial"/>
                <w:sz w:val="21"/>
                <w:szCs w:val="21"/>
              </w:rPr>
              <w:t xml:space="preserve"> (</w:t>
            </w:r>
            <w:r w:rsidR="001B1CFE">
              <w:rPr>
                <w:rFonts w:cs="Arial"/>
                <w:sz w:val="21"/>
                <w:szCs w:val="21"/>
              </w:rPr>
              <w:t xml:space="preserve">for example, </w:t>
            </w:r>
            <w:r w:rsidR="006C1C07">
              <w:rPr>
                <w:rFonts w:cs="Arial"/>
                <w:sz w:val="21"/>
                <w:szCs w:val="21"/>
              </w:rPr>
              <w:t>t</w:t>
            </w:r>
            <w:r w:rsidR="00C707A5">
              <w:rPr>
                <w:rFonts w:cs="Arial"/>
                <w:sz w:val="21"/>
                <w:szCs w:val="21"/>
              </w:rPr>
              <w:t xml:space="preserve">elevision </w:t>
            </w:r>
            <w:r w:rsidR="006C1C07">
              <w:rPr>
                <w:rFonts w:cs="Arial"/>
                <w:sz w:val="21"/>
                <w:szCs w:val="21"/>
              </w:rPr>
              <w:t>o</w:t>
            </w:r>
            <w:r w:rsidR="00C707A5">
              <w:rPr>
                <w:rFonts w:cs="Arial"/>
                <w:sz w:val="21"/>
                <w:szCs w:val="21"/>
              </w:rPr>
              <w:t xml:space="preserve">utside </w:t>
            </w:r>
            <w:r w:rsidR="006C1C07">
              <w:rPr>
                <w:rFonts w:cs="Arial"/>
                <w:sz w:val="21"/>
                <w:szCs w:val="21"/>
              </w:rPr>
              <w:t>b</w:t>
            </w:r>
            <w:r w:rsidR="00C707A5">
              <w:rPr>
                <w:rFonts w:cs="Arial"/>
                <w:sz w:val="21"/>
                <w:szCs w:val="21"/>
              </w:rPr>
              <w:t>roadcast)</w:t>
            </w:r>
          </w:p>
        </w:tc>
        <w:tc>
          <w:tcPr>
            <w:tcW w:w="0" w:type="pct"/>
            <w:hideMark/>
          </w:tcPr>
          <w:p w14:paraId="0A540AED"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1 October 2027 </w:t>
            </w:r>
          </w:p>
        </w:tc>
        <w:tc>
          <w:tcPr>
            <w:tcW w:w="0" w:type="pct"/>
            <w:hideMark/>
          </w:tcPr>
          <w:p w14:paraId="5533EAE2"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30 September 2029 </w:t>
            </w:r>
          </w:p>
        </w:tc>
      </w:tr>
      <w:tr w:rsidR="00D57398" w:rsidRPr="006C7221" w14:paraId="5BC31B47" w14:textId="77777777" w:rsidTr="00536A46">
        <w:trPr>
          <w:cnfStyle w:val="000000100000" w:firstRow="0" w:lastRow="0" w:firstColumn="0" w:lastColumn="0" w:oddVBand="0" w:evenVBand="0" w:oddHBand="1" w:evenHBand="0" w:firstRowFirstColumn="0" w:firstRowLastColumn="0" w:lastRowFirstColumn="0" w:lastRowLastColumn="0"/>
          <w:trHeight w:val="459"/>
        </w:trPr>
        <w:tc>
          <w:tcPr>
            <w:tcW w:w="0" w:type="pct"/>
            <w:hideMark/>
          </w:tcPr>
          <w:p w14:paraId="38627509"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b/>
                <w:bCs/>
                <w:sz w:val="21"/>
                <w:szCs w:val="21"/>
              </w:rPr>
              <w:t>700 MHz</w:t>
            </w:r>
            <w:r w:rsidRPr="006C7221">
              <w:rPr>
                <w:rFonts w:cs="Arial"/>
                <w:sz w:val="21"/>
                <w:szCs w:val="21"/>
              </w:rPr>
              <w:t> </w:t>
            </w:r>
          </w:p>
        </w:tc>
        <w:tc>
          <w:tcPr>
            <w:tcW w:w="0" w:type="pct"/>
            <w:hideMark/>
          </w:tcPr>
          <w:p w14:paraId="3430B250" w14:textId="7DFF78E4"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TPG, Telstra</w:t>
            </w:r>
            <w:r w:rsidR="001D31CD">
              <w:rPr>
                <w:rFonts w:cs="Arial"/>
                <w:sz w:val="21"/>
                <w:szCs w:val="21"/>
              </w:rPr>
              <w:t>,</w:t>
            </w:r>
            <w:r w:rsidRPr="006C7221">
              <w:rPr>
                <w:rFonts w:cs="Arial"/>
                <w:sz w:val="21"/>
                <w:szCs w:val="21"/>
              </w:rPr>
              <w:t xml:space="preserve"> Optus </w:t>
            </w:r>
          </w:p>
        </w:tc>
        <w:tc>
          <w:tcPr>
            <w:tcW w:w="0" w:type="pct"/>
          </w:tcPr>
          <w:p w14:paraId="75F2310C" w14:textId="43781B8D" w:rsidR="000C038F" w:rsidRPr="006C7221" w:rsidRDefault="00E753B1" w:rsidP="003655FC">
            <w:pPr>
              <w:keepNext/>
              <w:keepLines/>
              <w:spacing w:after="0" w:line="240" w:lineRule="auto"/>
              <w:textAlignment w:val="baseline"/>
              <w:rPr>
                <w:rFonts w:cs="Arial"/>
                <w:sz w:val="21"/>
                <w:szCs w:val="21"/>
              </w:rPr>
            </w:pPr>
            <w:r>
              <w:rPr>
                <w:rFonts w:cs="Arial"/>
                <w:sz w:val="21"/>
                <w:szCs w:val="21"/>
              </w:rPr>
              <w:t>WBB</w:t>
            </w:r>
          </w:p>
        </w:tc>
        <w:tc>
          <w:tcPr>
            <w:tcW w:w="0" w:type="pct"/>
            <w:hideMark/>
          </w:tcPr>
          <w:p w14:paraId="4B356AF2"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1 January 2028 </w:t>
            </w:r>
          </w:p>
        </w:tc>
        <w:tc>
          <w:tcPr>
            <w:tcW w:w="0" w:type="pct"/>
            <w:hideMark/>
          </w:tcPr>
          <w:p w14:paraId="5B54B57B" w14:textId="77777777" w:rsidR="00D57398" w:rsidRPr="006C7221" w:rsidRDefault="00D57398" w:rsidP="003655FC">
            <w:pPr>
              <w:keepNext/>
              <w:keepLines/>
              <w:spacing w:after="0" w:line="240" w:lineRule="auto"/>
              <w:textAlignment w:val="baseline"/>
              <w:rPr>
                <w:rFonts w:ascii="Segoe UI" w:hAnsi="Segoe UI" w:cs="Segoe UI"/>
                <w:sz w:val="18"/>
                <w:szCs w:val="18"/>
              </w:rPr>
            </w:pPr>
            <w:r w:rsidRPr="006C7221">
              <w:rPr>
                <w:rFonts w:cs="Arial"/>
                <w:sz w:val="21"/>
                <w:szCs w:val="21"/>
              </w:rPr>
              <w:t>31 December 2029 </w:t>
            </w:r>
          </w:p>
        </w:tc>
      </w:tr>
      <w:tr w:rsidR="00853B86" w:rsidRPr="006C7221" w14:paraId="11AA1EE4" w14:textId="77777777" w:rsidTr="00043BC0">
        <w:trPr>
          <w:cnfStyle w:val="000000010000" w:firstRow="0" w:lastRow="0" w:firstColumn="0" w:lastColumn="0" w:oddVBand="0" w:evenVBand="0" w:oddHBand="0" w:evenHBand="1" w:firstRowFirstColumn="0" w:firstRowLastColumn="0" w:lastRowFirstColumn="0" w:lastRowLastColumn="0"/>
          <w:trHeight w:val="615"/>
        </w:trPr>
        <w:tc>
          <w:tcPr>
            <w:tcW w:w="0" w:type="pct"/>
            <w:hideMark/>
          </w:tcPr>
          <w:p w14:paraId="66FA6CB3" w14:textId="77777777" w:rsidR="00D57398" w:rsidRPr="006C7221" w:rsidRDefault="00D57398" w:rsidP="009B396C">
            <w:pPr>
              <w:spacing w:after="0" w:line="240" w:lineRule="auto"/>
              <w:textAlignment w:val="baseline"/>
              <w:rPr>
                <w:rFonts w:ascii="Segoe UI" w:hAnsi="Segoe UI" w:cs="Segoe UI"/>
                <w:sz w:val="18"/>
                <w:szCs w:val="18"/>
              </w:rPr>
            </w:pPr>
            <w:r w:rsidRPr="006C7221">
              <w:rPr>
                <w:rFonts w:cs="Arial"/>
                <w:b/>
                <w:bCs/>
                <w:sz w:val="21"/>
                <w:szCs w:val="21"/>
              </w:rPr>
              <w:t>2.3 GHz</w:t>
            </w:r>
            <w:r w:rsidRPr="006C7221">
              <w:rPr>
                <w:rFonts w:cs="Arial"/>
                <w:sz w:val="21"/>
                <w:szCs w:val="21"/>
              </w:rPr>
              <w:t> </w:t>
            </w:r>
          </w:p>
        </w:tc>
        <w:tc>
          <w:tcPr>
            <w:tcW w:w="0" w:type="pct"/>
            <w:hideMark/>
          </w:tcPr>
          <w:p w14:paraId="3028FD2C" w14:textId="3AAAE4E8" w:rsidR="00D57398" w:rsidRPr="006C7221" w:rsidRDefault="00D57398" w:rsidP="009B396C">
            <w:pPr>
              <w:spacing w:after="0" w:line="240" w:lineRule="auto"/>
              <w:textAlignment w:val="baseline"/>
              <w:rPr>
                <w:rFonts w:ascii="Segoe UI" w:hAnsi="Segoe UI" w:cs="Segoe UI"/>
                <w:sz w:val="18"/>
                <w:szCs w:val="18"/>
              </w:rPr>
            </w:pPr>
            <w:r w:rsidRPr="006C7221">
              <w:rPr>
                <w:rFonts w:cs="Arial"/>
                <w:sz w:val="21"/>
                <w:szCs w:val="21"/>
              </w:rPr>
              <w:t>NBN, Telstra</w:t>
            </w:r>
            <w:r w:rsidR="001D31CD">
              <w:rPr>
                <w:rFonts w:cs="Arial"/>
                <w:sz w:val="21"/>
                <w:szCs w:val="21"/>
              </w:rPr>
              <w:t>,</w:t>
            </w:r>
            <w:r w:rsidRPr="006C7221">
              <w:rPr>
                <w:rFonts w:cs="Arial"/>
                <w:sz w:val="21"/>
                <w:szCs w:val="21"/>
              </w:rPr>
              <w:t xml:space="preserve"> Optus </w:t>
            </w:r>
          </w:p>
        </w:tc>
        <w:tc>
          <w:tcPr>
            <w:tcW w:w="0" w:type="pct"/>
          </w:tcPr>
          <w:p w14:paraId="672A7009" w14:textId="51F7B366" w:rsidR="000C038F" w:rsidRPr="006C7221" w:rsidRDefault="00E753B1">
            <w:pPr>
              <w:spacing w:after="0" w:line="240" w:lineRule="auto"/>
              <w:textAlignment w:val="baseline"/>
              <w:rPr>
                <w:rFonts w:cs="Arial"/>
                <w:sz w:val="21"/>
                <w:szCs w:val="21"/>
              </w:rPr>
            </w:pPr>
            <w:r>
              <w:rPr>
                <w:rFonts w:cs="Arial"/>
                <w:sz w:val="21"/>
                <w:szCs w:val="21"/>
              </w:rPr>
              <w:t>WBB</w:t>
            </w:r>
          </w:p>
        </w:tc>
        <w:tc>
          <w:tcPr>
            <w:tcW w:w="0" w:type="pct"/>
            <w:hideMark/>
          </w:tcPr>
          <w:p w14:paraId="2F855B46" w14:textId="77777777" w:rsidR="00D57398" w:rsidRPr="006C7221" w:rsidRDefault="00D57398" w:rsidP="009B396C">
            <w:pPr>
              <w:spacing w:after="0" w:line="240" w:lineRule="auto"/>
              <w:textAlignment w:val="baseline"/>
              <w:rPr>
                <w:rFonts w:ascii="Segoe UI" w:hAnsi="Segoe UI" w:cs="Segoe UI"/>
                <w:sz w:val="18"/>
                <w:szCs w:val="18"/>
              </w:rPr>
            </w:pPr>
            <w:r w:rsidRPr="006C7221">
              <w:rPr>
                <w:rFonts w:cs="Arial"/>
                <w:sz w:val="21"/>
                <w:szCs w:val="21"/>
              </w:rPr>
              <w:t>25 July 2028 </w:t>
            </w:r>
          </w:p>
        </w:tc>
        <w:tc>
          <w:tcPr>
            <w:tcW w:w="0" w:type="pct"/>
            <w:hideMark/>
          </w:tcPr>
          <w:p w14:paraId="2A0B618D" w14:textId="77777777" w:rsidR="00D57398" w:rsidRPr="006C7221" w:rsidRDefault="00D57398" w:rsidP="009B396C">
            <w:pPr>
              <w:spacing w:after="0" w:line="240" w:lineRule="auto"/>
              <w:textAlignment w:val="baseline"/>
              <w:rPr>
                <w:rFonts w:ascii="Segoe UI" w:hAnsi="Segoe UI" w:cs="Segoe UI"/>
                <w:sz w:val="18"/>
                <w:szCs w:val="18"/>
              </w:rPr>
            </w:pPr>
            <w:r w:rsidRPr="006C7221">
              <w:rPr>
                <w:rFonts w:cs="Arial"/>
                <w:sz w:val="21"/>
                <w:szCs w:val="21"/>
              </w:rPr>
              <w:t>24 July 2030 </w:t>
            </w:r>
          </w:p>
        </w:tc>
      </w:tr>
      <w:tr w:rsidR="00D57398" w:rsidRPr="006C7221" w14:paraId="74C6A755" w14:textId="77777777" w:rsidTr="000378AF">
        <w:trPr>
          <w:cnfStyle w:val="000000100000" w:firstRow="0" w:lastRow="0" w:firstColumn="0" w:lastColumn="0" w:oddVBand="0" w:evenVBand="0" w:oddHBand="1" w:evenHBand="0" w:firstRowFirstColumn="0" w:firstRowLastColumn="0" w:lastRowFirstColumn="0" w:lastRowLastColumn="0"/>
          <w:trHeight w:val="615"/>
        </w:trPr>
        <w:tc>
          <w:tcPr>
            <w:tcW w:w="0" w:type="pct"/>
            <w:hideMark/>
          </w:tcPr>
          <w:p w14:paraId="08134DEA" w14:textId="77777777" w:rsidR="00D57398" w:rsidRPr="006C7221" w:rsidRDefault="00D57398" w:rsidP="009B396C">
            <w:pPr>
              <w:spacing w:after="0" w:line="240" w:lineRule="auto"/>
              <w:textAlignment w:val="baseline"/>
              <w:rPr>
                <w:rFonts w:ascii="Segoe UI" w:hAnsi="Segoe UI" w:cs="Segoe UI"/>
                <w:sz w:val="18"/>
                <w:szCs w:val="18"/>
              </w:rPr>
            </w:pPr>
            <w:r w:rsidRPr="006C7221">
              <w:rPr>
                <w:rFonts w:cs="Arial"/>
                <w:b/>
                <w:bCs/>
                <w:sz w:val="21"/>
                <w:szCs w:val="21"/>
              </w:rPr>
              <w:t>3.4 GHz</w:t>
            </w:r>
            <w:r w:rsidRPr="006C7221">
              <w:rPr>
                <w:rFonts w:cs="Arial"/>
                <w:sz w:val="21"/>
                <w:szCs w:val="21"/>
              </w:rPr>
              <w:t> </w:t>
            </w:r>
          </w:p>
        </w:tc>
        <w:tc>
          <w:tcPr>
            <w:tcW w:w="0" w:type="pct"/>
            <w:hideMark/>
          </w:tcPr>
          <w:p w14:paraId="67A0C08E" w14:textId="261469D1" w:rsidR="00D57398" w:rsidRPr="006C7221" w:rsidRDefault="00D57398" w:rsidP="009B396C">
            <w:pPr>
              <w:spacing w:after="0" w:line="240" w:lineRule="auto"/>
              <w:textAlignment w:val="baseline"/>
              <w:rPr>
                <w:rFonts w:ascii="Segoe UI" w:hAnsi="Segoe UI" w:cs="Segoe UI"/>
                <w:sz w:val="18"/>
                <w:szCs w:val="18"/>
              </w:rPr>
            </w:pPr>
            <w:r w:rsidRPr="006C7221">
              <w:rPr>
                <w:rFonts w:cs="Arial"/>
                <w:sz w:val="21"/>
                <w:szCs w:val="21"/>
              </w:rPr>
              <w:t>NBN, Telstra, Optus</w:t>
            </w:r>
            <w:r w:rsidR="00D238A4">
              <w:rPr>
                <w:rFonts w:cs="Arial"/>
                <w:sz w:val="21"/>
                <w:szCs w:val="21"/>
              </w:rPr>
              <w:t>,</w:t>
            </w:r>
            <w:r w:rsidRPr="006C7221">
              <w:rPr>
                <w:rFonts w:cs="Arial"/>
                <w:sz w:val="21"/>
                <w:szCs w:val="21"/>
              </w:rPr>
              <w:t xml:space="preserve"> TPG </w:t>
            </w:r>
          </w:p>
        </w:tc>
        <w:tc>
          <w:tcPr>
            <w:tcW w:w="0" w:type="pct"/>
          </w:tcPr>
          <w:p w14:paraId="770495D9" w14:textId="0355482E" w:rsidR="000C038F" w:rsidRPr="006C7221" w:rsidRDefault="00E753B1">
            <w:pPr>
              <w:spacing w:after="0" w:line="240" w:lineRule="auto"/>
              <w:textAlignment w:val="baseline"/>
              <w:rPr>
                <w:rFonts w:cs="Arial"/>
                <w:sz w:val="21"/>
                <w:szCs w:val="21"/>
              </w:rPr>
            </w:pPr>
            <w:r>
              <w:rPr>
                <w:rFonts w:cs="Arial"/>
                <w:sz w:val="21"/>
                <w:szCs w:val="21"/>
              </w:rPr>
              <w:t>WBB</w:t>
            </w:r>
          </w:p>
        </w:tc>
        <w:tc>
          <w:tcPr>
            <w:tcW w:w="0" w:type="pct"/>
            <w:hideMark/>
          </w:tcPr>
          <w:p w14:paraId="1D07EA6B" w14:textId="77777777" w:rsidR="00D57398" w:rsidRPr="006C7221" w:rsidRDefault="00D57398" w:rsidP="009B396C">
            <w:pPr>
              <w:spacing w:after="0" w:line="240" w:lineRule="auto"/>
              <w:textAlignment w:val="baseline"/>
              <w:rPr>
                <w:rFonts w:ascii="Segoe UI" w:hAnsi="Segoe UI" w:cs="Segoe UI"/>
                <w:sz w:val="18"/>
                <w:szCs w:val="18"/>
              </w:rPr>
            </w:pPr>
            <w:r w:rsidRPr="006C7221">
              <w:rPr>
                <w:rFonts w:cs="Arial"/>
                <w:sz w:val="21"/>
                <w:szCs w:val="21"/>
              </w:rPr>
              <w:t>14 December 2028 </w:t>
            </w:r>
          </w:p>
        </w:tc>
        <w:tc>
          <w:tcPr>
            <w:tcW w:w="0" w:type="pct"/>
            <w:hideMark/>
          </w:tcPr>
          <w:p w14:paraId="53B8D4C0" w14:textId="77777777" w:rsidR="00D57398" w:rsidRPr="006C7221" w:rsidRDefault="00D57398" w:rsidP="009B396C">
            <w:pPr>
              <w:spacing w:after="0" w:line="240" w:lineRule="auto"/>
              <w:textAlignment w:val="baseline"/>
              <w:rPr>
                <w:rFonts w:ascii="Segoe UI" w:hAnsi="Segoe UI" w:cs="Segoe UI"/>
                <w:sz w:val="18"/>
                <w:szCs w:val="18"/>
              </w:rPr>
            </w:pPr>
            <w:r w:rsidRPr="006C7221">
              <w:rPr>
                <w:rFonts w:cs="Arial"/>
                <w:sz w:val="21"/>
                <w:szCs w:val="21"/>
              </w:rPr>
              <w:t>13 December 2030 </w:t>
            </w:r>
          </w:p>
        </w:tc>
      </w:tr>
      <w:tr w:rsidR="00853B86" w:rsidRPr="006C7221" w14:paraId="0A141B15" w14:textId="77777777" w:rsidTr="00043BC0">
        <w:trPr>
          <w:cnfStyle w:val="000000010000" w:firstRow="0" w:lastRow="0" w:firstColumn="0" w:lastColumn="0" w:oddVBand="0" w:evenVBand="0" w:oddHBand="0" w:evenHBand="1" w:firstRowFirstColumn="0" w:firstRowLastColumn="0" w:lastRowFirstColumn="0" w:lastRowLastColumn="0"/>
          <w:trHeight w:val="615"/>
        </w:trPr>
        <w:tc>
          <w:tcPr>
            <w:tcW w:w="0" w:type="pct"/>
            <w:hideMark/>
          </w:tcPr>
          <w:p w14:paraId="53A439B7" w14:textId="77777777" w:rsidR="00D57398" w:rsidRPr="006C7221" w:rsidRDefault="00D57398" w:rsidP="009B396C">
            <w:pPr>
              <w:spacing w:after="0" w:line="240" w:lineRule="auto"/>
              <w:textAlignment w:val="baseline"/>
              <w:rPr>
                <w:rFonts w:ascii="Segoe UI" w:hAnsi="Segoe UI" w:cs="Segoe UI"/>
                <w:sz w:val="18"/>
                <w:szCs w:val="18"/>
              </w:rPr>
            </w:pPr>
            <w:r w:rsidRPr="006C7221">
              <w:rPr>
                <w:rFonts w:cs="Arial"/>
                <w:b/>
                <w:bCs/>
                <w:sz w:val="21"/>
                <w:szCs w:val="21"/>
              </w:rPr>
              <w:t>2 GHz</w:t>
            </w:r>
            <w:r w:rsidRPr="006C7221">
              <w:rPr>
                <w:rFonts w:cs="Arial"/>
                <w:sz w:val="21"/>
                <w:szCs w:val="21"/>
              </w:rPr>
              <w:t> </w:t>
            </w:r>
          </w:p>
        </w:tc>
        <w:tc>
          <w:tcPr>
            <w:tcW w:w="0" w:type="pct"/>
            <w:hideMark/>
          </w:tcPr>
          <w:p w14:paraId="5E46F7F2" w14:textId="0CB4335B" w:rsidR="00D57398" w:rsidRPr="006C7221" w:rsidRDefault="00D57398" w:rsidP="009B396C">
            <w:pPr>
              <w:spacing w:after="0" w:line="240" w:lineRule="auto"/>
              <w:textAlignment w:val="baseline"/>
              <w:rPr>
                <w:rFonts w:ascii="Segoe UI" w:hAnsi="Segoe UI" w:cs="Segoe UI"/>
                <w:sz w:val="18"/>
                <w:szCs w:val="18"/>
              </w:rPr>
            </w:pPr>
            <w:r w:rsidRPr="006C7221">
              <w:rPr>
                <w:rFonts w:cs="Arial"/>
                <w:sz w:val="21"/>
                <w:szCs w:val="21"/>
              </w:rPr>
              <w:t>TPG, Telstra</w:t>
            </w:r>
            <w:r w:rsidR="00437540">
              <w:rPr>
                <w:rFonts w:cs="Arial"/>
                <w:sz w:val="21"/>
                <w:szCs w:val="21"/>
              </w:rPr>
              <w:t>,</w:t>
            </w:r>
            <w:r w:rsidRPr="006C7221">
              <w:rPr>
                <w:rFonts w:cs="Arial"/>
                <w:sz w:val="21"/>
                <w:szCs w:val="21"/>
              </w:rPr>
              <w:t xml:space="preserve"> Optus </w:t>
            </w:r>
          </w:p>
        </w:tc>
        <w:tc>
          <w:tcPr>
            <w:tcW w:w="0" w:type="pct"/>
          </w:tcPr>
          <w:p w14:paraId="2B731B04" w14:textId="6C7FC289" w:rsidR="000C038F" w:rsidRPr="006C7221" w:rsidRDefault="00E753B1">
            <w:pPr>
              <w:spacing w:after="0" w:line="240" w:lineRule="auto"/>
              <w:textAlignment w:val="baseline"/>
              <w:rPr>
                <w:rFonts w:cs="Arial"/>
                <w:sz w:val="21"/>
                <w:szCs w:val="21"/>
              </w:rPr>
            </w:pPr>
            <w:r>
              <w:rPr>
                <w:rFonts w:cs="Arial"/>
                <w:sz w:val="21"/>
                <w:szCs w:val="21"/>
              </w:rPr>
              <w:t>WBB</w:t>
            </w:r>
          </w:p>
        </w:tc>
        <w:tc>
          <w:tcPr>
            <w:tcW w:w="0" w:type="pct"/>
            <w:hideMark/>
          </w:tcPr>
          <w:p w14:paraId="63A2F047" w14:textId="77777777" w:rsidR="00D57398" w:rsidRPr="006C7221" w:rsidRDefault="00D57398" w:rsidP="009B396C">
            <w:pPr>
              <w:spacing w:after="0" w:line="240" w:lineRule="auto"/>
              <w:textAlignment w:val="baseline"/>
              <w:rPr>
                <w:rFonts w:ascii="Segoe UI" w:hAnsi="Segoe UI" w:cs="Segoe UI"/>
                <w:sz w:val="18"/>
                <w:szCs w:val="18"/>
              </w:rPr>
            </w:pPr>
            <w:r w:rsidRPr="006C7221">
              <w:rPr>
                <w:rFonts w:cs="Arial"/>
                <w:sz w:val="21"/>
                <w:szCs w:val="21"/>
              </w:rPr>
              <w:t>12 October 2030 </w:t>
            </w:r>
          </w:p>
        </w:tc>
        <w:tc>
          <w:tcPr>
            <w:tcW w:w="0" w:type="pct"/>
            <w:hideMark/>
          </w:tcPr>
          <w:p w14:paraId="7CE8CD2C" w14:textId="77777777" w:rsidR="00D57398" w:rsidRPr="006C7221" w:rsidRDefault="00D57398" w:rsidP="009B396C">
            <w:pPr>
              <w:spacing w:after="0" w:line="240" w:lineRule="auto"/>
              <w:textAlignment w:val="baseline"/>
              <w:rPr>
                <w:rFonts w:ascii="Segoe UI" w:hAnsi="Segoe UI" w:cs="Segoe UI"/>
                <w:sz w:val="18"/>
                <w:szCs w:val="18"/>
              </w:rPr>
            </w:pPr>
            <w:r w:rsidRPr="006C7221">
              <w:rPr>
                <w:rFonts w:cs="Arial"/>
                <w:sz w:val="21"/>
                <w:szCs w:val="21"/>
              </w:rPr>
              <w:t>11 October 2032 </w:t>
            </w:r>
          </w:p>
        </w:tc>
      </w:tr>
    </w:tbl>
    <w:p w14:paraId="62C90D3A" w14:textId="77777777" w:rsidR="00D57398" w:rsidRDefault="00D57398" w:rsidP="00A12AEE">
      <w:pPr>
        <w:pStyle w:val="Paragraph"/>
        <w:spacing w:after="120"/>
        <w:rPr>
          <w:rFonts w:eastAsia="Arial"/>
          <w:color w:val="000000" w:themeColor="text1"/>
          <w:szCs w:val="20"/>
        </w:rPr>
      </w:pPr>
    </w:p>
    <w:p w14:paraId="43F61F2C" w14:textId="2193B142" w:rsidR="00477C16" w:rsidRPr="00305954" w:rsidRDefault="00477C16" w:rsidP="00305954">
      <w:pPr>
        <w:pStyle w:val="Paragraph"/>
        <w:rPr>
          <w:rFonts w:eastAsia="Arial"/>
        </w:rPr>
      </w:pPr>
      <w:r>
        <w:rPr>
          <w:rStyle w:val="normaltextrun"/>
          <w:szCs w:val="20"/>
        </w:rPr>
        <w:t xml:space="preserve">Many of the ESLs were initially allocated between 1998 and 2002 and were subsequently re-issued </w:t>
      </w:r>
      <w:r w:rsidR="005D2176">
        <w:rPr>
          <w:rStyle w:val="normaltextrun"/>
          <w:szCs w:val="20"/>
        </w:rPr>
        <w:t>to the same licensee</w:t>
      </w:r>
      <w:r>
        <w:rPr>
          <w:rStyle w:val="normaltextrun"/>
          <w:szCs w:val="20"/>
        </w:rPr>
        <w:t xml:space="preserve"> between 2013 and 2017.</w:t>
      </w:r>
      <w:r>
        <w:rPr>
          <w:rStyle w:val="FootnoteReference"/>
          <w:szCs w:val="20"/>
        </w:rPr>
        <w:footnoteReference w:id="5"/>
      </w:r>
    </w:p>
    <w:p w14:paraId="2E71ECBE" w14:textId="48C6D76F" w:rsidR="002C74B4" w:rsidRDefault="00D57398" w:rsidP="005C6B58">
      <w:pPr>
        <w:pStyle w:val="Paragraph"/>
      </w:pPr>
      <w:r w:rsidRPr="00A118EB">
        <w:t xml:space="preserve">The ACMA is responsible for deciding whether an ESL should be renewed, including whether renewal is in the public interest, as well as the </w:t>
      </w:r>
      <w:r w:rsidR="002C74B4">
        <w:t>duration</w:t>
      </w:r>
      <w:r w:rsidRPr="00A118EB">
        <w:t>, conditions and pricing for renewed licences.</w:t>
      </w:r>
      <w:r>
        <w:rPr>
          <w:rStyle w:val="FootnoteReference"/>
        </w:rPr>
        <w:footnoteReference w:id="6"/>
      </w:r>
      <w:r w:rsidRPr="00A118EB">
        <w:t xml:space="preserve"> </w:t>
      </w:r>
    </w:p>
    <w:p w14:paraId="45BD47FB" w14:textId="74712B72" w:rsidR="00036B2C" w:rsidRDefault="00890D9C" w:rsidP="005C6B58">
      <w:pPr>
        <w:pStyle w:val="Paragraph"/>
      </w:pPr>
      <w:r>
        <w:lastRenderedPageBreak/>
        <w:t>O</w:t>
      </w:r>
      <w:r w:rsidR="00AA4AF2">
        <w:t>ur</w:t>
      </w:r>
      <w:r w:rsidR="00D57398">
        <w:t xml:space="preserve"> December 2023 paper </w:t>
      </w:r>
      <w:r w:rsidR="00F01A50">
        <w:t>provides</w:t>
      </w:r>
      <w:r w:rsidR="000101D6">
        <w:t xml:space="preserve"> </w:t>
      </w:r>
      <w:r w:rsidR="00D57398">
        <w:t xml:space="preserve">further information on the legislative framework underpinning our </w:t>
      </w:r>
      <w:hyperlink r:id="rId28" w:history="1">
        <w:r w:rsidR="00D57398" w:rsidRPr="7E4E7A18">
          <w:rPr>
            <w:rStyle w:val="Hyperlink"/>
          </w:rPr>
          <w:t>ESL framework</w:t>
        </w:r>
      </w:hyperlink>
      <w:r w:rsidR="00D57398">
        <w:t xml:space="preserve">. </w:t>
      </w:r>
    </w:p>
    <w:p w14:paraId="6AE18DAA" w14:textId="319455B7" w:rsidR="00D57398" w:rsidRPr="002C74B4" w:rsidRDefault="00D57398" w:rsidP="002C74B4">
      <w:pPr>
        <w:pStyle w:val="Heading3"/>
      </w:pPr>
      <w:bookmarkStart w:id="11" w:name="_Toc149065087"/>
      <w:r w:rsidRPr="006F56A5">
        <w:t>Outcomes for ESLs</w:t>
      </w:r>
      <w:bookmarkEnd w:id="11"/>
    </w:p>
    <w:p w14:paraId="6A0498CF" w14:textId="3E0DD609" w:rsidR="00D57398" w:rsidRDefault="00D57398" w:rsidP="00D57398">
      <w:pPr>
        <w:pStyle w:val="Paragraph"/>
      </w:pPr>
      <w:r>
        <w:t>If we receive a renewal application for a particular licence, section 77C of the Act provide</w:t>
      </w:r>
      <w:r w:rsidR="008E2E96">
        <w:t>s</w:t>
      </w:r>
      <w:r>
        <w:t xml:space="preserve"> for </w:t>
      </w:r>
      <w:r w:rsidR="166058F5">
        <w:t xml:space="preserve">3 </w:t>
      </w:r>
      <w:r>
        <w:t>possible outcomes</w:t>
      </w:r>
      <w:r w:rsidR="4C5666FF">
        <w:t>: renewal, partial renewal</w:t>
      </w:r>
      <w:r w:rsidR="005E0800">
        <w:t>,</w:t>
      </w:r>
      <w:r w:rsidR="4C5666FF">
        <w:t xml:space="preserve"> or refusal</w:t>
      </w:r>
      <w:r w:rsidR="00B91185">
        <w:t>.</w:t>
      </w:r>
    </w:p>
    <w:p w14:paraId="2F2B77D5" w14:textId="77777777" w:rsidR="00B91185" w:rsidRDefault="00B91185" w:rsidP="00B91185">
      <w:pPr>
        <w:pStyle w:val="Paragraph"/>
      </w:pPr>
      <w:r>
        <w:t>For renewal and partial renewal, spectrum access charges will be payable by the licensee.</w:t>
      </w:r>
    </w:p>
    <w:p w14:paraId="7968E54B" w14:textId="77777777" w:rsidR="000857A6" w:rsidRDefault="000857A6" w:rsidP="00B45B7A">
      <w:pPr>
        <w:pStyle w:val="Heading4"/>
        <w:keepNext/>
      </w:pPr>
      <w:r>
        <w:t>Renewal</w:t>
      </w:r>
    </w:p>
    <w:p w14:paraId="483171F8" w14:textId="6C43296A" w:rsidR="000857A6" w:rsidRDefault="000857A6" w:rsidP="000857A6">
      <w:pPr>
        <w:pStyle w:val="Paragraph"/>
      </w:pPr>
      <w:r>
        <w:t xml:space="preserve">Each ESL has ‘spectrum access </w:t>
      </w:r>
      <w:proofErr w:type="gramStart"/>
      <w:r>
        <w:t>conditions</w:t>
      </w:r>
      <w:r w:rsidR="00991516">
        <w:t>’</w:t>
      </w:r>
      <w:proofErr w:type="gramEnd"/>
      <w:r w:rsidR="00006785">
        <w:t>.</w:t>
      </w:r>
      <w:r w:rsidR="69BAB24A">
        <w:t xml:space="preserve"> These are</w:t>
      </w:r>
      <w:r>
        <w:t xml:space="preserve"> core </w:t>
      </w:r>
      <w:r w:rsidRPr="001E6D03">
        <w:t xml:space="preserve">conditions </w:t>
      </w:r>
      <w:r>
        <w:t>specified at paragraphs 66(1)(a) and (c) of the Act</w:t>
      </w:r>
      <w:r w:rsidR="7038D1C0">
        <w:t xml:space="preserve"> that</w:t>
      </w:r>
      <w:r>
        <w:t xml:space="preserve"> set out</w:t>
      </w:r>
      <w:r w:rsidRPr="001E6D03">
        <w:t xml:space="preserve"> the licensed frequency band</w:t>
      </w:r>
      <w:r>
        <w:t>s</w:t>
      </w:r>
      <w:r w:rsidRPr="001E6D03">
        <w:t xml:space="preserve"> and geographic area</w:t>
      </w:r>
      <w:r>
        <w:t>s. The licensee can only operate radiocommunications devices within these bands and areas.</w:t>
      </w:r>
    </w:p>
    <w:p w14:paraId="2BEE1D86" w14:textId="77777777" w:rsidR="000857A6" w:rsidRDefault="000857A6" w:rsidP="000857A6">
      <w:pPr>
        <w:pStyle w:val="Paragraph"/>
      </w:pPr>
      <w:r>
        <w:t xml:space="preserve">‘Renewal’ refers to renewal of an ESL without varying the spectrum access conditions. If the ACMA renews an ESL, the new licence authorises the use of the same parts of the spectrum and in the same geographic areas as the ESL. Other conditions contained in the renewed licence may be different. </w:t>
      </w:r>
    </w:p>
    <w:p w14:paraId="68EF5CC4" w14:textId="427C317F" w:rsidR="000857A6" w:rsidRDefault="000857A6" w:rsidP="000857A6">
      <w:pPr>
        <w:pStyle w:val="Paragraph"/>
      </w:pPr>
      <w:r>
        <w:t xml:space="preserve">Renewal of one ESL in a band does not necessarily mean that all ESLs within the band, or </w:t>
      </w:r>
      <w:r w:rsidR="00DB4CDA">
        <w:t xml:space="preserve">all ESLs </w:t>
      </w:r>
      <w:r>
        <w:t>held by the same licensee, will be renewed</w:t>
      </w:r>
      <w:r w:rsidR="6085C475">
        <w:t>;</w:t>
      </w:r>
      <w:r>
        <w:t xml:space="preserve"> licences held by other incumbent</w:t>
      </w:r>
      <w:r w:rsidR="00695D75">
        <w:t xml:space="preserve"> licensees</w:t>
      </w:r>
      <w:r>
        <w:t xml:space="preserve"> in that same band, or by that licensee, may be partially renewed or refused.</w:t>
      </w:r>
    </w:p>
    <w:p w14:paraId="41C6C928" w14:textId="77777777" w:rsidR="000857A6" w:rsidRDefault="000857A6" w:rsidP="000857A6">
      <w:pPr>
        <w:pStyle w:val="Heading4"/>
      </w:pPr>
      <w:r>
        <w:t>Partial renewal</w:t>
      </w:r>
    </w:p>
    <w:p w14:paraId="021FEA56" w14:textId="3183BA4B" w:rsidR="000857A6" w:rsidRDefault="5292BC27" w:rsidP="000857A6">
      <w:pPr>
        <w:pStyle w:val="Paragraph"/>
      </w:pPr>
      <w:r>
        <w:t>T</w:t>
      </w:r>
      <w:r w:rsidR="000857A6">
        <w:t>his describe</w:t>
      </w:r>
      <w:r w:rsidR="631E0E9D">
        <w:t>s</w:t>
      </w:r>
      <w:r w:rsidR="000857A6">
        <w:t xml:space="preserve"> an outcome where an ESL is renewed</w:t>
      </w:r>
      <w:r w:rsidR="000857A6" w:rsidRPr="00726C19">
        <w:t xml:space="preserve"> with change</w:t>
      </w:r>
      <w:r w:rsidR="000857A6">
        <w:t>s</w:t>
      </w:r>
      <w:r w:rsidR="000857A6" w:rsidRPr="00726C19">
        <w:t xml:space="preserve"> </w:t>
      </w:r>
      <w:r w:rsidR="000857A6">
        <w:t xml:space="preserve">to the spectrum access conditions – that is, </w:t>
      </w:r>
      <w:r w:rsidR="0019149E">
        <w:t>changes to</w:t>
      </w:r>
      <w:r w:rsidR="000857A6">
        <w:t xml:space="preserve"> the frequency bands and geographic area included in the licence.</w:t>
      </w:r>
      <w:r w:rsidR="000857A6">
        <w:rPr>
          <w:rStyle w:val="FootnoteReference"/>
        </w:rPr>
        <w:footnoteReference w:id="7"/>
      </w:r>
      <w:r w:rsidR="000857A6" w:rsidRPr="005C21E6">
        <w:t xml:space="preserve"> </w:t>
      </w:r>
      <w:r w:rsidR="000857A6">
        <w:t xml:space="preserve">As a consequence of changes to spectrum access conditions, some or </w:t>
      </w:r>
      <w:proofErr w:type="gramStart"/>
      <w:r w:rsidR="000857A6">
        <w:t>all of</w:t>
      </w:r>
      <w:proofErr w:type="gramEnd"/>
      <w:r w:rsidR="000857A6">
        <w:t xml:space="preserve"> the residual spectrum previously included in the ESL </w:t>
      </w:r>
      <w:r w:rsidR="000857A6" w:rsidRPr="005C21E6">
        <w:t xml:space="preserve">may become available for </w:t>
      </w:r>
      <w:r w:rsidR="000857A6">
        <w:t xml:space="preserve">replanning for other uses or </w:t>
      </w:r>
      <w:r w:rsidR="000857A6" w:rsidRPr="005C21E6">
        <w:t>allocat</w:t>
      </w:r>
      <w:r w:rsidR="000857A6">
        <w:t>ed for other uses or users.</w:t>
      </w:r>
    </w:p>
    <w:p w14:paraId="1D6DA0D0" w14:textId="77777777" w:rsidR="000857A6" w:rsidRDefault="000857A6" w:rsidP="000857A6">
      <w:pPr>
        <w:pStyle w:val="Heading4"/>
      </w:pPr>
      <w:r>
        <w:t>Refusal</w:t>
      </w:r>
    </w:p>
    <w:p w14:paraId="04861839" w14:textId="709B4B01" w:rsidR="00CF7CDD" w:rsidRDefault="000857A6" w:rsidP="004B2BFF">
      <w:pPr>
        <w:pStyle w:val="Paragraph"/>
      </w:pPr>
      <w:r>
        <w:t>We may refuse to renew an ESL.</w:t>
      </w:r>
      <w:r>
        <w:rPr>
          <w:rStyle w:val="FootnoteReference"/>
        </w:rPr>
        <w:footnoteReference w:id="8"/>
      </w:r>
      <w:r>
        <w:t xml:space="preserve"> </w:t>
      </w:r>
      <w:r w:rsidR="0019149E">
        <w:t>T</w:t>
      </w:r>
      <w:r>
        <w:t xml:space="preserve">here are a range of potential pathways for how the spectrum previously covered by the ESL could be dealt with, including being allocated for new spectrum licences, or </w:t>
      </w:r>
      <w:r w:rsidDel="000857A6">
        <w:t>replanned</w:t>
      </w:r>
      <w:r>
        <w:t xml:space="preserve"> or re-allocated under apparatus</w:t>
      </w:r>
      <w:r w:rsidR="00E626C5">
        <w:t>-</w:t>
      </w:r>
      <w:r>
        <w:t xml:space="preserve"> or class-licensing frameworks.</w:t>
      </w:r>
    </w:p>
    <w:p w14:paraId="025A679B" w14:textId="2D70DC04" w:rsidR="00D57398" w:rsidRPr="00895AF5" w:rsidRDefault="203AD9B7" w:rsidP="004C33A7">
      <w:pPr>
        <w:pStyle w:val="Heading2"/>
        <w:tabs>
          <w:tab w:val="center" w:pos="3835"/>
        </w:tabs>
        <w:rPr>
          <w:rFonts w:eastAsia="Arial"/>
          <w:sz w:val="20"/>
          <w:szCs w:val="20"/>
        </w:rPr>
      </w:pPr>
      <w:bookmarkStart w:id="12" w:name="_Toc159360655"/>
      <w:bookmarkStart w:id="13" w:name="_Toc161756520"/>
      <w:r>
        <w:lastRenderedPageBreak/>
        <w:t xml:space="preserve">The </w:t>
      </w:r>
      <w:r w:rsidR="00D57398">
        <w:t xml:space="preserve">ESL </w:t>
      </w:r>
      <w:proofErr w:type="gramStart"/>
      <w:r w:rsidR="00D57398">
        <w:t>process</w:t>
      </w:r>
      <w:bookmarkEnd w:id="12"/>
      <w:bookmarkEnd w:id="13"/>
      <w:proofErr w:type="gramEnd"/>
      <w:r w:rsidR="00D57398">
        <w:tab/>
      </w:r>
    </w:p>
    <w:p w14:paraId="61455D6E" w14:textId="58656114" w:rsidR="00D57398" w:rsidRPr="00473514" w:rsidRDefault="00073B05" w:rsidP="00F963A9">
      <w:pPr>
        <w:pStyle w:val="Paragraph"/>
        <w:keepNext/>
        <w:rPr>
          <w:rFonts w:eastAsia="Arial"/>
        </w:rPr>
      </w:pPr>
      <w:r>
        <w:t xml:space="preserve">The outcomes of the ESL process will have </w:t>
      </w:r>
      <w:r w:rsidR="00E356CD" w:rsidRPr="00A118EB">
        <w:t xml:space="preserve">significant </w:t>
      </w:r>
      <w:r w:rsidR="00E2370E">
        <w:t>impact</w:t>
      </w:r>
      <w:r w:rsidR="000B3965">
        <w:t>s</w:t>
      </w:r>
      <w:r w:rsidR="00E356CD" w:rsidRPr="00A118EB">
        <w:t xml:space="preserve"> </w:t>
      </w:r>
      <w:r>
        <w:t xml:space="preserve">for </w:t>
      </w:r>
      <w:r w:rsidR="0035218E">
        <w:t>stakeholders and downstream ma</w:t>
      </w:r>
      <w:r w:rsidR="00F86059">
        <w:t>rket</w:t>
      </w:r>
      <w:r w:rsidR="0035218E">
        <w:t>s and end users</w:t>
      </w:r>
      <w:r w:rsidR="00F86059">
        <w:t xml:space="preserve">. </w:t>
      </w:r>
      <w:r w:rsidR="566C5646">
        <w:t>W</w:t>
      </w:r>
      <w:r w:rsidR="00F86059">
        <w:t>e have</w:t>
      </w:r>
      <w:r w:rsidR="00FF54E0" w:rsidRPr="22FF8CA1">
        <w:rPr>
          <w:rFonts w:eastAsia="Arial"/>
        </w:rPr>
        <w:t xml:space="preserve"> designed, and are implementing, a </w:t>
      </w:r>
      <w:r w:rsidR="00D911B6">
        <w:rPr>
          <w:rFonts w:eastAsia="Arial"/>
        </w:rPr>
        <w:br/>
      </w:r>
      <w:r w:rsidR="73FEF2EC" w:rsidRPr="0D67C070">
        <w:rPr>
          <w:rFonts w:eastAsia="Arial"/>
        </w:rPr>
        <w:t>4</w:t>
      </w:r>
      <w:r w:rsidR="00D57398" w:rsidRPr="22FF8CA1">
        <w:rPr>
          <w:rFonts w:eastAsia="Arial"/>
        </w:rPr>
        <w:t xml:space="preserve">-stage </w:t>
      </w:r>
      <w:r w:rsidR="18D57760" w:rsidRPr="006A59E7">
        <w:rPr>
          <w:rFonts w:eastAsia="Arial"/>
        </w:rPr>
        <w:t xml:space="preserve">ESL </w:t>
      </w:r>
      <w:r w:rsidR="00D57398" w:rsidRPr="22FF8CA1">
        <w:rPr>
          <w:rFonts w:eastAsia="Arial"/>
        </w:rPr>
        <w:t xml:space="preserve">process. </w:t>
      </w:r>
    </w:p>
    <w:p w14:paraId="3D1E20AD" w14:textId="05020154" w:rsidR="00D57398" w:rsidRPr="003B6AD7" w:rsidRDefault="00D57398" w:rsidP="004C33A7">
      <w:pPr>
        <w:pStyle w:val="Figureheading"/>
        <w:rPr>
          <w:rFonts w:eastAsia="Arial"/>
        </w:rPr>
      </w:pPr>
      <w:r w:rsidRPr="003B6AD7">
        <w:rPr>
          <w:rFonts w:eastAsia="Arial"/>
        </w:rPr>
        <w:t>ESL process</w:t>
      </w:r>
    </w:p>
    <w:p w14:paraId="47D863EA" w14:textId="38F255BE" w:rsidR="00D57398" w:rsidRDefault="00D57398" w:rsidP="00F963A9">
      <w:pPr>
        <w:pStyle w:val="Paragraph"/>
        <w:keepNext/>
      </w:pPr>
      <w:r>
        <w:rPr>
          <w:noProof/>
        </w:rPr>
        <w:drawing>
          <wp:inline distT="0" distB="0" distL="0" distR="0" wp14:anchorId="7A7B2BB9" wp14:editId="7946E3E4">
            <wp:extent cx="5878790" cy="2849792"/>
            <wp:effectExtent l="0" t="0" r="8255" b="8255"/>
            <wp:docPr id="3" name="Picture 3" descr="Timeline of ESL process. Stage 1 Q2 2023 - consult on process. Q4 2023 Respond to submissions. Finalise process. Affirm public interest criteria. Stage 2 Q1 2024 - Information gathering. Views on frequency bands. Consideration of alternative licensing conditions. Stakeholder feedback on issues around resilience and temporary disaster responses. Stage 3 Q4 2024 - Consult on preliminary views. Stage 4 2025 - Respond to submissions. Preferred views. 2026-2032 - Renewal applications and decision-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 of ESL process. Stage 1 Q2 2023 - consult on process. Q4 2023 Respond to submissions. Finalise process. Affirm public interest criteria. Stage 2 Q1 2024 - Information gathering. Views on frequency bands. Consideration of alternative licensing conditions. Stakeholder feedback on issues around resilience and temporary disaster responses. Stage 3 Q4 2024 - Consult on preliminary views. Stage 4 2025 - Respond to submissions. Preferred views. 2026-2032 - Renewal applications and decision-making."/>
                    <pic:cNvPicPr/>
                  </pic:nvPicPr>
                  <pic:blipFill rotWithShape="1">
                    <a:blip r:embed="rId29">
                      <a:extLst>
                        <a:ext uri="{28A0092B-C50C-407E-A947-70E740481C1C}">
                          <a14:useLocalDpi xmlns:a14="http://schemas.microsoft.com/office/drawing/2010/main" val="0"/>
                        </a:ext>
                      </a:extLst>
                    </a:blip>
                    <a:srcRect/>
                    <a:stretch/>
                  </pic:blipFill>
                  <pic:spPr bwMode="auto">
                    <a:xfrm>
                      <a:off x="0" y="0"/>
                      <a:ext cx="5890499" cy="2855468"/>
                    </a:xfrm>
                    <a:prstGeom prst="rect">
                      <a:avLst/>
                    </a:prstGeom>
                    <a:ln>
                      <a:noFill/>
                    </a:ln>
                    <a:extLst>
                      <a:ext uri="{53640926-AAD7-44D8-BBD7-CCE9431645EC}">
                        <a14:shadowObscured xmlns:a14="http://schemas.microsoft.com/office/drawing/2010/main"/>
                      </a:ext>
                    </a:extLst>
                  </pic:spPr>
                </pic:pic>
              </a:graphicData>
            </a:graphic>
          </wp:inline>
        </w:drawing>
      </w:r>
    </w:p>
    <w:p w14:paraId="1FAFCF1C" w14:textId="1C32D089" w:rsidR="00D57398" w:rsidRPr="00ED2B59" w:rsidRDefault="00D57398" w:rsidP="00F963A9">
      <w:pPr>
        <w:pStyle w:val="Paragraph"/>
        <w:keepNext/>
        <w:rPr>
          <w:rFonts w:eastAsia="Arial"/>
          <w:color w:val="000000" w:themeColor="text1"/>
          <w:szCs w:val="20"/>
        </w:rPr>
      </w:pPr>
      <w:r>
        <w:t xml:space="preserve">As per Figure </w:t>
      </w:r>
      <w:r w:rsidR="00C5346A">
        <w:t>1</w:t>
      </w:r>
      <w:r>
        <w:t>, stage 1</w:t>
      </w:r>
      <w:r w:rsidR="00C5346A">
        <w:t xml:space="preserve"> of the ESL process</w:t>
      </w:r>
      <w:r>
        <w:t xml:space="preserve"> was completed in </w:t>
      </w:r>
      <w:r w:rsidR="00473514">
        <w:t xml:space="preserve">December </w:t>
      </w:r>
      <w:r>
        <w:t>2023</w:t>
      </w:r>
      <w:r w:rsidR="00D247DB">
        <w:t>,</w:t>
      </w:r>
      <w:r>
        <w:t xml:space="preserve"> resulting in the finalisation of the ESL </w:t>
      </w:r>
      <w:r w:rsidR="00D247DB">
        <w:t>framework</w:t>
      </w:r>
      <w:r>
        <w:t xml:space="preserve">. </w:t>
      </w:r>
      <w:r w:rsidR="003E262E">
        <w:t>The public interest criteria, which underpin the progressive development of a policy</w:t>
      </w:r>
      <w:r w:rsidR="00D10308">
        <w:t xml:space="preserve"> </w:t>
      </w:r>
      <w:r w:rsidR="003E262E">
        <w:t>and decision</w:t>
      </w:r>
      <w:r w:rsidR="00D10308">
        <w:t xml:space="preserve">-making framework, are provided at Appendix </w:t>
      </w:r>
      <w:r w:rsidR="008043A4">
        <w:t>A</w:t>
      </w:r>
      <w:r w:rsidR="00D10308">
        <w:t xml:space="preserve">, </w:t>
      </w:r>
      <w:r w:rsidR="00EE259E">
        <w:t>which also contains specific guidance for stakeholders on how to frame their engagement with the information</w:t>
      </w:r>
      <w:r w:rsidR="00BE6846">
        <w:t>-</w:t>
      </w:r>
      <w:r w:rsidR="00EE259E">
        <w:t>gathering exercise and the ESL process</w:t>
      </w:r>
      <w:r w:rsidR="57BDA10D">
        <w:t>.</w:t>
      </w:r>
    </w:p>
    <w:p w14:paraId="54C9AC34" w14:textId="2F0CECB3" w:rsidR="00BB1BD0" w:rsidRDefault="00D57398" w:rsidP="005C6B58">
      <w:pPr>
        <w:pStyle w:val="Paragraph"/>
        <w:rPr>
          <w:rFonts w:eastAsia="Arial"/>
          <w:color w:val="000000" w:themeColor="text1"/>
          <w:szCs w:val="20"/>
        </w:rPr>
      </w:pPr>
      <w:r w:rsidRPr="0C0F853D">
        <w:rPr>
          <w:rFonts w:eastAsia="Arial"/>
          <w:color w:val="000000" w:themeColor="text1"/>
        </w:rPr>
        <w:t>This paper</w:t>
      </w:r>
      <w:r w:rsidR="00BB1BD0" w:rsidRPr="0C0F853D">
        <w:rPr>
          <w:rFonts w:eastAsia="Arial"/>
          <w:color w:val="000000" w:themeColor="text1"/>
        </w:rPr>
        <w:t xml:space="preserve"> </w:t>
      </w:r>
      <w:r w:rsidR="2C7CF412" w:rsidRPr="0C0F853D">
        <w:rPr>
          <w:rFonts w:eastAsia="Arial"/>
          <w:color w:val="000000" w:themeColor="text1"/>
        </w:rPr>
        <w:t xml:space="preserve">initiates </w:t>
      </w:r>
      <w:r w:rsidRPr="0C0F853D">
        <w:rPr>
          <w:rFonts w:eastAsia="Arial"/>
          <w:color w:val="000000" w:themeColor="text1"/>
        </w:rPr>
        <w:t>stage 2</w:t>
      </w:r>
      <w:r w:rsidR="00B4666A" w:rsidRPr="0C0F853D">
        <w:rPr>
          <w:rFonts w:eastAsia="Arial"/>
          <w:color w:val="000000" w:themeColor="text1"/>
        </w:rPr>
        <w:t xml:space="preserve">, </w:t>
      </w:r>
      <w:r w:rsidR="00BB1BD0" w:rsidRPr="0C0F853D">
        <w:rPr>
          <w:rFonts w:eastAsia="Arial"/>
          <w:color w:val="000000" w:themeColor="text1"/>
        </w:rPr>
        <w:t xml:space="preserve">which is principally focused on gathering </w:t>
      </w:r>
      <w:r w:rsidRPr="0C0F853D">
        <w:rPr>
          <w:rFonts w:eastAsia="Arial"/>
          <w:color w:val="000000" w:themeColor="text1"/>
        </w:rPr>
        <w:t xml:space="preserve">information </w:t>
      </w:r>
      <w:r w:rsidR="00BB1BD0" w:rsidRPr="0C0F853D">
        <w:rPr>
          <w:rFonts w:eastAsia="Arial"/>
          <w:color w:val="000000" w:themeColor="text1"/>
        </w:rPr>
        <w:t xml:space="preserve">from stakeholders on </w:t>
      </w:r>
      <w:r w:rsidRPr="0C0F853D">
        <w:rPr>
          <w:rFonts w:eastAsia="Arial"/>
          <w:color w:val="000000" w:themeColor="text1"/>
        </w:rPr>
        <w:t xml:space="preserve">how current and future use of spectrum </w:t>
      </w:r>
      <w:r w:rsidR="00BB1BD0" w:rsidRPr="0C0F853D">
        <w:rPr>
          <w:rFonts w:eastAsia="Arial"/>
          <w:color w:val="000000" w:themeColor="text1"/>
        </w:rPr>
        <w:t xml:space="preserve">covered by ESLs </w:t>
      </w:r>
      <w:r w:rsidRPr="0C0F853D">
        <w:rPr>
          <w:rFonts w:eastAsia="Arial"/>
          <w:color w:val="000000" w:themeColor="text1"/>
        </w:rPr>
        <w:t xml:space="preserve">promotes, or </w:t>
      </w:r>
      <w:r w:rsidR="00BB1BD0" w:rsidRPr="0C0F853D">
        <w:rPr>
          <w:rFonts w:eastAsia="Arial"/>
          <w:color w:val="000000" w:themeColor="text1"/>
        </w:rPr>
        <w:t xml:space="preserve">could </w:t>
      </w:r>
      <w:r w:rsidRPr="0C0F853D">
        <w:rPr>
          <w:rFonts w:eastAsia="Arial"/>
          <w:color w:val="000000" w:themeColor="text1"/>
        </w:rPr>
        <w:t xml:space="preserve">promote, the </w:t>
      </w:r>
      <w:r w:rsidR="00BB1BD0" w:rsidRPr="0C0F853D">
        <w:rPr>
          <w:rFonts w:eastAsia="Arial"/>
          <w:color w:val="000000" w:themeColor="text1"/>
        </w:rPr>
        <w:t xml:space="preserve">long-term </w:t>
      </w:r>
      <w:r w:rsidRPr="0C0F853D">
        <w:rPr>
          <w:rFonts w:eastAsia="Arial"/>
          <w:color w:val="000000" w:themeColor="text1"/>
        </w:rPr>
        <w:t xml:space="preserve">public interest. </w:t>
      </w:r>
    </w:p>
    <w:p w14:paraId="05843C0A" w14:textId="68AF5EC7" w:rsidR="007D2BAC" w:rsidRDefault="00D57398" w:rsidP="005C6B58">
      <w:pPr>
        <w:pStyle w:val="Paragraph"/>
        <w:rPr>
          <w:rFonts w:eastAsia="Arial"/>
          <w:color w:val="000000" w:themeColor="text1"/>
          <w:lang w:val="en-US"/>
        </w:rPr>
      </w:pPr>
      <w:r w:rsidRPr="0562593F">
        <w:rPr>
          <w:rFonts w:eastAsia="Arial"/>
          <w:color w:val="000000" w:themeColor="text1"/>
          <w:lang w:val="en-US"/>
        </w:rPr>
        <w:t xml:space="preserve">Information gathered in stage 2, along with other inputs, will help inform the development of </w:t>
      </w:r>
      <w:r w:rsidR="00C81EB5" w:rsidRPr="0562593F">
        <w:rPr>
          <w:rFonts w:eastAsia="Arial"/>
          <w:color w:val="000000" w:themeColor="text1"/>
          <w:lang w:val="en-US"/>
        </w:rPr>
        <w:t>stage 3</w:t>
      </w:r>
      <w:r w:rsidR="00C81EB5" w:rsidRPr="0562593F" w:rsidDel="00505CFA">
        <w:rPr>
          <w:rFonts w:eastAsia="Arial"/>
          <w:color w:val="000000" w:themeColor="text1"/>
          <w:lang w:val="en-US"/>
        </w:rPr>
        <w:t xml:space="preserve"> </w:t>
      </w:r>
      <w:r w:rsidRPr="0562593F">
        <w:rPr>
          <w:rFonts w:eastAsia="Arial"/>
          <w:color w:val="000000" w:themeColor="text1"/>
          <w:lang w:val="en-US"/>
        </w:rPr>
        <w:t>preliminary views on future arrangements for the spectrum</w:t>
      </w:r>
      <w:r w:rsidR="00E96364" w:rsidRPr="0562593F">
        <w:rPr>
          <w:rFonts w:eastAsia="Arial"/>
          <w:color w:val="000000" w:themeColor="text1"/>
          <w:lang w:val="en-US"/>
        </w:rPr>
        <w:t xml:space="preserve"> covered by ESLs</w:t>
      </w:r>
      <w:r w:rsidRPr="0562593F">
        <w:rPr>
          <w:rFonts w:eastAsia="Arial"/>
          <w:color w:val="000000" w:themeColor="text1"/>
          <w:lang w:val="en-US"/>
        </w:rPr>
        <w:t xml:space="preserve">. </w:t>
      </w:r>
    </w:p>
    <w:p w14:paraId="7C4BDF5F" w14:textId="7E06AC9B" w:rsidR="00B96A35" w:rsidRPr="008C79CD" w:rsidRDefault="00B96A35" w:rsidP="00305954">
      <w:pPr>
        <w:pStyle w:val="Heading2"/>
        <w:rPr>
          <w:rFonts w:eastAsia="Arial"/>
        </w:rPr>
      </w:pPr>
      <w:bookmarkStart w:id="14" w:name="_Toc161756521"/>
      <w:r w:rsidRPr="008C79CD">
        <w:rPr>
          <w:rFonts w:eastAsia="Arial"/>
        </w:rPr>
        <w:t xml:space="preserve">Consultation on </w:t>
      </w:r>
      <w:r w:rsidR="006461B3">
        <w:rPr>
          <w:rFonts w:eastAsia="Arial"/>
        </w:rPr>
        <w:t>M</w:t>
      </w:r>
      <w:r w:rsidRPr="5163966F">
        <w:rPr>
          <w:rFonts w:eastAsia="Arial"/>
        </w:rPr>
        <w:t>inisterial</w:t>
      </w:r>
      <w:r w:rsidRPr="008C79CD">
        <w:rPr>
          <w:rFonts w:eastAsia="Arial"/>
        </w:rPr>
        <w:t xml:space="preserve"> policy statement</w:t>
      </w:r>
      <w:r w:rsidR="008C79CD">
        <w:rPr>
          <w:rFonts w:eastAsia="Arial"/>
        </w:rPr>
        <w:t xml:space="preserve"> (MPS)</w:t>
      </w:r>
      <w:bookmarkEnd w:id="14"/>
    </w:p>
    <w:p w14:paraId="30EAAF1E" w14:textId="6F0FA4FC" w:rsidR="00FA1EBE" w:rsidRDefault="00FA1EBE" w:rsidP="005C6B58">
      <w:pPr>
        <w:pStyle w:val="Paragraph"/>
      </w:pPr>
      <w:r>
        <w:t>The Department</w:t>
      </w:r>
      <w:r w:rsidR="007D4928">
        <w:t xml:space="preserve"> of Infrastructure, </w:t>
      </w:r>
      <w:r w:rsidR="002C03B8">
        <w:t>Transport, Regional Development, Communications and the Arts</w:t>
      </w:r>
      <w:r w:rsidR="00CE24F4">
        <w:t xml:space="preserve"> </w:t>
      </w:r>
      <w:r w:rsidR="00AA1D47">
        <w:t xml:space="preserve">(the Department) </w:t>
      </w:r>
      <w:r>
        <w:t xml:space="preserve">is currently consulting on a draft MPS that specifies 5 </w:t>
      </w:r>
      <w:r w:rsidR="10F95C36">
        <w:t>applicable Australian</w:t>
      </w:r>
      <w:r>
        <w:t xml:space="preserve"> Government communications policy objectives </w:t>
      </w:r>
      <w:r w:rsidR="56CE0BFF">
        <w:t xml:space="preserve">we must consider </w:t>
      </w:r>
      <w:r>
        <w:t>in designing and enacting our ESL process.</w:t>
      </w:r>
    </w:p>
    <w:p w14:paraId="364CE5BE" w14:textId="43ACC752" w:rsidR="00FA1EBE" w:rsidRDefault="00FA1EBE" w:rsidP="005C6B58">
      <w:pPr>
        <w:pStyle w:val="Paragraph"/>
      </w:pPr>
      <w:r>
        <w:t xml:space="preserve">The </w:t>
      </w:r>
      <w:r w:rsidR="00537239">
        <w:t xml:space="preserve">priorities </w:t>
      </w:r>
      <w:r>
        <w:t xml:space="preserve">in the draft MPS are consistent with those that the minister noted in her December 2023 letter to the ACMA regarding ESL. Our finalised framework, relevant parts of which are at </w:t>
      </w:r>
      <w:r w:rsidR="008043A4">
        <w:t>Appendix A</w:t>
      </w:r>
      <w:r>
        <w:t>, set</w:t>
      </w:r>
      <w:r w:rsidR="00312A32">
        <w:t>s</w:t>
      </w:r>
      <w:r>
        <w:t xml:space="preserve"> out how we will incorporate th</w:t>
      </w:r>
      <w:r w:rsidR="003B5C86">
        <w:t>e</w:t>
      </w:r>
      <w:r>
        <w:t xml:space="preserve">se </w:t>
      </w:r>
      <w:r w:rsidR="003B5C86">
        <w:t xml:space="preserve">priorities </w:t>
      </w:r>
      <w:r>
        <w:t>into our public interest criteria.</w:t>
      </w:r>
      <w:r w:rsidR="006752A0">
        <w:t xml:space="preserve"> </w:t>
      </w:r>
      <w:r w:rsidR="0035450F">
        <w:t xml:space="preserve">We note that </w:t>
      </w:r>
      <w:r w:rsidR="001B0A32">
        <w:t>the priorities</w:t>
      </w:r>
      <w:r w:rsidR="0035450F">
        <w:t xml:space="preserve"> have been incorporated into each </w:t>
      </w:r>
      <w:r w:rsidR="00182DB0">
        <w:t>public interest criteria where relevant</w:t>
      </w:r>
      <w:r w:rsidR="001B0A32">
        <w:t xml:space="preserve">. </w:t>
      </w:r>
      <w:r w:rsidR="002F5524">
        <w:t xml:space="preserve"> </w:t>
      </w:r>
      <w:r w:rsidR="00DE69A9">
        <w:t xml:space="preserve"> </w:t>
      </w:r>
    </w:p>
    <w:p w14:paraId="00C8ADBD" w14:textId="00D27BB1" w:rsidR="00B96A35" w:rsidRDefault="00B96A35" w:rsidP="00AD64E7">
      <w:pPr>
        <w:pStyle w:val="Paragraphbeforelist"/>
        <w:keepNext/>
      </w:pPr>
      <w:r>
        <w:lastRenderedPageBreak/>
        <w:t xml:space="preserve">The communications policy objectives currently being consulted on </w:t>
      </w:r>
      <w:r w:rsidR="003B5C86">
        <w:t>are</w:t>
      </w:r>
      <w:r>
        <w:t xml:space="preserve">: </w:t>
      </w:r>
    </w:p>
    <w:p w14:paraId="2DBDCC7B" w14:textId="08FDBD9F" w:rsidR="00B96A35" w:rsidRPr="005C6B58" w:rsidRDefault="00B96A35" w:rsidP="00AD64E7">
      <w:pPr>
        <w:pStyle w:val="Numberlistlevel1"/>
        <w:keepNext/>
      </w:pPr>
      <w:r w:rsidRPr="005C6B58">
        <w:t xml:space="preserve">Supporting service continuity for end users, particularly where no alternative service is </w:t>
      </w:r>
      <w:proofErr w:type="gramStart"/>
      <w:r w:rsidRPr="005C6B58">
        <w:t>available</w:t>
      </w:r>
      <w:proofErr w:type="gramEnd"/>
    </w:p>
    <w:p w14:paraId="655A5397" w14:textId="48A24E10" w:rsidR="00B96A35" w:rsidRPr="005C6B58" w:rsidRDefault="00B96A35" w:rsidP="00AD64E7">
      <w:pPr>
        <w:pStyle w:val="Numberlistlevel1"/>
        <w:keepNext/>
      </w:pPr>
      <w:r w:rsidRPr="005C6B58">
        <w:t>Opportunities for new entrants and use</w:t>
      </w:r>
      <w:r w:rsidR="0022165E">
        <w:t xml:space="preserve"> </w:t>
      </w:r>
      <w:r w:rsidRPr="005C6B58">
        <w:t>cases, including for low earth orbit satellites</w:t>
      </w:r>
      <w:r w:rsidR="00385D98" w:rsidRPr="005C6B58">
        <w:t xml:space="preserve"> (LEOsats)</w:t>
      </w:r>
    </w:p>
    <w:p w14:paraId="5545A314" w14:textId="45184CAE" w:rsidR="00B96A35" w:rsidRPr="005C6B58" w:rsidRDefault="00B96A35" w:rsidP="00AD64E7">
      <w:pPr>
        <w:pStyle w:val="Numberlistlevel1"/>
        <w:keepNext/>
      </w:pPr>
      <w:r w:rsidRPr="005C6B58">
        <w:t xml:space="preserve">Connectivity and investment in regional areas to deliver improved services to end </w:t>
      </w:r>
      <w:proofErr w:type="gramStart"/>
      <w:r w:rsidRPr="005C6B58">
        <w:t>users</w:t>
      </w:r>
      <w:proofErr w:type="gramEnd"/>
    </w:p>
    <w:p w14:paraId="6B8E28E7" w14:textId="504294BD" w:rsidR="00B96A35" w:rsidRPr="005C6B58" w:rsidRDefault="00B96A35" w:rsidP="00AD64E7">
      <w:pPr>
        <w:pStyle w:val="Numberlistlevel1"/>
        <w:keepNext/>
      </w:pPr>
      <w:r w:rsidRPr="005C6B58">
        <w:t xml:space="preserve">Promote </w:t>
      </w:r>
      <w:proofErr w:type="gramStart"/>
      <w:r w:rsidRPr="005C6B58">
        <w:t>competition</w:t>
      </w:r>
      <w:proofErr w:type="gramEnd"/>
    </w:p>
    <w:p w14:paraId="47C422AC" w14:textId="6FCDC709" w:rsidR="00B96A35" w:rsidRPr="005C6B58" w:rsidRDefault="00B96A35" w:rsidP="00AD64E7">
      <w:pPr>
        <w:pStyle w:val="Numberlistlast"/>
        <w:keepNext/>
      </w:pPr>
      <w:r w:rsidRPr="005C6B58">
        <w:t>Capacity for sustained investment and innovation</w:t>
      </w:r>
      <w:r w:rsidR="29665D5A" w:rsidRPr="005C6B58">
        <w:t>.</w:t>
      </w:r>
    </w:p>
    <w:p w14:paraId="071E3814" w14:textId="5EC5A383" w:rsidR="00E756CD" w:rsidRDefault="00E756CD" w:rsidP="005C6B58">
      <w:pPr>
        <w:pStyle w:val="Paragraph"/>
      </w:pPr>
      <w:r>
        <w:t xml:space="preserve">Submissions to the </w:t>
      </w:r>
      <w:hyperlink r:id="rId30" w:history="1">
        <w:r w:rsidRPr="00AD5A4A">
          <w:rPr>
            <w:rStyle w:val="Hyperlink"/>
          </w:rPr>
          <w:t>consultation on the</w:t>
        </w:r>
        <w:r w:rsidR="00E21D3B">
          <w:rPr>
            <w:rStyle w:val="Hyperlink"/>
          </w:rPr>
          <w:t xml:space="preserve"> draft</w:t>
        </w:r>
        <w:r w:rsidRPr="00AD5A4A">
          <w:rPr>
            <w:rStyle w:val="Hyperlink"/>
          </w:rPr>
          <w:t xml:space="preserve"> MPS</w:t>
        </w:r>
      </w:hyperlink>
      <w:r>
        <w:t xml:space="preserve"> are due by </w:t>
      </w:r>
      <w:r w:rsidR="00AE1774" w:rsidRPr="00140899">
        <w:t>1</w:t>
      </w:r>
      <w:r w:rsidR="00B03711" w:rsidRPr="00140899">
        <w:t>2</w:t>
      </w:r>
      <w:r w:rsidR="00AE1774" w:rsidRPr="00140899">
        <w:t xml:space="preserve"> April 2024</w:t>
      </w:r>
      <w:r w:rsidR="001E5B90">
        <w:t>.</w:t>
      </w:r>
      <w:r w:rsidR="00E15088">
        <w:t xml:space="preserve"> We encourage </w:t>
      </w:r>
      <w:r>
        <w:t xml:space="preserve">stakeholders to </w:t>
      </w:r>
      <w:r w:rsidR="039182C8">
        <w:t>refer to the MPS</w:t>
      </w:r>
      <w:r w:rsidR="00E15088">
        <w:t>, if issued</w:t>
      </w:r>
      <w:r w:rsidR="00E13B32">
        <w:t>,</w:t>
      </w:r>
      <w:r w:rsidR="039182C8">
        <w:t xml:space="preserve"> in </w:t>
      </w:r>
      <w:r w:rsidR="00E13B32">
        <w:t>forming</w:t>
      </w:r>
      <w:r w:rsidR="039182C8">
        <w:t xml:space="preserve"> </w:t>
      </w:r>
      <w:r>
        <w:t>their submissions to our information</w:t>
      </w:r>
      <w:r w:rsidR="16D6C351">
        <w:t>-</w:t>
      </w:r>
      <w:r>
        <w:t>gathering exercise</w:t>
      </w:r>
      <w:r w:rsidR="6351333D">
        <w:t>.</w:t>
      </w:r>
    </w:p>
    <w:p w14:paraId="3B84CEE3" w14:textId="24FA8A72" w:rsidR="00B96A35" w:rsidRPr="00E115B8" w:rsidRDefault="0097E889" w:rsidP="005C6B58">
      <w:pPr>
        <w:pStyle w:val="Paragraph"/>
        <w:rPr>
          <w:rFonts w:eastAsia="Arial"/>
        </w:rPr>
      </w:pPr>
      <w:r>
        <w:t>If</w:t>
      </w:r>
      <w:r w:rsidR="00E756CD">
        <w:t xml:space="preserve"> the policy objectives in </w:t>
      </w:r>
      <w:r w:rsidR="00E21D3B">
        <w:t>a</w:t>
      </w:r>
      <w:r w:rsidR="00E756CD">
        <w:t xml:space="preserve"> </w:t>
      </w:r>
      <w:r w:rsidR="002624B0">
        <w:t xml:space="preserve">final </w:t>
      </w:r>
      <w:r w:rsidR="00E756CD">
        <w:t xml:space="preserve">MPS differ from those in the draft, we will issue additional guidance for stakeholders on </w:t>
      </w:r>
      <w:r w:rsidR="0A98C5D3">
        <w:t xml:space="preserve">engaging </w:t>
      </w:r>
      <w:r w:rsidR="00E756CD">
        <w:t xml:space="preserve">with the public interest criteria and the requests for information with reference to </w:t>
      </w:r>
      <w:r w:rsidR="00EA1323">
        <w:t>a</w:t>
      </w:r>
      <w:r w:rsidR="00E756CD">
        <w:t xml:space="preserve"> </w:t>
      </w:r>
      <w:r w:rsidR="002624B0">
        <w:t xml:space="preserve">final </w:t>
      </w:r>
      <w:r w:rsidR="00E756CD">
        <w:t xml:space="preserve">MPS.  </w:t>
      </w:r>
    </w:p>
    <w:p w14:paraId="3CCE6C7B" w14:textId="60B25191" w:rsidR="00D57398" w:rsidRDefault="00D57398" w:rsidP="00D57398">
      <w:pPr>
        <w:pStyle w:val="Heading1"/>
      </w:pPr>
      <w:bookmarkStart w:id="15" w:name="_Toc159360657"/>
      <w:bookmarkStart w:id="16" w:name="_Toc161756522"/>
      <w:r>
        <w:lastRenderedPageBreak/>
        <w:t>Information</w:t>
      </w:r>
      <w:r w:rsidR="35FA1BA4">
        <w:t>-</w:t>
      </w:r>
      <w:r>
        <w:t>gathering exercise</w:t>
      </w:r>
      <w:bookmarkEnd w:id="15"/>
      <w:bookmarkEnd w:id="16"/>
    </w:p>
    <w:p w14:paraId="56247742" w14:textId="3F04385E" w:rsidR="00D57398" w:rsidRDefault="001003A7" w:rsidP="005C6B58">
      <w:pPr>
        <w:pStyle w:val="Paragraph"/>
      </w:pPr>
      <w:r>
        <w:t xml:space="preserve">In </w:t>
      </w:r>
      <w:r w:rsidR="00275272">
        <w:t>undert</w:t>
      </w:r>
      <w:r w:rsidR="00F238C0">
        <w:t xml:space="preserve">aking </w:t>
      </w:r>
      <w:r w:rsidR="00D57398">
        <w:t>our ESL work, we draw on m</w:t>
      </w:r>
      <w:r w:rsidR="00D57398" w:rsidRPr="001E79B0">
        <w:t>arket analysis</w:t>
      </w:r>
      <w:r w:rsidR="001874B0">
        <w:t>,</w:t>
      </w:r>
      <w:r w:rsidR="00D57398">
        <w:t xml:space="preserve"> environmental scanning, d</w:t>
      </w:r>
      <w:r w:rsidR="00D57398" w:rsidRPr="001E79B0">
        <w:t>omestic and international trends and development</w:t>
      </w:r>
      <w:r w:rsidR="00D57398">
        <w:t>s</w:t>
      </w:r>
      <w:r w:rsidR="00D57398" w:rsidRPr="001E79B0">
        <w:t xml:space="preserve"> in spectrum management</w:t>
      </w:r>
      <w:r w:rsidR="00D57398">
        <w:t xml:space="preserve">, and other relevant reports and resources. </w:t>
      </w:r>
    </w:p>
    <w:p w14:paraId="5000113E" w14:textId="466D5808" w:rsidR="00D57398" w:rsidRDefault="00D57398" w:rsidP="00D57398">
      <w:pPr>
        <w:pStyle w:val="Paragraph"/>
      </w:pPr>
      <w:r w:rsidRPr="007C0F64">
        <w:t>The information</w:t>
      </w:r>
      <w:r w:rsidR="5B7848DE">
        <w:t>-</w:t>
      </w:r>
      <w:r w:rsidRPr="007C0F64">
        <w:t xml:space="preserve">gathering exercise is intended to </w:t>
      </w:r>
      <w:r w:rsidR="003927FC">
        <w:t>collect</w:t>
      </w:r>
      <w:r w:rsidR="003927FC" w:rsidRPr="007C0F64">
        <w:t xml:space="preserve"> </w:t>
      </w:r>
      <w:r w:rsidRPr="007C0F64">
        <w:t xml:space="preserve">information not readily available to the ACMA through these </w:t>
      </w:r>
      <w:r>
        <w:t>channels</w:t>
      </w:r>
      <w:r w:rsidRPr="007C0F64">
        <w:t>.</w:t>
      </w:r>
    </w:p>
    <w:p w14:paraId="2DA25170" w14:textId="573348A6" w:rsidR="00D57398" w:rsidRPr="00E331B3" w:rsidRDefault="00D57398" w:rsidP="00D57398">
      <w:pPr>
        <w:pStyle w:val="Paragraph"/>
      </w:pPr>
      <w:r>
        <w:t>Spectrum users have operational and strategic expertise in developing and deploy</w:t>
      </w:r>
      <w:r w:rsidR="007E6C24">
        <w:t>ing</w:t>
      </w:r>
      <w:r>
        <w:t xml:space="preserve"> radiocommunications services, and have direct access to, and understandings of, technology drivers, market trends, and end-user demand.  </w:t>
      </w:r>
    </w:p>
    <w:p w14:paraId="471B0E54" w14:textId="77777777" w:rsidR="00D57398" w:rsidRDefault="00D57398" w:rsidP="005C6B58">
      <w:pPr>
        <w:pStyle w:val="Paragraph"/>
      </w:pPr>
      <w:r>
        <w:t xml:space="preserve">Harnessing this information is a key element of our ESL process. It will allow us to develop an understanding of how past, present, and future uses for the spectrum covered by ESLs, and our broader licensing and regulatory arrangements, can promote the long-term public interest.  </w:t>
      </w:r>
    </w:p>
    <w:p w14:paraId="740181C8" w14:textId="77777777" w:rsidR="00D57398" w:rsidRDefault="00D57398" w:rsidP="00A0530C">
      <w:pPr>
        <w:pStyle w:val="Paragraphbeforelist"/>
      </w:pPr>
      <w:r>
        <w:t xml:space="preserve">More </w:t>
      </w:r>
      <w:r w:rsidRPr="00A0530C">
        <w:t>specifically</w:t>
      </w:r>
      <w:r>
        <w:t>, the information we gather will provide us with insights into:</w:t>
      </w:r>
    </w:p>
    <w:p w14:paraId="78DCCA9E" w14:textId="38B3E5E4" w:rsidR="00D57398" w:rsidRPr="00A0530C" w:rsidRDefault="00D57398" w:rsidP="006411FD">
      <w:pPr>
        <w:pStyle w:val="Bulletlevel1"/>
      </w:pPr>
      <w:r w:rsidRPr="001E79B0">
        <w:t xml:space="preserve">the </w:t>
      </w:r>
      <w:r w:rsidRPr="00A0530C">
        <w:t>ways</w:t>
      </w:r>
      <w:r w:rsidR="6317F217" w:rsidRPr="00A0530C">
        <w:t xml:space="preserve"> </w:t>
      </w:r>
      <w:r w:rsidRPr="00A0530C">
        <w:t xml:space="preserve">and extent to which current and future uses of the spectrum covered by ESLs fulfil the public interest </w:t>
      </w:r>
      <w:proofErr w:type="gramStart"/>
      <w:r w:rsidRPr="00A0530C">
        <w:t>criteria</w:t>
      </w:r>
      <w:proofErr w:type="gramEnd"/>
    </w:p>
    <w:p w14:paraId="4955FE11" w14:textId="77777777" w:rsidR="00D57398" w:rsidRPr="00A0530C" w:rsidRDefault="00D57398" w:rsidP="006411FD">
      <w:pPr>
        <w:pStyle w:val="Bulletlevel1"/>
      </w:pPr>
      <w:r w:rsidRPr="00A0530C">
        <w:t>the potential impact of decisions made in relation to renewal applications (that is, renewal, partial renewal and refusal)</w:t>
      </w:r>
    </w:p>
    <w:p w14:paraId="350FD762" w14:textId="6C9511A5" w:rsidR="004E5083" w:rsidRPr="00A0530C" w:rsidRDefault="004E5083" w:rsidP="006411FD">
      <w:pPr>
        <w:pStyle w:val="Bulletlevel1"/>
      </w:pPr>
      <w:r w:rsidRPr="00A0530C">
        <w:t xml:space="preserve">the ways in which </w:t>
      </w:r>
      <w:r w:rsidR="00F67573" w:rsidRPr="00A0530C">
        <w:t xml:space="preserve">relevant </w:t>
      </w:r>
      <w:r w:rsidRPr="00A0530C">
        <w:t>incumbent and prospective alternative licensees</w:t>
      </w:r>
      <w:r w:rsidR="00F67573" w:rsidRPr="00A0530C">
        <w:t xml:space="preserve"> </w:t>
      </w:r>
      <w:r w:rsidR="00CF1C72" w:rsidRPr="00A0530C">
        <w:t>consider their</w:t>
      </w:r>
      <w:r w:rsidRPr="00A0530C">
        <w:t xml:space="preserve"> </w:t>
      </w:r>
      <w:r w:rsidR="00833F0D" w:rsidRPr="00A0530C">
        <w:t xml:space="preserve">current </w:t>
      </w:r>
      <w:r w:rsidR="00CF1C72" w:rsidRPr="00A0530C">
        <w:t xml:space="preserve">and proposed use of the spectrum could </w:t>
      </w:r>
      <w:r w:rsidR="001661F9" w:rsidRPr="00A0530C">
        <w:t xml:space="preserve">support outcomes associated with the draft policy objectives in the </w:t>
      </w:r>
      <w:proofErr w:type="gramStart"/>
      <w:r w:rsidR="001661F9" w:rsidRPr="00A0530C">
        <w:t>MPS</w:t>
      </w:r>
      <w:proofErr w:type="gramEnd"/>
    </w:p>
    <w:p w14:paraId="0300B6F5" w14:textId="77777777" w:rsidR="00D57398" w:rsidRPr="001E79B0" w:rsidRDefault="00D57398" w:rsidP="006411FD">
      <w:pPr>
        <w:pStyle w:val="Bulletlevel1"/>
      </w:pPr>
      <w:r w:rsidRPr="00A0530C">
        <w:t>potential barriers</w:t>
      </w:r>
      <w:r>
        <w:t xml:space="preserve"> or </w:t>
      </w:r>
      <w:r w:rsidRPr="001E79B0">
        <w:t xml:space="preserve">issues in current arrangements that limit facilitation of the public </w:t>
      </w:r>
      <w:proofErr w:type="gramStart"/>
      <w:r w:rsidRPr="001E79B0">
        <w:t>interest</w:t>
      </w:r>
      <w:proofErr w:type="gramEnd"/>
    </w:p>
    <w:p w14:paraId="22BC6C06" w14:textId="66DB331E" w:rsidR="00662248" w:rsidRDefault="00D57398" w:rsidP="005C6B58">
      <w:pPr>
        <w:pStyle w:val="Bulletlevel1last"/>
      </w:pPr>
      <w:r w:rsidRPr="001E79B0">
        <w:t xml:space="preserve">competing demand </w:t>
      </w:r>
      <w:r>
        <w:t xml:space="preserve">for, </w:t>
      </w:r>
      <w:r w:rsidRPr="001E79B0">
        <w:t>and alternative use</w:t>
      </w:r>
      <w:r w:rsidR="00991516">
        <w:t>s</w:t>
      </w:r>
      <w:r w:rsidR="002039CD">
        <w:t xml:space="preserve"> and </w:t>
      </w:r>
      <w:r w:rsidRPr="001E79B0">
        <w:t>users of</w:t>
      </w:r>
      <w:r>
        <w:t>,</w:t>
      </w:r>
      <w:r w:rsidRPr="001E79B0">
        <w:t xml:space="preserve"> the spectrum</w:t>
      </w:r>
      <w:r>
        <w:t>,</w:t>
      </w:r>
      <w:r w:rsidRPr="001E79B0">
        <w:t xml:space="preserve"> and how the</w:t>
      </w:r>
      <w:r>
        <w:t xml:space="preserve">se might interact with </w:t>
      </w:r>
      <w:r w:rsidRPr="001E79B0">
        <w:t>the public interest criteria</w:t>
      </w:r>
      <w:r w:rsidR="00D65DE5">
        <w:t>.</w:t>
      </w:r>
    </w:p>
    <w:p w14:paraId="25BA847C" w14:textId="7B7E23C4" w:rsidR="004C6ADA" w:rsidRDefault="00902D0E" w:rsidP="00D57398">
      <w:pPr>
        <w:pStyle w:val="Paragraphbeforelist"/>
      </w:pPr>
      <w:r>
        <w:t>W</w:t>
      </w:r>
      <w:r w:rsidR="00D57398">
        <w:t xml:space="preserve">e are seeking information </w:t>
      </w:r>
      <w:r w:rsidR="00725DB2">
        <w:t>from 2</w:t>
      </w:r>
      <w:r w:rsidR="00D57398">
        <w:t xml:space="preserve"> broad groups</w:t>
      </w:r>
      <w:r w:rsidR="00580321">
        <w:t xml:space="preserve"> of stakeholders</w:t>
      </w:r>
      <w:r w:rsidR="00D57398">
        <w:t>:</w:t>
      </w:r>
    </w:p>
    <w:p w14:paraId="34AC4025" w14:textId="3FC008E7" w:rsidR="0037369F" w:rsidRDefault="00D57398" w:rsidP="006411FD">
      <w:pPr>
        <w:pStyle w:val="Bulletlevel1"/>
      </w:pPr>
      <w:r w:rsidRPr="005C6B58">
        <w:rPr>
          <w:i/>
        </w:rPr>
        <w:t>incumbents</w:t>
      </w:r>
      <w:r>
        <w:t xml:space="preserve">: that hold </w:t>
      </w:r>
      <w:r w:rsidRPr="00A0530C">
        <w:t>one</w:t>
      </w:r>
      <w:r>
        <w:t xml:space="preserve"> or more ESL, and may wish to renew their </w:t>
      </w:r>
      <w:proofErr w:type="gramStart"/>
      <w:r>
        <w:t>ESLs</w:t>
      </w:r>
      <w:proofErr w:type="gramEnd"/>
    </w:p>
    <w:p w14:paraId="06C3A636" w14:textId="52366D5B" w:rsidR="00D57398" w:rsidRDefault="00D57398" w:rsidP="005C6B58">
      <w:pPr>
        <w:pStyle w:val="Bulletlevel1last"/>
      </w:pPr>
      <w:r w:rsidRPr="005C6B58">
        <w:rPr>
          <w:i/>
        </w:rPr>
        <w:t xml:space="preserve">prospective alternative </w:t>
      </w:r>
      <w:r w:rsidR="00C14F6D" w:rsidRPr="005C6B58">
        <w:rPr>
          <w:i/>
        </w:rPr>
        <w:t>licensees</w:t>
      </w:r>
      <w:r>
        <w:t xml:space="preserve">: that do not hold an </w:t>
      </w:r>
      <w:proofErr w:type="gramStart"/>
      <w:r>
        <w:t>ESL, but</w:t>
      </w:r>
      <w:proofErr w:type="gramEnd"/>
      <w:r>
        <w:t xml:space="preserve"> have a proposal that could involve use of spectrum covered by one or more ESL.</w:t>
      </w:r>
    </w:p>
    <w:p w14:paraId="1ACC295B" w14:textId="65EA534C" w:rsidR="00D57398" w:rsidRPr="00795306" w:rsidRDefault="00D57398" w:rsidP="00D57398">
      <w:pPr>
        <w:pStyle w:val="Heading2"/>
      </w:pPr>
      <w:bookmarkStart w:id="17" w:name="_Toc159360658"/>
      <w:bookmarkStart w:id="18" w:name="_Toc161756523"/>
      <w:r>
        <w:t xml:space="preserve">How we will use </w:t>
      </w:r>
      <w:r w:rsidR="00C80430">
        <w:t xml:space="preserve">the </w:t>
      </w:r>
      <w:r>
        <w:t>information</w:t>
      </w:r>
      <w:bookmarkEnd w:id="17"/>
      <w:r w:rsidR="006C2361">
        <w:t xml:space="preserve"> gathered</w:t>
      </w:r>
      <w:bookmarkEnd w:id="18"/>
    </w:p>
    <w:p w14:paraId="1855D782" w14:textId="1BEFA095" w:rsidR="007D1CE0" w:rsidRDefault="00D57398" w:rsidP="00140899">
      <w:pPr>
        <w:pStyle w:val="Paragraph"/>
      </w:pPr>
      <w:r w:rsidRPr="00AA4BF2">
        <w:t xml:space="preserve">The information we </w:t>
      </w:r>
      <w:r w:rsidR="006C2361">
        <w:t xml:space="preserve">gather </w:t>
      </w:r>
      <w:r w:rsidRPr="00AA4BF2">
        <w:t>will</w:t>
      </w:r>
      <w:r w:rsidR="00D53F50">
        <w:t>, along with other inputs,</w:t>
      </w:r>
      <w:r w:rsidRPr="00AA4BF2">
        <w:t xml:space="preserve"> inform the development of preliminary views at </w:t>
      </w:r>
      <w:r>
        <w:t>s</w:t>
      </w:r>
      <w:r w:rsidRPr="00AA4BF2">
        <w:t>tage 3</w:t>
      </w:r>
      <w:r>
        <w:t xml:space="preserve"> of the ESL process</w:t>
      </w:r>
      <w:r w:rsidR="00D12C55">
        <w:t xml:space="preserve">. We have </w:t>
      </w:r>
      <w:r w:rsidR="00983008">
        <w:t xml:space="preserve">reproduced guidance about </w:t>
      </w:r>
      <w:r w:rsidR="00030444">
        <w:t xml:space="preserve">the matters we will consider during </w:t>
      </w:r>
      <w:r w:rsidR="00C12E3F">
        <w:t>stage 3 and 4</w:t>
      </w:r>
      <w:r w:rsidR="00030444">
        <w:t xml:space="preserve"> </w:t>
      </w:r>
      <w:r w:rsidR="002C2204">
        <w:t xml:space="preserve">provided in our finalised framework paper </w:t>
      </w:r>
      <w:r w:rsidR="00030444">
        <w:t xml:space="preserve">at Appendix </w:t>
      </w:r>
      <w:r w:rsidR="008364F8">
        <w:t>B</w:t>
      </w:r>
      <w:r w:rsidR="00030444">
        <w:t xml:space="preserve">. </w:t>
      </w:r>
    </w:p>
    <w:p w14:paraId="255B4354" w14:textId="0C11A168" w:rsidR="00D57398" w:rsidRPr="00AA4BF2" w:rsidRDefault="023959EC" w:rsidP="00D57398">
      <w:pPr>
        <w:pStyle w:val="Paragraphbeforelist"/>
      </w:pPr>
      <w:r>
        <w:t>W</w:t>
      </w:r>
      <w:r w:rsidR="00D57398">
        <w:t>e</w:t>
      </w:r>
      <w:r w:rsidR="00D57398" w:rsidRPr="00AA4BF2">
        <w:t xml:space="preserve"> anticipate that </w:t>
      </w:r>
      <w:r w:rsidR="00D53F50">
        <w:t xml:space="preserve">our </w:t>
      </w:r>
      <w:r w:rsidR="00D57398" w:rsidRPr="00AA4BF2">
        <w:t>preliminary view</w:t>
      </w:r>
      <w:r w:rsidR="002A6E1A">
        <w:t>s</w:t>
      </w:r>
      <w:r w:rsidR="004144D6">
        <w:t xml:space="preserve"> for each</w:t>
      </w:r>
      <w:r w:rsidR="000F4A43">
        <w:t xml:space="preserve"> frequency</w:t>
      </w:r>
      <w:r w:rsidR="004144D6">
        <w:t xml:space="preserve"> band</w:t>
      </w:r>
      <w:r w:rsidR="000F4A43">
        <w:t xml:space="preserve"> subject to this process</w:t>
      </w:r>
      <w:r w:rsidR="00D57398" w:rsidRPr="00AA4BF2">
        <w:t xml:space="preserve"> will convey our dispositions on:</w:t>
      </w:r>
    </w:p>
    <w:p w14:paraId="3932BAFE" w14:textId="37074B1C" w:rsidR="00D57398" w:rsidRPr="00B93DED" w:rsidRDefault="00D57398" w:rsidP="006411FD">
      <w:pPr>
        <w:pStyle w:val="Bulletlevel1"/>
      </w:pPr>
      <w:r>
        <w:t xml:space="preserve">spectrum uses </w:t>
      </w:r>
      <w:r w:rsidR="00B17C7C">
        <w:t>and use</w:t>
      </w:r>
      <w:r w:rsidR="0022165E">
        <w:t xml:space="preserve"> </w:t>
      </w:r>
      <w:r w:rsidR="00B17C7C">
        <w:t xml:space="preserve">cases </w:t>
      </w:r>
      <w:r>
        <w:t>for each</w:t>
      </w:r>
      <w:r w:rsidR="00DD63BC">
        <w:t xml:space="preserve"> frequency</w:t>
      </w:r>
      <w:r>
        <w:t xml:space="preserve"> band over the mid- to long-term</w:t>
      </w:r>
      <w:r w:rsidR="00DD63BC">
        <w:t xml:space="preserve"> </w:t>
      </w:r>
      <w:r w:rsidR="00D72DD1">
        <w:t>that are</w:t>
      </w:r>
      <w:r w:rsidR="00DD63BC">
        <w:t xml:space="preserve"> </w:t>
      </w:r>
      <w:r w:rsidR="00B17C7C" w:rsidRPr="00B93DED">
        <w:t xml:space="preserve">likely to promote the long-term public </w:t>
      </w:r>
      <w:proofErr w:type="gramStart"/>
      <w:r w:rsidR="00B17C7C" w:rsidRPr="00B93DED">
        <w:t>interest</w:t>
      </w:r>
      <w:proofErr w:type="gramEnd"/>
    </w:p>
    <w:p w14:paraId="4A7AB620" w14:textId="0B5B5429" w:rsidR="00F11CDB" w:rsidRPr="00B93DED" w:rsidRDefault="00D57398" w:rsidP="006411FD">
      <w:pPr>
        <w:pStyle w:val="Bulletlevel1"/>
      </w:pPr>
      <w:r w:rsidRPr="00B93DED">
        <w:t xml:space="preserve">optimal licensing arrangements for </w:t>
      </w:r>
      <w:r w:rsidR="00D72DD1" w:rsidRPr="00B93DED">
        <w:t>each</w:t>
      </w:r>
      <w:r w:rsidRPr="00B93DED">
        <w:t xml:space="preserve"> band; that is, the licence type or types that facilitate those uses, or other policy objectives, and any significant conditions to be contained in a licence (for example, a condition that affects the uses to which spectrum may be put under the licence)</w:t>
      </w:r>
    </w:p>
    <w:p w14:paraId="1F8B4099" w14:textId="330A9CA3" w:rsidR="00991516" w:rsidRPr="00B93DED" w:rsidRDefault="00D57398" w:rsidP="00140899">
      <w:pPr>
        <w:pStyle w:val="Bulletlevel1"/>
      </w:pPr>
      <w:r w:rsidRPr="00B93DED">
        <w:lastRenderedPageBreak/>
        <w:t>spectrum value</w:t>
      </w:r>
      <w:r w:rsidR="00305D4C">
        <w:t>, p</w:t>
      </w:r>
      <w:r w:rsidR="009B1E0E">
        <w:t>ricing</w:t>
      </w:r>
      <w:r w:rsidR="00B4763A">
        <w:t xml:space="preserve"> (</w:t>
      </w:r>
      <w:r w:rsidR="00B073B6">
        <w:t xml:space="preserve">for example, </w:t>
      </w:r>
      <w:r w:rsidR="68F611B6">
        <w:t xml:space="preserve">we expect to release preliminary views on </w:t>
      </w:r>
      <w:r w:rsidR="00B95045">
        <w:t>$/MHz/pop value</w:t>
      </w:r>
      <w:r w:rsidR="004D6380">
        <w:t>s</w:t>
      </w:r>
      <w:r w:rsidR="36C6DCF6">
        <w:t xml:space="preserve"> in stage 3</w:t>
      </w:r>
      <w:r w:rsidR="00B073B6">
        <w:t>)</w:t>
      </w:r>
      <w:r w:rsidR="00B4763A">
        <w:t>,</w:t>
      </w:r>
      <w:r w:rsidRPr="00B93DED">
        <w:t xml:space="preserve"> and potential payment terms, if licences in the band are </w:t>
      </w:r>
      <w:proofErr w:type="gramStart"/>
      <w:r w:rsidRPr="00B93DED">
        <w:t>renewed</w:t>
      </w:r>
      <w:proofErr w:type="gramEnd"/>
    </w:p>
    <w:p w14:paraId="14AD735F" w14:textId="1E1F149E" w:rsidR="752CDC47" w:rsidRPr="00CC6071" w:rsidRDefault="00D57398" w:rsidP="00140899">
      <w:pPr>
        <w:pStyle w:val="Bulletlevel1last"/>
      </w:pPr>
      <w:r w:rsidRPr="00CC6071">
        <w:t xml:space="preserve">whether renewal, partial renewal or </w:t>
      </w:r>
      <w:r w:rsidR="00E16173" w:rsidRPr="00CC6071">
        <w:t>refusal and</w:t>
      </w:r>
      <w:r w:rsidRPr="00CC6071">
        <w:t xml:space="preserve"> re-allocation of licences in each band, or re-allocation of the spectrum covered by ESLs in each band, serves the long-term public interest. </w:t>
      </w:r>
    </w:p>
    <w:p w14:paraId="6C715092" w14:textId="743C48C2" w:rsidR="00955E36" w:rsidRDefault="00100885" w:rsidP="00D106D9">
      <w:pPr>
        <w:pStyle w:val="Paragraph"/>
      </w:pPr>
      <w:r>
        <w:t>I</w:t>
      </w:r>
      <w:r w:rsidR="00E251D2">
        <w:t xml:space="preserve">nformation </w:t>
      </w:r>
      <w:r w:rsidR="00E70AAD">
        <w:t>gathered during stage 2</w:t>
      </w:r>
      <w:r w:rsidR="001C4AB6">
        <w:t xml:space="preserve"> </w:t>
      </w:r>
      <w:r w:rsidR="00F4530A">
        <w:t>will</w:t>
      </w:r>
      <w:r w:rsidR="007F5E4F">
        <w:t xml:space="preserve"> </w:t>
      </w:r>
      <w:r w:rsidR="001B27E4">
        <w:t xml:space="preserve">be an important </w:t>
      </w:r>
      <w:r w:rsidR="00503651">
        <w:t>input</w:t>
      </w:r>
      <w:r w:rsidR="001B27E4">
        <w:t xml:space="preserve"> in</w:t>
      </w:r>
      <w:r w:rsidR="007F4C3E">
        <w:t>to the development of preliminary views</w:t>
      </w:r>
      <w:r w:rsidR="006E5B5B">
        <w:t>. For e</w:t>
      </w:r>
      <w:r w:rsidR="00955E36">
        <w:t xml:space="preserve">xample, </w:t>
      </w:r>
      <w:r w:rsidR="00160503">
        <w:t xml:space="preserve">identifying optimal licensing arrangements and setting appropriate prices </w:t>
      </w:r>
      <w:r w:rsidR="00CB7053">
        <w:t>are</w:t>
      </w:r>
      <w:r w:rsidR="00FC4A5C">
        <w:t xml:space="preserve"> key element</w:t>
      </w:r>
      <w:r w:rsidR="00CB7053">
        <w:t>s</w:t>
      </w:r>
      <w:r w:rsidR="00FC4A5C">
        <w:t xml:space="preserve"> in</w:t>
      </w:r>
      <w:r w:rsidR="00BF1E98">
        <w:t xml:space="preserve"> </w:t>
      </w:r>
      <w:r w:rsidR="00EF5A4E">
        <w:t xml:space="preserve">supporting the long-term public interest </w:t>
      </w:r>
      <w:r w:rsidR="00955E36">
        <w:t>and</w:t>
      </w:r>
      <w:r w:rsidR="00191E51">
        <w:t xml:space="preserve"> </w:t>
      </w:r>
      <w:r w:rsidR="00CB7053">
        <w:t>these</w:t>
      </w:r>
      <w:r w:rsidR="00191E51">
        <w:t xml:space="preserve"> views need to be robustly informed.</w:t>
      </w:r>
      <w:r w:rsidR="009A1E2C">
        <w:t xml:space="preserve"> </w:t>
      </w:r>
      <w:r w:rsidR="00304176">
        <w:t>Therefore, c</w:t>
      </w:r>
      <w:r w:rsidR="00CB7053">
        <w:t xml:space="preserve">onsistent with </w:t>
      </w:r>
      <w:r w:rsidR="00304176">
        <w:t xml:space="preserve">views put forth in the finalised framework paper, we do not propose to release views on these matters (other than high level views about use of spectrum) earlier than stage 3 (Q4 2024). </w:t>
      </w:r>
    </w:p>
    <w:p w14:paraId="1C33DD1C" w14:textId="4A3435AC" w:rsidR="00D57398" w:rsidRDefault="006834BC" w:rsidP="00D57398">
      <w:pPr>
        <w:pStyle w:val="Paragraph"/>
      </w:pPr>
      <w:r>
        <w:t xml:space="preserve">As mentioned above, following the </w:t>
      </w:r>
      <w:r w:rsidR="00724EBF">
        <w:t>information-</w:t>
      </w:r>
      <w:r w:rsidR="00FB2161">
        <w:t>gathering</w:t>
      </w:r>
      <w:r w:rsidR="00724EBF">
        <w:t xml:space="preserve"> exercise</w:t>
      </w:r>
      <w:r w:rsidR="005924C3">
        <w:t xml:space="preserve"> w</w:t>
      </w:r>
      <w:r w:rsidR="00D57398">
        <w:t xml:space="preserve">e will </w:t>
      </w:r>
      <w:r w:rsidR="005924C3">
        <w:t>put forth</w:t>
      </w:r>
      <w:r w:rsidR="00D57398">
        <w:t xml:space="preserve"> </w:t>
      </w:r>
      <w:r w:rsidR="001B58A7">
        <w:t xml:space="preserve">and </w:t>
      </w:r>
      <w:r w:rsidR="00D57398">
        <w:t>consult on preliminary views</w:t>
      </w:r>
      <w:r w:rsidR="000F4A43">
        <w:t xml:space="preserve"> in stage 3</w:t>
      </w:r>
      <w:r w:rsidR="00A23736">
        <w:t xml:space="preserve"> inviting stakeholder submissions. We will</w:t>
      </w:r>
      <w:r w:rsidR="003536CD">
        <w:t xml:space="preserve"> then</w:t>
      </w:r>
      <w:r w:rsidR="00D57398">
        <w:t xml:space="preserve"> consider submissions and, in stage 4, release our response to submissions and our preferred views, which will round out the policy and decision-making framework for our consideration of individual renewal applications.</w:t>
      </w:r>
    </w:p>
    <w:p w14:paraId="4A7CE23F" w14:textId="39EB79B7" w:rsidR="00F67D69" w:rsidRDefault="00F67D69" w:rsidP="00D57398">
      <w:pPr>
        <w:pStyle w:val="Paragraph"/>
      </w:pPr>
      <w:r>
        <w:t xml:space="preserve">We </w:t>
      </w:r>
      <w:r w:rsidR="00EC4D17">
        <w:t xml:space="preserve">note that </w:t>
      </w:r>
      <w:r w:rsidR="00A23736">
        <w:t xml:space="preserve">the currency of preferred views may diminish over time, particularly in relation to bands due to expire in later tranches, such as ESLs in the 2 GHz band. </w:t>
      </w:r>
      <w:r w:rsidR="000F1802" w:rsidRPr="000F1802">
        <w:t>To ensure that we give all licensees the same levels of confidence, we will update, and consult on, preferred views as necessary.</w:t>
      </w:r>
    </w:p>
    <w:p w14:paraId="0CB638B1" w14:textId="35365956" w:rsidR="00D57398" w:rsidRDefault="00D57398" w:rsidP="00D57398">
      <w:pPr>
        <w:pStyle w:val="Heading2"/>
      </w:pPr>
      <w:bookmarkStart w:id="19" w:name="_Toc159360659"/>
      <w:bookmarkStart w:id="20" w:name="_Toc161756524"/>
      <w:r>
        <w:t>Guidance for all stakeholders</w:t>
      </w:r>
      <w:bookmarkEnd w:id="19"/>
      <w:bookmarkEnd w:id="20"/>
    </w:p>
    <w:p w14:paraId="45A996A6" w14:textId="19E0BF9B" w:rsidR="00D57398" w:rsidRDefault="00D57398" w:rsidP="00D57398">
      <w:pPr>
        <w:pStyle w:val="Paragraph"/>
        <w:rPr>
          <w:color w:val="000000" w:themeColor="text1"/>
        </w:rPr>
      </w:pPr>
      <w:r>
        <w:t xml:space="preserve">Overall, stakeholders should harness evidence and analysis that illustrate how their historical, current, and proposed use of the spectrum promotes the </w:t>
      </w:r>
      <w:r w:rsidRPr="10B661EB">
        <w:rPr>
          <w:color w:val="000000" w:themeColor="text1"/>
        </w:rPr>
        <w:t>long</w:t>
      </w:r>
      <w:r w:rsidR="350C9BC4" w:rsidRPr="10B661EB">
        <w:rPr>
          <w:color w:val="000000" w:themeColor="text1"/>
        </w:rPr>
        <w:t>-</w:t>
      </w:r>
      <w:r w:rsidRPr="10B661EB">
        <w:rPr>
          <w:color w:val="000000" w:themeColor="text1"/>
        </w:rPr>
        <w:t>term public interest derived from the use of the spectrum.</w:t>
      </w:r>
    </w:p>
    <w:p w14:paraId="16052890" w14:textId="00C14561" w:rsidR="00D57398" w:rsidRPr="00D62891" w:rsidRDefault="00D57398" w:rsidP="00D57398">
      <w:pPr>
        <w:pStyle w:val="Paragraph"/>
      </w:pPr>
      <w:r>
        <w:t xml:space="preserve">Incumbent licensees and prospective alternative </w:t>
      </w:r>
      <w:r w:rsidR="001539B2">
        <w:t xml:space="preserve">licensees </w:t>
      </w:r>
      <w:r>
        <w:t>are encouraged to frame their responses with reference to the public interest criteria and the guidance provided in our finalised framework paper</w:t>
      </w:r>
      <w:r w:rsidR="00F73C2C">
        <w:t xml:space="preserve"> (</w:t>
      </w:r>
      <w:r>
        <w:t xml:space="preserve">reproduced at </w:t>
      </w:r>
      <w:r w:rsidR="008043A4">
        <w:t>Appendix A</w:t>
      </w:r>
      <w:r w:rsidR="008F78BB">
        <w:t>)</w:t>
      </w:r>
      <w:r>
        <w:t xml:space="preserve">. </w:t>
      </w:r>
      <w:r w:rsidR="00384D23">
        <w:t>Stakeholders</w:t>
      </w:r>
      <w:r w:rsidDel="00384D23">
        <w:t xml:space="preserve"> </w:t>
      </w:r>
      <w:r w:rsidR="00B51D1E">
        <w:t>can also</w:t>
      </w:r>
      <w:r>
        <w:t xml:space="preserve"> provide additional evidence and analysis relating to other matters</w:t>
      </w:r>
      <w:r w:rsidR="004B31BA">
        <w:t>.</w:t>
      </w:r>
    </w:p>
    <w:p w14:paraId="5EF1D003" w14:textId="1264AA38" w:rsidR="00D57398" w:rsidRDefault="00D57398" w:rsidP="00D57398">
      <w:pPr>
        <w:pStyle w:val="Paragraph"/>
      </w:pPr>
      <w:r>
        <w:t xml:space="preserve">This approach </w:t>
      </w:r>
      <w:r w:rsidRPr="00D62891">
        <w:t>is broadly consistent with the previous ESL process</w:t>
      </w:r>
      <w:r>
        <w:t>,</w:t>
      </w:r>
      <w:r w:rsidDel="00C4415B">
        <w:t xml:space="preserve"> </w:t>
      </w:r>
      <w:r w:rsidR="00C4415B">
        <w:t>where</w:t>
      </w:r>
      <w:r>
        <w:t xml:space="preserve"> </w:t>
      </w:r>
      <w:r w:rsidRPr="00D62891">
        <w:t xml:space="preserve">each </w:t>
      </w:r>
      <w:r>
        <w:t>incumbent</w:t>
      </w:r>
      <w:r w:rsidR="00742CCD">
        <w:t xml:space="preserve"> licensee</w:t>
      </w:r>
      <w:r>
        <w:t xml:space="preserve"> </w:t>
      </w:r>
      <w:r w:rsidRPr="00D62891">
        <w:t xml:space="preserve">was asked to make a submission to the </w:t>
      </w:r>
      <w:r>
        <w:t>then m</w:t>
      </w:r>
      <w:r w:rsidRPr="00D62891">
        <w:t>inister’s consideration of the public interest.</w:t>
      </w:r>
      <w:r>
        <w:rPr>
          <w:rStyle w:val="FootnoteReference"/>
        </w:rPr>
        <w:footnoteReference w:id="9"/>
      </w:r>
      <w:r>
        <w:t xml:space="preserve"> A notable difference between that process and the current ESL process is that we are also seeking submissions from prospective alternative </w:t>
      </w:r>
      <w:r w:rsidR="00767FFE">
        <w:t xml:space="preserve">licensees </w:t>
      </w:r>
      <w:r>
        <w:t xml:space="preserve">to </w:t>
      </w:r>
      <w:r w:rsidR="00767FFE">
        <w:t xml:space="preserve">assist </w:t>
      </w:r>
      <w:r>
        <w:t xml:space="preserve">our consideration of whether alternative users and uses may promote the </w:t>
      </w:r>
      <w:r w:rsidR="00E55C96">
        <w:t xml:space="preserve">long-term </w:t>
      </w:r>
      <w:r>
        <w:t xml:space="preserve">public interest. </w:t>
      </w:r>
    </w:p>
    <w:p w14:paraId="7DC5E9AA" w14:textId="77777777" w:rsidR="00D57398" w:rsidRDefault="00D57398" w:rsidP="00D57398">
      <w:pPr>
        <w:pStyle w:val="Paragraph"/>
      </w:pPr>
      <w:r>
        <w:t xml:space="preserve">As indicated above, our preliminary views will draw on </w:t>
      </w:r>
      <w:proofErr w:type="gramStart"/>
      <w:r>
        <w:t>a number of</w:t>
      </w:r>
      <w:proofErr w:type="gramEnd"/>
      <w:r>
        <w:t xml:space="preserve"> other resources; stakeholders are encouraged to bring to our attention information and analysis that might not be available to us through those channels.</w:t>
      </w:r>
    </w:p>
    <w:p w14:paraId="2CA21226" w14:textId="40E1201A" w:rsidR="00D57398" w:rsidRDefault="00D57398" w:rsidP="00D57398">
      <w:pPr>
        <w:pStyle w:val="Paragraph"/>
      </w:pPr>
      <w:r>
        <w:t>We note that incumbent</w:t>
      </w:r>
      <w:r w:rsidR="004510B8">
        <w:t xml:space="preserve"> </w:t>
      </w:r>
      <w:r>
        <w:t xml:space="preserve">and prospective alternative </w:t>
      </w:r>
      <w:r w:rsidR="004510B8">
        <w:t xml:space="preserve">licensees </w:t>
      </w:r>
      <w:r>
        <w:t>may rely on a range of spectrum inputs outside of the spectrum covered by ESLs</w:t>
      </w:r>
      <w:r w:rsidR="0077625A">
        <w:t>, such as</w:t>
      </w:r>
      <w:r w:rsidDel="0077625A">
        <w:t xml:space="preserve"> </w:t>
      </w:r>
      <w:r>
        <w:t xml:space="preserve">apparatus or class licensed spectrum, or spectrum licensed under other spectrum licences </w:t>
      </w:r>
      <w:r w:rsidR="0077625A">
        <w:t xml:space="preserve">not subject to </w:t>
      </w:r>
      <w:r w:rsidR="0077625A">
        <w:lastRenderedPageBreak/>
        <w:t>the ESL process</w:t>
      </w:r>
      <w:r>
        <w:t xml:space="preserve">. We encourage stakeholders to highlight interactions between ESL and non-ESL spectrum. </w:t>
      </w:r>
    </w:p>
    <w:p w14:paraId="5C2416E6" w14:textId="277348AF" w:rsidR="00A93761" w:rsidRDefault="002700CE" w:rsidP="002700CE">
      <w:pPr>
        <w:pStyle w:val="Heading3"/>
      </w:pPr>
      <w:r>
        <w:t>Ministerial policy statement</w:t>
      </w:r>
    </w:p>
    <w:p w14:paraId="23B657C0" w14:textId="1FA407A6" w:rsidR="00C70C78" w:rsidRPr="002700CE" w:rsidRDefault="00AF4B9B" w:rsidP="002700CE">
      <w:pPr>
        <w:pStyle w:val="Paragraph"/>
      </w:pPr>
      <w:r>
        <w:t xml:space="preserve">In our December paper, and </w:t>
      </w:r>
      <w:r w:rsidR="00060255">
        <w:t xml:space="preserve">as reproduced at Appendix A, we indicated how we would incorporate the policy </w:t>
      </w:r>
      <w:r w:rsidR="00523750">
        <w:t xml:space="preserve">objectives that the minister is proposing to include in the MPS </w:t>
      </w:r>
      <w:r w:rsidR="00FC22E3">
        <w:t xml:space="preserve">into </w:t>
      </w:r>
      <w:r w:rsidR="002B55FA">
        <w:t xml:space="preserve">each of </w:t>
      </w:r>
      <w:r w:rsidR="00FC22E3">
        <w:t xml:space="preserve">our </w:t>
      </w:r>
      <w:r w:rsidR="006D5581">
        <w:t xml:space="preserve">public interest criteria. </w:t>
      </w:r>
      <w:r w:rsidR="009D1D66">
        <w:t xml:space="preserve">We note that the draft MPS would not apply to ESLs being used for </w:t>
      </w:r>
      <w:r w:rsidR="00CC5DD6">
        <w:t xml:space="preserve">ENG or for rail communications. </w:t>
      </w:r>
      <w:r w:rsidR="00C70C78">
        <w:t>We have provided</w:t>
      </w:r>
      <w:r w:rsidR="00C70C78" w:rsidDel="00CB645A">
        <w:t xml:space="preserve"> </w:t>
      </w:r>
      <w:r w:rsidR="004C7686">
        <w:t xml:space="preserve">additional guidance below </w:t>
      </w:r>
      <w:r w:rsidR="008960D6">
        <w:t xml:space="preserve">for </w:t>
      </w:r>
      <w:r w:rsidR="006B2A2A">
        <w:t>in</w:t>
      </w:r>
      <w:r w:rsidR="008857E0">
        <w:t xml:space="preserve">cumbent and prospective alternative </w:t>
      </w:r>
      <w:r w:rsidR="003C5C1C">
        <w:t xml:space="preserve">licensees </w:t>
      </w:r>
      <w:r w:rsidR="008857E0">
        <w:t xml:space="preserve">whose current or proposed use of the spectrum would be within the </w:t>
      </w:r>
      <w:r w:rsidR="003C41DA">
        <w:t xml:space="preserve">scope of the </w:t>
      </w:r>
      <w:r w:rsidR="008960D6">
        <w:t>MPS</w:t>
      </w:r>
      <w:r w:rsidR="00417B66">
        <w:t>.</w:t>
      </w:r>
    </w:p>
    <w:p w14:paraId="609F0B27" w14:textId="4FF8C922" w:rsidR="00D57398" w:rsidRDefault="00562B7A" w:rsidP="00D57398">
      <w:pPr>
        <w:pStyle w:val="Heading3"/>
      </w:pPr>
      <w:r>
        <w:t xml:space="preserve">Engaging </w:t>
      </w:r>
      <w:r w:rsidR="00A7512E">
        <w:t xml:space="preserve">with the </w:t>
      </w:r>
      <w:r w:rsidR="00D57398">
        <w:t>questions</w:t>
      </w:r>
    </w:p>
    <w:p w14:paraId="507BBEB8" w14:textId="77777777" w:rsidR="00D57398" w:rsidRPr="005A0160" w:rsidRDefault="00D57398" w:rsidP="00D57398">
      <w:pPr>
        <w:pStyle w:val="Paragraph"/>
      </w:pPr>
      <w:r w:rsidRPr="005A0160">
        <w:t xml:space="preserve">We are requesting information on a voluntary basis, and stakeholders may elect to engage with some </w:t>
      </w:r>
      <w:r>
        <w:t>questions or elements</w:t>
      </w:r>
      <w:r w:rsidRPr="005A0160">
        <w:t xml:space="preserve"> more than others. </w:t>
      </w:r>
    </w:p>
    <w:p w14:paraId="365073BC" w14:textId="3187F6E2" w:rsidR="00D57398" w:rsidRPr="005A0160" w:rsidRDefault="00D57398" w:rsidP="00D57398">
      <w:pPr>
        <w:pStyle w:val="Paragraph"/>
      </w:pPr>
      <w:r w:rsidRPr="005A0160">
        <w:t>As noted in our finalised framework paper, some current and prospective use</w:t>
      </w:r>
      <w:r w:rsidR="00C45933">
        <w:t>s</w:t>
      </w:r>
      <w:r w:rsidRPr="005A0160">
        <w:t xml:space="preserve"> and use</w:t>
      </w:r>
      <w:r w:rsidR="00C45933">
        <w:t>r</w:t>
      </w:r>
      <w:r w:rsidRPr="005A0160">
        <w:t xml:space="preserve">s of the spectrum will interact with certain public interest criteria more than others. We remind stakeholders that the public interest criteria are not a ‘test’ that an incumbent or a prospective alternative </w:t>
      </w:r>
      <w:r w:rsidR="00E225F3">
        <w:t>licensee</w:t>
      </w:r>
      <w:r w:rsidR="00E225F3" w:rsidRPr="005A0160">
        <w:t xml:space="preserve"> </w:t>
      </w:r>
      <w:r w:rsidRPr="005A0160">
        <w:t xml:space="preserve">could </w:t>
      </w:r>
      <w:r>
        <w:t>either ‘</w:t>
      </w:r>
      <w:r w:rsidRPr="005A0160">
        <w:t>pass</w:t>
      </w:r>
      <w:r>
        <w:t>’</w:t>
      </w:r>
      <w:r w:rsidRPr="005A0160">
        <w:t xml:space="preserve"> or </w:t>
      </w:r>
      <w:r>
        <w:t>‘</w:t>
      </w:r>
      <w:r w:rsidRPr="005A0160">
        <w:t>fail</w:t>
      </w:r>
      <w:r>
        <w:t>.’</w:t>
      </w:r>
      <w:r w:rsidRPr="005A0160">
        <w:t xml:space="preserve"> Rather, the criteria are intended to capture key elements of the public interest considerations. </w:t>
      </w:r>
    </w:p>
    <w:p w14:paraId="4774B36F" w14:textId="48170EAC" w:rsidR="00D57398" w:rsidRPr="005A0160" w:rsidRDefault="00D57398" w:rsidP="00D57398">
      <w:pPr>
        <w:pStyle w:val="Paragraph"/>
      </w:pPr>
      <w:r w:rsidRPr="005A0160">
        <w:t xml:space="preserve">Stakeholders should refer to the </w:t>
      </w:r>
      <w:r>
        <w:t xml:space="preserve">issues and </w:t>
      </w:r>
      <w:r w:rsidRPr="005A0160">
        <w:t xml:space="preserve">guidance </w:t>
      </w:r>
      <w:r>
        <w:t xml:space="preserve">at </w:t>
      </w:r>
      <w:r w:rsidR="008043A4">
        <w:t>Appendix A</w:t>
      </w:r>
      <w:r>
        <w:t xml:space="preserve"> </w:t>
      </w:r>
      <w:r w:rsidR="00A54F7E">
        <w:t>for</w:t>
      </w:r>
      <w:r w:rsidRPr="005A0160">
        <w:t xml:space="preserve"> how their current or proposed use might interact with specific </w:t>
      </w:r>
      <w:r w:rsidR="00BB7D37">
        <w:t xml:space="preserve">public interest </w:t>
      </w:r>
      <w:r w:rsidRPr="005A0160">
        <w:t>criteria.</w:t>
      </w:r>
    </w:p>
    <w:p w14:paraId="5C521DA7" w14:textId="77777777" w:rsidR="00D57398" w:rsidRPr="00AA4BF2" w:rsidRDefault="00D57398" w:rsidP="00D57398">
      <w:pPr>
        <w:pStyle w:val="Heading3"/>
      </w:pPr>
      <w:r w:rsidRPr="00AA4BF2">
        <w:t>Preference for non-commercial-in-confidence information</w:t>
      </w:r>
    </w:p>
    <w:p w14:paraId="55486AC8" w14:textId="106AC9CA" w:rsidR="00D57398" w:rsidRDefault="00D57398" w:rsidP="00F5401E">
      <w:pPr>
        <w:pStyle w:val="Paragraph"/>
      </w:pPr>
      <w:r>
        <w:t xml:space="preserve">The ESL process has been designed to provide transparency for incumbents, prospective alternative </w:t>
      </w:r>
      <w:r w:rsidR="00643C27">
        <w:t>licensees</w:t>
      </w:r>
      <w:r>
        <w:t>, and interested stakeholders.</w:t>
      </w:r>
    </w:p>
    <w:p w14:paraId="56354FB3" w14:textId="047FCA3A" w:rsidR="00D57398" w:rsidRDefault="00D57398" w:rsidP="00F5401E">
      <w:pPr>
        <w:pStyle w:val="Paragraph"/>
      </w:pPr>
      <w:r>
        <w:t xml:space="preserve">While decisions on individual renewal applications will need to be considered by the ACMA and communicated to applicants, the consultation on and finalisation of preliminary and preferred views at stages 3 and 4 of the ESL </w:t>
      </w:r>
      <w:r w:rsidR="00E55C96">
        <w:t xml:space="preserve">process </w:t>
      </w:r>
      <w:r w:rsidR="00F64AA5">
        <w:t>will</w:t>
      </w:r>
      <w:r>
        <w:t xml:space="preserve"> provide a high degree of transparency </w:t>
      </w:r>
      <w:r w:rsidR="00F60374">
        <w:t xml:space="preserve">on </w:t>
      </w:r>
      <w:r>
        <w:t>how the ACMA has formed those views.</w:t>
      </w:r>
    </w:p>
    <w:p w14:paraId="563F6616" w14:textId="2533406E" w:rsidR="00D57398" w:rsidRDefault="00D57398" w:rsidP="00F5401E">
      <w:pPr>
        <w:pStyle w:val="Paragraph"/>
      </w:pPr>
      <w:r>
        <w:t xml:space="preserve">Information we can refer </w:t>
      </w:r>
      <w:r w:rsidR="007A6BF2">
        <w:t>to</w:t>
      </w:r>
      <w:r>
        <w:t xml:space="preserve"> publicly will assist us in providing high levels of transparency for all stakeholders. We ask that submissions to the information</w:t>
      </w:r>
      <w:r w:rsidR="004D4A15">
        <w:t>-</w:t>
      </w:r>
      <w:r>
        <w:t>gathering exercise keep commercial-in-confidence information to a necessary minimum.</w:t>
      </w:r>
    </w:p>
    <w:p w14:paraId="593C2E96" w14:textId="1DB50621" w:rsidR="00D57398" w:rsidRDefault="00D57398" w:rsidP="00D57398">
      <w:pPr>
        <w:pStyle w:val="Heading2"/>
      </w:pPr>
      <w:bookmarkStart w:id="21" w:name="_Toc159360660"/>
      <w:bookmarkStart w:id="22" w:name="_Toc161756525"/>
      <w:r>
        <w:t>Guidance for incumbent licensees</w:t>
      </w:r>
      <w:bookmarkEnd w:id="21"/>
      <w:bookmarkEnd w:id="22"/>
    </w:p>
    <w:p w14:paraId="74D40D1A" w14:textId="706CE733" w:rsidR="00D57398" w:rsidRDefault="00D57398" w:rsidP="00D57398">
      <w:pPr>
        <w:pStyle w:val="Paragraph"/>
      </w:pPr>
      <w:r>
        <w:t>As we noted in our finalised framework paper, the Act does not provide for a presumption of renewal and all decisions</w:t>
      </w:r>
      <w:r w:rsidR="00D57D9A">
        <w:t xml:space="preserve"> on </w:t>
      </w:r>
      <w:r w:rsidR="00087B64">
        <w:t xml:space="preserve">renewal applications </w:t>
      </w:r>
      <w:r>
        <w:t>must be made on their relative merits</w:t>
      </w:r>
      <w:r w:rsidR="00404736">
        <w:t>.</w:t>
      </w:r>
      <w:r w:rsidR="003C281E">
        <w:t xml:space="preserve"> </w:t>
      </w:r>
      <w:r w:rsidR="00404736">
        <w:t>T</w:t>
      </w:r>
      <w:r>
        <w:t>his is reflected in the ESL process.</w:t>
      </w:r>
    </w:p>
    <w:p w14:paraId="06078BC5" w14:textId="5719018C" w:rsidR="00D57398" w:rsidRDefault="00D57398" w:rsidP="00D57398">
      <w:pPr>
        <w:pStyle w:val="Paragraph"/>
      </w:pPr>
      <w:r>
        <w:t>While incumbent</w:t>
      </w:r>
      <w:r w:rsidR="00896635">
        <w:t xml:space="preserve"> licensee</w:t>
      </w:r>
      <w:r>
        <w:t xml:space="preserve">s </w:t>
      </w:r>
      <w:r w:rsidR="007849AD">
        <w:t>can</w:t>
      </w:r>
      <w:r>
        <w:t xml:space="preserve"> </w:t>
      </w:r>
      <w:r w:rsidR="00D52B6C">
        <w:t>apply</w:t>
      </w:r>
      <w:r>
        <w:t xml:space="preserve"> for renewal, the information</w:t>
      </w:r>
      <w:r w:rsidR="00BE1423" w:rsidRPr="000B21F4">
        <w:t>-</w:t>
      </w:r>
      <w:r>
        <w:t>gathering exercise presents a</w:t>
      </w:r>
      <w:r w:rsidR="00FA6BEC">
        <w:t>n</w:t>
      </w:r>
      <w:r>
        <w:t xml:space="preserve"> opportunity for incumbent</w:t>
      </w:r>
      <w:r w:rsidR="00896635">
        <w:t xml:space="preserve"> licensee</w:t>
      </w:r>
      <w:r>
        <w:t>s to engage with, and</w:t>
      </w:r>
      <w:r w:rsidR="00953B01">
        <w:t xml:space="preserve"> </w:t>
      </w:r>
      <w:r>
        <w:t xml:space="preserve">inform the development of, the policy and decision-making framework in which applications for renewal will be considered. </w:t>
      </w:r>
    </w:p>
    <w:p w14:paraId="6A89B8A4" w14:textId="21EBC14E" w:rsidR="00D57398" w:rsidRDefault="00D57398" w:rsidP="00D57398">
      <w:pPr>
        <w:pStyle w:val="Paragraph"/>
      </w:pPr>
      <w:r>
        <w:t xml:space="preserve">Many ESLs </w:t>
      </w:r>
      <w:r w:rsidR="002B6037">
        <w:t xml:space="preserve">will </w:t>
      </w:r>
      <w:r>
        <w:t>have been in force for 15 years</w:t>
      </w:r>
      <w:r w:rsidR="002B6037">
        <w:t xml:space="preserve"> at expiry</w:t>
      </w:r>
      <w:r>
        <w:t>, and some have been renewed before. Over that time, many incumbent</w:t>
      </w:r>
      <w:r w:rsidR="00953B01">
        <w:t xml:space="preserve"> licensee</w:t>
      </w:r>
      <w:r>
        <w:t xml:space="preserve">s have adapted their use </w:t>
      </w:r>
      <w:r w:rsidR="00E55C96">
        <w:t>o</w:t>
      </w:r>
      <w:r>
        <w:t>f the spectrum and evolved their strategies, in some cases across multiple generations of technologies.</w:t>
      </w:r>
    </w:p>
    <w:p w14:paraId="407D4EA2" w14:textId="24C7B99B" w:rsidR="00D57398" w:rsidRDefault="00D57398" w:rsidP="00D57398">
      <w:pPr>
        <w:pStyle w:val="Paragraph"/>
      </w:pPr>
      <w:r>
        <w:lastRenderedPageBreak/>
        <w:t>Incumbent</w:t>
      </w:r>
      <w:r w:rsidR="00B43F20">
        <w:t xml:space="preserve"> licen</w:t>
      </w:r>
      <w:r>
        <w:t>s</w:t>
      </w:r>
      <w:r w:rsidR="00B43F20">
        <w:t>ees</w:t>
      </w:r>
      <w:r>
        <w:t xml:space="preserve"> are therefore in a unique position to draw on historical data, as well as current and emerging trends, to assist us </w:t>
      </w:r>
      <w:r w:rsidR="008B361B">
        <w:t xml:space="preserve">to </w:t>
      </w:r>
      <w:r>
        <w:t>exam</w:t>
      </w:r>
      <w:r w:rsidR="00DF5841">
        <w:t>ine</w:t>
      </w:r>
      <w:r>
        <w:t xml:space="preserve"> the long-term public interest to be derived from the spectrum.</w:t>
      </w:r>
    </w:p>
    <w:p w14:paraId="223E7BA3" w14:textId="2E48672D" w:rsidR="00D57398" w:rsidRPr="00ED2B59" w:rsidRDefault="00D57398" w:rsidP="00D57398">
      <w:pPr>
        <w:pStyle w:val="Paragraph"/>
      </w:pPr>
      <w:r w:rsidRPr="00ED2B59">
        <w:t>Note that requests for information relating to current and planned use of the spectrum should be taken to include 2024</w:t>
      </w:r>
      <w:r w:rsidR="00B118CA">
        <w:t>,</w:t>
      </w:r>
      <w:r w:rsidRPr="00ED2B59">
        <w:t xml:space="preserve"> up until licence expiry, and any longer-term plans</w:t>
      </w:r>
      <w:r w:rsidR="00430634">
        <w:t>, should</w:t>
      </w:r>
      <w:r w:rsidRPr="00ED2B59">
        <w:t xml:space="preserve"> licences</w:t>
      </w:r>
      <w:r w:rsidRPr="00ED2B59" w:rsidDel="00430634">
        <w:t xml:space="preserve"> </w:t>
      </w:r>
      <w:r w:rsidR="00430634">
        <w:t xml:space="preserve">be </w:t>
      </w:r>
      <w:r w:rsidRPr="00ED2B59">
        <w:t xml:space="preserve">renewed. </w:t>
      </w:r>
    </w:p>
    <w:p w14:paraId="5219ED70" w14:textId="6D92EBF1" w:rsidR="00D57398" w:rsidRDefault="00D57398" w:rsidP="00545CD2">
      <w:pPr>
        <w:pStyle w:val="Heading2"/>
      </w:pPr>
      <w:bookmarkStart w:id="23" w:name="_Toc161756526"/>
      <w:r>
        <w:t>Information requested</w:t>
      </w:r>
      <w:r w:rsidR="00F85D68">
        <w:t xml:space="preserve"> from incumbent </w:t>
      </w:r>
      <w:proofErr w:type="gramStart"/>
      <w:r w:rsidR="00F85D68">
        <w:t>licensees</w:t>
      </w:r>
      <w:bookmarkEnd w:id="23"/>
      <w:proofErr w:type="gramEnd"/>
    </w:p>
    <w:p w14:paraId="055A8C4D" w14:textId="5C779586" w:rsidR="001C7E98" w:rsidRDefault="001C7E98" w:rsidP="00545CD2">
      <w:pPr>
        <w:pStyle w:val="Heading3"/>
      </w:pPr>
      <w:r>
        <w:t>Public interest criteri</w:t>
      </w:r>
      <w:r w:rsidR="00CB109A">
        <w:t>on</w:t>
      </w:r>
      <w:r>
        <w:t xml:space="preserve"> 1: facilitates </w:t>
      </w:r>
      <w:proofErr w:type="gramStart"/>
      <w:r>
        <w:t>efficiency</w:t>
      </w:r>
      <w:proofErr w:type="gramEnd"/>
    </w:p>
    <w:p w14:paraId="7DC51254" w14:textId="77777777" w:rsidR="001C7E98" w:rsidRDefault="001C7E98" w:rsidP="00545CD2">
      <w:pPr>
        <w:pStyle w:val="Paragraph"/>
      </w:pPr>
      <w:r>
        <w:t>How does your current and planned use of the spectrum facilitate efficiency?</w:t>
      </w:r>
    </w:p>
    <w:p w14:paraId="0C5D0EBD" w14:textId="2CAB47BB" w:rsidR="001C7E98" w:rsidRDefault="001C7E98" w:rsidP="00545CD2">
      <w:pPr>
        <w:pStyle w:val="Paragraphbeforelist"/>
      </w:pPr>
      <w:r>
        <w:t xml:space="preserve">In addition to submissions that engage with the issues and guidance at </w:t>
      </w:r>
      <w:r w:rsidR="008043A4">
        <w:t>Appendix A</w:t>
      </w:r>
      <w:r>
        <w:t>, we are seeking evidence and analysis relating to:</w:t>
      </w:r>
    </w:p>
    <w:p w14:paraId="690B23A0" w14:textId="77777777" w:rsidR="001C7E98" w:rsidRPr="00374D6B" w:rsidRDefault="001C7E98" w:rsidP="001B4C0F">
      <w:pPr>
        <w:pStyle w:val="Bulletlevel1"/>
      </w:pPr>
      <w:r w:rsidRPr="00374D6B">
        <w:t>productive, allocative and dynamic efficient uses and outcomes</w:t>
      </w:r>
    </w:p>
    <w:p w14:paraId="6B62AF74" w14:textId="07946ED8" w:rsidR="001C7E98" w:rsidRPr="00374D6B" w:rsidRDefault="001C7E98" w:rsidP="001B4C0F">
      <w:pPr>
        <w:pStyle w:val="Bulletlevel1"/>
      </w:pPr>
      <w:r w:rsidRPr="00374D6B">
        <w:t>evolving use of the spectrum over</w:t>
      </w:r>
      <w:r w:rsidR="00720B1C" w:rsidRPr="00374D6B">
        <w:t xml:space="preserve"> the current and </w:t>
      </w:r>
      <w:r w:rsidR="00425E0A" w:rsidRPr="00374D6B">
        <w:t xml:space="preserve">potential </w:t>
      </w:r>
      <w:r w:rsidR="00720B1C" w:rsidRPr="00374D6B">
        <w:t>future</w:t>
      </w:r>
      <w:r w:rsidRPr="00374D6B">
        <w:t xml:space="preserve"> licence term</w:t>
      </w:r>
    </w:p>
    <w:p w14:paraId="43F1D86C" w14:textId="77777777" w:rsidR="001C7E98" w:rsidRPr="00374D6B" w:rsidRDefault="001C7E98" w:rsidP="001B4C0F">
      <w:pPr>
        <w:pStyle w:val="Bulletlevel1"/>
      </w:pPr>
      <w:r w:rsidRPr="00374D6B">
        <w:t>current and planned services provided, including the technology and bands used, geographic availability, and whether providing coverage or capacity/</w:t>
      </w:r>
      <w:proofErr w:type="gramStart"/>
      <w:r w:rsidRPr="00374D6B">
        <w:t>infill</w:t>
      </w:r>
      <w:proofErr w:type="gramEnd"/>
      <w:r w:rsidRPr="00374D6B">
        <w:t xml:space="preserve"> </w:t>
      </w:r>
    </w:p>
    <w:p w14:paraId="300874A3" w14:textId="5886546C" w:rsidR="001C7E98" w:rsidRPr="00374D6B" w:rsidRDefault="001C7E98" w:rsidP="001B4C0F">
      <w:pPr>
        <w:pStyle w:val="Bulletlevel1"/>
      </w:pPr>
      <w:r w:rsidRPr="00374D6B">
        <w:t>third</w:t>
      </w:r>
      <w:r w:rsidR="007E7835" w:rsidRPr="00374D6B">
        <w:t>-</w:t>
      </w:r>
      <w:r w:rsidRPr="00374D6B">
        <w:t xml:space="preserve">party or sharing arrangements currently in place or under active consideration, including those </w:t>
      </w:r>
      <w:r w:rsidR="002258C1" w:rsidRPr="00374D6B">
        <w:t>that may</w:t>
      </w:r>
      <w:r w:rsidR="008D5EFD" w:rsidRPr="00374D6B">
        <w:t xml:space="preserve"> be</w:t>
      </w:r>
      <w:r w:rsidR="008D5EFD" w:rsidRPr="00374D6B" w:rsidDel="009F514A">
        <w:t xml:space="preserve"> </w:t>
      </w:r>
      <w:r w:rsidRPr="00374D6B">
        <w:t xml:space="preserve">in place with another spectrum </w:t>
      </w:r>
      <w:proofErr w:type="gramStart"/>
      <w:r w:rsidRPr="00374D6B">
        <w:t>licensee</w:t>
      </w:r>
      <w:proofErr w:type="gramEnd"/>
      <w:r w:rsidRPr="00374D6B">
        <w:t xml:space="preserve">  </w:t>
      </w:r>
    </w:p>
    <w:p w14:paraId="4F6F5D0B" w14:textId="53B815F0" w:rsidR="001C7E98" w:rsidRPr="00D562A4" w:rsidRDefault="001C7E98" w:rsidP="001B4C0F">
      <w:pPr>
        <w:pStyle w:val="Bulletlevel1"/>
      </w:pPr>
      <w:r w:rsidRPr="00374D6B">
        <w:t>anticipated trading</w:t>
      </w:r>
      <w:r w:rsidRPr="00D562A4">
        <w:t xml:space="preserve"> or acquisition of spectrum through the secondary market  </w:t>
      </w:r>
    </w:p>
    <w:p w14:paraId="0BE7968F" w14:textId="6208F7D7" w:rsidR="002D3E56" w:rsidRPr="00D562A4" w:rsidRDefault="001C7E98" w:rsidP="001B4C0F">
      <w:pPr>
        <w:pStyle w:val="Bulletlevel1"/>
      </w:pPr>
      <w:r w:rsidRPr="00D562A4">
        <w:t xml:space="preserve">issues with current planning, licensing or technical arrangements that prevent efficient use of the </w:t>
      </w:r>
      <w:proofErr w:type="gramStart"/>
      <w:r w:rsidRPr="00D562A4">
        <w:t>spectrum</w:t>
      </w:r>
      <w:proofErr w:type="gramEnd"/>
      <w:r w:rsidR="00C72CE1">
        <w:t xml:space="preserve"> </w:t>
      </w:r>
    </w:p>
    <w:p w14:paraId="7E5141F0" w14:textId="07CBF255" w:rsidR="001C7E98" w:rsidRPr="00D562A4" w:rsidRDefault="00924662" w:rsidP="001B4C0F">
      <w:pPr>
        <w:pStyle w:val="Bulletlevel1last"/>
      </w:pPr>
      <w:r w:rsidRPr="00D562A4">
        <w:t xml:space="preserve">how </w:t>
      </w:r>
      <w:r w:rsidR="008C1725" w:rsidRPr="00D562A4">
        <w:t xml:space="preserve">current and proposed </w:t>
      </w:r>
      <w:r w:rsidR="00A47B05">
        <w:t xml:space="preserve">future </w:t>
      </w:r>
      <w:r w:rsidR="008C1725" w:rsidRPr="00D562A4">
        <w:t xml:space="preserve">uses of the spectrum could </w:t>
      </w:r>
      <w:r w:rsidR="002B2747" w:rsidRPr="00D562A4">
        <w:t xml:space="preserve">align with the objective in the MPS to </w:t>
      </w:r>
      <w:r w:rsidR="008C1725" w:rsidRPr="00D562A4">
        <w:t>facilitate opportunities for new entrants and use</w:t>
      </w:r>
      <w:r w:rsidR="0022165E">
        <w:t xml:space="preserve"> </w:t>
      </w:r>
      <w:r w:rsidR="008C1725" w:rsidRPr="00D562A4">
        <w:t>cases, including for LEOsats, noting that new entrants and use</w:t>
      </w:r>
      <w:r w:rsidR="0022165E">
        <w:t xml:space="preserve"> </w:t>
      </w:r>
      <w:r w:rsidR="008C1725" w:rsidRPr="00D562A4">
        <w:t>cases</w:t>
      </w:r>
      <w:r w:rsidR="008C1725" w:rsidRPr="00D562A4" w:rsidDel="000466BA">
        <w:t xml:space="preserve"> </w:t>
      </w:r>
      <w:r w:rsidR="008C1725" w:rsidRPr="00D562A4">
        <w:t xml:space="preserve">could use spectrum covered by ESLs in ways that are </w:t>
      </w:r>
      <w:r w:rsidR="006727C6">
        <w:t xml:space="preserve">more </w:t>
      </w:r>
      <w:r w:rsidR="008C1725" w:rsidRPr="00D562A4">
        <w:t>efficient, and generate economic value and social benefits</w:t>
      </w:r>
      <w:r w:rsidR="001C7E98" w:rsidRPr="00D562A4">
        <w:t>.</w:t>
      </w:r>
    </w:p>
    <w:p w14:paraId="0E5B9751" w14:textId="17C15F29" w:rsidR="001C7E98" w:rsidRDefault="001C7E98" w:rsidP="00545CD2">
      <w:pPr>
        <w:pStyle w:val="Heading3"/>
      </w:pPr>
      <w:r>
        <w:t>Public interest criteri</w:t>
      </w:r>
      <w:r w:rsidR="00616092">
        <w:t>on</w:t>
      </w:r>
      <w:r>
        <w:t xml:space="preserve"> 2: promotes investment and </w:t>
      </w:r>
      <w:proofErr w:type="gramStart"/>
      <w:r>
        <w:t>innovation</w:t>
      </w:r>
      <w:proofErr w:type="gramEnd"/>
    </w:p>
    <w:p w14:paraId="6AC8AD1B" w14:textId="77777777" w:rsidR="001C7E98" w:rsidRDefault="001C7E98" w:rsidP="001C7E98">
      <w:r>
        <w:t>How does your current and planned use of the spectrum promote investment and innovation?</w:t>
      </w:r>
    </w:p>
    <w:p w14:paraId="2FA5C4DE" w14:textId="629ABED5" w:rsidR="001C7E98" w:rsidRDefault="001C7E98" w:rsidP="00545CD2">
      <w:pPr>
        <w:pStyle w:val="Paragraphbeforelist"/>
      </w:pPr>
      <w:r>
        <w:t xml:space="preserve">In addition to submissions that engage with the issues and guidance at </w:t>
      </w:r>
      <w:r w:rsidR="008043A4">
        <w:t>Appendix A</w:t>
      </w:r>
      <w:r>
        <w:t>, we are seeking evidence and analysis relating to:</w:t>
      </w:r>
    </w:p>
    <w:p w14:paraId="057E4D65" w14:textId="1769D958" w:rsidR="001C7E98" w:rsidRPr="00D562A4" w:rsidRDefault="001C7E98" w:rsidP="001B4C0F">
      <w:pPr>
        <w:pStyle w:val="Bulletlevel1"/>
      </w:pPr>
      <w:r w:rsidRPr="00D562A4">
        <w:t xml:space="preserve">current and planned investment in equipment and </w:t>
      </w:r>
      <w:r w:rsidRPr="00374D6B">
        <w:t>infrastructure</w:t>
      </w:r>
      <w:r w:rsidRPr="00D562A4">
        <w:t xml:space="preserve"> to make use of the spectrum, including, but not limited to, base stations and underlying network </w:t>
      </w:r>
      <w:proofErr w:type="gramStart"/>
      <w:r w:rsidRPr="00D562A4">
        <w:t>infrastructure</w:t>
      </w:r>
      <w:proofErr w:type="gramEnd"/>
      <w:r w:rsidRPr="00D562A4">
        <w:t xml:space="preserve"> </w:t>
      </w:r>
    </w:p>
    <w:p w14:paraId="6AA6C0DC" w14:textId="277C4E2B" w:rsidR="00932A3E" w:rsidRPr="00D562A4" w:rsidRDefault="001C7E98" w:rsidP="001B4C0F">
      <w:pPr>
        <w:pStyle w:val="Bulletlevel1"/>
      </w:pPr>
      <w:r w:rsidRPr="00D562A4">
        <w:t xml:space="preserve">current and planned new business cases involving use of the </w:t>
      </w:r>
      <w:proofErr w:type="gramStart"/>
      <w:r w:rsidRPr="00D562A4">
        <w:t>spectrum</w:t>
      </w:r>
      <w:proofErr w:type="gramEnd"/>
    </w:p>
    <w:p w14:paraId="7C58801D" w14:textId="6C4F3AE4" w:rsidR="00F13F8D" w:rsidRPr="00D562A4" w:rsidRDefault="00CB00D9" w:rsidP="001B4C0F">
      <w:pPr>
        <w:pStyle w:val="Bulletlevel1"/>
      </w:pPr>
      <w:r w:rsidRPr="00D562A4">
        <w:t>how current and proposed</w:t>
      </w:r>
      <w:r w:rsidR="00D07615">
        <w:t xml:space="preserve"> future</w:t>
      </w:r>
      <w:r w:rsidRPr="00D562A4">
        <w:t xml:space="preserve"> uses o</w:t>
      </w:r>
      <w:r w:rsidR="002C43F8" w:rsidRPr="00D562A4">
        <w:t>f</w:t>
      </w:r>
      <w:r w:rsidRPr="00D562A4">
        <w:t xml:space="preserve"> the spectrum could </w:t>
      </w:r>
      <w:r w:rsidR="00216D6D" w:rsidRPr="00D562A4">
        <w:t xml:space="preserve">align with the </w:t>
      </w:r>
      <w:r w:rsidR="00775BDA" w:rsidRPr="00D562A4">
        <w:t>objectives in the MPS relating to</w:t>
      </w:r>
      <w:r w:rsidR="00AC6E71" w:rsidRPr="00D562A4">
        <w:t>:</w:t>
      </w:r>
      <w:r w:rsidR="00775BDA" w:rsidRPr="00D562A4">
        <w:t xml:space="preserve"> </w:t>
      </w:r>
    </w:p>
    <w:p w14:paraId="4EEE0CEF" w14:textId="58C95028" w:rsidR="00F13F8D" w:rsidRDefault="00775BDA" w:rsidP="004431FE">
      <w:pPr>
        <w:pStyle w:val="Bulletlevel2"/>
        <w:ind w:left="590" w:hanging="295"/>
      </w:pPr>
      <w:r>
        <w:t>capacity for sustained investment and innovation</w:t>
      </w:r>
      <w:r w:rsidR="00671700">
        <w:t xml:space="preserve">, </w:t>
      </w:r>
      <w:r w:rsidR="00975C14">
        <w:t>with reference to existing investments</w:t>
      </w:r>
      <w:r w:rsidR="001430CA">
        <w:t xml:space="preserve">, and how licence conditions could enable licence holders to be responsive to new demands, opportunities and </w:t>
      </w:r>
      <w:proofErr w:type="gramStart"/>
      <w:r w:rsidR="001430CA">
        <w:t>technologies</w:t>
      </w:r>
      <w:proofErr w:type="gramEnd"/>
    </w:p>
    <w:p w14:paraId="596BDFE0" w14:textId="68DF783F" w:rsidR="001C7E98" w:rsidRDefault="00D47443" w:rsidP="004431FE">
      <w:pPr>
        <w:pStyle w:val="Bulletlevel2"/>
        <w:ind w:left="590" w:hanging="295"/>
      </w:pPr>
      <w:r>
        <w:t xml:space="preserve">connectivity and investment in regional areas to deliver improved </w:t>
      </w:r>
      <w:r w:rsidR="005D4112">
        <w:t xml:space="preserve">communications </w:t>
      </w:r>
      <w:r>
        <w:t>services to end users</w:t>
      </w:r>
      <w:r w:rsidR="001430CA">
        <w:t xml:space="preserve">, </w:t>
      </w:r>
      <w:r w:rsidR="006932DD">
        <w:t>with</w:t>
      </w:r>
      <w:r w:rsidR="00571BA1">
        <w:t xml:space="preserve"> reference</w:t>
      </w:r>
      <w:r w:rsidR="005F16FD">
        <w:t xml:space="preserve"> to</w:t>
      </w:r>
      <w:r w:rsidR="005F440F">
        <w:t xml:space="preserve"> an </w:t>
      </w:r>
      <w:r w:rsidR="005F440F" w:rsidRPr="002552B5">
        <w:t xml:space="preserve">increased availability and choice of services for end users, </w:t>
      </w:r>
      <w:proofErr w:type="gramStart"/>
      <w:r w:rsidR="005F440F" w:rsidRPr="002552B5">
        <w:t>in particular for</w:t>
      </w:r>
      <w:proofErr w:type="gramEnd"/>
      <w:r w:rsidR="005F440F" w:rsidRPr="002552B5">
        <w:t xml:space="preserve"> end users with limited options under existing arrangements</w:t>
      </w:r>
      <w:r w:rsidR="005F440F">
        <w:t>;</w:t>
      </w:r>
      <w:r w:rsidR="005F440F" w:rsidRPr="002552B5">
        <w:t xml:space="preserve"> voice and data mobile network coverage</w:t>
      </w:r>
      <w:r w:rsidR="005F440F">
        <w:t>; and</w:t>
      </w:r>
      <w:r w:rsidR="005F440F" w:rsidRPr="002552B5">
        <w:t xml:space="preserve"> access to high-speed data services</w:t>
      </w:r>
      <w:r w:rsidR="008F6B7B" w:rsidRPr="002552B5">
        <w:t>.</w:t>
      </w:r>
    </w:p>
    <w:p w14:paraId="1A787975" w14:textId="706C72AC" w:rsidR="001C7E98" w:rsidRDefault="001C7E98" w:rsidP="004C33A7">
      <w:pPr>
        <w:pStyle w:val="Heading3"/>
      </w:pPr>
      <w:r>
        <w:lastRenderedPageBreak/>
        <w:t>Public interest criteri</w:t>
      </w:r>
      <w:r w:rsidR="00616092">
        <w:t>on</w:t>
      </w:r>
      <w:r>
        <w:t xml:space="preserve"> 3: enhances </w:t>
      </w:r>
      <w:proofErr w:type="gramStart"/>
      <w:r>
        <w:t>competition</w:t>
      </w:r>
      <w:proofErr w:type="gramEnd"/>
    </w:p>
    <w:p w14:paraId="1AD83242" w14:textId="08498EAF" w:rsidR="001C7E98" w:rsidRDefault="001C7E98" w:rsidP="005B0711">
      <w:pPr>
        <w:keepNext/>
      </w:pPr>
      <w:r>
        <w:t xml:space="preserve">How does </w:t>
      </w:r>
      <w:r w:rsidR="009E6DE8">
        <w:t xml:space="preserve">your </w:t>
      </w:r>
      <w:r>
        <w:t>current and planned use of the spectrum enhance competition?</w:t>
      </w:r>
    </w:p>
    <w:p w14:paraId="730CBCA7" w14:textId="147103BF" w:rsidR="001C7E98" w:rsidRDefault="001C7E98" w:rsidP="005B0711">
      <w:pPr>
        <w:pStyle w:val="Paragraphbeforelist"/>
        <w:keepNext/>
      </w:pPr>
      <w:r>
        <w:t xml:space="preserve">In addition to submissions that engage with the issues and guidance at </w:t>
      </w:r>
      <w:r w:rsidR="008043A4">
        <w:t>Appendix A</w:t>
      </w:r>
      <w:r>
        <w:t>, we are seeking evidence and analysis relating to:</w:t>
      </w:r>
    </w:p>
    <w:p w14:paraId="4AAE5917" w14:textId="069C0D65" w:rsidR="001C7E98" w:rsidRPr="006F0553" w:rsidRDefault="001C7E98" w:rsidP="005B0711">
      <w:pPr>
        <w:pStyle w:val="Bulletlevel1"/>
        <w:keepNext/>
      </w:pPr>
      <w:r w:rsidRPr="006F0553">
        <w:t xml:space="preserve">business strategies that </w:t>
      </w:r>
      <w:r w:rsidR="000B6C35" w:rsidRPr="006F0553">
        <w:t xml:space="preserve">are </w:t>
      </w:r>
      <w:r w:rsidRPr="006F0553">
        <w:t xml:space="preserve">intended to enhance competition in downstream markets, </w:t>
      </w:r>
      <w:r w:rsidR="00363CE8" w:rsidRPr="006F0553">
        <w:t>if</w:t>
      </w:r>
      <w:r w:rsidRPr="006F0553" w:rsidDel="00EF5CCC">
        <w:t xml:space="preserve"> </w:t>
      </w:r>
      <w:r w:rsidR="00EF5CCC" w:rsidRPr="006F0553">
        <w:t xml:space="preserve">access to spectrum </w:t>
      </w:r>
      <w:r w:rsidR="00363CE8" w:rsidRPr="006F0553">
        <w:t>is</w:t>
      </w:r>
      <w:r w:rsidRPr="006F0553">
        <w:t xml:space="preserve"> </w:t>
      </w:r>
      <w:proofErr w:type="gramStart"/>
      <w:r w:rsidRPr="006F0553">
        <w:t>renewed</w:t>
      </w:r>
      <w:proofErr w:type="gramEnd"/>
      <w:r w:rsidRPr="006F0553">
        <w:t xml:space="preserve"> </w:t>
      </w:r>
    </w:p>
    <w:p w14:paraId="615A9FCD" w14:textId="1272FF03" w:rsidR="002C43F8" w:rsidRPr="006F0553" w:rsidRDefault="001C7E98" w:rsidP="008F6B7B">
      <w:pPr>
        <w:pStyle w:val="Bulletlevel1"/>
      </w:pPr>
      <w:r w:rsidRPr="006F0553">
        <w:t xml:space="preserve">spectrum-related barriers to being able to compete effectively in downstream markets, </w:t>
      </w:r>
      <w:r w:rsidR="007D482E" w:rsidRPr="006F0553">
        <w:t xml:space="preserve">and encourage </w:t>
      </w:r>
      <w:r w:rsidRPr="006F0553">
        <w:t xml:space="preserve">competition in regional, rural and remote </w:t>
      </w:r>
      <w:proofErr w:type="gramStart"/>
      <w:r w:rsidRPr="006F0553">
        <w:t>areas</w:t>
      </w:r>
      <w:proofErr w:type="gramEnd"/>
    </w:p>
    <w:p w14:paraId="69893A64" w14:textId="2524F020" w:rsidR="00E552C0" w:rsidRPr="00D562A4" w:rsidRDefault="002C43F8" w:rsidP="008F6B7B">
      <w:pPr>
        <w:pStyle w:val="Bulletlevel1"/>
      </w:pPr>
      <w:r w:rsidRPr="006F0553">
        <w:t>how current and proposed uses of the spectrum could align with the objective</w:t>
      </w:r>
      <w:r w:rsidR="00E552C0" w:rsidRPr="006F0553">
        <w:t>s</w:t>
      </w:r>
      <w:r w:rsidRPr="006F0553">
        <w:t xml:space="preserve"> in the MPS relating</w:t>
      </w:r>
      <w:r w:rsidRPr="00D562A4">
        <w:t xml:space="preserve"> to</w:t>
      </w:r>
      <w:r w:rsidR="0099383B" w:rsidRPr="00D562A4">
        <w:t>:</w:t>
      </w:r>
    </w:p>
    <w:p w14:paraId="6C9D2514" w14:textId="2BBAA041" w:rsidR="00E552C0" w:rsidRDefault="002C43F8" w:rsidP="00B95FB0">
      <w:pPr>
        <w:pStyle w:val="Bulletlevel2"/>
        <w:ind w:left="590" w:hanging="295"/>
      </w:pPr>
      <w:r>
        <w:t>promoting compet</w:t>
      </w:r>
      <w:r w:rsidR="009F01EF">
        <w:t>ition</w:t>
      </w:r>
      <w:r w:rsidR="009B73A2">
        <w:t xml:space="preserve">, with reference to </w:t>
      </w:r>
      <w:r w:rsidR="008D2909" w:rsidRPr="001B574C">
        <w:t>improve</w:t>
      </w:r>
      <w:r w:rsidR="009B73A2">
        <w:t>d</w:t>
      </w:r>
      <w:r w:rsidR="008D2909" w:rsidRPr="001B574C">
        <w:t xml:space="preserve"> service quality and range of services, competitive prices, invest</w:t>
      </w:r>
      <w:r w:rsidR="009B73A2">
        <w:t>ments</w:t>
      </w:r>
      <w:r w:rsidR="008D2909" w:rsidRPr="001B574C">
        <w:t xml:space="preserve"> in new technologies and innovations, and differentiat</w:t>
      </w:r>
      <w:r w:rsidR="009B73A2">
        <w:t xml:space="preserve">ion </w:t>
      </w:r>
      <w:r w:rsidR="008D2909" w:rsidRPr="00FC77D7">
        <w:t>from</w:t>
      </w:r>
      <w:r w:rsidR="008D2909" w:rsidRPr="001B574C">
        <w:t xml:space="preserve"> competitors</w:t>
      </w:r>
    </w:p>
    <w:p w14:paraId="7BF5F0AE" w14:textId="7915CD7D" w:rsidR="00D46C1F" w:rsidRDefault="00E552C0" w:rsidP="00B95FB0">
      <w:pPr>
        <w:pStyle w:val="Bulletlevel2"/>
        <w:ind w:left="590" w:hanging="295"/>
      </w:pPr>
      <w:r>
        <w:t>facilitating opportunities for new entrants and use</w:t>
      </w:r>
      <w:r w:rsidR="0022165E">
        <w:t xml:space="preserve"> </w:t>
      </w:r>
      <w:r>
        <w:t>cases, including for LEOsats</w:t>
      </w:r>
      <w:r w:rsidR="007E69D6">
        <w:t xml:space="preserve">, that may reduce </w:t>
      </w:r>
      <w:r w:rsidR="006F115D">
        <w:t>barriers</w:t>
      </w:r>
      <w:r w:rsidR="00B261BD">
        <w:t xml:space="preserve"> to entry</w:t>
      </w:r>
      <w:r w:rsidR="007E69D6">
        <w:t>,</w:t>
      </w:r>
      <w:r w:rsidR="00BB4800">
        <w:t xml:space="preserve"> and creat</w:t>
      </w:r>
      <w:r w:rsidR="007E69D6">
        <w:t xml:space="preserve">e entry </w:t>
      </w:r>
      <w:r w:rsidR="00987418" w:rsidRPr="00987418">
        <w:t>points for new or emerging users or use</w:t>
      </w:r>
      <w:r w:rsidR="0022165E">
        <w:t xml:space="preserve"> </w:t>
      </w:r>
      <w:proofErr w:type="gramStart"/>
      <w:r w:rsidR="00987418" w:rsidRPr="00987418">
        <w:t>cases</w:t>
      </w:r>
      <w:proofErr w:type="gramEnd"/>
      <w:r w:rsidR="00987418" w:rsidRPr="00987418">
        <w:t xml:space="preserve"> </w:t>
      </w:r>
    </w:p>
    <w:p w14:paraId="3182B0F4" w14:textId="707F12A8" w:rsidR="009A5EF6" w:rsidRDefault="00421635" w:rsidP="00140899">
      <w:pPr>
        <w:pStyle w:val="Bulletlevel1last"/>
      </w:pPr>
      <w:r>
        <w:t xml:space="preserve">how LEOsats could </w:t>
      </w:r>
      <w:r w:rsidRPr="0099383B">
        <w:t xml:space="preserve">contribute to </w:t>
      </w:r>
      <w:r w:rsidR="00BC4BC6">
        <w:t>promoting</w:t>
      </w:r>
      <w:r w:rsidR="00BC4BC6" w:rsidRPr="0099383B">
        <w:t xml:space="preserve"> </w:t>
      </w:r>
      <w:r w:rsidRPr="0099383B">
        <w:t>the long-term public interest, including how spectrum can support inter-operability between terrestrial services and satellite services</w:t>
      </w:r>
      <w:r>
        <w:t>.</w:t>
      </w:r>
    </w:p>
    <w:p w14:paraId="1C1D55A2" w14:textId="1F04335B" w:rsidR="001C7E98" w:rsidRDefault="001C7E98" w:rsidP="00011FEA">
      <w:pPr>
        <w:pStyle w:val="Heading3"/>
      </w:pPr>
      <w:r>
        <w:t>Public interest criteri</w:t>
      </w:r>
      <w:r w:rsidR="00F83417">
        <w:t>on</w:t>
      </w:r>
      <w:r>
        <w:t xml:space="preserve"> 4: balances public benefits and impacts</w:t>
      </w:r>
    </w:p>
    <w:p w14:paraId="2C6AE691" w14:textId="0308439A" w:rsidR="001C7E98" w:rsidRDefault="001C7E98" w:rsidP="00981C6B">
      <w:pPr>
        <w:pStyle w:val="Paragraph"/>
      </w:pPr>
      <w:r>
        <w:t>How does your current and planned use of the spectrum balance public benefits and impacts?</w:t>
      </w:r>
    </w:p>
    <w:p w14:paraId="1C1C23CB" w14:textId="4A52DC72" w:rsidR="001C7E98" w:rsidRDefault="001C7E98" w:rsidP="006F0553">
      <w:pPr>
        <w:pStyle w:val="Paragraphbeforelist"/>
      </w:pPr>
      <w:r>
        <w:t xml:space="preserve">In addition to submissions that engage with the issues and guidance at </w:t>
      </w:r>
      <w:r w:rsidR="008043A4">
        <w:t>Appendix A</w:t>
      </w:r>
      <w:r>
        <w:t>, we are seeking evidence and analysis relating to:</w:t>
      </w:r>
    </w:p>
    <w:p w14:paraId="4EE3FB14" w14:textId="26385902" w:rsidR="00396BC7" w:rsidRDefault="001C7E98" w:rsidP="00332103">
      <w:pPr>
        <w:pStyle w:val="Bulletlevel1"/>
      </w:pPr>
      <w:r w:rsidRPr="00557610">
        <w:t xml:space="preserve">how your </w:t>
      </w:r>
      <w:r w:rsidRPr="006F0553">
        <w:t>specific</w:t>
      </w:r>
      <w:r w:rsidRPr="00557610">
        <w:t xml:space="preserve"> use of the spectrum benefit</w:t>
      </w:r>
      <w:r w:rsidR="009F52C5">
        <w:t>s</w:t>
      </w:r>
      <w:r w:rsidRPr="00557610" w:rsidDel="009F52C5">
        <w:t xml:space="preserve"> </w:t>
      </w:r>
      <w:r w:rsidRPr="00557610">
        <w:t xml:space="preserve">the broader public, including whether it enables critical services, particularly with reference to specific bands and whether there are any emerging public benefits to be provided through the use of the </w:t>
      </w:r>
      <w:proofErr w:type="gramStart"/>
      <w:r w:rsidRPr="00557610">
        <w:t>spectrum</w:t>
      </w:r>
      <w:proofErr w:type="gramEnd"/>
    </w:p>
    <w:p w14:paraId="2DEE6169" w14:textId="59DC2A91" w:rsidR="009A5EF6" w:rsidRDefault="004F548D" w:rsidP="00140899">
      <w:pPr>
        <w:pStyle w:val="Bulletlevel1"/>
        <w:spacing w:after="240"/>
        <w:ind w:left="357" w:hanging="357"/>
      </w:pPr>
      <w:r>
        <w:t>how current and proposed uses of the spectrum could align with the objective in the MPS relating to</w:t>
      </w:r>
      <w:r w:rsidR="00070A0B">
        <w:t xml:space="preserve"> supporting </w:t>
      </w:r>
      <w:r w:rsidR="00070A0B" w:rsidRPr="006F0553">
        <w:t>service</w:t>
      </w:r>
      <w:r w:rsidR="00070A0B">
        <w:t xml:space="preserve"> continuity for end users, particularly where no alternative service </w:t>
      </w:r>
      <w:r w:rsidR="000D3480">
        <w:t>is available</w:t>
      </w:r>
      <w:r w:rsidR="00D75358">
        <w:t xml:space="preserve">, with </w:t>
      </w:r>
      <w:proofErr w:type="gramStart"/>
      <w:r w:rsidR="007E22DB">
        <w:t xml:space="preserve">particular </w:t>
      </w:r>
      <w:r w:rsidR="00D75358">
        <w:t>reference</w:t>
      </w:r>
      <w:proofErr w:type="gramEnd"/>
      <w:r w:rsidR="00D75358">
        <w:t xml:space="preserve"> to </w:t>
      </w:r>
      <w:r w:rsidR="003078A1">
        <w:t xml:space="preserve">the potential impact </w:t>
      </w:r>
      <w:r w:rsidR="004F0E89">
        <w:t xml:space="preserve">of </w:t>
      </w:r>
      <w:r w:rsidR="00D75358">
        <w:t xml:space="preserve">certain decisions </w:t>
      </w:r>
      <w:r w:rsidR="007E22DB">
        <w:t>on</w:t>
      </w:r>
      <w:r w:rsidR="007E22DB" w:rsidDel="00D91B08">
        <w:t xml:space="preserve"> </w:t>
      </w:r>
      <w:r w:rsidR="003078A1">
        <w:t>en</w:t>
      </w:r>
      <w:r w:rsidR="00D45F93">
        <w:t>d</w:t>
      </w:r>
      <w:r w:rsidR="007E22DB">
        <w:t xml:space="preserve"> users</w:t>
      </w:r>
      <w:r w:rsidR="001C7E98" w:rsidRPr="00557610">
        <w:t xml:space="preserve">.  </w:t>
      </w:r>
    </w:p>
    <w:p w14:paraId="549022A8" w14:textId="65180F80" w:rsidR="001C7E98" w:rsidRDefault="001C7E98" w:rsidP="00981C6B">
      <w:pPr>
        <w:pStyle w:val="Heading3"/>
      </w:pPr>
      <w:r>
        <w:t>Public interest criteri</w:t>
      </w:r>
      <w:r w:rsidR="00F83417">
        <w:t>on</w:t>
      </w:r>
      <w:r>
        <w:t xml:space="preserve"> 5: supports relevant policy objectives and priorities (</w:t>
      </w:r>
      <w:r w:rsidR="00507D1F">
        <w:t xml:space="preserve">including </w:t>
      </w:r>
      <w:r>
        <w:t>regional, rural, and remote connectivity, investment and competition)</w:t>
      </w:r>
    </w:p>
    <w:p w14:paraId="388E5BC7" w14:textId="411C87D0" w:rsidR="001C7E98" w:rsidRDefault="001C7E98" w:rsidP="00305954">
      <w:pPr>
        <w:pStyle w:val="Paragraph"/>
      </w:pPr>
      <w:r w:rsidRPr="005A7127">
        <w:t>How does you</w:t>
      </w:r>
      <w:r w:rsidR="009E6DE8">
        <w:t>r</w:t>
      </w:r>
      <w:r w:rsidRPr="005A7127">
        <w:t xml:space="preserve"> current and planned use of the spectrum support regional, rural, and remote connectivity, investment and competition?</w:t>
      </w:r>
    </w:p>
    <w:p w14:paraId="38536F2B" w14:textId="38CD21E1" w:rsidR="005604B5" w:rsidRPr="005A7127" w:rsidRDefault="003719D3" w:rsidP="00305954">
      <w:pPr>
        <w:pStyle w:val="Paragraph"/>
      </w:pPr>
      <w:r>
        <w:t xml:space="preserve">We note that </w:t>
      </w:r>
      <w:r w:rsidR="00E53BFA">
        <w:t>relevant policy objectives and priorities</w:t>
      </w:r>
      <w:r w:rsidR="0040551A">
        <w:t xml:space="preserve"> specified </w:t>
      </w:r>
      <w:r w:rsidR="00A92730">
        <w:t xml:space="preserve">in the draft MPS </w:t>
      </w:r>
      <w:r w:rsidR="0040551A">
        <w:t>as applicable to the ESL process extend</w:t>
      </w:r>
      <w:r w:rsidR="00E53BFA">
        <w:t xml:space="preserve"> </w:t>
      </w:r>
      <w:r w:rsidR="0097674F">
        <w:t xml:space="preserve">beyond those </w:t>
      </w:r>
      <w:r w:rsidR="0007697F">
        <w:t>concerned with</w:t>
      </w:r>
      <w:r w:rsidR="00E5090E">
        <w:t xml:space="preserve"> regional, rural and remote Australia</w:t>
      </w:r>
      <w:r w:rsidR="000C11F4">
        <w:t xml:space="preserve"> and identified in the heading above</w:t>
      </w:r>
      <w:r w:rsidR="00E5090E">
        <w:t>.</w:t>
      </w:r>
      <w:r w:rsidR="0040551A">
        <w:rPr>
          <w:rStyle w:val="FootnoteReference"/>
        </w:rPr>
        <w:footnoteReference w:id="10"/>
      </w:r>
      <w:r w:rsidR="00E5090E">
        <w:t xml:space="preserve"> </w:t>
      </w:r>
      <w:r w:rsidR="00B60A41">
        <w:t>We</w:t>
      </w:r>
      <w:r w:rsidR="009514D4">
        <w:t xml:space="preserve"> note that these </w:t>
      </w:r>
      <w:r w:rsidR="000D5621">
        <w:t xml:space="preserve">broader </w:t>
      </w:r>
      <w:r w:rsidR="009514D4">
        <w:t xml:space="preserve">objectives and priorities are relevant to our consideration of the long-term public </w:t>
      </w:r>
      <w:r w:rsidR="001521D3">
        <w:t>interest</w:t>
      </w:r>
      <w:r w:rsidR="00D22C0C">
        <w:t xml:space="preserve"> and ESL outcomes</w:t>
      </w:r>
      <w:r w:rsidR="00943DFF">
        <w:t>,</w:t>
      </w:r>
      <w:r w:rsidR="001521D3">
        <w:t xml:space="preserve"> and</w:t>
      </w:r>
      <w:r w:rsidR="00B60A41">
        <w:t xml:space="preserve"> </w:t>
      </w:r>
      <w:r w:rsidR="001F76BC">
        <w:t xml:space="preserve">that they </w:t>
      </w:r>
      <w:r w:rsidR="00B60A41">
        <w:t xml:space="preserve">have </w:t>
      </w:r>
      <w:r w:rsidR="001F76BC">
        <w:t>accordingly</w:t>
      </w:r>
      <w:r w:rsidR="00B60A41">
        <w:t xml:space="preserve"> </w:t>
      </w:r>
      <w:r w:rsidR="009514D4">
        <w:t xml:space="preserve">been </w:t>
      </w:r>
      <w:r w:rsidR="00B60A41">
        <w:t xml:space="preserve">incorporated into our consideration of the </w:t>
      </w:r>
      <w:r w:rsidR="00EF7540">
        <w:t>other four public interest criteria</w:t>
      </w:r>
      <w:r w:rsidR="004C4867">
        <w:t xml:space="preserve"> as outlined above</w:t>
      </w:r>
      <w:r w:rsidR="00EF7540">
        <w:t xml:space="preserve">. </w:t>
      </w:r>
    </w:p>
    <w:p w14:paraId="4863A57A" w14:textId="20EC15B4" w:rsidR="001C7E98" w:rsidRDefault="001C7E98" w:rsidP="005B0711">
      <w:pPr>
        <w:pStyle w:val="Paragraphbeforelist"/>
        <w:keepNext/>
      </w:pPr>
      <w:r>
        <w:lastRenderedPageBreak/>
        <w:t xml:space="preserve">In addition to submissions that engage with the issues and guidance at </w:t>
      </w:r>
      <w:r w:rsidR="008043A4">
        <w:t>Appendix A</w:t>
      </w:r>
      <w:r>
        <w:t>, we are seeking evidence and analysis relating to:</w:t>
      </w:r>
    </w:p>
    <w:p w14:paraId="6196980F" w14:textId="34525C6C" w:rsidR="00D65211" w:rsidRDefault="00096F2A" w:rsidP="005B0711">
      <w:pPr>
        <w:pStyle w:val="Bulletlevel1"/>
        <w:keepNext/>
      </w:pPr>
      <w:r>
        <w:t xml:space="preserve">the advantages and </w:t>
      </w:r>
      <w:r w:rsidRPr="006F0553">
        <w:t>disadvantages</w:t>
      </w:r>
      <w:r w:rsidR="001C7E98">
        <w:t xml:space="preserve"> </w:t>
      </w:r>
      <w:r w:rsidR="00A77E75">
        <w:t>of</w:t>
      </w:r>
      <w:r w:rsidR="001C7E98">
        <w:t xml:space="preserve"> </w:t>
      </w:r>
      <w:r w:rsidR="48738550">
        <w:t>purs</w:t>
      </w:r>
      <w:r w:rsidR="4D6D4D6B">
        <w:t>u</w:t>
      </w:r>
      <w:r w:rsidR="48738550">
        <w:t>ing</w:t>
      </w:r>
      <w:r w:rsidR="001C7E98">
        <w:t xml:space="preserve"> these policy objectives through</w:t>
      </w:r>
      <w:r w:rsidR="00C71B81">
        <w:t>:</w:t>
      </w:r>
    </w:p>
    <w:p w14:paraId="31D01E66" w14:textId="70F49A9D" w:rsidR="001C7E98" w:rsidRDefault="001C7E98" w:rsidP="004431FE">
      <w:pPr>
        <w:pStyle w:val="Bulletlevel2"/>
        <w:ind w:left="590" w:hanging="295"/>
      </w:pPr>
      <w:r>
        <w:t xml:space="preserve">the radiocommunications regulatory framework, such as secondary market activity, licence conditions, and use of new technologies, including but not limited to </w:t>
      </w:r>
      <w:proofErr w:type="gramStart"/>
      <w:r w:rsidR="00366944">
        <w:t>LEOsats</w:t>
      </w:r>
      <w:proofErr w:type="gramEnd"/>
    </w:p>
    <w:p w14:paraId="182B0A2C" w14:textId="25438627" w:rsidR="001C7E98" w:rsidRDefault="001C7E98" w:rsidP="004431FE">
      <w:pPr>
        <w:pStyle w:val="Bulletlevel2"/>
        <w:ind w:left="590" w:hanging="295"/>
      </w:pPr>
      <w:r>
        <w:t xml:space="preserve">other policies, programs or regulatory frameworks, such as carrier obligations under the </w:t>
      </w:r>
      <w:r w:rsidRPr="00981C6B">
        <w:rPr>
          <w:i/>
        </w:rPr>
        <w:t>Telecommunications Act 1997</w:t>
      </w:r>
      <w:r>
        <w:t xml:space="preserve">, roaming regulatory arrangements under the </w:t>
      </w:r>
      <w:r w:rsidRPr="00F479E7">
        <w:rPr>
          <w:i/>
        </w:rPr>
        <w:t>Competition and Consumer Act 2010</w:t>
      </w:r>
      <w:r>
        <w:t xml:space="preserve">, and relevant government policies and </w:t>
      </w:r>
      <w:proofErr w:type="gramStart"/>
      <w:r>
        <w:t>programs</w:t>
      </w:r>
      <w:proofErr w:type="gramEnd"/>
    </w:p>
    <w:p w14:paraId="511593EA" w14:textId="58C142FE" w:rsidR="00385D98" w:rsidRPr="006F0553" w:rsidRDefault="001C7E98" w:rsidP="00332103">
      <w:pPr>
        <w:pStyle w:val="Bulletlevel1"/>
      </w:pPr>
      <w:r>
        <w:t xml:space="preserve">uses of the </w:t>
      </w:r>
      <w:r w:rsidRPr="006F0553">
        <w:t xml:space="preserve">spectrum that address </w:t>
      </w:r>
      <w:r w:rsidR="008B73E4" w:rsidRPr="006F0553">
        <w:t xml:space="preserve">digital inclusion for </w:t>
      </w:r>
      <w:r w:rsidRPr="006F0553">
        <w:t>First Nations Australia</w:t>
      </w:r>
      <w:r w:rsidR="00453E55" w:rsidRPr="006F0553">
        <w:t>ns</w:t>
      </w:r>
    </w:p>
    <w:p w14:paraId="1AFA360A" w14:textId="7407E52F" w:rsidR="001A5159" w:rsidRDefault="00764233" w:rsidP="00332103">
      <w:pPr>
        <w:pStyle w:val="Bulletlevel1"/>
      </w:pPr>
      <w:r w:rsidRPr="006F0553">
        <w:t>how current and</w:t>
      </w:r>
      <w:r>
        <w:t xml:space="preserve"> proposed uses of the spectrum could align with the objective in the MPS relating to </w:t>
      </w:r>
      <w:r w:rsidR="001A5159">
        <w:t>connectivity and investmen</w:t>
      </w:r>
      <w:r w:rsidR="0040279E">
        <w:t>t,</w:t>
      </w:r>
      <w:r w:rsidR="00B0726F">
        <w:t xml:space="preserve"> </w:t>
      </w:r>
      <w:r w:rsidR="0040279E">
        <w:t>with a focus</w:t>
      </w:r>
      <w:r w:rsidR="001A5159">
        <w:t xml:space="preserve"> </w:t>
      </w:r>
      <w:r w:rsidR="009D1FFB">
        <w:t>o</w:t>
      </w:r>
      <w:r w:rsidR="001A5159">
        <w:t>n regional</w:t>
      </w:r>
      <w:r w:rsidR="00D11FC7">
        <w:t xml:space="preserve"> and rem</w:t>
      </w:r>
      <w:r w:rsidR="009942F9">
        <w:t>ote</w:t>
      </w:r>
      <w:r w:rsidR="001A5159">
        <w:t xml:space="preserve"> areas</w:t>
      </w:r>
      <w:r w:rsidR="0040279E">
        <w:t xml:space="preserve">, </w:t>
      </w:r>
      <w:r w:rsidR="001A5159">
        <w:t>to deliver improved services to end users, with reference to</w:t>
      </w:r>
      <w:r w:rsidR="00825B60">
        <w:t>:</w:t>
      </w:r>
    </w:p>
    <w:p w14:paraId="69948680" w14:textId="259798C8" w:rsidR="002552B5" w:rsidRDefault="002552B5" w:rsidP="004431FE">
      <w:pPr>
        <w:pStyle w:val="Bulletlevel2"/>
        <w:ind w:left="590" w:hanging="295"/>
      </w:pPr>
      <w:r w:rsidRPr="002552B5" w:rsidDel="00C95DAB">
        <w:t xml:space="preserve">an </w:t>
      </w:r>
      <w:r w:rsidRPr="002552B5">
        <w:t xml:space="preserve">increased availability and choice of services for end users, </w:t>
      </w:r>
      <w:proofErr w:type="gramStart"/>
      <w:r w:rsidRPr="002552B5">
        <w:t>in particular for</w:t>
      </w:r>
      <w:proofErr w:type="gramEnd"/>
      <w:r w:rsidRPr="002552B5">
        <w:t xml:space="preserve"> end users with limited options under existing arrangements</w:t>
      </w:r>
      <w:r w:rsidR="005F440F">
        <w:t>;</w:t>
      </w:r>
      <w:r w:rsidRPr="002552B5">
        <w:t xml:space="preserve"> voice and data mobile network coverage</w:t>
      </w:r>
      <w:r w:rsidR="005F440F">
        <w:t>; and</w:t>
      </w:r>
      <w:r w:rsidRPr="002552B5">
        <w:t xml:space="preserve"> access to high-speed data services</w:t>
      </w:r>
    </w:p>
    <w:p w14:paraId="4631E8AA" w14:textId="4E375727" w:rsidR="001C7E98" w:rsidRDefault="00352802" w:rsidP="004431FE">
      <w:pPr>
        <w:pStyle w:val="Bulletlevel2"/>
        <w:ind w:left="590" w:hanging="295"/>
      </w:pPr>
      <w:r w:rsidRPr="00352802">
        <w:t>the National Agreement on Closing the Gap, particularly the Access to Information outcome (Outcome 17</w:t>
      </w:r>
      <w:r>
        <w:t>)</w:t>
      </w:r>
      <w:r w:rsidR="001C7E98">
        <w:t>.</w:t>
      </w:r>
    </w:p>
    <w:p w14:paraId="03B7A1D2" w14:textId="3610DC54" w:rsidR="001C7E98" w:rsidRPr="005A7127" w:rsidRDefault="008F7C98" w:rsidP="00246BF1">
      <w:pPr>
        <w:pStyle w:val="Heading3"/>
      </w:pPr>
      <w:r>
        <w:t>Alternative uses for spectrum</w:t>
      </w:r>
    </w:p>
    <w:p w14:paraId="36C7A385" w14:textId="3FE14CFF" w:rsidR="001C7E98" w:rsidRDefault="008061D3" w:rsidP="00305954">
      <w:pPr>
        <w:pStyle w:val="Paragraphbeforelist"/>
      </w:pPr>
      <w:r>
        <w:t xml:space="preserve">We also welcome submissions </w:t>
      </w:r>
      <w:r w:rsidR="00167A44">
        <w:t xml:space="preserve">from incumbent licensees detailing </w:t>
      </w:r>
      <w:r>
        <w:t>alternative use</w:t>
      </w:r>
      <w:r w:rsidR="00167A44">
        <w:t>s</w:t>
      </w:r>
      <w:r>
        <w:t xml:space="preserve"> for spectrum currently subject to ESL</w:t>
      </w:r>
      <w:r w:rsidR="00CA284F">
        <w:t xml:space="preserve">s. </w:t>
      </w:r>
      <w:r w:rsidR="001C7E98">
        <w:t>Submissions should specify:</w:t>
      </w:r>
    </w:p>
    <w:p w14:paraId="23D901EE" w14:textId="77777777" w:rsidR="001C7E98" w:rsidRDefault="001C7E98" w:rsidP="00445480">
      <w:pPr>
        <w:pStyle w:val="Bulletlevel1"/>
      </w:pPr>
      <w:r>
        <w:t xml:space="preserve">why an alternative use for the relevant spectrum would promote the long-term public </w:t>
      </w:r>
      <w:proofErr w:type="gramStart"/>
      <w:r>
        <w:t>interest</w:t>
      </w:r>
      <w:proofErr w:type="gramEnd"/>
    </w:p>
    <w:p w14:paraId="572BCE6B" w14:textId="74586590" w:rsidR="001C7E98" w:rsidRDefault="001C7E98" w:rsidP="00445480">
      <w:pPr>
        <w:pStyle w:val="Bulletlevel1"/>
      </w:pPr>
      <w:r>
        <w:t>technical and operational feasibility of the alternative use</w:t>
      </w:r>
    </w:p>
    <w:p w14:paraId="469AB93C" w14:textId="37C71496" w:rsidR="001C7E98" w:rsidRPr="00BF56CA" w:rsidRDefault="001C7E98" w:rsidP="00140899">
      <w:pPr>
        <w:pStyle w:val="Bulletlevel1last"/>
      </w:pPr>
      <w:r w:rsidRPr="00BF56CA">
        <w:t>high-level changes</w:t>
      </w:r>
      <w:r w:rsidRPr="00BF56CA" w:rsidDel="00167A44">
        <w:t xml:space="preserve"> </w:t>
      </w:r>
      <w:r w:rsidRPr="00BF56CA">
        <w:t>to licence conditions and technical frameworks that would be required to implement the alternative use.</w:t>
      </w:r>
    </w:p>
    <w:p w14:paraId="48415AD1" w14:textId="593CB632" w:rsidR="00D57398" w:rsidRDefault="00D57398" w:rsidP="00445480">
      <w:pPr>
        <w:pStyle w:val="Heading2"/>
        <w:keepLines/>
      </w:pPr>
      <w:bookmarkStart w:id="24" w:name="_Toc159360661"/>
      <w:bookmarkStart w:id="25" w:name="_Toc161756527"/>
      <w:r>
        <w:t xml:space="preserve">Guidance for prospective alternative </w:t>
      </w:r>
      <w:bookmarkEnd w:id="24"/>
      <w:r w:rsidR="00122EB8">
        <w:t>licensees</w:t>
      </w:r>
      <w:bookmarkEnd w:id="25"/>
    </w:p>
    <w:p w14:paraId="0E45F033" w14:textId="4B519851" w:rsidR="00D57398" w:rsidRPr="00270DCD" w:rsidRDefault="00D57398" w:rsidP="00445480">
      <w:pPr>
        <w:pStyle w:val="Paragraph"/>
        <w:keepNext/>
        <w:keepLines/>
      </w:pPr>
      <w:r>
        <w:t xml:space="preserve">We strongly encourage </w:t>
      </w:r>
      <w:r w:rsidR="008621E1">
        <w:t xml:space="preserve">prospective alternative licensees </w:t>
      </w:r>
      <w:r>
        <w:t>to engage with the information</w:t>
      </w:r>
      <w:r w:rsidR="00047625">
        <w:t>-</w:t>
      </w:r>
      <w:r>
        <w:t>gathering exercise.</w:t>
      </w:r>
    </w:p>
    <w:p w14:paraId="2C1C9A10" w14:textId="49BDCA2F" w:rsidR="00D57398" w:rsidRDefault="00D57398" w:rsidP="00445480">
      <w:pPr>
        <w:pStyle w:val="Paragraph"/>
        <w:keepNext/>
        <w:keepLines/>
      </w:pPr>
      <w:r>
        <w:t xml:space="preserve">While we will conduct market analysis and environmental scanning to inform our understanding, considered and credible intelligence sourced directly from </w:t>
      </w:r>
      <w:r w:rsidR="000B2CD0">
        <w:t>industry</w:t>
      </w:r>
      <w:r w:rsidR="000B2CD0" w:rsidDel="00677217">
        <w:t xml:space="preserve"> </w:t>
      </w:r>
      <w:r>
        <w:t>will be an important input into arriving at informed views about demand profiles for the spectrum covered by the ESLs, the viability of alternative use</w:t>
      </w:r>
      <w:r w:rsidR="0022165E">
        <w:t xml:space="preserve"> </w:t>
      </w:r>
      <w:r>
        <w:t>cases, and the overall long-term public interest to be derived from the spectrum.</w:t>
      </w:r>
    </w:p>
    <w:p w14:paraId="604F20DE" w14:textId="77777777" w:rsidR="00D57398" w:rsidRDefault="00D57398" w:rsidP="00D57398">
      <w:pPr>
        <w:pStyle w:val="Paragraph"/>
      </w:pPr>
      <w:r>
        <w:t>We acknowledge that some proposed alternatives may be hypothetical or speculative, and we encourage submitters to provide examples of similar deployments in international jurisdictions, or to supply their own market intelligence and analysis.</w:t>
      </w:r>
    </w:p>
    <w:p w14:paraId="56ACC24F" w14:textId="09BD52FC" w:rsidR="00D57398" w:rsidRDefault="00D57398" w:rsidP="00D57398">
      <w:pPr>
        <w:pStyle w:val="Paragraph"/>
      </w:pPr>
      <w:r>
        <w:t xml:space="preserve">There is no particular ‘burden of proof’ on prospective alternative </w:t>
      </w:r>
      <w:r w:rsidR="001906F8">
        <w:t xml:space="preserve">licensees </w:t>
      </w:r>
      <w:r>
        <w:t xml:space="preserve">to demonstrate that their proposed use of the spectrum is superior to that of an incumbent’s; however, prospective alternative </w:t>
      </w:r>
      <w:r w:rsidR="00113897">
        <w:t xml:space="preserve">licensees </w:t>
      </w:r>
      <w:r>
        <w:t xml:space="preserve">are encouraged to frame their submissions with reference to </w:t>
      </w:r>
      <w:r w:rsidR="00E2430B">
        <w:t xml:space="preserve">the </w:t>
      </w:r>
      <w:r>
        <w:t>public interest criteria and the relevant guidance.</w:t>
      </w:r>
    </w:p>
    <w:p w14:paraId="3CA72C7D" w14:textId="321F94BD" w:rsidR="00D57398" w:rsidRDefault="00D57398" w:rsidP="00D57398">
      <w:pPr>
        <w:pStyle w:val="Paragraph"/>
      </w:pPr>
      <w:r>
        <w:t xml:space="preserve">We note that prospective alternative </w:t>
      </w:r>
      <w:r w:rsidR="005136CF">
        <w:t xml:space="preserve">licensees </w:t>
      </w:r>
      <w:r>
        <w:t>are in a different strategic position to incumbent</w:t>
      </w:r>
      <w:r w:rsidR="00666B2D">
        <w:t xml:space="preserve"> licensee</w:t>
      </w:r>
      <w:r>
        <w:t>s (such as not necessarily being able to refer to outcomes facilitated by long-term incumbency</w:t>
      </w:r>
      <w:proofErr w:type="gramStart"/>
      <w:r>
        <w:t>)</w:t>
      </w:r>
      <w:proofErr w:type="gramEnd"/>
      <w:r>
        <w:t xml:space="preserve"> and this is reflected in the information we are seeking. </w:t>
      </w:r>
    </w:p>
    <w:p w14:paraId="74627E70" w14:textId="17094C94" w:rsidR="00D57398" w:rsidRDefault="00D57398" w:rsidP="00D57398">
      <w:pPr>
        <w:pStyle w:val="Paragraph"/>
      </w:pPr>
      <w:r>
        <w:lastRenderedPageBreak/>
        <w:t>While we encourage submissions from prospective alternative licensees, we note that an absence of submissions from th</w:t>
      </w:r>
      <w:r w:rsidR="00E624E5">
        <w:t xml:space="preserve">ese </w:t>
      </w:r>
      <w:r>
        <w:t>stakeholder</w:t>
      </w:r>
      <w:r w:rsidR="00E624E5">
        <w:t>s</w:t>
      </w:r>
      <w:r>
        <w:t xml:space="preserve"> would not necessarily lead to preliminary </w:t>
      </w:r>
      <w:r w:rsidR="00B35FB5">
        <w:t xml:space="preserve">or preferred </w:t>
      </w:r>
      <w:r>
        <w:t xml:space="preserve">views favouring renewal of </w:t>
      </w:r>
      <w:r w:rsidR="001774A0">
        <w:t>ESLs</w:t>
      </w:r>
      <w:r>
        <w:t>. In addition to other resources, we will also consider, with reference to the public interest criteria, the overall composition of the markets and services facilitated by ESLs, which may lead to views favouring partial renewal or refusal of ESLs. Allocation exercises (price-based or administrative) are</w:t>
      </w:r>
      <w:r w:rsidR="00103762">
        <w:t>,</w:t>
      </w:r>
      <w:r>
        <w:t xml:space="preserve"> in some cases</w:t>
      </w:r>
      <w:r w:rsidR="001868A7">
        <w:t>,</w:t>
      </w:r>
      <w:r>
        <w:t xml:space="preserve"> the optimal way to expose and test demand for the spectrum, and for spectrum subject to rivalrous demand, we typically allow the market to determine the efficient allocation of the spectrum resource.  </w:t>
      </w:r>
    </w:p>
    <w:p w14:paraId="01999663" w14:textId="5C3AAA88" w:rsidR="00D57398" w:rsidRDefault="00D57398" w:rsidP="003613F2">
      <w:pPr>
        <w:pStyle w:val="Heading2"/>
      </w:pPr>
      <w:bookmarkStart w:id="26" w:name="_Toc161756528"/>
      <w:r>
        <w:t>Information requested</w:t>
      </w:r>
      <w:r w:rsidR="001868A7">
        <w:t xml:space="preserve"> from prospective alternative </w:t>
      </w:r>
      <w:proofErr w:type="gramStart"/>
      <w:r w:rsidR="007639FB">
        <w:t>licensees</w:t>
      </w:r>
      <w:bookmarkEnd w:id="26"/>
      <w:proofErr w:type="gramEnd"/>
    </w:p>
    <w:p w14:paraId="663FEB0D" w14:textId="58ED54EA" w:rsidR="00C15CAE" w:rsidRDefault="00C15CAE" w:rsidP="003613F2">
      <w:pPr>
        <w:pStyle w:val="Heading3"/>
      </w:pPr>
      <w:r>
        <w:t>We are seeking detailed proposals setting out alternative uses, use</w:t>
      </w:r>
      <w:r w:rsidR="0022165E">
        <w:t xml:space="preserve"> </w:t>
      </w:r>
      <w:r>
        <w:t>cases and users for the spectrum covered by ESLs</w:t>
      </w:r>
      <w:r w:rsidR="001868A7">
        <w:t>.</w:t>
      </w:r>
    </w:p>
    <w:p w14:paraId="21A6FF61" w14:textId="77777777" w:rsidR="00FA4A92" w:rsidRDefault="00C15CAE" w:rsidP="003613F2">
      <w:pPr>
        <w:pStyle w:val="Paragraph"/>
      </w:pPr>
      <w:r>
        <w:t xml:space="preserve">We are seeking submissions that engage with the issues and guidance at </w:t>
      </w:r>
      <w:r w:rsidR="008043A4">
        <w:t>Appendix A</w:t>
      </w:r>
      <w:r>
        <w:t xml:space="preserve">. </w:t>
      </w:r>
    </w:p>
    <w:p w14:paraId="744D0D5F" w14:textId="6E27C4AB" w:rsidR="00C15CAE" w:rsidRDefault="007C6EF9" w:rsidP="00D562A4">
      <w:pPr>
        <w:pStyle w:val="Paragraphbeforelist"/>
      </w:pPr>
      <w:r>
        <w:t>S</w:t>
      </w:r>
      <w:r w:rsidR="00C15CAE">
        <w:t xml:space="preserve">ubmissions </w:t>
      </w:r>
      <w:r>
        <w:t>should</w:t>
      </w:r>
      <w:r w:rsidR="00C15CAE">
        <w:t xml:space="preserve"> specify, to be greatest extent possible:</w:t>
      </w:r>
    </w:p>
    <w:p w14:paraId="63E24CAD" w14:textId="6C143E51" w:rsidR="00C15CAE" w:rsidRPr="00B64B36" w:rsidRDefault="007375D2" w:rsidP="00445480">
      <w:pPr>
        <w:pStyle w:val="Bulletlevel1"/>
      </w:pPr>
      <w:r>
        <w:t xml:space="preserve">the </w:t>
      </w:r>
      <w:r w:rsidR="00993A46">
        <w:t>p</w:t>
      </w:r>
      <w:r w:rsidR="00C15CAE">
        <w:t xml:space="preserve">arts of the </w:t>
      </w:r>
      <w:r w:rsidR="00C15CAE" w:rsidRPr="00B64B36">
        <w:t xml:space="preserve">spectrum and geographic areas of interest </w:t>
      </w:r>
    </w:p>
    <w:p w14:paraId="7BA46FCC" w14:textId="74749C8C" w:rsidR="00C15CAE" w:rsidRPr="00B64B36" w:rsidRDefault="00993A46" w:rsidP="00445480">
      <w:pPr>
        <w:pStyle w:val="Bulletlevel1"/>
      </w:pPr>
      <w:r w:rsidRPr="00B64B36">
        <w:t>w</w:t>
      </w:r>
      <w:r w:rsidR="00C15CAE" w:rsidRPr="00B64B36">
        <w:t xml:space="preserve">hy the spectrum is necessary for that </w:t>
      </w:r>
      <w:r w:rsidR="002A68D4" w:rsidRPr="00B64B36">
        <w:t>alternative</w:t>
      </w:r>
      <w:r w:rsidR="00C15CAE" w:rsidRPr="00B64B36">
        <w:t xml:space="preserve"> use and whether the</w:t>
      </w:r>
      <w:r w:rsidR="002A68D4" w:rsidRPr="00B64B36">
        <w:t xml:space="preserve"> potential alternative user</w:t>
      </w:r>
      <w:r w:rsidR="00C15CAE" w:rsidRPr="00B64B36">
        <w:t xml:space="preserve"> ha</w:t>
      </w:r>
      <w:r w:rsidR="002A68D4" w:rsidRPr="00B64B36">
        <w:t>s</w:t>
      </w:r>
      <w:r w:rsidR="00C15CAE" w:rsidRPr="00B64B36">
        <w:t xml:space="preserve"> sought alternative spectrum (either through allocation exercises or via secondary market)</w:t>
      </w:r>
    </w:p>
    <w:p w14:paraId="6E61D4FA" w14:textId="38A69741" w:rsidR="00C15CAE" w:rsidRPr="00B64B36" w:rsidRDefault="00993A46" w:rsidP="00445480">
      <w:pPr>
        <w:pStyle w:val="Bulletlevel1"/>
      </w:pPr>
      <w:r w:rsidRPr="00B64B36">
        <w:t>the d</w:t>
      </w:r>
      <w:r w:rsidR="00C15CAE" w:rsidRPr="00B64B36">
        <w:t>esirable bandwidth</w:t>
      </w:r>
    </w:p>
    <w:p w14:paraId="7AE39706" w14:textId="747773AE" w:rsidR="00C15CAE" w:rsidRPr="00B64B36" w:rsidRDefault="00993A46" w:rsidP="00445480">
      <w:pPr>
        <w:pStyle w:val="Bulletlevel1"/>
      </w:pPr>
      <w:r w:rsidRPr="00B64B36">
        <w:t>w</w:t>
      </w:r>
      <w:r w:rsidR="00C15CAE" w:rsidRPr="00B64B36">
        <w:t xml:space="preserve">hether </w:t>
      </w:r>
      <w:r w:rsidR="002A68D4" w:rsidRPr="00B64B36">
        <w:t>the alternative</w:t>
      </w:r>
      <w:r w:rsidR="00C15CAE" w:rsidRPr="00B64B36">
        <w:t xml:space="preserve"> use is new or would complement </w:t>
      </w:r>
      <w:r w:rsidR="00E10E74" w:rsidRPr="00B64B36">
        <w:t xml:space="preserve">an </w:t>
      </w:r>
      <w:r w:rsidR="00C15CAE" w:rsidRPr="00B64B36">
        <w:t>existing use</w:t>
      </w:r>
    </w:p>
    <w:p w14:paraId="7D61EBE3" w14:textId="0DAEB6F7" w:rsidR="00C15CAE" w:rsidRPr="00B64B36" w:rsidRDefault="00A35138" w:rsidP="00445480">
      <w:pPr>
        <w:pStyle w:val="Bulletlevel1"/>
      </w:pPr>
      <w:r w:rsidRPr="00B64B36">
        <w:t>h</w:t>
      </w:r>
      <w:r w:rsidR="00C15CAE" w:rsidRPr="00B64B36">
        <w:t xml:space="preserve">ow the spectrum would be used to complement or enhance existing service </w:t>
      </w:r>
      <w:r w:rsidR="009E643D" w:rsidRPr="00B64B36">
        <w:t>for example,</w:t>
      </w:r>
      <w:r w:rsidR="00881BE7" w:rsidRPr="00B64B36">
        <w:t xml:space="preserve"> </w:t>
      </w:r>
      <w:r w:rsidR="00C15CAE" w:rsidRPr="00B64B36">
        <w:t>add capacity, lower deployment costs, improve coverage</w:t>
      </w:r>
    </w:p>
    <w:p w14:paraId="401F08AA" w14:textId="6DCD7081" w:rsidR="00C15CAE" w:rsidRPr="00B64B36" w:rsidRDefault="008D19D0" w:rsidP="00445480">
      <w:pPr>
        <w:pStyle w:val="Bulletlevel1"/>
      </w:pPr>
      <w:r w:rsidRPr="00B64B36">
        <w:t xml:space="preserve">the </w:t>
      </w:r>
      <w:r w:rsidR="00A35138" w:rsidRPr="00B64B36">
        <w:t>c</w:t>
      </w:r>
      <w:r w:rsidR="00C15CAE" w:rsidRPr="00B64B36">
        <w:t>urrent extent of service and planned growth</w:t>
      </w:r>
    </w:p>
    <w:p w14:paraId="019C2E0A" w14:textId="48AADE69" w:rsidR="00C15CAE" w:rsidRPr="00B64B36" w:rsidRDefault="00A35138" w:rsidP="00445480">
      <w:pPr>
        <w:pStyle w:val="Bulletlevel1"/>
      </w:pPr>
      <w:r w:rsidRPr="00B64B36">
        <w:t>v</w:t>
      </w:r>
      <w:r w:rsidR="00D266DD" w:rsidRPr="00B64B36">
        <w:t>i</w:t>
      </w:r>
      <w:r w:rsidR="00C15CAE" w:rsidRPr="00B64B36">
        <w:t xml:space="preserve">ews on particular allocation methods and interest in taking part in an auction </w:t>
      </w:r>
      <w:proofErr w:type="gramStart"/>
      <w:r w:rsidR="00C15CAE" w:rsidRPr="00B64B36">
        <w:t>process</w:t>
      </w:r>
      <w:proofErr w:type="gramEnd"/>
    </w:p>
    <w:p w14:paraId="64FD825C" w14:textId="77777777" w:rsidR="00425C23" w:rsidRDefault="00A35138" w:rsidP="00445480">
      <w:pPr>
        <w:pStyle w:val="Bulletlevel1"/>
      </w:pPr>
      <w:r w:rsidRPr="00B64B36">
        <w:t>v</w:t>
      </w:r>
      <w:r w:rsidR="00C15CAE" w:rsidRPr="00B64B36">
        <w:t>iews on whether shared or exclusive licensing</w:t>
      </w:r>
      <w:r w:rsidR="00C15CAE">
        <w:t xml:space="preserve"> is </w:t>
      </w:r>
      <w:proofErr w:type="gramStart"/>
      <w:r w:rsidR="00C15CAE">
        <w:t>desirable</w:t>
      </w:r>
      <w:proofErr w:type="gramEnd"/>
    </w:p>
    <w:p w14:paraId="6DDD6ECB" w14:textId="2B3F5B6A" w:rsidR="00C15CAE" w:rsidRPr="009E7640" w:rsidRDefault="008D19D0" w:rsidP="00140899">
      <w:pPr>
        <w:pStyle w:val="Bulletlevel1last"/>
      </w:pPr>
      <w:r w:rsidRPr="009E7640">
        <w:t xml:space="preserve">the </w:t>
      </w:r>
      <w:r w:rsidR="00A35138" w:rsidRPr="009E7640">
        <w:t>e</w:t>
      </w:r>
      <w:r w:rsidR="00C15CAE" w:rsidRPr="009E7640">
        <w:t>xpected upfront costs and timeframes for deployment</w:t>
      </w:r>
      <w:r w:rsidR="00442747" w:rsidRPr="009E7640">
        <w:t>.</w:t>
      </w:r>
      <w:r w:rsidR="00C15CAE" w:rsidRPr="009E7640">
        <w:t xml:space="preserve"> </w:t>
      </w:r>
    </w:p>
    <w:p w14:paraId="744DDB01" w14:textId="7A424751" w:rsidR="00F606FB" w:rsidRPr="00834FCB" w:rsidRDefault="00DD64E3" w:rsidP="003613F2">
      <w:pPr>
        <w:pStyle w:val="Paragraph"/>
      </w:pPr>
      <w:r w:rsidRPr="00E546EB">
        <w:t xml:space="preserve">We encourage submissions </w:t>
      </w:r>
      <w:r w:rsidRPr="00834FCB">
        <w:t xml:space="preserve">that </w:t>
      </w:r>
      <w:r w:rsidR="007468B6" w:rsidRPr="00140899">
        <w:t xml:space="preserve">detail how proposed use of the relevant spectrum could align with the </w:t>
      </w:r>
      <w:r w:rsidR="00E97CD3" w:rsidRPr="00140899">
        <w:t xml:space="preserve">policy objectives </w:t>
      </w:r>
      <w:r w:rsidR="00825B60" w:rsidRPr="00140899">
        <w:t>in the</w:t>
      </w:r>
      <w:r w:rsidR="00721EA9">
        <w:t xml:space="preserve"> draft</w:t>
      </w:r>
      <w:r w:rsidR="00825B60" w:rsidRPr="00140899">
        <w:t xml:space="preserve"> MPS.</w:t>
      </w:r>
    </w:p>
    <w:p w14:paraId="7E388044" w14:textId="03D0976D" w:rsidR="004A0936" w:rsidRDefault="004A0936" w:rsidP="003613F2">
      <w:pPr>
        <w:pStyle w:val="Heading3"/>
      </w:pPr>
      <w:r>
        <w:t>Second</w:t>
      </w:r>
      <w:r w:rsidR="00E14475">
        <w:t>ary</w:t>
      </w:r>
      <w:r>
        <w:t xml:space="preserve"> market activity</w:t>
      </w:r>
    </w:p>
    <w:p w14:paraId="62F0445A" w14:textId="1719B01D" w:rsidR="00C15CAE" w:rsidRDefault="00C15CAE" w:rsidP="003613F2">
      <w:pPr>
        <w:pStyle w:val="Paragraph"/>
      </w:pPr>
      <w:r>
        <w:t>In relation to proposed use</w:t>
      </w:r>
      <w:r w:rsidR="0022165E">
        <w:t xml:space="preserve"> </w:t>
      </w:r>
      <w:r>
        <w:t>cases, have you sought access to spectrum through other means (such as participating in allocation exercises, third</w:t>
      </w:r>
      <w:r w:rsidR="003844A2">
        <w:t>-</w:t>
      </w:r>
      <w:r>
        <w:t>party authorisations or trading) and</w:t>
      </w:r>
      <w:r w:rsidR="002F3A04">
        <w:t>, if so,</w:t>
      </w:r>
      <w:r w:rsidR="00652C5D">
        <w:t xml:space="preserve"> were</w:t>
      </w:r>
      <w:r>
        <w:t xml:space="preserve"> w</w:t>
      </w:r>
      <w:r w:rsidR="00675DC8">
        <w:t>h</w:t>
      </w:r>
      <w:r>
        <w:t>e</w:t>
      </w:r>
      <w:r w:rsidR="00675DC8">
        <w:t>the</w:t>
      </w:r>
      <w:r>
        <w:t>r these attempts were successful, partially successful or unsuccessful?</w:t>
      </w:r>
    </w:p>
    <w:p w14:paraId="663919ED" w14:textId="2E4F88C8" w:rsidR="00735B1F" w:rsidRDefault="000036A6" w:rsidP="003613F2">
      <w:pPr>
        <w:pStyle w:val="Heading3"/>
      </w:pPr>
      <w:r>
        <w:t>Supporting</w:t>
      </w:r>
      <w:r w:rsidR="00735B1F">
        <w:t xml:space="preserve"> relevant policy objectives and priorities (regional, rural, and remote connectivity, investment and competition)</w:t>
      </w:r>
    </w:p>
    <w:p w14:paraId="367B0C09" w14:textId="6355A039" w:rsidR="00C15CAE" w:rsidRDefault="00C15CAE" w:rsidP="003613F2">
      <w:pPr>
        <w:pStyle w:val="Paragraphbeforelist"/>
      </w:pPr>
      <w:r>
        <w:t>We</w:t>
      </w:r>
      <w:r w:rsidDel="00124654">
        <w:t xml:space="preserve"> </w:t>
      </w:r>
      <w:r>
        <w:t>seek views, evidence and analysis from prospective alternative licensees relating to</w:t>
      </w:r>
      <w:r w:rsidR="00735B1F">
        <w:t>:</w:t>
      </w:r>
    </w:p>
    <w:p w14:paraId="2BB8D4F1" w14:textId="19108BC0" w:rsidR="001F43D0" w:rsidRDefault="007412E9" w:rsidP="005F16BA">
      <w:pPr>
        <w:pStyle w:val="Bulletlevel1"/>
      </w:pPr>
      <w:r>
        <w:t>advantages and disadvantages</w:t>
      </w:r>
      <w:r w:rsidR="00735B1F">
        <w:t xml:space="preserve"> associated with purs</w:t>
      </w:r>
      <w:r w:rsidR="00302ABE">
        <w:t>u</w:t>
      </w:r>
      <w:r w:rsidR="00735B1F">
        <w:t xml:space="preserve">ing </w:t>
      </w:r>
      <w:r w:rsidR="00D266DD">
        <w:t xml:space="preserve">relevant </w:t>
      </w:r>
      <w:r w:rsidR="00735B1F">
        <w:t xml:space="preserve">policy objectives </w:t>
      </w:r>
      <w:r w:rsidR="00D266DD">
        <w:t xml:space="preserve">and </w:t>
      </w:r>
      <w:r w:rsidR="00931E78">
        <w:t>priorities</w:t>
      </w:r>
      <w:r w:rsidR="0063244C">
        <w:t xml:space="preserve"> </w:t>
      </w:r>
      <w:r w:rsidR="00931E78" w:rsidRPr="00B64B36">
        <w:t>through</w:t>
      </w:r>
      <w:r w:rsidR="001F43D0">
        <w:t>:</w:t>
      </w:r>
    </w:p>
    <w:p w14:paraId="53D875A9" w14:textId="0B759BA5" w:rsidR="00735B1F" w:rsidRDefault="00735B1F" w:rsidP="004431FE">
      <w:pPr>
        <w:pStyle w:val="Bulletlevel2"/>
        <w:ind w:left="590" w:hanging="295"/>
      </w:pPr>
      <w:r>
        <w:t xml:space="preserve">the radiocommunications regulatory framework, such as secondary market activity, licence conditions, and use of new technologies, including </w:t>
      </w:r>
      <w:proofErr w:type="gramStart"/>
      <w:r>
        <w:t>LEOsats</w:t>
      </w:r>
      <w:proofErr w:type="gramEnd"/>
    </w:p>
    <w:p w14:paraId="79FFA3C0" w14:textId="77777777" w:rsidR="00373D89" w:rsidRDefault="00373D89" w:rsidP="004431FE">
      <w:pPr>
        <w:pStyle w:val="Bulletlevel2"/>
        <w:ind w:left="590" w:hanging="295"/>
      </w:pPr>
      <w:r>
        <w:t xml:space="preserve">other policies, programs or regulatory frameworks, such as carrier obligations under the </w:t>
      </w:r>
      <w:r w:rsidRPr="00140899">
        <w:rPr>
          <w:i/>
          <w:iCs/>
        </w:rPr>
        <w:t>Telecommunications Act 1997</w:t>
      </w:r>
      <w:r>
        <w:t xml:space="preserve">, roaming regulatory arrangements </w:t>
      </w:r>
      <w:r>
        <w:lastRenderedPageBreak/>
        <w:t xml:space="preserve">under the </w:t>
      </w:r>
      <w:r w:rsidRPr="00140899">
        <w:rPr>
          <w:i/>
          <w:iCs/>
        </w:rPr>
        <w:t>Competition and Consumer Act 2010</w:t>
      </w:r>
      <w:r>
        <w:t xml:space="preserve">, and relevant government policies and </w:t>
      </w:r>
      <w:proofErr w:type="gramStart"/>
      <w:r>
        <w:t>programs</w:t>
      </w:r>
      <w:proofErr w:type="gramEnd"/>
    </w:p>
    <w:p w14:paraId="057DABC6" w14:textId="77777777" w:rsidR="00780AC8" w:rsidRPr="00B64B36" w:rsidRDefault="00735B1F" w:rsidP="005F16BA">
      <w:pPr>
        <w:pStyle w:val="Bulletlevel1"/>
      </w:pPr>
      <w:r>
        <w:t xml:space="preserve">uses of the </w:t>
      </w:r>
      <w:r w:rsidRPr="00B64B36">
        <w:t xml:space="preserve">spectrum that address First Nations Australia’s digital </w:t>
      </w:r>
      <w:proofErr w:type="gramStart"/>
      <w:r w:rsidRPr="00B64B36">
        <w:t>inclusion</w:t>
      </w:r>
      <w:proofErr w:type="gramEnd"/>
    </w:p>
    <w:p w14:paraId="623A604E" w14:textId="72E1E184" w:rsidR="00780AC8" w:rsidRDefault="00780AC8" w:rsidP="005F16BA">
      <w:pPr>
        <w:pStyle w:val="Bulletlevel1"/>
      </w:pPr>
      <w:r w:rsidRPr="00B64B36">
        <w:t>how current and proposed uses of the spectrum could align with the objective in the MPS relating to</w:t>
      </w:r>
      <w:r>
        <w:t xml:space="preserve"> connectivity and investment</w:t>
      </w:r>
      <w:r w:rsidR="00050BC8">
        <w:t xml:space="preserve">, with a focus on regional and remote areas, </w:t>
      </w:r>
      <w:r>
        <w:t>to deliver improved services to end users, with reference to</w:t>
      </w:r>
      <w:r w:rsidR="00537697">
        <w:t>:</w:t>
      </w:r>
    </w:p>
    <w:p w14:paraId="7F6E5F4E" w14:textId="77777777" w:rsidR="00373D89" w:rsidRDefault="00373D89" w:rsidP="004431FE">
      <w:pPr>
        <w:pStyle w:val="Bulletlevel2"/>
        <w:ind w:left="590" w:hanging="295"/>
      </w:pPr>
      <w:r>
        <w:t xml:space="preserve">an </w:t>
      </w:r>
      <w:r w:rsidRPr="002552B5">
        <w:t xml:space="preserve">increased availability and choice of services for end users, </w:t>
      </w:r>
      <w:proofErr w:type="gramStart"/>
      <w:r w:rsidRPr="002552B5">
        <w:t>in particular for</w:t>
      </w:r>
      <w:proofErr w:type="gramEnd"/>
      <w:r w:rsidRPr="002552B5">
        <w:t xml:space="preserve"> end users with limited options under existing arrangements</w:t>
      </w:r>
      <w:r>
        <w:t>;</w:t>
      </w:r>
      <w:r w:rsidRPr="002552B5">
        <w:t xml:space="preserve"> voice and data mobile network coverage</w:t>
      </w:r>
      <w:r>
        <w:t>; and</w:t>
      </w:r>
      <w:r w:rsidRPr="002552B5">
        <w:t xml:space="preserve"> access to high-speed data services</w:t>
      </w:r>
    </w:p>
    <w:p w14:paraId="12C2F0C8" w14:textId="43FC35AD" w:rsidR="00735B1F" w:rsidRDefault="00780AC8" w:rsidP="004431FE">
      <w:pPr>
        <w:pStyle w:val="Bulletlevel2"/>
        <w:ind w:left="590" w:hanging="295"/>
      </w:pPr>
      <w:r w:rsidRPr="00352802">
        <w:t>the National Agreement on Closing the Gap, particularly the Access to Information outcome (Outcome 17</w:t>
      </w:r>
      <w:r>
        <w:t>)</w:t>
      </w:r>
      <w:r w:rsidR="00735B1F">
        <w:t>.</w:t>
      </w:r>
    </w:p>
    <w:p w14:paraId="008B185E" w14:textId="7111DD03" w:rsidR="00D57398" w:rsidRDefault="00D57398" w:rsidP="00D57398">
      <w:pPr>
        <w:pStyle w:val="Heading2"/>
      </w:pPr>
      <w:bookmarkStart w:id="27" w:name="_Toc159360662"/>
      <w:bookmarkStart w:id="28" w:name="_Toc161756529"/>
      <w:r>
        <w:t>Resilience and temporary disaster responses</w:t>
      </w:r>
      <w:bookmarkEnd w:id="27"/>
      <w:bookmarkEnd w:id="28"/>
    </w:p>
    <w:p w14:paraId="73326D8A" w14:textId="71B5F7BE" w:rsidR="00D57398" w:rsidRDefault="00D57398" w:rsidP="00D57398">
      <w:pPr>
        <w:pStyle w:val="Paragraph"/>
      </w:pPr>
      <w:r>
        <w:t xml:space="preserve">The minister has asked that </w:t>
      </w:r>
      <w:r w:rsidR="00403C64">
        <w:t>we</w:t>
      </w:r>
      <w:r w:rsidDel="00403C64">
        <w:t xml:space="preserve"> </w:t>
      </w:r>
      <w:r>
        <w:t>seek views from stakeholders about resilience and temporary disaster responses that arise in the context of spectrum licences and their renewal</w:t>
      </w:r>
      <w:r w:rsidR="00E82516">
        <w:t>,</w:t>
      </w:r>
      <w:r>
        <w:t xml:space="preserve"> and </w:t>
      </w:r>
      <w:r w:rsidR="00767361">
        <w:t xml:space="preserve">that we </w:t>
      </w:r>
      <w:r>
        <w:t xml:space="preserve">provide advice to the </w:t>
      </w:r>
      <w:r w:rsidR="00235AAD">
        <w:t>m</w:t>
      </w:r>
      <w:r>
        <w:t xml:space="preserve">inister. </w:t>
      </w:r>
    </w:p>
    <w:p w14:paraId="76D8A456" w14:textId="37B4992D" w:rsidR="00D57398" w:rsidRDefault="00D57398" w:rsidP="00D57398">
      <w:pPr>
        <w:pStyle w:val="Paragraph"/>
      </w:pPr>
      <w:r>
        <w:t xml:space="preserve">Resilience of telecommunications infrastructure to natural disasters, and the availability of communications services during emergencies, were raised </w:t>
      </w:r>
      <w:r w:rsidR="3025152D">
        <w:t xml:space="preserve">most recently </w:t>
      </w:r>
      <w:r>
        <w:t xml:space="preserve">in the House of </w:t>
      </w:r>
      <w:r w:rsidRPr="00B32388">
        <w:t>Representatives</w:t>
      </w:r>
      <w:r w:rsidRPr="003613F2">
        <w:t xml:space="preserve"> Standing Committee on Communications and the Arts’ 2023 report </w:t>
      </w:r>
      <w:hyperlink r:id="rId31" w:history="1">
        <w:r w:rsidRPr="00E90AF7">
          <w:rPr>
            <w:rStyle w:val="Hyperlink"/>
          </w:rPr>
          <w:t>Connecting the country: Mission critical – Inquiry into co-investment in multi-carrier regional mobile infrastructure</w:t>
        </w:r>
      </w:hyperlink>
      <w:r w:rsidRPr="003613F2">
        <w:t xml:space="preserve">. </w:t>
      </w:r>
      <w:r w:rsidR="005B6214">
        <w:t xml:space="preserve">We </w:t>
      </w:r>
      <w:r w:rsidR="1D2B31DB" w:rsidRPr="003613F2">
        <w:t xml:space="preserve">understand that </w:t>
      </w:r>
      <w:r w:rsidR="00C02B55">
        <w:t>g</w:t>
      </w:r>
      <w:r w:rsidR="1D2B31DB" w:rsidRPr="003613F2">
        <w:t>overnment is considering the recommendations of this report.</w:t>
      </w:r>
      <w:r w:rsidR="1D2B31DB">
        <w:rPr>
          <w:u w:color="0000FF"/>
        </w:rPr>
        <w:t xml:space="preserve"> </w:t>
      </w:r>
    </w:p>
    <w:p w14:paraId="7025798A" w14:textId="2B815F34" w:rsidR="00D57398" w:rsidRDefault="00D57398" w:rsidP="00D57398">
      <w:pPr>
        <w:pStyle w:val="Paragraph"/>
        <w:rPr>
          <w:rStyle w:val="normaltextrun"/>
        </w:rPr>
      </w:pPr>
      <w:r>
        <w:rPr>
          <w:rStyle w:val="normaltextrun"/>
        </w:rPr>
        <w:t xml:space="preserve">In 2022, the </w:t>
      </w:r>
      <w:r w:rsidR="00217EC9">
        <w:rPr>
          <w:rStyle w:val="normaltextrun"/>
        </w:rPr>
        <w:t>Australian Competition and Consumer Commission (</w:t>
      </w:r>
      <w:r>
        <w:rPr>
          <w:rStyle w:val="normaltextrun"/>
        </w:rPr>
        <w:t>ACCC</w:t>
      </w:r>
      <w:r w:rsidR="00217EC9">
        <w:rPr>
          <w:rStyle w:val="normaltextrun"/>
        </w:rPr>
        <w:t>)</w:t>
      </w:r>
      <w:r>
        <w:rPr>
          <w:rStyle w:val="normaltextrun"/>
        </w:rPr>
        <w:t xml:space="preserve"> was directed by the then </w:t>
      </w:r>
      <w:r>
        <w:t>Minister for Communications</w:t>
      </w:r>
      <w:r>
        <w:rPr>
          <w:rStyle w:val="normaltextrun"/>
        </w:rPr>
        <w:t xml:space="preserve"> to conduct an inquiry into matters relating to regional mobile infrastructure, including the feasibility of providing roaming during national disasters and other emergencies. T</w:t>
      </w:r>
      <w:r w:rsidRPr="008223EB">
        <w:rPr>
          <w:rStyle w:val="normaltextrun"/>
        </w:rPr>
        <w:t>he ACCC</w:t>
      </w:r>
      <w:r>
        <w:rPr>
          <w:rStyle w:val="normaltextrun"/>
        </w:rPr>
        <w:t xml:space="preserve"> </w:t>
      </w:r>
      <w:r w:rsidRPr="008223EB">
        <w:rPr>
          <w:rStyle w:val="normaltextrun"/>
        </w:rPr>
        <w:t xml:space="preserve">identified </w:t>
      </w:r>
      <w:r>
        <w:rPr>
          <w:rStyle w:val="normaltextrun"/>
        </w:rPr>
        <w:t>that ‘</w:t>
      </w:r>
      <w:r w:rsidRPr="008223EB">
        <w:rPr>
          <w:rStyle w:val="normaltextrun"/>
        </w:rPr>
        <w:t>temporary roaming</w:t>
      </w:r>
      <w:r>
        <w:rPr>
          <w:rStyle w:val="normaltextrun"/>
        </w:rPr>
        <w:t>’</w:t>
      </w:r>
      <w:r w:rsidRPr="008223EB">
        <w:rPr>
          <w:rStyle w:val="normaltextrun"/>
        </w:rPr>
        <w:t xml:space="preserve"> in emergencies is </w:t>
      </w:r>
      <w:r>
        <w:rPr>
          <w:rStyle w:val="normaltextrun"/>
        </w:rPr>
        <w:t xml:space="preserve">technically feasible, and the </w:t>
      </w:r>
      <w:r w:rsidR="005C5BC8" w:rsidRPr="003C18A0">
        <w:rPr>
          <w:rStyle w:val="normaltextrun"/>
        </w:rPr>
        <w:t>c</w:t>
      </w:r>
      <w:r w:rsidRPr="003C18A0">
        <w:rPr>
          <w:rStyle w:val="normaltextrun"/>
        </w:rPr>
        <w:t>ommittee</w:t>
      </w:r>
      <w:r>
        <w:rPr>
          <w:rStyle w:val="normaltextrun"/>
        </w:rPr>
        <w:t xml:space="preserve"> recommended that government establish a working group involving relevant stakeholders to develop protocols for temporary roaming arrangements in declared disasters and emergencies. </w:t>
      </w:r>
    </w:p>
    <w:p w14:paraId="68B49E8A" w14:textId="53A78AF1" w:rsidR="00D57398" w:rsidRDefault="00D57398" w:rsidP="00D57398">
      <w:pPr>
        <w:pStyle w:val="Paragraph"/>
        <w:rPr>
          <w:rStyle w:val="normaltextrun"/>
        </w:rPr>
      </w:pPr>
      <w:r>
        <w:rPr>
          <w:rStyle w:val="normaltextrun"/>
        </w:rPr>
        <w:t xml:space="preserve">We note that further rounds of the government’s </w:t>
      </w:r>
      <w:hyperlink r:id="rId32" w:history="1">
        <w:r w:rsidRPr="00453D80">
          <w:rPr>
            <w:rStyle w:val="Hyperlink"/>
          </w:rPr>
          <w:t>Mobile Network Hardening Program</w:t>
        </w:r>
      </w:hyperlink>
      <w:r>
        <w:rPr>
          <w:rStyle w:val="normaltextrun"/>
        </w:rPr>
        <w:t xml:space="preserve">, are expected in 2024, and that outcomes of the government’s </w:t>
      </w:r>
      <w:hyperlink r:id="rId33" w:history="1">
        <w:r w:rsidRPr="005C0F29">
          <w:rPr>
            <w:rStyle w:val="Hyperlink"/>
          </w:rPr>
          <w:t>Telecommunications Disaster Resilience Innovation Program</w:t>
        </w:r>
      </w:hyperlink>
      <w:r>
        <w:rPr>
          <w:rStyle w:val="normaltextrun"/>
        </w:rPr>
        <w:t xml:space="preserve"> are expected to be announced in early 2024. </w:t>
      </w:r>
    </w:p>
    <w:p w14:paraId="184DCB01" w14:textId="57A044C9" w:rsidR="00330FC4" w:rsidRPr="00330FC4" w:rsidRDefault="00D57398" w:rsidP="00330FC4">
      <w:pPr>
        <w:pStyle w:val="Paragraph"/>
      </w:pPr>
      <w:r>
        <w:rPr>
          <w:rStyle w:val="normaltextrun"/>
        </w:rPr>
        <w:t xml:space="preserve">We will consider views provided by stakeholders and provide advice to the </w:t>
      </w:r>
      <w:r w:rsidR="00C64E0D">
        <w:rPr>
          <w:rStyle w:val="normaltextrun"/>
        </w:rPr>
        <w:t>m</w:t>
      </w:r>
      <w:r>
        <w:rPr>
          <w:rStyle w:val="normaltextrun"/>
        </w:rPr>
        <w:t xml:space="preserve">inister in connection with our advice on the effectiveness </w:t>
      </w:r>
      <w:r w:rsidR="32CF308A" w:rsidRPr="22FF8CA1">
        <w:rPr>
          <w:rStyle w:val="normaltextrun"/>
        </w:rPr>
        <w:t>of</w:t>
      </w:r>
      <w:r w:rsidR="004378CC">
        <w:rPr>
          <w:rStyle w:val="normaltextrun"/>
        </w:rPr>
        <w:t xml:space="preserve"> </w:t>
      </w:r>
      <w:r>
        <w:rPr>
          <w:rStyle w:val="normaltextrun"/>
        </w:rPr>
        <w:t>alternative licen</w:t>
      </w:r>
      <w:r w:rsidR="00FB291E">
        <w:rPr>
          <w:rStyle w:val="normaltextrun"/>
        </w:rPr>
        <w:t>ce</w:t>
      </w:r>
      <w:r>
        <w:rPr>
          <w:rStyle w:val="normaltextrun"/>
        </w:rPr>
        <w:t xml:space="preserve"> conditions discussed </w:t>
      </w:r>
      <w:r w:rsidR="003A3536">
        <w:rPr>
          <w:rStyle w:val="normaltextrun"/>
        </w:rPr>
        <w:t xml:space="preserve">later </w:t>
      </w:r>
      <w:r>
        <w:rPr>
          <w:rStyle w:val="normaltextrun"/>
        </w:rPr>
        <w:t xml:space="preserve">in this paper. </w:t>
      </w:r>
    </w:p>
    <w:p w14:paraId="3A007F07" w14:textId="18DC34D0" w:rsidR="005F7838" w:rsidRDefault="00AE0F2D" w:rsidP="005F7838">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FC76DF">
        <w:t xml:space="preserve">We </w:t>
      </w:r>
      <w:r>
        <w:t xml:space="preserve">welcome </w:t>
      </w:r>
      <w:r w:rsidRPr="00AF7A85">
        <w:rPr>
          <w:rStyle w:val="ParagraphChar"/>
        </w:rPr>
        <w:t>feedback from stakeholders concerning resilience and temporary disaster responses that arise in the context of spectrum licences and the ESL</w:t>
      </w:r>
      <w:r w:rsidRPr="00FC76DF">
        <w:t xml:space="preserve"> process</w:t>
      </w:r>
      <w:r>
        <w:t>.</w:t>
      </w:r>
    </w:p>
    <w:p w14:paraId="4463F958" w14:textId="585FF99E" w:rsidR="00D57398" w:rsidRDefault="00D57398" w:rsidP="00D57398">
      <w:pPr>
        <w:pStyle w:val="Heading2"/>
      </w:pPr>
      <w:bookmarkStart w:id="29" w:name="_Toc159360663"/>
      <w:bookmarkStart w:id="30" w:name="_Toc161756530"/>
      <w:r>
        <w:t>Coverage maps</w:t>
      </w:r>
      <w:bookmarkEnd w:id="29"/>
      <w:bookmarkEnd w:id="30"/>
    </w:p>
    <w:p w14:paraId="4A617A3D" w14:textId="50815EE1" w:rsidR="00D57398" w:rsidRDefault="00D57398" w:rsidP="00D57398">
      <w:pPr>
        <w:pStyle w:val="Paragraph"/>
      </w:pPr>
      <w:r>
        <w:t xml:space="preserve">As </w:t>
      </w:r>
      <w:r w:rsidR="00BA0BB2">
        <w:t>confirmed in our finalised framework</w:t>
      </w:r>
      <w:r>
        <w:t xml:space="preserve">, we recognise the issues raised by stakeholders </w:t>
      </w:r>
      <w:r w:rsidR="004F3050">
        <w:t xml:space="preserve">about </w:t>
      </w:r>
      <w:r>
        <w:t xml:space="preserve">developing new coverage maps and </w:t>
      </w:r>
      <w:r w:rsidR="005030FC">
        <w:t>information</w:t>
      </w:r>
      <w:r w:rsidR="003C7C3E">
        <w:t>,</w:t>
      </w:r>
      <w:r>
        <w:t xml:space="preserve"> and the use of coverage maps more generally as prox</w:t>
      </w:r>
      <w:r w:rsidR="003C7C3E">
        <w:t>ies</w:t>
      </w:r>
      <w:r>
        <w:t xml:space="preserve"> for use</w:t>
      </w:r>
      <w:r w:rsidR="00BA0BB2">
        <w:t xml:space="preserve"> of the spectrum</w:t>
      </w:r>
      <w:r>
        <w:t>. Some</w:t>
      </w:r>
      <w:r w:rsidDel="00BA0BB2">
        <w:t xml:space="preserve"> </w:t>
      </w:r>
      <w:r>
        <w:t xml:space="preserve">stakeholders indicated that, as they were already required to produce coverage maps for the purposes of the </w:t>
      </w:r>
      <w:hyperlink r:id="rId34" w:history="1">
        <w:r w:rsidR="00E80495" w:rsidRPr="003613F2">
          <w:rPr>
            <w:rStyle w:val="Hyperlink"/>
          </w:rPr>
          <w:t>Audit of Telecommunications Infrastructure Assets – Record Keeping Rules</w:t>
        </w:r>
      </w:hyperlink>
      <w:r w:rsidR="00E80495" w:rsidRPr="003613F2">
        <w:t xml:space="preserve"> </w:t>
      </w:r>
      <w:r w:rsidR="00E80495">
        <w:t>(</w:t>
      </w:r>
      <w:r w:rsidR="004F3050">
        <w:t xml:space="preserve">the </w:t>
      </w:r>
      <w:r w:rsidR="00E80495">
        <w:t>Infrastructure RKR)</w:t>
      </w:r>
      <w:r w:rsidR="00435E5C">
        <w:t xml:space="preserve"> </w:t>
      </w:r>
      <w:r>
        <w:t xml:space="preserve">the ACMA should rely on these coverage maps. We </w:t>
      </w:r>
      <w:r w:rsidR="00BF376F">
        <w:t xml:space="preserve">note that </w:t>
      </w:r>
      <w:r>
        <w:t xml:space="preserve">coverage maps </w:t>
      </w:r>
      <w:r w:rsidR="0088173A">
        <w:t xml:space="preserve">developed specifically for the ESL process </w:t>
      </w:r>
      <w:r>
        <w:t xml:space="preserve">would </w:t>
      </w:r>
      <w:r w:rsidR="00BF376F">
        <w:t xml:space="preserve">not necessarily </w:t>
      </w:r>
      <w:r w:rsidR="002D3F89">
        <w:t xml:space="preserve">be of greater utility than </w:t>
      </w:r>
      <w:r w:rsidR="00E80495">
        <w:t xml:space="preserve">existing maps </w:t>
      </w:r>
      <w:r>
        <w:t xml:space="preserve">in developing preliminary views as part of </w:t>
      </w:r>
      <w:r w:rsidR="007A4072">
        <w:t>s</w:t>
      </w:r>
      <w:r>
        <w:t xml:space="preserve">tage 3 of </w:t>
      </w:r>
      <w:r w:rsidR="001D1A09">
        <w:t xml:space="preserve">the </w:t>
      </w:r>
      <w:r>
        <w:t xml:space="preserve">ESL process. </w:t>
      </w:r>
    </w:p>
    <w:p w14:paraId="6DC40CCA" w14:textId="45D0A446" w:rsidR="0071009B" w:rsidRDefault="000544C6" w:rsidP="00402B43">
      <w:pPr>
        <w:pStyle w:val="Paragraph"/>
      </w:pPr>
      <w:r>
        <w:lastRenderedPageBreak/>
        <w:t xml:space="preserve">We are therefore </w:t>
      </w:r>
      <w:r w:rsidR="00E316BA">
        <w:t xml:space="preserve">proposing to examine </w:t>
      </w:r>
      <w:r w:rsidR="00367A9C">
        <w:t xml:space="preserve">coverage maps provided by MNOs and NBN Co to the ACCC in connection with the Infrastructure RKR for the year 2024. We will also review coverage maps collected by the ACCC in previous years through the Infrastructure RKR. </w:t>
      </w:r>
    </w:p>
    <w:p w14:paraId="17A9B513" w14:textId="24287BDC" w:rsidR="00D57398" w:rsidRDefault="00D57398" w:rsidP="00D57398">
      <w:pPr>
        <w:pStyle w:val="Paragraph"/>
      </w:pPr>
      <w:r>
        <w:t xml:space="preserve">Coverage maps provided by MNOs </w:t>
      </w:r>
      <w:r w:rsidR="00384034">
        <w:t xml:space="preserve">for </w:t>
      </w:r>
      <w:r>
        <w:t xml:space="preserve">the Infrastructure RKR process have been made </w:t>
      </w:r>
      <w:hyperlink r:id="rId35" w:history="1">
        <w:r w:rsidRPr="00017F6B">
          <w:rPr>
            <w:rStyle w:val="Hyperlink"/>
          </w:rPr>
          <w:t>publicly available</w:t>
        </w:r>
      </w:hyperlink>
      <w:r>
        <w:t xml:space="preserve"> </w:t>
      </w:r>
      <w:r w:rsidR="00C908F8">
        <w:t>since</w:t>
      </w:r>
      <w:r>
        <w:t xml:space="preserve"> 2018. These maps, as aggregated by the ACCC, indicate the areas in which each MNO has predicted that it </w:t>
      </w:r>
      <w:r w:rsidR="00DF4272">
        <w:t>has made</w:t>
      </w:r>
      <w:r w:rsidR="00DF4272" w:rsidRPr="00EC16BB">
        <w:t xml:space="preserve"> </w:t>
      </w:r>
      <w:r w:rsidR="00A43023">
        <w:t>a service available</w:t>
      </w:r>
      <w:r>
        <w:t xml:space="preserve"> under certain parameters, the technology used (for example, LTE or 5G) and the frequency band used.</w:t>
      </w:r>
      <w:r w:rsidRPr="00F22D5F">
        <w:rPr>
          <w:rStyle w:val="FootnoteReference"/>
        </w:rPr>
        <w:footnoteReference w:id="11"/>
      </w:r>
      <w:r>
        <w:t xml:space="preserve"> </w:t>
      </w:r>
    </w:p>
    <w:p w14:paraId="64945146" w14:textId="73DBDC95" w:rsidR="00D57398" w:rsidRDefault="00D57398" w:rsidP="00D57398">
      <w:pPr>
        <w:pStyle w:val="Paragraph"/>
      </w:pPr>
      <w:r>
        <w:t xml:space="preserve">Coverage </w:t>
      </w:r>
      <w:r w:rsidR="00A37D6F">
        <w:t xml:space="preserve">information </w:t>
      </w:r>
      <w:r>
        <w:t xml:space="preserve">provided by NBN Co </w:t>
      </w:r>
      <w:r w:rsidR="00DD4506">
        <w:t>under</w:t>
      </w:r>
      <w:r>
        <w:t xml:space="preserve"> the Infrastructure RKR process ha</w:t>
      </w:r>
      <w:r w:rsidR="00DA0F1E">
        <w:t>s</w:t>
      </w:r>
      <w:r>
        <w:t xml:space="preserve"> not been made publicly available. We will therefore seek disclosure of historic </w:t>
      </w:r>
      <w:r w:rsidR="000F0536">
        <w:t xml:space="preserve">NBN Co </w:t>
      </w:r>
      <w:r>
        <w:t>coverage maps from the ACCC</w:t>
      </w:r>
      <w:r w:rsidR="00E95BDD">
        <w:t>.</w:t>
      </w:r>
    </w:p>
    <w:p w14:paraId="28FECD30" w14:textId="717867DE" w:rsidR="00D57398" w:rsidRDefault="00D57398" w:rsidP="00D57398">
      <w:pPr>
        <w:pStyle w:val="Paragraph"/>
      </w:pPr>
      <w:r>
        <w:t>While coverage maps can provide a proxy of where spectrum has been used by licensees, they do not directly indicate spectrum utilisation or interference potential</w:t>
      </w:r>
      <w:r w:rsidR="003F0A54">
        <w:t xml:space="preserve"> considerations</w:t>
      </w:r>
      <w:r>
        <w:t xml:space="preserve">, as signals may propagate far beyond the areas in which a usable service is predicted. We also recognise that coverage maps reflect predicted coverage based on a variety of inputs that may vary between operators and years, limiting direct </w:t>
      </w:r>
      <w:r w:rsidR="00A0014E">
        <w:t xml:space="preserve">comparison </w:t>
      </w:r>
      <w:r>
        <w:t xml:space="preserve">between different operators and different years. </w:t>
      </w:r>
    </w:p>
    <w:p w14:paraId="52126D59" w14:textId="1F9E84D4" w:rsidR="00D57398" w:rsidRDefault="006108C4" w:rsidP="00D57398">
      <w:pPr>
        <w:pStyle w:val="Paragraph"/>
      </w:pPr>
      <w:r>
        <w:t xml:space="preserve">Coverage maps </w:t>
      </w:r>
      <w:r w:rsidR="00D57398">
        <w:t xml:space="preserve">also do not indicate the total bandwidth used (as this may fluctuate over time) but generally indicate which frequency bands have been used. Coverage maps also do not generally indicate where service coverage is planned, or where there may be difficulties providing coverage for a range of reasons. </w:t>
      </w:r>
    </w:p>
    <w:p w14:paraId="35D54114" w14:textId="029CAA90" w:rsidR="00D57398" w:rsidRDefault="00D57398" w:rsidP="00D57398">
      <w:pPr>
        <w:pStyle w:val="Paragraph"/>
      </w:pPr>
      <w:r>
        <w:t xml:space="preserve">These factors limit the </w:t>
      </w:r>
      <w:r w:rsidR="00447A8F">
        <w:t xml:space="preserve">extent to which </w:t>
      </w:r>
      <w:r>
        <w:t xml:space="preserve">coverage maps alone </w:t>
      </w:r>
      <w:r w:rsidR="00447A8F">
        <w:t xml:space="preserve">may inform </w:t>
      </w:r>
      <w:r>
        <w:t>the design of potential changes to licence conditions, such as licence boundaries.</w:t>
      </w:r>
      <w:r w:rsidR="008A3A65">
        <w:t xml:space="preserve"> </w:t>
      </w:r>
      <w:r>
        <w:t>However, coverage maps are useful for understanding where licensees have provided a service using, which bands have been used, and the availability of services to the public. These matters are important in considering the public interest derived from the spectrum.</w:t>
      </w:r>
    </w:p>
    <w:p w14:paraId="512E6AF1" w14:textId="47DACBBA" w:rsidR="00D57398" w:rsidRDefault="00D57398" w:rsidP="00D57398">
      <w:pPr>
        <w:pStyle w:val="Paragraph"/>
      </w:pPr>
      <w:r>
        <w:t>We are therefore not proposing to solely rely upon coverage maps in developing views around technical parameters. Instead, we will use them as one input into forming preliminary views about the overall use of spectrum licensed bands, and the public benefit derived from the use of the spectrum. We will use coverage maps to examine the uses t</w:t>
      </w:r>
      <w:r w:rsidR="00FC5556">
        <w:t xml:space="preserve">o which </w:t>
      </w:r>
      <w:r>
        <w:t xml:space="preserve">overall spectrum holdings have been put, and the geographic areas where services have been indicated as available to the public in considering the public interest derived from that spectrum. </w:t>
      </w:r>
    </w:p>
    <w:p w14:paraId="7CC96EBF" w14:textId="77777777" w:rsidR="00D57398" w:rsidRDefault="00D57398" w:rsidP="00D57398">
      <w:pPr>
        <w:pStyle w:val="Paragraph"/>
      </w:pPr>
      <w:r>
        <w:t xml:space="preserve">We also note that we will consult with stakeholders on all preliminary views as a part of stage 3. </w:t>
      </w:r>
    </w:p>
    <w:p w14:paraId="6930F3EA" w14:textId="79B5EE78" w:rsidR="00D57398" w:rsidRPr="00452B76" w:rsidRDefault="00D57398" w:rsidP="00C87AB6">
      <w:pPr>
        <w:pStyle w:val="Paragraph"/>
      </w:pPr>
      <w:r w:rsidRPr="001E79B0">
        <w:t xml:space="preserve">We </w:t>
      </w:r>
      <w:r>
        <w:t xml:space="preserve">also </w:t>
      </w:r>
      <w:r w:rsidRPr="001E79B0">
        <w:t>do not propose to seek coverage maps from the rail operators or the broadcasters</w:t>
      </w:r>
      <w:r w:rsidR="00A462B3">
        <w:t>,</w:t>
      </w:r>
      <w:r w:rsidRPr="001E79B0">
        <w:t xml:space="preserve"> as they would likely offer limited utility in assessing their respective use of the spectrum</w:t>
      </w:r>
      <w:r w:rsidR="003D6389">
        <w:t>.</w:t>
      </w:r>
    </w:p>
    <w:p w14:paraId="7DABF500" w14:textId="0FC54AF4" w:rsidR="00EC79CE" w:rsidRPr="00EC79CE" w:rsidRDefault="006316D7" w:rsidP="0065502E">
      <w:pPr>
        <w:pStyle w:val="Heading3"/>
        <w:keepLines/>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b w:val="0"/>
        </w:rPr>
      </w:pPr>
      <w:r>
        <w:rPr>
          <w:b w:val="0"/>
        </w:rPr>
        <w:lastRenderedPageBreak/>
        <w:t xml:space="preserve">We </w:t>
      </w:r>
      <w:r w:rsidR="00EC79CE" w:rsidRPr="00EC79CE">
        <w:rPr>
          <w:b w:val="0"/>
        </w:rPr>
        <w:t>are seeking</w:t>
      </w:r>
      <w:r w:rsidR="008B0A04">
        <w:rPr>
          <w:b w:val="0"/>
        </w:rPr>
        <w:t xml:space="preserve"> coverage and </w:t>
      </w:r>
      <w:r w:rsidR="00F85A99">
        <w:rPr>
          <w:b w:val="0"/>
        </w:rPr>
        <w:t>site</w:t>
      </w:r>
      <w:r w:rsidR="00EC79CE" w:rsidRPr="00EC79CE">
        <w:rPr>
          <w:b w:val="0"/>
        </w:rPr>
        <w:t xml:space="preserve"> information provided by each of the MNOs and NBN Co to the ACCC</w:t>
      </w:r>
      <w:r w:rsidR="00D95F6C">
        <w:rPr>
          <w:b w:val="0"/>
        </w:rPr>
        <w:t xml:space="preserve"> about their </w:t>
      </w:r>
      <w:r w:rsidR="00A65C7D">
        <w:rPr>
          <w:b w:val="0"/>
        </w:rPr>
        <w:t>mobile and fixed wireless networks</w:t>
      </w:r>
      <w:r w:rsidR="00EC79CE" w:rsidRPr="00EC79CE">
        <w:rPr>
          <w:b w:val="0"/>
        </w:rPr>
        <w:t xml:space="preserve"> as required by the </w:t>
      </w:r>
      <w:hyperlink r:id="rId36" w:history="1">
        <w:r w:rsidR="00EC79CE" w:rsidRPr="00367A9C">
          <w:rPr>
            <w:rStyle w:val="Hyperlink"/>
            <w:b w:val="0"/>
          </w:rPr>
          <w:t>Infrastructure RKR for 2024</w:t>
        </w:r>
      </w:hyperlink>
      <w:r w:rsidR="00A65C7D">
        <w:rPr>
          <w:b w:val="0"/>
        </w:rPr>
        <w:t xml:space="preserve"> (</w:t>
      </w:r>
      <w:r w:rsidR="00B71A47">
        <w:rPr>
          <w:b w:val="0"/>
        </w:rPr>
        <w:t>rule</w:t>
      </w:r>
      <w:r w:rsidR="004E5383">
        <w:rPr>
          <w:b w:val="0"/>
        </w:rPr>
        <w:t xml:space="preserve"> 5, excluding information about fibre networks)</w:t>
      </w:r>
      <w:r w:rsidR="00EC79CE" w:rsidRPr="00EC79CE">
        <w:rPr>
          <w:b w:val="0"/>
        </w:rPr>
        <w:t xml:space="preserve">. We note that it would be preferable if geographic coverage area information is provided in shapefile format using the GDA94 coordinate system. </w:t>
      </w:r>
    </w:p>
    <w:p w14:paraId="53AD3445" w14:textId="48E2FD75" w:rsidR="00EC79CE" w:rsidRDefault="00EC79CE" w:rsidP="0065502E">
      <w:pPr>
        <w:pStyle w:val="Heading3"/>
        <w:keepLines/>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b w:val="0"/>
        </w:rPr>
      </w:pPr>
      <w:r w:rsidRPr="00EC79CE">
        <w:rPr>
          <w:b w:val="0"/>
        </w:rPr>
        <w:t>Noting the potential size of these files, the ACMA will contact relevant stakeholders (that is, the MNOs and NBN Co) directly to organise arrangements for the separate submission of coverage maps and information to the ACMA.</w:t>
      </w:r>
    </w:p>
    <w:p w14:paraId="21F02EF1" w14:textId="77777777" w:rsidR="00D57398" w:rsidRPr="00FC76DF" w:rsidRDefault="00D57398" w:rsidP="0065502E">
      <w:pPr>
        <w:pStyle w:val="Heading3"/>
        <w:keepLines/>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76DF">
        <w:rPr>
          <w:b w:val="0"/>
        </w:rPr>
        <w:t xml:space="preserve">We also welcome any views on approaches to examining use under existing licences. </w:t>
      </w:r>
    </w:p>
    <w:p w14:paraId="1645A9DF" w14:textId="727D7217" w:rsidR="00D57398" w:rsidRDefault="00D57398" w:rsidP="00D57398">
      <w:pPr>
        <w:pStyle w:val="Heading2"/>
      </w:pPr>
      <w:bookmarkStart w:id="31" w:name="_Toc159360664"/>
      <w:bookmarkStart w:id="32" w:name="_Toc161756531"/>
      <w:r>
        <w:t>Requests for further information</w:t>
      </w:r>
      <w:bookmarkEnd w:id="31"/>
      <w:bookmarkEnd w:id="32"/>
    </w:p>
    <w:p w14:paraId="09928D15" w14:textId="03836EB9" w:rsidR="00D57398" w:rsidRDefault="00D57398" w:rsidP="00F53C4E">
      <w:pPr>
        <w:pStyle w:val="Paragraph"/>
      </w:pPr>
      <w:r>
        <w:t xml:space="preserve">Submissions received </w:t>
      </w:r>
      <w:r w:rsidR="00A06C50">
        <w:t>as part of the</w:t>
      </w:r>
      <w:r>
        <w:t xml:space="preserve"> information</w:t>
      </w:r>
      <w:r w:rsidR="003D0C76">
        <w:t xml:space="preserve"> </w:t>
      </w:r>
      <w:r>
        <w:t>gathering exercise will inform our development of preliminary views at stage 3 of the ESL process.</w:t>
      </w:r>
    </w:p>
    <w:p w14:paraId="563B1387" w14:textId="7242717F" w:rsidR="00D57398" w:rsidRDefault="00D57398" w:rsidP="00F53C4E">
      <w:pPr>
        <w:pStyle w:val="Paragraph"/>
      </w:pPr>
      <w:r>
        <w:t xml:space="preserve">As noted in our </w:t>
      </w:r>
      <w:r w:rsidRPr="008043A4">
        <w:t>finalised framework</w:t>
      </w:r>
      <w:r>
        <w:t xml:space="preserve"> paper, it may be necessary for us to request specific information about </w:t>
      </w:r>
      <w:proofErr w:type="gramStart"/>
      <w:r>
        <w:t>particular ESLs</w:t>
      </w:r>
      <w:proofErr w:type="gramEnd"/>
      <w:r>
        <w:t xml:space="preserve"> </w:t>
      </w:r>
      <w:r w:rsidR="002771B8">
        <w:t>during</w:t>
      </w:r>
      <w:r>
        <w:t xml:space="preserve"> the ESL process</w:t>
      </w:r>
      <w:r w:rsidR="0043345C">
        <w:t>.</w:t>
      </w:r>
      <w:r>
        <w:t xml:space="preserve"> </w:t>
      </w:r>
      <w:r w:rsidR="0043345C">
        <w:t xml:space="preserve">This may be </w:t>
      </w:r>
      <w:r>
        <w:t xml:space="preserve">before renewal application periods (which </w:t>
      </w:r>
      <w:r w:rsidR="00FE69DD">
        <w:t xml:space="preserve">start </w:t>
      </w:r>
      <w:r>
        <w:t xml:space="preserve">2 years </w:t>
      </w:r>
      <w:r w:rsidR="00F12885">
        <w:t>before</w:t>
      </w:r>
      <w:r>
        <w:t xml:space="preserve"> licence expiry)</w:t>
      </w:r>
      <w:r w:rsidDel="00CD3609">
        <w:t>,</w:t>
      </w:r>
      <w:r>
        <w:t xml:space="preserve"> and in relation to </w:t>
      </w:r>
      <w:proofErr w:type="gramStart"/>
      <w:r w:rsidDel="000E399B">
        <w:t>making a decision</w:t>
      </w:r>
      <w:proofErr w:type="gramEnd"/>
      <w:r>
        <w:t xml:space="preserve"> on an application for renewal, where more granular information may be required.</w:t>
      </w:r>
    </w:p>
    <w:p w14:paraId="33690506" w14:textId="203C5DEC" w:rsidR="00D57398" w:rsidRDefault="00D57398" w:rsidP="00F53C4E">
      <w:pPr>
        <w:pStyle w:val="Paragraph"/>
      </w:pPr>
      <w:r>
        <w:t xml:space="preserve">For information requested before the 2-year application period, we may use our information-gathering powers </w:t>
      </w:r>
      <w:r w:rsidR="00C95F34">
        <w:t xml:space="preserve">under </w:t>
      </w:r>
      <w:r>
        <w:t xml:space="preserve">section 284S of the Act. These powers allow us </w:t>
      </w:r>
      <w:r w:rsidR="000463B5">
        <w:t xml:space="preserve">to </w:t>
      </w:r>
      <w:r>
        <w:t xml:space="preserve">give a written notice to a person, requiring them to provide us with, among other things, information or documents about the operation, or proposed operation, of radiocommunications devices used under spectrum licences, or </w:t>
      </w:r>
      <w:r w:rsidR="00A06E1A">
        <w:t xml:space="preserve">that may </w:t>
      </w:r>
      <w:r>
        <w:t>be used under a licence that may be issued in the future</w:t>
      </w:r>
      <w:r w:rsidDel="004543CC">
        <w:t xml:space="preserve"> </w:t>
      </w:r>
      <w:r w:rsidR="00CE13C4" w:rsidDel="004543CC">
        <w:t>(</w:t>
      </w:r>
      <w:r w:rsidDel="004543CC">
        <w:t>including by way of renewal</w:t>
      </w:r>
      <w:r w:rsidR="00CE13C4" w:rsidDel="004543CC">
        <w:t>)</w:t>
      </w:r>
      <w:r w:rsidDel="004543CC">
        <w:t>.</w:t>
      </w:r>
    </w:p>
    <w:p w14:paraId="5EF28EFE" w14:textId="4467C646" w:rsidR="00D57398" w:rsidRDefault="00D57398" w:rsidP="00F53C4E">
      <w:pPr>
        <w:pStyle w:val="Paragraph"/>
      </w:pPr>
      <w:r>
        <w:t xml:space="preserve">For information required to make decisions on applications, we may use our powers at section 77A of the Act, which require applicants to provide specified information and/or documents in relation to a renewal application. In particular, we may make a legislative instrument </w:t>
      </w:r>
      <w:r w:rsidR="004528BE">
        <w:t>for the purposes of subsection</w:t>
      </w:r>
      <w:r>
        <w:t xml:space="preserve"> 77</w:t>
      </w:r>
      <w:proofErr w:type="gramStart"/>
      <w:r>
        <w:t>A(</w:t>
      </w:r>
      <w:proofErr w:type="gramEnd"/>
      <w:r>
        <w:t xml:space="preserve">4) that specifies the information and documents that must be provided when making an application. </w:t>
      </w:r>
      <w:r w:rsidR="00631CF4">
        <w:t>Before making any such instrument</w:t>
      </w:r>
      <w:r w:rsidR="002C7C82">
        <w:t xml:space="preserve"> w</w:t>
      </w:r>
      <w:r>
        <w:t>e w</w:t>
      </w:r>
      <w:r w:rsidR="002C7C82">
        <w:t>ould</w:t>
      </w:r>
      <w:r>
        <w:t xml:space="preserve"> consult with stakeholders to test the scope of the request, and to ensure that applicants have time to prepare the specific information or documents. </w:t>
      </w:r>
    </w:p>
    <w:p w14:paraId="16A9974B" w14:textId="7466985C" w:rsidR="00D57398" w:rsidRDefault="00D57398" w:rsidP="00D57398">
      <w:pPr>
        <w:pStyle w:val="Heading1"/>
      </w:pPr>
      <w:bookmarkStart w:id="33" w:name="_Toc159360665"/>
      <w:bookmarkStart w:id="34" w:name="_Toc161756532"/>
      <w:r>
        <w:lastRenderedPageBreak/>
        <w:t>Views on uses of frequency bands</w:t>
      </w:r>
      <w:bookmarkEnd w:id="33"/>
      <w:bookmarkEnd w:id="34"/>
    </w:p>
    <w:p w14:paraId="031DE714" w14:textId="433B2A3C" w:rsidR="00D57398" w:rsidRDefault="00D57398" w:rsidP="00F53C4E">
      <w:pPr>
        <w:pStyle w:val="Paragraph"/>
      </w:pPr>
      <w:r>
        <w:t xml:space="preserve">The 4-stage ESL process is directed towards the iterative development of a policy and decision-making framework that </w:t>
      </w:r>
      <w:r w:rsidR="006B1450">
        <w:t xml:space="preserve">will </w:t>
      </w:r>
      <w:r>
        <w:t xml:space="preserve">provide stakeholders with progressively greater levels of confidence about the ACMA’s views on the spectrum covered by ESLs. Stages 3 and 4 will see </w:t>
      </w:r>
      <w:r w:rsidR="00444986">
        <w:t>us</w:t>
      </w:r>
      <w:r>
        <w:t xml:space="preserve"> consult on, and finalise, a set of preliminary and then preferred views relating to the long-term use of the bands covered by ESLs.</w:t>
      </w:r>
    </w:p>
    <w:p w14:paraId="2D3691AE" w14:textId="5227463D" w:rsidR="00D57398" w:rsidRDefault="00D57398" w:rsidP="00F53C4E">
      <w:pPr>
        <w:pStyle w:val="Paragraph"/>
        <w:rPr>
          <w:shd w:val="clear" w:color="auto" w:fill="FFFFFF"/>
        </w:rPr>
      </w:pPr>
      <w:r>
        <w:rPr>
          <w:shd w:val="clear" w:color="auto" w:fill="FFFFFF"/>
        </w:rPr>
        <w:t>We consider that, where possible, the ESL process should not be a ‘greenfields’ or ‘from the ground up’ exercise in spectrum planning</w:t>
      </w:r>
      <w:r w:rsidR="002228BC">
        <w:rPr>
          <w:shd w:val="clear" w:color="auto" w:fill="FFFFFF"/>
        </w:rPr>
        <w:t xml:space="preserve"> and </w:t>
      </w:r>
      <w:r w:rsidR="00805979">
        <w:rPr>
          <w:shd w:val="clear" w:color="auto" w:fill="FFFFFF"/>
        </w:rPr>
        <w:t xml:space="preserve">should </w:t>
      </w:r>
      <w:r w:rsidR="002228BC">
        <w:rPr>
          <w:shd w:val="clear" w:color="auto" w:fill="FFFFFF"/>
        </w:rPr>
        <w:t>instead review whether exi</w:t>
      </w:r>
      <w:r w:rsidR="00B55632">
        <w:rPr>
          <w:shd w:val="clear" w:color="auto" w:fill="FFFFFF"/>
        </w:rPr>
        <w:t xml:space="preserve">sting </w:t>
      </w:r>
      <w:r w:rsidR="001A4625">
        <w:rPr>
          <w:shd w:val="clear" w:color="auto" w:fill="FFFFFF"/>
        </w:rPr>
        <w:t>uses</w:t>
      </w:r>
      <w:r w:rsidR="00B55632">
        <w:rPr>
          <w:shd w:val="clear" w:color="auto" w:fill="FFFFFF"/>
        </w:rPr>
        <w:t xml:space="preserve"> </w:t>
      </w:r>
      <w:r w:rsidR="00383DDE">
        <w:rPr>
          <w:shd w:val="clear" w:color="auto" w:fill="FFFFFF"/>
        </w:rPr>
        <w:t>promote the long-term arrangements</w:t>
      </w:r>
      <w:r>
        <w:rPr>
          <w:shd w:val="clear" w:color="auto" w:fill="FFFFFF"/>
        </w:rPr>
        <w:t>. If there is evidence of strong support for a particular use or uses of a band, and that support is conducive to promoting the long-term public interest, the time and resources of the ACMA and stakeholders can be better used to explore other matters relevant to the public interest</w:t>
      </w:r>
      <w:r w:rsidR="00904EA5">
        <w:rPr>
          <w:shd w:val="clear" w:color="auto" w:fill="FFFFFF"/>
        </w:rPr>
        <w:t xml:space="preserve">, such as </w:t>
      </w:r>
      <w:r>
        <w:rPr>
          <w:shd w:val="clear" w:color="auto" w:fill="FFFFFF"/>
        </w:rPr>
        <w:t>an incumbent’s current and prospective utilisation of the spectrum, alternative use</w:t>
      </w:r>
      <w:r w:rsidR="0022165E">
        <w:rPr>
          <w:shd w:val="clear" w:color="auto" w:fill="FFFFFF"/>
        </w:rPr>
        <w:t xml:space="preserve"> </w:t>
      </w:r>
      <w:r>
        <w:rPr>
          <w:shd w:val="clear" w:color="auto" w:fill="FFFFFF"/>
        </w:rPr>
        <w:t>cases and users, or the pros and cons of re-allocating the spectrum.</w:t>
      </w:r>
    </w:p>
    <w:p w14:paraId="01D81815" w14:textId="70BD9011" w:rsidR="002D47F5" w:rsidRDefault="00D57398" w:rsidP="00F53C4E">
      <w:pPr>
        <w:pStyle w:val="Paragraph"/>
        <w:rPr>
          <w:rStyle w:val="normaltextrun"/>
          <w:rFonts w:eastAsia="Arial"/>
          <w:color w:val="000000" w:themeColor="text1"/>
        </w:rPr>
      </w:pPr>
      <w:r>
        <w:t xml:space="preserve">Below, we present, and seek views on, </w:t>
      </w:r>
      <w:r w:rsidR="00CB4DE7">
        <w:t xml:space="preserve">high-level </w:t>
      </w:r>
      <w:r>
        <w:t>uses for the bands covered by ESLs that are likely to be conducive to promoting the long-term public interest</w:t>
      </w:r>
      <w:r w:rsidR="00CB4DE7">
        <w:t>, such as WBB, rail safety and communications and ENG</w:t>
      </w:r>
      <w:r>
        <w:t>.</w:t>
      </w:r>
      <w:r>
        <w:rPr>
          <w:rStyle w:val="FootnoteReference"/>
        </w:rPr>
        <w:footnoteReference w:id="12"/>
      </w:r>
      <w:r>
        <w:t xml:space="preserve"> In arriving at these views, we have </w:t>
      </w:r>
      <w:r w:rsidR="008F50B7" w:rsidRPr="0A1EA45E">
        <w:rPr>
          <w:rStyle w:val="normaltextrun"/>
          <w:rFonts w:eastAsia="Arial"/>
          <w:color w:val="000000" w:themeColor="text1"/>
        </w:rPr>
        <w:t>consider</w:t>
      </w:r>
      <w:r w:rsidR="008F50B7">
        <w:rPr>
          <w:rStyle w:val="normaltextrun"/>
          <w:rFonts w:eastAsia="Arial"/>
          <w:color w:val="000000" w:themeColor="text1"/>
        </w:rPr>
        <w:t>ed</w:t>
      </w:r>
      <w:r w:rsidR="00F22F7A">
        <w:rPr>
          <w:rStyle w:val="normaltextrun"/>
          <w:rFonts w:eastAsia="Arial"/>
          <w:color w:val="000000" w:themeColor="text1"/>
        </w:rPr>
        <w:t xml:space="preserve"> band</w:t>
      </w:r>
      <w:r w:rsidR="008F50B7" w:rsidRPr="0A1EA45E">
        <w:rPr>
          <w:rStyle w:val="normaltextrun"/>
          <w:rFonts w:eastAsia="Arial"/>
          <w:color w:val="000000" w:themeColor="text1"/>
        </w:rPr>
        <w:t xml:space="preserve"> </w:t>
      </w:r>
      <w:r>
        <w:rPr>
          <w:rStyle w:val="normaltextrun"/>
          <w:rFonts w:eastAsia="Arial"/>
          <w:color w:val="000000" w:themeColor="text1"/>
        </w:rPr>
        <w:t xml:space="preserve">characteristics, </w:t>
      </w:r>
      <w:r w:rsidRPr="0A1EA45E">
        <w:rPr>
          <w:rStyle w:val="normaltextrun"/>
          <w:rFonts w:eastAsia="Arial"/>
          <w:color w:val="000000" w:themeColor="text1"/>
        </w:rPr>
        <w:t>international regulations and standards, legacy planning</w:t>
      </w:r>
      <w:r w:rsidR="00C21E28">
        <w:rPr>
          <w:rStyle w:val="normaltextrun"/>
          <w:rFonts w:eastAsia="Arial"/>
          <w:color w:val="000000" w:themeColor="text1"/>
        </w:rPr>
        <w:t>,</w:t>
      </w:r>
      <w:r w:rsidRPr="0A1EA45E">
        <w:rPr>
          <w:rStyle w:val="normaltextrun"/>
          <w:rFonts w:eastAsia="Arial"/>
          <w:color w:val="000000" w:themeColor="text1"/>
        </w:rPr>
        <w:t xml:space="preserve"> and domestic</w:t>
      </w:r>
      <w:r w:rsidR="004C1BF9">
        <w:rPr>
          <w:rStyle w:val="normaltextrun"/>
          <w:rFonts w:eastAsia="Arial"/>
          <w:color w:val="000000" w:themeColor="text1"/>
        </w:rPr>
        <w:t xml:space="preserve"> settings</w:t>
      </w:r>
      <w:r>
        <w:rPr>
          <w:rStyle w:val="normaltextrun"/>
          <w:rFonts w:eastAsia="Arial"/>
          <w:color w:val="000000" w:themeColor="text1"/>
        </w:rPr>
        <w:t xml:space="preserve">. </w:t>
      </w:r>
    </w:p>
    <w:p w14:paraId="34A52BA9" w14:textId="1E48506D" w:rsidR="00D57398" w:rsidRPr="005865C9" w:rsidRDefault="00D57398" w:rsidP="00F53C4E">
      <w:pPr>
        <w:pStyle w:val="Paragraph"/>
        <w:rPr>
          <w:rFonts w:eastAsia="Arial"/>
        </w:rPr>
      </w:pPr>
      <w:r>
        <w:rPr>
          <w:rFonts w:eastAsia="Arial"/>
        </w:rPr>
        <w:t>In presenting t</w:t>
      </w:r>
      <w:r w:rsidRPr="16B66B0A">
        <w:rPr>
          <w:rFonts w:eastAsia="Arial"/>
        </w:rPr>
        <w:t>hese views</w:t>
      </w:r>
      <w:r>
        <w:rPr>
          <w:rFonts w:eastAsia="Arial"/>
        </w:rPr>
        <w:t xml:space="preserve">, we </w:t>
      </w:r>
      <w:r w:rsidRPr="16B66B0A">
        <w:rPr>
          <w:rFonts w:eastAsia="Arial"/>
        </w:rPr>
        <w:t xml:space="preserve">aim to provide </w:t>
      </w:r>
      <w:r w:rsidRPr="2D2A62B0">
        <w:rPr>
          <w:rFonts w:eastAsia="Arial"/>
        </w:rPr>
        <w:t xml:space="preserve">stakeholders with </w:t>
      </w:r>
      <w:r w:rsidRPr="1720A4C6">
        <w:rPr>
          <w:rFonts w:eastAsia="Arial"/>
        </w:rPr>
        <w:t>additional clarity</w:t>
      </w:r>
      <w:r w:rsidRPr="33E45C9F">
        <w:rPr>
          <w:rFonts w:eastAsia="Arial"/>
        </w:rPr>
        <w:t xml:space="preserve"> and confidence about </w:t>
      </w:r>
      <w:r>
        <w:rPr>
          <w:rFonts w:eastAsia="Arial"/>
        </w:rPr>
        <w:t xml:space="preserve">our </w:t>
      </w:r>
      <w:r w:rsidRPr="6E631C14">
        <w:rPr>
          <w:rFonts w:eastAsia="Arial"/>
        </w:rPr>
        <w:t>consideration</w:t>
      </w:r>
      <w:r w:rsidRPr="30FBCB61">
        <w:rPr>
          <w:rFonts w:eastAsia="Arial"/>
        </w:rPr>
        <w:t xml:space="preserve"> of</w:t>
      </w:r>
      <w:r w:rsidRPr="6E631C14">
        <w:rPr>
          <w:rFonts w:eastAsia="Arial"/>
        </w:rPr>
        <w:t xml:space="preserve"> future spectrum use</w:t>
      </w:r>
      <w:r w:rsidR="009F4964">
        <w:rPr>
          <w:rFonts w:eastAsia="Arial"/>
        </w:rPr>
        <w:t>, and we welcome stakeholder responses to th</w:t>
      </w:r>
      <w:r w:rsidR="00F32A08">
        <w:rPr>
          <w:rFonts w:eastAsia="Arial"/>
        </w:rPr>
        <w:t>e views we have set out below</w:t>
      </w:r>
      <w:r w:rsidRPr="6E631C14">
        <w:rPr>
          <w:rFonts w:eastAsia="Arial"/>
        </w:rPr>
        <w:t>.</w:t>
      </w:r>
    </w:p>
    <w:p w14:paraId="5976C3CE" w14:textId="776811EA" w:rsidR="00411EBE" w:rsidRDefault="00411EBE" w:rsidP="00CB4DE7">
      <w:pPr>
        <w:pStyle w:val="Paragraph"/>
      </w:pPr>
      <w:r>
        <w:t>At this stage, we do not hold views about specific use</w:t>
      </w:r>
      <w:r w:rsidR="0022165E">
        <w:t xml:space="preserve"> </w:t>
      </w:r>
      <w:r>
        <w:t>cases</w:t>
      </w:r>
      <w:r w:rsidR="005861BF">
        <w:t xml:space="preserve"> and the </w:t>
      </w:r>
      <w:r w:rsidR="00924F87">
        <w:t xml:space="preserve">appropriate </w:t>
      </w:r>
      <w:r w:rsidR="005861BF">
        <w:t>licensing arrangements to facilitate them</w:t>
      </w:r>
      <w:r w:rsidR="00E62ED2">
        <w:t xml:space="preserve"> (</w:t>
      </w:r>
      <w:r w:rsidR="00E62ED2" w:rsidRPr="005865C9">
        <w:t>for example</w:t>
      </w:r>
      <w:r w:rsidR="00E62ED2">
        <w:t>,</w:t>
      </w:r>
      <w:r w:rsidR="00E62ED2" w:rsidRPr="005865C9">
        <w:t xml:space="preserve"> </w:t>
      </w:r>
      <w:r w:rsidR="00E62ED2">
        <w:t xml:space="preserve">implementation of </w:t>
      </w:r>
      <w:r w:rsidR="00E62ED2" w:rsidRPr="005865C9">
        <w:t>spectrum</w:t>
      </w:r>
      <w:r w:rsidR="00E62ED2">
        <w:t>,</w:t>
      </w:r>
      <w:r w:rsidR="00E62ED2" w:rsidDel="00E223B6">
        <w:t xml:space="preserve"> </w:t>
      </w:r>
      <w:r w:rsidR="00E62ED2">
        <w:t xml:space="preserve">apparatus or class licensing, or </w:t>
      </w:r>
      <w:proofErr w:type="gramStart"/>
      <w:r w:rsidR="00E62ED2">
        <w:t>particular approaches</w:t>
      </w:r>
      <w:proofErr w:type="gramEnd"/>
      <w:r w:rsidR="00E62ED2">
        <w:t xml:space="preserve"> to geographic areas)</w:t>
      </w:r>
      <w:r>
        <w:t>.</w:t>
      </w:r>
      <w:r w:rsidR="001C2CFB">
        <w:t xml:space="preserve"> WBB, for example,</w:t>
      </w:r>
      <w:r>
        <w:t xml:space="preserve"> </w:t>
      </w:r>
      <w:r w:rsidR="009528C9">
        <w:t>can include a range of use cases</w:t>
      </w:r>
      <w:r w:rsidR="00C005DB">
        <w:t xml:space="preserve"> that vary with </w:t>
      </w:r>
      <w:r w:rsidR="001423D0">
        <w:t>service</w:t>
      </w:r>
      <w:r w:rsidR="00403B4A">
        <w:t>s to be provided</w:t>
      </w:r>
      <w:r w:rsidR="00F11F6D">
        <w:t xml:space="preserve"> to end-users</w:t>
      </w:r>
      <w:r w:rsidR="00403B4A">
        <w:t xml:space="preserve">, </w:t>
      </w:r>
      <w:r w:rsidR="00BA4A69">
        <w:t>users and business cases</w:t>
      </w:r>
      <w:r w:rsidR="005248E6">
        <w:t>, technolog</w:t>
      </w:r>
      <w:r w:rsidR="002841C5">
        <w:t xml:space="preserve">ies utilised, and scale of deployment. </w:t>
      </w:r>
      <w:r w:rsidR="000C26E3">
        <w:t>This could include</w:t>
      </w:r>
      <w:r w:rsidR="002841C5">
        <w:t xml:space="preserve"> mobile </w:t>
      </w:r>
      <w:r w:rsidR="00DF05EC">
        <w:t xml:space="preserve">and fixed WBB, wide area and local area deployments, industry vertical or private </w:t>
      </w:r>
      <w:r w:rsidR="00F11F6D">
        <w:t xml:space="preserve">networks. </w:t>
      </w:r>
    </w:p>
    <w:p w14:paraId="361BA037" w14:textId="0962D669" w:rsidR="00D57398" w:rsidRDefault="001A62C0" w:rsidP="00D57398">
      <w:pPr>
        <w:pStyle w:val="Paragraph"/>
        <w:rPr>
          <w:rFonts w:eastAsia="Arial"/>
          <w:shd w:val="clear" w:color="auto" w:fill="FFFFFF"/>
        </w:rPr>
      </w:pPr>
      <w:r>
        <w:rPr>
          <w:rFonts w:eastAsia="Arial"/>
        </w:rPr>
        <w:t>We also note that the views presented here are</w:t>
      </w:r>
      <w:r w:rsidR="00314BA4">
        <w:rPr>
          <w:rFonts w:eastAsia="Arial"/>
        </w:rPr>
        <w:t xml:space="preserve"> </w:t>
      </w:r>
      <w:r>
        <w:rPr>
          <w:rFonts w:eastAsia="Arial"/>
        </w:rPr>
        <w:t>point-in-time view</w:t>
      </w:r>
      <w:r w:rsidR="00F02515">
        <w:rPr>
          <w:rFonts w:eastAsia="Arial"/>
        </w:rPr>
        <w:t>s</w:t>
      </w:r>
      <w:r w:rsidR="00D57398" w:rsidRPr="196E8744">
        <w:t xml:space="preserve"> based on </w:t>
      </w:r>
      <w:r w:rsidR="00A65D7B">
        <w:t xml:space="preserve">current </w:t>
      </w:r>
      <w:r w:rsidR="00D57398" w:rsidRPr="196E8744">
        <w:t xml:space="preserve">information. </w:t>
      </w:r>
      <w:r w:rsidR="00A65D7B">
        <w:t xml:space="preserve">We will </w:t>
      </w:r>
      <w:r w:rsidR="00D57398" w:rsidRPr="196E8744">
        <w:t xml:space="preserve">monitor the </w:t>
      </w:r>
      <w:r w:rsidR="003464BE">
        <w:t xml:space="preserve">relevant </w:t>
      </w:r>
      <w:r w:rsidR="00D57398" w:rsidRPr="196E8744">
        <w:t xml:space="preserve">environment </w:t>
      </w:r>
      <w:r w:rsidR="003464BE">
        <w:t xml:space="preserve">and </w:t>
      </w:r>
      <w:r w:rsidR="00D57398" w:rsidRPr="196E8744">
        <w:t xml:space="preserve">identify any </w:t>
      </w:r>
      <w:r w:rsidR="003464BE">
        <w:t xml:space="preserve">developments </w:t>
      </w:r>
      <w:r w:rsidR="00692731">
        <w:t>during</w:t>
      </w:r>
      <w:r w:rsidR="003464BE">
        <w:t xml:space="preserve"> ESL process</w:t>
      </w:r>
      <w:r w:rsidR="00D57398" w:rsidRPr="196E8744">
        <w:t>.</w:t>
      </w:r>
    </w:p>
    <w:p w14:paraId="5CDE3D37" w14:textId="616D267E" w:rsidR="00D57398" w:rsidRPr="002B2859" w:rsidRDefault="00D57398" w:rsidP="00D57398">
      <w:pPr>
        <w:pStyle w:val="Heading2"/>
      </w:pPr>
      <w:bookmarkStart w:id="35" w:name="_Toc159360666"/>
      <w:bookmarkStart w:id="36" w:name="_Toc161756533"/>
      <w:r>
        <w:t>Environment and equipment considerations</w:t>
      </w:r>
      <w:bookmarkEnd w:id="35"/>
      <w:bookmarkEnd w:id="36"/>
    </w:p>
    <w:p w14:paraId="54DF3BA6" w14:textId="34C5EC3C" w:rsidR="00D57398" w:rsidRPr="00ED2B59" w:rsidRDefault="00D57398" w:rsidP="00F53C4E">
      <w:pPr>
        <w:pStyle w:val="Paragraph"/>
      </w:pPr>
      <w:r w:rsidRPr="00ED2B59">
        <w:t xml:space="preserve">The following factors have been used to inform </w:t>
      </w:r>
      <w:r>
        <w:t>our views on band use.</w:t>
      </w:r>
      <w:r w:rsidRPr="00ED2B59">
        <w:t xml:space="preserve"> We have not </w:t>
      </w:r>
      <w:r w:rsidR="007235AB">
        <w:t xml:space="preserve">undertaken </w:t>
      </w:r>
      <w:r>
        <w:t xml:space="preserve">a </w:t>
      </w:r>
      <w:r w:rsidRPr="00ED2B59">
        <w:t>complete band review processes for each band (</w:t>
      </w:r>
      <w:r>
        <w:t>namely</w:t>
      </w:r>
      <w:r w:rsidR="007235AB">
        <w:t>,</w:t>
      </w:r>
      <w:r w:rsidRPr="00ED2B59">
        <w:t xml:space="preserve"> the process outlined in the FYSO that we undertake to inform whether a change in use is appropriate). Rather</w:t>
      </w:r>
      <w:r w:rsidR="0079451B">
        <w:t>,</w:t>
      </w:r>
      <w:r w:rsidRPr="00ED2B59">
        <w:t xml:space="preserve"> we are of the view that consideration of the factors below is sufficient to infor</w:t>
      </w:r>
      <w:r>
        <w:t>m</w:t>
      </w:r>
      <w:r w:rsidRPr="00ED2B59">
        <w:t xml:space="preserve"> </w:t>
      </w:r>
      <w:r>
        <w:t xml:space="preserve">views </w:t>
      </w:r>
      <w:r w:rsidRPr="00ED2B59">
        <w:t xml:space="preserve">on </w:t>
      </w:r>
      <w:r>
        <w:t xml:space="preserve">the likely </w:t>
      </w:r>
      <w:r w:rsidRPr="00ED2B59">
        <w:t>future use</w:t>
      </w:r>
      <w:r>
        <w:t>s</w:t>
      </w:r>
      <w:r w:rsidRPr="00ED2B59">
        <w:t xml:space="preserve"> of these bands.  </w:t>
      </w:r>
    </w:p>
    <w:p w14:paraId="130032E3" w14:textId="1CC8FEF0" w:rsidR="00D57398" w:rsidRPr="002B2859" w:rsidRDefault="00D57398" w:rsidP="00F53C4E">
      <w:pPr>
        <w:pStyle w:val="Paragraph"/>
      </w:pPr>
      <w:r>
        <w:t>Relevant d</w:t>
      </w:r>
      <w:r w:rsidRPr="00ED2B59">
        <w:t xml:space="preserve">ata is summarised in </w:t>
      </w:r>
      <w:r>
        <w:t xml:space="preserve">Table </w:t>
      </w:r>
      <w:r w:rsidR="003E66F8">
        <w:t>2</w:t>
      </w:r>
      <w:r w:rsidRPr="00ED2B59">
        <w:t xml:space="preserve"> </w:t>
      </w:r>
      <w:r>
        <w:t>below</w:t>
      </w:r>
      <w:r w:rsidRPr="00ED2B59">
        <w:t xml:space="preserve">. </w:t>
      </w:r>
    </w:p>
    <w:p w14:paraId="09ACF14E" w14:textId="0955C52D" w:rsidR="00D57398" w:rsidRPr="002B2859" w:rsidRDefault="00D57398" w:rsidP="00D57398">
      <w:pPr>
        <w:pStyle w:val="Heading3"/>
      </w:pPr>
      <w:r w:rsidRPr="196E8744">
        <w:lastRenderedPageBreak/>
        <w:t>International Telecommunication Union (ITU) harmonisation</w:t>
      </w:r>
    </w:p>
    <w:p w14:paraId="4AB1F1B6" w14:textId="433ED6E5" w:rsidR="00D57398" w:rsidRDefault="00554D4B" w:rsidP="00F53C4E">
      <w:pPr>
        <w:pStyle w:val="Paragraph"/>
      </w:pPr>
      <w:r>
        <w:t>This input i</w:t>
      </w:r>
      <w:r w:rsidR="00D57398" w:rsidRPr="00ED2B59">
        <w:t xml:space="preserve">dentifies </w:t>
      </w:r>
      <w:r>
        <w:t>whether</w:t>
      </w:r>
      <w:r w:rsidR="00D57398" w:rsidRPr="00ED2B59">
        <w:t xml:space="preserve"> there </w:t>
      </w:r>
      <w:r w:rsidR="00D57398">
        <w:t xml:space="preserve">is any </w:t>
      </w:r>
      <w:r w:rsidR="00D57398" w:rsidRPr="00ED2B59">
        <w:t xml:space="preserve">spectrum harmonisation included in </w:t>
      </w:r>
      <w:r w:rsidR="00D57398">
        <w:t>the</w:t>
      </w:r>
      <w:r w:rsidR="00D57398" w:rsidRPr="00ED2B59">
        <w:t xml:space="preserve"> </w:t>
      </w:r>
      <w:r w:rsidR="006B365C">
        <w:t xml:space="preserve">ITU </w:t>
      </w:r>
      <w:r w:rsidR="00D57398" w:rsidRPr="00ED2B59">
        <w:t>Radio Regulations</w:t>
      </w:r>
      <w:r w:rsidR="00D57398">
        <w:t xml:space="preserve">, such as </w:t>
      </w:r>
      <w:r w:rsidR="000E4CAC">
        <w:t>relevant service allocations and</w:t>
      </w:r>
      <w:r w:rsidR="00D57398">
        <w:t xml:space="preserve"> footnotes </w:t>
      </w:r>
      <w:r w:rsidR="0018258F">
        <w:t xml:space="preserve">to </w:t>
      </w:r>
      <w:r w:rsidR="00D57398">
        <w:t>Article 5</w:t>
      </w:r>
      <w:r w:rsidR="0012034B">
        <w:t xml:space="preserve">, the latter of </w:t>
      </w:r>
      <w:r w:rsidR="00EA5121">
        <w:t xml:space="preserve">which </w:t>
      </w:r>
      <w:r w:rsidR="0012034B">
        <w:t>can</w:t>
      </w:r>
      <w:r w:rsidR="00D57398">
        <w:t xml:space="preserve"> identify </w:t>
      </w:r>
      <w:proofErr w:type="gramStart"/>
      <w:r w:rsidR="00D57398">
        <w:t xml:space="preserve">particular </w:t>
      </w:r>
      <w:r w:rsidR="006407EB">
        <w:t>applications</w:t>
      </w:r>
      <w:proofErr w:type="gramEnd"/>
      <w:r w:rsidR="006407EB">
        <w:t xml:space="preserve"> that operate under</w:t>
      </w:r>
      <w:r w:rsidR="00D57398">
        <w:t xml:space="preserve"> a service level allocation</w:t>
      </w:r>
      <w:r w:rsidR="003B07A6">
        <w:rPr>
          <w:rStyle w:val="FootnoteReference"/>
        </w:rPr>
        <w:footnoteReference w:id="13"/>
      </w:r>
      <w:r w:rsidR="00D57398">
        <w:rPr>
          <w:rStyle w:val="CommentReference"/>
        </w:rPr>
        <w:t xml:space="preserve"> </w:t>
      </w:r>
      <w:r w:rsidR="0010777C">
        <w:rPr>
          <w:rStyle w:val="CommentReference"/>
        </w:rPr>
        <w:t xml:space="preserve">– </w:t>
      </w:r>
      <w:r w:rsidR="0010777C">
        <w:t>f</w:t>
      </w:r>
      <w:r w:rsidR="00D57398">
        <w:t>or example,</w:t>
      </w:r>
      <w:r w:rsidR="00D57398" w:rsidRPr="00ED2B59">
        <w:t xml:space="preserve"> </w:t>
      </w:r>
      <w:r w:rsidR="00D57398">
        <w:t xml:space="preserve">identification of </w:t>
      </w:r>
      <w:r w:rsidR="00D57398" w:rsidRPr="00ED2B59">
        <w:t xml:space="preserve">International Mobile Telecommunication (IMT) within </w:t>
      </w:r>
      <w:r w:rsidR="00D57398">
        <w:t xml:space="preserve">a </w:t>
      </w:r>
      <w:r w:rsidR="00D57398" w:rsidRPr="00ED2B59">
        <w:t>mobile service allocation.</w:t>
      </w:r>
      <w:r w:rsidR="00E367F4">
        <w:rPr>
          <w:rStyle w:val="FootnoteReference"/>
        </w:rPr>
        <w:footnoteReference w:id="14"/>
      </w:r>
    </w:p>
    <w:p w14:paraId="2792ABAF" w14:textId="327B5B0A" w:rsidR="00D57398" w:rsidRPr="00ED2B59" w:rsidRDefault="00A57DF4" w:rsidP="00F53C4E">
      <w:pPr>
        <w:pStyle w:val="Paragraph"/>
      </w:pPr>
      <w:r>
        <w:t>These</w:t>
      </w:r>
      <w:r w:rsidR="00D57398" w:rsidRPr="00ED2B59">
        <w:t xml:space="preserve"> identifications are non-</w:t>
      </w:r>
      <w:proofErr w:type="gramStart"/>
      <w:r w:rsidR="00D57398" w:rsidRPr="00ED2B59">
        <w:t>binding</w:t>
      </w:r>
      <w:r w:rsidR="001C78C0">
        <w:t>,</w:t>
      </w:r>
      <w:r w:rsidR="00D57398" w:rsidRPr="00ED2B59">
        <w:t xml:space="preserve"> but</w:t>
      </w:r>
      <w:proofErr w:type="gramEnd"/>
      <w:r w:rsidR="00D57398" w:rsidRPr="00ED2B59">
        <w:t xml:space="preserve"> provide </w:t>
      </w:r>
      <w:r w:rsidR="00B31387">
        <w:t>an</w:t>
      </w:r>
      <w:r w:rsidR="00B31387" w:rsidRPr="00ED2B59">
        <w:t xml:space="preserve"> </w:t>
      </w:r>
      <w:r w:rsidR="00D57398" w:rsidRPr="00ED2B59">
        <w:t xml:space="preserve">indication of </w:t>
      </w:r>
      <w:r w:rsidR="00B31387">
        <w:t>international</w:t>
      </w:r>
      <w:r w:rsidR="00B31387" w:rsidRPr="00ED2B59">
        <w:t xml:space="preserve"> </w:t>
      </w:r>
      <w:r w:rsidR="00D57398" w:rsidRPr="00ED2B59">
        <w:t>spectrum use trends in a band</w:t>
      </w:r>
      <w:r w:rsidR="00F767BC">
        <w:t>, often triggering development of relevant technology standards in a given frequency band</w:t>
      </w:r>
      <w:r w:rsidR="00D57398" w:rsidRPr="00ED2B59">
        <w:t xml:space="preserve">. </w:t>
      </w:r>
    </w:p>
    <w:p w14:paraId="40D126E0" w14:textId="1401602E" w:rsidR="00D57398" w:rsidRPr="002B2859" w:rsidRDefault="00D57398" w:rsidP="00F53C4E">
      <w:pPr>
        <w:pStyle w:val="Paragraph"/>
      </w:pPr>
      <w:r w:rsidRPr="00ED2B59">
        <w:t xml:space="preserve">Where relevant, other ITU material outside of the Radio Regulations </w:t>
      </w:r>
      <w:r w:rsidR="00CC701F">
        <w:t>(</w:t>
      </w:r>
      <w:r w:rsidRPr="00ED2B59">
        <w:t>such as Recommendations</w:t>
      </w:r>
      <w:r w:rsidR="00CC701F">
        <w:t>)</w:t>
      </w:r>
      <w:r w:rsidRPr="00ED2B59">
        <w:t xml:space="preserve"> are referred to in the ‘additional comments’ column of </w:t>
      </w:r>
      <w:r>
        <w:t xml:space="preserve">Table </w:t>
      </w:r>
      <w:r w:rsidR="004C6F5B">
        <w:t>2</w:t>
      </w:r>
      <w:r w:rsidRPr="00ED2B59">
        <w:t>.</w:t>
      </w:r>
      <w:r w:rsidR="00C81A8B">
        <w:rPr>
          <w:rStyle w:val="FootnoteReference"/>
        </w:rPr>
        <w:footnoteReference w:id="15"/>
      </w:r>
    </w:p>
    <w:p w14:paraId="32CD3219" w14:textId="3AF39801" w:rsidR="00D57398" w:rsidRPr="002B2859" w:rsidRDefault="00D57398" w:rsidP="00D57398">
      <w:pPr>
        <w:pStyle w:val="Heading3"/>
      </w:pPr>
      <w:r w:rsidRPr="196E8744">
        <w:t>Industry standardisation</w:t>
      </w:r>
    </w:p>
    <w:p w14:paraId="0507B0F1" w14:textId="59A345F4" w:rsidR="00D57398" w:rsidRPr="002B2859" w:rsidRDefault="004C1BF9" w:rsidP="00F53C4E">
      <w:pPr>
        <w:pStyle w:val="Paragraph"/>
      </w:pPr>
      <w:r>
        <w:t>This input i</w:t>
      </w:r>
      <w:r w:rsidR="00D57398" w:rsidRPr="00ED2B59">
        <w:t xml:space="preserve">dentifies where industry has undertaken the development of specifications and/or standards </w:t>
      </w:r>
      <w:r w:rsidR="00A32D7F">
        <w:t>for</w:t>
      </w:r>
      <w:r w:rsidR="00A32D7F" w:rsidRPr="00ED2B59">
        <w:t xml:space="preserve"> </w:t>
      </w:r>
      <w:r w:rsidR="00D57398" w:rsidRPr="00ED2B59">
        <w:t xml:space="preserve">a specific spectrum use in a band. This includes </w:t>
      </w:r>
      <w:r w:rsidR="00DF2718">
        <w:t xml:space="preserve">standards developed by </w:t>
      </w:r>
      <w:r w:rsidR="00D57398" w:rsidRPr="00ED2B59">
        <w:t xml:space="preserve">the </w:t>
      </w:r>
      <w:r w:rsidR="00D57398">
        <w:t>3</w:t>
      </w:r>
      <w:r w:rsidR="00D57398" w:rsidRPr="003B6AD7">
        <w:rPr>
          <w:vertAlign w:val="superscript"/>
        </w:rPr>
        <w:t>rd</w:t>
      </w:r>
      <w:r w:rsidR="00D57398">
        <w:t xml:space="preserve"> Generation Partnership Project (</w:t>
      </w:r>
      <w:r w:rsidR="00D57398" w:rsidRPr="00ED2B59">
        <w:t>3GPP</w:t>
      </w:r>
      <w:r w:rsidR="00D57398">
        <w:t>)</w:t>
      </w:r>
      <w:r w:rsidR="00A10E2E">
        <w:t xml:space="preserve"> </w:t>
      </w:r>
      <w:r w:rsidR="00D57398" w:rsidRPr="00ED2B59">
        <w:t>which is responsible for the development of specifications for some WBB spectrum uses</w:t>
      </w:r>
      <w:r w:rsidR="005726CC">
        <w:t>,</w:t>
      </w:r>
      <w:r w:rsidR="00D57398" w:rsidRPr="00ED2B59">
        <w:t xml:space="preserve"> and </w:t>
      </w:r>
      <w:r w:rsidR="00D57398">
        <w:t>the European Telecommunications Standards Institute</w:t>
      </w:r>
      <w:r w:rsidR="00D57398" w:rsidRPr="00ED2B59">
        <w:t xml:space="preserve"> </w:t>
      </w:r>
      <w:r w:rsidR="00D57398">
        <w:t>(</w:t>
      </w:r>
      <w:r w:rsidR="00D57398" w:rsidRPr="00ED2B59">
        <w:t>ETSI</w:t>
      </w:r>
      <w:r w:rsidR="00D57398">
        <w:t>)</w:t>
      </w:r>
      <w:r w:rsidR="00D57398" w:rsidRPr="00ED2B59">
        <w:t xml:space="preserve">. While generally lacking the </w:t>
      </w:r>
      <w:r w:rsidR="00921803">
        <w:t>same</w:t>
      </w:r>
      <w:r w:rsidR="00D57398" w:rsidRPr="00ED2B59">
        <w:t xml:space="preserve"> level of national government involvement as the ITU process, these standards</w:t>
      </w:r>
      <w:r w:rsidR="00413947">
        <w:t>-</w:t>
      </w:r>
      <w:r w:rsidR="00D57398" w:rsidRPr="00ED2B59">
        <w:t>making processes provide an indication of general interest from industry in spectrum uses within a band.</w:t>
      </w:r>
    </w:p>
    <w:p w14:paraId="131BC873" w14:textId="77777777" w:rsidR="00D57398" w:rsidRPr="002B2859" w:rsidRDefault="00D57398" w:rsidP="00D57398">
      <w:pPr>
        <w:pStyle w:val="Heading3"/>
      </w:pPr>
      <w:r w:rsidRPr="196E8744">
        <w:t>Global environment</w:t>
      </w:r>
    </w:p>
    <w:p w14:paraId="2BE58E6A" w14:textId="6AF8D4F4" w:rsidR="00D57398" w:rsidRPr="002B2859" w:rsidRDefault="00D57398" w:rsidP="00F53C4E">
      <w:pPr>
        <w:pStyle w:val="Paragraph"/>
      </w:pPr>
      <w:r w:rsidRPr="00ED2B59">
        <w:t xml:space="preserve">The presence of spectrum harmonisation, technology standardisation and </w:t>
      </w:r>
      <w:r w:rsidR="00CF02E9">
        <w:t xml:space="preserve">equipment </w:t>
      </w:r>
      <w:r w:rsidRPr="00ED2B59">
        <w:t xml:space="preserve">availability do not necessarily translate to a specific spectrum use in a </w:t>
      </w:r>
      <w:r w:rsidR="00713794">
        <w:t xml:space="preserve">frequency </w:t>
      </w:r>
      <w:r w:rsidRPr="00ED2B59">
        <w:t>band being adopted by a country. While not determinative for Australia (</w:t>
      </w:r>
      <w:r>
        <w:t>that is,</w:t>
      </w:r>
      <w:r w:rsidRPr="00ED2B59">
        <w:t xml:space="preserve"> just because one country adopts a specific spectrum use does</w:t>
      </w:r>
      <w:r w:rsidR="00713794">
        <w:t xml:space="preserve"> not</w:t>
      </w:r>
      <w:r w:rsidRPr="00ED2B59">
        <w:t xml:space="preserve"> mean it is appropriate for all countries) global </w:t>
      </w:r>
      <w:r w:rsidR="001C46C5">
        <w:t>trends</w:t>
      </w:r>
      <w:r w:rsidRPr="00ED2B59">
        <w:t xml:space="preserve"> in a band do provide useful insights into spectrum uses that may be appropriate for Australia. </w:t>
      </w:r>
      <w:r w:rsidR="007C7BBE" w:rsidRPr="007C7BBE">
        <w:t>Importantly, even if a given spectrum use is widespread across many countries, including Australia, this does not necessarily mean that the planning, licensing and allocation frameworks for such use will necessarily be common across those countries</w:t>
      </w:r>
      <w:r w:rsidRPr="00ED2B59">
        <w:t xml:space="preserve">.  </w:t>
      </w:r>
    </w:p>
    <w:p w14:paraId="2095398C" w14:textId="77777777" w:rsidR="00D57398" w:rsidRPr="002B2859" w:rsidRDefault="00D57398" w:rsidP="00D57398">
      <w:pPr>
        <w:pStyle w:val="Heading3"/>
      </w:pPr>
      <w:r w:rsidRPr="196E8744">
        <w:t>Domestic environment</w:t>
      </w:r>
    </w:p>
    <w:p w14:paraId="17CD7CD0" w14:textId="29DF5687" w:rsidR="00D57398" w:rsidRPr="002B2859" w:rsidRDefault="00D57398" w:rsidP="00F53C4E">
      <w:pPr>
        <w:pStyle w:val="Paragraph"/>
      </w:pPr>
      <w:r w:rsidRPr="00ED2B59">
        <w:t>Given these bands have been subject to spectrum licensing in some form for many years, there is some empirical evidence available</w:t>
      </w:r>
      <w:r w:rsidR="00617394">
        <w:t xml:space="preserve"> that is</w:t>
      </w:r>
      <w:r w:rsidRPr="00ED2B59">
        <w:t xml:space="preserve"> directly relevant to the Australian context. This includes factors such as device registrations and public technology adoptions. While </w:t>
      </w:r>
      <w:r w:rsidR="00A372F0">
        <w:t xml:space="preserve">these would not be a </w:t>
      </w:r>
      <w:r w:rsidRPr="00ED2B59">
        <w:t xml:space="preserve">complete assessment of existing use, it can provide an indication of whether the other factors analysed are relevant to Australia.    </w:t>
      </w:r>
    </w:p>
    <w:p w14:paraId="4139FFF2" w14:textId="77777777" w:rsidR="00D57398" w:rsidRPr="00ED2B59" w:rsidRDefault="00D57398" w:rsidP="00D57398">
      <w:pPr>
        <w:pStyle w:val="Heading3"/>
        <w:rPr>
          <w:b w:val="0"/>
          <w:bCs w:val="0"/>
          <w:i/>
          <w:iCs/>
        </w:rPr>
      </w:pPr>
      <w:r w:rsidRPr="00ED2B59">
        <w:t>Equipment availabilit</w:t>
      </w:r>
      <w:r w:rsidRPr="001B574C">
        <w:t>y</w:t>
      </w:r>
    </w:p>
    <w:p w14:paraId="691CAC38" w14:textId="52AFA086" w:rsidR="00D57398" w:rsidRDefault="00D57398" w:rsidP="00F53C4E">
      <w:pPr>
        <w:pStyle w:val="Paragraph"/>
      </w:pPr>
      <w:r w:rsidRPr="00ED2B59">
        <w:t>ITU spectrum harmonisation and industry standardisation processes provide important insights into potential spectrum use</w:t>
      </w:r>
      <w:r w:rsidR="000A7BF6">
        <w:t>. N</w:t>
      </w:r>
      <w:r w:rsidRPr="00ED2B59">
        <w:t>either necessarily translate into the manufacture of the necessary equipment by vendors</w:t>
      </w:r>
      <w:r w:rsidR="00F036E5">
        <w:t xml:space="preserve">, although </w:t>
      </w:r>
      <w:r w:rsidR="000A7BF6">
        <w:t xml:space="preserve">they can </w:t>
      </w:r>
      <w:r w:rsidR="0080683B">
        <w:t xml:space="preserve">serve as a precondition </w:t>
      </w:r>
      <w:r w:rsidR="002002C4">
        <w:t>to the manufactur</w:t>
      </w:r>
      <w:r w:rsidR="00F77323">
        <w:t xml:space="preserve">ing </w:t>
      </w:r>
      <w:r w:rsidR="007F501C">
        <w:t>and sale of equipment</w:t>
      </w:r>
      <w:r w:rsidRPr="00ED2B59">
        <w:t xml:space="preserve">. The presence of a viable device ecosystem is necessary for a spectrum use to be </w:t>
      </w:r>
      <w:r w:rsidR="000A7BF6">
        <w:t xml:space="preserve">supported </w:t>
      </w:r>
      <w:r w:rsidRPr="00ED2B59">
        <w:t xml:space="preserve">in a band. Data sources can include </w:t>
      </w:r>
      <w:r w:rsidRPr="00ED2B59">
        <w:lastRenderedPageBreak/>
        <w:t xml:space="preserve">dedicated industry sources such as that provided by </w:t>
      </w:r>
      <w:r>
        <w:t>the Global mobile Suppliers Association (</w:t>
      </w:r>
      <w:r w:rsidRPr="00ED2B59">
        <w:t>GSA</w:t>
      </w:r>
      <w:r>
        <w:t>)</w:t>
      </w:r>
      <w:r w:rsidRPr="00ED2B59">
        <w:t>.</w:t>
      </w:r>
    </w:p>
    <w:p w14:paraId="5C1B71F1" w14:textId="15804356" w:rsidR="008D4BBA" w:rsidRPr="00ED2B59" w:rsidRDefault="008D4BBA" w:rsidP="00F53C4E">
      <w:pPr>
        <w:pStyle w:val="Paragraph"/>
      </w:pPr>
      <w:r>
        <w:t xml:space="preserve">We undertook </w:t>
      </w:r>
      <w:r w:rsidRPr="008D4BBA">
        <w:t>a</w:t>
      </w:r>
      <w:r w:rsidR="001D07B1">
        <w:t xml:space="preserve"> desktop</w:t>
      </w:r>
      <w:r w:rsidRPr="008D4BBA">
        <w:t xml:space="preserve"> examination of the GAMB</w:t>
      </w:r>
      <w:r w:rsidR="008850D6">
        <w:t>o</w:t>
      </w:r>
      <w:r w:rsidRPr="008D4BBA">
        <w:t xml:space="preserve">D database on 2 November 2023 </w:t>
      </w:r>
      <w:r w:rsidR="001D07B1">
        <w:t>for</w:t>
      </w:r>
      <w:r w:rsidRPr="008D4BBA">
        <w:t xml:space="preserve"> commercially available devices including end-user devices such as </w:t>
      </w:r>
      <w:r w:rsidR="00A84FE9">
        <w:t xml:space="preserve">mobile </w:t>
      </w:r>
      <w:r w:rsidRPr="008D4BBA">
        <w:t>phones.</w:t>
      </w:r>
      <w:r w:rsidR="00142849">
        <w:rPr>
          <w:rStyle w:val="FootnoteReference"/>
        </w:rPr>
        <w:footnoteReference w:id="16"/>
      </w:r>
      <w:r>
        <w:t xml:space="preserve"> This generally </w:t>
      </w:r>
      <w:r w:rsidR="00B85873">
        <w:t>indicated</w:t>
      </w:r>
      <w:r>
        <w:t xml:space="preserve"> the</w:t>
      </w:r>
      <w:r w:rsidR="00566244">
        <w:t xml:space="preserve"> presence</w:t>
      </w:r>
      <w:r w:rsidR="00023726">
        <w:t xml:space="preserve"> of a viable device ecosystem supporting WBB in each </w:t>
      </w:r>
      <w:r w:rsidR="00B85873">
        <w:t xml:space="preserve">frequency </w:t>
      </w:r>
      <w:r w:rsidR="00023726">
        <w:t>band</w:t>
      </w:r>
      <w:r w:rsidR="00B85873">
        <w:t>.</w:t>
      </w:r>
    </w:p>
    <w:p w14:paraId="0C07E139" w14:textId="2D30EE8B" w:rsidR="00D57398" w:rsidRPr="00ED2B59" w:rsidRDefault="00D57398" w:rsidP="00D57398">
      <w:pPr>
        <w:pStyle w:val="Tableheading"/>
      </w:pPr>
      <w:r>
        <w:t>ESLs and environment considerations</w:t>
      </w:r>
      <w:r>
        <w:rPr>
          <w:rStyle w:val="FootnoteReference"/>
        </w:rPr>
        <w:footnoteReference w:id="17"/>
      </w:r>
    </w:p>
    <w:tbl>
      <w:tblPr>
        <w:tblStyle w:val="TableGrid"/>
        <w:tblW w:w="6849" w:type="pct"/>
        <w:tblLayout w:type="fixed"/>
        <w:tblLook w:val="04A0" w:firstRow="1" w:lastRow="0" w:firstColumn="1" w:lastColumn="0" w:noHBand="0" w:noVBand="1"/>
      </w:tblPr>
      <w:tblGrid>
        <w:gridCol w:w="984"/>
        <w:gridCol w:w="1417"/>
        <w:gridCol w:w="1559"/>
        <w:gridCol w:w="1559"/>
        <w:gridCol w:w="1417"/>
        <w:gridCol w:w="1559"/>
        <w:gridCol w:w="1985"/>
      </w:tblGrid>
      <w:tr w:rsidR="008D4BBA" w14:paraId="3B30307C" w14:textId="77777777" w:rsidTr="009E5604">
        <w:trPr>
          <w:trHeight w:val="165"/>
        </w:trPr>
        <w:tc>
          <w:tcPr>
            <w:tcW w:w="469" w:type="pct"/>
            <w:tcBorders>
              <w:top w:val="single" w:sz="8" w:space="0" w:color="auto"/>
              <w:left w:val="single" w:sz="8" w:space="0" w:color="auto"/>
              <w:bottom w:val="single" w:sz="8" w:space="0" w:color="auto"/>
              <w:right w:val="nil"/>
            </w:tcBorders>
            <w:shd w:val="clear" w:color="auto" w:fill="404040" w:themeFill="text1" w:themeFillTint="BF"/>
            <w:tcMar>
              <w:top w:w="85" w:type="dxa"/>
              <w:left w:w="57" w:type="dxa"/>
              <w:bottom w:w="85" w:type="dxa"/>
              <w:right w:w="57" w:type="dxa"/>
            </w:tcMar>
          </w:tcPr>
          <w:p w14:paraId="25580B5F" w14:textId="6F3029E4" w:rsidR="008D4BBA" w:rsidRDefault="008D4BBA" w:rsidP="00F2102A">
            <w:pPr>
              <w:spacing w:after="0"/>
              <w:rPr>
                <w:rFonts w:eastAsia="Arial" w:cs="Arial"/>
                <w:b/>
                <w:bCs/>
                <w:color w:val="FFFFFF" w:themeColor="background1"/>
                <w:sz w:val="19"/>
                <w:szCs w:val="19"/>
              </w:rPr>
            </w:pPr>
            <w:r w:rsidRPr="196E8744">
              <w:rPr>
                <w:rFonts w:eastAsia="Arial" w:cs="Arial"/>
                <w:b/>
                <w:bCs/>
                <w:color w:val="FFFFFF" w:themeColor="background1"/>
                <w:sz w:val="19"/>
                <w:szCs w:val="19"/>
              </w:rPr>
              <w:t>Band</w:t>
            </w:r>
          </w:p>
        </w:tc>
        <w:tc>
          <w:tcPr>
            <w:tcW w:w="676" w:type="pct"/>
            <w:tcBorders>
              <w:top w:val="single" w:sz="8" w:space="0" w:color="auto"/>
              <w:left w:val="nil"/>
              <w:bottom w:val="single" w:sz="8" w:space="0" w:color="auto"/>
              <w:right w:val="nil"/>
            </w:tcBorders>
            <w:shd w:val="clear" w:color="auto" w:fill="404040" w:themeFill="text1" w:themeFillTint="BF"/>
            <w:tcMar>
              <w:top w:w="85" w:type="dxa"/>
              <w:left w:w="57" w:type="dxa"/>
              <w:bottom w:w="85" w:type="dxa"/>
              <w:right w:w="57" w:type="dxa"/>
            </w:tcMar>
          </w:tcPr>
          <w:p w14:paraId="3DB8EFD0" w14:textId="30BDA4C9" w:rsidR="008D4BBA" w:rsidRDefault="008D4BBA" w:rsidP="00F2102A">
            <w:pPr>
              <w:spacing w:after="0"/>
              <w:rPr>
                <w:rFonts w:eastAsia="Arial" w:cs="Arial"/>
                <w:b/>
                <w:bCs/>
                <w:color w:val="FFFFFF" w:themeColor="background1"/>
                <w:sz w:val="19"/>
                <w:szCs w:val="19"/>
              </w:rPr>
            </w:pPr>
            <w:r w:rsidRPr="196E8744">
              <w:rPr>
                <w:rFonts w:eastAsia="Arial" w:cs="Arial"/>
                <w:b/>
                <w:bCs/>
                <w:color w:val="FFFFFF" w:themeColor="background1"/>
                <w:sz w:val="19"/>
                <w:szCs w:val="19"/>
              </w:rPr>
              <w:t>Frequency</w:t>
            </w:r>
            <w:r>
              <w:rPr>
                <w:rFonts w:eastAsia="Arial" w:cs="Arial"/>
                <w:b/>
                <w:bCs/>
                <w:color w:val="FFFFFF" w:themeColor="background1"/>
                <w:sz w:val="19"/>
                <w:szCs w:val="19"/>
              </w:rPr>
              <w:t xml:space="preserve"> </w:t>
            </w:r>
            <w:r w:rsidRPr="196E8744">
              <w:rPr>
                <w:rFonts w:eastAsia="Arial" w:cs="Arial"/>
                <w:b/>
                <w:bCs/>
                <w:color w:val="FFFFFF" w:themeColor="background1"/>
                <w:sz w:val="19"/>
                <w:szCs w:val="19"/>
              </w:rPr>
              <w:t>range</w:t>
            </w:r>
          </w:p>
        </w:tc>
        <w:tc>
          <w:tcPr>
            <w:tcW w:w="744" w:type="pct"/>
            <w:tcBorders>
              <w:top w:val="single" w:sz="8" w:space="0" w:color="auto"/>
              <w:left w:val="nil"/>
              <w:bottom w:val="single" w:sz="8" w:space="0" w:color="auto"/>
              <w:right w:val="nil"/>
            </w:tcBorders>
            <w:shd w:val="clear" w:color="auto" w:fill="404040" w:themeFill="text1" w:themeFillTint="BF"/>
            <w:tcMar>
              <w:top w:w="85" w:type="dxa"/>
              <w:left w:w="57" w:type="dxa"/>
              <w:bottom w:w="85" w:type="dxa"/>
              <w:right w:w="57" w:type="dxa"/>
            </w:tcMar>
          </w:tcPr>
          <w:p w14:paraId="7AD4D028" w14:textId="58130C82" w:rsidR="008D4BBA" w:rsidRDefault="008D4BBA" w:rsidP="00F2102A">
            <w:pPr>
              <w:spacing w:after="0"/>
              <w:rPr>
                <w:rFonts w:eastAsia="Arial" w:cs="Arial"/>
                <w:b/>
                <w:bCs/>
                <w:color w:val="FFFFFF" w:themeColor="background1"/>
                <w:sz w:val="19"/>
                <w:szCs w:val="19"/>
              </w:rPr>
            </w:pPr>
            <w:r w:rsidRPr="196E8744">
              <w:rPr>
                <w:rFonts w:eastAsia="Arial" w:cs="Arial"/>
                <w:b/>
                <w:bCs/>
                <w:color w:val="FFFFFF" w:themeColor="background1"/>
                <w:sz w:val="19"/>
                <w:szCs w:val="19"/>
              </w:rPr>
              <w:t xml:space="preserve">ITU </w:t>
            </w:r>
            <w:r w:rsidR="0085671C">
              <w:rPr>
                <w:rFonts w:eastAsia="Arial" w:cs="Arial"/>
                <w:b/>
                <w:bCs/>
                <w:color w:val="FFFFFF" w:themeColor="background1"/>
                <w:sz w:val="19"/>
                <w:szCs w:val="19"/>
              </w:rPr>
              <w:t>h</w:t>
            </w:r>
            <w:r w:rsidRPr="196E8744">
              <w:rPr>
                <w:rFonts w:eastAsia="Arial" w:cs="Arial"/>
                <w:b/>
                <w:bCs/>
                <w:color w:val="FFFFFF" w:themeColor="background1"/>
                <w:sz w:val="19"/>
                <w:szCs w:val="19"/>
              </w:rPr>
              <w:t>armonisation</w:t>
            </w:r>
          </w:p>
        </w:tc>
        <w:tc>
          <w:tcPr>
            <w:tcW w:w="744" w:type="pct"/>
            <w:tcBorders>
              <w:top w:val="single" w:sz="8" w:space="0" w:color="auto"/>
              <w:left w:val="nil"/>
              <w:bottom w:val="single" w:sz="8" w:space="0" w:color="auto"/>
              <w:right w:val="nil"/>
            </w:tcBorders>
            <w:shd w:val="clear" w:color="auto" w:fill="404040" w:themeFill="text1" w:themeFillTint="BF"/>
            <w:tcMar>
              <w:top w:w="85" w:type="dxa"/>
              <w:left w:w="57" w:type="dxa"/>
              <w:bottom w:w="85" w:type="dxa"/>
              <w:right w:w="57" w:type="dxa"/>
            </w:tcMar>
          </w:tcPr>
          <w:p w14:paraId="51428751" w14:textId="1D0B3444" w:rsidR="008D4BBA" w:rsidRDefault="008D4BBA" w:rsidP="00F2102A">
            <w:pPr>
              <w:spacing w:after="0"/>
              <w:rPr>
                <w:rFonts w:eastAsia="Arial" w:cs="Arial"/>
                <w:b/>
                <w:bCs/>
                <w:color w:val="FFFFFF" w:themeColor="background1"/>
                <w:sz w:val="19"/>
                <w:szCs w:val="19"/>
              </w:rPr>
            </w:pPr>
            <w:r w:rsidRPr="196E8744">
              <w:rPr>
                <w:rFonts w:eastAsia="Arial" w:cs="Arial"/>
                <w:b/>
                <w:bCs/>
                <w:color w:val="FFFFFF" w:themeColor="background1"/>
                <w:sz w:val="19"/>
                <w:szCs w:val="19"/>
              </w:rPr>
              <w:t xml:space="preserve">Industry </w:t>
            </w:r>
            <w:r w:rsidR="0085671C">
              <w:rPr>
                <w:rFonts w:eastAsia="Arial" w:cs="Arial"/>
                <w:b/>
                <w:bCs/>
                <w:color w:val="FFFFFF" w:themeColor="background1"/>
                <w:sz w:val="19"/>
                <w:szCs w:val="19"/>
              </w:rPr>
              <w:t>s</w:t>
            </w:r>
            <w:r w:rsidRPr="196E8744">
              <w:rPr>
                <w:rFonts w:eastAsia="Arial" w:cs="Arial"/>
                <w:b/>
                <w:bCs/>
                <w:color w:val="FFFFFF" w:themeColor="background1"/>
                <w:sz w:val="19"/>
                <w:szCs w:val="19"/>
              </w:rPr>
              <w:t>tandardisation</w:t>
            </w:r>
          </w:p>
        </w:tc>
        <w:tc>
          <w:tcPr>
            <w:tcW w:w="676" w:type="pct"/>
            <w:tcBorders>
              <w:top w:val="single" w:sz="8" w:space="0" w:color="auto"/>
              <w:left w:val="nil"/>
              <w:bottom w:val="single" w:sz="8" w:space="0" w:color="auto"/>
              <w:right w:val="nil"/>
            </w:tcBorders>
            <w:shd w:val="clear" w:color="auto" w:fill="404040" w:themeFill="text1" w:themeFillTint="BF"/>
            <w:tcMar>
              <w:top w:w="85" w:type="dxa"/>
              <w:left w:w="57" w:type="dxa"/>
              <w:bottom w:w="85" w:type="dxa"/>
              <w:right w:w="57" w:type="dxa"/>
            </w:tcMar>
          </w:tcPr>
          <w:p w14:paraId="4B80774F" w14:textId="77777777" w:rsidR="008D4BBA" w:rsidRDefault="008D4BBA" w:rsidP="00F2102A">
            <w:pPr>
              <w:spacing w:after="0"/>
              <w:rPr>
                <w:rFonts w:eastAsia="Arial" w:cs="Arial"/>
                <w:b/>
                <w:bCs/>
                <w:color w:val="FFFFFF" w:themeColor="background1"/>
                <w:sz w:val="19"/>
                <w:szCs w:val="19"/>
              </w:rPr>
            </w:pPr>
            <w:r w:rsidRPr="196E8744">
              <w:rPr>
                <w:rFonts w:eastAsia="Arial" w:cs="Arial"/>
                <w:b/>
                <w:bCs/>
                <w:color w:val="FFFFFF" w:themeColor="background1"/>
                <w:sz w:val="19"/>
                <w:szCs w:val="19"/>
              </w:rPr>
              <w:t>Domestic environment</w:t>
            </w:r>
          </w:p>
        </w:tc>
        <w:tc>
          <w:tcPr>
            <w:tcW w:w="744" w:type="pct"/>
            <w:tcBorders>
              <w:top w:val="single" w:sz="8" w:space="0" w:color="auto"/>
              <w:left w:val="nil"/>
              <w:bottom w:val="single" w:sz="8" w:space="0" w:color="auto"/>
              <w:right w:val="nil"/>
            </w:tcBorders>
            <w:shd w:val="clear" w:color="auto" w:fill="404040" w:themeFill="text1" w:themeFillTint="BF"/>
            <w:tcMar>
              <w:top w:w="85" w:type="dxa"/>
              <w:left w:w="57" w:type="dxa"/>
              <w:bottom w:w="85" w:type="dxa"/>
              <w:right w:w="57" w:type="dxa"/>
            </w:tcMar>
          </w:tcPr>
          <w:p w14:paraId="1A6DE134" w14:textId="77777777" w:rsidR="008D4BBA" w:rsidRDefault="008D4BBA" w:rsidP="00F2102A">
            <w:pPr>
              <w:spacing w:after="0"/>
              <w:rPr>
                <w:rFonts w:eastAsia="Arial" w:cs="Arial"/>
                <w:b/>
                <w:bCs/>
                <w:color w:val="FFFFFF" w:themeColor="background1"/>
                <w:sz w:val="19"/>
                <w:szCs w:val="19"/>
              </w:rPr>
            </w:pPr>
            <w:r w:rsidRPr="196E8744">
              <w:rPr>
                <w:rFonts w:eastAsia="Arial" w:cs="Arial"/>
                <w:b/>
                <w:bCs/>
                <w:color w:val="FFFFFF" w:themeColor="background1"/>
                <w:sz w:val="19"/>
                <w:szCs w:val="19"/>
              </w:rPr>
              <w:t>Global environment</w:t>
            </w:r>
          </w:p>
        </w:tc>
        <w:tc>
          <w:tcPr>
            <w:tcW w:w="947" w:type="pct"/>
            <w:tcBorders>
              <w:top w:val="single" w:sz="8" w:space="0" w:color="auto"/>
              <w:left w:val="nil"/>
              <w:bottom w:val="single" w:sz="8" w:space="0" w:color="auto"/>
              <w:right w:val="single" w:sz="8" w:space="0" w:color="auto"/>
            </w:tcBorders>
            <w:shd w:val="clear" w:color="auto" w:fill="404040" w:themeFill="text1" w:themeFillTint="BF"/>
            <w:tcMar>
              <w:top w:w="85" w:type="dxa"/>
              <w:left w:w="57" w:type="dxa"/>
              <w:bottom w:w="85" w:type="dxa"/>
              <w:right w:w="57" w:type="dxa"/>
            </w:tcMar>
          </w:tcPr>
          <w:p w14:paraId="04653F0B" w14:textId="77777777" w:rsidR="008D4BBA" w:rsidRDefault="008D4BBA" w:rsidP="00F2102A">
            <w:pPr>
              <w:spacing w:after="0"/>
              <w:rPr>
                <w:rFonts w:eastAsia="Arial" w:cs="Arial"/>
                <w:b/>
                <w:bCs/>
                <w:color w:val="FFFFFF" w:themeColor="background1"/>
                <w:sz w:val="19"/>
                <w:szCs w:val="19"/>
              </w:rPr>
            </w:pPr>
            <w:r w:rsidRPr="196E8744">
              <w:rPr>
                <w:rFonts w:eastAsia="Arial" w:cs="Arial"/>
                <w:b/>
                <w:bCs/>
                <w:color w:val="FFFFFF" w:themeColor="background1"/>
                <w:sz w:val="19"/>
                <w:szCs w:val="19"/>
              </w:rPr>
              <w:t>Additional comments</w:t>
            </w:r>
          </w:p>
        </w:tc>
      </w:tr>
      <w:tr w:rsidR="008D4BBA" w14:paraId="5393527B" w14:textId="77777777" w:rsidTr="009E5604">
        <w:trPr>
          <w:trHeight w:val="480"/>
        </w:trPr>
        <w:tc>
          <w:tcPr>
            <w:tcW w:w="469"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2C0D452" w14:textId="77777777" w:rsidR="008D4BBA" w:rsidRDefault="008D4BBA" w:rsidP="009B396C">
            <w:pPr>
              <w:spacing w:after="0"/>
              <w:rPr>
                <w:rFonts w:eastAsia="Arial" w:cs="Arial"/>
                <w:sz w:val="19"/>
                <w:szCs w:val="19"/>
              </w:rPr>
            </w:pPr>
            <w:r w:rsidRPr="196E8744">
              <w:rPr>
                <w:rFonts w:eastAsia="Arial" w:cs="Arial"/>
                <w:sz w:val="19"/>
                <w:szCs w:val="19"/>
              </w:rPr>
              <w:t>700 MHz</w:t>
            </w:r>
          </w:p>
        </w:tc>
        <w:tc>
          <w:tcPr>
            <w:tcW w:w="676"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A9E2E5E" w14:textId="77777777" w:rsidR="008D4BBA" w:rsidRDefault="008D4BBA" w:rsidP="009B396C">
            <w:pPr>
              <w:spacing w:after="120"/>
              <w:rPr>
                <w:rFonts w:eastAsia="Arial" w:cs="Arial"/>
                <w:sz w:val="19"/>
                <w:szCs w:val="19"/>
              </w:rPr>
            </w:pPr>
            <w:r w:rsidRPr="196E8744">
              <w:rPr>
                <w:rFonts w:eastAsia="Arial" w:cs="Arial"/>
                <w:sz w:val="19"/>
                <w:szCs w:val="19"/>
              </w:rPr>
              <w:t xml:space="preserve">703–748 MHz / </w:t>
            </w:r>
            <w:r>
              <w:br/>
            </w:r>
            <w:r w:rsidRPr="196E8744">
              <w:rPr>
                <w:rFonts w:eastAsia="Arial" w:cs="Arial"/>
                <w:sz w:val="19"/>
                <w:szCs w:val="19"/>
              </w:rPr>
              <w:t>758–803 MHz</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165D186" w14:textId="77777777" w:rsidR="008D4BBA" w:rsidRDefault="008D4BBA" w:rsidP="009B396C">
            <w:pPr>
              <w:spacing w:after="0"/>
              <w:rPr>
                <w:rFonts w:eastAsia="Arial" w:cs="Arial"/>
                <w:sz w:val="19"/>
                <w:szCs w:val="19"/>
              </w:rPr>
            </w:pPr>
            <w:r w:rsidRPr="196E8744">
              <w:rPr>
                <w:rFonts w:eastAsia="Arial" w:cs="Arial"/>
                <w:sz w:val="19"/>
                <w:szCs w:val="19"/>
              </w:rPr>
              <w:t>FNs 5.313A &amp; 5.317A</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A23C171" w14:textId="2D638BEC" w:rsidR="008D4BBA" w:rsidRDefault="008D4BBA" w:rsidP="009B396C">
            <w:pPr>
              <w:spacing w:after="0"/>
              <w:rPr>
                <w:rFonts w:eastAsia="Arial" w:cs="Arial"/>
                <w:sz w:val="19"/>
                <w:szCs w:val="19"/>
              </w:rPr>
            </w:pPr>
            <w:r w:rsidRPr="196E8744">
              <w:rPr>
                <w:rFonts w:eastAsia="Arial" w:cs="Arial"/>
                <w:sz w:val="19"/>
                <w:szCs w:val="19"/>
              </w:rPr>
              <w:t>3GPP Bands 28/n28</w:t>
            </w:r>
          </w:p>
        </w:tc>
        <w:tc>
          <w:tcPr>
            <w:tcW w:w="676"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B4266A2" w14:textId="77777777" w:rsidR="008D4BBA" w:rsidRDefault="008D4BBA" w:rsidP="009B396C">
            <w:pPr>
              <w:spacing w:after="0"/>
              <w:rPr>
                <w:rFonts w:eastAsia="Arial" w:cs="Arial"/>
                <w:sz w:val="19"/>
                <w:szCs w:val="19"/>
              </w:rPr>
            </w:pPr>
            <w:r w:rsidRPr="196E8744">
              <w:rPr>
                <w:rFonts w:eastAsia="Arial" w:cs="Arial"/>
                <w:sz w:val="19"/>
                <w:szCs w:val="19"/>
              </w:rPr>
              <w:t>4G, 5G</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D6844DE" w14:textId="77777777" w:rsidR="008D4BBA" w:rsidRDefault="008D4BBA" w:rsidP="009B396C">
            <w:pPr>
              <w:spacing w:after="0"/>
              <w:rPr>
                <w:rFonts w:eastAsia="Arial" w:cs="Arial"/>
                <w:sz w:val="19"/>
                <w:szCs w:val="19"/>
              </w:rPr>
            </w:pPr>
            <w:r w:rsidRPr="196E8744">
              <w:rPr>
                <w:rFonts w:eastAsia="Arial" w:cs="Arial"/>
                <w:sz w:val="19"/>
                <w:szCs w:val="19"/>
              </w:rPr>
              <w:t>Widespread use for WBB</w:t>
            </w:r>
          </w:p>
        </w:tc>
        <w:tc>
          <w:tcPr>
            <w:tcW w:w="947"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426E7B1" w14:textId="77777777" w:rsidR="008D4BBA" w:rsidRDefault="008D4BBA" w:rsidP="009B396C">
            <w:pPr>
              <w:spacing w:after="0"/>
              <w:rPr>
                <w:rFonts w:eastAsia="Arial" w:cs="Arial"/>
                <w:sz w:val="19"/>
                <w:szCs w:val="19"/>
              </w:rPr>
            </w:pPr>
            <w:r w:rsidRPr="196E8744">
              <w:rPr>
                <w:rFonts w:eastAsia="Arial" w:cs="Arial"/>
                <w:sz w:val="19"/>
                <w:szCs w:val="19"/>
              </w:rPr>
              <w:t>5G supported in band 28 (consistent with Australia arrangements)</w:t>
            </w:r>
          </w:p>
        </w:tc>
      </w:tr>
      <w:tr w:rsidR="008D4BBA" w14:paraId="1E6F757B" w14:textId="77777777" w:rsidTr="009E5604">
        <w:trPr>
          <w:trHeight w:val="480"/>
        </w:trPr>
        <w:tc>
          <w:tcPr>
            <w:tcW w:w="46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55D02913"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850 MHz</w:t>
            </w:r>
          </w:p>
        </w:tc>
        <w:tc>
          <w:tcPr>
            <w:tcW w:w="67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2DC4A96D" w14:textId="77777777" w:rsidR="008D4BBA" w:rsidRDefault="008D4BBA" w:rsidP="009B396C">
            <w:pPr>
              <w:spacing w:after="120"/>
              <w:rPr>
                <w:rFonts w:eastAsia="Arial" w:cs="Arial"/>
                <w:color w:val="000000" w:themeColor="text1"/>
                <w:sz w:val="19"/>
                <w:szCs w:val="19"/>
              </w:rPr>
            </w:pPr>
            <w:r w:rsidRPr="196E8744">
              <w:rPr>
                <w:rFonts w:eastAsia="Arial" w:cs="Arial"/>
                <w:color w:val="000000" w:themeColor="text1"/>
                <w:sz w:val="19"/>
                <w:szCs w:val="19"/>
              </w:rPr>
              <w:t xml:space="preserve">824–845 MHz / </w:t>
            </w:r>
            <w:r>
              <w:br/>
            </w:r>
            <w:r w:rsidRPr="196E8744">
              <w:rPr>
                <w:rFonts w:eastAsia="Arial" w:cs="Arial"/>
                <w:color w:val="000000" w:themeColor="text1"/>
                <w:sz w:val="19"/>
                <w:szCs w:val="19"/>
              </w:rPr>
              <w:t>869–890 MHz</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6CA4872C"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FNs 5.317A</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7EE2953F" w14:textId="6449E676"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3GPP Band 5/n5</w:t>
            </w:r>
            <w:r>
              <w:rPr>
                <w:rFonts w:eastAsia="Arial" w:cs="Arial"/>
                <w:color w:val="000000" w:themeColor="text1"/>
                <w:sz w:val="19"/>
                <w:szCs w:val="19"/>
              </w:rPr>
              <w:t>, 26/n26</w:t>
            </w:r>
          </w:p>
        </w:tc>
        <w:tc>
          <w:tcPr>
            <w:tcW w:w="67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297EEF96"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3G, 4G, 5G</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05BA1859"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Widespread use for WBB</w:t>
            </w:r>
          </w:p>
        </w:tc>
        <w:tc>
          <w:tcPr>
            <w:tcW w:w="947"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4F44D36A" w14:textId="77777777" w:rsidR="008D4BBA" w:rsidRDefault="008D4BBA" w:rsidP="009B396C">
            <w:pPr>
              <w:spacing w:after="0"/>
              <w:rPr>
                <w:rFonts w:eastAsia="Arial" w:cs="Arial"/>
                <w:sz w:val="19"/>
                <w:szCs w:val="19"/>
              </w:rPr>
            </w:pPr>
            <w:r w:rsidRPr="196E8744">
              <w:rPr>
                <w:rFonts w:eastAsia="Arial" w:cs="Arial"/>
                <w:sz w:val="19"/>
                <w:szCs w:val="19"/>
              </w:rPr>
              <w:t xml:space="preserve"> </w:t>
            </w:r>
          </w:p>
        </w:tc>
      </w:tr>
      <w:tr w:rsidR="008D4BBA" w14:paraId="071398FF" w14:textId="77777777" w:rsidTr="009E5604">
        <w:trPr>
          <w:trHeight w:val="480"/>
        </w:trPr>
        <w:tc>
          <w:tcPr>
            <w:tcW w:w="469"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4FABFB5" w14:textId="77777777" w:rsidR="008D4BBA" w:rsidRDefault="008D4BBA" w:rsidP="009B396C">
            <w:pPr>
              <w:spacing w:after="0"/>
              <w:rPr>
                <w:rFonts w:eastAsia="Arial" w:cs="Arial"/>
                <w:sz w:val="19"/>
                <w:szCs w:val="19"/>
              </w:rPr>
            </w:pPr>
            <w:r w:rsidRPr="196E8744">
              <w:rPr>
                <w:rFonts w:eastAsia="Arial" w:cs="Arial"/>
                <w:sz w:val="19"/>
                <w:szCs w:val="19"/>
              </w:rPr>
              <w:t>1800 MHz</w:t>
            </w:r>
          </w:p>
        </w:tc>
        <w:tc>
          <w:tcPr>
            <w:tcW w:w="676"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2995C4C" w14:textId="77777777" w:rsidR="008D4BBA" w:rsidRDefault="008D4BBA" w:rsidP="009B396C">
            <w:pPr>
              <w:spacing w:after="120"/>
              <w:rPr>
                <w:rFonts w:eastAsia="Arial" w:cs="Arial"/>
                <w:sz w:val="19"/>
                <w:szCs w:val="19"/>
              </w:rPr>
            </w:pPr>
            <w:r w:rsidRPr="196E8744">
              <w:rPr>
                <w:rFonts w:eastAsia="Arial" w:cs="Arial"/>
                <w:sz w:val="19"/>
                <w:szCs w:val="19"/>
              </w:rPr>
              <w:t>1710–1785 MHz / 1805–1880 MHz</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0768569" w14:textId="77777777" w:rsidR="008D4BBA" w:rsidRDefault="008D4BBA" w:rsidP="009B396C">
            <w:pPr>
              <w:spacing w:after="0"/>
              <w:rPr>
                <w:rFonts w:eastAsia="Arial" w:cs="Arial"/>
                <w:sz w:val="19"/>
                <w:szCs w:val="19"/>
              </w:rPr>
            </w:pPr>
            <w:r w:rsidRPr="196E8744">
              <w:rPr>
                <w:rFonts w:eastAsia="Arial" w:cs="Arial"/>
                <w:sz w:val="19"/>
                <w:szCs w:val="19"/>
              </w:rPr>
              <w:t>FN 5.384A</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7DE8D0A7" w14:textId="77777777" w:rsidR="008D4BBA" w:rsidRDefault="008D4BBA" w:rsidP="009B396C">
            <w:pPr>
              <w:spacing w:after="0"/>
              <w:rPr>
                <w:rFonts w:eastAsia="Arial" w:cs="Arial"/>
                <w:sz w:val="19"/>
                <w:szCs w:val="19"/>
              </w:rPr>
            </w:pPr>
            <w:r w:rsidRPr="196E8744">
              <w:rPr>
                <w:rFonts w:eastAsia="Arial" w:cs="Arial"/>
                <w:sz w:val="19"/>
                <w:szCs w:val="19"/>
              </w:rPr>
              <w:t>3GPP Band 3/n3</w:t>
            </w:r>
          </w:p>
          <w:p w14:paraId="679989C1" w14:textId="77777777" w:rsidR="008D4BBA" w:rsidRPr="003B6AD7" w:rsidRDefault="008D4BBA" w:rsidP="009B396C">
            <w:pPr>
              <w:spacing w:after="0"/>
              <w:rPr>
                <w:rFonts w:eastAsia="Arial" w:cs="Arial"/>
                <w:sz w:val="19"/>
                <w:szCs w:val="19"/>
              </w:rPr>
            </w:pPr>
            <w:r w:rsidRPr="003B6AD7">
              <w:rPr>
                <w:rFonts w:eastAsia="Arial" w:cs="Arial"/>
                <w:sz w:val="19"/>
                <w:szCs w:val="19"/>
              </w:rPr>
              <w:t>GSM-R (Rail)</w:t>
            </w:r>
          </w:p>
        </w:tc>
        <w:tc>
          <w:tcPr>
            <w:tcW w:w="676"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6AD9278" w14:textId="77777777" w:rsidR="008D4BBA" w:rsidRDefault="008D4BBA" w:rsidP="009B396C">
            <w:pPr>
              <w:spacing w:after="0"/>
              <w:rPr>
                <w:rFonts w:eastAsia="Arial" w:cs="Arial"/>
                <w:sz w:val="19"/>
                <w:szCs w:val="19"/>
              </w:rPr>
            </w:pPr>
            <w:r w:rsidRPr="196E8744">
              <w:rPr>
                <w:rFonts w:eastAsia="Arial" w:cs="Arial"/>
                <w:sz w:val="19"/>
                <w:szCs w:val="19"/>
              </w:rPr>
              <w:t>Rail, 4G, 5G</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BD8FA2F" w14:textId="77777777" w:rsidR="008D4BBA" w:rsidRDefault="008D4BBA" w:rsidP="009B396C">
            <w:pPr>
              <w:spacing w:after="0"/>
              <w:rPr>
                <w:rFonts w:eastAsia="Arial" w:cs="Arial"/>
                <w:sz w:val="19"/>
                <w:szCs w:val="19"/>
              </w:rPr>
            </w:pPr>
            <w:r w:rsidRPr="196E8744">
              <w:rPr>
                <w:rFonts w:eastAsia="Arial" w:cs="Arial"/>
                <w:sz w:val="19"/>
                <w:szCs w:val="19"/>
              </w:rPr>
              <w:t>Widespread use for WBB</w:t>
            </w:r>
          </w:p>
        </w:tc>
        <w:tc>
          <w:tcPr>
            <w:tcW w:w="947"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E02A8D4" w14:textId="6155C45D" w:rsidR="008D4BBA" w:rsidRDefault="008D4BBA" w:rsidP="009B396C">
            <w:pPr>
              <w:spacing w:after="0"/>
              <w:rPr>
                <w:rFonts w:eastAsia="Arial" w:cs="Arial"/>
                <w:sz w:val="19"/>
                <w:szCs w:val="19"/>
              </w:rPr>
            </w:pPr>
            <w:r w:rsidRPr="196E8744">
              <w:rPr>
                <w:rFonts w:eastAsia="Arial" w:cs="Arial"/>
                <w:sz w:val="19"/>
                <w:szCs w:val="19"/>
              </w:rPr>
              <w:t>The GSM-R system is set out in EIRENE specifications</w:t>
            </w:r>
            <w:r>
              <w:rPr>
                <w:rStyle w:val="FootnoteReference"/>
                <w:rFonts w:eastAsia="Arial" w:cs="Arial"/>
                <w:sz w:val="19"/>
                <w:szCs w:val="19"/>
              </w:rPr>
              <w:footnoteReference w:id="18"/>
            </w:r>
            <w:hyperlink r:id="rId37" w:anchor="_ftn2" w:history="1">
              <w:hyperlink r:id="rId38" w:anchor="_ftn2" w:history="1">
                <w:r w:rsidRPr="196E8744">
                  <w:rPr>
                    <w:rStyle w:val="Hyperlink"/>
                    <w:rFonts w:eastAsia="Arial" w:cs="Arial"/>
                    <w:sz w:val="19"/>
                    <w:szCs w:val="19"/>
                    <w:vertAlign w:val="superscript"/>
                  </w:rPr>
                  <w:t>]</w:t>
                </w:r>
              </w:hyperlink>
            </w:hyperlink>
          </w:p>
        </w:tc>
      </w:tr>
      <w:tr w:rsidR="008D4BBA" w14:paraId="357E2B3C" w14:textId="77777777" w:rsidTr="009E5604">
        <w:trPr>
          <w:trHeight w:val="480"/>
        </w:trPr>
        <w:tc>
          <w:tcPr>
            <w:tcW w:w="46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15E12929"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2 GHz</w:t>
            </w:r>
          </w:p>
        </w:tc>
        <w:tc>
          <w:tcPr>
            <w:tcW w:w="67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79F4B80C" w14:textId="77777777" w:rsidR="008D4BBA" w:rsidRDefault="008D4BBA" w:rsidP="009B396C">
            <w:pPr>
              <w:spacing w:after="120"/>
              <w:rPr>
                <w:rFonts w:eastAsia="Arial" w:cs="Arial"/>
                <w:color w:val="000000" w:themeColor="text1"/>
                <w:sz w:val="19"/>
                <w:szCs w:val="19"/>
              </w:rPr>
            </w:pPr>
            <w:r w:rsidRPr="196E8744">
              <w:rPr>
                <w:rFonts w:eastAsia="Arial" w:cs="Arial"/>
                <w:color w:val="000000" w:themeColor="text1"/>
                <w:sz w:val="19"/>
                <w:szCs w:val="19"/>
              </w:rPr>
              <w:t>1920–1980 MHz / 2110–2170 MHz</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3C45A05E"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FN 5.388</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5626014D"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3GPP Band 1/n1</w:t>
            </w:r>
          </w:p>
        </w:tc>
        <w:tc>
          <w:tcPr>
            <w:tcW w:w="67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68D142EC"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4G, 5G</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3F015491"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Widespread use for WBB</w:t>
            </w:r>
          </w:p>
        </w:tc>
        <w:tc>
          <w:tcPr>
            <w:tcW w:w="947"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311609AE" w14:textId="77777777" w:rsidR="008D4BBA" w:rsidRDefault="008D4BBA" w:rsidP="009B396C">
            <w:pPr>
              <w:spacing w:after="0"/>
              <w:rPr>
                <w:rFonts w:eastAsia="Arial" w:cs="Arial"/>
                <w:sz w:val="19"/>
                <w:szCs w:val="19"/>
              </w:rPr>
            </w:pPr>
            <w:r w:rsidRPr="196E8744">
              <w:rPr>
                <w:rFonts w:eastAsia="Arial" w:cs="Arial"/>
                <w:sz w:val="19"/>
                <w:szCs w:val="19"/>
              </w:rPr>
              <w:t xml:space="preserve"> </w:t>
            </w:r>
          </w:p>
        </w:tc>
      </w:tr>
      <w:tr w:rsidR="008D4BBA" w14:paraId="2A5F859C" w14:textId="77777777" w:rsidTr="009E5604">
        <w:trPr>
          <w:trHeight w:val="480"/>
        </w:trPr>
        <w:tc>
          <w:tcPr>
            <w:tcW w:w="469"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44D5A2A" w14:textId="77777777" w:rsidR="008D4BBA" w:rsidRDefault="008D4BBA" w:rsidP="009B396C">
            <w:pPr>
              <w:spacing w:after="0"/>
              <w:rPr>
                <w:rFonts w:eastAsia="Arial" w:cs="Arial"/>
                <w:sz w:val="19"/>
                <w:szCs w:val="19"/>
              </w:rPr>
            </w:pPr>
            <w:r w:rsidRPr="196E8744">
              <w:rPr>
                <w:rFonts w:eastAsia="Arial" w:cs="Arial"/>
                <w:sz w:val="19"/>
                <w:szCs w:val="19"/>
              </w:rPr>
              <w:t>2.3 GHz</w:t>
            </w:r>
          </w:p>
        </w:tc>
        <w:tc>
          <w:tcPr>
            <w:tcW w:w="676"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688CE07" w14:textId="77777777" w:rsidR="008D4BBA" w:rsidRDefault="008D4BBA" w:rsidP="009B396C">
            <w:pPr>
              <w:spacing w:after="120"/>
              <w:rPr>
                <w:rFonts w:eastAsia="Arial" w:cs="Arial"/>
                <w:sz w:val="19"/>
                <w:szCs w:val="19"/>
              </w:rPr>
            </w:pPr>
            <w:r w:rsidRPr="196E8744">
              <w:rPr>
                <w:rFonts w:eastAsia="Arial" w:cs="Arial"/>
                <w:sz w:val="19"/>
                <w:szCs w:val="19"/>
              </w:rPr>
              <w:t xml:space="preserve">2302–2400 MHz </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954DB67" w14:textId="77777777" w:rsidR="008D4BBA" w:rsidRDefault="008D4BBA" w:rsidP="009B396C">
            <w:pPr>
              <w:spacing w:after="0"/>
              <w:rPr>
                <w:rFonts w:eastAsia="Arial" w:cs="Arial"/>
                <w:sz w:val="19"/>
                <w:szCs w:val="19"/>
              </w:rPr>
            </w:pPr>
            <w:r w:rsidRPr="196E8744">
              <w:rPr>
                <w:rFonts w:eastAsia="Arial" w:cs="Arial"/>
                <w:sz w:val="19"/>
                <w:szCs w:val="19"/>
              </w:rPr>
              <w:t>FN 5.384A</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771D7BC" w14:textId="77777777" w:rsidR="008D4BBA" w:rsidRDefault="008D4BBA" w:rsidP="009B396C">
            <w:pPr>
              <w:spacing w:after="0"/>
              <w:rPr>
                <w:rFonts w:eastAsia="Arial" w:cs="Arial"/>
                <w:sz w:val="19"/>
                <w:szCs w:val="19"/>
              </w:rPr>
            </w:pPr>
            <w:r w:rsidRPr="196E8744">
              <w:rPr>
                <w:rFonts w:eastAsia="Arial" w:cs="Arial"/>
                <w:sz w:val="19"/>
                <w:szCs w:val="19"/>
              </w:rPr>
              <w:t>3GPP Band 40/n40</w:t>
            </w:r>
          </w:p>
        </w:tc>
        <w:tc>
          <w:tcPr>
            <w:tcW w:w="676"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BA9D379" w14:textId="77777777" w:rsidR="008D4BBA" w:rsidRDefault="008D4BBA" w:rsidP="009B396C">
            <w:pPr>
              <w:spacing w:after="0"/>
              <w:rPr>
                <w:rFonts w:eastAsia="Arial" w:cs="Arial"/>
                <w:sz w:val="19"/>
                <w:szCs w:val="19"/>
              </w:rPr>
            </w:pPr>
            <w:r w:rsidRPr="196E8744">
              <w:rPr>
                <w:rFonts w:eastAsia="Arial" w:cs="Arial"/>
                <w:sz w:val="19"/>
                <w:szCs w:val="19"/>
              </w:rPr>
              <w:t>4G, 5G, NBN</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D2286FF" w14:textId="77777777" w:rsidR="008D4BBA" w:rsidRDefault="008D4BBA" w:rsidP="009B396C">
            <w:pPr>
              <w:spacing w:after="0"/>
              <w:rPr>
                <w:rFonts w:eastAsia="Arial" w:cs="Arial"/>
                <w:sz w:val="19"/>
                <w:szCs w:val="19"/>
              </w:rPr>
            </w:pPr>
            <w:r w:rsidRPr="196E8744">
              <w:rPr>
                <w:rFonts w:eastAsia="Arial" w:cs="Arial"/>
                <w:sz w:val="19"/>
                <w:szCs w:val="19"/>
              </w:rPr>
              <w:t>Widespread use for WBB</w:t>
            </w:r>
          </w:p>
        </w:tc>
        <w:tc>
          <w:tcPr>
            <w:tcW w:w="947"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0A1CDC4" w14:textId="77777777" w:rsidR="008D4BBA" w:rsidRDefault="008D4BBA" w:rsidP="009B396C">
            <w:pPr>
              <w:spacing w:after="0"/>
              <w:rPr>
                <w:rFonts w:eastAsia="Arial" w:cs="Arial"/>
                <w:sz w:val="19"/>
                <w:szCs w:val="19"/>
              </w:rPr>
            </w:pPr>
            <w:r w:rsidRPr="196E8744">
              <w:rPr>
                <w:rFonts w:eastAsia="Arial" w:cs="Arial"/>
                <w:sz w:val="19"/>
                <w:szCs w:val="19"/>
              </w:rPr>
              <w:t xml:space="preserve"> </w:t>
            </w:r>
          </w:p>
        </w:tc>
      </w:tr>
      <w:tr w:rsidR="008D4BBA" w14:paraId="52B41857" w14:textId="77777777" w:rsidTr="009E5604">
        <w:trPr>
          <w:trHeight w:val="480"/>
        </w:trPr>
        <w:tc>
          <w:tcPr>
            <w:tcW w:w="46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2D958E5C"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2.5 GHz</w:t>
            </w:r>
          </w:p>
        </w:tc>
        <w:tc>
          <w:tcPr>
            <w:tcW w:w="67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5D832D59" w14:textId="77777777" w:rsidR="008D4BBA" w:rsidRDefault="008D4BBA" w:rsidP="009B396C">
            <w:pPr>
              <w:spacing w:after="120"/>
              <w:rPr>
                <w:rFonts w:eastAsia="Arial" w:cs="Arial"/>
                <w:color w:val="000000" w:themeColor="text1"/>
                <w:sz w:val="19"/>
                <w:szCs w:val="19"/>
              </w:rPr>
            </w:pPr>
            <w:r w:rsidRPr="196E8744">
              <w:rPr>
                <w:rFonts w:eastAsia="Arial" w:cs="Arial"/>
                <w:color w:val="000000" w:themeColor="text1"/>
                <w:sz w:val="19"/>
                <w:szCs w:val="19"/>
              </w:rPr>
              <w:t>2500–2570 MHz / 2620–2690 MHz</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0C6F8594"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FN 5.384A</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2D6434DE"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3GPP Band 7/n7</w:t>
            </w:r>
          </w:p>
        </w:tc>
        <w:tc>
          <w:tcPr>
            <w:tcW w:w="67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44EB9DE8"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4G</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1E15B73B" w14:textId="77777777" w:rsidR="008D4BBA" w:rsidRDefault="008D4BBA" w:rsidP="00F2102A">
            <w:pPr>
              <w:spacing w:after="60"/>
              <w:rPr>
                <w:rFonts w:eastAsia="Arial" w:cs="Arial"/>
                <w:color w:val="000000" w:themeColor="text1"/>
                <w:sz w:val="19"/>
                <w:szCs w:val="19"/>
              </w:rPr>
            </w:pPr>
            <w:r w:rsidRPr="196E8744">
              <w:rPr>
                <w:rFonts w:eastAsia="Arial" w:cs="Arial"/>
                <w:color w:val="000000" w:themeColor="text1"/>
                <w:sz w:val="19"/>
                <w:szCs w:val="19"/>
              </w:rPr>
              <w:t>Widespread use for WBB</w:t>
            </w:r>
          </w:p>
          <w:p w14:paraId="42232621"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Some use for TOB</w:t>
            </w:r>
          </w:p>
        </w:tc>
        <w:tc>
          <w:tcPr>
            <w:tcW w:w="947"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597A95B4" w14:textId="77777777" w:rsidR="008D4BBA" w:rsidRDefault="00463061" w:rsidP="009B396C">
            <w:pPr>
              <w:spacing w:after="0"/>
              <w:rPr>
                <w:rFonts w:eastAsia="Arial" w:cs="Arial"/>
                <w:color w:val="000000" w:themeColor="text1"/>
                <w:sz w:val="19"/>
                <w:szCs w:val="19"/>
              </w:rPr>
            </w:pPr>
            <w:hyperlink r:id="rId39" w:history="1">
              <w:hyperlink r:id="rId40" w:history="1">
                <w:r w:rsidR="008D4BBA" w:rsidRPr="003B6AD7">
                  <w:rPr>
                    <w:rStyle w:val="Hyperlink"/>
                    <w:rFonts w:eastAsia="Arial" w:cs="Arial"/>
                    <w:sz w:val="19"/>
                    <w:szCs w:val="19"/>
                  </w:rPr>
                  <w:t>ITU-R Rec F.1777-2.</w:t>
                </w:r>
              </w:hyperlink>
            </w:hyperlink>
            <w:r w:rsidR="008D4BBA" w:rsidRPr="196E8744">
              <w:rPr>
                <w:rFonts w:eastAsia="Arial" w:cs="Arial"/>
                <w:color w:val="000000" w:themeColor="text1"/>
                <w:sz w:val="19"/>
                <w:szCs w:val="19"/>
              </w:rPr>
              <w:t xml:space="preserve"> </w:t>
            </w:r>
          </w:p>
          <w:p w14:paraId="4ECE12CD" w14:textId="77777777" w:rsidR="008D4BBA" w:rsidRDefault="00463061" w:rsidP="009B396C">
            <w:pPr>
              <w:spacing w:after="0"/>
              <w:rPr>
                <w:rStyle w:val="Hyperlink"/>
                <w:rFonts w:eastAsia="Arial" w:cs="Arial"/>
                <w:sz w:val="19"/>
                <w:szCs w:val="19"/>
              </w:rPr>
            </w:pPr>
            <w:hyperlink r:id="rId41" w:history="1">
              <w:hyperlink r:id="rId42" w:history="1">
                <w:r w:rsidR="008D4BBA" w:rsidRPr="196E8744">
                  <w:rPr>
                    <w:rStyle w:val="Hyperlink"/>
                    <w:rFonts w:eastAsia="Arial" w:cs="Arial"/>
                    <w:sz w:val="19"/>
                    <w:szCs w:val="19"/>
                  </w:rPr>
                  <w:t>ITU-R Rep BT.2069-7</w:t>
                </w:r>
              </w:hyperlink>
            </w:hyperlink>
          </w:p>
        </w:tc>
      </w:tr>
      <w:tr w:rsidR="008D4BBA" w14:paraId="2BE2ED00" w14:textId="77777777" w:rsidTr="009E5604">
        <w:trPr>
          <w:trHeight w:val="480"/>
        </w:trPr>
        <w:tc>
          <w:tcPr>
            <w:tcW w:w="469"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216A196" w14:textId="6111E71F" w:rsidR="008D4BBA" w:rsidRDefault="008D4BBA" w:rsidP="009B396C">
            <w:pPr>
              <w:spacing w:after="0"/>
              <w:rPr>
                <w:rFonts w:eastAsia="Arial" w:cs="Arial"/>
                <w:sz w:val="19"/>
                <w:szCs w:val="19"/>
              </w:rPr>
            </w:pPr>
            <w:r w:rsidRPr="196E8744">
              <w:rPr>
                <w:rFonts w:eastAsia="Arial" w:cs="Arial"/>
                <w:sz w:val="19"/>
                <w:szCs w:val="19"/>
              </w:rPr>
              <w:t xml:space="preserve">2.5 GHz    </w:t>
            </w:r>
            <w:r>
              <w:rPr>
                <w:rFonts w:eastAsia="Arial" w:cs="Arial"/>
                <w:sz w:val="19"/>
                <w:szCs w:val="19"/>
              </w:rPr>
              <w:t>Mid</w:t>
            </w:r>
            <w:r w:rsidR="009E5604">
              <w:rPr>
                <w:rFonts w:eastAsia="Arial" w:cs="Arial"/>
                <w:sz w:val="19"/>
                <w:szCs w:val="19"/>
              </w:rPr>
              <w:t>-b</w:t>
            </w:r>
            <w:r w:rsidRPr="196E8744">
              <w:rPr>
                <w:rFonts w:eastAsia="Arial" w:cs="Arial"/>
                <w:sz w:val="19"/>
                <w:szCs w:val="19"/>
              </w:rPr>
              <w:t xml:space="preserve">and </w:t>
            </w:r>
            <w:r w:rsidR="009E5604">
              <w:rPr>
                <w:rFonts w:eastAsia="Arial" w:cs="Arial"/>
                <w:sz w:val="19"/>
                <w:szCs w:val="19"/>
              </w:rPr>
              <w:t>g</w:t>
            </w:r>
            <w:r w:rsidRPr="196E8744">
              <w:rPr>
                <w:rFonts w:eastAsia="Arial" w:cs="Arial"/>
                <w:sz w:val="19"/>
                <w:szCs w:val="19"/>
              </w:rPr>
              <w:t>ap</w:t>
            </w:r>
          </w:p>
        </w:tc>
        <w:tc>
          <w:tcPr>
            <w:tcW w:w="676"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941EB7C" w14:textId="77777777" w:rsidR="008D4BBA" w:rsidRDefault="008D4BBA" w:rsidP="009B396C">
            <w:pPr>
              <w:spacing w:after="120"/>
              <w:rPr>
                <w:rFonts w:eastAsia="Arial" w:cs="Arial"/>
                <w:sz w:val="19"/>
                <w:szCs w:val="19"/>
              </w:rPr>
            </w:pPr>
            <w:r w:rsidRPr="196E8744">
              <w:rPr>
                <w:rFonts w:eastAsia="Arial" w:cs="Arial"/>
                <w:sz w:val="19"/>
                <w:szCs w:val="19"/>
              </w:rPr>
              <w:t>2570–2620 MHz</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0F3AE6B" w14:textId="77777777" w:rsidR="008D4BBA" w:rsidRDefault="008D4BBA" w:rsidP="009B396C">
            <w:pPr>
              <w:spacing w:after="0"/>
              <w:rPr>
                <w:rFonts w:eastAsia="Arial" w:cs="Arial"/>
                <w:sz w:val="19"/>
                <w:szCs w:val="19"/>
              </w:rPr>
            </w:pPr>
            <w:r w:rsidRPr="196E8744">
              <w:rPr>
                <w:rFonts w:eastAsia="Arial" w:cs="Arial"/>
                <w:sz w:val="19"/>
                <w:szCs w:val="19"/>
              </w:rPr>
              <w:t>FN 5.384A</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F770573" w14:textId="77777777" w:rsidR="008D4BBA" w:rsidRDefault="008D4BBA" w:rsidP="009B396C">
            <w:pPr>
              <w:spacing w:after="0"/>
              <w:rPr>
                <w:rFonts w:eastAsia="Arial" w:cs="Arial"/>
                <w:sz w:val="19"/>
                <w:szCs w:val="19"/>
              </w:rPr>
            </w:pPr>
            <w:r w:rsidRPr="196E8744">
              <w:rPr>
                <w:rFonts w:eastAsia="Arial" w:cs="Arial"/>
                <w:sz w:val="19"/>
                <w:szCs w:val="19"/>
              </w:rPr>
              <w:t>3GPP Bands 38 &amp; 41/n38 &amp; n41</w:t>
            </w:r>
          </w:p>
        </w:tc>
        <w:tc>
          <w:tcPr>
            <w:tcW w:w="676"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53742EB" w14:textId="77777777" w:rsidR="008D4BBA" w:rsidRDefault="008D4BBA" w:rsidP="009B396C">
            <w:pPr>
              <w:spacing w:after="0"/>
              <w:rPr>
                <w:rFonts w:eastAsia="Arial" w:cs="Arial"/>
                <w:sz w:val="19"/>
                <w:szCs w:val="19"/>
              </w:rPr>
            </w:pPr>
            <w:r w:rsidRPr="196E8744">
              <w:rPr>
                <w:rFonts w:eastAsia="Arial" w:cs="Arial"/>
                <w:sz w:val="19"/>
                <w:szCs w:val="19"/>
              </w:rPr>
              <w:t>TOB</w:t>
            </w:r>
          </w:p>
        </w:tc>
        <w:tc>
          <w:tcPr>
            <w:tcW w:w="744"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40EE957" w14:textId="77777777" w:rsidR="008D4BBA" w:rsidRPr="003B6AD7" w:rsidRDefault="008D4BBA" w:rsidP="00F2102A">
            <w:pPr>
              <w:spacing w:after="60"/>
              <w:rPr>
                <w:rFonts w:eastAsia="Arial" w:cs="Arial"/>
                <w:sz w:val="19"/>
                <w:szCs w:val="19"/>
              </w:rPr>
            </w:pPr>
            <w:r w:rsidRPr="003B6AD7">
              <w:rPr>
                <w:rFonts w:eastAsia="Arial" w:cs="Arial"/>
                <w:sz w:val="19"/>
                <w:szCs w:val="19"/>
              </w:rPr>
              <w:t>Widespread use for WBB</w:t>
            </w:r>
          </w:p>
          <w:p w14:paraId="5B1AA2BE" w14:textId="77777777" w:rsidR="008D4BBA" w:rsidRDefault="008D4BBA" w:rsidP="009B396C">
            <w:pPr>
              <w:spacing w:after="0"/>
              <w:rPr>
                <w:rFonts w:eastAsia="Arial" w:cs="Arial"/>
                <w:sz w:val="19"/>
                <w:szCs w:val="19"/>
              </w:rPr>
            </w:pPr>
            <w:r w:rsidRPr="196E8744">
              <w:rPr>
                <w:rFonts w:eastAsia="Arial" w:cs="Arial"/>
                <w:sz w:val="19"/>
                <w:szCs w:val="19"/>
              </w:rPr>
              <w:t>Some use for TOB</w:t>
            </w:r>
          </w:p>
        </w:tc>
        <w:tc>
          <w:tcPr>
            <w:tcW w:w="947" w:type="pct"/>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7E241B2" w14:textId="77777777" w:rsidR="008D4BBA" w:rsidRDefault="00463061" w:rsidP="009B396C">
            <w:pPr>
              <w:spacing w:after="0"/>
              <w:rPr>
                <w:rFonts w:eastAsia="Arial" w:cs="Arial"/>
                <w:sz w:val="19"/>
                <w:szCs w:val="19"/>
              </w:rPr>
            </w:pPr>
            <w:hyperlink r:id="rId43" w:history="1">
              <w:hyperlink r:id="rId44" w:history="1">
                <w:r w:rsidR="008D4BBA" w:rsidRPr="003B6AD7">
                  <w:rPr>
                    <w:rStyle w:val="Hyperlink"/>
                    <w:rFonts w:eastAsia="Arial" w:cs="Arial"/>
                    <w:sz w:val="19"/>
                    <w:szCs w:val="19"/>
                  </w:rPr>
                  <w:t>ITU-R Rec F.1777-2.</w:t>
                </w:r>
              </w:hyperlink>
            </w:hyperlink>
            <w:r w:rsidR="008D4BBA" w:rsidRPr="196E8744">
              <w:rPr>
                <w:rFonts w:eastAsia="Arial" w:cs="Arial"/>
                <w:sz w:val="19"/>
                <w:szCs w:val="19"/>
              </w:rPr>
              <w:t xml:space="preserve"> </w:t>
            </w:r>
          </w:p>
          <w:p w14:paraId="2DFF0801" w14:textId="77777777" w:rsidR="008D4BBA" w:rsidRDefault="00463061" w:rsidP="009B396C">
            <w:pPr>
              <w:spacing w:after="0"/>
              <w:rPr>
                <w:rStyle w:val="Hyperlink"/>
                <w:rFonts w:eastAsia="Arial" w:cs="Arial"/>
                <w:sz w:val="19"/>
                <w:szCs w:val="19"/>
              </w:rPr>
            </w:pPr>
            <w:hyperlink r:id="rId45" w:history="1">
              <w:hyperlink r:id="rId46" w:history="1">
                <w:r w:rsidR="008D4BBA" w:rsidRPr="196E8744">
                  <w:rPr>
                    <w:rStyle w:val="Hyperlink"/>
                    <w:rFonts w:eastAsia="Arial" w:cs="Arial"/>
                    <w:sz w:val="19"/>
                    <w:szCs w:val="19"/>
                  </w:rPr>
                  <w:t>ITU-R Rep BT.2069-7</w:t>
                </w:r>
              </w:hyperlink>
            </w:hyperlink>
          </w:p>
        </w:tc>
      </w:tr>
      <w:tr w:rsidR="008D4BBA" w14:paraId="16D42490" w14:textId="77777777" w:rsidTr="009E5604">
        <w:trPr>
          <w:trHeight w:val="195"/>
        </w:trPr>
        <w:tc>
          <w:tcPr>
            <w:tcW w:w="46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3BAADC49"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3.4 GHz</w:t>
            </w:r>
          </w:p>
        </w:tc>
        <w:tc>
          <w:tcPr>
            <w:tcW w:w="67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24D1BAB5" w14:textId="77777777" w:rsidR="008D4BBA" w:rsidRDefault="008D4BBA" w:rsidP="009B396C">
            <w:pPr>
              <w:spacing w:after="120"/>
              <w:rPr>
                <w:rFonts w:eastAsia="Arial" w:cs="Arial"/>
                <w:color w:val="000000" w:themeColor="text1"/>
                <w:sz w:val="19"/>
                <w:szCs w:val="19"/>
              </w:rPr>
            </w:pPr>
            <w:r w:rsidRPr="196E8744">
              <w:rPr>
                <w:rFonts w:eastAsia="Arial" w:cs="Arial"/>
                <w:color w:val="000000" w:themeColor="text1"/>
                <w:sz w:val="19"/>
                <w:szCs w:val="19"/>
              </w:rPr>
              <w:t>3400–3700 MHz</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1CF47198" w14:textId="77777777" w:rsidR="008D4BBA" w:rsidRDefault="008D4BBA" w:rsidP="009B396C">
            <w:pPr>
              <w:spacing w:after="0"/>
              <w:rPr>
                <w:rStyle w:val="Hyperlink"/>
                <w:rFonts w:eastAsia="Arial" w:cs="Arial"/>
                <w:sz w:val="19"/>
                <w:szCs w:val="19"/>
                <w:vertAlign w:val="superscript"/>
              </w:rPr>
            </w:pPr>
            <w:r w:rsidRPr="196E8744">
              <w:rPr>
                <w:rFonts w:eastAsia="Arial" w:cs="Arial"/>
                <w:color w:val="000000" w:themeColor="text1"/>
                <w:sz w:val="19"/>
                <w:szCs w:val="19"/>
              </w:rPr>
              <w:t>FN 5.432B, 433A &amp; 43</w:t>
            </w:r>
            <w:r>
              <w:rPr>
                <w:rFonts w:eastAsia="Arial" w:cs="Arial"/>
                <w:color w:val="000000" w:themeColor="text1"/>
                <w:sz w:val="19"/>
                <w:szCs w:val="19"/>
              </w:rPr>
              <w:t>4</w:t>
            </w:r>
            <w:r>
              <w:rPr>
                <w:rStyle w:val="FootnoteReference"/>
                <w:rFonts w:eastAsia="Arial" w:cs="Arial"/>
                <w:color w:val="000000" w:themeColor="text1"/>
                <w:sz w:val="19"/>
                <w:szCs w:val="19"/>
              </w:rPr>
              <w:footnoteReference w:id="19"/>
            </w:r>
            <w:hyperlink r:id="rId47" w:anchor="_ftn3" w:history="1">
              <w:r w:rsidRPr="00E115B8">
                <w:rPr>
                  <w:rFonts w:eastAsia="Arial" w:cs="Arial"/>
                  <w:sz w:val="19"/>
                  <w:szCs w:val="19"/>
                  <w:u w:color="0000FF"/>
                  <w:vertAlign w:val="superscript"/>
                </w:rPr>
                <w:t>[3]</w:t>
              </w:r>
            </w:hyperlink>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68B6A4C4"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3GPP Bands 42 &amp; 43/n77 &amp; n78</w:t>
            </w:r>
          </w:p>
        </w:tc>
        <w:tc>
          <w:tcPr>
            <w:tcW w:w="67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2B2080C0"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4G, 5G, NBN</w:t>
            </w:r>
          </w:p>
        </w:tc>
        <w:tc>
          <w:tcPr>
            <w:tcW w:w="74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18F82031" w14:textId="77777777" w:rsidR="008D4BBA" w:rsidRDefault="008D4BBA" w:rsidP="009B396C">
            <w:pPr>
              <w:spacing w:after="0"/>
              <w:rPr>
                <w:rFonts w:eastAsia="Arial" w:cs="Arial"/>
                <w:color w:val="000000" w:themeColor="text1"/>
                <w:sz w:val="19"/>
                <w:szCs w:val="19"/>
              </w:rPr>
            </w:pPr>
            <w:r w:rsidRPr="196E8744">
              <w:rPr>
                <w:rFonts w:eastAsia="Arial" w:cs="Arial"/>
                <w:color w:val="000000" w:themeColor="text1"/>
                <w:sz w:val="19"/>
                <w:szCs w:val="19"/>
              </w:rPr>
              <w:t>Widespread use for WBB</w:t>
            </w:r>
          </w:p>
        </w:tc>
        <w:tc>
          <w:tcPr>
            <w:tcW w:w="947"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5" w:type="dxa"/>
              <w:left w:w="57" w:type="dxa"/>
              <w:bottom w:w="85" w:type="dxa"/>
              <w:right w:w="57" w:type="dxa"/>
            </w:tcMar>
          </w:tcPr>
          <w:p w14:paraId="01F7B47F" w14:textId="77777777" w:rsidR="008D4BBA" w:rsidRDefault="008D4BBA" w:rsidP="009B396C">
            <w:pPr>
              <w:spacing w:after="0"/>
              <w:rPr>
                <w:rFonts w:eastAsia="Arial" w:cs="Arial"/>
                <w:sz w:val="19"/>
                <w:szCs w:val="19"/>
              </w:rPr>
            </w:pPr>
            <w:r w:rsidRPr="196E8744">
              <w:rPr>
                <w:rFonts w:eastAsia="Arial" w:cs="Arial"/>
                <w:sz w:val="19"/>
                <w:szCs w:val="19"/>
              </w:rPr>
              <w:t xml:space="preserve"> </w:t>
            </w:r>
          </w:p>
        </w:tc>
      </w:tr>
    </w:tbl>
    <w:p w14:paraId="638B532C" w14:textId="77777777" w:rsidR="00D57398" w:rsidRPr="002B2859" w:rsidRDefault="00D57398" w:rsidP="00D57398">
      <w:pPr>
        <w:spacing w:before="80"/>
        <w:rPr>
          <w:rFonts w:eastAsia="Arial" w:cs="Arial"/>
          <w:i/>
          <w:iCs/>
          <w:sz w:val="16"/>
          <w:szCs w:val="16"/>
        </w:rPr>
      </w:pPr>
    </w:p>
    <w:p w14:paraId="7302ABED" w14:textId="074F1561" w:rsidR="00D57398" w:rsidRDefault="00D57398" w:rsidP="00D57398">
      <w:pPr>
        <w:pStyle w:val="Heading2"/>
        <w:rPr>
          <w:color w:val="1F497D" w:themeColor="text2"/>
        </w:rPr>
      </w:pPr>
      <w:bookmarkStart w:id="37" w:name="_Toc159360667"/>
      <w:bookmarkStart w:id="38" w:name="_Toc161756534"/>
      <w:r>
        <w:lastRenderedPageBreak/>
        <w:t xml:space="preserve">Analysis and </w:t>
      </w:r>
      <w:r w:rsidR="00145847">
        <w:t xml:space="preserve">frequency </w:t>
      </w:r>
      <w:r>
        <w:t>band use views</w:t>
      </w:r>
      <w:bookmarkEnd w:id="37"/>
      <w:bookmarkEnd w:id="38"/>
    </w:p>
    <w:p w14:paraId="488AA759" w14:textId="77777777" w:rsidR="00D57398" w:rsidRPr="003B6AD7" w:rsidRDefault="00D57398" w:rsidP="00D57398">
      <w:pPr>
        <w:pStyle w:val="Heading3"/>
      </w:pPr>
      <w:r w:rsidRPr="003B6AD7">
        <w:t xml:space="preserve">700 MHz, </w:t>
      </w:r>
      <w:r>
        <w:t>850 MHz, 2</w:t>
      </w:r>
      <w:r w:rsidRPr="003B6AD7">
        <w:t xml:space="preserve"> GHz, 2.3 GHz, 2.5 GHz</w:t>
      </w:r>
      <w:r>
        <w:t xml:space="preserve"> and 3.4 GHz</w:t>
      </w:r>
    </w:p>
    <w:p w14:paraId="0A42CBBD" w14:textId="02635FB0" w:rsidR="00D57398" w:rsidRDefault="00D57398" w:rsidP="00F53C4E">
      <w:pPr>
        <w:pStyle w:val="Paragraph"/>
      </w:pPr>
      <w:r>
        <w:t xml:space="preserve">Continued WBB use of the 700 MHz, 850 MHz, 2 GHz, 2.3 GHz, 2.5 GHz and 3.4 GHz bands is likely to </w:t>
      </w:r>
      <w:r w:rsidR="00E33974">
        <w:t xml:space="preserve">promote </w:t>
      </w:r>
      <w:r>
        <w:t xml:space="preserve">the long-term public interest.  </w:t>
      </w:r>
    </w:p>
    <w:p w14:paraId="3F8ED34C" w14:textId="1B5DC141" w:rsidR="00D57398" w:rsidRPr="00986405" w:rsidRDefault="00D57398" w:rsidP="00F53C4E">
      <w:pPr>
        <w:pStyle w:val="Paragraph"/>
      </w:pPr>
      <w:r>
        <w:t xml:space="preserve">Table </w:t>
      </w:r>
      <w:r w:rsidR="008F5EB7">
        <w:t>2</w:t>
      </w:r>
      <w:r>
        <w:t xml:space="preserve"> identifies that WBB use in these bands is well supported domestically and internationally through international harmonisation and industry standardisation. </w:t>
      </w:r>
      <w:r w:rsidR="00793D09">
        <w:t>There</w:t>
      </w:r>
      <w:r>
        <w:t xml:space="preserve"> is considerable equipment availability in these bands for WBB, facilitating widespread use by industry and end</w:t>
      </w:r>
      <w:r w:rsidR="005B4C44">
        <w:t xml:space="preserve"> </w:t>
      </w:r>
      <w:r>
        <w:t xml:space="preserve">users </w:t>
      </w:r>
      <w:r w:rsidR="009D74CF">
        <w:t>in Australia</w:t>
      </w:r>
      <w:r>
        <w:t xml:space="preserve"> and </w:t>
      </w:r>
      <w:r w:rsidR="009D74CF">
        <w:t>overseas</w:t>
      </w:r>
      <w:r>
        <w:t xml:space="preserve">. </w:t>
      </w:r>
      <w:r w:rsidR="00486CFD">
        <w:t>We consider that these</w:t>
      </w:r>
      <w:r>
        <w:t xml:space="preserve"> factors are generally conducive to promot</w:t>
      </w:r>
      <w:r w:rsidR="00BC021A">
        <w:t>ing</w:t>
      </w:r>
      <w:r>
        <w:t xml:space="preserve"> the long-term public interest derived from the use of the spectrum. </w:t>
      </w:r>
    </w:p>
    <w:p w14:paraId="654CE8F1" w14:textId="77777777" w:rsidR="00D57398" w:rsidRPr="0029500D" w:rsidRDefault="00D57398" w:rsidP="00D57398">
      <w:pPr>
        <w:pStyle w:val="Heading3"/>
      </w:pPr>
      <w:r w:rsidRPr="003B6AD7">
        <w:t>1800</w:t>
      </w:r>
      <w:r w:rsidRPr="0029500D">
        <w:t xml:space="preserve"> MHz</w:t>
      </w:r>
    </w:p>
    <w:p w14:paraId="529159B0" w14:textId="2636F4C2" w:rsidR="00D57398" w:rsidRDefault="00D57398" w:rsidP="00F53C4E">
      <w:pPr>
        <w:pStyle w:val="Paragraph"/>
      </w:pPr>
      <w:r>
        <w:t xml:space="preserve">Continued </w:t>
      </w:r>
      <w:r w:rsidR="00C53DC5">
        <w:t xml:space="preserve">mixed </w:t>
      </w:r>
      <w:r>
        <w:t>WBB and rail safety use of the 1800 MHz</w:t>
      </w:r>
      <w:r w:rsidR="004825D9">
        <w:t xml:space="preserve"> band</w:t>
      </w:r>
      <w:r>
        <w:t xml:space="preserve"> is likely conducive to promoting the long-term public interest. </w:t>
      </w:r>
    </w:p>
    <w:p w14:paraId="2D2AA39C" w14:textId="3F2E7C8A" w:rsidR="00D57398" w:rsidRDefault="00D57398" w:rsidP="00F53C4E">
      <w:pPr>
        <w:pStyle w:val="Paragraph"/>
      </w:pPr>
      <w:r>
        <w:t>While rail safety and WBB use of the spectrum have similarities in many aspects of the standardised technologies used, domestic experience indicate</w:t>
      </w:r>
      <w:r w:rsidR="007F1F02">
        <w:t>s</w:t>
      </w:r>
      <w:r>
        <w:t xml:space="preserve"> that there is a case for considering these as </w:t>
      </w:r>
      <w:r w:rsidR="00120A4C">
        <w:t>2</w:t>
      </w:r>
      <w:r>
        <w:t xml:space="preserve"> different </w:t>
      </w:r>
      <w:r w:rsidDel="00B052F0">
        <w:t xml:space="preserve">uses </w:t>
      </w:r>
      <w:r>
        <w:t xml:space="preserve">for </w:t>
      </w:r>
      <w:r w:rsidR="00CB621C">
        <w:t xml:space="preserve">the </w:t>
      </w:r>
      <w:r>
        <w:t>ESL process.</w:t>
      </w:r>
    </w:p>
    <w:p w14:paraId="57D35603" w14:textId="55F55D2C" w:rsidR="00D57398" w:rsidRDefault="00D57398" w:rsidP="00F53C4E">
      <w:pPr>
        <w:pStyle w:val="Paragraph"/>
      </w:pPr>
      <w:r>
        <w:t>We note</w:t>
      </w:r>
      <w:r w:rsidRPr="002D6819">
        <w:t xml:space="preserve"> that important factors in the appropriate combination of uses include the geographic coverage required for rail safety use, the extent t</w:t>
      </w:r>
      <w:r w:rsidR="003A5B1B">
        <w:t xml:space="preserve">o which </w:t>
      </w:r>
      <w:r w:rsidRPr="002D6819">
        <w:t xml:space="preserve">similarities in use enable harmonised technical frameworks, and the expected use of the </w:t>
      </w:r>
      <w:r w:rsidR="00B31B5C">
        <w:t>1900 MHz</w:t>
      </w:r>
      <w:r w:rsidRPr="002D6819" w:rsidDel="00B31B5C">
        <w:t xml:space="preserve"> </w:t>
      </w:r>
      <w:r w:rsidR="003A5B1B">
        <w:t xml:space="preserve">band </w:t>
      </w:r>
      <w:r w:rsidRPr="002D6819">
        <w:t>for at least some future rail safety services.</w:t>
      </w:r>
    </w:p>
    <w:p w14:paraId="61978FB9" w14:textId="48FE928E" w:rsidR="00D57398" w:rsidRDefault="00D57398" w:rsidP="00F53C4E">
      <w:pPr>
        <w:pStyle w:val="Paragraph"/>
      </w:pPr>
      <w:r>
        <w:t xml:space="preserve">Table </w:t>
      </w:r>
      <w:r w:rsidR="008F5EB7">
        <w:t>2</w:t>
      </w:r>
      <w:r>
        <w:t xml:space="preserve"> identifies that WBB use in the 1800 MHz </w:t>
      </w:r>
      <w:r w:rsidR="00DA12C6">
        <w:t xml:space="preserve">band </w:t>
      </w:r>
      <w:r>
        <w:t>is well supported both domestically and internationally th</w:t>
      </w:r>
      <w:r w:rsidR="000E2BEE">
        <w:t>r</w:t>
      </w:r>
      <w:r>
        <w:t>ough international harmonisation and industry standardisation. The</w:t>
      </w:r>
      <w:r w:rsidR="00D9183C">
        <w:t>r</w:t>
      </w:r>
      <w:r>
        <w:t>e is considerable equipment availability in these bands for WBB, facilitating widespread use by industry and end</w:t>
      </w:r>
      <w:r w:rsidR="000B2507">
        <w:t xml:space="preserve"> </w:t>
      </w:r>
      <w:r>
        <w:t xml:space="preserve">users </w:t>
      </w:r>
      <w:r w:rsidR="00621BF0">
        <w:t>in Australia</w:t>
      </w:r>
      <w:r>
        <w:t xml:space="preserve"> and </w:t>
      </w:r>
      <w:r w:rsidR="00621BF0">
        <w:t>overseas</w:t>
      </w:r>
      <w:r>
        <w:t xml:space="preserve">. </w:t>
      </w:r>
      <w:r w:rsidR="00CF4451">
        <w:t>We consider that these</w:t>
      </w:r>
      <w:r>
        <w:t xml:space="preserve"> factors are generally conducive to </w:t>
      </w:r>
      <w:r w:rsidR="00BC021A">
        <w:t>promoting the long-term public interest derived from the use of the band.</w:t>
      </w:r>
    </w:p>
    <w:p w14:paraId="0E7195DC" w14:textId="028B56EF" w:rsidR="00D57398" w:rsidRPr="00002C71" w:rsidRDefault="000B348F" w:rsidP="00F53C4E">
      <w:pPr>
        <w:pStyle w:val="Paragraph"/>
      </w:pPr>
      <w:r>
        <w:t xml:space="preserve">Table </w:t>
      </w:r>
      <w:r w:rsidR="008F5EB7">
        <w:t>2</w:t>
      </w:r>
      <w:r>
        <w:t xml:space="preserve"> also identifies that</w:t>
      </w:r>
      <w:r w:rsidR="00D57398">
        <w:t xml:space="preserve"> rail safet</w:t>
      </w:r>
      <w:r w:rsidR="00BC021A">
        <w:t>y</w:t>
      </w:r>
      <w:r w:rsidR="00D57398">
        <w:t xml:space="preserve"> </w:t>
      </w:r>
      <w:r>
        <w:t xml:space="preserve">use of the 1800 MHz </w:t>
      </w:r>
      <w:r w:rsidR="00DA12C6">
        <w:t xml:space="preserve">band </w:t>
      </w:r>
      <w:r w:rsidR="00D57398">
        <w:t>in some areas</w:t>
      </w:r>
      <w:r w:rsidR="00754896">
        <w:t xml:space="preserve"> is </w:t>
      </w:r>
      <w:r w:rsidR="00D57398">
        <w:t>supported by standardisation among rail operators, forming a domestic framework for rail operation. This standardisation of 1800 MHz for rail safety, and other legacy issues, generally supports that rail safety use promotes the public interest</w:t>
      </w:r>
      <w:r w:rsidR="008D1CFB">
        <w:t xml:space="preserve"> </w:t>
      </w:r>
      <w:proofErr w:type="gramStart"/>
      <w:r w:rsidR="008D1CFB">
        <w:t>at this time</w:t>
      </w:r>
      <w:proofErr w:type="gramEnd"/>
      <w:r w:rsidR="00D57398">
        <w:t xml:space="preserve">.  </w:t>
      </w:r>
    </w:p>
    <w:p w14:paraId="1FEAEF3A" w14:textId="24EF046B" w:rsidR="00D57398" w:rsidRDefault="00D57398" w:rsidP="00F53C4E">
      <w:pPr>
        <w:pStyle w:val="Paragraph"/>
      </w:pPr>
      <w:r>
        <w:t xml:space="preserve">However, </w:t>
      </w:r>
      <w:r w:rsidR="00323447">
        <w:t xml:space="preserve">we note that there </w:t>
      </w:r>
      <w:r w:rsidR="003B1DD1">
        <w:t xml:space="preserve">are </w:t>
      </w:r>
      <w:r w:rsidR="006A5A8E">
        <w:t>emerging factors that</w:t>
      </w:r>
      <w:r w:rsidR="00734331">
        <w:t xml:space="preserve"> </w:t>
      </w:r>
      <w:r w:rsidR="001E5335">
        <w:t xml:space="preserve">will likely be relevant to considerations of rail safety use of </w:t>
      </w:r>
      <w:r w:rsidR="00DA12C6">
        <w:t xml:space="preserve">the </w:t>
      </w:r>
      <w:r w:rsidR="001E5335">
        <w:t xml:space="preserve">1800 MHz </w:t>
      </w:r>
      <w:r w:rsidR="00DA12C6">
        <w:t>band</w:t>
      </w:r>
      <w:r w:rsidR="001E5335">
        <w:t xml:space="preserve"> and the long-term public interest. S</w:t>
      </w:r>
      <w:r>
        <w:t xml:space="preserve">ome </w:t>
      </w:r>
      <w:r w:rsidR="00756F54">
        <w:t>rail</w:t>
      </w:r>
      <w:r>
        <w:t xml:space="preserve"> operators are exploring the feasibility of using </w:t>
      </w:r>
      <w:r w:rsidR="00BD4C40">
        <w:t xml:space="preserve">the </w:t>
      </w:r>
      <w:r>
        <w:t>1</w:t>
      </w:r>
      <w:r w:rsidR="00BD4C40">
        <w:t>.</w:t>
      </w:r>
      <w:r>
        <w:t xml:space="preserve">9 </w:t>
      </w:r>
      <w:r w:rsidR="00BD4C40">
        <w:t>G</w:t>
      </w:r>
      <w:r>
        <w:t>Hz</w:t>
      </w:r>
      <w:r w:rsidR="00BD4C40">
        <w:t xml:space="preserve"> band</w:t>
      </w:r>
      <w:r>
        <w:t xml:space="preserve"> to carry out operations. Further, the current rail communication systems, namely Digital Train Radio Systems (DTRS) and European Train Control System (ETCS) are becoming increasingly obsole</w:t>
      </w:r>
      <w:r w:rsidR="00B6651F">
        <w:t>te</w:t>
      </w:r>
      <w:r>
        <w:t xml:space="preserve">, and the forthcoming Future Railway </w:t>
      </w:r>
      <w:r w:rsidR="00ED7ECC">
        <w:t xml:space="preserve">Mobile </w:t>
      </w:r>
      <w:r>
        <w:t xml:space="preserve">Communication </w:t>
      </w:r>
      <w:r w:rsidR="00ED7ECC">
        <w:t xml:space="preserve">System </w:t>
      </w:r>
      <w:r>
        <w:t>(FR</w:t>
      </w:r>
      <w:r w:rsidR="00ED7ECC">
        <w:t>M</w:t>
      </w:r>
      <w:r>
        <w:t>C</w:t>
      </w:r>
      <w:r w:rsidR="00ED7ECC">
        <w:t>S</w:t>
      </w:r>
      <w:r>
        <w:t xml:space="preserve">) is supported </w:t>
      </w:r>
      <w:r w:rsidR="00A53BCB">
        <w:t>i</w:t>
      </w:r>
      <w:r>
        <w:t xml:space="preserve">n </w:t>
      </w:r>
      <w:r w:rsidR="00A53BCB">
        <w:t xml:space="preserve">the </w:t>
      </w:r>
      <w:r>
        <w:t>1</w:t>
      </w:r>
      <w:r w:rsidR="002C57DC">
        <w:t>.</w:t>
      </w:r>
      <w:r>
        <w:t xml:space="preserve">9 </w:t>
      </w:r>
      <w:r w:rsidR="002C57DC">
        <w:t>G</w:t>
      </w:r>
      <w:r w:rsidR="003B1DD1">
        <w:t>Hz</w:t>
      </w:r>
      <w:r w:rsidR="00A53BCB">
        <w:t xml:space="preserve"> band</w:t>
      </w:r>
      <w:r w:rsidR="003B1DD1">
        <w:t>.</w:t>
      </w:r>
      <w:r>
        <w:t xml:space="preserve"> We also note that</w:t>
      </w:r>
      <w:r w:rsidRPr="00A61532">
        <w:t xml:space="preserve"> other licences</w:t>
      </w:r>
      <w:r>
        <w:t xml:space="preserve"> and bands, such as apparatus licences in </w:t>
      </w:r>
      <w:r w:rsidR="00A53BCB">
        <w:t>the</w:t>
      </w:r>
      <w:r w:rsidR="002C57DC">
        <w:t xml:space="preserve"> </w:t>
      </w:r>
      <w:r>
        <w:t>1</w:t>
      </w:r>
      <w:r w:rsidR="002C57DC">
        <w:t>.</w:t>
      </w:r>
      <w:r>
        <w:t xml:space="preserve">9 </w:t>
      </w:r>
      <w:r w:rsidR="002C57DC">
        <w:t>G</w:t>
      </w:r>
      <w:r>
        <w:t>Hz</w:t>
      </w:r>
      <w:r w:rsidR="002C57DC">
        <w:t xml:space="preserve"> band</w:t>
      </w:r>
      <w:r>
        <w:t>,</w:t>
      </w:r>
      <w:r w:rsidRPr="00A61532">
        <w:t xml:space="preserve"> could provide </w:t>
      </w:r>
      <w:r>
        <w:t>a suitable alternative</w:t>
      </w:r>
      <w:r w:rsidRPr="00A61532">
        <w:t xml:space="preserve"> for rail operators</w:t>
      </w:r>
      <w:r>
        <w:t xml:space="preserve"> in the future</w:t>
      </w:r>
      <w:r w:rsidRPr="00A61532">
        <w:t>.</w:t>
      </w:r>
      <w:r w:rsidDel="00EC460D">
        <w:rPr>
          <w:rStyle w:val="FootnoteReference"/>
        </w:rPr>
        <w:t xml:space="preserve"> </w:t>
      </w:r>
    </w:p>
    <w:p w14:paraId="42B41B03" w14:textId="2CEB3E41" w:rsidR="000B1602" w:rsidRPr="00583F87" w:rsidRDefault="000B1602" w:rsidP="00F53C4E">
      <w:pPr>
        <w:pStyle w:val="Paragraph"/>
        <w:rPr>
          <w:rStyle w:val="FootnoteReference"/>
        </w:rPr>
      </w:pPr>
      <w:r>
        <w:t xml:space="preserve">We welcome engagement from rail safety licensees about suitable timeframes for potential transitions to the 1900 MHz band. </w:t>
      </w:r>
    </w:p>
    <w:p w14:paraId="12E8549F" w14:textId="3E81B44E" w:rsidR="00D57398" w:rsidRPr="0029500D" w:rsidRDefault="00D57398" w:rsidP="00D57398">
      <w:pPr>
        <w:pStyle w:val="Heading3"/>
      </w:pPr>
      <w:r w:rsidRPr="003B6AD7">
        <w:t xml:space="preserve">2.5 GHz </w:t>
      </w:r>
      <w:r w:rsidR="00BE3A38">
        <w:t>m</w:t>
      </w:r>
      <w:r w:rsidRPr="003B6AD7">
        <w:t>id</w:t>
      </w:r>
      <w:r w:rsidR="007525B7">
        <w:t>-</w:t>
      </w:r>
      <w:r w:rsidR="00BE3A38">
        <w:t>b</w:t>
      </w:r>
      <w:r w:rsidRPr="003B6AD7">
        <w:t xml:space="preserve">and </w:t>
      </w:r>
      <w:r w:rsidR="00BE3A38">
        <w:t>g</w:t>
      </w:r>
      <w:r w:rsidRPr="003B6AD7">
        <w:t>ap</w:t>
      </w:r>
    </w:p>
    <w:p w14:paraId="7603155A" w14:textId="5A4D36F2" w:rsidR="00D57398" w:rsidRDefault="00D57398" w:rsidP="00D57398">
      <w:pPr>
        <w:pStyle w:val="Paragraph"/>
      </w:pPr>
      <w:r>
        <w:t>W</w:t>
      </w:r>
      <w:r w:rsidRPr="00E115B8">
        <w:t xml:space="preserve">hile there continues to be a case that ENG </w:t>
      </w:r>
      <w:r>
        <w:t>use of</w:t>
      </w:r>
      <w:r w:rsidRPr="00E115B8">
        <w:t xml:space="preserve"> the 2.5 GHz </w:t>
      </w:r>
      <w:r w:rsidR="00613805">
        <w:t>m</w:t>
      </w:r>
      <w:r>
        <w:t>id</w:t>
      </w:r>
      <w:r w:rsidR="007525B7">
        <w:t>-</w:t>
      </w:r>
      <w:r w:rsidR="00613805">
        <w:t>b</w:t>
      </w:r>
      <w:r>
        <w:t xml:space="preserve">and </w:t>
      </w:r>
      <w:r w:rsidR="00613805">
        <w:t>g</w:t>
      </w:r>
      <w:r>
        <w:t xml:space="preserve">ap </w:t>
      </w:r>
      <w:r w:rsidRPr="00E115B8">
        <w:t xml:space="preserve">band </w:t>
      </w:r>
      <w:r>
        <w:t xml:space="preserve">is </w:t>
      </w:r>
      <w:r w:rsidRPr="00E115B8">
        <w:t xml:space="preserve">likely </w:t>
      </w:r>
      <w:r>
        <w:t xml:space="preserve">conducive </w:t>
      </w:r>
      <w:r w:rsidRPr="00E115B8">
        <w:t xml:space="preserve">to </w:t>
      </w:r>
      <w:r>
        <w:t>promoting</w:t>
      </w:r>
      <w:r w:rsidRPr="00E115B8">
        <w:t xml:space="preserve"> the long-term </w:t>
      </w:r>
      <w:r w:rsidR="00B03FEC">
        <w:t xml:space="preserve">public </w:t>
      </w:r>
      <w:r w:rsidRPr="00E115B8">
        <w:t>interest</w:t>
      </w:r>
      <w:r>
        <w:t>, f</w:t>
      </w:r>
      <w:r w:rsidRPr="00E115B8">
        <w:t xml:space="preserve">urther consideration needs to be given to whether WBB use is an alternative or complementary use of the band. </w:t>
      </w:r>
    </w:p>
    <w:p w14:paraId="076C627A" w14:textId="2F1F01EA" w:rsidR="00354FAC" w:rsidRDefault="004F4E10" w:rsidP="00D57398">
      <w:pPr>
        <w:pStyle w:val="Paragraph"/>
      </w:pPr>
      <w:r w:rsidRPr="00697C65">
        <w:lastRenderedPageBreak/>
        <w:t xml:space="preserve">Broadcasters use </w:t>
      </w:r>
      <w:r w:rsidR="00930839" w:rsidRPr="00697C65">
        <w:t>the</w:t>
      </w:r>
      <w:r w:rsidR="00897CC4" w:rsidRPr="00697C65">
        <w:t xml:space="preserve"> </w:t>
      </w:r>
      <w:r w:rsidRPr="00697C65">
        <w:t>spectrum licensed 2</w:t>
      </w:r>
      <w:r w:rsidR="00897CC4" w:rsidRPr="00697C65">
        <w:t xml:space="preserve">.5 </w:t>
      </w:r>
      <w:r w:rsidRPr="00697C65">
        <w:t xml:space="preserve">GHz </w:t>
      </w:r>
      <w:r w:rsidR="00052B2A">
        <w:t>m</w:t>
      </w:r>
      <w:r w:rsidR="00897CC4" w:rsidRPr="00697C65">
        <w:t>id</w:t>
      </w:r>
      <w:r w:rsidR="007525B7">
        <w:t>-</w:t>
      </w:r>
      <w:r w:rsidR="00052B2A">
        <w:t>b</w:t>
      </w:r>
      <w:r w:rsidR="00897CC4" w:rsidRPr="00697C65">
        <w:t xml:space="preserve">and </w:t>
      </w:r>
      <w:r w:rsidR="00052B2A">
        <w:t>g</w:t>
      </w:r>
      <w:r w:rsidR="00897CC4" w:rsidRPr="00697C65">
        <w:t xml:space="preserve">ap </w:t>
      </w:r>
      <w:r w:rsidR="00D842EF" w:rsidRPr="00697C65">
        <w:t>for</w:t>
      </w:r>
      <w:r w:rsidR="00897CC4" w:rsidRPr="00697C65">
        <w:t xml:space="preserve"> </w:t>
      </w:r>
      <w:r w:rsidR="00501B58">
        <w:t>(</w:t>
      </w:r>
      <w:r w:rsidRPr="00697C65">
        <w:t>Television Outside Broadcast</w:t>
      </w:r>
      <w:r w:rsidR="00501B58">
        <w:t xml:space="preserve">) </w:t>
      </w:r>
      <w:r w:rsidRPr="00697C65">
        <w:t xml:space="preserve">TOB applications. These arrangements were an outcome of review of the </w:t>
      </w:r>
      <w:hyperlink r:id="rId48" w:history="1">
        <w:r w:rsidRPr="00697C65">
          <w:rPr>
            <w:rStyle w:val="Hyperlink"/>
          </w:rPr>
          <w:t>2.5 GHz band</w:t>
        </w:r>
      </w:hyperlink>
      <w:r w:rsidR="00E74DD2">
        <w:t>,</w:t>
      </w:r>
      <w:r w:rsidRPr="00697C65">
        <w:t xml:space="preserve"> and</w:t>
      </w:r>
      <w:r w:rsidR="00A30753">
        <w:t xml:space="preserve"> </w:t>
      </w:r>
      <w:r w:rsidRPr="00697C65">
        <w:t>account</w:t>
      </w:r>
      <w:r w:rsidR="004B7029">
        <w:t>ed</w:t>
      </w:r>
      <w:r w:rsidRPr="00697C65">
        <w:t xml:space="preserve"> for the </w:t>
      </w:r>
      <w:r w:rsidR="00EE41B1">
        <w:t>public interest</w:t>
      </w:r>
      <w:r w:rsidR="008D2767">
        <w:t xml:space="preserve"> </w:t>
      </w:r>
      <w:r w:rsidR="004B7029">
        <w:t xml:space="preserve">provided by </w:t>
      </w:r>
      <w:r w:rsidR="00897CC4" w:rsidRPr="00697C65">
        <w:t xml:space="preserve">the </w:t>
      </w:r>
      <w:r w:rsidR="00967575">
        <w:t>coverage</w:t>
      </w:r>
      <w:r w:rsidR="00967575" w:rsidRPr="00697C65">
        <w:t xml:space="preserve"> </w:t>
      </w:r>
      <w:r w:rsidR="00897CC4" w:rsidRPr="00697C65">
        <w:t xml:space="preserve">of </w:t>
      </w:r>
      <w:r w:rsidRPr="00697C65">
        <w:t>live news</w:t>
      </w:r>
      <w:r w:rsidR="00967575">
        <w:t xml:space="preserve">, </w:t>
      </w:r>
      <w:r w:rsidRPr="00697C65">
        <w:t>sporting and cultur</w:t>
      </w:r>
      <w:r w:rsidR="00967575">
        <w:t>al</w:t>
      </w:r>
      <w:r w:rsidRPr="00697C65">
        <w:t xml:space="preserve"> events </w:t>
      </w:r>
      <w:r w:rsidR="00B13A89">
        <w:t>which</w:t>
      </w:r>
      <w:r w:rsidRPr="00697C65">
        <w:t xml:space="preserve"> TOB facilitates. The </w:t>
      </w:r>
      <w:r w:rsidR="00161218">
        <w:t xml:space="preserve">ongoing </w:t>
      </w:r>
      <w:r w:rsidRPr="00697C65">
        <w:t>relevance of these</w:t>
      </w:r>
      <w:r w:rsidR="002F7C2E">
        <w:t xml:space="preserve"> factors</w:t>
      </w:r>
      <w:r w:rsidRPr="00697C65">
        <w:t xml:space="preserve"> will be considered as part of the ESL process.</w:t>
      </w:r>
    </w:p>
    <w:p w14:paraId="618C471C" w14:textId="69277D47" w:rsidR="00D57398" w:rsidRPr="00946AF0" w:rsidRDefault="00D57398" w:rsidP="4F085DC3">
      <w:pPr>
        <w:pStyle w:val="Paragraph"/>
        <w:rPr>
          <w:color w:val="1F497D" w:themeColor="text2"/>
        </w:rPr>
      </w:pPr>
      <w:r>
        <w:t>We note</w:t>
      </w:r>
      <w:r w:rsidRPr="00E115B8">
        <w:t xml:space="preserve"> that important factors in the potential exploration of a combination of spectrum uses include the geographic extent of ENG use, and the extent </w:t>
      </w:r>
      <w:r w:rsidR="004A197A">
        <w:t>to which</w:t>
      </w:r>
      <w:r w:rsidR="004A197A" w:rsidRPr="00E115B8">
        <w:t xml:space="preserve"> </w:t>
      </w:r>
      <w:r w:rsidRPr="00E115B8">
        <w:t>technical frameworks can achieve coexistence between</w:t>
      </w:r>
      <w:r w:rsidRPr="00E115B8" w:rsidDel="004A197A">
        <w:t xml:space="preserve"> </w:t>
      </w:r>
      <w:r w:rsidR="005460B0" w:rsidRPr="00E2179E">
        <w:t>ENG and WBB</w:t>
      </w:r>
      <w:r w:rsidR="004A197A">
        <w:t xml:space="preserve"> uses</w:t>
      </w:r>
      <w:r w:rsidR="005460B0" w:rsidRPr="00E2179E">
        <w:t>.</w:t>
      </w:r>
      <w:r w:rsidR="00F53C4E">
        <w:t xml:space="preserve"> </w:t>
      </w:r>
      <w:r>
        <w:t xml:space="preserve">Table </w:t>
      </w:r>
      <w:r w:rsidR="008F5EB7">
        <w:t>2</w:t>
      </w:r>
      <w:r>
        <w:t xml:space="preserve"> </w:t>
      </w:r>
      <w:r w:rsidR="00613805">
        <w:t>shows</w:t>
      </w:r>
      <w:r>
        <w:t xml:space="preserve"> </w:t>
      </w:r>
      <w:r w:rsidRPr="00ED2B59">
        <w:t xml:space="preserve">that the domestic environment is consistent with continued </w:t>
      </w:r>
      <w:r>
        <w:t xml:space="preserve">ENG </w:t>
      </w:r>
      <w:r w:rsidRPr="00ED2B59">
        <w:t>use of the spectrum, in at least some geographic areas,</w:t>
      </w:r>
      <w:r w:rsidR="00FF348C">
        <w:t xml:space="preserve"> and that this may</w:t>
      </w:r>
      <w:r w:rsidRPr="00ED2B59">
        <w:t xml:space="preserve"> </w:t>
      </w:r>
      <w:r w:rsidR="00FF348C">
        <w:t>be conducive to promoting</w:t>
      </w:r>
      <w:r w:rsidRPr="00ED2B59" w:rsidDel="00FF348C">
        <w:t xml:space="preserve"> </w:t>
      </w:r>
      <w:r w:rsidRPr="00ED2B59">
        <w:t xml:space="preserve">the long-term </w:t>
      </w:r>
      <w:r w:rsidR="000A6B79">
        <w:t xml:space="preserve">public </w:t>
      </w:r>
      <w:r w:rsidRPr="00ED2B59">
        <w:t xml:space="preserve">interest. However, harmonisation, standardisation, </w:t>
      </w:r>
      <w:r w:rsidR="00613805">
        <w:t xml:space="preserve">the </w:t>
      </w:r>
      <w:r w:rsidRPr="00ED2B59">
        <w:t xml:space="preserve">ecosystem and some global environmental factors are </w:t>
      </w:r>
      <w:r>
        <w:t xml:space="preserve">also </w:t>
      </w:r>
      <w:r w:rsidRPr="00ED2B59">
        <w:t>consistent with potential WBB use (though there is a substantive question a</w:t>
      </w:r>
      <w:r w:rsidR="00BD1A70">
        <w:t>bout</w:t>
      </w:r>
      <w:r w:rsidRPr="00ED2B59">
        <w:t xml:space="preserve"> the relevance of some of these factors to Australian arrangements due to coexistence with WBB in the 2.5 GHz band). </w:t>
      </w:r>
    </w:p>
    <w:p w14:paraId="5D90E326" w14:textId="27DEFB86" w:rsidR="00D57398" w:rsidRPr="00946AF0" w:rsidRDefault="00D57398" w:rsidP="00F53C4E">
      <w:pPr>
        <w:pStyle w:val="Paragraph"/>
        <w:rPr>
          <w:color w:val="1F497D" w:themeColor="text2"/>
        </w:rPr>
      </w:pPr>
      <w:r w:rsidRPr="00ED2B59">
        <w:t>Given ENG and WBB use of the spectrum are significantly different in t</w:t>
      </w:r>
      <w:r w:rsidR="00E248E4">
        <w:t>heir</w:t>
      </w:r>
      <w:r w:rsidRPr="00ED2B59">
        <w:t xml:space="preserve"> technologies and use</w:t>
      </w:r>
      <w:r w:rsidR="0022165E">
        <w:t xml:space="preserve"> </w:t>
      </w:r>
      <w:r w:rsidRPr="00ED2B59">
        <w:t>cases</w:t>
      </w:r>
      <w:r>
        <w:t>,</w:t>
      </w:r>
      <w:r w:rsidRPr="00ED2B59">
        <w:t xml:space="preserve"> careful consideration would need to be given to how both spectrum uses could or should be accommodated </w:t>
      </w:r>
      <w:r w:rsidR="006400F4">
        <w:t>in the future</w:t>
      </w:r>
      <w:r w:rsidRPr="00ED2B59">
        <w:t>.</w:t>
      </w:r>
    </w:p>
    <w:p w14:paraId="24ABD4F2" w14:textId="21CCF6E7" w:rsidR="006917E2" w:rsidRDefault="006917E2" w:rsidP="00501B58">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sidRPr="009B3BE6">
        <w:t xml:space="preserve">We welcome stakeholder views on our initial views </w:t>
      </w:r>
      <w:r w:rsidR="00683469" w:rsidRPr="009B3BE6">
        <w:t xml:space="preserve">on the uses of frequency bands subject to this ESL process. </w:t>
      </w:r>
    </w:p>
    <w:p w14:paraId="7204F49D" w14:textId="685BD8B7" w:rsidR="000B1602" w:rsidRPr="009B3BE6" w:rsidRDefault="000B1602" w:rsidP="00501B58">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sidRPr="000B1602">
        <w:t>We welcome engagement from rail safety licensees about suitable timeframes for potential transitions to the 1900 MHz band.</w:t>
      </w:r>
    </w:p>
    <w:p w14:paraId="6F150654" w14:textId="25EFFE6E" w:rsidR="006917E2" w:rsidRPr="009B3BE6" w:rsidRDefault="006917E2" w:rsidP="006917E2">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9B3BE6">
        <w:t xml:space="preserve">We also welcome any additional evidence or analysis on and related to </w:t>
      </w:r>
      <w:r w:rsidR="00696762" w:rsidRPr="009B3BE6">
        <w:t xml:space="preserve">these </w:t>
      </w:r>
      <w:r w:rsidRPr="009B3BE6">
        <w:t xml:space="preserve">initial views on uses of the frequency bands subject to this ESL process. </w:t>
      </w:r>
    </w:p>
    <w:p w14:paraId="0348B08C" w14:textId="77777777" w:rsidR="00D57398" w:rsidRDefault="00D57398" w:rsidP="00D57398"/>
    <w:p w14:paraId="2A718232" w14:textId="43EE336A" w:rsidR="00D57398" w:rsidRDefault="009F49E2" w:rsidP="00D57398">
      <w:pPr>
        <w:pStyle w:val="Heading1"/>
      </w:pPr>
      <w:bookmarkStart w:id="39" w:name="_Toc159360668"/>
      <w:bookmarkStart w:id="40" w:name="_Toc161756535"/>
      <w:r>
        <w:lastRenderedPageBreak/>
        <w:t>A</w:t>
      </w:r>
      <w:r w:rsidR="00D57398">
        <w:t>lternative licence conditions</w:t>
      </w:r>
      <w:bookmarkEnd w:id="39"/>
      <w:bookmarkEnd w:id="40"/>
    </w:p>
    <w:p w14:paraId="12D99637" w14:textId="5B7448E6" w:rsidR="00D57398" w:rsidRDefault="00511E6B" w:rsidP="00F53C4E">
      <w:pPr>
        <w:pStyle w:val="Paragraph"/>
      </w:pPr>
      <w:r>
        <w:t xml:space="preserve">The </w:t>
      </w:r>
      <w:r w:rsidR="00485CB6">
        <w:t>m</w:t>
      </w:r>
      <w:r w:rsidR="5BE361AA">
        <w:t>inister</w:t>
      </w:r>
      <w:r>
        <w:t xml:space="preserve"> has requested </w:t>
      </w:r>
      <w:r w:rsidR="00D57398">
        <w:t>that, as part of the ESL process,</w:t>
      </w:r>
      <w:r w:rsidR="00F71A91">
        <w:t xml:space="preserve"> </w:t>
      </w:r>
      <w:r>
        <w:t xml:space="preserve">we </w:t>
      </w:r>
      <w:r w:rsidR="00D57398">
        <w:t>form considered views on the effectiveness of alternative licen</w:t>
      </w:r>
      <w:r w:rsidR="00FB291E">
        <w:t>ce</w:t>
      </w:r>
      <w:r w:rsidR="00D57398">
        <w:t xml:space="preserve"> conditions in achieving certain </w:t>
      </w:r>
      <w:r w:rsidR="00A337BA">
        <w:t>objectives</w:t>
      </w:r>
      <w:r w:rsidR="004B1BA8">
        <w:t xml:space="preserve">. </w:t>
      </w:r>
      <w:r w:rsidR="3C0E6F06">
        <w:t xml:space="preserve">The </w:t>
      </w:r>
      <w:r w:rsidR="00C54F03">
        <w:t>m</w:t>
      </w:r>
      <w:r w:rsidR="3C0E6F06">
        <w:t>inister</w:t>
      </w:r>
      <w:r w:rsidR="004B1BA8">
        <w:t xml:space="preserve"> has also asked that</w:t>
      </w:r>
      <w:r w:rsidR="00A337BA" w:rsidDel="004B1BA8">
        <w:t xml:space="preserve"> </w:t>
      </w:r>
      <w:r w:rsidR="004B1BA8">
        <w:t>we</w:t>
      </w:r>
      <w:r w:rsidR="00E20661">
        <w:t xml:space="preserve"> </w:t>
      </w:r>
      <w:r w:rsidR="00D57398">
        <w:t>advi</w:t>
      </w:r>
      <w:r w:rsidR="00E20661">
        <w:t>s</w:t>
      </w:r>
      <w:r w:rsidR="00D57398">
        <w:t xml:space="preserve">e </w:t>
      </w:r>
      <w:r w:rsidR="004B1BA8">
        <w:t xml:space="preserve">her </w:t>
      </w:r>
      <w:r w:rsidR="00D57398">
        <w:t xml:space="preserve">on the outcome of this work. </w:t>
      </w:r>
    </w:p>
    <w:p w14:paraId="406465B7" w14:textId="029257BE" w:rsidR="00D57398" w:rsidRDefault="00D57398" w:rsidP="00F53C4E">
      <w:pPr>
        <w:pStyle w:val="Paragraphbeforelist"/>
      </w:pPr>
      <w:r>
        <w:t>The alternative licence conditions and respective objectives th</w:t>
      </w:r>
      <w:r w:rsidR="00FD06A8">
        <w:t xml:space="preserve">at we </w:t>
      </w:r>
      <w:r w:rsidR="0088284C">
        <w:t xml:space="preserve">have been </w:t>
      </w:r>
      <w:r>
        <w:t>asked to consider includ</w:t>
      </w:r>
      <w:r w:rsidR="00B20DED">
        <w:t>e</w:t>
      </w:r>
      <w:r>
        <w:t xml:space="preserve">, but </w:t>
      </w:r>
      <w:r w:rsidR="007C6398">
        <w:t xml:space="preserve">are </w:t>
      </w:r>
      <w:r>
        <w:t xml:space="preserve">not limited to: </w:t>
      </w:r>
    </w:p>
    <w:p w14:paraId="669EFDFC" w14:textId="77777777" w:rsidR="00D57398" w:rsidRPr="0040651D" w:rsidRDefault="00D57398" w:rsidP="00501B58">
      <w:pPr>
        <w:pStyle w:val="Bulletlevel1"/>
      </w:pPr>
      <w:r w:rsidRPr="0040651D">
        <w:t xml:space="preserve">rollout obligations </w:t>
      </w:r>
      <w:r w:rsidRPr="007525B7">
        <w:t>and</w:t>
      </w:r>
      <w:r w:rsidRPr="0040651D">
        <w:t xml:space="preserve"> their effectiveness in achieving broader </w:t>
      </w:r>
      <w:proofErr w:type="gramStart"/>
      <w:r w:rsidRPr="0040651D">
        <w:t>coverage</w:t>
      </w:r>
      <w:proofErr w:type="gramEnd"/>
    </w:p>
    <w:p w14:paraId="7C82AAF3" w14:textId="76EA022D" w:rsidR="00D57398" w:rsidRPr="00BC0E3F" w:rsidRDefault="00D57398" w:rsidP="00E9098F">
      <w:pPr>
        <w:pStyle w:val="Bulletlevel1last"/>
      </w:pPr>
      <w:r w:rsidRPr="00BC0E3F">
        <w:t>UIOLI and UIOSI conditions and their effectiveness in achieving more efficient spectrum use.</w:t>
      </w:r>
    </w:p>
    <w:p w14:paraId="3BE51687" w14:textId="64C1C1E3" w:rsidR="00D57398" w:rsidRDefault="00D57398" w:rsidP="00305954">
      <w:pPr>
        <w:pStyle w:val="Paragraph"/>
      </w:pPr>
      <w:r>
        <w:t xml:space="preserve">The </w:t>
      </w:r>
      <w:r w:rsidR="00430FBD">
        <w:t>m</w:t>
      </w:r>
      <w:r>
        <w:t>inister</w:t>
      </w:r>
      <w:r w:rsidR="00430FBD">
        <w:t xml:space="preserve"> </w:t>
      </w:r>
      <w:r>
        <w:t>noted</w:t>
      </w:r>
      <w:r w:rsidDel="00430FBD">
        <w:t xml:space="preserve"> </w:t>
      </w:r>
      <w:r>
        <w:t>that the unique challenges of the Australian context may mean that these alternative licence conditions may not be the most effective mechanisms to deliver improved outcomes, but that the ESL process offer</w:t>
      </w:r>
      <w:r w:rsidR="00F94776">
        <w:t>s</w:t>
      </w:r>
      <w:r>
        <w:t xml:space="preserve"> an opportunity to consider different licensing arrangements. </w:t>
      </w:r>
      <w:r w:rsidR="00395356">
        <w:t xml:space="preserve">The </w:t>
      </w:r>
      <w:r w:rsidR="36944DE8">
        <w:t>min</w:t>
      </w:r>
      <w:r w:rsidR="0D05E2B3">
        <w:t>i</w:t>
      </w:r>
      <w:r w:rsidR="36944DE8">
        <w:t>ster</w:t>
      </w:r>
      <w:r w:rsidR="00395356">
        <w:t xml:space="preserve"> also </w:t>
      </w:r>
      <w:r>
        <w:t xml:space="preserve">noted that, while the ACMA was being asked to explore these </w:t>
      </w:r>
      <w:r w:rsidR="007C6398">
        <w:t>conditions</w:t>
      </w:r>
      <w:r>
        <w:t>, the request was not to be taken as a directive that they be implemented or proposed for implementation without being fully considered.</w:t>
      </w:r>
    </w:p>
    <w:p w14:paraId="2FE444BF" w14:textId="2CFAE803" w:rsidR="00BF75A4" w:rsidRDefault="00C83E79" w:rsidP="00D57398">
      <w:pPr>
        <w:pStyle w:val="Paragraph"/>
      </w:pPr>
      <w:r>
        <w:t>T</w:t>
      </w:r>
      <w:r w:rsidR="00D57398">
        <w:t xml:space="preserve">he </w:t>
      </w:r>
      <w:r>
        <w:t>m</w:t>
      </w:r>
      <w:r w:rsidR="00D57398">
        <w:t>inister indicated that our consideration of alternative licen</w:t>
      </w:r>
      <w:r w:rsidR="00FB291E">
        <w:t>ce</w:t>
      </w:r>
      <w:r w:rsidR="00D57398">
        <w:t xml:space="preserve"> conditions need not be limited to rollout obligations, UIOLI and UIOSI. However, we </w:t>
      </w:r>
      <w:r w:rsidR="002C346C">
        <w:t>consider</w:t>
      </w:r>
      <w:r w:rsidR="00D57398">
        <w:t xml:space="preserve"> that these conditions are broad enough to encompass </w:t>
      </w:r>
      <w:r w:rsidR="00CA44CB">
        <w:t xml:space="preserve">a </w:t>
      </w:r>
      <w:r w:rsidR="00D57398">
        <w:t xml:space="preserve">range of regulatory approaches and desired outcomes, which we </w:t>
      </w:r>
      <w:r>
        <w:t xml:space="preserve">consider </w:t>
      </w:r>
      <w:r w:rsidR="00D57398">
        <w:t xml:space="preserve">below. </w:t>
      </w:r>
    </w:p>
    <w:p w14:paraId="4D67D1E9" w14:textId="0FE18523" w:rsidR="005F2816" w:rsidRDefault="005F2816" w:rsidP="00D57398">
      <w:pPr>
        <w:pStyle w:val="Paragraph"/>
      </w:pPr>
      <w:r>
        <w:t>We are not providing views on the potential effectiveness of these alternative licen</w:t>
      </w:r>
      <w:r w:rsidR="00FB291E">
        <w:t>ce</w:t>
      </w:r>
      <w:r>
        <w:t xml:space="preserve"> conditions at this stage, and welcome stakeholder views</w:t>
      </w:r>
      <w:r w:rsidR="007528FC">
        <w:t xml:space="preserve"> on a range of matters relating to the conditions</w:t>
      </w:r>
      <w:r>
        <w:t xml:space="preserve">. We will consider stakeholder views in forming our advice to the minister. </w:t>
      </w:r>
    </w:p>
    <w:p w14:paraId="286A1DE2" w14:textId="4ACC82F9" w:rsidR="00C618DA" w:rsidRDefault="00634E5D" w:rsidP="00D57398">
      <w:pPr>
        <w:pStyle w:val="Paragraph"/>
      </w:pPr>
      <w:r>
        <w:t>To</w:t>
      </w:r>
      <w:r w:rsidR="00AB591D">
        <w:t xml:space="preserve"> </w:t>
      </w:r>
      <w:r w:rsidR="000738DD">
        <w:t xml:space="preserve">assist stakeholders in </w:t>
      </w:r>
      <w:r w:rsidR="00861D7F">
        <w:t>developing their views</w:t>
      </w:r>
      <w:r w:rsidR="000738DD">
        <w:t>, we have provided an overview of the</w:t>
      </w:r>
      <w:r w:rsidR="00C32D2C">
        <w:t xml:space="preserve"> </w:t>
      </w:r>
      <w:r w:rsidR="00FF1AF0">
        <w:t>key elements of</w:t>
      </w:r>
      <w:r w:rsidR="00C32D2C">
        <w:t xml:space="preserve"> </w:t>
      </w:r>
      <w:r>
        <w:t xml:space="preserve">these </w:t>
      </w:r>
      <w:r w:rsidR="0045742A">
        <w:t>kinds of</w:t>
      </w:r>
      <w:r w:rsidR="00C32D2C">
        <w:t xml:space="preserve"> conditions and how they could potentially be implemented </w:t>
      </w:r>
      <w:r w:rsidR="00F45D1B">
        <w:t xml:space="preserve">under the Act. However, we do not consider </w:t>
      </w:r>
      <w:r w:rsidR="006567CC">
        <w:t xml:space="preserve">more operational matters, such as how compliance would be assessed.  </w:t>
      </w:r>
    </w:p>
    <w:p w14:paraId="0FFD3A60" w14:textId="6166244D" w:rsidR="00D57398" w:rsidRDefault="009C73F4" w:rsidP="00D57398">
      <w:pPr>
        <w:pStyle w:val="Paragraph"/>
      </w:pPr>
      <w:r>
        <w:t xml:space="preserve">We also </w:t>
      </w:r>
      <w:r w:rsidR="000738DD">
        <w:t>provide a brief summary</w:t>
      </w:r>
      <w:r>
        <w:t xml:space="preserve"> o</w:t>
      </w:r>
      <w:r w:rsidR="00634E5D">
        <w:t>f</w:t>
      </w:r>
      <w:r>
        <w:t xml:space="preserve"> how other jurisdictions have implemented these </w:t>
      </w:r>
      <w:r w:rsidR="00277389">
        <w:t xml:space="preserve">or analogous </w:t>
      </w:r>
      <w:r>
        <w:t>conditions</w:t>
      </w:r>
      <w:r w:rsidR="00277389">
        <w:t xml:space="preserve"> (see Appendix </w:t>
      </w:r>
      <w:r w:rsidR="008364F8">
        <w:t>C</w:t>
      </w:r>
      <w:r w:rsidR="00277389">
        <w:t>).</w:t>
      </w:r>
      <w:r>
        <w:t xml:space="preserve"> </w:t>
      </w:r>
    </w:p>
    <w:p w14:paraId="00B53D7C" w14:textId="2B1554B7" w:rsidR="00D57398" w:rsidRPr="002517A3" w:rsidRDefault="00D57398" w:rsidP="00A24FDA">
      <w:pPr>
        <w:pStyle w:val="Heading2"/>
      </w:pPr>
      <w:bookmarkStart w:id="41" w:name="_Toc161756536"/>
      <w:r w:rsidRPr="002517A3">
        <w:t>Summary of alternative licence conditions</w:t>
      </w:r>
      <w:bookmarkEnd w:id="41"/>
    </w:p>
    <w:p w14:paraId="5231996B" w14:textId="5B017050" w:rsidR="00D74AD8" w:rsidRDefault="00D57398" w:rsidP="00AC195A">
      <w:pPr>
        <w:pStyle w:val="Paragraph"/>
      </w:pPr>
      <w:r>
        <w:t>Rollout obligations, which can also refer to</w:t>
      </w:r>
      <w:r w:rsidR="00D74AD8">
        <w:t>,</w:t>
      </w:r>
      <w:r>
        <w:t xml:space="preserve"> or functionally resemble</w:t>
      </w:r>
      <w:r w:rsidR="00D74AD8">
        <w:t>,</w:t>
      </w:r>
      <w:r>
        <w:t xml:space="preserve"> deployment, coverage or service provision obligations, are a requirement that a licensee deploy and operate a service consistent with the terms of the obligation. Failure to meet the obligation </w:t>
      </w:r>
      <w:r w:rsidR="00626082" w:rsidRPr="00DB6BF1">
        <w:t>result</w:t>
      </w:r>
      <w:r w:rsidR="00556C94">
        <w:t>s</w:t>
      </w:r>
      <w:r w:rsidR="00626082">
        <w:t xml:space="preserve"> in</w:t>
      </w:r>
      <w:r>
        <w:t xml:space="preserve"> </w:t>
      </w:r>
      <w:r w:rsidR="00386A94">
        <w:t>a</w:t>
      </w:r>
      <w:r w:rsidR="00626082">
        <w:t xml:space="preserve"> </w:t>
      </w:r>
      <w:r w:rsidR="00161796">
        <w:t>sanction.</w:t>
      </w:r>
      <w:r w:rsidR="00BA168D">
        <w:t xml:space="preserve"> </w:t>
      </w:r>
      <w:r w:rsidR="00781311">
        <w:t>Appropriate</w:t>
      </w:r>
      <w:r w:rsidR="00386A94">
        <w:t xml:space="preserve"> sanctions </w:t>
      </w:r>
      <w:r w:rsidR="007B2EE7">
        <w:t>depend</w:t>
      </w:r>
      <w:r w:rsidR="007B2EE7" w:rsidDel="007525B7">
        <w:t xml:space="preserve"> </w:t>
      </w:r>
      <w:r w:rsidR="007B2EE7">
        <w:t xml:space="preserve">on </w:t>
      </w:r>
      <w:r w:rsidR="00781311">
        <w:t>a range of factors</w:t>
      </w:r>
      <w:r w:rsidR="007525B7">
        <w:t>,</w:t>
      </w:r>
      <w:r w:rsidR="00781311">
        <w:t xml:space="preserve"> including </w:t>
      </w:r>
      <w:r w:rsidR="007B2EE7">
        <w:t xml:space="preserve">the regulatory arrangements of the </w:t>
      </w:r>
      <w:r w:rsidR="00781311">
        <w:t xml:space="preserve">relevant </w:t>
      </w:r>
      <w:r w:rsidR="007B2EE7">
        <w:t>jurisdiction</w:t>
      </w:r>
      <w:r w:rsidR="00781311">
        <w:t xml:space="preserve">, </w:t>
      </w:r>
      <w:r w:rsidR="00A570AF">
        <w:t xml:space="preserve">market and environment factors, </w:t>
      </w:r>
      <w:r w:rsidR="00054666">
        <w:t xml:space="preserve">and the </w:t>
      </w:r>
      <w:r w:rsidR="00BB77F3">
        <w:t>outcomes</w:t>
      </w:r>
      <w:r w:rsidR="00054666">
        <w:t xml:space="preserve"> sought. Sanctions</w:t>
      </w:r>
      <w:r w:rsidR="000145C7">
        <w:t xml:space="preserve"> </w:t>
      </w:r>
      <w:r w:rsidR="00054666" w:rsidRPr="00DB6BF1">
        <w:t>c</w:t>
      </w:r>
      <w:r w:rsidR="005028FC">
        <w:t>an</w:t>
      </w:r>
      <w:r w:rsidR="000145C7">
        <w:t xml:space="preserve"> include fines or civil penalties, </w:t>
      </w:r>
      <w:r w:rsidR="000106A5">
        <w:t>enforceable undertakings, or loss of licensed spectrum</w:t>
      </w:r>
      <w:r w:rsidR="00C37D4D">
        <w:t xml:space="preserve"> for the purposes of re-allocation to a new or different user</w:t>
      </w:r>
      <w:r w:rsidR="000106A5">
        <w:t xml:space="preserve">. </w:t>
      </w:r>
      <w:r w:rsidR="00BA168D">
        <w:t xml:space="preserve"> </w:t>
      </w:r>
    </w:p>
    <w:p w14:paraId="799252B4" w14:textId="115BA662" w:rsidR="00D57398" w:rsidRDefault="4DD9A124" w:rsidP="00AC195A">
      <w:pPr>
        <w:pStyle w:val="Paragraph"/>
      </w:pPr>
      <w:r>
        <w:t>Internationally, r</w:t>
      </w:r>
      <w:r w:rsidR="542DFC57">
        <w:t>ollout</w:t>
      </w:r>
      <w:r w:rsidR="00551502">
        <w:t xml:space="preserve"> obligations</w:t>
      </w:r>
      <w:r w:rsidR="00D57398" w:rsidDel="00551502">
        <w:t xml:space="preserve"> </w:t>
      </w:r>
      <w:r w:rsidR="00D57398">
        <w:t xml:space="preserve">are generally used in the context of mobile WBB </w:t>
      </w:r>
      <w:r w:rsidR="00032B31">
        <w:t>services</w:t>
      </w:r>
      <w:r w:rsidR="00D11AFE">
        <w:t xml:space="preserve"> but</w:t>
      </w:r>
      <w:r w:rsidR="00D57398">
        <w:t xml:space="preserve"> can also apply to fixed WBB services as a means of requiring that licensees build out a network, provide </w:t>
      </w:r>
      <w:r w:rsidR="00551502">
        <w:t xml:space="preserve">a </w:t>
      </w:r>
      <w:r w:rsidR="00D57398">
        <w:t xml:space="preserve">more extensive service, improve quality of service, or encourage the expedited rollout of a new technology, such as 5G. An </w:t>
      </w:r>
      <w:r w:rsidR="00D57398">
        <w:lastRenderedPageBreak/>
        <w:t xml:space="preserve">example of a rollout obligation would be a requirement that a licensee </w:t>
      </w:r>
      <w:r w:rsidR="00730A8C">
        <w:t xml:space="preserve">make available </w:t>
      </w:r>
      <w:r w:rsidR="00D57398">
        <w:t>a</w:t>
      </w:r>
      <w:r w:rsidR="001A2CF8">
        <w:t xml:space="preserve"> 5G</w:t>
      </w:r>
      <w:r w:rsidR="00D57398">
        <w:t xml:space="preserve"> service to a percentage of a population within a given geographic area, or to specific geographic locations, within a given timeframe, otherwise the licence may not be renewed</w:t>
      </w:r>
      <w:r w:rsidR="008C0F29">
        <w:t>.</w:t>
      </w:r>
    </w:p>
    <w:p w14:paraId="7D7BBA00" w14:textId="19832AA7" w:rsidR="00D57398" w:rsidRDefault="00D57398" w:rsidP="00AC195A">
      <w:pPr>
        <w:pStyle w:val="Paragraph"/>
      </w:pPr>
      <w:r>
        <w:t>UIOLI conditions, which may also be referred to as ‘keep what you serve’</w:t>
      </w:r>
      <w:r w:rsidR="002C22EC">
        <w:t>,</w:t>
      </w:r>
      <w:r>
        <w:t xml:space="preserve"> ‘use’</w:t>
      </w:r>
      <w:r w:rsidR="007D7ADA">
        <w:t xml:space="preserve"> or ‘utilisation’</w:t>
      </w:r>
      <w:r>
        <w:t xml:space="preserve"> conditions, are a requirement that a licensee meet a minimum specified level of use, typically over the duration of the licence or in accordance with a series of targets and timeframes. Failure to adhere to the condition results in the </w:t>
      </w:r>
      <w:r w:rsidR="00592F0B">
        <w:t xml:space="preserve">licensee losing access to </w:t>
      </w:r>
      <w:r>
        <w:t xml:space="preserve">some or </w:t>
      </w:r>
      <w:proofErr w:type="gramStart"/>
      <w:r>
        <w:t>all of</w:t>
      </w:r>
      <w:proofErr w:type="gramEnd"/>
      <w:r>
        <w:t xml:space="preserve"> the relevant spectrum, with the intent that it be re-allocated to another use</w:t>
      </w:r>
      <w:r w:rsidR="00BC510A">
        <w:t>r</w:t>
      </w:r>
      <w:r>
        <w:t xml:space="preserve"> who can put it to more efficient use. </w:t>
      </w:r>
    </w:p>
    <w:p w14:paraId="0E9B8086" w14:textId="58794459" w:rsidR="00D57398" w:rsidRDefault="00D57398" w:rsidP="00AC195A">
      <w:pPr>
        <w:pStyle w:val="Paragraph"/>
      </w:pPr>
      <w:r>
        <w:t xml:space="preserve">UIOLI conditions have been used </w:t>
      </w:r>
      <w:r w:rsidR="00A26AF8">
        <w:t xml:space="preserve">globally </w:t>
      </w:r>
      <w:r>
        <w:t xml:space="preserve">in connection with a broad range of services, including low power open narrowcasting </w:t>
      </w:r>
      <w:r w:rsidR="004A5027">
        <w:t>services in Australia</w:t>
      </w:r>
      <w:r>
        <w:t>, as a means of encouraging the efficient use of the spectrum, and providing post</w:t>
      </w:r>
      <w:r w:rsidR="009B323B">
        <w:t>-</w:t>
      </w:r>
      <w:r>
        <w:t xml:space="preserve">allocation mechanisms to return unused or underutilised spectrum to market. An example of a UIOLI condition would be a requirement that a licensee begin using the spectrum by a specified date and maintain ongoing use of the spectrum throughout the duration of the licence, otherwise </w:t>
      </w:r>
      <w:r w:rsidR="00D2490C">
        <w:t>access to the licensed spectrum would be lost, either through cancellation or non-renewal of the licence</w:t>
      </w:r>
      <w:r w:rsidR="008903FA">
        <w:t>.</w:t>
      </w:r>
    </w:p>
    <w:p w14:paraId="7E9E4528" w14:textId="2CD05059" w:rsidR="00D57398" w:rsidRDefault="00D57398" w:rsidP="00AC195A">
      <w:pPr>
        <w:pStyle w:val="Paragraph"/>
      </w:pPr>
      <w:r>
        <w:t>Depending on the services targeted</w:t>
      </w:r>
      <w:r w:rsidR="00A8159A">
        <w:t>,</w:t>
      </w:r>
      <w:r>
        <w:t xml:space="preserve"> and the kind of minimum specified level of use, there can be considerable overlap between UIOLI and rollout obligations. However, UIOLI </w:t>
      </w:r>
      <w:r w:rsidR="004F1640">
        <w:t xml:space="preserve">conditions </w:t>
      </w:r>
      <w:r>
        <w:t xml:space="preserve">are generally more concerned with encouraging efficient use of the spectrum in general, while rollout obligations are </w:t>
      </w:r>
      <w:r w:rsidR="004F1640">
        <w:t xml:space="preserve">generally </w:t>
      </w:r>
      <w:r>
        <w:t xml:space="preserve">more concerned with achieving specific coverage or service objectives. </w:t>
      </w:r>
    </w:p>
    <w:p w14:paraId="5A62181A" w14:textId="7D8C0827" w:rsidR="00423165" w:rsidRPr="00423165" w:rsidRDefault="00D57398" w:rsidP="00AC195A">
      <w:pPr>
        <w:pStyle w:val="Paragraph"/>
      </w:pPr>
      <w:r>
        <w:t xml:space="preserve">UIOSI conditions are a requirement that a licensee share access to its licensed spectrum with other </w:t>
      </w:r>
      <w:r w:rsidR="00F727BC">
        <w:t xml:space="preserve">‘secondary’ </w:t>
      </w:r>
      <w:r>
        <w:t xml:space="preserve">users where </w:t>
      </w:r>
      <w:r w:rsidR="00F727BC">
        <w:t xml:space="preserve">the licensee </w:t>
      </w:r>
      <w:r>
        <w:t xml:space="preserve">has not put its licensed spectrum to use. </w:t>
      </w:r>
      <w:r w:rsidR="003C6628">
        <w:t xml:space="preserve">Failure to do so without valid </w:t>
      </w:r>
      <w:r w:rsidR="00E66E25">
        <w:t>reasoning</w:t>
      </w:r>
      <w:r w:rsidR="003C6628">
        <w:t xml:space="preserve"> may then represent a breach of licence conditions and incur </w:t>
      </w:r>
      <w:r w:rsidR="00ED0326">
        <w:t>sanctions</w:t>
      </w:r>
      <w:r w:rsidR="00E66E25">
        <w:t>.</w:t>
      </w:r>
      <w:r w:rsidR="003C6628">
        <w:t xml:space="preserve"> </w:t>
      </w:r>
      <w:r>
        <w:t>An example of a UIOSI condition would be that the licensee is obliged to authorise another user to use</w:t>
      </w:r>
      <w:r w:rsidDel="007E14A4">
        <w:t xml:space="preserve"> </w:t>
      </w:r>
      <w:r>
        <w:t xml:space="preserve">its spectrum in areas where </w:t>
      </w:r>
      <w:r w:rsidR="007E14A4">
        <w:t xml:space="preserve">the licensee </w:t>
      </w:r>
      <w:r>
        <w:t>has not used</w:t>
      </w:r>
      <w:r w:rsidR="007E14A4">
        <w:t>,</w:t>
      </w:r>
      <w:r>
        <w:t xml:space="preserve"> or does not have plans to use</w:t>
      </w:r>
      <w:r w:rsidR="007E14A4">
        <w:t>,</w:t>
      </w:r>
      <w:r>
        <w:t xml:space="preserve"> the spectrum. </w:t>
      </w:r>
      <w:r w:rsidR="00215C07">
        <w:t xml:space="preserve">UIOSI conditions </w:t>
      </w:r>
      <w:r>
        <w:t xml:space="preserve">are intended </w:t>
      </w:r>
      <w:r w:rsidR="00215C07">
        <w:t xml:space="preserve">to function </w:t>
      </w:r>
      <w:r>
        <w:t>as a post</w:t>
      </w:r>
      <w:r w:rsidR="00F56174">
        <w:t>-</w:t>
      </w:r>
      <w:r>
        <w:t>allocation tool t</w:t>
      </w:r>
      <w:r w:rsidR="00F66D7E">
        <w:t xml:space="preserve">hat </w:t>
      </w:r>
      <w:r>
        <w:t>enable</w:t>
      </w:r>
      <w:r w:rsidR="00F66D7E">
        <w:t>s</w:t>
      </w:r>
      <w:r>
        <w:t xml:space="preserve"> shared use of unused spectrum as a means of encouraging efficient use of the spectrum. Unlike UIOLI</w:t>
      </w:r>
      <w:r w:rsidR="00F66D7E">
        <w:t>,</w:t>
      </w:r>
      <w:r>
        <w:t xml:space="preserve"> which is intended to achieve the same objectives, UIOSI </w:t>
      </w:r>
      <w:r w:rsidR="005E2366">
        <w:t xml:space="preserve">may </w:t>
      </w:r>
      <w:r w:rsidDel="005E2366">
        <w:t xml:space="preserve">not </w:t>
      </w:r>
      <w:r>
        <w:t xml:space="preserve">result in the </w:t>
      </w:r>
      <w:r w:rsidR="00674827">
        <w:t>incumbent</w:t>
      </w:r>
      <w:r>
        <w:t xml:space="preserve"> licensee losing long-term access to the spectrum where it has not used the spectrum.</w:t>
      </w:r>
    </w:p>
    <w:p w14:paraId="4CB51C03" w14:textId="4941F632" w:rsidR="00D57398" w:rsidRPr="005021E4" w:rsidRDefault="00D57398" w:rsidP="00F75A97">
      <w:pPr>
        <w:pStyle w:val="Heading2"/>
      </w:pPr>
      <w:bookmarkStart w:id="42" w:name="_Toc161756537"/>
      <w:r>
        <w:t>Design elements of alternative licence conditions</w:t>
      </w:r>
      <w:bookmarkEnd w:id="42"/>
    </w:p>
    <w:p w14:paraId="5B007C86" w14:textId="099A293E" w:rsidR="00D57398" w:rsidRDefault="00D57398" w:rsidP="00F53C4E">
      <w:pPr>
        <w:pStyle w:val="Paragraphbeforelist"/>
      </w:pPr>
      <w:r>
        <w:t xml:space="preserve">Each of the alternative licence conditions, independent of other complementary mechanisms or regulations (for example, funding programs or service obligations) seeks to facilitate their respective objectives </w:t>
      </w:r>
      <w:r w:rsidR="00DD073C">
        <w:t xml:space="preserve">by </w:t>
      </w:r>
      <w:r w:rsidR="000E399B">
        <w:t xml:space="preserve">2 </w:t>
      </w:r>
      <w:r w:rsidR="00886C4E">
        <w:t>broad</w:t>
      </w:r>
      <w:r>
        <w:t xml:space="preserve"> means:</w:t>
      </w:r>
    </w:p>
    <w:p w14:paraId="1D38738E" w14:textId="43C8C78A" w:rsidR="00114E7A" w:rsidRDefault="00D57398" w:rsidP="00BA5D39">
      <w:pPr>
        <w:pStyle w:val="Bulletlevel1"/>
      </w:pPr>
      <w:r>
        <w:t xml:space="preserve">clearly </w:t>
      </w:r>
      <w:r w:rsidRPr="007525B7">
        <w:t>articulating</w:t>
      </w:r>
      <w:r>
        <w:t xml:space="preserve"> </w:t>
      </w:r>
      <w:r w:rsidR="000304CC">
        <w:t>and pr</w:t>
      </w:r>
      <w:r w:rsidR="006D27C2">
        <w:t>e</w:t>
      </w:r>
      <w:r w:rsidR="000304CC">
        <w:t>scribing</w:t>
      </w:r>
      <w:r>
        <w:t xml:space="preserve"> requirements for the licensee around use of the spectrum</w:t>
      </w:r>
      <w:r w:rsidR="00DC0E36">
        <w:t xml:space="preserve"> and</w:t>
      </w:r>
      <w:r w:rsidR="006F2743">
        <w:t>/or</w:t>
      </w:r>
      <w:r w:rsidR="00DC0E36">
        <w:t xml:space="preserve"> </w:t>
      </w:r>
      <w:r w:rsidR="006F2743">
        <w:t>provision of services</w:t>
      </w:r>
    </w:p>
    <w:p w14:paraId="3A714793" w14:textId="48BC6401" w:rsidR="000D5F2A" w:rsidRDefault="00D57398" w:rsidP="001F2782">
      <w:pPr>
        <w:pStyle w:val="Bulletlevel1last"/>
      </w:pPr>
      <w:r>
        <w:t xml:space="preserve">raising the potential costs </w:t>
      </w:r>
      <w:r w:rsidR="00C465B9">
        <w:t xml:space="preserve">and consequences </w:t>
      </w:r>
      <w:r>
        <w:t xml:space="preserve">associated with </w:t>
      </w:r>
      <w:r w:rsidR="00BE58BA">
        <w:t xml:space="preserve">failure to meet the condition </w:t>
      </w:r>
      <w:r>
        <w:t xml:space="preserve">to the point that they exceed the costs associated with </w:t>
      </w:r>
      <w:r w:rsidR="00BE58BA">
        <w:t xml:space="preserve">achieving </w:t>
      </w:r>
      <w:r w:rsidR="00213AB9">
        <w:t xml:space="preserve">the condition </w:t>
      </w:r>
      <w:r>
        <w:t>(that is, it would cost more for the licensee to not comply with the condition than comply with it).</w:t>
      </w:r>
      <w:r>
        <w:rPr>
          <w:rStyle w:val="FootnoteReference"/>
        </w:rPr>
        <w:footnoteReference w:id="20"/>
      </w:r>
    </w:p>
    <w:p w14:paraId="6E2291FB" w14:textId="7899AC3B" w:rsidR="00D57398" w:rsidRDefault="00D57398" w:rsidP="005B0711">
      <w:pPr>
        <w:pStyle w:val="Paragraphbeforelist"/>
        <w:keepNext/>
      </w:pPr>
      <w:r>
        <w:lastRenderedPageBreak/>
        <w:t>The</w:t>
      </w:r>
      <w:r w:rsidR="00A94325">
        <w:t xml:space="preserve"> conditions </w:t>
      </w:r>
      <w:r>
        <w:t>generally comprise the same 3 core elements in their overall design:</w:t>
      </w:r>
    </w:p>
    <w:p w14:paraId="3F472CB7" w14:textId="186D5BE7" w:rsidR="00D57398" w:rsidRPr="000B1FB7" w:rsidRDefault="00D57398" w:rsidP="005B0711">
      <w:pPr>
        <w:pStyle w:val="Bulletlevel1"/>
        <w:keepNext/>
      </w:pPr>
      <w:r w:rsidRPr="000B1FB7">
        <w:rPr>
          <w:b/>
          <w:bCs/>
        </w:rPr>
        <w:t>Minimum level of service or use:</w:t>
      </w:r>
      <w:r w:rsidRPr="000B1FB7">
        <w:t xml:space="preserve"> generally, a mandatory target that the licensee must achieve, typically constructed with reference to percentage of a population, separate from or in combination with technical parameters (such as a data rate) or requirements that infrastructure be actively operating. However, </w:t>
      </w:r>
      <w:r w:rsidR="00DB6F22" w:rsidRPr="000B1FB7">
        <w:t>this</w:t>
      </w:r>
      <w:r w:rsidRPr="000B1FB7">
        <w:t xml:space="preserve"> may also specify use more generally, depending on the objectives </w:t>
      </w:r>
      <w:proofErr w:type="gramStart"/>
      <w:r w:rsidRPr="000B1FB7">
        <w:t>sought</w:t>
      </w:r>
      <w:proofErr w:type="gramEnd"/>
      <w:r w:rsidRPr="000B1FB7">
        <w:t xml:space="preserve"> </w:t>
      </w:r>
    </w:p>
    <w:p w14:paraId="76F52B84" w14:textId="37774EE5" w:rsidR="00A12937" w:rsidRDefault="00D57398" w:rsidP="00BA5D39">
      <w:pPr>
        <w:pStyle w:val="Bulletlevel1"/>
      </w:pPr>
      <w:r w:rsidRPr="00920F44">
        <w:rPr>
          <w:b/>
          <w:bCs/>
        </w:rPr>
        <w:t>Area</w:t>
      </w:r>
      <w:r w:rsidRPr="004431FE">
        <w:t>:</w:t>
      </w:r>
      <w:r w:rsidRPr="00407E02">
        <w:t xml:space="preserve"> </w:t>
      </w:r>
      <w:r>
        <w:t xml:space="preserve">the defined geographic area in which the </w:t>
      </w:r>
      <w:r w:rsidRPr="007525B7">
        <w:t>minimum</w:t>
      </w:r>
      <w:r>
        <w:t xml:space="preserve"> requirement must be met</w:t>
      </w:r>
      <w:r w:rsidR="005C6117">
        <w:t>. T</w:t>
      </w:r>
      <w:r>
        <w:t xml:space="preserve">his may be the entire licensed geography, or a portion of that </w:t>
      </w:r>
      <w:proofErr w:type="gramStart"/>
      <w:r>
        <w:t>geography</w:t>
      </w:r>
      <w:proofErr w:type="gramEnd"/>
    </w:p>
    <w:p w14:paraId="56323B28" w14:textId="513209A0" w:rsidR="000D5F2A" w:rsidRDefault="00D57398" w:rsidP="001F2782">
      <w:pPr>
        <w:pStyle w:val="Bulletlevel1last"/>
      </w:pPr>
      <w:r w:rsidRPr="00A12937">
        <w:rPr>
          <w:b/>
          <w:bCs/>
        </w:rPr>
        <w:t>Timeframe:</w:t>
      </w:r>
      <w:r>
        <w:t xml:space="preserve"> the timeframe in which the minimum level of service or use must be delivered and maintained. In some cases, this may be ongoing throughout the duration of the licence. </w:t>
      </w:r>
    </w:p>
    <w:p w14:paraId="0C826122" w14:textId="3240431D" w:rsidR="00D57398" w:rsidRDefault="00AA39E0" w:rsidP="00F53C4E">
      <w:pPr>
        <w:pStyle w:val="Paragraph"/>
      </w:pPr>
      <w:r>
        <w:t>T</w:t>
      </w:r>
      <w:r w:rsidR="00D57398">
        <w:t xml:space="preserve">here are several key issues that </w:t>
      </w:r>
      <w:r w:rsidR="00815458">
        <w:t xml:space="preserve">can inform </w:t>
      </w:r>
      <w:r w:rsidR="0020009D">
        <w:t xml:space="preserve">the development and design of </w:t>
      </w:r>
      <w:r w:rsidR="00D57398">
        <w:t>effective and fit-for-purpose alternative licence conditions</w:t>
      </w:r>
      <w:r w:rsidR="00B15AD4">
        <w:t>.</w:t>
      </w:r>
    </w:p>
    <w:p w14:paraId="00D5089C" w14:textId="77777777" w:rsidR="00D57398" w:rsidRPr="003927DC" w:rsidRDefault="00D57398" w:rsidP="00407E02">
      <w:pPr>
        <w:pStyle w:val="Heading3"/>
      </w:pPr>
      <w:r>
        <w:t>Links to policy objectives</w:t>
      </w:r>
    </w:p>
    <w:p w14:paraId="07B7EA95" w14:textId="4ADAF177" w:rsidR="00D57398" w:rsidRDefault="00D57398" w:rsidP="00D57398">
      <w:pPr>
        <w:pStyle w:val="Paragraph"/>
      </w:pPr>
      <w:r>
        <w:t xml:space="preserve">The condition must reflect the specific policy objectives sought to be achieved. </w:t>
      </w:r>
      <w:r w:rsidR="00200BB9">
        <w:t>For example</w:t>
      </w:r>
      <w:r w:rsidR="00AC701D">
        <w:t xml:space="preserve">, if the primary policy objective sought is to </w:t>
      </w:r>
      <w:r w:rsidR="00F031BB">
        <w:t>improve</w:t>
      </w:r>
      <w:r w:rsidR="00AC701D">
        <w:t xml:space="preserve"> </w:t>
      </w:r>
      <w:r w:rsidR="00EF5A73">
        <w:t xml:space="preserve">mobile </w:t>
      </w:r>
      <w:r w:rsidR="00AC701D">
        <w:t xml:space="preserve">coverage </w:t>
      </w:r>
      <w:r w:rsidR="00F031BB">
        <w:t xml:space="preserve">in specific </w:t>
      </w:r>
      <w:r w:rsidR="00EF5A73">
        <w:t xml:space="preserve">regional </w:t>
      </w:r>
      <w:r w:rsidR="00F031BB">
        <w:t xml:space="preserve">areas, </w:t>
      </w:r>
      <w:r w:rsidR="00EF5A73">
        <w:t xml:space="preserve">the condition must </w:t>
      </w:r>
      <w:r w:rsidR="00200BB9">
        <w:t xml:space="preserve">be constructed in a manner that would </w:t>
      </w:r>
      <w:r w:rsidR="00DA6EC8">
        <w:t xml:space="preserve">place a requirement on the licensee to do so. </w:t>
      </w:r>
    </w:p>
    <w:p w14:paraId="11267C4D" w14:textId="3F83DF74" w:rsidR="009E2321" w:rsidRDefault="009E2321" w:rsidP="00305954">
      <w:pPr>
        <w:pStyle w:val="Heading4"/>
      </w:pPr>
      <w:r>
        <w:t>Broader coverage</w:t>
      </w:r>
    </w:p>
    <w:p w14:paraId="5D62B0D3" w14:textId="65FC4C74" w:rsidR="007746E2" w:rsidRDefault="00D30964" w:rsidP="00D4592A">
      <w:pPr>
        <w:pStyle w:val="Paragraph"/>
      </w:pPr>
      <w:r w:rsidRPr="00D4592A">
        <w:t xml:space="preserve">The </w:t>
      </w:r>
      <w:r w:rsidR="00301867" w:rsidRPr="00D4592A">
        <w:t>minister has requested we consider the effectiveness of</w:t>
      </w:r>
      <w:r w:rsidR="00F148E1" w:rsidRPr="00D4592A">
        <w:t xml:space="preserve"> rollout obligations </w:t>
      </w:r>
      <w:r w:rsidR="00301867" w:rsidRPr="00D4592A">
        <w:t>in</w:t>
      </w:r>
      <w:r w:rsidR="00F148E1" w:rsidRPr="00D4592A">
        <w:t xml:space="preserve"> </w:t>
      </w:r>
      <w:r w:rsidR="005455AB" w:rsidRPr="00D4592A">
        <w:t xml:space="preserve">achieving broader </w:t>
      </w:r>
      <w:r w:rsidR="00301867" w:rsidRPr="00D4592A">
        <w:t>coverage</w:t>
      </w:r>
      <w:r w:rsidR="00E160F7" w:rsidRPr="00D4592A">
        <w:t xml:space="preserve">. </w:t>
      </w:r>
      <w:r w:rsidR="00612092">
        <w:t xml:space="preserve">We are taking this to mean </w:t>
      </w:r>
      <w:r w:rsidR="007746E2">
        <w:t>expand the geographic coverage</w:t>
      </w:r>
      <w:r w:rsidR="00FA4657">
        <w:t xml:space="preserve"> and quality</w:t>
      </w:r>
      <w:r w:rsidR="007746E2">
        <w:t xml:space="preserve"> of services </w:t>
      </w:r>
      <w:r w:rsidR="00FA4657">
        <w:t>in</w:t>
      </w:r>
      <w:r w:rsidR="007746E2">
        <w:t xml:space="preserve"> underserved areas. </w:t>
      </w:r>
    </w:p>
    <w:p w14:paraId="0C8BF775" w14:textId="042971D2" w:rsidR="00D30964" w:rsidRDefault="00D30964" w:rsidP="00D30964">
      <w:pPr>
        <w:pStyle w:val="Paragraph"/>
      </w:pPr>
      <w:r w:rsidRPr="00D4592A">
        <w:t>Service coverage and quality</w:t>
      </w:r>
      <w:r w:rsidR="00287739" w:rsidRPr="00D4592A">
        <w:t>,</w:t>
      </w:r>
      <w:r w:rsidRPr="00D4592A">
        <w:t xml:space="preserve"> and the underlying factors that contribute to </w:t>
      </w:r>
      <w:r w:rsidR="00287739" w:rsidRPr="00D4592A">
        <w:t xml:space="preserve">them, </w:t>
      </w:r>
      <w:r w:rsidRPr="00D4592A">
        <w:t>ha</w:t>
      </w:r>
      <w:r w:rsidR="000B4309" w:rsidRPr="00D4592A">
        <w:t>ve been</w:t>
      </w:r>
      <w:r w:rsidRPr="00D4592A">
        <w:t xml:space="preserve"> </w:t>
      </w:r>
      <w:r w:rsidR="003219CE" w:rsidRPr="00D4592A">
        <w:t xml:space="preserve">identified and </w:t>
      </w:r>
      <w:r w:rsidRPr="00D4592A">
        <w:t xml:space="preserve">discussed </w:t>
      </w:r>
      <w:r w:rsidR="007B7FAD" w:rsidRPr="00D4592A">
        <w:t>extensively</w:t>
      </w:r>
      <w:r w:rsidRPr="00D4592A">
        <w:t xml:space="preserve"> in several other forums and reports</w:t>
      </w:r>
      <w:r w:rsidR="001325C2" w:rsidRPr="00D4592A">
        <w:t xml:space="preserve">. </w:t>
      </w:r>
      <w:r w:rsidR="0081215B">
        <w:t>Be</w:t>
      </w:r>
      <w:r w:rsidR="00407E02">
        <w:t>sides</w:t>
      </w:r>
      <w:r w:rsidR="0081215B">
        <w:t xml:space="preserve"> spectrum availability, t</w:t>
      </w:r>
      <w:r w:rsidR="001325C2">
        <w:t xml:space="preserve">he underlying factors </w:t>
      </w:r>
      <w:r w:rsidR="00F46E6E">
        <w:t xml:space="preserve">are </w:t>
      </w:r>
      <w:r w:rsidR="005640B8">
        <w:t xml:space="preserve">broadly </w:t>
      </w:r>
      <w:r w:rsidR="00D41B53">
        <w:t xml:space="preserve">infrastructure and backhaul costs, </w:t>
      </w:r>
      <w:r w:rsidR="001C1A59">
        <w:t xml:space="preserve">access to land, </w:t>
      </w:r>
      <w:r w:rsidR="00A87814">
        <w:t>and poor expected rate</w:t>
      </w:r>
      <w:r w:rsidR="00DE6B0D">
        <w:t>s</w:t>
      </w:r>
      <w:r w:rsidR="00A87814">
        <w:t xml:space="preserve"> of return on investment in sparsely populated areas.</w:t>
      </w:r>
      <w:r w:rsidR="00760832">
        <w:t xml:space="preserve"> For example, see</w:t>
      </w:r>
      <w:r w:rsidDel="0081215B">
        <w:t xml:space="preserve"> </w:t>
      </w:r>
      <w:r w:rsidR="00A96B12" w:rsidRPr="001B574C">
        <w:t>the Standing Committee on Communications and the Arts</w:t>
      </w:r>
      <w:r w:rsidR="00A96B12" w:rsidRPr="00F53C4E">
        <w:rPr>
          <w:rStyle w:val="Hyperlink"/>
          <w:color w:val="auto"/>
          <w:u w:val="none"/>
        </w:rPr>
        <w:t xml:space="preserve"> </w:t>
      </w:r>
      <w:hyperlink r:id="rId49" w:history="1">
        <w:r w:rsidR="00A96B12" w:rsidRPr="00A96B12">
          <w:rPr>
            <w:rStyle w:val="Hyperlink"/>
          </w:rPr>
          <w:t>inquiry into co-investment in multi-carrier regional mobile infrastructure</w:t>
        </w:r>
      </w:hyperlink>
      <w:r w:rsidR="00524725" w:rsidRPr="00F53C4E">
        <w:t xml:space="preserve"> </w:t>
      </w:r>
      <w:r w:rsidR="00EB14D1">
        <w:t>and</w:t>
      </w:r>
      <w:r>
        <w:t xml:space="preserve"> the </w:t>
      </w:r>
      <w:hyperlink r:id="rId50" w:history="1">
        <w:r w:rsidRPr="00F53C4E">
          <w:rPr>
            <w:rStyle w:val="Hyperlink"/>
            <w:color w:val="auto"/>
            <w:u w:val="none"/>
          </w:rPr>
          <w:t xml:space="preserve">2021 </w:t>
        </w:r>
        <w:r w:rsidRPr="00F53C4E">
          <w:rPr>
            <w:rStyle w:val="Hyperlink"/>
          </w:rPr>
          <w:t>Regional Telecommunications Review</w:t>
        </w:r>
      </w:hyperlink>
      <w:r>
        <w:t xml:space="preserve">, and the ACCC’s </w:t>
      </w:r>
      <w:hyperlink r:id="rId51" w:history="1">
        <w:r w:rsidRPr="00A96B12">
          <w:rPr>
            <w:rStyle w:val="Hyperlink"/>
          </w:rPr>
          <w:t>Regional mobile infrastructure inquiry 2022-23</w:t>
        </w:r>
      </w:hyperlink>
      <w:r w:rsidR="00130E51">
        <w:t>.</w:t>
      </w:r>
      <w:r>
        <w:t xml:space="preserve"> </w:t>
      </w:r>
    </w:p>
    <w:p w14:paraId="2DD08E6C" w14:textId="4457FFA2" w:rsidR="00C74666" w:rsidRDefault="00C74666" w:rsidP="00C74666">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751AA6">
        <w:t xml:space="preserve">We welcome stakeholder views on </w:t>
      </w:r>
      <w:r>
        <w:t xml:space="preserve">whether rollout obligations would be effective in achieving broader coverage.  </w:t>
      </w:r>
    </w:p>
    <w:p w14:paraId="5B0B5BCE" w14:textId="49DC7834" w:rsidR="00C74666" w:rsidRDefault="00C74666" w:rsidP="001F2782">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We welcome any evidence or analysis that could support these views. </w:t>
      </w:r>
    </w:p>
    <w:p w14:paraId="3DAEAF0C" w14:textId="527FC2BF" w:rsidR="009E2321" w:rsidRDefault="009E2321" w:rsidP="00305954">
      <w:pPr>
        <w:pStyle w:val="Heading4"/>
      </w:pPr>
      <w:r>
        <w:t>More efficient use of the spectrum</w:t>
      </w:r>
    </w:p>
    <w:p w14:paraId="5B13F0C3" w14:textId="3309197F" w:rsidR="00AA4547" w:rsidRDefault="00E160F7" w:rsidP="00AB1DDE">
      <w:pPr>
        <w:pStyle w:val="Paragraph"/>
      </w:pPr>
      <w:r>
        <w:t xml:space="preserve">The minister has requested we consider the effectiveness of UIOLI and UIOSI </w:t>
      </w:r>
      <w:r w:rsidR="00DB6F22">
        <w:t xml:space="preserve">conditions </w:t>
      </w:r>
      <w:r>
        <w:t xml:space="preserve">in achieving more efficient use of the spectrum. </w:t>
      </w:r>
      <w:r w:rsidR="00AA4547">
        <w:t>Spectrum planning</w:t>
      </w:r>
      <w:r w:rsidR="00FA4C5F">
        <w:t>,</w:t>
      </w:r>
      <w:r w:rsidR="00AA4547">
        <w:t xml:space="preserve"> allocation</w:t>
      </w:r>
      <w:r w:rsidR="00FA4C5F">
        <w:t xml:space="preserve"> and licensing</w:t>
      </w:r>
      <w:r w:rsidR="00AA4547">
        <w:t xml:space="preserve"> seeks to facilitate, to the greatest extent possible, the efficient use of the spectrum that promotes the long-term public interest. </w:t>
      </w:r>
      <w:r w:rsidR="00D960DF">
        <w:t>There are</w:t>
      </w:r>
      <w:r w:rsidR="00BB58FA">
        <w:t xml:space="preserve"> a range of aspects </w:t>
      </w:r>
      <w:r w:rsidR="004029DF">
        <w:t xml:space="preserve">of </w:t>
      </w:r>
      <w:r w:rsidR="00F175B4">
        <w:t xml:space="preserve">our approach to spectrum management that </w:t>
      </w:r>
      <w:r w:rsidR="00E86204">
        <w:t>seek to facilitate</w:t>
      </w:r>
      <w:r w:rsidR="005E33CF">
        <w:t xml:space="preserve"> </w:t>
      </w:r>
      <w:r w:rsidR="00E86204">
        <w:t>efficient use of the spectrum</w:t>
      </w:r>
      <w:r w:rsidR="001D6191">
        <w:t>, including competitive allocation processes</w:t>
      </w:r>
      <w:r w:rsidR="002108C4">
        <w:t xml:space="preserve">, pricing of spectrum, </w:t>
      </w:r>
      <w:r w:rsidR="00F175B4">
        <w:t xml:space="preserve">a regulatory framework which facilitates </w:t>
      </w:r>
      <w:r w:rsidR="00E748B6">
        <w:t>trading</w:t>
      </w:r>
      <w:r w:rsidR="00D33EBB">
        <w:t xml:space="preserve"> of </w:t>
      </w:r>
      <w:r w:rsidR="004029DF">
        <w:t>licences and</w:t>
      </w:r>
      <w:r w:rsidR="00E748B6">
        <w:t xml:space="preserve"> third</w:t>
      </w:r>
      <w:r w:rsidR="001F2782">
        <w:t>-</w:t>
      </w:r>
      <w:r w:rsidR="00E748B6">
        <w:t xml:space="preserve">party authorisation, and </w:t>
      </w:r>
      <w:r w:rsidR="001C7A10">
        <w:t xml:space="preserve">flexible technical frameworks that enable licensees to adjust their use of the spectrum over time. </w:t>
      </w:r>
    </w:p>
    <w:p w14:paraId="4D97D237" w14:textId="45ADDF91" w:rsidR="00BE7115" w:rsidRDefault="008019BD" w:rsidP="00AB1DDE">
      <w:pPr>
        <w:pStyle w:val="Paragraph"/>
      </w:pPr>
      <w:r>
        <w:t xml:space="preserve">In our finalised framework paper, we identified that we would </w:t>
      </w:r>
      <w:r w:rsidR="00593E22">
        <w:t xml:space="preserve">use a policy and decision-making framework underpinned by public interest criteria to consider </w:t>
      </w:r>
      <w:r w:rsidR="006A30CD">
        <w:t xml:space="preserve">whether arrangements </w:t>
      </w:r>
      <w:r w:rsidR="00C12AC5">
        <w:t>were likely to promote the long-term interest</w:t>
      </w:r>
      <w:r w:rsidR="00720683">
        <w:t xml:space="preserve">. We provided </w:t>
      </w:r>
      <w:r w:rsidR="00CC37ED">
        <w:t xml:space="preserve">additional </w:t>
      </w:r>
      <w:r w:rsidR="00CC37ED">
        <w:lastRenderedPageBreak/>
        <w:t xml:space="preserve">explanation and context for each of the criteria to communicate how we would </w:t>
      </w:r>
      <w:r w:rsidR="00293D14">
        <w:t xml:space="preserve">consider each of the criteria; this guidance material has been included at Appendix A. </w:t>
      </w:r>
    </w:p>
    <w:p w14:paraId="0F387CF7" w14:textId="59DEA87A" w:rsidR="008122AE" w:rsidRDefault="008122AE" w:rsidP="00AB1DDE">
      <w:pPr>
        <w:pStyle w:val="Paragraph"/>
      </w:pPr>
      <w:r>
        <w:t xml:space="preserve">The first criterion concerns </w:t>
      </w:r>
      <w:r w:rsidR="005611B9">
        <w:t xml:space="preserve">whether arrangements </w:t>
      </w:r>
      <w:r>
        <w:t>facilitat</w:t>
      </w:r>
      <w:r w:rsidR="005611B9">
        <w:t>e</w:t>
      </w:r>
      <w:r>
        <w:t xml:space="preserve"> efficien</w:t>
      </w:r>
      <w:r w:rsidR="004E4CE1">
        <w:t>t use of the spectrum</w:t>
      </w:r>
      <w:r>
        <w:t>. Noting that the minister’s request comes within the</w:t>
      </w:r>
      <w:r w:rsidR="005611B9">
        <w:t xml:space="preserve"> broad</w:t>
      </w:r>
      <w:r>
        <w:t xml:space="preserve"> context of ESL process, </w:t>
      </w:r>
      <w:r w:rsidR="006D7179">
        <w:t xml:space="preserve">we </w:t>
      </w:r>
      <w:r w:rsidR="005611B9">
        <w:t xml:space="preserve">think it is appropriate to </w:t>
      </w:r>
      <w:r w:rsidR="00900B4D">
        <w:t>consider</w:t>
      </w:r>
      <w:r w:rsidR="002137EA">
        <w:t xml:space="preserve"> the effect</w:t>
      </w:r>
      <w:r w:rsidR="00823E36">
        <w:t>iveness of UIOLI and UIOSI in achieving more efficient use of the spectrum</w:t>
      </w:r>
      <w:r w:rsidR="00AC2D49">
        <w:t xml:space="preserve"> consistent with </w:t>
      </w:r>
      <w:r w:rsidR="00F21F4F">
        <w:t>the first criterion</w:t>
      </w:r>
      <w:r w:rsidR="005611B9">
        <w:t xml:space="preserve"> and expanded guidance material</w:t>
      </w:r>
      <w:r w:rsidR="00F21F4F">
        <w:t xml:space="preserve">. </w:t>
      </w:r>
    </w:p>
    <w:p w14:paraId="6CF79584" w14:textId="787212A1" w:rsidR="00D32525" w:rsidRDefault="006C12D5" w:rsidP="00F53C4E">
      <w:pPr>
        <w:pStyle w:val="Paragraph"/>
      </w:pPr>
      <w:r>
        <w:t>UIOLI and UIOSI conditions are</w:t>
      </w:r>
      <w:r w:rsidR="00627E0C">
        <w:t xml:space="preserve"> </w:t>
      </w:r>
      <w:r w:rsidR="00C54C16">
        <w:t xml:space="preserve">implemented </w:t>
      </w:r>
      <w:r w:rsidR="00031761">
        <w:t>as post</w:t>
      </w:r>
      <w:r w:rsidR="002F2FD1">
        <w:t>-</w:t>
      </w:r>
      <w:r w:rsidR="00031761">
        <w:t>allocation mech</w:t>
      </w:r>
      <w:r w:rsidR="00F4713F">
        <w:t>an</w:t>
      </w:r>
      <w:r w:rsidR="00031761">
        <w:t>ism</w:t>
      </w:r>
      <w:r w:rsidR="00E96CA4">
        <w:t>s</w:t>
      </w:r>
      <w:r w:rsidR="00031761">
        <w:t xml:space="preserve"> for </w:t>
      </w:r>
      <w:r w:rsidR="00055AAB">
        <w:t xml:space="preserve">facilitating </w:t>
      </w:r>
      <w:r w:rsidR="002932D1">
        <w:t>efficient use of the spectrum</w:t>
      </w:r>
      <w:r w:rsidR="00C14CBB">
        <w:t xml:space="preserve"> by </w:t>
      </w:r>
      <w:r w:rsidR="006A30B7">
        <w:t xml:space="preserve">requiring </w:t>
      </w:r>
      <w:r w:rsidR="002F2FD1">
        <w:t xml:space="preserve">that </w:t>
      </w:r>
      <w:r w:rsidR="006A30B7">
        <w:t xml:space="preserve">the licensee use the </w:t>
      </w:r>
      <w:r w:rsidR="00A7066A">
        <w:t>spectrum or</w:t>
      </w:r>
      <w:r w:rsidR="00A62690">
        <w:t xml:space="preserve"> </w:t>
      </w:r>
      <w:r w:rsidR="00C14CBB">
        <w:t xml:space="preserve">return </w:t>
      </w:r>
      <w:r w:rsidR="00574F8F">
        <w:t>un</w:t>
      </w:r>
      <w:r w:rsidR="00CE3225">
        <w:t>used</w:t>
      </w:r>
      <w:r w:rsidR="00574F8F">
        <w:t xml:space="preserve"> or underutilised spectrum to market </w:t>
      </w:r>
      <w:r w:rsidR="002F2FD1">
        <w:t xml:space="preserve">so that </w:t>
      </w:r>
      <w:r w:rsidR="00574F8F">
        <w:t>it may be re-allocated</w:t>
      </w:r>
      <w:r w:rsidR="00190694">
        <w:t xml:space="preserve"> or shared</w:t>
      </w:r>
      <w:r w:rsidR="00A7066A">
        <w:t xml:space="preserve">. </w:t>
      </w:r>
    </w:p>
    <w:p w14:paraId="56407735" w14:textId="2A912813" w:rsidR="009E2321" w:rsidRDefault="00832D8E" w:rsidP="00F53C4E">
      <w:pPr>
        <w:pStyle w:val="Paragraph"/>
      </w:pPr>
      <w:r>
        <w:t xml:space="preserve">For </w:t>
      </w:r>
      <w:r w:rsidR="00BE6FA5">
        <w:t>a re</w:t>
      </w:r>
      <w:r w:rsidR="00E155F5">
        <w:t>-allocation</w:t>
      </w:r>
      <w:r w:rsidR="00E678EC">
        <w:t xml:space="preserve"> or sharing</w:t>
      </w:r>
      <w:r w:rsidR="009E2321" w:rsidDel="00E155F5">
        <w:t xml:space="preserve"> </w:t>
      </w:r>
      <w:r w:rsidR="009E2321">
        <w:t xml:space="preserve">to </w:t>
      </w:r>
      <w:r>
        <w:t xml:space="preserve">result in a more efficient use of the spectrum, </w:t>
      </w:r>
      <w:r w:rsidR="009E2321">
        <w:t xml:space="preserve">there </w:t>
      </w:r>
      <w:r w:rsidR="00CE3225">
        <w:t xml:space="preserve">must be </w:t>
      </w:r>
      <w:r w:rsidR="009E2321">
        <w:t xml:space="preserve">at least one alternative user who is sufficiently resourced and incentivised to put the spectrum to the intended use, or a more efficient use of the spectrum </w:t>
      </w:r>
      <w:r w:rsidR="00AA255F">
        <w:t xml:space="preserve">must </w:t>
      </w:r>
      <w:r w:rsidR="009E2321">
        <w:t xml:space="preserve">exist and there </w:t>
      </w:r>
      <w:r w:rsidR="00AA255F">
        <w:t>must be</w:t>
      </w:r>
      <w:r w:rsidR="009E2321" w:rsidDel="00AA255F">
        <w:t xml:space="preserve"> </w:t>
      </w:r>
      <w:r w:rsidR="009E2321">
        <w:t xml:space="preserve">one </w:t>
      </w:r>
      <w:r w:rsidR="00AA255F">
        <w:t xml:space="preserve">or </w:t>
      </w:r>
      <w:r w:rsidR="009E2321">
        <w:t>more user</w:t>
      </w:r>
      <w:r w:rsidR="00AA255F">
        <w:t>s</w:t>
      </w:r>
      <w:r w:rsidR="009E2321">
        <w:t xml:space="preserve"> capable of putting the spectrum to that alternative use. In scenarios where there is neither a viable alternative user, nor an alternative use, there may not be a more efficient </w:t>
      </w:r>
      <w:r w:rsidR="00D07783">
        <w:t xml:space="preserve">allocation </w:t>
      </w:r>
      <w:r w:rsidR="009E2321">
        <w:t>of the spectrum at the given time.</w:t>
      </w:r>
      <w:r w:rsidR="009E2321">
        <w:rPr>
          <w:rStyle w:val="FootnoteReference"/>
        </w:rPr>
        <w:footnoteReference w:id="21"/>
      </w:r>
      <w:r w:rsidR="009E2321">
        <w:rPr>
          <w:b/>
          <w:bCs/>
        </w:rPr>
        <w:t xml:space="preserve"> </w:t>
      </w:r>
    </w:p>
    <w:p w14:paraId="4C891FB4" w14:textId="7DA13241" w:rsidR="00832D8E" w:rsidRDefault="00677E7C" w:rsidP="00F53C4E">
      <w:pPr>
        <w:pStyle w:val="Paragraph"/>
      </w:pPr>
      <w:r>
        <w:t>T</w:t>
      </w:r>
      <w:r w:rsidR="00832D8E" w:rsidDel="00592B4E">
        <w:t>here may be reasons for a licensee not to use</w:t>
      </w:r>
      <w:r w:rsidR="00871042">
        <w:t>,</w:t>
      </w:r>
      <w:r w:rsidR="00832D8E" w:rsidDel="00592B4E">
        <w:t xml:space="preserve"> or only lightly use</w:t>
      </w:r>
      <w:r w:rsidR="00871042">
        <w:t>,</w:t>
      </w:r>
      <w:r w:rsidR="00832D8E" w:rsidDel="00592B4E">
        <w:t xml:space="preserve"> the</w:t>
      </w:r>
      <w:r w:rsidR="00781E93">
        <w:t>ir</w:t>
      </w:r>
      <w:r w:rsidR="00832D8E" w:rsidDel="00592B4E">
        <w:t xml:space="preserve"> spectrum at a given time, such as acquiring spectrum for future capacity or deployment, or to lower interference management costs. </w:t>
      </w:r>
      <w:r w:rsidR="00F03F39">
        <w:t>S</w:t>
      </w:r>
      <w:r w:rsidR="00832D8E" w:rsidDel="00592B4E">
        <w:t xml:space="preserve">pectrum utilisation can </w:t>
      </w:r>
      <w:r w:rsidR="00F03F39">
        <w:t xml:space="preserve">also </w:t>
      </w:r>
      <w:r w:rsidR="00832D8E" w:rsidDel="00592B4E">
        <w:t>be sporadic, responding to dynamic demand.</w:t>
      </w:r>
      <w:r w:rsidR="00832D8E">
        <w:t xml:space="preserve"> </w:t>
      </w:r>
      <w:r w:rsidR="00DE513D">
        <w:t xml:space="preserve">The </w:t>
      </w:r>
      <w:r w:rsidR="00F93F4A">
        <w:t xml:space="preserve">efficiency gains provided by </w:t>
      </w:r>
      <w:r w:rsidR="008D1FA7">
        <w:t xml:space="preserve">this </w:t>
      </w:r>
      <w:r w:rsidR="008E1C79">
        <w:t xml:space="preserve">kind of </w:t>
      </w:r>
      <w:r w:rsidR="00CB351A">
        <w:t xml:space="preserve">use </w:t>
      </w:r>
      <w:r w:rsidR="00EE652F">
        <w:t xml:space="preserve">to the licensee </w:t>
      </w:r>
      <w:r w:rsidR="00301830">
        <w:t xml:space="preserve">and the services they provide </w:t>
      </w:r>
      <w:r w:rsidR="007F1B39">
        <w:t xml:space="preserve">would need to be considered </w:t>
      </w:r>
      <w:r w:rsidR="0005246F">
        <w:t xml:space="preserve">against the potential benefit that could be provided by an alternative user. </w:t>
      </w:r>
    </w:p>
    <w:p w14:paraId="4D4F07BE" w14:textId="29A9C91D" w:rsidR="00D30964" w:rsidRDefault="009E2321" w:rsidP="00F53C4E">
      <w:pPr>
        <w:pStyle w:val="Paragraph"/>
      </w:pPr>
      <w:r>
        <w:t xml:space="preserve">We note that there are complexities in considering and comparing the relative public interest derived from the spectrum under different uses and use cases, particularly commercial and non-commercial use cases. </w:t>
      </w:r>
      <w:r w:rsidR="0039469A" w:rsidRPr="0039469A">
        <w:t xml:space="preserve">This can affect how we consider efficiency, as the way that different uses can be efficient and promote the long-term public interest can vary significantly. </w:t>
      </w:r>
    </w:p>
    <w:p w14:paraId="3830B6D9" w14:textId="3584FCF1" w:rsidR="000D5F2A" w:rsidRDefault="000D5F2A" w:rsidP="000D5F2A">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751AA6">
        <w:t xml:space="preserve">We welcome stakeholder views on </w:t>
      </w:r>
      <w:r>
        <w:t xml:space="preserve">whether </w:t>
      </w:r>
      <w:r w:rsidR="00830EE4">
        <w:t xml:space="preserve">UIOLI or UIOSI conditions would be effective in </w:t>
      </w:r>
      <w:r w:rsidR="00C74666">
        <w:t xml:space="preserve">achieving more efficient use of the spectrum. </w:t>
      </w:r>
    </w:p>
    <w:p w14:paraId="15629F10" w14:textId="75E6E1E2" w:rsidR="00C74184" w:rsidRDefault="00C74184" w:rsidP="000D5F2A">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proofErr w:type="gramStart"/>
      <w:r>
        <w:t>In particular, we</w:t>
      </w:r>
      <w:proofErr w:type="gramEnd"/>
      <w:r>
        <w:t xml:space="preserve"> are interested in views as to whether existing use of the spectrum under ESLs is inefficient and whether UIOLI or UIOSI regimes would be effective in facilitating access to spectrum for secondary users and licensees that would result in more efficient use of the spectrum.</w:t>
      </w:r>
    </w:p>
    <w:p w14:paraId="6E75856F" w14:textId="28EAD824" w:rsidR="000D5F2A" w:rsidRDefault="000D5F2A" w:rsidP="001F2782">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We welcome any evidence or analysis that could support these views. </w:t>
      </w:r>
    </w:p>
    <w:p w14:paraId="0CEDDFBF" w14:textId="473E8C2E" w:rsidR="008B55FD" w:rsidRDefault="008B55FD" w:rsidP="00262910">
      <w:pPr>
        <w:pStyle w:val="Heading3"/>
      </w:pPr>
      <w:r>
        <w:t>Tension between more efficient spectrum use and broader coverage</w:t>
      </w:r>
      <w:r w:rsidR="00F4112F">
        <w:t xml:space="preserve"> </w:t>
      </w:r>
      <w:proofErr w:type="gramStart"/>
      <w:r w:rsidR="00F4112F">
        <w:t>outcomes</w:t>
      </w:r>
      <w:proofErr w:type="gramEnd"/>
    </w:p>
    <w:p w14:paraId="56A103B6" w14:textId="054EDB15" w:rsidR="0086037E" w:rsidRDefault="00CA10D1" w:rsidP="00F53C4E">
      <w:pPr>
        <w:pStyle w:val="Paragraph"/>
      </w:pPr>
      <w:r>
        <w:t>T</w:t>
      </w:r>
      <w:r w:rsidR="008B55FD">
        <w:t>here may be tension between</w:t>
      </w:r>
      <w:r w:rsidR="008B55FD" w:rsidDel="00301830">
        <w:t xml:space="preserve"> </w:t>
      </w:r>
      <w:r w:rsidR="008B55FD">
        <w:t>objectives</w:t>
      </w:r>
      <w:r w:rsidR="00342186">
        <w:t xml:space="preserve"> in some scenarios</w:t>
      </w:r>
      <w:r w:rsidR="008B55FD">
        <w:t xml:space="preserve">, which </w:t>
      </w:r>
      <w:r w:rsidR="00045CBC">
        <w:t xml:space="preserve">may </w:t>
      </w:r>
      <w:r w:rsidR="008B55FD">
        <w:t xml:space="preserve">preclude implementing more than one of the licence conditions across </w:t>
      </w:r>
      <w:r w:rsidR="003F7005">
        <w:t xml:space="preserve">a range of </w:t>
      </w:r>
      <w:r w:rsidR="008B55FD">
        <w:t xml:space="preserve">licences. </w:t>
      </w:r>
    </w:p>
    <w:p w14:paraId="3C42FD6B" w14:textId="3640ED27" w:rsidR="0086037E" w:rsidRDefault="008B55FD" w:rsidP="00F53C4E">
      <w:pPr>
        <w:pStyle w:val="Paragraph"/>
      </w:pPr>
      <w:r>
        <w:lastRenderedPageBreak/>
        <w:t xml:space="preserve">UIOLI </w:t>
      </w:r>
      <w:r w:rsidR="00705FA4">
        <w:t xml:space="preserve">conditions </w:t>
      </w:r>
      <w:r>
        <w:t xml:space="preserve">and spectrum licensing technical frameworks are notionally agnostic </w:t>
      </w:r>
      <w:r w:rsidR="00705FA4">
        <w:t>of</w:t>
      </w:r>
      <w:r>
        <w:t xml:space="preserve"> service </w:t>
      </w:r>
      <w:r w:rsidR="00705FA4">
        <w:t xml:space="preserve">deployed </w:t>
      </w:r>
      <w:r>
        <w:t>and technology</w:t>
      </w:r>
      <w:r w:rsidR="00705FA4">
        <w:t xml:space="preserve"> used</w:t>
      </w:r>
      <w:r>
        <w:t xml:space="preserve">, with UIOLI </w:t>
      </w:r>
      <w:r w:rsidR="00705FA4">
        <w:t>conditions typically</w:t>
      </w:r>
      <w:r>
        <w:t xml:space="preserve"> concerned with the overall use of the spectrum, rather than specific downstream uses.</w:t>
      </w:r>
      <w:r>
        <w:rPr>
          <w:rStyle w:val="FootnoteReference"/>
        </w:rPr>
        <w:footnoteReference w:id="22"/>
      </w:r>
      <w:r>
        <w:t xml:space="preserve"> That is, current arrangements provide flexibility in how the spectrum is used, and UIOLI </w:t>
      </w:r>
      <w:r w:rsidR="00705FA4">
        <w:t xml:space="preserve">conditions </w:t>
      </w:r>
      <w:r>
        <w:t xml:space="preserve">would seek to </w:t>
      </w:r>
      <w:r w:rsidR="00561BCD">
        <w:t xml:space="preserve">enhance </w:t>
      </w:r>
      <w:r>
        <w:t>efficient use of the spectrum. Subsequent use of re</w:t>
      </w:r>
      <w:r w:rsidR="00EB6F40">
        <w:t>-allocated</w:t>
      </w:r>
      <w:r>
        <w:t xml:space="preserve"> spectrum, without additional specifications on how the spectrum is used</w:t>
      </w:r>
      <w:r w:rsidR="00705FA4">
        <w:t>,</w:t>
      </w:r>
      <w:r>
        <w:t xml:space="preserve"> may therefore be different to use by the existing licensee (for example, mobile broadband) leading to scenarios where the new use does not promote improved mobile coverage. </w:t>
      </w:r>
    </w:p>
    <w:p w14:paraId="488BB3E9" w14:textId="0A79522C" w:rsidR="00220773" w:rsidRDefault="008B55FD" w:rsidP="00F53C4E">
      <w:pPr>
        <w:pStyle w:val="Paragraph"/>
      </w:pPr>
      <w:r>
        <w:t xml:space="preserve">However, we also note that rollout obligations, by requiring licensees to expand or improve </w:t>
      </w:r>
      <w:proofErr w:type="gramStart"/>
      <w:r>
        <w:t>particular kinds</w:t>
      </w:r>
      <w:proofErr w:type="gramEnd"/>
      <w:r>
        <w:t xml:space="preserve"> of services, would potentially </w:t>
      </w:r>
      <w:r w:rsidR="000B0DF0">
        <w:t>also</w:t>
      </w:r>
      <w:r>
        <w:t xml:space="preserve"> result in more efficient use</w:t>
      </w:r>
      <w:r w:rsidR="001A03CC">
        <w:t>s</w:t>
      </w:r>
      <w:r>
        <w:t xml:space="preserve"> of the spectrum.</w:t>
      </w:r>
    </w:p>
    <w:p w14:paraId="11669CF2" w14:textId="729C070E" w:rsidR="00D57398" w:rsidRDefault="00D57398" w:rsidP="00305954">
      <w:pPr>
        <w:pStyle w:val="Heading3"/>
      </w:pPr>
      <w:r>
        <w:t>Provide flexibility in how requirements are met</w:t>
      </w:r>
      <w:r w:rsidR="003A7E3B">
        <w:t xml:space="preserve"> and how the licence is </w:t>
      </w:r>
      <w:proofErr w:type="gramStart"/>
      <w:r w:rsidR="003A7E3B">
        <w:t>used</w:t>
      </w:r>
      <w:proofErr w:type="gramEnd"/>
    </w:p>
    <w:p w14:paraId="77DF30EB" w14:textId="2907A965" w:rsidR="003A7E3B" w:rsidRDefault="003A7E3B" w:rsidP="00305954">
      <w:pPr>
        <w:pStyle w:val="Paragraph"/>
      </w:pPr>
      <w:r>
        <w:t xml:space="preserve">The spectrum licensing framework has historically sought to maximise flexibility for licensees in how the spectrum is used. Alternative licence conditions would represent a substantial regulatory intervention into the market through imposing timeframes and </w:t>
      </w:r>
      <w:r w:rsidR="00A402D5">
        <w:t xml:space="preserve">other requirements </w:t>
      </w:r>
      <w:r>
        <w:t xml:space="preserve">to deploy and operate services that </w:t>
      </w:r>
      <w:r w:rsidR="44756DA7">
        <w:t xml:space="preserve">may be </w:t>
      </w:r>
      <w:r>
        <w:t xml:space="preserve">inconsistent with </w:t>
      </w:r>
      <w:r w:rsidR="00A402D5">
        <w:t xml:space="preserve">a </w:t>
      </w:r>
      <w:r>
        <w:t>licensee</w:t>
      </w:r>
      <w:r w:rsidR="00A402D5">
        <w:t>’</w:t>
      </w:r>
      <w:r>
        <w:t xml:space="preserve">s planned </w:t>
      </w:r>
      <w:r w:rsidR="00504B2D">
        <w:t xml:space="preserve">use of the spectrum, </w:t>
      </w:r>
      <w:r>
        <w:t xml:space="preserve">capital expenditure </w:t>
      </w:r>
      <w:r w:rsidR="00504B2D">
        <w:t xml:space="preserve">and </w:t>
      </w:r>
      <w:r>
        <w:t xml:space="preserve">business plans.  </w:t>
      </w:r>
    </w:p>
    <w:p w14:paraId="289FA9E9" w14:textId="71E56758" w:rsidR="00D57398" w:rsidRDefault="002C3E34" w:rsidP="00F53C4E">
      <w:pPr>
        <w:pStyle w:val="Paragraph"/>
      </w:pPr>
      <w:r>
        <w:t>If adopted, we suggest that a</w:t>
      </w:r>
      <w:r w:rsidR="00045CBC">
        <w:t>lternative licen</w:t>
      </w:r>
      <w:r w:rsidR="00FB291E">
        <w:t>ce</w:t>
      </w:r>
      <w:r w:rsidR="00045CBC">
        <w:t xml:space="preserve"> conditions</w:t>
      </w:r>
      <w:r w:rsidR="00D57398">
        <w:t xml:space="preserve"> should, to the extent possible, provide licensees the flexibility to develop novel and innovative approaches to satisfying requirements</w:t>
      </w:r>
      <w:r w:rsidR="00723889">
        <w:t xml:space="preserve"> and using their licences more broadly</w:t>
      </w:r>
      <w:r w:rsidR="00D57398">
        <w:t xml:space="preserve">, </w:t>
      </w:r>
      <w:r w:rsidR="00720184">
        <w:t xml:space="preserve">such as adopting </w:t>
      </w:r>
      <w:r w:rsidR="00D57398">
        <w:t>new technologies,</w:t>
      </w:r>
      <w:r w:rsidR="004C53F2">
        <w:t xml:space="preserve"> </w:t>
      </w:r>
      <w:r w:rsidR="003D5A70">
        <w:t>implementing</w:t>
      </w:r>
      <w:r w:rsidR="00D57398">
        <w:t xml:space="preserve"> active infrastructure sharing</w:t>
      </w:r>
      <w:r w:rsidR="002735D1">
        <w:t xml:space="preserve"> with other licensees</w:t>
      </w:r>
      <w:r w:rsidR="00D57398">
        <w:t>, neutral host</w:t>
      </w:r>
      <w:r w:rsidR="003D5A70">
        <w:t xml:space="preserve"> arrangements, o</w:t>
      </w:r>
      <w:r w:rsidR="005E06E3">
        <w:t xml:space="preserve">r </w:t>
      </w:r>
      <w:r w:rsidR="00A8075A">
        <w:t>potentially augmenting coverage through emerging technologies such as</w:t>
      </w:r>
      <w:r w:rsidR="00D57398" w:rsidDel="00A8075A">
        <w:t xml:space="preserve"> </w:t>
      </w:r>
      <w:r w:rsidR="00D57398">
        <w:t xml:space="preserve">LEOsats. </w:t>
      </w:r>
    </w:p>
    <w:p w14:paraId="6C56A6E0" w14:textId="77777777" w:rsidR="00D57398" w:rsidRDefault="00D57398" w:rsidP="00262910">
      <w:pPr>
        <w:pStyle w:val="Heading3"/>
      </w:pPr>
      <w:r>
        <w:t xml:space="preserve">Provide sufficient certainty and </w:t>
      </w:r>
      <w:proofErr w:type="gramStart"/>
      <w:r>
        <w:t>clarity</w:t>
      </w:r>
      <w:proofErr w:type="gramEnd"/>
    </w:p>
    <w:p w14:paraId="448F2084" w14:textId="056EC2C2" w:rsidR="00D57398" w:rsidRDefault="00D6166D" w:rsidP="007C3C4D">
      <w:pPr>
        <w:pStyle w:val="Paragraph"/>
      </w:pPr>
      <w:r>
        <w:t>We suggest that any conditions</w:t>
      </w:r>
      <w:r w:rsidR="00D57398">
        <w:t xml:space="preserve"> should be specific enough to provide certainty and clarity to licensees about their obligations and how compliance will be assessed. Uncertainty around the terms of the licence</w:t>
      </w:r>
      <w:r w:rsidR="00D66357">
        <w:t xml:space="preserve"> </w:t>
      </w:r>
      <w:r w:rsidR="00D57398">
        <w:t>condition</w:t>
      </w:r>
      <w:r w:rsidR="00D66357">
        <w:t xml:space="preserve">, and </w:t>
      </w:r>
      <w:r w:rsidR="006C3849">
        <w:t xml:space="preserve">compliance and renewal </w:t>
      </w:r>
      <w:r w:rsidR="00D66357">
        <w:t>implications</w:t>
      </w:r>
      <w:r w:rsidR="006C3849">
        <w:t>,</w:t>
      </w:r>
      <w:r w:rsidR="00D66357">
        <w:t xml:space="preserve"> </w:t>
      </w:r>
      <w:r w:rsidR="00D57398">
        <w:t>may undermine long-term investment confidence</w:t>
      </w:r>
      <w:r w:rsidR="00BD463E" w:rsidRPr="00BD463E">
        <w:t>.</w:t>
      </w:r>
    </w:p>
    <w:p w14:paraId="6443D618" w14:textId="1D8D04F0" w:rsidR="00D57398" w:rsidRDefault="009A560F" w:rsidP="00262910">
      <w:pPr>
        <w:pStyle w:val="Heading3"/>
      </w:pPr>
      <w:r>
        <w:t xml:space="preserve">Reasonable </w:t>
      </w:r>
      <w:r w:rsidR="00D57398">
        <w:t>cost</w:t>
      </w:r>
      <w:r>
        <w:t xml:space="preserve">s and timeframes associated with achieving the </w:t>
      </w:r>
      <w:proofErr w:type="gramStart"/>
      <w:r>
        <w:t>requirement</w:t>
      </w:r>
      <w:proofErr w:type="gramEnd"/>
    </w:p>
    <w:p w14:paraId="4C415CE6" w14:textId="14540CBB" w:rsidR="007321C0" w:rsidRDefault="00D6166D" w:rsidP="00D57398">
      <w:pPr>
        <w:pStyle w:val="Paragraph"/>
      </w:pPr>
      <w:r>
        <w:t>We suggest that r</w:t>
      </w:r>
      <w:r w:rsidR="00D57398" w:rsidRPr="00C866CA">
        <w:t>equirements</w:t>
      </w:r>
      <w:r w:rsidR="007525B7">
        <w:t xml:space="preserve"> for use</w:t>
      </w:r>
      <w:r w:rsidR="00D57398" w:rsidRPr="00C866CA">
        <w:t xml:space="preserve"> </w:t>
      </w:r>
      <w:r w:rsidR="00F83535">
        <w:t xml:space="preserve">should </w:t>
      </w:r>
      <w:r w:rsidR="00D57398" w:rsidRPr="00C866CA">
        <w:t>not place unreasonable costs on licensees</w:t>
      </w:r>
      <w:r w:rsidR="00C167A9">
        <w:t>,</w:t>
      </w:r>
      <w:r w:rsidR="00D57398" w:rsidRPr="00C866CA">
        <w:t xml:space="preserve"> </w:t>
      </w:r>
      <w:r w:rsidR="003F7DD6">
        <w:t xml:space="preserve">and targets should be associated with timeframes that are </w:t>
      </w:r>
      <w:r w:rsidR="0074251A">
        <w:t xml:space="preserve">broadly in-line with </w:t>
      </w:r>
      <w:r w:rsidR="009764E6">
        <w:t>business planning, operational considerations and capital expenditure</w:t>
      </w:r>
      <w:r w:rsidR="00D57398" w:rsidRPr="00C866CA">
        <w:t>.</w:t>
      </w:r>
    </w:p>
    <w:p w14:paraId="3EAF80B4" w14:textId="77777777" w:rsidR="00A8592B" w:rsidRDefault="00FF1AF0" w:rsidP="00FF1AF0">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43" w:name="_Toc159360669"/>
      <w:r w:rsidRPr="00751AA6">
        <w:t xml:space="preserve">We welcome stakeholder views on </w:t>
      </w:r>
      <w:r>
        <w:t xml:space="preserve">the issues that we would need to </w:t>
      </w:r>
      <w:proofErr w:type="gramStart"/>
      <w:r>
        <w:t>take into account</w:t>
      </w:r>
      <w:proofErr w:type="gramEnd"/>
      <w:r>
        <w:t xml:space="preserve"> in designing and applying alternative licence conditions to spectrum licences</w:t>
      </w:r>
      <w:r w:rsidR="006C56CD">
        <w:t xml:space="preserve"> to ensure they are fit-for-purpose and achieved desired outcomes</w:t>
      </w:r>
      <w:r>
        <w:t xml:space="preserve">. </w:t>
      </w:r>
    </w:p>
    <w:p w14:paraId="10CC4D0E" w14:textId="1A2AB369" w:rsidR="00FF1AF0" w:rsidRDefault="00FF1AF0" w:rsidP="001F2782">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We welcome any evidence or analysis that could support these views. </w:t>
      </w:r>
    </w:p>
    <w:p w14:paraId="5B1D3A8A" w14:textId="02E52952" w:rsidR="00D57398" w:rsidRDefault="00AF3AEB" w:rsidP="00D57398">
      <w:pPr>
        <w:pStyle w:val="Heading2"/>
      </w:pPr>
      <w:bookmarkStart w:id="44" w:name="_Toc161756538"/>
      <w:r>
        <w:t xml:space="preserve">Implementation of </w:t>
      </w:r>
      <w:r w:rsidR="00593622">
        <w:t>alternative licen</w:t>
      </w:r>
      <w:r w:rsidR="00FB291E">
        <w:t>ce</w:t>
      </w:r>
      <w:r w:rsidR="00593622">
        <w:t xml:space="preserve"> conditions</w:t>
      </w:r>
      <w:bookmarkEnd w:id="44"/>
      <w:r w:rsidR="00593622">
        <w:t xml:space="preserve"> </w:t>
      </w:r>
      <w:bookmarkEnd w:id="43"/>
    </w:p>
    <w:p w14:paraId="73D1C3E4" w14:textId="5F3DC6AD" w:rsidR="0029171C" w:rsidRDefault="0048622D" w:rsidP="00D57398">
      <w:pPr>
        <w:pStyle w:val="Paragraph"/>
      </w:pPr>
      <w:r>
        <w:t>T</w:t>
      </w:r>
      <w:r w:rsidR="00D57398">
        <w:t xml:space="preserve">he Act in general, </w:t>
      </w:r>
      <w:r>
        <w:t xml:space="preserve">and </w:t>
      </w:r>
      <w:r w:rsidR="00D57398">
        <w:t xml:space="preserve">the </w:t>
      </w:r>
      <w:r w:rsidR="00A137D9">
        <w:t xml:space="preserve">legislated </w:t>
      </w:r>
      <w:r w:rsidR="00F416B1">
        <w:t xml:space="preserve">component of the </w:t>
      </w:r>
      <w:r w:rsidR="00D57398">
        <w:t>spectrum</w:t>
      </w:r>
      <w:r w:rsidR="00E626C5">
        <w:t xml:space="preserve"> </w:t>
      </w:r>
      <w:r w:rsidR="00D57398">
        <w:t>licensing framework</w:t>
      </w:r>
      <w:r>
        <w:t xml:space="preserve"> in particular</w:t>
      </w:r>
      <w:r w:rsidR="00D57398">
        <w:t xml:space="preserve">, do not specifically contemplate </w:t>
      </w:r>
      <w:r>
        <w:t xml:space="preserve">use of </w:t>
      </w:r>
      <w:r w:rsidR="00D57398">
        <w:t>these alternative licen</w:t>
      </w:r>
      <w:r w:rsidR="00FB291E">
        <w:t>ce</w:t>
      </w:r>
      <w:r w:rsidR="00D57398">
        <w:t xml:space="preserve"> conditions</w:t>
      </w:r>
      <w:r>
        <w:t>.</w:t>
      </w:r>
      <w:r w:rsidR="00D57398">
        <w:t xml:space="preserve"> </w:t>
      </w:r>
      <w:r>
        <w:t>T</w:t>
      </w:r>
      <w:r w:rsidR="00D57398">
        <w:t>here are</w:t>
      </w:r>
      <w:r>
        <w:t>, however,</w:t>
      </w:r>
      <w:r w:rsidR="00D57398">
        <w:t xml:space="preserve"> likely some </w:t>
      </w:r>
      <w:r w:rsidR="00E063EF">
        <w:t xml:space="preserve">avenues by which they might be </w:t>
      </w:r>
      <w:r w:rsidR="00D57398">
        <w:t>implement</w:t>
      </w:r>
      <w:r w:rsidR="00E063EF">
        <w:t>ed</w:t>
      </w:r>
      <w:r w:rsidR="00D57398">
        <w:t xml:space="preserve">. </w:t>
      </w:r>
    </w:p>
    <w:p w14:paraId="1514B53A" w14:textId="5D08F52B" w:rsidR="00831F52" w:rsidRDefault="00831F52" w:rsidP="00D57398">
      <w:pPr>
        <w:pStyle w:val="Paragraph"/>
      </w:pPr>
      <w:r>
        <w:lastRenderedPageBreak/>
        <w:t>We</w:t>
      </w:r>
      <w:r w:rsidR="00891343">
        <w:t xml:space="preserve"> have provided a high-level discussion of potential </w:t>
      </w:r>
      <w:r w:rsidR="00753F40">
        <w:t xml:space="preserve">implementation options below to demonstrate that </w:t>
      </w:r>
      <w:r w:rsidR="008343FB">
        <w:t xml:space="preserve">such conditions could be included in the spectrum licensing framework. However, </w:t>
      </w:r>
      <w:r w:rsidR="00487B89">
        <w:t xml:space="preserve">if such conditions were to be implemented, </w:t>
      </w:r>
      <w:r w:rsidR="00D504B0">
        <w:t xml:space="preserve">we would need to further consider the </w:t>
      </w:r>
      <w:r w:rsidR="00562FDE">
        <w:t>appropriate approach to a</w:t>
      </w:r>
      <w:r w:rsidR="005E2B31">
        <w:t>ny</w:t>
      </w:r>
      <w:r w:rsidR="00562FDE">
        <w:t xml:space="preserve"> specific implementation of these conditions in the </w:t>
      </w:r>
      <w:r w:rsidR="00E57B43">
        <w:t>context of the broader environment, including</w:t>
      </w:r>
      <w:r w:rsidR="00584C17">
        <w:t>, for example,</w:t>
      </w:r>
      <w:r w:rsidR="00E57B43">
        <w:t xml:space="preserve"> policy outcomes sought, </w:t>
      </w:r>
      <w:r w:rsidR="00C46D22">
        <w:t xml:space="preserve">relevant geographic areas and spectrum, and relevant licensees. </w:t>
      </w:r>
    </w:p>
    <w:p w14:paraId="5B858724" w14:textId="14A929B3" w:rsidR="00D57398" w:rsidRDefault="00D57398" w:rsidP="00D57398">
      <w:pPr>
        <w:pStyle w:val="Heading3"/>
      </w:pPr>
      <w:r>
        <w:t>Rollout obligations and UIOLI</w:t>
      </w:r>
      <w:r w:rsidR="00B91112">
        <w:t xml:space="preserve"> conditions</w:t>
      </w:r>
    </w:p>
    <w:p w14:paraId="6A184767" w14:textId="05C932CD" w:rsidR="00D57398" w:rsidRDefault="00D57398" w:rsidP="00D57398">
      <w:pPr>
        <w:pStyle w:val="Paragraph"/>
      </w:pPr>
      <w:r>
        <w:t>The Act provides</w:t>
      </w:r>
      <w:r w:rsidDel="0027132C">
        <w:t xml:space="preserve"> </w:t>
      </w:r>
      <w:r w:rsidR="0027132C">
        <w:t xml:space="preserve">2 </w:t>
      </w:r>
      <w:r>
        <w:t xml:space="preserve">broad options for including rollout obligations or UIOLI </w:t>
      </w:r>
      <w:r w:rsidR="008D78F0">
        <w:t xml:space="preserve">conditions </w:t>
      </w:r>
      <w:r>
        <w:t>in spectrum licences: as a licence condition</w:t>
      </w:r>
      <w:r w:rsidR="00301E35">
        <w:t>,</w:t>
      </w:r>
      <w:r>
        <w:t xml:space="preserve"> or as part of a renewal statement </w:t>
      </w:r>
      <w:r w:rsidR="008473B4">
        <w:t xml:space="preserve">specifying that the condition must be </w:t>
      </w:r>
      <w:r w:rsidR="00EA4708">
        <w:t xml:space="preserve">achieved for </w:t>
      </w:r>
      <w:r>
        <w:t xml:space="preserve">the ACMA </w:t>
      </w:r>
      <w:r w:rsidR="00EA4708">
        <w:t xml:space="preserve">to </w:t>
      </w:r>
      <w:r>
        <w:t>consider whether to renew the licence.</w:t>
      </w:r>
      <w:r>
        <w:rPr>
          <w:rStyle w:val="FootnoteReference"/>
        </w:rPr>
        <w:footnoteReference w:id="23"/>
      </w:r>
      <w:r w:rsidR="002D259F">
        <w:t xml:space="preserve"> The</w:t>
      </w:r>
      <w:r w:rsidR="009D023B">
        <w:t>se</w:t>
      </w:r>
      <w:r w:rsidR="002D259F">
        <w:t xml:space="preserve"> </w:t>
      </w:r>
      <w:r w:rsidR="0027132C">
        <w:t xml:space="preserve">2 </w:t>
      </w:r>
      <w:r w:rsidR="002D259F">
        <w:t xml:space="preserve">options would generally provide that </w:t>
      </w:r>
      <w:r w:rsidR="003D4BFF">
        <w:t>a</w:t>
      </w:r>
      <w:r>
        <w:t xml:space="preserve">ssessing </w:t>
      </w:r>
      <w:r w:rsidR="003A7B42">
        <w:t xml:space="preserve">a licensee’s </w:t>
      </w:r>
      <w:r>
        <w:t xml:space="preserve">compliance with a </w:t>
      </w:r>
      <w:r w:rsidR="003A7B42">
        <w:t>rollout obligation or a UIOLI</w:t>
      </w:r>
      <w:r w:rsidR="009D023B">
        <w:t xml:space="preserve"> condition</w:t>
      </w:r>
      <w:r w:rsidR="00982C96">
        <w:t xml:space="preserve">, </w:t>
      </w:r>
      <w:r>
        <w:t>and any resulting compliance action, could take place either during the licence</w:t>
      </w:r>
      <w:r w:rsidR="002242F5">
        <w:t xml:space="preserve"> term</w:t>
      </w:r>
      <w:r>
        <w:t xml:space="preserve"> or </w:t>
      </w:r>
      <w:r w:rsidR="009D023B">
        <w:t>at the point of renewal</w:t>
      </w:r>
      <w:r>
        <w:t xml:space="preserve">. </w:t>
      </w:r>
    </w:p>
    <w:p w14:paraId="3A007709" w14:textId="332733D9" w:rsidR="0011344C" w:rsidRDefault="0011344C" w:rsidP="00305954">
      <w:pPr>
        <w:pStyle w:val="Heading4"/>
      </w:pPr>
      <w:r>
        <w:t>Enforcing licence conditions</w:t>
      </w:r>
      <w:r w:rsidR="00214802">
        <w:t xml:space="preserve"> – </w:t>
      </w:r>
      <w:r w:rsidR="00C118AE">
        <w:t>licence cancellation</w:t>
      </w:r>
    </w:p>
    <w:p w14:paraId="407823FE" w14:textId="1E81449C" w:rsidR="00D57398" w:rsidRDefault="00D57398" w:rsidP="00D57398">
      <w:pPr>
        <w:pStyle w:val="Paragraph"/>
      </w:pPr>
      <w:r>
        <w:t xml:space="preserve">If compliance action is taken against a licensee for contravening a licence condition during the term of the licence, </w:t>
      </w:r>
      <w:r w:rsidR="00C66F00">
        <w:t xml:space="preserve">one of the </w:t>
      </w:r>
      <w:r>
        <w:t>ACMA’s compliance option</w:t>
      </w:r>
      <w:r w:rsidR="00046E21">
        <w:t>s</w:t>
      </w:r>
      <w:r>
        <w:t xml:space="preserve"> would be to cancel the licence.</w:t>
      </w:r>
      <w:r w:rsidR="001D1314">
        <w:rPr>
          <w:rStyle w:val="FootnoteReference"/>
        </w:rPr>
        <w:footnoteReference w:id="24"/>
      </w:r>
      <w:r>
        <w:t xml:space="preserve"> When cancelling a </w:t>
      </w:r>
      <w:r w:rsidR="00A45E41">
        <w:t xml:space="preserve">spectrum </w:t>
      </w:r>
      <w:r>
        <w:t xml:space="preserve">licence, </w:t>
      </w:r>
      <w:r w:rsidR="00A45E41">
        <w:t xml:space="preserve">we </w:t>
      </w:r>
      <w:r>
        <w:t>may only cancel the licence in its entirety</w:t>
      </w:r>
      <w:r w:rsidR="00A45E41">
        <w:t>;</w:t>
      </w:r>
      <w:r>
        <w:t xml:space="preserve"> we cannot cancel part of a licence. </w:t>
      </w:r>
    </w:p>
    <w:p w14:paraId="5C099E7D" w14:textId="0B4A10FB" w:rsidR="00D57398" w:rsidRDefault="00CA10D1" w:rsidP="00D57398">
      <w:pPr>
        <w:pStyle w:val="Paragraph"/>
      </w:pPr>
      <w:r>
        <w:t>The</w:t>
      </w:r>
      <w:r w:rsidR="000C4B39">
        <w:t xml:space="preserve"> </w:t>
      </w:r>
      <w:r w:rsidR="00D57398">
        <w:t xml:space="preserve">cancellation </w:t>
      </w:r>
      <w:r w:rsidR="005217A4">
        <w:t xml:space="preserve">of an entire spectrum licence </w:t>
      </w:r>
      <w:r w:rsidR="00132C77">
        <w:t>would</w:t>
      </w:r>
      <w:r w:rsidR="003A0CA8">
        <w:t xml:space="preserve"> not</w:t>
      </w:r>
      <w:r w:rsidR="00132C77">
        <w:t xml:space="preserve">, in many cases, </w:t>
      </w:r>
      <w:r w:rsidR="009659C0">
        <w:t xml:space="preserve">be </w:t>
      </w:r>
      <w:r w:rsidR="00D57398">
        <w:t xml:space="preserve">a suitable mechanism </w:t>
      </w:r>
      <w:r w:rsidR="0062343D">
        <w:t xml:space="preserve">for enforcing </w:t>
      </w:r>
      <w:r w:rsidR="00D57398">
        <w:t xml:space="preserve">rollout obligations or UIOLI </w:t>
      </w:r>
      <w:r w:rsidR="0062343D">
        <w:t xml:space="preserve">conditions. </w:t>
      </w:r>
      <w:r w:rsidR="00B47007">
        <w:t>Cancellation of a spectrum l</w:t>
      </w:r>
      <w:r w:rsidR="00EB6144" w:rsidRPr="00EB6144">
        <w:t>icence</w:t>
      </w:r>
      <w:r w:rsidR="00EB6144" w:rsidRPr="00EB6144" w:rsidDel="00B47007">
        <w:t xml:space="preserve"> </w:t>
      </w:r>
      <w:r w:rsidR="00EB6144" w:rsidRPr="00EB6144">
        <w:t>is a blunt instrument</w:t>
      </w:r>
      <w:r w:rsidR="0027132C">
        <w:t>,</w:t>
      </w:r>
      <w:r w:rsidR="00EB6144" w:rsidRPr="00EB6144">
        <w:t xml:space="preserve"> which would not provide the ACMA with the discretion to cancel </w:t>
      </w:r>
      <w:proofErr w:type="gramStart"/>
      <w:r w:rsidR="00EB6144" w:rsidRPr="00EB6144">
        <w:t>particular geographic</w:t>
      </w:r>
      <w:proofErr w:type="gramEnd"/>
      <w:r w:rsidR="00EB6144" w:rsidRPr="00EB6144">
        <w:t xml:space="preserve"> areas </w:t>
      </w:r>
      <w:r w:rsidR="00A20BE0">
        <w:t xml:space="preserve">contained within a licence </w:t>
      </w:r>
      <w:r w:rsidR="00EB6144" w:rsidRPr="00EB6144">
        <w:t>in scenarios where a licensee ha</w:t>
      </w:r>
      <w:r w:rsidR="0033587E">
        <w:t>d</w:t>
      </w:r>
      <w:r w:rsidR="00EB6144" w:rsidRPr="00EB6144">
        <w:t xml:space="preserve"> met </w:t>
      </w:r>
      <w:r w:rsidR="009D7BD3">
        <w:t xml:space="preserve">rollout obligations or </w:t>
      </w:r>
      <w:r w:rsidR="00811986">
        <w:t xml:space="preserve">UIOLI conditions </w:t>
      </w:r>
      <w:r w:rsidR="00CB351D">
        <w:t xml:space="preserve">in </w:t>
      </w:r>
      <w:r w:rsidR="00EB6144" w:rsidRPr="00EB6144">
        <w:t xml:space="preserve">some areas, but not </w:t>
      </w:r>
      <w:r w:rsidR="00D57398">
        <w:t>others</w:t>
      </w:r>
      <w:r w:rsidR="00236522">
        <w:t xml:space="preserve">. </w:t>
      </w:r>
      <w:r w:rsidR="00233FF0">
        <w:t xml:space="preserve">This would especially be the case </w:t>
      </w:r>
      <w:r w:rsidR="000C0A67">
        <w:t xml:space="preserve">in </w:t>
      </w:r>
      <w:r w:rsidR="00236522">
        <w:t>scenarios where a rollout obligation or UIOLI condition applies to speci</w:t>
      </w:r>
      <w:r w:rsidR="005B587D">
        <w:t xml:space="preserve">fic </w:t>
      </w:r>
      <w:r w:rsidR="00D57398">
        <w:t xml:space="preserve">geographic areas </w:t>
      </w:r>
      <w:r w:rsidR="006A159B">
        <w:t xml:space="preserve">contained within a licence, </w:t>
      </w:r>
      <w:r w:rsidR="00FD350F">
        <w:t>rather than the entire geographic footprint of the licence</w:t>
      </w:r>
      <w:r w:rsidR="00D57398">
        <w:t xml:space="preserve">. </w:t>
      </w:r>
    </w:p>
    <w:p w14:paraId="3840068F" w14:textId="4EE2D98E" w:rsidR="00844911" w:rsidRDefault="00B77DB3" w:rsidP="00305954">
      <w:pPr>
        <w:pStyle w:val="Heading4"/>
      </w:pPr>
      <w:r>
        <w:t>Enforcing licence conditions</w:t>
      </w:r>
      <w:r w:rsidR="005F5363">
        <w:t xml:space="preserve"> and renewal statements</w:t>
      </w:r>
      <w:r w:rsidR="00214802">
        <w:t xml:space="preserve"> – </w:t>
      </w:r>
      <w:r>
        <w:t>renewal decision-making</w:t>
      </w:r>
    </w:p>
    <w:p w14:paraId="1C78F3C9" w14:textId="53AEFAA9" w:rsidR="009D2185" w:rsidRDefault="009D2185" w:rsidP="00D57398">
      <w:pPr>
        <w:pStyle w:val="Paragraph"/>
      </w:pPr>
      <w:r>
        <w:t>Contravention of a licence condition could also be considered at licence expiry</w:t>
      </w:r>
      <w:r w:rsidR="00A77F02">
        <w:t xml:space="preserve">, at which point the ACMA would decide </w:t>
      </w:r>
      <w:r>
        <w:t>whether to renew the licence. In</w:t>
      </w:r>
      <w:r w:rsidDel="00214802">
        <w:t xml:space="preserve"> </w:t>
      </w:r>
      <w:r w:rsidR="00214802">
        <w:t xml:space="preserve">these </w:t>
      </w:r>
      <w:r>
        <w:t>scenarios, we would consider the extent to which a licensee had or had not achieved the intended outcome, and subsequently renew,</w:t>
      </w:r>
      <w:r w:rsidR="00E12931">
        <w:t xml:space="preserve"> or</w:t>
      </w:r>
      <w:r>
        <w:t xml:space="preserve"> refuse to renew the licence. We could also partially renew the licence</w:t>
      </w:r>
      <w:r w:rsidR="00A9653D">
        <w:t xml:space="preserve"> s</w:t>
      </w:r>
      <w:r>
        <w:t xml:space="preserve">o that a new licence </w:t>
      </w:r>
      <w:r w:rsidR="00214802">
        <w:t>excludes</w:t>
      </w:r>
      <w:r>
        <w:t xml:space="preserve"> the areas in which the licensee failed to provide a service.</w:t>
      </w:r>
      <w:r>
        <w:rPr>
          <w:rStyle w:val="FootnoteReference"/>
        </w:rPr>
        <w:footnoteReference w:id="25"/>
      </w:r>
    </w:p>
    <w:p w14:paraId="260E9238" w14:textId="41E5F71A" w:rsidR="00F761AD" w:rsidRDefault="00F761AD" w:rsidP="00D57398">
      <w:pPr>
        <w:pStyle w:val="Paragraph"/>
      </w:pPr>
      <w:r>
        <w:t xml:space="preserve">Alternatively, rollout obligations and UIOLI conditions could </w:t>
      </w:r>
      <w:r w:rsidDel="00214802">
        <w:t xml:space="preserve">be </w:t>
      </w:r>
      <w:r w:rsidR="00213518">
        <w:t>made part of</w:t>
      </w:r>
      <w:r>
        <w:t xml:space="preserve"> renewal statement</w:t>
      </w:r>
      <w:r w:rsidR="00213518">
        <w:t>s</w:t>
      </w:r>
      <w:r>
        <w:t xml:space="preserve"> that require specified circumstances be met</w:t>
      </w:r>
      <w:r w:rsidR="00131179">
        <w:t>,</w:t>
      </w:r>
      <w:r>
        <w:t xml:space="preserve"> with compliance </w:t>
      </w:r>
      <w:r w:rsidR="00A93189">
        <w:t xml:space="preserve">taken into consideration at </w:t>
      </w:r>
      <w:r>
        <w:t>licence expiry</w:t>
      </w:r>
      <w:r w:rsidR="00690B46">
        <w:t xml:space="preserve">, </w:t>
      </w:r>
      <w:r w:rsidR="00C94B7C">
        <w:t>where we would</w:t>
      </w:r>
      <w:r>
        <w:t xml:space="preserve"> decid</w:t>
      </w:r>
      <w:r w:rsidR="00C94B7C">
        <w:t xml:space="preserve">e </w:t>
      </w:r>
      <w:r>
        <w:t>whether to renew the licence.</w:t>
      </w:r>
    </w:p>
    <w:p w14:paraId="3CEACC2D" w14:textId="500EBEBB" w:rsidR="00BE1F4B" w:rsidRDefault="00B579CE" w:rsidP="00D57398">
      <w:pPr>
        <w:pStyle w:val="Paragraph"/>
      </w:pPr>
      <w:r>
        <w:t>R</w:t>
      </w:r>
      <w:r w:rsidR="00B9484B">
        <w:t xml:space="preserve">elying on </w:t>
      </w:r>
      <w:r w:rsidR="00DF3E1F">
        <w:t>renewal statement</w:t>
      </w:r>
      <w:r w:rsidR="002B33E4">
        <w:t>s</w:t>
      </w:r>
      <w:r w:rsidR="00D6202A">
        <w:t xml:space="preserve"> or licence conditions</w:t>
      </w:r>
      <w:r w:rsidR="00DF3E1F">
        <w:t xml:space="preserve"> and </w:t>
      </w:r>
      <w:r w:rsidR="008D1703">
        <w:t xml:space="preserve">consideration of outcomes achieved at </w:t>
      </w:r>
      <w:r w:rsidR="00B9484B">
        <w:t xml:space="preserve">licence expiration </w:t>
      </w:r>
      <w:r w:rsidR="00D47999">
        <w:t>would</w:t>
      </w:r>
      <w:r w:rsidR="003A715C">
        <w:t xml:space="preserve"> </w:t>
      </w:r>
      <w:r w:rsidR="00812048">
        <w:t xml:space="preserve">require that the duration of spectrum licences be </w:t>
      </w:r>
      <w:r w:rsidR="002E5B4C">
        <w:lastRenderedPageBreak/>
        <w:t>abbreviated</w:t>
      </w:r>
      <w:r w:rsidR="00EB39E4">
        <w:t xml:space="preserve"> compared to maximum duration allowed under the Act</w:t>
      </w:r>
      <w:r w:rsidR="00991803">
        <w:t xml:space="preserve"> to align with </w:t>
      </w:r>
      <w:r w:rsidR="00BE1F4B">
        <w:t>any timeframes in which outcomes are sought</w:t>
      </w:r>
      <w:r w:rsidR="008E1979">
        <w:t>.</w:t>
      </w:r>
      <w:r w:rsidR="002E5B4C">
        <w:t xml:space="preserve"> </w:t>
      </w:r>
    </w:p>
    <w:p w14:paraId="5BB41238" w14:textId="3733C39B" w:rsidR="00D57398" w:rsidRDefault="00F05417" w:rsidP="00D57398">
      <w:pPr>
        <w:pStyle w:val="Paragraph"/>
      </w:pPr>
      <w:r>
        <w:t xml:space="preserve">The </w:t>
      </w:r>
      <w:r w:rsidR="00B05EC1">
        <w:t xml:space="preserve">ACMA would not be able to intervene </w:t>
      </w:r>
      <w:r w:rsidR="004422B8">
        <w:t>during the term of</w:t>
      </w:r>
      <w:r w:rsidR="002476ED">
        <w:t xml:space="preserve"> a</w:t>
      </w:r>
      <w:r w:rsidR="004422B8">
        <w:t xml:space="preserve"> licence</w:t>
      </w:r>
      <w:r w:rsidR="007F299C">
        <w:t xml:space="preserve"> (other than to cancel a licence)</w:t>
      </w:r>
      <w:r w:rsidR="004422B8">
        <w:t xml:space="preserve"> with a duration </w:t>
      </w:r>
      <w:r w:rsidR="00DF3E1F">
        <w:t>of, for example, 15 or 20 year</w:t>
      </w:r>
      <w:r w:rsidR="00207995">
        <w:t xml:space="preserve">s, which </w:t>
      </w:r>
      <w:r w:rsidR="00C44EC1">
        <w:t xml:space="preserve">is a significant period over which a licensee may not have achieved the </w:t>
      </w:r>
      <w:r w:rsidR="00430560">
        <w:t>intended outcome</w:t>
      </w:r>
      <w:r w:rsidR="00C44EC1">
        <w:t xml:space="preserve">. </w:t>
      </w:r>
      <w:r w:rsidR="008E1979">
        <w:t>I</w:t>
      </w:r>
      <w:r w:rsidR="00D57398">
        <w:t xml:space="preserve">n order to </w:t>
      </w:r>
      <w:r w:rsidR="00C44EC1">
        <w:t xml:space="preserve">be able to intervene </w:t>
      </w:r>
      <w:r w:rsidR="00D57398">
        <w:t xml:space="preserve">in the short- to medium-term, such as where a licensee is required to provide a service within 5 years, the duration of the licence would need to be </w:t>
      </w:r>
      <w:r w:rsidR="00A66308">
        <w:t xml:space="preserve">shortened </w:t>
      </w:r>
      <w:r w:rsidR="00D57398">
        <w:t xml:space="preserve">so that </w:t>
      </w:r>
      <w:r w:rsidR="003C305B">
        <w:t xml:space="preserve">a decision on </w:t>
      </w:r>
      <w:r w:rsidR="00D57398">
        <w:t xml:space="preserve">renewal </w:t>
      </w:r>
      <w:r w:rsidR="003C305B">
        <w:t xml:space="preserve">could </w:t>
      </w:r>
      <w:r w:rsidR="008F79AD">
        <w:t>be made in a timely and effective manner</w:t>
      </w:r>
      <w:r w:rsidR="00F35ECC">
        <w:t xml:space="preserve"> consistent with the relevant policy objectives. </w:t>
      </w:r>
    </w:p>
    <w:p w14:paraId="79DF16E8" w14:textId="44C8D1D4" w:rsidR="00D57398" w:rsidRDefault="00330BFA" w:rsidP="00D4592A">
      <w:pPr>
        <w:pStyle w:val="Paragraph"/>
      </w:pPr>
      <w:r>
        <w:t xml:space="preserve">Renewal statements </w:t>
      </w:r>
      <w:r w:rsidR="0027132C">
        <w:t>that require the</w:t>
      </w:r>
      <w:r>
        <w:t xml:space="preserve"> satisfaction of </w:t>
      </w:r>
      <w:r w:rsidR="00CB058D">
        <w:t xml:space="preserve">specified circumstances </w:t>
      </w:r>
      <w:r w:rsidR="00B56B70">
        <w:t>may</w:t>
      </w:r>
      <w:r w:rsidR="00A362A8">
        <w:t xml:space="preserve"> not in all cases </w:t>
      </w:r>
      <w:r w:rsidR="00FB2C4D">
        <w:t>result in outcomes that promote efficient use of spectrum or the long-term public interest, as failure to meet the requirement may ultimately fetter the ACMA’s</w:t>
      </w:r>
      <w:r w:rsidR="001C309E">
        <w:t xml:space="preserve"> overall d</w:t>
      </w:r>
      <w:r w:rsidR="000E129C">
        <w:t>iscretion.</w:t>
      </w:r>
      <w:r w:rsidR="00D57398">
        <w:t xml:space="preserve"> The ACMA must include renewal statements in all </w:t>
      </w:r>
      <w:r w:rsidR="0066714F">
        <w:t xml:space="preserve">newly issued </w:t>
      </w:r>
      <w:r w:rsidR="00D57398">
        <w:t>spectrum licences</w:t>
      </w:r>
      <w:r w:rsidR="00816A3C">
        <w:t>, including those that may be issued as a result of this ESL process</w:t>
      </w:r>
      <w:r w:rsidR="00D57398">
        <w:t xml:space="preserve">. These statements identify whether the licence may be renewed at the discretion of the ACMA and </w:t>
      </w:r>
      <w:r w:rsidR="0027132C">
        <w:t xml:space="preserve">if </w:t>
      </w:r>
      <w:r w:rsidR="00D57398">
        <w:t xml:space="preserve">any specified circumstances must be met before the ACMA </w:t>
      </w:r>
      <w:r w:rsidR="000E129C">
        <w:t>can</w:t>
      </w:r>
      <w:r w:rsidR="00AE10E6">
        <w:t xml:space="preserve"> decide</w:t>
      </w:r>
      <w:r w:rsidR="00D57398">
        <w:t xml:space="preserve"> whether to renew the licence. We could</w:t>
      </w:r>
      <w:r w:rsidR="0027132C">
        <w:t>,</w:t>
      </w:r>
      <w:r w:rsidR="00D57398">
        <w:t xml:space="preserve"> therefore</w:t>
      </w:r>
      <w:r w:rsidR="0027132C">
        <w:t>,</w:t>
      </w:r>
      <w:r w:rsidR="00D57398">
        <w:t xml:space="preserve"> specify </w:t>
      </w:r>
      <w:r w:rsidR="00177690">
        <w:t xml:space="preserve">achievement of </w:t>
      </w:r>
      <w:r w:rsidR="00D57398">
        <w:t xml:space="preserve">a UIOLI </w:t>
      </w:r>
      <w:r w:rsidR="00D4756D">
        <w:t xml:space="preserve">condition </w:t>
      </w:r>
      <w:r w:rsidR="00D57398">
        <w:t xml:space="preserve">or rollout obligation </w:t>
      </w:r>
      <w:r w:rsidR="00D4756D">
        <w:t xml:space="preserve">as </w:t>
      </w:r>
      <w:r w:rsidR="00177690">
        <w:t xml:space="preserve">a </w:t>
      </w:r>
      <w:r w:rsidR="00D57398">
        <w:t xml:space="preserve">circumstance that must be met before the ACMA would consider whether to renew the licence. However, </w:t>
      </w:r>
      <w:r w:rsidR="00245C4E">
        <w:t xml:space="preserve">failure on the part of </w:t>
      </w:r>
      <w:r w:rsidR="00D57398">
        <w:t>the licensee to fully meet the circumstances specified in the licence</w:t>
      </w:r>
      <w:r w:rsidR="00152CE9">
        <w:t xml:space="preserve"> </w:t>
      </w:r>
      <w:r w:rsidR="00D57398">
        <w:t xml:space="preserve">would </w:t>
      </w:r>
      <w:r w:rsidR="00152CE9">
        <w:t xml:space="preserve">preclude the ACMA from </w:t>
      </w:r>
      <w:r w:rsidR="00D57398">
        <w:t>consider</w:t>
      </w:r>
      <w:r w:rsidR="00152CE9">
        <w:t xml:space="preserve">ing </w:t>
      </w:r>
      <w:r w:rsidR="1EF57568">
        <w:t>renew</w:t>
      </w:r>
      <w:r w:rsidR="5786380A">
        <w:t>ing</w:t>
      </w:r>
      <w:r w:rsidR="00D57398">
        <w:t xml:space="preserve"> </w:t>
      </w:r>
      <w:r w:rsidR="00177690">
        <w:t>the licence</w:t>
      </w:r>
      <w:r w:rsidR="007D73ED">
        <w:t xml:space="preserve">, </w:t>
      </w:r>
      <w:r w:rsidR="00D57398">
        <w:t>regardless of whether the</w:t>
      </w:r>
      <w:r w:rsidR="00177690">
        <w:t xml:space="preserve"> licensee </w:t>
      </w:r>
      <w:r w:rsidR="00D57398">
        <w:t xml:space="preserve">had </w:t>
      </w:r>
      <w:r w:rsidR="00501045">
        <w:t xml:space="preserve">mostly </w:t>
      </w:r>
      <w:r w:rsidR="00D57398">
        <w:t xml:space="preserve">met the </w:t>
      </w:r>
      <w:proofErr w:type="gramStart"/>
      <w:r w:rsidR="00D57398">
        <w:t>requirements</w:t>
      </w:r>
      <w:r w:rsidR="00501045">
        <w:t>,</w:t>
      </w:r>
      <w:r w:rsidR="00D57398">
        <w:t xml:space="preserve"> </w:t>
      </w:r>
      <w:r w:rsidR="00501045">
        <w:t>and</w:t>
      </w:r>
      <w:proofErr w:type="gramEnd"/>
      <w:r w:rsidR="00501045">
        <w:t xml:space="preserve"> may not reflect the public benefits associated with the licensees overall use</w:t>
      </w:r>
      <w:r w:rsidR="00D57398" w:rsidDel="00501045">
        <w:t xml:space="preserve"> </w:t>
      </w:r>
      <w:r w:rsidR="00D57398">
        <w:t>the licence to facilitate other services.</w:t>
      </w:r>
    </w:p>
    <w:p w14:paraId="06009FFF" w14:textId="29DD31FB" w:rsidR="00AF4856" w:rsidRDefault="00AF4856" w:rsidP="00AF4856">
      <w:pPr>
        <w:pStyle w:val="Heading4"/>
      </w:pPr>
      <w:r>
        <w:t>Enforcing licence conditions</w:t>
      </w:r>
      <w:r w:rsidR="00214802">
        <w:t xml:space="preserve"> – </w:t>
      </w:r>
      <w:r>
        <w:t>civil penalties and enforceable undertakings</w:t>
      </w:r>
    </w:p>
    <w:p w14:paraId="020B3DF2" w14:textId="513A3464" w:rsidR="0072139B" w:rsidRDefault="000A39FB" w:rsidP="00AF4856">
      <w:pPr>
        <w:pStyle w:val="Paragraph"/>
      </w:pPr>
      <w:r>
        <w:t>I</w:t>
      </w:r>
      <w:r w:rsidR="00AF4856">
        <w:t xml:space="preserve">t may also be possible to construct a licence condition so that </w:t>
      </w:r>
      <w:r w:rsidR="006F3C35">
        <w:t>contraventions</w:t>
      </w:r>
      <w:r w:rsidR="00AF4856">
        <w:t xml:space="preserve"> of the condition could </w:t>
      </w:r>
      <w:r w:rsidR="00603CCF">
        <w:t xml:space="preserve">make </w:t>
      </w:r>
      <w:r w:rsidR="00FE6CF9">
        <w:t>other</w:t>
      </w:r>
      <w:r w:rsidR="00603CCF">
        <w:t xml:space="preserve"> </w:t>
      </w:r>
      <w:r w:rsidR="00AF4856">
        <w:t>compliance options</w:t>
      </w:r>
      <w:r w:rsidR="00FE6CF9">
        <w:t xml:space="preserve"> available</w:t>
      </w:r>
      <w:r w:rsidR="004C5E14">
        <w:t>,</w:t>
      </w:r>
      <w:r w:rsidR="00AF4856">
        <w:t xml:space="preserve"> such as </w:t>
      </w:r>
      <w:r w:rsidR="009E6A55">
        <w:t>civil penalties</w:t>
      </w:r>
      <w:r w:rsidR="00AF4856">
        <w:t>, remedial directions and enforceable undertakings.</w:t>
      </w:r>
      <w:r w:rsidR="00AF4856">
        <w:rPr>
          <w:rStyle w:val="FootnoteReference"/>
        </w:rPr>
        <w:footnoteReference w:id="26"/>
      </w:r>
      <w:r w:rsidR="00AF4856">
        <w:t xml:space="preserve"> </w:t>
      </w:r>
      <w:r w:rsidR="009E13C0">
        <w:t xml:space="preserve">Compared to </w:t>
      </w:r>
      <w:r w:rsidR="000E5AF1">
        <w:t xml:space="preserve">licence cancellation or non-renewal, </w:t>
      </w:r>
      <w:r w:rsidR="00794497">
        <w:t xml:space="preserve">these compliance options offer a graduated approach to </w:t>
      </w:r>
      <w:r w:rsidR="000560AA">
        <w:t>enforcement</w:t>
      </w:r>
      <w:r w:rsidR="000E5AF1">
        <w:t>, and one</w:t>
      </w:r>
      <w:r w:rsidR="00264F98">
        <w:t xml:space="preserve"> </w:t>
      </w:r>
      <w:r w:rsidR="00BD3362">
        <w:t xml:space="preserve">that could </w:t>
      </w:r>
      <w:r w:rsidR="002762E6">
        <w:t>preserve</w:t>
      </w:r>
      <w:r w:rsidR="0000040A">
        <w:t xml:space="preserve"> a licensee’s ability to continue to </w:t>
      </w:r>
      <w:r w:rsidR="000E5AF1">
        <w:t xml:space="preserve">provide </w:t>
      </w:r>
      <w:r w:rsidR="0000040A">
        <w:t>a service</w:t>
      </w:r>
      <w:r w:rsidR="00FD630A">
        <w:t>,</w:t>
      </w:r>
      <w:r w:rsidR="00D547CB">
        <w:t xml:space="preserve"> while still imposing </w:t>
      </w:r>
      <w:r w:rsidR="004B366B">
        <w:t>some form of sanction</w:t>
      </w:r>
      <w:r w:rsidR="00681338">
        <w:t xml:space="preserve">. </w:t>
      </w:r>
      <w:r w:rsidR="00FD630A">
        <w:t>These compliance options</w:t>
      </w:r>
      <w:r w:rsidR="00681338">
        <w:t xml:space="preserve"> </w:t>
      </w:r>
      <w:r w:rsidR="00FD630A">
        <w:t xml:space="preserve">could </w:t>
      </w:r>
      <w:r w:rsidR="00681338">
        <w:t>also be enforced during</w:t>
      </w:r>
      <w:r w:rsidR="000F45AA">
        <w:t xml:space="preserve"> the </w:t>
      </w:r>
      <w:r w:rsidR="00681338">
        <w:t>term of the licence</w:t>
      </w:r>
      <w:r w:rsidR="000560AA">
        <w:t>,</w:t>
      </w:r>
      <w:r w:rsidR="00E25B77">
        <w:t xml:space="preserve"> </w:t>
      </w:r>
      <w:r w:rsidR="00445E3D">
        <w:t xml:space="preserve">meaning that </w:t>
      </w:r>
      <w:r w:rsidR="00703018">
        <w:t xml:space="preserve">we may not need to rely on </w:t>
      </w:r>
      <w:r w:rsidR="00445E3D">
        <w:t xml:space="preserve">shorter licence durations </w:t>
      </w:r>
      <w:r w:rsidR="001A3E03">
        <w:t>to facilitate assessment of compliance</w:t>
      </w:r>
      <w:r w:rsidR="00551DF1">
        <w:t xml:space="preserve">. </w:t>
      </w:r>
    </w:p>
    <w:p w14:paraId="43AB742B" w14:textId="3D46DB5A" w:rsidR="00710EB8" w:rsidRDefault="00FE549F" w:rsidP="00710EB8">
      <w:pPr>
        <w:pStyle w:val="Paragraph"/>
      </w:pPr>
      <w:r>
        <w:t xml:space="preserve">By </w:t>
      </w:r>
      <w:r w:rsidR="00710EB8">
        <w:t xml:space="preserve">providing a graduated approach to compliance </w:t>
      </w:r>
      <w:r w:rsidR="00551DF1">
        <w:t>and enforcement</w:t>
      </w:r>
      <w:r w:rsidR="00710EB8">
        <w:t>,</w:t>
      </w:r>
      <w:r w:rsidR="00166A86">
        <w:t xml:space="preserve"> </w:t>
      </w:r>
      <w:r>
        <w:t xml:space="preserve">these compliance options </w:t>
      </w:r>
      <w:r w:rsidR="00166A86">
        <w:t>could</w:t>
      </w:r>
      <w:r w:rsidR="00664A30">
        <w:t xml:space="preserve"> </w:t>
      </w:r>
      <w:r w:rsidR="00F42271">
        <w:t xml:space="preserve">support implementation of </w:t>
      </w:r>
      <w:r w:rsidR="00C6743B">
        <w:t>an effective rollout obligation regime under the spectrum</w:t>
      </w:r>
      <w:r w:rsidR="00E626C5">
        <w:t xml:space="preserve"> </w:t>
      </w:r>
      <w:r w:rsidR="00C6743B">
        <w:t>licensing framework</w:t>
      </w:r>
      <w:r w:rsidR="00710EB8">
        <w:t xml:space="preserve">. For example, </w:t>
      </w:r>
      <w:r w:rsidR="00214802">
        <w:t>if</w:t>
      </w:r>
      <w:r w:rsidR="00703C32">
        <w:t xml:space="preserve"> a licensee had not met the terms of its rollout obligation within the specified timeframe, </w:t>
      </w:r>
      <w:r w:rsidR="00710EB8">
        <w:t>an enforceable undertaking could be made where a licensee agrees to taking steps to meet the requirements of the rollout obligation.</w:t>
      </w:r>
      <w:r w:rsidR="004A1887">
        <w:t xml:space="preserve"> </w:t>
      </w:r>
      <w:r w:rsidR="00447AE7">
        <w:t xml:space="preserve">Compared to </w:t>
      </w:r>
      <w:r w:rsidR="00085A85">
        <w:t>moving straight</w:t>
      </w:r>
      <w:r w:rsidR="00447AE7">
        <w:t xml:space="preserve"> to cancellation</w:t>
      </w:r>
      <w:r w:rsidR="00214802">
        <w:t xml:space="preserve">, </w:t>
      </w:r>
      <w:r w:rsidR="0097566D">
        <w:t>refusal or partial renewal</w:t>
      </w:r>
      <w:r w:rsidR="00447AE7">
        <w:t>, this would preserve the licensee’s ability to meet the requirements in the future</w:t>
      </w:r>
      <w:r w:rsidR="00455338">
        <w:t xml:space="preserve"> and provide an opportunity to re-evaluate </w:t>
      </w:r>
      <w:r w:rsidR="00085A85">
        <w:t>issues that may have prevented the licensee from complying with a condition</w:t>
      </w:r>
      <w:r w:rsidR="00447AE7">
        <w:t xml:space="preserve">. </w:t>
      </w:r>
      <w:r w:rsidR="0037586C">
        <w:t xml:space="preserve">This may better achieve </w:t>
      </w:r>
      <w:r w:rsidR="00115F03">
        <w:t xml:space="preserve">objectives in the long-term, </w:t>
      </w:r>
      <w:r w:rsidR="00214802">
        <w:t>while</w:t>
      </w:r>
      <w:r w:rsidR="00115F03">
        <w:t xml:space="preserve"> </w:t>
      </w:r>
      <w:r w:rsidR="008C44FD">
        <w:t>manag</w:t>
      </w:r>
      <w:r w:rsidR="00214802">
        <w:t>ing</w:t>
      </w:r>
      <w:r w:rsidR="00933087">
        <w:t xml:space="preserve"> outcomes that may not be in </w:t>
      </w:r>
      <w:r w:rsidR="00E542DB">
        <w:t xml:space="preserve">the long-term public interest, such as </w:t>
      </w:r>
      <w:r w:rsidR="00214802">
        <w:t>when</w:t>
      </w:r>
      <w:r w:rsidR="00E542DB">
        <w:t xml:space="preserve"> a licence is cancelled </w:t>
      </w:r>
      <w:r w:rsidR="002D714B">
        <w:t xml:space="preserve">affecting services provided by the licensee in other areas. </w:t>
      </w:r>
    </w:p>
    <w:p w14:paraId="15F32E55" w14:textId="029B13EF" w:rsidR="00710EB8" w:rsidRDefault="00710EB8" w:rsidP="00AF4856">
      <w:pPr>
        <w:pStyle w:val="Paragraph"/>
      </w:pPr>
      <w:r>
        <w:t>However,</w:t>
      </w:r>
      <w:r w:rsidR="002D714B">
        <w:t xml:space="preserve"> even with</w:t>
      </w:r>
      <w:r>
        <w:t xml:space="preserve"> </w:t>
      </w:r>
      <w:r w:rsidR="00110645">
        <w:t xml:space="preserve">more graduated enforcement tools, the </w:t>
      </w:r>
      <w:r>
        <w:t>ACMA may still need to preserve the option to revoke authorisation to use the spectrum as a</w:t>
      </w:r>
      <w:r w:rsidR="002D714B">
        <w:t>n enforcement</w:t>
      </w:r>
      <w:r>
        <w:t xml:space="preserve"> option of last resort </w:t>
      </w:r>
      <w:r w:rsidR="00214802">
        <w:t>if</w:t>
      </w:r>
      <w:r>
        <w:t xml:space="preserve"> the licensee had not or could not comply with a rollout obligation. </w:t>
      </w:r>
      <w:r w:rsidR="00214802">
        <w:lastRenderedPageBreak/>
        <w:t>D</w:t>
      </w:r>
      <w:r w:rsidR="00110645">
        <w:t xml:space="preserve">esigning arrangements </w:t>
      </w:r>
      <w:r w:rsidR="00214802">
        <w:t>that do not</w:t>
      </w:r>
      <w:r w:rsidR="00110645">
        <w:t xml:space="preserve"> preserve</w:t>
      </w:r>
      <w:r>
        <w:t xml:space="preserve"> such optionality could result in ineffective arrangements becoming ‘locked in’ for the duration of the licence</w:t>
      </w:r>
      <w:r w:rsidR="00400A1E">
        <w:t>, which could be up to 20 years</w:t>
      </w:r>
      <w:r>
        <w:t>.</w:t>
      </w:r>
      <w:r w:rsidR="00627630">
        <w:t xml:space="preserve"> </w:t>
      </w:r>
    </w:p>
    <w:p w14:paraId="264BDA67" w14:textId="51FB7135" w:rsidR="00B93F92" w:rsidRDefault="00B93F92" w:rsidP="00305954">
      <w:pPr>
        <w:pStyle w:val="Heading4"/>
      </w:pPr>
      <w:r>
        <w:t>Smaller and cheaper spectrum licences</w:t>
      </w:r>
      <w:r w:rsidR="009751DE">
        <w:t xml:space="preserve"> </w:t>
      </w:r>
      <w:r w:rsidR="00AC7864">
        <w:t>with licence conditions or renewal statements</w:t>
      </w:r>
    </w:p>
    <w:p w14:paraId="12166707" w14:textId="26DB9C34" w:rsidR="00AC7864" w:rsidRDefault="00587F07" w:rsidP="00D57398">
      <w:pPr>
        <w:pStyle w:val="Paragraph"/>
      </w:pPr>
      <w:r w:rsidRPr="00587F07">
        <w:t>A</w:t>
      </w:r>
      <w:r w:rsidR="00260C76">
        <w:t>n</w:t>
      </w:r>
      <w:r w:rsidRPr="00587F07">
        <w:t xml:space="preserve"> option to manage the risk of adverse outcomes caused by the potentially uncompromising effect</w:t>
      </w:r>
      <w:r>
        <w:t xml:space="preserve"> </w:t>
      </w:r>
      <w:r w:rsidRPr="00587F07">
        <w:t>of licence cancellation or renewal statements in this context, would be the option of</w:t>
      </w:r>
      <w:r w:rsidRPr="00587F07" w:rsidDel="0067511F">
        <w:t xml:space="preserve"> </w:t>
      </w:r>
      <w:r w:rsidRPr="00587F07">
        <w:t>disaggregating licences so that the areas to which the requirement would apply are included in a separate licence</w:t>
      </w:r>
      <w:r w:rsidR="00D57398">
        <w:t xml:space="preserve">. For example, </w:t>
      </w:r>
      <w:r w:rsidR="00BA38DF">
        <w:t xml:space="preserve">small </w:t>
      </w:r>
      <w:r w:rsidR="00155F12">
        <w:t>spectrum licences covering specified geographic areas</w:t>
      </w:r>
      <w:r w:rsidR="00BA38DF">
        <w:t>, such</w:t>
      </w:r>
      <w:r w:rsidR="00E05951">
        <w:t xml:space="preserve"> </w:t>
      </w:r>
      <w:r w:rsidR="00BA38DF">
        <w:t xml:space="preserve">as </w:t>
      </w:r>
      <w:r w:rsidR="00D57398">
        <w:t xml:space="preserve">regional </w:t>
      </w:r>
      <w:r w:rsidR="00BA38DF">
        <w:t>and remote areas</w:t>
      </w:r>
      <w:r w:rsidR="00D57398">
        <w:t xml:space="preserve">, </w:t>
      </w:r>
      <w:r w:rsidR="00A54AD6">
        <w:t xml:space="preserve">could </w:t>
      </w:r>
      <w:r w:rsidR="00D57398">
        <w:t xml:space="preserve">include </w:t>
      </w:r>
      <w:r w:rsidR="00E04B74">
        <w:t xml:space="preserve">licence conditions or renewal statements </w:t>
      </w:r>
      <w:r w:rsidR="007131B7">
        <w:t xml:space="preserve">relating to rollout obligations or </w:t>
      </w:r>
      <w:r w:rsidR="00AE712B">
        <w:t>UIOLI conditions</w:t>
      </w:r>
      <w:r w:rsidR="00D57398">
        <w:t xml:space="preserve">. </w:t>
      </w:r>
    </w:p>
    <w:p w14:paraId="377CE1E6" w14:textId="1633BFD1" w:rsidR="000005D1" w:rsidRDefault="000005D1" w:rsidP="000005D1">
      <w:pPr>
        <w:pStyle w:val="Paragraph"/>
      </w:pPr>
      <w:r>
        <w:t xml:space="preserve">Whether such smaller licences would be commercially attractive, and whether spectrum pricing arrangements could adequately compensate for what </w:t>
      </w:r>
      <w:r w:rsidR="00260C76">
        <w:t>may</w:t>
      </w:r>
      <w:r>
        <w:t xml:space="preserve"> be low returns on investment, would likely be a case-by-case consideration. Setting appropriate spectrum access charges</w:t>
      </w:r>
      <w:proofErr w:type="gramStart"/>
      <w:r w:rsidR="00260C76">
        <w:t>,</w:t>
      </w:r>
      <w:r>
        <w:t xml:space="preserve"> in particular</w:t>
      </w:r>
      <w:r w:rsidR="00260C76">
        <w:t>,</w:t>
      </w:r>
      <w:r>
        <w:t xml:space="preserve"> could</w:t>
      </w:r>
      <w:proofErr w:type="gramEnd"/>
      <w:r>
        <w:t xml:space="preserve"> incentivise meeting the </w:t>
      </w:r>
      <w:r w:rsidR="00BA39C9">
        <w:t xml:space="preserve">coverage </w:t>
      </w:r>
      <w:r>
        <w:t>requirements and free</w:t>
      </w:r>
      <w:r w:rsidR="00260C76">
        <w:t>-</w:t>
      </w:r>
      <w:r>
        <w:t>up capital to be directed towards addressing barriers to broader coverage. This could be especially effective in regional and remote areas, where coverage and connectively challenges are not related to spectrum availability</w:t>
      </w:r>
      <w:r w:rsidR="00690F36">
        <w:t>.</w:t>
      </w:r>
    </w:p>
    <w:p w14:paraId="4FB79541" w14:textId="65675F3E" w:rsidR="00B93F92" w:rsidRDefault="00B93F92" w:rsidP="00305954">
      <w:pPr>
        <w:pStyle w:val="Heading4"/>
      </w:pPr>
      <w:r>
        <w:t xml:space="preserve">Varying existing in-force </w:t>
      </w:r>
      <w:r w:rsidR="00BE1470">
        <w:t xml:space="preserve">ESLs and </w:t>
      </w:r>
      <w:r>
        <w:t xml:space="preserve">spectrum licences </w:t>
      </w:r>
      <w:r w:rsidR="00091F6F">
        <w:t>outside the scope of the ESL process</w:t>
      </w:r>
    </w:p>
    <w:p w14:paraId="1C90DD68" w14:textId="79E7EFE3" w:rsidR="00B40DF2" w:rsidRDefault="00870523" w:rsidP="00A94C3C">
      <w:pPr>
        <w:pStyle w:val="Paragraph"/>
      </w:pPr>
      <w:r>
        <w:t xml:space="preserve">In lieu of </w:t>
      </w:r>
      <w:r w:rsidR="001751D0">
        <w:t xml:space="preserve">implementing rollout </w:t>
      </w:r>
      <w:r w:rsidR="00243130">
        <w:t xml:space="preserve">obligations </w:t>
      </w:r>
      <w:r w:rsidR="001751D0">
        <w:t xml:space="preserve">and </w:t>
      </w:r>
      <w:r w:rsidR="00243130">
        <w:t xml:space="preserve">UIOLI conditions </w:t>
      </w:r>
      <w:r w:rsidR="002851C3">
        <w:t xml:space="preserve">into new </w:t>
      </w:r>
      <w:r w:rsidR="009B21F2">
        <w:t xml:space="preserve">spectrum licences issued as </w:t>
      </w:r>
      <w:r w:rsidR="008344BB">
        <w:t xml:space="preserve">part of </w:t>
      </w:r>
      <w:r w:rsidR="009B21F2">
        <w:t>the ESL process</w:t>
      </w:r>
      <w:r w:rsidR="009E7713">
        <w:t xml:space="preserve">, </w:t>
      </w:r>
      <w:r w:rsidR="009B21F2">
        <w:t xml:space="preserve">it might also be possible </w:t>
      </w:r>
      <w:r w:rsidR="009E7713">
        <w:t xml:space="preserve">for the ACMA to vary </w:t>
      </w:r>
      <w:r w:rsidR="00051B5C">
        <w:t xml:space="preserve">ESLs and other spectrum licences not subject to the ESL process, </w:t>
      </w:r>
      <w:r w:rsidR="00260C76">
        <w:t>before</w:t>
      </w:r>
      <w:r w:rsidR="00051B5C">
        <w:t xml:space="preserve"> the expiration of the licences.</w:t>
      </w:r>
    </w:p>
    <w:p w14:paraId="686CC8F8" w14:textId="3F5B22FD" w:rsidR="00A94C3C" w:rsidRDefault="00A94C3C" w:rsidP="00A94C3C">
      <w:pPr>
        <w:pStyle w:val="Paragraph"/>
      </w:pPr>
      <w:r>
        <w:t>The inclusion of alternative licence conditions in spectrum licences would rely on our ability to include conditions in spectrum licences</w:t>
      </w:r>
      <w:r w:rsidDel="00722E9C">
        <w:t xml:space="preserve"> </w:t>
      </w:r>
      <w:r>
        <w:t xml:space="preserve">other than those </w:t>
      </w:r>
      <w:r w:rsidR="007D42E6">
        <w:t xml:space="preserve">conditions </w:t>
      </w:r>
      <w:r>
        <w:t xml:space="preserve">that </w:t>
      </w:r>
      <w:r w:rsidR="00722E9C">
        <w:t xml:space="preserve">are </w:t>
      </w:r>
      <w:r>
        <w:t>prescribed by the Act.</w:t>
      </w:r>
      <w:r>
        <w:rPr>
          <w:rStyle w:val="FootnoteReference"/>
        </w:rPr>
        <w:footnoteReference w:id="27"/>
      </w:r>
      <w:r>
        <w:t xml:space="preserve"> We may vary spectrum licences to include other conditions </w:t>
      </w:r>
      <w:r w:rsidR="00280B1D">
        <w:t xml:space="preserve">(other than </w:t>
      </w:r>
      <w:r w:rsidR="00B32671">
        <w:t xml:space="preserve">core conditions) </w:t>
      </w:r>
      <w:r>
        <w:t>both with and without the agreement of the licensee.</w:t>
      </w:r>
      <w:r>
        <w:rPr>
          <w:rStyle w:val="FootnoteReference"/>
        </w:rPr>
        <w:footnoteReference w:id="28"/>
      </w:r>
      <w:r w:rsidRPr="00920824">
        <w:rPr>
          <w:rStyle w:val="FootnoteReference"/>
        </w:rPr>
        <w:t xml:space="preserve"> </w:t>
      </w:r>
    </w:p>
    <w:p w14:paraId="1E4C627C" w14:textId="77777777" w:rsidR="00A06991" w:rsidRDefault="00A94C3C" w:rsidP="00283312">
      <w:pPr>
        <w:pStyle w:val="Paragraph"/>
      </w:pPr>
      <w:r>
        <w:t xml:space="preserve">It is therefore possible that </w:t>
      </w:r>
      <w:r w:rsidR="00B11ECD">
        <w:t>we could vary a</w:t>
      </w:r>
      <w:r w:rsidR="001D5C91">
        <w:t>n in-</w:t>
      </w:r>
      <w:r w:rsidR="00EC5F3C">
        <w:t>force</w:t>
      </w:r>
      <w:r w:rsidR="00B11ECD">
        <w:t xml:space="preserve"> </w:t>
      </w:r>
      <w:r w:rsidR="00386137">
        <w:t>ESL</w:t>
      </w:r>
      <w:r w:rsidR="00E220BC">
        <w:t>,</w:t>
      </w:r>
      <w:r w:rsidR="00386137">
        <w:t xml:space="preserve"> or </w:t>
      </w:r>
      <w:r w:rsidR="00E220BC">
        <w:t xml:space="preserve">a </w:t>
      </w:r>
      <w:r w:rsidR="00B11ECD">
        <w:t xml:space="preserve">spectrum licence </w:t>
      </w:r>
      <w:r w:rsidR="006E1687">
        <w:t xml:space="preserve">not subject to the ESL process, </w:t>
      </w:r>
      <w:r w:rsidR="00EC5F3C">
        <w:t xml:space="preserve">by </w:t>
      </w:r>
      <w:r w:rsidR="00CF4E57">
        <w:t>including a</w:t>
      </w:r>
      <w:r w:rsidR="00386137">
        <w:t xml:space="preserve"> rollout obligation or a UIOLI </w:t>
      </w:r>
      <w:r>
        <w:t xml:space="preserve">condition </w:t>
      </w:r>
      <w:r w:rsidR="00386137">
        <w:t>prior to lice</w:t>
      </w:r>
      <w:r w:rsidR="002A6A3C">
        <w:t>n</w:t>
      </w:r>
      <w:r w:rsidR="00386137">
        <w:t>ce expiration</w:t>
      </w:r>
      <w:r>
        <w:t xml:space="preserve">. </w:t>
      </w:r>
    </w:p>
    <w:p w14:paraId="20268EDB" w14:textId="1EA29EC6" w:rsidR="00A94C3C" w:rsidRDefault="00F70241" w:rsidP="00283312">
      <w:pPr>
        <w:pStyle w:val="Paragraph"/>
      </w:pPr>
      <w:r>
        <w:t>As with including alternative conditions in any renewed licences, w</w:t>
      </w:r>
      <w:r w:rsidR="0033499F">
        <w:t xml:space="preserve">e would need to carefully consider the </w:t>
      </w:r>
      <w:r w:rsidR="00950DBA">
        <w:t xml:space="preserve">broad range of </w:t>
      </w:r>
      <w:r w:rsidR="00B663F5">
        <w:t xml:space="preserve">regulatory and commercial </w:t>
      </w:r>
      <w:r w:rsidR="0033499F">
        <w:t xml:space="preserve">implications </w:t>
      </w:r>
      <w:r w:rsidR="00950DBA">
        <w:t xml:space="preserve">in </w:t>
      </w:r>
      <w:r w:rsidR="003E2E15">
        <w:t xml:space="preserve">including </w:t>
      </w:r>
      <w:r w:rsidR="00F613AE">
        <w:t xml:space="preserve">such </w:t>
      </w:r>
      <w:r w:rsidR="007B30D8">
        <w:t xml:space="preserve">conditions </w:t>
      </w:r>
      <w:r w:rsidR="00F613AE">
        <w:t xml:space="preserve">in spectrum licenses that were not </w:t>
      </w:r>
      <w:r w:rsidR="00680914">
        <w:t xml:space="preserve">present </w:t>
      </w:r>
      <w:r w:rsidR="00260C76">
        <w:t>when the licence was issued.</w:t>
      </w:r>
    </w:p>
    <w:p w14:paraId="010CB993" w14:textId="62B0CF18" w:rsidR="00A4559A" w:rsidRDefault="00FF1AF0" w:rsidP="004A7DC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751AA6">
        <w:t xml:space="preserve">We welcome stakeholder views on </w:t>
      </w:r>
      <w:r>
        <w:t xml:space="preserve">the matters that we would need to consider if </w:t>
      </w:r>
      <w:r w:rsidR="004A7DC7">
        <w:t>rollout obligations or a UIOLI</w:t>
      </w:r>
      <w:r>
        <w:t xml:space="preserve"> regime w</w:t>
      </w:r>
      <w:r w:rsidR="003D48BA">
        <w:t>ere</w:t>
      </w:r>
      <w:r>
        <w:t xml:space="preserve"> implemented via conditions in spectrum licences</w:t>
      </w:r>
      <w:r w:rsidR="00903211">
        <w:t>, including views on when</w:t>
      </w:r>
      <w:r w:rsidR="00410E42">
        <w:t xml:space="preserve"> </w:t>
      </w:r>
      <w:r w:rsidR="006C56CD">
        <w:t xml:space="preserve">compliance should be assessed. </w:t>
      </w:r>
    </w:p>
    <w:p w14:paraId="7FF609B3" w14:textId="38593FB4" w:rsidR="00410E42" w:rsidRDefault="00410E42" w:rsidP="001F2782">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We a</w:t>
      </w:r>
      <w:r w:rsidR="00DC6E9F">
        <w:t xml:space="preserve">lso welcome stakeholder views on </w:t>
      </w:r>
      <w:r w:rsidR="00C3374B">
        <w:t xml:space="preserve">operational and resourcing </w:t>
      </w:r>
      <w:r w:rsidR="00DC6E9F">
        <w:t xml:space="preserve">matters that we would need to consider if </w:t>
      </w:r>
      <w:r w:rsidR="00C3374B">
        <w:t>rollout obligations or UIOLI w</w:t>
      </w:r>
      <w:r w:rsidR="003D48BA">
        <w:t>ere</w:t>
      </w:r>
      <w:r w:rsidR="00C3374B">
        <w:t xml:space="preserve"> implemented. </w:t>
      </w:r>
    </w:p>
    <w:p w14:paraId="1C99A361" w14:textId="2100239B" w:rsidR="00D57398" w:rsidRDefault="00D57398" w:rsidP="005B0711">
      <w:pPr>
        <w:pStyle w:val="Heading3"/>
        <w:keepLines/>
      </w:pPr>
      <w:r>
        <w:lastRenderedPageBreak/>
        <w:t xml:space="preserve">UIOSI </w:t>
      </w:r>
      <w:r w:rsidR="00835701">
        <w:t>regime</w:t>
      </w:r>
      <w:r w:rsidR="00D57AB3">
        <w:t>s</w:t>
      </w:r>
      <w:r w:rsidR="00835701">
        <w:t xml:space="preserve"> </w:t>
      </w:r>
    </w:p>
    <w:p w14:paraId="67A70EBC" w14:textId="5094DA89" w:rsidR="00BA2B03" w:rsidRDefault="00BA2B03" w:rsidP="005B0711">
      <w:pPr>
        <w:pStyle w:val="Paragraph"/>
        <w:keepNext/>
        <w:keepLines/>
      </w:pPr>
      <w:r>
        <w:t>The Act generally provides that operation of radiocommunications devices, and thus access to spectrum, is a</w:t>
      </w:r>
      <w:r w:rsidR="0034205C">
        <w:t>uthorised</w:t>
      </w:r>
      <w:r>
        <w:t xml:space="preserve"> by either issuing</w:t>
      </w:r>
      <w:r w:rsidDel="00260C76">
        <w:t xml:space="preserve"> </w:t>
      </w:r>
      <w:r>
        <w:t>a licence (that is, a spectrum, apparatus or class licence that authorises a person’s operation of a device) or by an apparatus or</w:t>
      </w:r>
      <w:r w:rsidDel="00260C76">
        <w:t xml:space="preserve"> </w:t>
      </w:r>
      <w:r>
        <w:t xml:space="preserve">spectrum licensee authorising another person to use their licence. </w:t>
      </w:r>
    </w:p>
    <w:p w14:paraId="2433A5E9" w14:textId="36254D75" w:rsidR="00285AEC" w:rsidRDefault="00285AEC" w:rsidP="005B0711">
      <w:pPr>
        <w:pStyle w:val="Paragraph"/>
        <w:keepNext/>
        <w:keepLines/>
      </w:pPr>
      <w:r>
        <w:t xml:space="preserve">There are </w:t>
      </w:r>
      <w:r w:rsidR="00260C76">
        <w:t>2</w:t>
      </w:r>
      <w:r>
        <w:t xml:space="preserve"> </w:t>
      </w:r>
      <w:r w:rsidR="00C64EA6">
        <w:t xml:space="preserve">broad </w:t>
      </w:r>
      <w:r>
        <w:t xml:space="preserve">paths </w:t>
      </w:r>
      <w:r w:rsidR="0031309A">
        <w:t xml:space="preserve">to implementing </w:t>
      </w:r>
      <w:r w:rsidR="00835701">
        <w:t>a UI</w:t>
      </w:r>
      <w:r w:rsidR="009711BC">
        <w:t>OS</w:t>
      </w:r>
      <w:r w:rsidR="007711E7">
        <w:t>I</w:t>
      </w:r>
      <w:r w:rsidR="009711BC">
        <w:t xml:space="preserve"> regime under </w:t>
      </w:r>
      <w:r w:rsidR="00D10CDF">
        <w:t xml:space="preserve">the </w:t>
      </w:r>
      <w:r w:rsidR="009711BC">
        <w:t>Act. The first would be through conditions</w:t>
      </w:r>
      <w:r w:rsidR="00D10CDF">
        <w:t xml:space="preserve"> included in spectrum licences</w:t>
      </w:r>
      <w:r w:rsidR="00940E36">
        <w:t xml:space="preserve"> that required licensees to authorise third parties </w:t>
      </w:r>
      <w:r w:rsidR="00B66365">
        <w:t>to use their licence</w:t>
      </w:r>
      <w:r w:rsidR="004D0818">
        <w:t>;</w:t>
      </w:r>
      <w:r w:rsidR="009711BC">
        <w:t xml:space="preserve"> the second </w:t>
      </w:r>
      <w:r w:rsidR="004D0818">
        <w:t xml:space="preserve">would not rely on licence conditions, but instead </w:t>
      </w:r>
      <w:r w:rsidR="007826C6">
        <w:t>rely on</w:t>
      </w:r>
      <w:r w:rsidR="004D0818">
        <w:t xml:space="preserve"> </w:t>
      </w:r>
      <w:r w:rsidR="00CB2B67">
        <w:t>issuing</w:t>
      </w:r>
      <w:r w:rsidR="00CB2B67" w:rsidDel="00260C76">
        <w:t xml:space="preserve"> </w:t>
      </w:r>
      <w:r w:rsidR="00F85D6E">
        <w:t xml:space="preserve">additional </w:t>
      </w:r>
      <w:r w:rsidR="00CB2B67">
        <w:t>licences by the ACMA</w:t>
      </w:r>
      <w:r w:rsidR="007826C6">
        <w:t xml:space="preserve"> through hybrid licensing frameworks or a transition to apparatus licensing</w:t>
      </w:r>
      <w:r w:rsidR="00CB2B67">
        <w:t>.</w:t>
      </w:r>
      <w:r w:rsidR="00325DD1">
        <w:t xml:space="preserve"> </w:t>
      </w:r>
    </w:p>
    <w:p w14:paraId="1BF21CF8" w14:textId="03F2C257" w:rsidR="008F3A31" w:rsidRDefault="008F3A31" w:rsidP="008F3D38">
      <w:pPr>
        <w:pStyle w:val="Heading4"/>
        <w:keepNext/>
      </w:pPr>
      <w:r>
        <w:t xml:space="preserve">Licence </w:t>
      </w:r>
      <w:r w:rsidR="00AC2981">
        <w:t>conditions</w:t>
      </w:r>
      <w:r w:rsidR="00F85D6E">
        <w:t xml:space="preserve"> included in spectrum </w:t>
      </w:r>
      <w:proofErr w:type="gramStart"/>
      <w:r w:rsidR="00F85D6E">
        <w:t>licences</w:t>
      </w:r>
      <w:proofErr w:type="gramEnd"/>
    </w:p>
    <w:p w14:paraId="0EB2BDF6" w14:textId="6556E243" w:rsidR="00333E8F" w:rsidRDefault="0053006F" w:rsidP="00D57398">
      <w:pPr>
        <w:pStyle w:val="Paragraph"/>
      </w:pPr>
      <w:r>
        <w:t xml:space="preserve">As noted above, </w:t>
      </w:r>
      <w:r w:rsidR="00F224E4">
        <w:t>spectrum licences are tradeable (wholly or in part</w:t>
      </w:r>
      <w:proofErr w:type="gramStart"/>
      <w:r w:rsidR="00F224E4">
        <w:t>)</w:t>
      </w:r>
      <w:proofErr w:type="gramEnd"/>
      <w:r w:rsidR="00DB09E5">
        <w:t xml:space="preserve"> and </w:t>
      </w:r>
      <w:r w:rsidR="00843BFB">
        <w:t xml:space="preserve">a licensee may </w:t>
      </w:r>
      <w:r w:rsidR="006306C0">
        <w:t xml:space="preserve">authorise third parties to </w:t>
      </w:r>
      <w:r w:rsidR="009A273B">
        <w:t xml:space="preserve">use their licence. </w:t>
      </w:r>
      <w:r w:rsidR="009D49D5">
        <w:t xml:space="preserve">It is the </w:t>
      </w:r>
      <w:r w:rsidR="00FA6BD7">
        <w:t xml:space="preserve">broad policy intent of the Act </w:t>
      </w:r>
      <w:r w:rsidR="009D49D5">
        <w:t xml:space="preserve">that </w:t>
      </w:r>
      <w:r w:rsidR="005D2E49">
        <w:t xml:space="preserve">such secondary market activities are left to the discretion </w:t>
      </w:r>
      <w:r w:rsidR="00634383">
        <w:t>of the market</w:t>
      </w:r>
      <w:r w:rsidR="00320136">
        <w:t xml:space="preserve"> and are not initiated by the ACMA. </w:t>
      </w:r>
      <w:r w:rsidR="000B71F9">
        <w:t>Further consideration</w:t>
      </w:r>
      <w:r w:rsidR="00A531C7">
        <w:t xml:space="preserve"> would be</w:t>
      </w:r>
      <w:r w:rsidR="000B71F9">
        <w:t xml:space="preserve"> required</w:t>
      </w:r>
      <w:r w:rsidR="00FE536E">
        <w:t xml:space="preserve">, but a </w:t>
      </w:r>
      <w:r w:rsidR="00320136">
        <w:t xml:space="preserve">UIOSI regime </w:t>
      </w:r>
      <w:r w:rsidR="00FE536E">
        <w:t xml:space="preserve">might notionally </w:t>
      </w:r>
      <w:r w:rsidR="00320136">
        <w:t>be implemented through licence conditions</w:t>
      </w:r>
      <w:r w:rsidR="00EC7B41">
        <w:t xml:space="preserve"> included in spectrum licences</w:t>
      </w:r>
      <w:r w:rsidR="00412479">
        <w:t xml:space="preserve">. For example, a condition could require a </w:t>
      </w:r>
      <w:r w:rsidR="00320136">
        <w:t xml:space="preserve">licensee </w:t>
      </w:r>
      <w:r w:rsidR="009E02F1">
        <w:t xml:space="preserve">to </w:t>
      </w:r>
      <w:r w:rsidR="00486F13">
        <w:t xml:space="preserve">authorise one or more </w:t>
      </w:r>
      <w:r w:rsidR="00412479">
        <w:t xml:space="preserve">third party </w:t>
      </w:r>
      <w:r w:rsidR="00C8041E">
        <w:t xml:space="preserve">to use a part of its spectrum licence, </w:t>
      </w:r>
      <w:r w:rsidR="00260C76">
        <w:t>if</w:t>
      </w:r>
      <w:r w:rsidR="00C8041E">
        <w:t xml:space="preserve"> the licensee </w:t>
      </w:r>
      <w:r w:rsidR="00260C76">
        <w:t>can</w:t>
      </w:r>
      <w:r w:rsidR="00840DBE">
        <w:t>not provide a service in a specified geographic area</w:t>
      </w:r>
      <w:r w:rsidR="009C080E">
        <w:t xml:space="preserve"> within a specified timeframe. </w:t>
      </w:r>
      <w:r w:rsidR="00412479">
        <w:t xml:space="preserve"> </w:t>
      </w:r>
    </w:p>
    <w:p w14:paraId="2EB1C362" w14:textId="51331BDA" w:rsidR="00B22C23" w:rsidRDefault="00DF2398" w:rsidP="00DF2398">
      <w:pPr>
        <w:pStyle w:val="Paragraph"/>
      </w:pPr>
      <w:r>
        <w:t xml:space="preserve">Such an implementation would </w:t>
      </w:r>
      <w:r w:rsidR="000A4B7D">
        <w:t>involve</w:t>
      </w:r>
      <w:r>
        <w:t xml:space="preserve"> a wide range of policy and regulatory design considerations, </w:t>
      </w:r>
      <w:r w:rsidR="00450B94">
        <w:t xml:space="preserve">such as </w:t>
      </w:r>
      <w:r w:rsidR="00143EA0">
        <w:t>whether it should be the ACMA</w:t>
      </w:r>
      <w:r w:rsidR="002B5529">
        <w:t>,</w:t>
      </w:r>
      <w:r w:rsidR="00143EA0">
        <w:t xml:space="preserve"> the licensee</w:t>
      </w:r>
      <w:r w:rsidR="002B5529">
        <w:t>, or another person</w:t>
      </w:r>
      <w:r w:rsidR="00143EA0">
        <w:t xml:space="preserve"> that is responsible for </w:t>
      </w:r>
      <w:r w:rsidR="005F6FE4">
        <w:t>assess</w:t>
      </w:r>
      <w:r w:rsidR="00143EA0">
        <w:t>ing</w:t>
      </w:r>
      <w:r w:rsidR="005F6FE4">
        <w:t xml:space="preserve"> third</w:t>
      </w:r>
      <w:r w:rsidR="00260C76">
        <w:t>-</w:t>
      </w:r>
      <w:r w:rsidR="005F6FE4">
        <w:t>party</w:t>
      </w:r>
      <w:r w:rsidR="001F50CC">
        <w:t xml:space="preserve"> proposals for</w:t>
      </w:r>
      <w:r w:rsidR="005808F5">
        <w:t xml:space="preserve"> use of unused spectrum</w:t>
      </w:r>
      <w:r w:rsidR="00D17F1A">
        <w:t xml:space="preserve">; how such proposals should </w:t>
      </w:r>
      <w:r w:rsidR="005808F5">
        <w:t>be assessed</w:t>
      </w:r>
      <w:r w:rsidR="00143EA0">
        <w:t>;</w:t>
      </w:r>
      <w:r w:rsidR="005808F5">
        <w:t xml:space="preserve"> the duration </w:t>
      </w:r>
      <w:r w:rsidR="00A9727C">
        <w:t>of third-party authorisations</w:t>
      </w:r>
      <w:r w:rsidR="0057677B">
        <w:t xml:space="preserve">; as well as what are likely to be case-by-case </w:t>
      </w:r>
      <w:r w:rsidR="00EF3CA7">
        <w:t>technical, operational, commercial and legal</w:t>
      </w:r>
      <w:r w:rsidR="00430EB1">
        <w:t xml:space="preserve"> considerations</w:t>
      </w:r>
      <w:r w:rsidR="00B22C23">
        <w:t xml:space="preserve">. </w:t>
      </w:r>
    </w:p>
    <w:p w14:paraId="35DB798F" w14:textId="44998744" w:rsidR="008A26DF" w:rsidRDefault="00074CBA" w:rsidP="00DF2398">
      <w:pPr>
        <w:pStyle w:val="Paragraph"/>
      </w:pPr>
      <w:r>
        <w:t>Use of licence conditions in this way could potentially realise efficiencies in use of the spectrum</w:t>
      </w:r>
      <w:r w:rsidR="00D0128F">
        <w:t>. H</w:t>
      </w:r>
      <w:r w:rsidR="00266FB3">
        <w:t>owever</w:t>
      </w:r>
      <w:r w:rsidR="004036BD">
        <w:t>,</w:t>
      </w:r>
      <w:r w:rsidR="00266FB3">
        <w:t xml:space="preserve"> </w:t>
      </w:r>
      <w:r w:rsidR="00BF1B66">
        <w:t xml:space="preserve">these outcomes would need to be considered </w:t>
      </w:r>
      <w:r w:rsidR="00BE30BD">
        <w:t>with reference to specific policy outcomes, which may vary depending on geographic area</w:t>
      </w:r>
      <w:r w:rsidR="00D93969">
        <w:t>s, population demographics</w:t>
      </w:r>
      <w:r w:rsidR="00694F3D">
        <w:t xml:space="preserve">, the merits of individual proposals </w:t>
      </w:r>
      <w:r w:rsidR="0038273C">
        <w:t>put forward by third parties</w:t>
      </w:r>
      <w:r w:rsidR="00047A16">
        <w:t>, and the extent to which</w:t>
      </w:r>
      <w:r w:rsidR="00612BC7">
        <w:t xml:space="preserve"> third-party operations </w:t>
      </w:r>
      <w:r w:rsidR="00CB0983">
        <w:t>might</w:t>
      </w:r>
      <w:r w:rsidR="00612BC7">
        <w:t xml:space="preserve"> adversely impact the licen</w:t>
      </w:r>
      <w:r w:rsidR="00CB0983">
        <w:t>see</w:t>
      </w:r>
      <w:r w:rsidR="00C22348">
        <w:t>. Such conditions would also need</w:t>
      </w:r>
      <w:r w:rsidR="00612BC7">
        <w:t xml:space="preserve">, </w:t>
      </w:r>
      <w:r w:rsidR="005B6DD8">
        <w:t>at</w:t>
      </w:r>
      <w:r w:rsidR="00612BC7">
        <w:t xml:space="preserve"> the policy design level,</w:t>
      </w:r>
      <w:r w:rsidR="00C22348">
        <w:t xml:space="preserve"> </w:t>
      </w:r>
      <w:r w:rsidR="005B6DD8">
        <w:t xml:space="preserve">to </w:t>
      </w:r>
      <w:r w:rsidR="00AB2AE5">
        <w:t xml:space="preserve">consider whether </w:t>
      </w:r>
      <w:r w:rsidR="00382698">
        <w:t xml:space="preserve">various types of spectrum utilisation </w:t>
      </w:r>
      <w:r w:rsidR="00565D05">
        <w:t xml:space="preserve">do or do not </w:t>
      </w:r>
      <w:r w:rsidR="00AB2AE5">
        <w:t xml:space="preserve">constitute </w:t>
      </w:r>
      <w:r w:rsidR="00382698">
        <w:t xml:space="preserve">use </w:t>
      </w:r>
      <w:r w:rsidR="00565D05">
        <w:t xml:space="preserve">of the spectrum </w:t>
      </w:r>
      <w:r w:rsidR="00382698">
        <w:t xml:space="preserve">by licensees: not all parts of the spectrum contained in a licence are necessarily used to provide a service </w:t>
      </w:r>
      <w:proofErr w:type="gramStart"/>
      <w:r w:rsidR="00382698">
        <w:t>in a given</w:t>
      </w:r>
      <w:proofErr w:type="gramEnd"/>
      <w:r w:rsidR="00382698">
        <w:t xml:space="preserve"> geographic area; parts of the spectrum can also be used, for example, for interference management. </w:t>
      </w:r>
      <w:r w:rsidR="00976907">
        <w:t xml:space="preserve"> </w:t>
      </w:r>
    </w:p>
    <w:p w14:paraId="30003E4D" w14:textId="5273A154" w:rsidR="00545C26" w:rsidRDefault="00545C26" w:rsidP="00545C26">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751AA6">
        <w:t xml:space="preserve">We welcome stakeholder views on </w:t>
      </w:r>
      <w:r>
        <w:t xml:space="preserve">the matters that we would need to </w:t>
      </w:r>
      <w:r w:rsidR="00D24F2A">
        <w:t>consider</w:t>
      </w:r>
      <w:r>
        <w:t xml:space="preserve"> </w:t>
      </w:r>
      <w:r w:rsidR="00D24F2A">
        <w:t>if</w:t>
      </w:r>
      <w:r>
        <w:t xml:space="preserve"> a UIOSI regime </w:t>
      </w:r>
      <w:r w:rsidR="00D24F2A">
        <w:t xml:space="preserve">was </w:t>
      </w:r>
      <w:r>
        <w:t>implemented via conditions in spectrum licences</w:t>
      </w:r>
      <w:r w:rsidRPr="00751AA6">
        <w:t xml:space="preserve">. </w:t>
      </w:r>
    </w:p>
    <w:p w14:paraId="60FA51F6" w14:textId="609A7DE5" w:rsidR="008814EE" w:rsidRPr="00751AA6" w:rsidRDefault="008814EE" w:rsidP="00545C26">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We also welcome stakeholder views on operational and resourcing matters that we would need to consider if UIOSI was implemented</w:t>
      </w:r>
      <w:r w:rsidR="00EB051E">
        <w:t xml:space="preserve"> via licence conditions</w:t>
      </w:r>
      <w:r>
        <w:t xml:space="preserve">. </w:t>
      </w:r>
    </w:p>
    <w:p w14:paraId="2642BAE1" w14:textId="783689A8" w:rsidR="008F3A31" w:rsidRPr="00D24F2A" w:rsidRDefault="00F85D6E" w:rsidP="009A2969">
      <w:pPr>
        <w:pStyle w:val="Heading4"/>
      </w:pPr>
      <w:r w:rsidRPr="00D24F2A">
        <w:t>Issuing additional licences</w:t>
      </w:r>
      <w:r>
        <w:t xml:space="preserve"> </w:t>
      </w:r>
      <w:r w:rsidR="007826C6">
        <w:t>using hybrid frameworks</w:t>
      </w:r>
      <w:r w:rsidR="00A73463">
        <w:t>, or transitioning to apparatus licensing</w:t>
      </w:r>
    </w:p>
    <w:p w14:paraId="4D1D7F41" w14:textId="070457B6" w:rsidR="00D57398" w:rsidRPr="00C866CA" w:rsidRDefault="00703462" w:rsidP="00D57398">
      <w:pPr>
        <w:pStyle w:val="Paragraph"/>
      </w:pPr>
      <w:r>
        <w:t>A</w:t>
      </w:r>
      <w:r w:rsidR="00127BA5">
        <w:t xml:space="preserve">s an alternative to </w:t>
      </w:r>
      <w:r w:rsidR="00D24F2A">
        <w:t>including</w:t>
      </w:r>
      <w:r w:rsidR="00127BA5">
        <w:t xml:space="preserve"> conditions in spectrum licences, a</w:t>
      </w:r>
      <w:r w:rsidR="00D57398" w:rsidRPr="00C866CA">
        <w:t xml:space="preserve"> </w:t>
      </w:r>
      <w:r w:rsidR="00B04145">
        <w:t>UIOSI</w:t>
      </w:r>
      <w:r>
        <w:t xml:space="preserve"> </w:t>
      </w:r>
      <w:r w:rsidR="00B04145">
        <w:t xml:space="preserve">regime </w:t>
      </w:r>
      <w:r w:rsidR="00D57398" w:rsidRPr="00C866CA">
        <w:t xml:space="preserve">could potentially be </w:t>
      </w:r>
      <w:r w:rsidR="00D237F7">
        <w:t xml:space="preserve">achieved </w:t>
      </w:r>
      <w:r w:rsidR="00D237F7" w:rsidRPr="00E626C5">
        <w:t>by</w:t>
      </w:r>
      <w:r w:rsidR="00916F13" w:rsidRPr="00E626C5">
        <w:t xml:space="preserve"> </w:t>
      </w:r>
      <w:r w:rsidR="00D57398" w:rsidRPr="00E626C5">
        <w:t>issu</w:t>
      </w:r>
      <w:r w:rsidR="00B04145" w:rsidRPr="00E626C5">
        <w:t>ing</w:t>
      </w:r>
      <w:r w:rsidR="00D57398" w:rsidRPr="00E626C5" w:rsidDel="005743BF">
        <w:t xml:space="preserve"> </w:t>
      </w:r>
      <w:r w:rsidR="005743BF" w:rsidRPr="00E626C5">
        <w:t xml:space="preserve">radiocommunications </w:t>
      </w:r>
      <w:r w:rsidR="00D57398" w:rsidRPr="00E626C5">
        <w:t>licences</w:t>
      </w:r>
      <w:r w:rsidR="005743BF" w:rsidRPr="00E626C5">
        <w:t xml:space="preserve"> into parts of the spectrum covered by spectrum licences</w:t>
      </w:r>
      <w:r w:rsidR="006D11BD" w:rsidRPr="00E626C5">
        <w:t xml:space="preserve"> to authorise access for ‘secondary users</w:t>
      </w:r>
      <w:r w:rsidR="00783B74" w:rsidRPr="00E626C5">
        <w:t>,</w:t>
      </w:r>
      <w:r w:rsidR="006D11BD" w:rsidRPr="00E626C5">
        <w:t>’</w:t>
      </w:r>
      <w:r w:rsidR="008318CD" w:rsidRPr="00E626C5">
        <w:t xml:space="preserve"> or by relying </w:t>
      </w:r>
      <w:r w:rsidR="00E32D29" w:rsidRPr="00E626C5">
        <w:t>on the apparatus licensing system, rather than the spectrum licensing</w:t>
      </w:r>
      <w:r w:rsidR="00E32D29">
        <w:t xml:space="preserve"> system</w:t>
      </w:r>
      <w:r w:rsidR="00D57398" w:rsidRPr="00C866CA">
        <w:t xml:space="preserve">. </w:t>
      </w:r>
    </w:p>
    <w:p w14:paraId="5FF852F4" w14:textId="4F303B4B" w:rsidR="00DE6E16" w:rsidRPr="00F25426" w:rsidRDefault="00D57398" w:rsidP="00920824">
      <w:pPr>
        <w:pStyle w:val="Paragraph"/>
      </w:pPr>
      <w:r>
        <w:t xml:space="preserve">If we were to authorise secondary users </w:t>
      </w:r>
      <w:r w:rsidR="00BB3430">
        <w:t xml:space="preserve">in parts of the spectrum already subject </w:t>
      </w:r>
      <w:r w:rsidR="0004391D">
        <w:t xml:space="preserve">spectrum licensing, </w:t>
      </w:r>
      <w:r>
        <w:t xml:space="preserve">we would need to issue licences that overlap </w:t>
      </w:r>
      <w:r w:rsidR="004B7415">
        <w:t xml:space="preserve">an in-force </w:t>
      </w:r>
      <w:r>
        <w:t xml:space="preserve">spectrum </w:t>
      </w:r>
      <w:r>
        <w:lastRenderedPageBreak/>
        <w:t xml:space="preserve">licence. </w:t>
      </w:r>
      <w:r w:rsidR="005C3840">
        <w:t>However</w:t>
      </w:r>
      <w:r w:rsidR="00D24F2A">
        <w:t>,</w:t>
      </w:r>
      <w:r w:rsidR="00DE6E16">
        <w:t xml:space="preserve"> </w:t>
      </w:r>
      <w:r w:rsidR="00C451B1">
        <w:t xml:space="preserve">the Act broadly precludes the </w:t>
      </w:r>
      <w:r w:rsidRPr="00F25426">
        <w:t xml:space="preserve">issue </w:t>
      </w:r>
      <w:r w:rsidR="00C451B1">
        <w:t xml:space="preserve">of </w:t>
      </w:r>
      <w:r w:rsidRPr="00F25426">
        <w:t>overlapping spectrum licences</w:t>
      </w:r>
      <w:r w:rsidR="001417EB">
        <w:t>, and</w:t>
      </w:r>
      <w:r w:rsidR="00DE6E16">
        <w:t xml:space="preserve"> </w:t>
      </w:r>
      <w:r w:rsidR="001417EB">
        <w:t>w</w:t>
      </w:r>
      <w:r w:rsidR="001C1FA1">
        <w:t>e</w:t>
      </w:r>
      <w:r w:rsidR="00DE6E16" w:rsidRPr="00F25426">
        <w:t xml:space="preserve"> can only issue class licences that overlap spectrum licences </w:t>
      </w:r>
      <w:r w:rsidR="00D24F2A">
        <w:t>if</w:t>
      </w:r>
      <w:r w:rsidR="00DE6E16" w:rsidRPr="00F25426">
        <w:t xml:space="preserve"> it is in the public interest to do so and we are </w:t>
      </w:r>
      <w:r w:rsidR="00B13A01">
        <w:t>satisfied</w:t>
      </w:r>
      <w:r w:rsidR="00DE6E16" w:rsidRPr="00F25426">
        <w:t xml:space="preserve"> that it would not cause </w:t>
      </w:r>
      <w:r w:rsidR="00890C02">
        <w:t>unacceptable levels of</w:t>
      </w:r>
      <w:r w:rsidR="00DE6E16" w:rsidRPr="00F25426">
        <w:t xml:space="preserve"> interference to the spectrum licensee’s services.</w:t>
      </w:r>
      <w:r w:rsidR="00DE6E16" w:rsidRPr="00F45CA2">
        <w:rPr>
          <w:vertAlign w:val="superscript"/>
        </w:rPr>
        <w:footnoteReference w:id="29"/>
      </w:r>
      <w:r w:rsidR="00384535">
        <w:t xml:space="preserve"> </w:t>
      </w:r>
      <w:r w:rsidR="001C1FA1">
        <w:t>Because class licences</w:t>
      </w:r>
      <w:r w:rsidR="00E626C5">
        <w:t xml:space="preserve"> (</w:t>
      </w:r>
      <w:r w:rsidR="001C1FA1">
        <w:t>and the devices that they authorise</w:t>
      </w:r>
      <w:r w:rsidR="00E626C5">
        <w:t>)</w:t>
      </w:r>
      <w:r w:rsidR="001C1FA1">
        <w:t xml:space="preserve"> generally contemplate access to spectrum on a ‘no interference, no protection’ basis using shared frequencies, a UIOS</w:t>
      </w:r>
      <w:r w:rsidR="004625CB">
        <w:t>I</w:t>
      </w:r>
      <w:r w:rsidR="001C1FA1">
        <w:t xml:space="preserve"> regime founded on a hybrid spectrum licensing/class licensing arrangement </w:t>
      </w:r>
      <w:r w:rsidR="00D24F2A">
        <w:t>may</w:t>
      </w:r>
      <w:r w:rsidR="001C1FA1">
        <w:t xml:space="preserve"> only accommodate access by secondary users with very generic proposals that do not involved complex assessments as to their viability by licensees or the ACMA.</w:t>
      </w:r>
    </w:p>
    <w:p w14:paraId="1C9F01F2" w14:textId="162C2283" w:rsidR="00D57398" w:rsidRPr="00F25426" w:rsidRDefault="001C1FA1" w:rsidP="00C04C59">
      <w:pPr>
        <w:pStyle w:val="Paragraph"/>
      </w:pPr>
      <w:r>
        <w:t>A</w:t>
      </w:r>
      <w:r w:rsidR="00F1017A">
        <w:t xml:space="preserve"> UIOSI </w:t>
      </w:r>
      <w:r w:rsidR="004F3A73">
        <w:t xml:space="preserve">regime founded on </w:t>
      </w:r>
      <w:r>
        <w:t>hyb</w:t>
      </w:r>
      <w:r w:rsidR="00F1017A">
        <w:t>rid spectrum</w:t>
      </w:r>
      <w:r w:rsidR="004F3A73">
        <w:t xml:space="preserve">/apparatus licensing </w:t>
      </w:r>
      <w:r w:rsidR="00064CAD">
        <w:t xml:space="preserve">arrangements would notionally afford the ACMA with more discretion than a hybrid spectrum/class licensing </w:t>
      </w:r>
      <w:r w:rsidR="005B5A3E">
        <w:t xml:space="preserve">arrangement. </w:t>
      </w:r>
      <w:r w:rsidR="00A64D2E">
        <w:t>Importantly though</w:t>
      </w:r>
      <w:r w:rsidR="005B5A3E">
        <w:t>, w</w:t>
      </w:r>
      <w:r w:rsidR="002240D0">
        <w:t xml:space="preserve">hile the Act </w:t>
      </w:r>
      <w:r w:rsidR="00714FB1">
        <w:t xml:space="preserve">does </w:t>
      </w:r>
      <w:r w:rsidR="002240D0">
        <w:t>provide that we may</w:t>
      </w:r>
      <w:r w:rsidR="00D57398" w:rsidRPr="00F25426">
        <w:t xml:space="preserve"> issue apparatus licences that overlap spectrum licences</w:t>
      </w:r>
      <w:r w:rsidR="00E3011B">
        <w:t xml:space="preserve">, </w:t>
      </w:r>
      <w:r w:rsidR="009B1601">
        <w:t xml:space="preserve">we can only </w:t>
      </w:r>
      <w:r w:rsidR="00F41FE2">
        <w:t>issue such licence</w:t>
      </w:r>
      <w:r w:rsidR="009B1601">
        <w:t>s</w:t>
      </w:r>
      <w:r w:rsidR="00D57398" w:rsidRPr="00F25426" w:rsidDel="00E3011B">
        <w:t xml:space="preserve"> </w:t>
      </w:r>
      <w:r w:rsidR="00D57398" w:rsidRPr="00F25426">
        <w:t xml:space="preserve">to certain </w:t>
      </w:r>
      <w:r w:rsidR="00AC5935">
        <w:t xml:space="preserve">law enforcement </w:t>
      </w:r>
      <w:r w:rsidR="00D57398" w:rsidRPr="00F25426">
        <w:t>bodies</w:t>
      </w:r>
      <w:r w:rsidR="008409E5" w:rsidRPr="00F25426">
        <w:t>,</w:t>
      </w:r>
      <w:r w:rsidR="00D57398" w:rsidRPr="00F25426">
        <w:t xml:space="preserve"> or </w:t>
      </w:r>
      <w:r w:rsidR="00D367B9">
        <w:t xml:space="preserve">where we are </w:t>
      </w:r>
      <w:r w:rsidR="00D367B9" w:rsidRPr="008F3D38">
        <w:t>satisfied that the special circumstances of the particular case justify issuing the licenc</w:t>
      </w:r>
      <w:r w:rsidR="00753719" w:rsidRPr="008F3D38">
        <w:t>e</w:t>
      </w:r>
      <w:r w:rsidR="00714FB1">
        <w:t>.</w:t>
      </w:r>
      <w:r w:rsidR="00D57398" w:rsidRPr="00894A83">
        <w:rPr>
          <w:rStyle w:val="FootnoteReference"/>
        </w:rPr>
        <w:footnoteReference w:id="30"/>
      </w:r>
      <w:r w:rsidR="00753719" w:rsidRPr="008F3D38">
        <w:rPr>
          <w:rStyle w:val="FootnoteReference"/>
        </w:rPr>
        <w:t xml:space="preserve"> </w:t>
      </w:r>
      <w:r w:rsidR="007C4E41">
        <w:t>W</w:t>
      </w:r>
      <w:r w:rsidR="003838C3">
        <w:t xml:space="preserve">e, and licensees more broadly, </w:t>
      </w:r>
      <w:r w:rsidR="00C54400">
        <w:t xml:space="preserve">have not relied on </w:t>
      </w:r>
      <w:r w:rsidR="0037461F">
        <w:t>this</w:t>
      </w:r>
      <w:r w:rsidR="00C54400">
        <w:t xml:space="preserve"> ‘special circumstances’ power to facilitate </w:t>
      </w:r>
      <w:r w:rsidR="00F95CC0">
        <w:t>long-term</w:t>
      </w:r>
      <w:r w:rsidR="007C4E41">
        <w:t>,</w:t>
      </w:r>
      <w:r w:rsidR="00F95CC0">
        <w:t xml:space="preserve"> </w:t>
      </w:r>
      <w:r w:rsidR="0072132A">
        <w:t xml:space="preserve">business-as-usual </w:t>
      </w:r>
      <w:r w:rsidR="00B1767F">
        <w:t xml:space="preserve">commercial </w:t>
      </w:r>
      <w:r w:rsidR="00F95CC0">
        <w:t xml:space="preserve">operations by </w:t>
      </w:r>
      <w:r w:rsidR="00FF040F">
        <w:t>secondary users</w:t>
      </w:r>
      <w:r w:rsidR="007A5966">
        <w:t>.</w:t>
      </w:r>
    </w:p>
    <w:p w14:paraId="03EC53D3" w14:textId="71785B80" w:rsidR="00E16DFE" w:rsidRDefault="00772D7B" w:rsidP="00D57398">
      <w:pPr>
        <w:pStyle w:val="Paragraph"/>
      </w:pPr>
      <w:r>
        <w:t>The apparatus</w:t>
      </w:r>
      <w:r w:rsidR="00E626C5">
        <w:t xml:space="preserve"> </w:t>
      </w:r>
      <w:r>
        <w:t xml:space="preserve">licensing framework (as opposed to a hybrid model) is likely more conducive to a </w:t>
      </w:r>
      <w:r w:rsidR="0063113C">
        <w:t xml:space="preserve">more dynamic </w:t>
      </w:r>
      <w:r>
        <w:t xml:space="preserve">UIOSI regime. </w:t>
      </w:r>
      <w:r w:rsidR="001D4372">
        <w:t>The apparatus</w:t>
      </w:r>
      <w:r w:rsidR="00E626C5">
        <w:t xml:space="preserve"> </w:t>
      </w:r>
      <w:r w:rsidR="001D4372">
        <w:t xml:space="preserve">licensing framework is comparatively more flexible, insofar as we may </w:t>
      </w:r>
      <w:r w:rsidR="00D57398">
        <w:t>issue</w:t>
      </w:r>
      <w:r w:rsidR="00D57398" w:rsidDel="001D4372">
        <w:t xml:space="preserve"> </w:t>
      </w:r>
      <w:r w:rsidR="00D57398">
        <w:t>apparatus licences that overlap other apparatus licences. It could</w:t>
      </w:r>
      <w:r w:rsidR="00D24F2A">
        <w:t>,</w:t>
      </w:r>
      <w:r w:rsidR="00D57398">
        <w:t xml:space="preserve"> therefore</w:t>
      </w:r>
      <w:r w:rsidR="00D24F2A">
        <w:t>,</w:t>
      </w:r>
      <w:r w:rsidR="00D57398">
        <w:t xml:space="preserve"> be possible to implement a UIOSI regime in an apparatus</w:t>
      </w:r>
      <w:r w:rsidR="00E626C5">
        <w:t xml:space="preserve"> </w:t>
      </w:r>
      <w:r w:rsidR="00D57398">
        <w:t xml:space="preserve">licensing framework, such as </w:t>
      </w:r>
      <w:r w:rsidR="00ED38CC">
        <w:t xml:space="preserve">by using </w:t>
      </w:r>
      <w:r w:rsidR="00D57398">
        <w:t xml:space="preserve">area-wide licences (AWLs). </w:t>
      </w:r>
      <w:r w:rsidR="00FE2077">
        <w:t>T</w:t>
      </w:r>
      <w:r w:rsidR="00D57398">
        <w:t>his would require that we transition spectrum</w:t>
      </w:r>
      <w:r w:rsidR="00E626C5">
        <w:t xml:space="preserve"> </w:t>
      </w:r>
      <w:r w:rsidR="00D57398">
        <w:t xml:space="preserve">licensing </w:t>
      </w:r>
      <w:r w:rsidR="00AC14BC">
        <w:t xml:space="preserve">arrangements </w:t>
      </w:r>
      <w:r w:rsidR="00D57398">
        <w:t xml:space="preserve">in relevant frequencies and geographic areas to apparatus licensing </w:t>
      </w:r>
      <w:r w:rsidR="00AC14BC">
        <w:t>arrangements</w:t>
      </w:r>
      <w:r w:rsidR="00D57398">
        <w:t>.</w:t>
      </w:r>
      <w:r w:rsidR="001054B5">
        <w:t xml:space="preserve"> </w:t>
      </w:r>
    </w:p>
    <w:p w14:paraId="51FC0275" w14:textId="48E8FAEE" w:rsidR="00D57398" w:rsidRDefault="00E16DFE" w:rsidP="00D57398">
      <w:pPr>
        <w:pStyle w:val="Paragraph"/>
      </w:pPr>
      <w:r>
        <w:t>There would be a series of benefits and trad</w:t>
      </w:r>
      <w:r w:rsidR="004808B2">
        <w:t>e</w:t>
      </w:r>
      <w:r>
        <w:t>-offs to be considered</w:t>
      </w:r>
      <w:r w:rsidR="00E87C63">
        <w:t xml:space="preserve"> in </w:t>
      </w:r>
      <w:r w:rsidR="00406132">
        <w:t>transitioning</w:t>
      </w:r>
      <w:r w:rsidR="00E87C63">
        <w:t xml:space="preserve"> from spectrum to apparatus licensing framework </w:t>
      </w:r>
      <w:r w:rsidR="00D048B4">
        <w:t>to</w:t>
      </w:r>
      <w:r w:rsidR="00E87C63">
        <w:t xml:space="preserve"> implement a UIOSI regime. </w:t>
      </w:r>
      <w:r w:rsidR="001054B5">
        <w:t xml:space="preserve">Whether </w:t>
      </w:r>
      <w:r w:rsidR="00E87C63">
        <w:t xml:space="preserve">apparatus licensing </w:t>
      </w:r>
      <w:r w:rsidR="00302F8A">
        <w:t xml:space="preserve">frameworks are </w:t>
      </w:r>
      <w:r w:rsidR="00C37496">
        <w:t xml:space="preserve">appropriate </w:t>
      </w:r>
      <w:r w:rsidR="00980987">
        <w:t xml:space="preserve">would greatly depend on the </w:t>
      </w:r>
      <w:r w:rsidR="00C34AD0">
        <w:t xml:space="preserve">technical characteristics of the </w:t>
      </w:r>
      <w:r w:rsidR="00980987">
        <w:t>frequency band in question</w:t>
      </w:r>
      <w:r w:rsidR="00302F8A">
        <w:t>,</w:t>
      </w:r>
      <w:r w:rsidR="00FE3576">
        <w:t xml:space="preserve"> and the </w:t>
      </w:r>
      <w:r w:rsidR="00DB5E86">
        <w:t xml:space="preserve">uses </w:t>
      </w:r>
      <w:r w:rsidR="00BA4B25">
        <w:t xml:space="preserve">to </w:t>
      </w:r>
      <w:r w:rsidR="00975408">
        <w:t xml:space="preserve">which </w:t>
      </w:r>
      <w:r w:rsidR="00302F8A">
        <w:t xml:space="preserve">a </w:t>
      </w:r>
      <w:r w:rsidR="00975408">
        <w:t>band</w:t>
      </w:r>
      <w:r w:rsidR="00302F8A">
        <w:t xml:space="preserve"> </w:t>
      </w:r>
      <w:r w:rsidR="00BA4B25">
        <w:t>is ideally put</w:t>
      </w:r>
      <w:r w:rsidR="00975408">
        <w:t>.</w:t>
      </w:r>
      <w:r w:rsidR="00B23F59">
        <w:t xml:space="preserve"> For example, the propagation characteristics of sub-1 GHz spectrum generally do not lend themselves to </w:t>
      </w:r>
      <w:r w:rsidR="00250932">
        <w:t xml:space="preserve">provision of highly </w:t>
      </w:r>
      <w:r w:rsidR="00B23F59">
        <w:t>local</w:t>
      </w:r>
      <w:r w:rsidR="00250932">
        <w:t xml:space="preserve"> </w:t>
      </w:r>
      <w:r w:rsidR="003D3877">
        <w:t>service</w:t>
      </w:r>
      <w:r w:rsidR="00250932">
        <w:t>s</w:t>
      </w:r>
      <w:r w:rsidR="00BA4B25">
        <w:t xml:space="preserve"> that are typically</w:t>
      </w:r>
      <w:r w:rsidR="00CD3747">
        <w:t xml:space="preserve"> authorised by apparatus licences</w:t>
      </w:r>
      <w:r w:rsidR="005938F7">
        <w:t>, which are often disaggregated</w:t>
      </w:r>
      <w:r w:rsidR="00CD27E6">
        <w:t>;</w:t>
      </w:r>
      <w:r w:rsidR="00250932">
        <w:t xml:space="preserve"> </w:t>
      </w:r>
      <w:r w:rsidR="005938F7">
        <w:t>rather, these bands</w:t>
      </w:r>
      <w:r w:rsidR="00713F99">
        <w:t xml:space="preserve"> are</w:t>
      </w:r>
      <w:r w:rsidR="005938F7">
        <w:t xml:space="preserve"> </w:t>
      </w:r>
      <w:r w:rsidR="00250932">
        <w:t xml:space="preserve">typically conducive to </w:t>
      </w:r>
      <w:r w:rsidR="00D83F91">
        <w:t xml:space="preserve">providing broad coverage </w:t>
      </w:r>
      <w:r w:rsidR="00995D17">
        <w:t>for mobile networks</w:t>
      </w:r>
      <w:r w:rsidR="00A804E4">
        <w:t xml:space="preserve"> </w:t>
      </w:r>
      <w:r w:rsidR="00FD6DD6">
        <w:t>ranging over contiguous geographic areas</w:t>
      </w:r>
      <w:r w:rsidR="00995D17">
        <w:t>.</w:t>
      </w:r>
      <w:r w:rsidR="00D57398">
        <w:t xml:space="preserve">  </w:t>
      </w:r>
    </w:p>
    <w:p w14:paraId="77CD47C0" w14:textId="765012D6" w:rsidR="00083B80" w:rsidRDefault="00083B80" w:rsidP="00083B80">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751AA6">
        <w:t xml:space="preserve">We welcome stakeholder views on </w:t>
      </w:r>
      <w:r>
        <w:t xml:space="preserve">the </w:t>
      </w:r>
      <w:r w:rsidR="004A4F9E">
        <w:t>issues</w:t>
      </w:r>
      <w:r>
        <w:t xml:space="preserve"> that we would need to </w:t>
      </w:r>
      <w:proofErr w:type="gramStart"/>
      <w:r>
        <w:t>take into account</w:t>
      </w:r>
      <w:proofErr w:type="gramEnd"/>
      <w:r>
        <w:t xml:space="preserve"> </w:t>
      </w:r>
      <w:r w:rsidR="004A4F9E">
        <w:t>if</w:t>
      </w:r>
      <w:r>
        <w:t xml:space="preserve"> a UIOSI regime </w:t>
      </w:r>
      <w:r w:rsidR="004A4F9E">
        <w:t>was</w:t>
      </w:r>
      <w:r>
        <w:t xml:space="preserve"> implemented via </w:t>
      </w:r>
      <w:r w:rsidR="00DA6CA5">
        <w:t>hybrid licensing frameworks or transitioning to apparatus licensing</w:t>
      </w:r>
      <w:r w:rsidRPr="00751AA6">
        <w:t xml:space="preserve">. </w:t>
      </w:r>
    </w:p>
    <w:p w14:paraId="504640CC" w14:textId="39A20FA8" w:rsidR="00EB051E" w:rsidRPr="00751AA6" w:rsidRDefault="00EB051E" w:rsidP="00083B80">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We also welcome stakeholder views on operational and resourcing matters that we would need to consider if UIOSI was implemented via hybrid licensing frameworks or transitioning to apparatus licensing.  </w:t>
      </w:r>
    </w:p>
    <w:p w14:paraId="7A9AB2C6" w14:textId="5927834E" w:rsidR="00B63F55" w:rsidRDefault="00B63F55" w:rsidP="005B0711">
      <w:pPr>
        <w:pStyle w:val="Heading2"/>
        <w:keepLines/>
      </w:pPr>
      <w:bookmarkStart w:id="45" w:name="_Toc161756539"/>
      <w:r>
        <w:t>Alternative mechanisms</w:t>
      </w:r>
      <w:r w:rsidR="008E1A31">
        <w:t xml:space="preserve"> </w:t>
      </w:r>
      <w:r w:rsidR="00461244">
        <w:t xml:space="preserve">to achieve </w:t>
      </w:r>
      <w:proofErr w:type="gramStart"/>
      <w:r w:rsidR="00461244">
        <w:t>outcomes</w:t>
      </w:r>
      <w:bookmarkEnd w:id="45"/>
      <w:proofErr w:type="gramEnd"/>
    </w:p>
    <w:p w14:paraId="27675D92" w14:textId="14451FAA" w:rsidR="00F72D07" w:rsidRDefault="00745C63" w:rsidP="005B0711">
      <w:pPr>
        <w:pStyle w:val="Paragraph"/>
        <w:keepLines/>
      </w:pPr>
      <w:r>
        <w:t>W</w:t>
      </w:r>
      <w:r w:rsidR="00B63F55">
        <w:t xml:space="preserve">e note that there may be alternative options </w:t>
      </w:r>
      <w:r>
        <w:t xml:space="preserve">within the radiocommunications regulatory framework, but also </w:t>
      </w:r>
      <w:r w:rsidR="00B63F55">
        <w:t xml:space="preserve">outside of </w:t>
      </w:r>
      <w:r w:rsidR="009B520D">
        <w:t xml:space="preserve">licensing conditions </w:t>
      </w:r>
      <w:r w:rsidR="009963C6">
        <w:t>and</w:t>
      </w:r>
      <w:r w:rsidR="003A7EBB">
        <w:t xml:space="preserve"> </w:t>
      </w:r>
      <w:r w:rsidR="007A1151">
        <w:t xml:space="preserve">the Act's licensing </w:t>
      </w:r>
      <w:r>
        <w:t xml:space="preserve">frameworks </w:t>
      </w:r>
      <w:r w:rsidR="007A1151">
        <w:t xml:space="preserve">more generally </w:t>
      </w:r>
      <w:r w:rsidR="00B63F55">
        <w:t xml:space="preserve">that may be suited to achieving </w:t>
      </w:r>
      <w:r w:rsidR="00361423">
        <w:t>more efficient spectrum use and broader coverage</w:t>
      </w:r>
      <w:r w:rsidR="00B63F55">
        <w:t xml:space="preserve">. </w:t>
      </w:r>
    </w:p>
    <w:p w14:paraId="24E52E45" w14:textId="4994053E" w:rsidR="00F72D07" w:rsidRDefault="00D638F7" w:rsidP="005B0711">
      <w:pPr>
        <w:pStyle w:val="Paragraph"/>
        <w:keepLines/>
      </w:pPr>
      <w:r>
        <w:lastRenderedPageBreak/>
        <w:t xml:space="preserve">Outside of the Act, </w:t>
      </w:r>
      <w:r w:rsidR="005B4B01">
        <w:t>c</w:t>
      </w:r>
      <w:r w:rsidR="00B63F55">
        <w:t xml:space="preserve">arrier licence regulation under the </w:t>
      </w:r>
      <w:r w:rsidR="00B63F55">
        <w:rPr>
          <w:i/>
          <w:iCs/>
        </w:rPr>
        <w:t>Telecommunications Act 1997</w:t>
      </w:r>
      <w:r w:rsidR="00C7197F">
        <w:rPr>
          <w:i/>
          <w:iCs/>
        </w:rPr>
        <w:t xml:space="preserve"> </w:t>
      </w:r>
      <w:r w:rsidR="00C7197F">
        <w:t>(Telco Act)</w:t>
      </w:r>
      <w:r w:rsidR="00B63F55">
        <w:t>, requirements around funding programs such as the Mobile Black</w:t>
      </w:r>
      <w:r w:rsidR="00592E2D">
        <w:t xml:space="preserve"> S</w:t>
      </w:r>
      <w:r w:rsidR="00B63F55">
        <w:t xml:space="preserve">pot Program and Regional Connectivity Program, and national roaming arrangements (which could be </w:t>
      </w:r>
      <w:r w:rsidR="003A7B34">
        <w:t>a</w:t>
      </w:r>
      <w:r w:rsidR="00B63F55">
        <w:t xml:space="preserve">ffected by an ACCC declaration) have been </w:t>
      </w:r>
      <w:r w:rsidR="007B39C7">
        <w:t xml:space="preserve">identified </w:t>
      </w:r>
      <w:r w:rsidR="00B63F55">
        <w:t xml:space="preserve">as options </w:t>
      </w:r>
      <w:r w:rsidR="00D67084">
        <w:t xml:space="preserve">that could be considered </w:t>
      </w:r>
      <w:r w:rsidR="00767CE0">
        <w:t xml:space="preserve">by the </w:t>
      </w:r>
      <w:r w:rsidR="004A4F9E">
        <w:t>g</w:t>
      </w:r>
      <w:r w:rsidR="00767CE0">
        <w:t xml:space="preserve">overnment </w:t>
      </w:r>
      <w:r w:rsidR="00D67084">
        <w:t>for</w:t>
      </w:r>
      <w:r w:rsidR="00B63F55">
        <w:t xml:space="preserve"> achieving </w:t>
      </w:r>
      <w:r w:rsidR="00C36AC5">
        <w:t xml:space="preserve">these </w:t>
      </w:r>
      <w:r w:rsidR="00EC6483">
        <w:t>and similar</w:t>
      </w:r>
      <w:r w:rsidR="00C36AC5">
        <w:t xml:space="preserve"> </w:t>
      </w:r>
      <w:r w:rsidR="00B63F55">
        <w:t>objectives, particular</w:t>
      </w:r>
      <w:r w:rsidR="004A4F9E">
        <w:t>ly</w:t>
      </w:r>
      <w:r w:rsidR="00B63F55">
        <w:t xml:space="preserve"> those relating to improved coverage.</w:t>
      </w:r>
      <w:r w:rsidR="00186C3C">
        <w:rPr>
          <w:rStyle w:val="FootnoteReference"/>
        </w:rPr>
        <w:footnoteReference w:id="31"/>
      </w:r>
      <w:r w:rsidR="00B63F55">
        <w:t xml:space="preserve"> </w:t>
      </w:r>
    </w:p>
    <w:p w14:paraId="52051A1A" w14:textId="61FF271E" w:rsidR="00B63F55" w:rsidRDefault="00B63F55" w:rsidP="00D57398">
      <w:pPr>
        <w:pStyle w:val="Paragraph"/>
      </w:pPr>
      <w:r>
        <w:t xml:space="preserve">These </w:t>
      </w:r>
      <w:r w:rsidR="00F72D07">
        <w:t xml:space="preserve">mechanisms </w:t>
      </w:r>
      <w:r>
        <w:t xml:space="preserve">may </w:t>
      </w:r>
      <w:r w:rsidR="00636A28">
        <w:t xml:space="preserve">also be suited to addressing barriers that are not related to spectrum availability, </w:t>
      </w:r>
      <w:r>
        <w:t xml:space="preserve">such as infrastructure deployment, financial incentives, and land planning issues. </w:t>
      </w:r>
    </w:p>
    <w:p w14:paraId="55C01A4A" w14:textId="4815768D" w:rsidR="00D75536" w:rsidRDefault="00EA3A4A" w:rsidP="3B158A6A">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To inform our advice to the minister, w</w:t>
      </w:r>
      <w:r w:rsidR="00FF1AF0">
        <w:t xml:space="preserve">e welcome stakeholder views on the </w:t>
      </w:r>
      <w:r w:rsidR="0038141B">
        <w:t xml:space="preserve">suitability and effectiveness of </w:t>
      </w:r>
      <w:r>
        <w:t xml:space="preserve">potential </w:t>
      </w:r>
      <w:r w:rsidR="0038141B">
        <w:t>alternative mechanism</w:t>
      </w:r>
      <w:r w:rsidR="00063A12">
        <w:t>s</w:t>
      </w:r>
      <w:r w:rsidR="00D75536">
        <w:t xml:space="preserve"> in achieving desired outcomes</w:t>
      </w:r>
      <w:r w:rsidR="00063A12">
        <w:t xml:space="preserve">, </w:t>
      </w:r>
      <w:r w:rsidR="00393697">
        <w:t xml:space="preserve">including but not limited </w:t>
      </w:r>
      <w:proofErr w:type="gramStart"/>
      <w:r w:rsidR="00393697">
        <w:t>to</w:t>
      </w:r>
      <w:r w:rsidR="00D75536">
        <w:t>:</w:t>
      </w:r>
      <w:proofErr w:type="gramEnd"/>
      <w:r w:rsidR="00176ABC">
        <w:t xml:space="preserve"> </w:t>
      </w:r>
      <w:r w:rsidR="00A708B1">
        <w:t xml:space="preserve">other regulatory options available under the Act, </w:t>
      </w:r>
      <w:r w:rsidR="00176ABC">
        <w:t xml:space="preserve">carrier licence regulations under the Telco Act, funding arrangements, and national roaming arrangements. </w:t>
      </w:r>
    </w:p>
    <w:p w14:paraId="3D764ECD" w14:textId="5F97C800" w:rsidR="00D57398" w:rsidRPr="00751AA6" w:rsidRDefault="00D57398" w:rsidP="00D57398">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751AA6">
        <w:t>We also welcome any additional evidence or analysis on these and related alternative licen</w:t>
      </w:r>
      <w:r w:rsidR="00FB291E">
        <w:t>ce</w:t>
      </w:r>
      <w:r w:rsidRPr="00751AA6">
        <w:t xml:space="preserve"> conditions.</w:t>
      </w:r>
    </w:p>
    <w:p w14:paraId="70E63375" w14:textId="45166573" w:rsidR="006C1631" w:rsidRPr="00E162C4" w:rsidRDefault="006C1631" w:rsidP="006C1631">
      <w:pPr>
        <w:pStyle w:val="Heading1"/>
      </w:pPr>
      <w:bookmarkStart w:id="46" w:name="_Toc161756540"/>
      <w:r w:rsidRPr="00E162C4">
        <w:lastRenderedPageBreak/>
        <w:t>Invitation to comment</w:t>
      </w:r>
      <w:bookmarkEnd w:id="46"/>
    </w:p>
    <w:p w14:paraId="4A50F675" w14:textId="77777777" w:rsidR="006C1631" w:rsidRPr="00E162C4" w:rsidRDefault="006C1631" w:rsidP="006C1631">
      <w:pPr>
        <w:pStyle w:val="Heading2"/>
      </w:pPr>
      <w:bookmarkStart w:id="47" w:name="_Toc433122131"/>
      <w:bookmarkStart w:id="48" w:name="_Toc348105637"/>
      <w:bookmarkStart w:id="49" w:name="_Toc300909556"/>
      <w:bookmarkStart w:id="50" w:name="_Toc298924673"/>
      <w:bookmarkStart w:id="51" w:name="_Toc161756541"/>
      <w:bookmarkStart w:id="52" w:name="_Toc348105638"/>
      <w:bookmarkStart w:id="53" w:name="_Toc300909557"/>
      <w:bookmarkStart w:id="54" w:name="_Toc298924674"/>
      <w:bookmarkStart w:id="55" w:name="_Toc274296357"/>
      <w:r w:rsidRPr="00E162C4">
        <w:t>Making a submission</w:t>
      </w:r>
      <w:bookmarkEnd w:id="47"/>
      <w:bookmarkEnd w:id="48"/>
      <w:bookmarkEnd w:id="49"/>
      <w:bookmarkEnd w:id="50"/>
      <w:bookmarkEnd w:id="51"/>
    </w:p>
    <w:p w14:paraId="1F0BB029" w14:textId="77777777" w:rsidR="006C1631" w:rsidRPr="00E162C4" w:rsidRDefault="006C5FD4" w:rsidP="006C1631">
      <w:r w:rsidRPr="00E162C4">
        <w:t>We</w:t>
      </w:r>
      <w:r w:rsidR="006C1631" w:rsidRPr="00E162C4">
        <w:t xml:space="preserve"> invite comments on the issues set out in this discussion paper. </w:t>
      </w:r>
    </w:p>
    <w:p w14:paraId="1E71DD94" w14:textId="77777777" w:rsidR="0070133D" w:rsidRPr="00E162C4" w:rsidRDefault="00463061" w:rsidP="00D562A4">
      <w:pPr>
        <w:pStyle w:val="ListBullet"/>
      </w:pPr>
      <w:hyperlink r:id="rId52"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47EBEBA5" w14:textId="7A46C0EE" w:rsidR="002B76F2" w:rsidRPr="00E162C4" w:rsidRDefault="002B76F2" w:rsidP="00D562A4">
      <w:pPr>
        <w:pStyle w:val="ListBullet"/>
      </w:pPr>
      <w:r>
        <w:t xml:space="preserve">Submissions by email can be sent to </w:t>
      </w:r>
      <w:hyperlink r:id="rId53" w:history="1">
        <w:r w:rsidR="007130E5" w:rsidRPr="00CE562A">
          <w:rPr>
            <w:rStyle w:val="Hyperlink"/>
          </w:rPr>
          <w:t>ESL@acma.gov.au</w:t>
        </w:r>
      </w:hyperlink>
      <w:r w:rsidR="007130E5">
        <w:t xml:space="preserve">. </w:t>
      </w:r>
    </w:p>
    <w:p w14:paraId="114E3196" w14:textId="77777777" w:rsidR="006C1631" w:rsidRPr="00E162C4" w:rsidRDefault="006C1631" w:rsidP="00D562A4">
      <w:pPr>
        <w:pStyle w:val="ListBullet"/>
      </w:pPr>
      <w:r w:rsidRPr="00E162C4">
        <w:t xml:space="preserve">Submissions by post can be sent to: </w:t>
      </w:r>
    </w:p>
    <w:p w14:paraId="7FD11185" w14:textId="0CF54CC6" w:rsidR="006C1631" w:rsidRPr="001B574C" w:rsidRDefault="00DA5E53" w:rsidP="006C1631">
      <w:pPr>
        <w:tabs>
          <w:tab w:val="num" w:pos="295"/>
        </w:tabs>
        <w:spacing w:after="0"/>
        <w:ind w:left="295"/>
        <w:rPr>
          <w:szCs w:val="20"/>
        </w:rPr>
      </w:pPr>
      <w:r>
        <w:rPr>
          <w:szCs w:val="20"/>
        </w:rPr>
        <w:t>Sean McQueen</w:t>
      </w:r>
    </w:p>
    <w:p w14:paraId="4D10DE4E" w14:textId="5DEB7B26" w:rsidR="00142EDA" w:rsidRPr="001B574C" w:rsidRDefault="00142EDA" w:rsidP="006C1631">
      <w:pPr>
        <w:tabs>
          <w:tab w:val="num" w:pos="295"/>
        </w:tabs>
        <w:spacing w:after="0"/>
        <w:ind w:left="295"/>
        <w:rPr>
          <w:szCs w:val="20"/>
        </w:rPr>
      </w:pPr>
      <w:r w:rsidRPr="001B574C">
        <w:rPr>
          <w:szCs w:val="20"/>
        </w:rPr>
        <w:t xml:space="preserve">Australian Communications and </w:t>
      </w:r>
      <w:r w:rsidR="0011778A" w:rsidRPr="001B574C">
        <w:rPr>
          <w:szCs w:val="20"/>
        </w:rPr>
        <w:t>Media Authority</w:t>
      </w:r>
    </w:p>
    <w:p w14:paraId="19578139" w14:textId="2EFB135F" w:rsidR="0011778A" w:rsidRPr="001B574C" w:rsidRDefault="0011778A" w:rsidP="006C1631">
      <w:pPr>
        <w:tabs>
          <w:tab w:val="num" w:pos="295"/>
        </w:tabs>
        <w:spacing w:after="0"/>
        <w:ind w:left="295"/>
        <w:rPr>
          <w:szCs w:val="20"/>
        </w:rPr>
      </w:pPr>
      <w:r w:rsidRPr="001B574C">
        <w:rPr>
          <w:szCs w:val="20"/>
        </w:rPr>
        <w:t>PO Box 13112</w:t>
      </w:r>
    </w:p>
    <w:p w14:paraId="4F34FC78" w14:textId="2D56F83B" w:rsidR="0011778A" w:rsidRPr="001B574C" w:rsidRDefault="0011778A" w:rsidP="006C1631">
      <w:pPr>
        <w:tabs>
          <w:tab w:val="num" w:pos="295"/>
        </w:tabs>
        <w:spacing w:after="0"/>
        <w:ind w:left="295"/>
        <w:rPr>
          <w:szCs w:val="20"/>
        </w:rPr>
      </w:pPr>
      <w:r w:rsidRPr="001B574C">
        <w:rPr>
          <w:szCs w:val="20"/>
        </w:rPr>
        <w:t>Law Courts</w:t>
      </w:r>
    </w:p>
    <w:p w14:paraId="11ED66C8" w14:textId="21CF9642" w:rsidR="0011778A" w:rsidRPr="001B574C" w:rsidRDefault="0011778A" w:rsidP="006C1631">
      <w:pPr>
        <w:tabs>
          <w:tab w:val="num" w:pos="295"/>
        </w:tabs>
        <w:spacing w:after="0"/>
        <w:ind w:left="295"/>
        <w:rPr>
          <w:szCs w:val="20"/>
        </w:rPr>
      </w:pPr>
      <w:r w:rsidRPr="001B574C">
        <w:rPr>
          <w:szCs w:val="20"/>
        </w:rPr>
        <w:t xml:space="preserve">Melbourne </w:t>
      </w:r>
      <w:r w:rsidR="00496BC5" w:rsidRPr="001B574C">
        <w:rPr>
          <w:szCs w:val="20"/>
        </w:rPr>
        <w:t>VIC 8010</w:t>
      </w:r>
    </w:p>
    <w:p w14:paraId="75F15A29" w14:textId="77777777" w:rsidR="00142EDA" w:rsidRDefault="00142EDA" w:rsidP="006C1631">
      <w:pPr>
        <w:spacing w:after="0"/>
        <w:ind w:left="295"/>
        <w:rPr>
          <w:szCs w:val="20"/>
          <w:highlight w:val="yellow"/>
        </w:rPr>
      </w:pPr>
    </w:p>
    <w:p w14:paraId="5A3B67B7" w14:textId="126DBDA0" w:rsidR="006C1631" w:rsidRPr="00E162C4" w:rsidRDefault="006C1631" w:rsidP="006C1631">
      <w:r w:rsidRPr="00E162C4">
        <w:t xml:space="preserve">The closing date for submissions is COB, </w:t>
      </w:r>
      <w:r w:rsidR="008C6AFC">
        <w:rPr>
          <w:b/>
        </w:rPr>
        <w:t>Wednesday</w:t>
      </w:r>
      <w:r w:rsidR="008C6AFC" w:rsidRPr="001B574C">
        <w:rPr>
          <w:b/>
        </w:rPr>
        <w:t xml:space="preserve"> </w:t>
      </w:r>
      <w:r w:rsidR="0053468C" w:rsidRPr="001B574C">
        <w:rPr>
          <w:b/>
        </w:rPr>
        <w:t>15 May 2024</w:t>
      </w:r>
      <w:r w:rsidRPr="00E162C4">
        <w:t>.</w:t>
      </w:r>
    </w:p>
    <w:p w14:paraId="3406B032" w14:textId="2BEDFDE4" w:rsidR="006C1631" w:rsidRPr="00E162C4" w:rsidRDefault="006C1631" w:rsidP="006C1631">
      <w:pPr>
        <w:rPr>
          <w:szCs w:val="20"/>
        </w:rPr>
      </w:pPr>
      <w:r w:rsidRPr="00E162C4">
        <w:t xml:space="preserve">Consultation enquiries can be emailed </w:t>
      </w:r>
      <w:r w:rsidRPr="00E162C4">
        <w:rPr>
          <w:szCs w:val="20"/>
        </w:rPr>
        <w:t xml:space="preserve">to </w:t>
      </w:r>
      <w:hyperlink r:id="rId54" w:history="1">
        <w:r w:rsidR="00F164B8" w:rsidRPr="00CE562A">
          <w:rPr>
            <w:rStyle w:val="Hyperlink"/>
          </w:rPr>
          <w:t>ESL@acma.gov.au</w:t>
        </w:r>
      </w:hyperlink>
      <w:r w:rsidR="00F164B8">
        <w:t xml:space="preserve">. </w:t>
      </w:r>
    </w:p>
    <w:p w14:paraId="7FA24A66" w14:textId="77777777" w:rsidR="006C1631" w:rsidRPr="00E162C4" w:rsidRDefault="006C1631" w:rsidP="005B2F0D">
      <w:pPr>
        <w:pStyle w:val="Heading4"/>
      </w:pPr>
      <w:bookmarkStart w:id="56" w:name="_Toc348105639"/>
      <w:bookmarkStart w:id="57" w:name="_Toc300909558"/>
      <w:bookmarkStart w:id="58" w:name="_Hlk59627494"/>
      <w:bookmarkEnd w:id="52"/>
      <w:bookmarkEnd w:id="53"/>
      <w:r w:rsidRPr="00E162C4">
        <w:t>Publication of submissions</w:t>
      </w:r>
      <w:bookmarkEnd w:id="54"/>
      <w:bookmarkEnd w:id="55"/>
      <w:bookmarkEnd w:id="56"/>
      <w:bookmarkEnd w:id="57"/>
    </w:p>
    <w:p w14:paraId="100D1BE6" w14:textId="77777777" w:rsidR="006C1631" w:rsidRPr="00E162C4" w:rsidRDefault="006C5FD4" w:rsidP="006C1631">
      <w:bookmarkStart w:id="59" w:name="_Toc348105640"/>
      <w:bookmarkStart w:id="60" w:name="_Toc300909559"/>
      <w:bookmarkStart w:id="61"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61F40F4F" w14:textId="77777777" w:rsidR="006C1631" w:rsidRPr="00E162C4" w:rsidRDefault="006C1631" w:rsidP="006C1631">
      <w:r w:rsidRPr="00E162C4">
        <w:t>Confidential information will not be published or otherwise released unless required or authorised by law.</w:t>
      </w:r>
    </w:p>
    <w:p w14:paraId="6AFC31D9" w14:textId="77777777" w:rsidR="006C1631" w:rsidRPr="00E162C4" w:rsidRDefault="006C1631" w:rsidP="005B2F0D">
      <w:pPr>
        <w:pStyle w:val="Heading4"/>
      </w:pPr>
      <w:r w:rsidRPr="00E162C4">
        <w:t>Privacy</w:t>
      </w:r>
    </w:p>
    <w:p w14:paraId="68113E1A"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55"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59"/>
    <w:bookmarkEnd w:id="60"/>
    <w:bookmarkEnd w:id="61"/>
    <w:p w14:paraId="7888576A"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56" w:history="1">
        <w:r w:rsidR="00E21056" w:rsidRPr="00E162C4">
          <w:rPr>
            <w:rStyle w:val="Hyperlink"/>
          </w:rPr>
          <w:t>privacy policy</w:t>
        </w:r>
      </w:hyperlink>
      <w:r w:rsidRPr="00E162C4">
        <w:t>.</w:t>
      </w:r>
      <w:r w:rsidR="00A4193E" w:rsidRPr="00E162C4">
        <w:t xml:space="preserve"> </w:t>
      </w:r>
    </w:p>
    <w:p w14:paraId="3606037D" w14:textId="2AD29D26" w:rsidR="00D57398" w:rsidRDefault="00D57398" w:rsidP="00D57398">
      <w:pPr>
        <w:pStyle w:val="Heading1"/>
      </w:pPr>
      <w:bookmarkStart w:id="62" w:name="_Toc159360673"/>
      <w:bookmarkStart w:id="63" w:name="_Toc161756542"/>
      <w:bookmarkEnd w:id="58"/>
      <w:r>
        <w:lastRenderedPageBreak/>
        <w:t xml:space="preserve">Appendix </w:t>
      </w:r>
      <w:r w:rsidR="008043A4">
        <w:t>A</w:t>
      </w:r>
      <w:r w:rsidR="0048585A">
        <w:t>:</w:t>
      </w:r>
      <w:r w:rsidR="003345D3">
        <w:t xml:space="preserve"> </w:t>
      </w:r>
      <w:r>
        <w:t>Public interest criteria: issues and guidance for stakeholders</w:t>
      </w:r>
      <w:bookmarkEnd w:id="62"/>
      <w:bookmarkEnd w:id="63"/>
    </w:p>
    <w:p w14:paraId="1FC0B2C5" w14:textId="45399468" w:rsidR="00D57398" w:rsidRDefault="00D57398" w:rsidP="00D57398">
      <w:pPr>
        <w:pStyle w:val="Paragraph"/>
      </w:pPr>
      <w:r>
        <w:t xml:space="preserve">The material </w:t>
      </w:r>
      <w:r w:rsidR="00235439">
        <w:t xml:space="preserve">in this appendix </w:t>
      </w:r>
      <w:r>
        <w:t xml:space="preserve">largely reproduces material in our </w:t>
      </w:r>
      <w:hyperlink r:id="rId57" w:history="1">
        <w:r w:rsidR="000C1DBD">
          <w:rPr>
            <w:rStyle w:val="Hyperlink"/>
          </w:rPr>
          <w:t>ESL</w:t>
        </w:r>
        <w:r w:rsidRPr="007E3E1B">
          <w:rPr>
            <w:rStyle w:val="Hyperlink"/>
          </w:rPr>
          <w:t xml:space="preserve"> framework</w:t>
        </w:r>
      </w:hyperlink>
      <w:r>
        <w:t xml:space="preserve"> paper from December 2023. </w:t>
      </w:r>
    </w:p>
    <w:p w14:paraId="3E96F9AC" w14:textId="77777777" w:rsidR="00D57398" w:rsidRDefault="00D57398" w:rsidP="00D57398">
      <w:pPr>
        <w:pStyle w:val="Paragraph"/>
      </w:pPr>
      <w:r>
        <w:t>It is reproduced here for the convenience of stakeholders preparing submissions to the information request.</w:t>
      </w:r>
    </w:p>
    <w:p w14:paraId="40F5079D" w14:textId="2AFD021C" w:rsidR="00D57398" w:rsidRDefault="00D57398" w:rsidP="00D57398">
      <w:pPr>
        <w:pStyle w:val="Heading2"/>
      </w:pPr>
      <w:bookmarkStart w:id="64" w:name="_Toc159360674"/>
      <w:bookmarkStart w:id="65" w:name="_Toc160020897"/>
      <w:bookmarkStart w:id="66" w:name="_Toc161756543"/>
      <w:r>
        <w:t>Relevant resources</w:t>
      </w:r>
      <w:bookmarkEnd w:id="64"/>
      <w:bookmarkEnd w:id="65"/>
      <w:bookmarkEnd w:id="66"/>
    </w:p>
    <w:p w14:paraId="1331DA7E" w14:textId="170F8C6E" w:rsidR="00D57398" w:rsidRDefault="00D57398" w:rsidP="00D57398">
      <w:pPr>
        <w:pStyle w:val="Paragraphbeforelist"/>
      </w:pPr>
      <w:r>
        <w:t>In addition to the resources linked below, the following resources are provided for the convenience of stakeholders preparing submissions</w:t>
      </w:r>
      <w:r w:rsidR="0035728A">
        <w:t>:</w:t>
      </w:r>
    </w:p>
    <w:p w14:paraId="7A97E00C" w14:textId="5652CE4C" w:rsidR="00D57398" w:rsidRDefault="00463061" w:rsidP="004C33A7">
      <w:pPr>
        <w:pStyle w:val="Bulletlevel1"/>
      </w:pPr>
      <w:hyperlink r:id="rId58">
        <w:r w:rsidR="00D57398" w:rsidRPr="02DB97ED">
          <w:rPr>
            <w:rStyle w:val="Hyperlink"/>
          </w:rPr>
          <w:t>December 2022 Australian Communications and Media Authority Statement of Expectations</w:t>
        </w:r>
      </w:hyperlink>
      <w:r w:rsidR="00D57398">
        <w:t xml:space="preserve"> (the SoE)</w:t>
      </w:r>
      <w:r w:rsidR="008A42C2">
        <w:t xml:space="preserve"> </w:t>
      </w:r>
    </w:p>
    <w:p w14:paraId="581E6DBE" w14:textId="071F92BA" w:rsidR="0035728A" w:rsidRPr="008A42C2" w:rsidRDefault="008A42C2" w:rsidP="004C33A7">
      <w:pPr>
        <w:pStyle w:val="Bulletlevel1"/>
        <w:rPr>
          <w:rStyle w:val="Hyperlink"/>
        </w:rPr>
      </w:pPr>
      <w:r>
        <w:fldChar w:fldCharType="begin"/>
      </w:r>
      <w:r>
        <w:instrText>HYPERLINK "https://www.acma.gov.au/publications/2023-03/plan/acma-statement-intent"</w:instrText>
      </w:r>
      <w:r>
        <w:fldChar w:fldCharType="separate"/>
      </w:r>
      <w:r w:rsidR="00D57398" w:rsidRPr="008A42C2">
        <w:rPr>
          <w:rStyle w:val="Hyperlink"/>
        </w:rPr>
        <w:t>February 2023 Australian Communications and Media Authority Statement of Intent</w:t>
      </w:r>
      <w:r w:rsidR="00F0284D" w:rsidRPr="00392719">
        <w:t xml:space="preserve"> </w:t>
      </w:r>
      <w:r w:rsidR="00334530" w:rsidRPr="00392719">
        <w:t xml:space="preserve">(the </w:t>
      </w:r>
      <w:proofErr w:type="spellStart"/>
      <w:r w:rsidR="00334530" w:rsidRPr="00392719">
        <w:t>SoI</w:t>
      </w:r>
      <w:proofErr w:type="spellEnd"/>
      <w:r w:rsidR="00334530" w:rsidRPr="00392719">
        <w:t>)</w:t>
      </w:r>
    </w:p>
    <w:p w14:paraId="5D9A5592" w14:textId="3200E244" w:rsidR="0035728A" w:rsidRPr="008A42C2" w:rsidRDefault="008A42C2" w:rsidP="004C33A7">
      <w:pPr>
        <w:pStyle w:val="Bulletlevel1"/>
      </w:pPr>
      <w:r>
        <w:fldChar w:fldCharType="end"/>
      </w:r>
      <w:hyperlink r:id="rId59" w:history="1">
        <w:r w:rsidR="00D57398" w:rsidRPr="00DB4039">
          <w:rPr>
            <w:rStyle w:val="Hyperlink"/>
          </w:rPr>
          <w:t>December 2023 letter from the minister to the ACMA regarding policy priorities, MPS and licensing conditions</w:t>
        </w:r>
      </w:hyperlink>
    </w:p>
    <w:p w14:paraId="775CA450" w14:textId="599C238F" w:rsidR="00B4103C" w:rsidRPr="00B4103C" w:rsidRDefault="00463061" w:rsidP="004C33A7">
      <w:pPr>
        <w:pStyle w:val="Bulletlevel1last"/>
      </w:pPr>
      <w:hyperlink r:id="rId60" w:history="1">
        <w:r w:rsidR="008A42C2" w:rsidRPr="00AD5A4A">
          <w:rPr>
            <w:rStyle w:val="Hyperlink"/>
          </w:rPr>
          <w:t>t</w:t>
        </w:r>
        <w:r w:rsidR="0CE0BDBB" w:rsidRPr="00AD5A4A">
          <w:rPr>
            <w:rStyle w:val="Hyperlink"/>
          </w:rPr>
          <w:t>he Department of Infrastructure, Transport, Regional Development, Communications and the Arts’ consultation on the draft M</w:t>
        </w:r>
        <w:r w:rsidR="68B1C404" w:rsidRPr="00AD5A4A">
          <w:rPr>
            <w:rStyle w:val="Hyperlink"/>
          </w:rPr>
          <w:t>PS.</w:t>
        </w:r>
      </w:hyperlink>
    </w:p>
    <w:p w14:paraId="4FA59AFA" w14:textId="481021B9" w:rsidR="00D57398" w:rsidRDefault="00D57398" w:rsidP="007D33E4">
      <w:pPr>
        <w:pStyle w:val="Heading2"/>
      </w:pPr>
      <w:bookmarkStart w:id="67" w:name="_Toc149065097"/>
      <w:bookmarkStart w:id="68" w:name="_Toc153795069"/>
      <w:bookmarkStart w:id="69" w:name="_Toc159360675"/>
      <w:bookmarkStart w:id="70" w:name="_Toc160020898"/>
      <w:bookmarkStart w:id="71" w:name="_Toc161756544"/>
      <w:r>
        <w:t>Public interest criteria</w:t>
      </w:r>
      <w:bookmarkEnd w:id="67"/>
      <w:bookmarkEnd w:id="68"/>
      <w:bookmarkEnd w:id="69"/>
      <w:bookmarkEnd w:id="70"/>
      <w:bookmarkEnd w:id="71"/>
    </w:p>
    <w:p w14:paraId="5F31DFF8" w14:textId="5E47E5BC" w:rsidR="00FA5DBB" w:rsidRDefault="00FA5DBB" w:rsidP="00F53C4E">
      <w:pPr>
        <w:pStyle w:val="Figureheading"/>
      </w:pPr>
      <w:r>
        <w:t xml:space="preserve">Public interest criteria </w:t>
      </w:r>
    </w:p>
    <w:p w14:paraId="176A13F9" w14:textId="3045C2AE" w:rsidR="00FA5DBB" w:rsidRDefault="00FA5DBB" w:rsidP="00FA5DBB">
      <w:pPr>
        <w:pStyle w:val="Paragraph"/>
      </w:pPr>
      <w:r w:rsidRPr="00CC3CA3">
        <w:rPr>
          <w:noProof/>
        </w:rPr>
        <w:drawing>
          <wp:inline distT="0" distB="0" distL="0" distR="0" wp14:anchorId="4A5F6A80" wp14:editId="59E78B9A">
            <wp:extent cx="5484772" cy="3656514"/>
            <wp:effectExtent l="0" t="0" r="0" b="1270"/>
            <wp:docPr id="5" name="Diagram 5" descr="Public interest&#10;facilitates efficiency&#10;promotes investment and innovation&#10;enhances competition&#10;balances public benefits and Impacts&#10;supports relevant policy objectives and priorities&#10;">
              <a:extLst xmlns:a="http://schemas.openxmlformats.org/drawingml/2006/main">
                <a:ext uri="{FF2B5EF4-FFF2-40B4-BE49-F238E27FC236}">
                  <a16:creationId xmlns:a16="http://schemas.microsoft.com/office/drawing/2014/main" id="{DC7967E4-1E6D-9217-27FD-B9DC60B92B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1F373D7E" w14:textId="26E9B9B3" w:rsidR="00D57398" w:rsidRPr="007B634F" w:rsidRDefault="00D57398" w:rsidP="00D57398">
      <w:pPr>
        <w:pStyle w:val="Heading3"/>
      </w:pPr>
      <w:bookmarkStart w:id="72" w:name="_Toc149065098"/>
      <w:r w:rsidRPr="00DB309C">
        <w:lastRenderedPageBreak/>
        <w:t xml:space="preserve">Criterion 1: </w:t>
      </w:r>
      <w:r>
        <w:t>f</w:t>
      </w:r>
      <w:r w:rsidRPr="00DB309C">
        <w:t xml:space="preserve">acilitates </w:t>
      </w:r>
      <w:proofErr w:type="gramStart"/>
      <w:r w:rsidRPr="00DB309C">
        <w:t>efficiency</w:t>
      </w:r>
      <w:bookmarkEnd w:id="72"/>
      <w:proofErr w:type="gramEnd"/>
    </w:p>
    <w:p w14:paraId="253EC7FE" w14:textId="260F4379" w:rsidR="00D57398" w:rsidRDefault="00D57398" w:rsidP="00D57398">
      <w:pPr>
        <w:pStyle w:val="Paragraph"/>
      </w:pPr>
      <w:r>
        <w:t xml:space="preserve">This criterion is closely tied to the object of the </w:t>
      </w:r>
      <w:r w:rsidR="5555EBCF" w:rsidRPr="6552B335">
        <w:rPr>
          <w:rFonts w:eastAsia="Arial"/>
          <w:i/>
        </w:rPr>
        <w:t xml:space="preserve">Radiocommunications Act 1992 </w:t>
      </w:r>
      <w:r w:rsidR="5555EBCF" w:rsidRPr="6552B335">
        <w:rPr>
          <w:rFonts w:eastAsia="Arial"/>
        </w:rPr>
        <w:t>(the Act)</w:t>
      </w:r>
      <w:r>
        <w:t>, part of which is to promote the long-term public interest derived from the use of the spectrum in a manner that facilitates the efficient planning, allocation and use of the spectrum.</w:t>
      </w:r>
    </w:p>
    <w:p w14:paraId="748B1E1B" w14:textId="6FA20287" w:rsidR="00D57398" w:rsidRDefault="00D57398" w:rsidP="00D57398">
      <w:pPr>
        <w:pStyle w:val="Paragraph"/>
      </w:pPr>
      <w:r>
        <w:t>The minister has also identified a policy priority specified in the SoE as relevant to</w:t>
      </w:r>
      <w:r w:rsidRPr="6552B335">
        <w:rPr>
          <w:rFonts w:eastAsia="Arial"/>
        </w:rPr>
        <w:t xml:space="preserve"> </w:t>
      </w:r>
      <w:r w:rsidR="0624DF5A" w:rsidRPr="6552B335">
        <w:rPr>
          <w:rFonts w:eastAsia="Arial"/>
        </w:rPr>
        <w:t>expiring spectrum licences (ESLs)</w:t>
      </w:r>
      <w:r>
        <w:t xml:space="preserve">, which is promoting the long-term public interest derived from spectrum, including the benefits of technological developments that improve spectrum utilisation and efficiency. Promoting, among other things, adoption of new and emerging technologies (which, in our view, are typically more efficient at using the spectrum resource) is also a priority in the SoE that the minister identified as being relevant to ESLs. The minister has also proposed specifying opportunities for new entrants and use cases, including for </w:t>
      </w:r>
      <w:proofErr w:type="spellStart"/>
      <w:r>
        <w:t>LEOsats</w:t>
      </w:r>
      <w:proofErr w:type="spellEnd"/>
      <w:r>
        <w:t xml:space="preserve"> in the proposed MPS, and there may be new entrants and use</w:t>
      </w:r>
      <w:r w:rsidR="0022165E">
        <w:t xml:space="preserve"> </w:t>
      </w:r>
      <w:r>
        <w:t xml:space="preserve">cases that could use spectrum covered by ESLs in ways that are efficient, and generate economic value and social benefits.  </w:t>
      </w:r>
    </w:p>
    <w:p w14:paraId="180EF2EA" w14:textId="77777777" w:rsidR="00D57398" w:rsidRDefault="00D57398" w:rsidP="00D57398">
      <w:pPr>
        <w:pStyle w:val="Paragraph"/>
      </w:pPr>
      <w:r>
        <w:t>We will frame our consideration of efficiency around the concepts of productive, allocative and dynamic efficiency.</w:t>
      </w:r>
      <w:r>
        <w:rPr>
          <w:rStyle w:val="FootnoteReference"/>
        </w:rPr>
        <w:footnoteReference w:id="32"/>
      </w:r>
      <w:r>
        <w:t xml:space="preserve"> </w:t>
      </w:r>
    </w:p>
    <w:p w14:paraId="1089AD4A" w14:textId="77777777" w:rsidR="00D57398" w:rsidRDefault="00D57398" w:rsidP="00D57398">
      <w:pPr>
        <w:pStyle w:val="Paragraph"/>
      </w:pPr>
      <w:r>
        <w:t>We also note, with closer reference to spectrum in particular, that efficient use of the spectrum involves maximising the value of outputs produced from the available spectrum, including those that are ‘public outputs’ provided by non-commercial operators.</w:t>
      </w:r>
      <w:r>
        <w:rPr>
          <w:rStyle w:val="FootnoteReference"/>
        </w:rPr>
        <w:footnoteReference w:id="33"/>
      </w:r>
    </w:p>
    <w:p w14:paraId="0CC99ECB" w14:textId="77777777" w:rsidR="00D57398" w:rsidRDefault="00D57398" w:rsidP="00D57398">
      <w:pPr>
        <w:pStyle w:val="Paragraph"/>
      </w:pPr>
      <w:r>
        <w:t>Together, these concepts will allow stakeholders and the ACMA to consider technical elements of spectrum use and management, the societal benefit, and an overall long-term view on whether changes in technologies, users and uses are optimising use of the spectrum.</w:t>
      </w:r>
    </w:p>
    <w:p w14:paraId="2DDD79FC" w14:textId="77777777" w:rsidR="00D57398" w:rsidRDefault="00D57398" w:rsidP="00D57398">
      <w:pPr>
        <w:pStyle w:val="Paragraph"/>
      </w:pPr>
      <w:r>
        <w:t>We consider providing a service within a geographic area covered by an ESL should be considered as a matter of efficiency. Unlike other natural resources, spectrum is a non-depletable, infinitely renewable resource,</w:t>
      </w:r>
      <w:r w:rsidDel="00DD26D6">
        <w:t xml:space="preserve"> </w:t>
      </w:r>
      <w:r>
        <w:t>and so there is an in-principle argument that unused spectrum forgoes potential value generated in the economy.</w:t>
      </w:r>
      <w:r>
        <w:rPr>
          <w:rStyle w:val="FootnoteReference"/>
        </w:rPr>
        <w:footnoteReference w:id="34"/>
      </w:r>
      <w:r>
        <w:t xml:space="preserve"> There may be instances where unused or under-utilised spectrum is efficient or in the public interest (for example, the licensee may have future plans for that spectrum, or its limited use could be an interference-management strategy). However, we are interested in patterns of long-term unused or under-utilised spectrum – either by the licensee or considering the absence of any trades or third-party authorisations, as spectrum may not be being put to its most economically efficient and productive use. </w:t>
      </w:r>
    </w:p>
    <w:p w14:paraId="249D80C8" w14:textId="77777777" w:rsidR="00D57398" w:rsidRDefault="00D57398" w:rsidP="00D57398">
      <w:pPr>
        <w:pStyle w:val="Paragraph"/>
      </w:pPr>
      <w:r>
        <w:t xml:space="preserve">We note that much of the sub-1 GHz spectrum subject to Australia-wide licensing arrangements covered by ESLs has been refarmed for multiple generations of technology to support Australian business and consumers. This would be a positive indication of efficient use of the spectrum: the essential physical properties of the </w:t>
      </w:r>
      <w:r>
        <w:lastRenderedPageBreak/>
        <w:t>spectrum are fixed, and its productive capacity greatly depends on the type of technology used.</w:t>
      </w:r>
      <w:r>
        <w:rPr>
          <w:rStyle w:val="FootnoteReference"/>
        </w:rPr>
        <w:footnoteReference w:id="35"/>
      </w:r>
      <w:r>
        <w:t xml:space="preserve"> </w:t>
      </w:r>
    </w:p>
    <w:p w14:paraId="49623007" w14:textId="77777777" w:rsidR="00D57398" w:rsidRDefault="00D57398" w:rsidP="00D57398">
      <w:pPr>
        <w:pStyle w:val="Paragraph"/>
      </w:pPr>
      <w:r>
        <w:t xml:space="preserve">However, we also note that this spectrum is almost entirely allocated, and the ESL process could shape how that spectrum is used over the next 20 years. The Act provides for licensees to subdivide and trade their spectrum licences, and this arrangement can facilitate allocatively and dynamically efficient outcomes. If there is alternative demand for allocated, but underutilised, spectrum, we will consider if the current arrangements are allocatively and dynamically efficient. </w:t>
      </w:r>
    </w:p>
    <w:p w14:paraId="56D95F4C" w14:textId="77777777" w:rsidR="00D57398" w:rsidRDefault="00D57398" w:rsidP="00D57398">
      <w:pPr>
        <w:pStyle w:val="Heading4"/>
      </w:pPr>
      <w:r>
        <w:t>Guidance for stakeholders</w:t>
      </w:r>
    </w:p>
    <w:p w14:paraId="6C29CFE2" w14:textId="77777777" w:rsidR="00D57398" w:rsidRDefault="00D57398" w:rsidP="00D57398">
      <w:pPr>
        <w:pStyle w:val="Paragraph"/>
      </w:pPr>
      <w:r>
        <w:t>We encourage incumbents to illustrate how their use of the spectrum has delivered against these concepts of efficiency, with reference to the object of the Act and the relevant priorities in the SoE.</w:t>
      </w:r>
    </w:p>
    <w:p w14:paraId="1B18F2D0" w14:textId="252E24A7" w:rsidR="00D57398" w:rsidRDefault="00D57398" w:rsidP="00D57398">
      <w:pPr>
        <w:pStyle w:val="Paragraph"/>
      </w:pPr>
      <w:r>
        <w:t>Prospective licensees should be able to illustrate how their alternative use of the spectrum could generate economic value or social benefits in ways that incumbents have not or may be unlikely to.</w:t>
      </w:r>
    </w:p>
    <w:p w14:paraId="2727C3A5" w14:textId="0CCD8D0C" w:rsidR="00D57398" w:rsidRPr="007B634F" w:rsidRDefault="00D57398" w:rsidP="00D57398">
      <w:pPr>
        <w:pStyle w:val="Heading3"/>
      </w:pPr>
      <w:bookmarkStart w:id="73" w:name="_Toc149065099"/>
      <w:r w:rsidRPr="00DB309C">
        <w:t>Criterion 2: promotes investment and innovation</w:t>
      </w:r>
      <w:bookmarkEnd w:id="73"/>
    </w:p>
    <w:p w14:paraId="3B895F9E" w14:textId="77777777" w:rsidR="00D57398" w:rsidRPr="007B634F" w:rsidRDefault="00D57398" w:rsidP="00D57398">
      <w:pPr>
        <w:pStyle w:val="Paragraph"/>
      </w:pPr>
      <w:r>
        <w:t>I</w:t>
      </w:r>
      <w:r w:rsidRPr="007B634F">
        <w:t xml:space="preserve">nvestment and innovation </w:t>
      </w:r>
      <w:r>
        <w:t>are</w:t>
      </w:r>
      <w:r w:rsidRPr="007B634F">
        <w:t xml:space="preserve"> related to, and can encourage, efficient use of the spectrum.</w:t>
      </w:r>
    </w:p>
    <w:p w14:paraId="2025FF9A" w14:textId="08D465A4" w:rsidR="00D57398" w:rsidRPr="007B634F" w:rsidRDefault="00D57398" w:rsidP="00D57398">
      <w:pPr>
        <w:pStyle w:val="Paragraph"/>
      </w:pPr>
      <w:r w:rsidRPr="007B634F">
        <w:t xml:space="preserve">Spectrum licences are typically optimised to support major technology milestones, such as the next generation of </w:t>
      </w:r>
      <w:r>
        <w:t>wireless broadband</w:t>
      </w:r>
      <w:r w:rsidR="3C54AAF8">
        <w:t xml:space="preserve"> (WBB)</w:t>
      </w:r>
      <w:r>
        <w:t>,</w:t>
      </w:r>
      <w:r w:rsidRPr="007B634F">
        <w:t xml:space="preserve"> but are also designed to be technology flexible, meaning that licensees have few</w:t>
      </w:r>
      <w:r>
        <w:t>er</w:t>
      </w:r>
      <w:r w:rsidRPr="007B634F">
        <w:t xml:space="preserve"> regulatory barriers to adapt their business strategies</w:t>
      </w:r>
      <w:r w:rsidRPr="007B634F" w:rsidDel="0048248B">
        <w:t xml:space="preserve"> </w:t>
      </w:r>
      <w:r w:rsidRPr="007B634F">
        <w:t xml:space="preserve">to invest and innovate for the long-term, and </w:t>
      </w:r>
      <w:r>
        <w:t xml:space="preserve">quickly </w:t>
      </w:r>
      <w:r w:rsidRPr="007B634F">
        <w:t xml:space="preserve">respond to new developments. </w:t>
      </w:r>
      <w:r>
        <w:t xml:space="preserve">They also provide licensees with considerable flexibility to deploy and operate equipment as necessary, subject to the technical framework, throughout the licensed spectrum space, enabling licensees to change and adapt their use over time without acquiring new licences. </w:t>
      </w:r>
    </w:p>
    <w:p w14:paraId="6CCB6A32" w14:textId="0E0003EA" w:rsidR="00D57398" w:rsidRPr="007B634F" w:rsidRDefault="00D57398" w:rsidP="00D57398">
      <w:pPr>
        <w:pStyle w:val="Paragraph"/>
      </w:pPr>
      <w:r>
        <w:t>P</w:t>
      </w:r>
      <w:r w:rsidRPr="007B634F">
        <w:t>romoting investment, innovation and the adoption of new and emerging technologies, while continuing to safeguard the interests of consumers and small businesses</w:t>
      </w:r>
      <w:r>
        <w:t>,</w:t>
      </w:r>
      <w:r w:rsidRPr="007B634F">
        <w:t xml:space="preserve"> is a</w:t>
      </w:r>
      <w:r>
        <w:t xml:space="preserve"> priority contained in the SoE that the minister identified as being relevant to ESLs</w:t>
      </w:r>
      <w:r w:rsidRPr="007B634F">
        <w:t xml:space="preserve">. </w:t>
      </w:r>
      <w:r>
        <w:t>The minister has also indicated that capacity for sustained investment and innovation may be a policy priority specified in the proposed MPS. S</w:t>
      </w:r>
      <w:r w:rsidRPr="007B634F">
        <w:t>upporting the deployment of new and innovative technology, including 5G in the 3.4</w:t>
      </w:r>
      <w:r>
        <w:t>–</w:t>
      </w:r>
      <w:r w:rsidRPr="007B634F">
        <w:t>4 GHz band</w:t>
      </w:r>
      <w:r>
        <w:t>,</w:t>
      </w:r>
      <w:r w:rsidRPr="007B634F">
        <w:t xml:space="preserve"> is also a policy objective of the</w:t>
      </w:r>
      <w:r>
        <w:t xml:space="preserve"> </w:t>
      </w:r>
      <w:hyperlink r:id="rId66">
        <w:r w:rsidRPr="1B2EAF98">
          <w:rPr>
            <w:rStyle w:val="Hyperlink"/>
          </w:rPr>
          <w:t>2022 Ministerial Policy Statement (MPS) for the 3.4 – 4.0 GHz spectrum band</w:t>
        </w:r>
      </w:hyperlink>
      <w:r>
        <w:t xml:space="preserve"> </w:t>
      </w:r>
      <w:r w:rsidR="1E8A5F72">
        <w:t xml:space="preserve">(the </w:t>
      </w:r>
      <w:r>
        <w:t>3.4 GHz</w:t>
      </w:r>
      <w:r w:rsidRPr="007B634F">
        <w:t xml:space="preserve"> MPS</w:t>
      </w:r>
      <w:r w:rsidR="78802E58">
        <w:t>)</w:t>
      </w:r>
      <w:r>
        <w:t xml:space="preserve"> (although we note that the minister’s letter signals an intention to repeal this instrument)</w:t>
      </w:r>
      <w:r w:rsidRPr="007B634F">
        <w:t xml:space="preserve">. </w:t>
      </w:r>
    </w:p>
    <w:p w14:paraId="52B5E34B" w14:textId="77777777" w:rsidR="00D57398" w:rsidRPr="007B634F" w:rsidRDefault="00D57398" w:rsidP="00D57398">
      <w:pPr>
        <w:pStyle w:val="Paragraph"/>
      </w:pPr>
      <w:r>
        <w:t>A</w:t>
      </w:r>
      <w:r w:rsidRPr="007B634F">
        <w:t>dvanced radiofrequency communications, including 5G and 6G</w:t>
      </w:r>
      <w:r>
        <w:t>,</w:t>
      </w:r>
      <w:r w:rsidRPr="007B634F">
        <w:t xml:space="preserve"> </w:t>
      </w:r>
      <w:r>
        <w:t xml:space="preserve">are considered to be </w:t>
      </w:r>
      <w:hyperlink r:id="rId67" w:history="1">
        <w:r>
          <w:rPr>
            <w:rStyle w:val="Hyperlink"/>
          </w:rPr>
          <w:t>c</w:t>
        </w:r>
        <w:r w:rsidRPr="00FE636D">
          <w:rPr>
            <w:rStyle w:val="Hyperlink"/>
          </w:rPr>
          <w:t xml:space="preserve">ritical </w:t>
        </w:r>
        <w:r>
          <w:rPr>
            <w:rStyle w:val="Hyperlink"/>
          </w:rPr>
          <w:t>t</w:t>
        </w:r>
        <w:r w:rsidRPr="00FE636D">
          <w:rPr>
            <w:rStyle w:val="Hyperlink"/>
          </w:rPr>
          <w:t>echnologies</w:t>
        </w:r>
      </w:hyperlink>
      <w:r w:rsidRPr="007B634F">
        <w:t xml:space="preserve"> that can impact Australia’s national interest, including economic prosperity, national security and social cohesion</w:t>
      </w:r>
      <w:r>
        <w:t>.</w:t>
      </w:r>
      <w:r w:rsidRPr="007B634F">
        <w:t xml:space="preserve"> </w:t>
      </w:r>
      <w:r>
        <w:t>E</w:t>
      </w:r>
      <w:r w:rsidRPr="007B634F">
        <w:t xml:space="preserve">ncouraging uptake </w:t>
      </w:r>
      <w:r>
        <w:t xml:space="preserve">of these technologies </w:t>
      </w:r>
      <w:r w:rsidRPr="007B634F">
        <w:t>across the economy, and encouraging local and international investment</w:t>
      </w:r>
      <w:r>
        <w:t>, would likely be conducive to the public interest</w:t>
      </w:r>
      <w:r w:rsidRPr="007B634F">
        <w:t>.</w:t>
      </w:r>
    </w:p>
    <w:p w14:paraId="26DD9A13" w14:textId="5993D842" w:rsidR="00D57398" w:rsidRPr="00044CF9" w:rsidRDefault="00D57398" w:rsidP="00D57398">
      <w:pPr>
        <w:pStyle w:val="Paragraph"/>
      </w:pPr>
      <w:r w:rsidRPr="00044CF9">
        <w:t xml:space="preserve">Technological and digital transformation is one of the 5 major domestic and global forces that the </w:t>
      </w:r>
      <w:hyperlink r:id="rId68" w:history="1">
        <w:r w:rsidRPr="00B42F71">
          <w:rPr>
            <w:rStyle w:val="Hyperlink"/>
            <w:i/>
          </w:rPr>
          <w:t>Intergenerational report 2023</w:t>
        </w:r>
      </w:hyperlink>
      <w:r>
        <w:t xml:space="preserve"> </w:t>
      </w:r>
      <w:r w:rsidRPr="00044CF9">
        <w:t>considers will continue to shape Australia’s future path of economic growth and the composition of the economy</w:t>
      </w:r>
      <w:r>
        <w:t>. T</w:t>
      </w:r>
      <w:r w:rsidRPr="00044CF9">
        <w:t xml:space="preserve">he </w:t>
      </w:r>
      <w:r w:rsidRPr="00044CF9">
        <w:lastRenderedPageBreak/>
        <w:t>public mobile network service market</w:t>
      </w:r>
      <w:r>
        <w:t>, for example,</w:t>
      </w:r>
      <w:r w:rsidRPr="00044CF9">
        <w:t xml:space="preserve"> was worth $12.4 billion in 2021, and is expected to grow to $14.7 billion over the next </w:t>
      </w:r>
      <w:r w:rsidR="710CEB29" w:rsidRPr="00044CF9">
        <w:t>5</w:t>
      </w:r>
      <w:r w:rsidRPr="00044CF9">
        <w:t xml:space="preserve"> years.</w:t>
      </w:r>
      <w:r w:rsidRPr="00044CF9">
        <w:rPr>
          <w:rStyle w:val="FootnoteReference"/>
        </w:rPr>
        <w:footnoteReference w:id="36"/>
      </w:r>
      <w:r w:rsidRPr="00044CF9">
        <w:t xml:space="preserve"> </w:t>
      </w:r>
    </w:p>
    <w:p w14:paraId="1E6C9EF9" w14:textId="77777777" w:rsidR="00D57398" w:rsidRPr="002D7723" w:rsidRDefault="00D57398" w:rsidP="00D57398">
      <w:pPr>
        <w:pStyle w:val="Paragraph"/>
      </w:pPr>
      <w:r w:rsidRPr="002D7723">
        <w:t xml:space="preserve">Increasing demand for mobile data has implications for Australian networks, requiring increased capacity, and investment and innovation in how spectrum is used. </w:t>
      </w:r>
    </w:p>
    <w:p w14:paraId="481B88A7" w14:textId="77777777" w:rsidR="00D57398" w:rsidRPr="002D7723" w:rsidRDefault="00D57398" w:rsidP="00D57398">
      <w:pPr>
        <w:pStyle w:val="Paragraph"/>
      </w:pPr>
      <w:r w:rsidRPr="002D7723">
        <w:t xml:space="preserve">Our consideration of innovation is not confined to new technology. New or proposed business or deployment models (for example, passive and </w:t>
      </w:r>
      <w:r>
        <w:t xml:space="preserve">other </w:t>
      </w:r>
      <w:r w:rsidRPr="002D7723">
        <w:t xml:space="preserve">sharing models), investment strategies, partnerships, and </w:t>
      </w:r>
      <w:r>
        <w:t xml:space="preserve">novel </w:t>
      </w:r>
      <w:r w:rsidRPr="002D7723">
        <w:t xml:space="preserve">use of </w:t>
      </w:r>
      <w:r>
        <w:t xml:space="preserve">established </w:t>
      </w:r>
      <w:r w:rsidRPr="002D7723">
        <w:t xml:space="preserve">technologies, are also examples of innovation. </w:t>
      </w:r>
    </w:p>
    <w:p w14:paraId="63565278" w14:textId="2DA003B9" w:rsidR="00D57398" w:rsidRDefault="00D57398" w:rsidP="00D57398">
      <w:pPr>
        <w:pStyle w:val="Paragraph"/>
      </w:pPr>
      <w:r w:rsidRPr="002D7723">
        <w:t xml:space="preserve">For example, we note in our </w:t>
      </w:r>
      <w:hyperlink r:id="rId69" w:history="1">
        <w:r w:rsidRPr="00CB6239">
          <w:rPr>
            <w:rStyle w:val="Hyperlink"/>
          </w:rPr>
          <w:t>private wireless networks market study</w:t>
        </w:r>
      </w:hyperlink>
      <w:r w:rsidRPr="002D7723">
        <w:t xml:space="preserve"> </w:t>
      </w:r>
      <w:r>
        <w:t xml:space="preserve">that </w:t>
      </w:r>
      <w:r w:rsidRPr="002D7723">
        <w:t xml:space="preserve">private 4G and 5G networks typically rely on the same technology as public </w:t>
      </w:r>
      <w:r w:rsidR="7D57B440" w:rsidRPr="002D7723">
        <w:t>WBB</w:t>
      </w:r>
      <w:r>
        <w:t xml:space="preserve"> </w:t>
      </w:r>
      <w:r w:rsidRPr="002D7723">
        <w:t xml:space="preserve">networks; the main difference </w:t>
      </w:r>
      <w:r>
        <w:t xml:space="preserve">is </w:t>
      </w:r>
      <w:r w:rsidRPr="002D7723">
        <w:t>access to spectrum and control over network performance.</w:t>
      </w:r>
      <w:r w:rsidRPr="00044CF9">
        <w:t xml:space="preserve"> According</w:t>
      </w:r>
      <w:r>
        <w:t xml:space="preserve"> to some industry analysts and experts, private wireless networks will induce a fourth industrial revolution of highly automated and efficient production. Governments are monitoring progress of the deployment of private networks and funding trials that include deploying private networks to encourage innovation.</w:t>
      </w:r>
      <w:r>
        <w:rPr>
          <w:rStyle w:val="FootnoteReference"/>
        </w:rPr>
        <w:footnoteReference w:id="37"/>
      </w:r>
      <w:r>
        <w:t xml:space="preserve"> T</w:t>
      </w:r>
      <w:r w:rsidRPr="008C5BE9">
        <w:t xml:space="preserve">he Australian </w:t>
      </w:r>
      <w:r>
        <w:t>private wireless network</w:t>
      </w:r>
      <w:r w:rsidRPr="008C5BE9">
        <w:t xml:space="preserve"> market </w:t>
      </w:r>
      <w:r>
        <w:t xml:space="preserve">was valued </w:t>
      </w:r>
      <w:r w:rsidRPr="008C5BE9">
        <w:t>at $130</w:t>
      </w:r>
      <w:r>
        <w:t> </w:t>
      </w:r>
      <w:r w:rsidRPr="008C5BE9">
        <w:t>million in 2021.</w:t>
      </w:r>
      <w:r>
        <w:t xml:space="preserve"> </w:t>
      </w:r>
      <w:r w:rsidRPr="008C5BE9">
        <w:t>It</w:t>
      </w:r>
      <w:r>
        <w:t xml:space="preserve"> is</w:t>
      </w:r>
      <w:r w:rsidRPr="008C5BE9">
        <w:t xml:space="preserve"> </w:t>
      </w:r>
      <w:r>
        <w:t>predicted that t</w:t>
      </w:r>
      <w:r w:rsidRPr="008C5BE9">
        <w:t xml:space="preserve">he market </w:t>
      </w:r>
      <w:r>
        <w:t>will</w:t>
      </w:r>
      <w:r w:rsidRPr="008C5BE9">
        <w:t xml:space="preserve"> grow nearly 30% annually over the next 5 years to be worth $695 million by 2027.</w:t>
      </w:r>
      <w:r w:rsidRPr="008C5BE9">
        <w:rPr>
          <w:rStyle w:val="FootnoteReference"/>
        </w:rPr>
        <w:footnoteReference w:id="38"/>
      </w:r>
      <w:r w:rsidRPr="008C5BE9">
        <w:t xml:space="preserve"> </w:t>
      </w:r>
      <w:r>
        <w:t xml:space="preserve">However, the rate of deployment will depend on both business demand for automation and – relevantly for ESL considerations – access to spectrum. </w:t>
      </w:r>
    </w:p>
    <w:p w14:paraId="01A6C3B4" w14:textId="75E4A6A3" w:rsidR="00D57398" w:rsidRDefault="00D57398" w:rsidP="00D57398">
      <w:pPr>
        <w:pStyle w:val="Paragraph"/>
      </w:pPr>
      <w:r>
        <w:t>Mid-band spectrum is often highly desirable for private wireless networks, due to equipment availability and the types of localised business cases. However, we have received feedback that low, or certain mid-band (1800–2100 MHz</w:t>
      </w:r>
      <w:r w:rsidDel="00B8237C">
        <w:t xml:space="preserve"> </w:t>
      </w:r>
      <w:r>
        <w:t>and parts of 3.4–4.0 GHz) spectrum is preferrable in many cases, and that much of this spectrum is covered by ESLs.</w:t>
      </w:r>
      <w:r w:rsidRPr="00524FC7">
        <w:t xml:space="preserve"> </w:t>
      </w:r>
      <w:r>
        <w:t>Some governments around the world have reserved spectrum for private industrial applications.</w:t>
      </w:r>
      <w:r>
        <w:rPr>
          <w:rStyle w:val="FootnoteReference"/>
        </w:rPr>
        <w:footnoteReference w:id="39"/>
      </w:r>
      <w:r>
        <w:t xml:space="preserve"> And there is a strong, positive correlation between private wireless network deployment and governments making spectrum available for industrial purposes or private wireless networks.</w:t>
      </w:r>
      <w:r>
        <w:rPr>
          <w:rStyle w:val="FootnoteReference"/>
        </w:rPr>
        <w:footnoteReference w:id="40"/>
      </w:r>
      <w:r>
        <w:t xml:space="preserve"> In Australia, we have made apparatus- and class-licensing arrangements available in several bands that could be used to support private networks and industrial applications. We recently allocated area-wide licences (AWLs) in 3.4–4.0 GHz in remote areas. We are also AWL arrangements in the 3.8 GHz band for metropolitan and regional areas that could also be used to support private networks, with the intention to begin allocation in 2024. </w:t>
      </w:r>
    </w:p>
    <w:p w14:paraId="75AE7866" w14:textId="77777777" w:rsidR="00D57398" w:rsidRDefault="00D57398" w:rsidP="00D57398">
      <w:pPr>
        <w:pStyle w:val="Heading4"/>
      </w:pPr>
      <w:r>
        <w:t>Guidance for stakeholders</w:t>
      </w:r>
    </w:p>
    <w:p w14:paraId="414DE11C" w14:textId="77777777" w:rsidR="00D57398" w:rsidRDefault="00D57398" w:rsidP="00D57398">
      <w:pPr>
        <w:pStyle w:val="Paragraph"/>
      </w:pPr>
      <w:r>
        <w:t>In engaging with us, we encourage incumbent stakeholders to illustrate how their historical, current and future investment strategies have facilitated innovation that has served the public interest.</w:t>
      </w:r>
    </w:p>
    <w:p w14:paraId="63C1BE85" w14:textId="77777777" w:rsidR="00D57398" w:rsidRDefault="00D57398" w:rsidP="00D57398">
      <w:pPr>
        <w:pStyle w:val="Paragraph"/>
      </w:pPr>
      <w:r>
        <w:t xml:space="preserve">We encourage prospective licensees to demonstrate how alternative uses or users of the spectrum could facilitate new opportunities for investment and innovation. </w:t>
      </w:r>
    </w:p>
    <w:p w14:paraId="1AB6DBDF" w14:textId="20F111FF" w:rsidR="00D57398" w:rsidRPr="007B634F" w:rsidRDefault="00D57398" w:rsidP="00D57398">
      <w:pPr>
        <w:pStyle w:val="Heading3"/>
      </w:pPr>
      <w:bookmarkStart w:id="74" w:name="_Toc149065100"/>
      <w:r w:rsidRPr="00981DBC">
        <w:lastRenderedPageBreak/>
        <w:t>Criterion 3: enhances competition</w:t>
      </w:r>
      <w:bookmarkEnd w:id="74"/>
    </w:p>
    <w:p w14:paraId="741DAE89" w14:textId="736B0D55" w:rsidR="00D57398" w:rsidRPr="00AA4BF2" w:rsidRDefault="00D57398" w:rsidP="00D57398">
      <w:pPr>
        <w:pStyle w:val="Paragraph"/>
      </w:pPr>
      <w:r>
        <w:t>In approaching competition considerations, we note the SoE regarding our planning and allocation of spectrum to support innovation and competition in regional, rural and remote areas. Competition is an objective that the minister is proposing to specify in the proposed MPS, and p</w:t>
      </w:r>
      <w:r w:rsidRPr="00AA4BF2">
        <w:t>romoting competitive markets, and supporting a range of use</w:t>
      </w:r>
      <w:r w:rsidR="0022165E">
        <w:t xml:space="preserve"> </w:t>
      </w:r>
      <w:r w:rsidRPr="00AA4BF2">
        <w:t>cases and users in the 3.4–4 GHz band</w:t>
      </w:r>
      <w:r>
        <w:t>,</w:t>
      </w:r>
      <w:r w:rsidRPr="00AA4BF2">
        <w:t xml:space="preserve"> is also an objective of the</w:t>
      </w:r>
      <w:r>
        <w:t xml:space="preserve"> 3.4 GHz</w:t>
      </w:r>
      <w:r w:rsidRPr="00AA4BF2">
        <w:t xml:space="preserve"> MPS.</w:t>
      </w:r>
      <w:r>
        <w:t xml:space="preserve"> </w:t>
      </w:r>
      <w:r w:rsidRPr="008B60E0">
        <w:t xml:space="preserve">Supporting government policies related to regional, rural and remote Australia including by having regard to relevant ministerial policy statements </w:t>
      </w:r>
      <w:r>
        <w:t xml:space="preserve">to support, among other things, competition, in these areas, is a priority in the SoE that the minister has identified as being relevant to ESLs. The minister will seek views on the inclusion of </w:t>
      </w:r>
      <w:r w:rsidRPr="00AD0B36">
        <w:t>opportunities for new entrants and use</w:t>
      </w:r>
      <w:r w:rsidR="0022165E">
        <w:t xml:space="preserve"> </w:t>
      </w:r>
      <w:r w:rsidRPr="00AD0B36">
        <w:t>cases</w:t>
      </w:r>
      <w:r>
        <w:t xml:space="preserve">, including for LEOsats, in the proposed MPS. </w:t>
      </w:r>
    </w:p>
    <w:p w14:paraId="31BDA446" w14:textId="77777777" w:rsidR="00D57398" w:rsidRDefault="00D57398" w:rsidP="00D57398">
      <w:pPr>
        <w:pStyle w:val="Paragraph"/>
      </w:pPr>
      <w:r>
        <w:t xml:space="preserve">Spectrum holdings directly influence an operator’s network capacity and service quality, and the potential for entry into new geographic markets, making them a significant determinant in an operator’s competitive ability. The management and allocation of scarce spectrum resources can have a significant impact on the nature of competition in downstream markets that rely on spectrum. </w:t>
      </w:r>
    </w:p>
    <w:p w14:paraId="4A9AD448" w14:textId="20055281" w:rsidR="00D57398" w:rsidRDefault="00D57398" w:rsidP="00D57398">
      <w:pPr>
        <w:pStyle w:val="Paragraph"/>
      </w:pPr>
      <w:r>
        <w:t xml:space="preserve">The </w:t>
      </w:r>
      <w:r w:rsidRPr="00EE7592">
        <w:rPr>
          <w:i/>
          <w:iCs/>
        </w:rPr>
        <w:t>Intergenerational Report 2023</w:t>
      </w:r>
      <w:r>
        <w:t xml:space="preserve"> </w:t>
      </w:r>
      <w:r w:rsidRPr="004E2D6C">
        <w:t>notes that</w:t>
      </w:r>
      <w:r w:rsidR="2F78B61E" w:rsidRPr="004E2D6C">
        <w:t>:</w:t>
      </w:r>
      <w:r w:rsidRPr="004E2D6C">
        <w:t xml:space="preserve"> </w:t>
      </w:r>
    </w:p>
    <w:p w14:paraId="3CB6F635" w14:textId="5B407228" w:rsidR="00D57398" w:rsidRPr="00F53C4E" w:rsidRDefault="34685455" w:rsidP="00F53C4E">
      <w:pPr>
        <w:pStyle w:val="Paragraph"/>
        <w:ind w:left="568"/>
        <w:rPr>
          <w:sz w:val="18"/>
          <w:szCs w:val="18"/>
        </w:rPr>
      </w:pPr>
      <w:r w:rsidRPr="536894EA">
        <w:rPr>
          <w:sz w:val="18"/>
          <w:szCs w:val="18"/>
        </w:rPr>
        <w:t>...</w:t>
      </w:r>
      <w:r w:rsidR="00D57398" w:rsidRPr="00F53C4E">
        <w:rPr>
          <w:sz w:val="18"/>
          <w:szCs w:val="18"/>
        </w:rPr>
        <w:t>a dynamic and competitive economy can amplify the benefits of new technologies. Competitive pressures accelerate the flow of good ideas and resources between firms and foster continued innovation, adoption, and improvement.</w:t>
      </w:r>
    </w:p>
    <w:p w14:paraId="5353D77D" w14:textId="2AF95005" w:rsidR="00D57398" w:rsidRDefault="00D57398" w:rsidP="00D57398">
      <w:pPr>
        <w:pStyle w:val="Paragraph"/>
      </w:pPr>
      <w:r>
        <w:t>Reduced competition – and its flow-on effects of market concentration and reduced economic dynamism – have contributed to Australia’s slowed productivity growth.</w:t>
      </w:r>
      <w:r>
        <w:rPr>
          <w:rStyle w:val="FootnoteReference"/>
        </w:rPr>
        <w:footnoteReference w:id="41"/>
      </w:r>
    </w:p>
    <w:p w14:paraId="527EA9E1" w14:textId="77777777" w:rsidR="00D57398" w:rsidRDefault="00D57398" w:rsidP="00D57398">
      <w:pPr>
        <w:pStyle w:val="Paragraph"/>
      </w:pPr>
      <w:r>
        <w:t>Competitive markets, and how spectrum holdings underpin those markets, can enhance productivity and the overall public benefit by putting pressure on licensees to seek innovation and efficiencies to introduce new or rival services. A lack of access to spectrum can lessen or eliminate the threat of competition, removing incentives for incumbents to be competitive, such as where a lack of spectrum acts as a barrier to new entrants offering competing services in downstream markets (for example, mobile, enterprise and fixed wireless markets). Flexible and tradable licences are recognised as means to facilitate innovation and competition, after an initial allocation (typically via auction).</w:t>
      </w:r>
      <w:r>
        <w:rPr>
          <w:rStyle w:val="FootnoteReference"/>
        </w:rPr>
        <w:footnoteReference w:id="42"/>
      </w:r>
    </w:p>
    <w:p w14:paraId="604803EA" w14:textId="77777777" w:rsidR="00D57398" w:rsidRDefault="00D57398" w:rsidP="00D57398">
      <w:pPr>
        <w:pStyle w:val="Paragraph"/>
      </w:pPr>
      <w:r>
        <w:t>Imbalances in spectrum holdings and unused or underutilised spectrum can also reduce competitive pressures.</w:t>
      </w:r>
      <w:r>
        <w:rPr>
          <w:rStyle w:val="FootnoteReference"/>
        </w:rPr>
        <w:footnoteReference w:id="43"/>
      </w:r>
      <w:r>
        <w:t xml:space="preserve"> </w:t>
      </w:r>
    </w:p>
    <w:p w14:paraId="45CB066B" w14:textId="77777777" w:rsidR="00D57398" w:rsidRDefault="00D57398" w:rsidP="00D57398">
      <w:pPr>
        <w:pStyle w:val="Paragraph"/>
      </w:pPr>
      <w:r>
        <w:t>A relevant consideration of the public interest is circumstances where spectrum holdings across ESLs are not creating or incentivising a competitive environment, or where there is entrenched end-user</w:t>
      </w:r>
      <w:r w:rsidDel="00541983">
        <w:t xml:space="preserve"> </w:t>
      </w:r>
      <w:r>
        <w:t>demand that the market is not addressing.</w:t>
      </w:r>
    </w:p>
    <w:p w14:paraId="18C20B9E" w14:textId="77777777" w:rsidR="00D57398" w:rsidRDefault="00D57398" w:rsidP="00D57398">
      <w:pPr>
        <w:pStyle w:val="Heading4"/>
      </w:pPr>
      <w:r>
        <w:t>Guidance for stakeholders</w:t>
      </w:r>
    </w:p>
    <w:p w14:paraId="67447095" w14:textId="77777777" w:rsidR="00D57398" w:rsidRDefault="00D57398" w:rsidP="00D57398">
      <w:pPr>
        <w:pStyle w:val="Paragraph"/>
      </w:pPr>
      <w:r>
        <w:t>Not all holders of spectrum covered by the ESLs necessarily operate in a competitive market, but we encourage stakeholders to reference how their use or proposed use of the spectrum has or could facilitate a healthy and competitive market, directly and indirectly.</w:t>
      </w:r>
    </w:p>
    <w:p w14:paraId="479FE935" w14:textId="77777777" w:rsidR="00D57398" w:rsidRDefault="00D57398" w:rsidP="00D57398">
      <w:pPr>
        <w:pStyle w:val="Paragraph"/>
      </w:pPr>
      <w:r>
        <w:lastRenderedPageBreak/>
        <w:t>All incumbent licensees are also encouraged to identify where and how unused spectrum within their holdings may serve to promote competition in the long-term.</w:t>
      </w:r>
    </w:p>
    <w:p w14:paraId="5CC2715E" w14:textId="77777777" w:rsidR="00D57398" w:rsidRDefault="00D57398" w:rsidP="00D57398">
      <w:pPr>
        <w:pStyle w:val="Paragraph"/>
      </w:pPr>
      <w:r>
        <w:t>Prospective licensees are encouraged to identify specific alternative spectrum uses and users that could be facilitated by, for example, re-allocation of spectrum flowing from decisions not to renew, or to partially renew, an ESL, or from other arrangements (such as sharing), and to identify the specific markets or market segments that they would be addressing.</w:t>
      </w:r>
    </w:p>
    <w:p w14:paraId="2A83F832" w14:textId="5FD65147" w:rsidR="00D57398" w:rsidRPr="00AA4BF2" w:rsidRDefault="00D57398" w:rsidP="00D57398">
      <w:pPr>
        <w:pStyle w:val="Heading3"/>
      </w:pPr>
      <w:bookmarkStart w:id="75" w:name="_Toc149065101"/>
      <w:r w:rsidRPr="00981DBC">
        <w:t>Criterion 4: balances public benefits and impacts</w:t>
      </w:r>
      <w:bookmarkEnd w:id="75"/>
    </w:p>
    <w:p w14:paraId="23D54FDC" w14:textId="77777777" w:rsidR="00D57398" w:rsidRPr="00AA4BF2" w:rsidRDefault="00D57398" w:rsidP="00D57398">
      <w:pPr>
        <w:pStyle w:val="Paragraph"/>
        <w:rPr>
          <w:rStyle w:val="scxw139911110"/>
        </w:rPr>
      </w:pPr>
      <w:r>
        <w:t>S</w:t>
      </w:r>
      <w:r w:rsidRPr="00AA4BF2">
        <w:t xml:space="preserve">pectrum is used to enable a broad range of economic activities, as well as outcomes such as social connectivity, </w:t>
      </w:r>
      <w:r>
        <w:t>public safety and security, and enabling</w:t>
      </w:r>
      <w:r w:rsidRPr="00AA4BF2">
        <w:t xml:space="preserve"> critical services.</w:t>
      </w:r>
      <w:r w:rsidRPr="00AA4BF2">
        <w:rPr>
          <w:rStyle w:val="scxw139911110"/>
        </w:rPr>
        <w:t> </w:t>
      </w:r>
    </w:p>
    <w:p w14:paraId="49657F84" w14:textId="77777777" w:rsidR="00D57398" w:rsidRDefault="00D57398" w:rsidP="00D57398">
      <w:pPr>
        <w:pStyle w:val="Paragraph"/>
      </w:pPr>
      <w:r>
        <w:rPr>
          <w:rStyle w:val="normaltextrun"/>
        </w:rPr>
        <w:t xml:space="preserve">Including </w:t>
      </w:r>
      <w:r w:rsidRPr="00AA4BF2">
        <w:rPr>
          <w:rStyle w:val="normaltextrun"/>
        </w:rPr>
        <w:t xml:space="preserve">this criterion within the public interest framework reflects the Explanatory Memorandum </w:t>
      </w:r>
      <w:r>
        <w:rPr>
          <w:rStyle w:val="normaltextrun"/>
        </w:rPr>
        <w:t>associated with</w:t>
      </w:r>
      <w:r w:rsidRPr="00AA4BF2">
        <w:rPr>
          <w:rStyle w:val="normaltextrun"/>
        </w:rPr>
        <w:t xml:space="preserve"> the Modernisation Act, which notes – in relation to the inclusion of </w:t>
      </w:r>
      <w:r>
        <w:rPr>
          <w:rStyle w:val="normaltextrun"/>
        </w:rPr>
        <w:t xml:space="preserve">a </w:t>
      </w:r>
      <w:r w:rsidRPr="00AA4BF2">
        <w:rPr>
          <w:rStyle w:val="normaltextrun"/>
        </w:rPr>
        <w:t xml:space="preserve">renewal statement in a spectrum licence that </w:t>
      </w:r>
      <w:r>
        <w:rPr>
          <w:rStyle w:val="normaltextrun"/>
        </w:rPr>
        <w:t xml:space="preserve">allows </w:t>
      </w:r>
      <w:r w:rsidRPr="00AA4BF2">
        <w:t xml:space="preserve">the ACMA </w:t>
      </w:r>
      <w:r>
        <w:t>to</w:t>
      </w:r>
      <w:r w:rsidRPr="00AA4BF2">
        <w:t xml:space="preserve"> renew the licence unless the ACMA is satisfied that it is in the public interest to do so – that</w:t>
      </w:r>
      <w:r>
        <w:t>:</w:t>
      </w:r>
    </w:p>
    <w:p w14:paraId="55D9C790" w14:textId="77777777" w:rsidR="00D57398" w:rsidRDefault="00D57398" w:rsidP="00D57398">
      <w:pPr>
        <w:pStyle w:val="Paragraph"/>
        <w:ind w:left="426" w:right="867"/>
      </w:pPr>
      <w:r w:rsidRPr="00412E25">
        <w:rPr>
          <w:rStyle w:val="normaltextrun"/>
          <w:sz w:val="18"/>
          <w:szCs w:val="18"/>
        </w:rPr>
        <w:t>… some of the matters ACMA may consider in making a decision regarding the public interest of renewing a spectrum licence include: if the licence is used to supply essential public services and there is the potential that a change in licensees may put at risk delivery of services to a significant number of people, whether the incumbent can demonstrate substantial investment and past long-term use of the licensed spectrum, and considerations of the highest value use of the spectrum.</w:t>
      </w:r>
      <w:r w:rsidRPr="00AA4BF2">
        <w:rPr>
          <w:rStyle w:val="eop"/>
        </w:rPr>
        <w:tab/>
      </w:r>
    </w:p>
    <w:p w14:paraId="1EC9CCA3" w14:textId="77777777" w:rsidR="00D57398" w:rsidRDefault="00D57398" w:rsidP="00D57398">
      <w:pPr>
        <w:pStyle w:val="Paragraph"/>
      </w:pPr>
      <w:r>
        <w:t>This criterion aligns with the objective in the SoE of p</w:t>
      </w:r>
      <w:r w:rsidRPr="00BC15BC">
        <w:t>romoting investment, innovation and the adoption of new and emerging technologies, while continuing to safeguard the interests of consumers and small businesses</w:t>
      </w:r>
      <w:r>
        <w:t xml:space="preserve">, which the minister has identified as being relevant to ESLs. The minister is also proposing to specify the policy priority of </w:t>
      </w:r>
      <w:r w:rsidRPr="00D61229">
        <w:t>supporting continuity of service to consumers, particularly where no alternative service is available</w:t>
      </w:r>
      <w:r>
        <w:t>, in the proposed MPS.</w:t>
      </w:r>
    </w:p>
    <w:p w14:paraId="3EBC3D37" w14:textId="77777777" w:rsidR="00D57398" w:rsidRDefault="00D57398" w:rsidP="00D57398">
      <w:pPr>
        <w:pStyle w:val="Paragraph"/>
      </w:pPr>
      <w:r>
        <w:t>Including t</w:t>
      </w:r>
      <w:r w:rsidRPr="00AA4BF2">
        <w:t>his criterion</w:t>
      </w:r>
      <w:r>
        <w:t>, and aligning it with the relevant policy priorities,</w:t>
      </w:r>
      <w:r w:rsidRPr="00AA4BF2">
        <w:t xml:space="preserve"> is intended to ensure that </w:t>
      </w:r>
      <w:r>
        <w:t>the ACMA considers</w:t>
      </w:r>
      <w:r w:rsidRPr="00AA4BF2">
        <w:t xml:space="preserve"> the net benefits and costs associated with different options for future </w:t>
      </w:r>
      <w:r>
        <w:t>uses</w:t>
      </w:r>
      <w:r w:rsidRPr="00AA4BF2">
        <w:t xml:space="preserve"> and users of the spectrum, and to expressly acknowledge that there may be trade-offs for licensees and the overall public </w:t>
      </w:r>
      <w:r>
        <w:t xml:space="preserve">interest </w:t>
      </w:r>
      <w:r w:rsidRPr="00AA4BF2">
        <w:t>associated with</w:t>
      </w:r>
      <w:r>
        <w:t xml:space="preserve"> decisions on ESLs and on</w:t>
      </w:r>
      <w:r w:rsidRPr="00AA4BF2">
        <w:t xml:space="preserve"> future use of the spectrum. </w:t>
      </w:r>
    </w:p>
    <w:p w14:paraId="56854311" w14:textId="77777777" w:rsidR="00D57398" w:rsidRPr="00AA4BF2" w:rsidRDefault="00D57398" w:rsidP="00D57398">
      <w:pPr>
        <w:pStyle w:val="Paragraph"/>
      </w:pPr>
      <w:r w:rsidRPr="00AA4BF2">
        <w:t>This criterion also provide</w:t>
      </w:r>
      <w:r>
        <w:t>s</w:t>
      </w:r>
      <w:r w:rsidRPr="00AA4BF2">
        <w:t xml:space="preserve"> us with an avenue to consider that the public interest considerations for certain </w:t>
      </w:r>
      <w:r>
        <w:t>spectrum uses</w:t>
      </w:r>
      <w:r w:rsidRPr="00AA4BF2">
        <w:t xml:space="preserve"> may differ</w:t>
      </w:r>
      <w:r>
        <w:t>. Not</w:t>
      </w:r>
      <w:r w:rsidRPr="00AA4BF2">
        <w:t xml:space="preserve"> all ESL incumbent</w:t>
      </w:r>
      <w:r>
        <w:t xml:space="preserve">s </w:t>
      </w:r>
      <w:r w:rsidRPr="00AA4BF2">
        <w:t>operate commercial services</w:t>
      </w:r>
      <w:r>
        <w:t>,</w:t>
      </w:r>
      <w:r w:rsidRPr="00AA4BF2">
        <w:t xml:space="preserve"> and </w:t>
      </w:r>
      <w:r>
        <w:t xml:space="preserve">some </w:t>
      </w:r>
      <w:r w:rsidRPr="00AA4BF2">
        <w:t xml:space="preserve">operations might not be as sensitive to competitive pressures as others. However, </w:t>
      </w:r>
      <w:r>
        <w:t xml:space="preserve">their </w:t>
      </w:r>
      <w:r w:rsidRPr="00AA4BF2">
        <w:t>service</w:t>
      </w:r>
      <w:r>
        <w:t>s</w:t>
      </w:r>
      <w:r w:rsidRPr="00AA4BF2">
        <w:t xml:space="preserve"> may contribute to the overall public benefit by, for example, facilitating social cohesion</w:t>
      </w:r>
      <w:r>
        <w:t>, an informed society,</w:t>
      </w:r>
      <w:r w:rsidRPr="00AA4BF2">
        <w:t xml:space="preserve"> or mobility</w:t>
      </w:r>
      <w:r>
        <w:t xml:space="preserve"> of goods and people</w:t>
      </w:r>
      <w:r w:rsidRPr="00AA4BF2">
        <w:t xml:space="preserve">. In cases where the service does not </w:t>
      </w:r>
      <w:r>
        <w:t xml:space="preserve">operate </w:t>
      </w:r>
      <w:r w:rsidRPr="00AA4BF2">
        <w:t xml:space="preserve">in a market with substitutable products or services, loss of that service could have </w:t>
      </w:r>
      <w:r>
        <w:t xml:space="preserve">an </w:t>
      </w:r>
      <w:r w:rsidRPr="00AA4BF2">
        <w:t xml:space="preserve">adverse effect on the public interest. </w:t>
      </w:r>
    </w:p>
    <w:p w14:paraId="516AC615" w14:textId="73242CD3" w:rsidR="00D57398" w:rsidRDefault="00D57398" w:rsidP="00D57398">
      <w:pPr>
        <w:pStyle w:val="Paragraph"/>
      </w:pPr>
      <w:r w:rsidRPr="00AA4BF2">
        <w:t xml:space="preserve">Commercial services </w:t>
      </w:r>
      <w:r>
        <w:t xml:space="preserve">also </w:t>
      </w:r>
      <w:r w:rsidRPr="00AA4BF2">
        <w:t xml:space="preserve">deliver </w:t>
      </w:r>
      <w:r>
        <w:t xml:space="preserve">more than </w:t>
      </w:r>
      <w:r w:rsidRPr="00AA4BF2">
        <w:t xml:space="preserve">economic outcomes: </w:t>
      </w:r>
      <w:r w:rsidR="700605D8" w:rsidRPr="00AA4BF2">
        <w:t>WBB</w:t>
      </w:r>
      <w:r w:rsidRPr="00AA4BF2">
        <w:t xml:space="preserve"> facilitate social connections and broader societal benefits</w:t>
      </w:r>
      <w:r>
        <w:t>.</w:t>
      </w:r>
      <w:r w:rsidRPr="00AA4BF2">
        <w:rPr>
          <w:rStyle w:val="FootnoteReference"/>
        </w:rPr>
        <w:footnoteReference w:id="44"/>
      </w:r>
      <w:r w:rsidRPr="00AA4BF2">
        <w:t xml:space="preserve"> For ESL incumbent</w:t>
      </w:r>
      <w:r>
        <w:t xml:space="preserve">s </w:t>
      </w:r>
      <w:r w:rsidRPr="00AA4BF2">
        <w:t>that provide services in a competitive market, this criterion acknowledge</w:t>
      </w:r>
      <w:r>
        <w:t>s</w:t>
      </w:r>
      <w:r w:rsidRPr="00AA4BF2">
        <w:t xml:space="preserve"> that </w:t>
      </w:r>
      <w:r>
        <w:t xml:space="preserve">those outcomes depend </w:t>
      </w:r>
      <w:r w:rsidRPr="00AA4BF2">
        <w:t xml:space="preserve">on access to spectrum, and the impact on consumers arising from loss of that spectrum could be significant, either on a short- or long-term basis. This criterion can </w:t>
      </w:r>
      <w:r>
        <w:t xml:space="preserve">take </w:t>
      </w:r>
      <w:r>
        <w:lastRenderedPageBreak/>
        <w:t xml:space="preserve">account of </w:t>
      </w:r>
      <w:r w:rsidRPr="00AA4BF2">
        <w:t xml:space="preserve">consumer </w:t>
      </w:r>
      <w:r>
        <w:t xml:space="preserve">welfare and </w:t>
      </w:r>
      <w:r w:rsidRPr="00AA4BF2">
        <w:t>choice</w:t>
      </w:r>
      <w:r>
        <w:t>,</w:t>
      </w:r>
      <w:r w:rsidRPr="00AA4BF2">
        <w:t xml:space="preserve"> and inform assessments of options that provide for service continuity.</w:t>
      </w:r>
    </w:p>
    <w:p w14:paraId="083DE47B" w14:textId="77777777" w:rsidR="00D57398" w:rsidRPr="00AA4BF2" w:rsidRDefault="00D57398" w:rsidP="00D57398">
      <w:pPr>
        <w:pStyle w:val="Heading4"/>
      </w:pPr>
      <w:r>
        <w:t>Guidance for stakeholders</w:t>
      </w:r>
    </w:p>
    <w:p w14:paraId="4972F5C9" w14:textId="1823DB8C" w:rsidR="00D57398" w:rsidRDefault="00D57398" w:rsidP="00D57398">
      <w:pPr>
        <w:pStyle w:val="Paragraph"/>
      </w:pPr>
      <w:r>
        <w:t xml:space="preserve">We encourage incumbents and prospective licensees to frame responses to this criterion with reference to direct and indirect consumer and social benefits, and to identify the </w:t>
      </w:r>
      <w:r w:rsidR="6AD426A6">
        <w:t xml:space="preserve">advantages and disadvantages </w:t>
      </w:r>
      <w:r>
        <w:t>associated with inputs that are substitutes for specific bands or access to spectrum overall.</w:t>
      </w:r>
    </w:p>
    <w:p w14:paraId="5A4BF536" w14:textId="77777777" w:rsidR="00D57398" w:rsidRPr="00AA4BF2" w:rsidRDefault="00D57398" w:rsidP="00D57398">
      <w:pPr>
        <w:pStyle w:val="Heading3"/>
      </w:pPr>
      <w:bookmarkStart w:id="76" w:name="_Toc149065102"/>
      <w:r w:rsidRPr="004E2D6C">
        <w:t>Criterion 5: supports relevant policy objectives</w:t>
      </w:r>
      <w:bookmarkEnd w:id="76"/>
      <w:r>
        <w:t xml:space="preserve"> and priorities</w:t>
      </w:r>
    </w:p>
    <w:p w14:paraId="2F0B069D" w14:textId="77777777" w:rsidR="00D57398" w:rsidRPr="00365157" w:rsidRDefault="00D57398" w:rsidP="00D57398">
      <w:pPr>
        <w:pStyle w:val="Paragraph"/>
      </w:pPr>
      <w:r w:rsidRPr="00365157">
        <w:t>Supporting government policies related to regional, rural and remote Australia</w:t>
      </w:r>
      <w:r>
        <w:t>,</w:t>
      </w:r>
      <w:r w:rsidRPr="00365157">
        <w:t xml:space="preserve"> including by having regard to relevant ministerial policy statements in the planning and allocation of spectrum to support innovation and competition in these areas, is an objective in the SoE that the </w:t>
      </w:r>
      <w:r>
        <w:t>m</w:t>
      </w:r>
      <w:r w:rsidRPr="00365157">
        <w:t>inister has identified as relevant for ESL</w:t>
      </w:r>
      <w:r>
        <w:t>s</w:t>
      </w:r>
      <w:r w:rsidRPr="00365157">
        <w:t xml:space="preserve">. The </w:t>
      </w:r>
      <w:r>
        <w:t>m</w:t>
      </w:r>
      <w:r w:rsidRPr="00365157">
        <w:t xml:space="preserve">inister is also proposing to specify connectivity and investment in regional areas as a policy priority in the </w:t>
      </w:r>
      <w:r>
        <w:t xml:space="preserve">proposed </w:t>
      </w:r>
      <w:r w:rsidRPr="00365157">
        <w:t>MPS.</w:t>
      </w:r>
      <w:r>
        <w:t xml:space="preserve"> </w:t>
      </w:r>
      <w:r w:rsidRPr="00FC1D66">
        <w:t>The minister’s proposed policy priority of supporting service continuity for consumers, particularly where no alternative service is available, may also be a relevant consideration in certain regional areas where end-users have no or few choices of service provider.</w:t>
      </w:r>
      <w:r>
        <w:rPr>
          <w:rStyle w:val="normaltextrun"/>
          <w:color w:val="FF0000"/>
        </w:rPr>
        <w:t xml:space="preserve"> </w:t>
      </w:r>
    </w:p>
    <w:p w14:paraId="55098163" w14:textId="4C8ACB3C" w:rsidR="00D57398" w:rsidRPr="002D49D7" w:rsidRDefault="00D57398" w:rsidP="00D57398">
      <w:pPr>
        <w:tabs>
          <w:tab w:val="left" w:pos="1985"/>
          <w:tab w:val="left" w:pos="2268"/>
        </w:tabs>
        <w:rPr>
          <w:sz w:val="18"/>
          <w:szCs w:val="18"/>
        </w:rPr>
      </w:pPr>
      <w:r>
        <w:t xml:space="preserve">For </w:t>
      </w:r>
      <w:r w:rsidRPr="00AA4BF2">
        <w:t>the 3.4</w:t>
      </w:r>
      <w:r>
        <w:t>–</w:t>
      </w:r>
      <w:r w:rsidRPr="00AA4BF2">
        <w:t>4</w:t>
      </w:r>
      <w:r w:rsidR="00682152">
        <w:t>.0</w:t>
      </w:r>
      <w:r w:rsidRPr="00AA4BF2">
        <w:t xml:space="preserve"> GHz band, supporting digital connectivity and investment in regional Australia is a policy objective specified in the </w:t>
      </w:r>
      <w:r>
        <w:t xml:space="preserve">3.4 GHz </w:t>
      </w:r>
      <w:r w:rsidRPr="00AA4BF2">
        <w:t>MPS</w:t>
      </w:r>
      <w:r>
        <w:t>. In our S</w:t>
      </w:r>
      <w:r w:rsidR="46060A4A">
        <w:t>tatement of Intent</w:t>
      </w:r>
      <w:r w:rsidRPr="00AA4BF2">
        <w:t>, we indicate that we will address government policies and priorities by supporting opportunities for better telecommunications services in regional and remote Australia through our spectrum and licensing allocation processes and innovations to improve service deliver</w:t>
      </w:r>
      <w:r>
        <w:t>y</w:t>
      </w:r>
      <w:r w:rsidRPr="00AA4BF2">
        <w:t xml:space="preserve"> – including by the rapidly emerging satellite sector.</w:t>
      </w:r>
    </w:p>
    <w:p w14:paraId="68B59053" w14:textId="7C6A65D7" w:rsidR="00D57398" w:rsidRDefault="00D57398" w:rsidP="00D57398">
      <w:pPr>
        <w:pStyle w:val="Paragraph"/>
      </w:pPr>
      <w:r>
        <w:t>W</w:t>
      </w:r>
      <w:r w:rsidRPr="00AA4BF2">
        <w:t xml:space="preserve">e </w:t>
      </w:r>
      <w:r>
        <w:t xml:space="preserve">consider </w:t>
      </w:r>
      <w:r w:rsidRPr="00AA4BF2">
        <w:t xml:space="preserve">that these </w:t>
      </w:r>
      <w:r>
        <w:t xml:space="preserve">policy priorities </w:t>
      </w:r>
      <w:r w:rsidR="3D23743A">
        <w:t xml:space="preserve">relating </w:t>
      </w:r>
      <w:r>
        <w:t xml:space="preserve">to regional Australia </w:t>
      </w:r>
      <w:r w:rsidRPr="00AA4BF2">
        <w:t>are relevant to the broader public interest consideration, but should also be considered under this separate criterion.</w:t>
      </w:r>
    </w:p>
    <w:p w14:paraId="186EA66F" w14:textId="77777777" w:rsidR="00D57398" w:rsidRPr="00AA4BF2" w:rsidRDefault="00D57398" w:rsidP="00D57398">
      <w:pPr>
        <w:pStyle w:val="Heading4"/>
      </w:pPr>
      <w:r w:rsidRPr="00AA4BF2">
        <w:t>Regional, rural, and remote connectivity,</w:t>
      </w:r>
      <w:r>
        <w:t xml:space="preserve"> investment and competition</w:t>
      </w:r>
    </w:p>
    <w:p w14:paraId="67F3A17A" w14:textId="77777777" w:rsidR="00D57398" w:rsidRDefault="00D57398" w:rsidP="00D57398">
      <w:pPr>
        <w:rPr>
          <w:rFonts w:asciiTheme="minorHAnsi" w:hAnsiTheme="minorHAnsi"/>
        </w:rPr>
      </w:pPr>
      <w:r w:rsidRPr="002D7723">
        <w:t>Recent inquiries and reports have highlighted that regional, rural and remote connectivity is a complex, multi-dimensional issue.</w:t>
      </w:r>
      <w:r>
        <w:t xml:space="preserve"> </w:t>
      </w:r>
      <w:r w:rsidRPr="002D7723">
        <w:t xml:space="preserve">The ACCC’s 2023 </w:t>
      </w:r>
      <w:hyperlink r:id="rId70" w:history="1">
        <w:r w:rsidRPr="003857B1">
          <w:rPr>
            <w:rStyle w:val="Hyperlink"/>
            <w:i/>
          </w:rPr>
          <w:t>Regional mobile infrastructure inquiry – Final report</w:t>
        </w:r>
      </w:hyperlink>
      <w:r w:rsidRPr="005726BE">
        <w:t xml:space="preserve"> </w:t>
      </w:r>
      <w:r w:rsidRPr="002D7723">
        <w:t xml:space="preserve">(the RMII) identifies a wide range of interconnected issues relating to regional coverage, as well as </w:t>
      </w:r>
      <w:r>
        <w:t xml:space="preserve">policy </w:t>
      </w:r>
      <w:r w:rsidRPr="002D7723">
        <w:t>paths to address them. Issues identified include those relating to non-radiocommunications regulation, infrastructure and land access costs, incentives and practicalities</w:t>
      </w:r>
      <w:r>
        <w:t xml:space="preserve"> of</w:t>
      </w:r>
      <w:r w:rsidRPr="002D7723">
        <w:t xml:space="preserve"> co-location </w:t>
      </w:r>
      <w:r>
        <w:t xml:space="preserve">and </w:t>
      </w:r>
      <w:r w:rsidRPr="002D7723">
        <w:t>sharing models for active and passive infrastructure, broader competition issues and inefficiencies</w:t>
      </w:r>
      <w:r>
        <w:t>,</w:t>
      </w:r>
      <w:r w:rsidRPr="002D7723">
        <w:t xml:space="preserve"> and lack of commercial returns associated with building mobile infrastructure in regional and remote areas.</w:t>
      </w:r>
      <w:r w:rsidRPr="002D7723">
        <w:rPr>
          <w:rStyle w:val="FootnoteReference"/>
        </w:rPr>
        <w:footnoteReference w:id="45"/>
      </w:r>
    </w:p>
    <w:p w14:paraId="0886A528" w14:textId="0D5C8497" w:rsidR="00D57398" w:rsidRDefault="00D57398" w:rsidP="00D57398">
      <w:pPr>
        <w:pStyle w:val="Paragraph"/>
      </w:pPr>
      <w:r>
        <w:lastRenderedPageBreak/>
        <w:t>The November 2023 report arising from the House of Representatives Standing Committee on Communications and Arts’ inquiry into co-investment in multi-carrier regional mobile infrastructure made a range of recommendations relating to management and regulation of telecommunications infrastructure to improve coverage and competition for end-users in regional, remote and First Nations Australian communities. The report discusses the feasibility of multi-carrier models, such as active sharing and neutral hosting alongside the application of new technologies. The committee also considered weak commercial incentives for network operators to expand their networks in a mature market. Recommendations 1 and 2 of the report would be relevant to the ACMA’s spectrum management functions and, in her letter, the minister draws attention to the Committee’s views about access to low-band spectrum in regional, remote and First Nations Australian communities.</w:t>
      </w:r>
      <w:r>
        <w:rPr>
          <w:rStyle w:val="FootnoteReference"/>
        </w:rPr>
        <w:footnoteReference w:id="46"/>
      </w:r>
    </w:p>
    <w:p w14:paraId="307AAF39" w14:textId="4AB15E01" w:rsidR="00D57398" w:rsidRPr="002D7723" w:rsidRDefault="00D57398" w:rsidP="00D57398">
      <w:pPr>
        <w:pStyle w:val="Paragraph"/>
      </w:pPr>
      <w:r>
        <w:t>We note that this policy priority could realise outcomes for First Nations Australians.</w:t>
      </w:r>
      <w:r>
        <w:rPr>
          <w:rStyle w:val="FootnoteReference"/>
        </w:rPr>
        <w:footnoteReference w:id="47"/>
      </w:r>
      <w:r>
        <w:t xml:space="preserve"> </w:t>
      </w:r>
      <w:r w:rsidRPr="00AA4BF2">
        <w:t xml:space="preserve">Regional, rural, and remote connectivity and Closing the Gap for First Nations </w:t>
      </w:r>
      <w:r>
        <w:t xml:space="preserve">peoples </w:t>
      </w:r>
      <w:r w:rsidRPr="00AA4BF2">
        <w:t xml:space="preserve">are not in all cases synonymous, but there are very strong links between </w:t>
      </w:r>
      <w:r w:rsidR="69DEB6E9" w:rsidRPr="00AA4BF2">
        <w:t>them</w:t>
      </w:r>
      <w:r w:rsidRPr="00AA4BF2">
        <w:t>.</w:t>
      </w:r>
      <w:r>
        <w:t xml:space="preserve"> </w:t>
      </w:r>
      <w:r w:rsidDel="00652460">
        <w:t>A</w:t>
      </w:r>
      <w:r>
        <w:t>pproximately 2.8 million, or 11%, of Australians experience digital exclusion – an experience that is more p</w:t>
      </w:r>
      <w:r w:rsidRPr="002D7723">
        <w:t xml:space="preserve">ronounced in regional and remote areas. </w:t>
      </w:r>
      <w:r>
        <w:t>W</w:t>
      </w:r>
      <w:r w:rsidRPr="002D7723">
        <w:t>hile the number of 5G sites in regional and remote areas has increased of late,</w:t>
      </w:r>
      <w:r w:rsidRPr="002D7723">
        <w:rPr>
          <w:rStyle w:val="FootnoteReference"/>
        </w:rPr>
        <w:footnoteReference w:id="48"/>
      </w:r>
      <w:r>
        <w:t xml:space="preserve"> the experience of communications services </w:t>
      </w:r>
      <w:r w:rsidRPr="002D7723">
        <w:t xml:space="preserve">in regional areas, including </w:t>
      </w:r>
      <w:r>
        <w:t xml:space="preserve">that of </w:t>
      </w:r>
      <w:r w:rsidRPr="002D7723">
        <w:t xml:space="preserve">First Nations peoples, </w:t>
      </w:r>
      <w:r>
        <w:t xml:space="preserve">can involve </w:t>
      </w:r>
      <w:r w:rsidRPr="002D7723">
        <w:t xml:space="preserve">poor coverage, congestion, and limited choice, compared to cities </w:t>
      </w:r>
      <w:r>
        <w:t>and</w:t>
      </w:r>
      <w:r w:rsidRPr="002D7723">
        <w:t xml:space="preserve"> more populous areas of Australia.</w:t>
      </w:r>
      <w:r w:rsidRPr="002D7723">
        <w:rPr>
          <w:rStyle w:val="FootnoteReference"/>
        </w:rPr>
        <w:footnoteReference w:id="49"/>
      </w:r>
      <w:r w:rsidRPr="002D7723">
        <w:rPr>
          <w:i/>
          <w:iCs/>
        </w:rPr>
        <w:t xml:space="preserve"> </w:t>
      </w:r>
      <w:r w:rsidRPr="002D7723">
        <w:t>Digital inclusion</w:t>
      </w:r>
      <w:r w:rsidRPr="002D7723">
        <w:rPr>
          <w:rStyle w:val="FootnoteReference"/>
        </w:rPr>
        <w:footnoteReference w:id="50"/>
      </w:r>
      <w:r w:rsidRPr="002D7723">
        <w:t xml:space="preserve"> decreases with remoteness for both First Nations and non-First Nations peoples; but 62.9% of First Nations </w:t>
      </w:r>
      <w:r w:rsidR="456E3773" w:rsidRPr="002D7723">
        <w:t xml:space="preserve">Australians </w:t>
      </w:r>
      <w:r w:rsidRPr="002D7723">
        <w:t xml:space="preserve">live outside of capital cities, and the gap in </w:t>
      </w:r>
      <w:r>
        <w:t>their</w:t>
      </w:r>
      <w:r w:rsidRPr="002D7723">
        <w:t xml:space="preserve"> digital inclusion is greater for First Nations people</w:t>
      </w:r>
      <w:r>
        <w:t>s</w:t>
      </w:r>
      <w:r w:rsidRPr="002D7723">
        <w:t xml:space="preserve"> in remote and very remote areas.</w:t>
      </w:r>
      <w:r w:rsidRPr="002D7723">
        <w:rPr>
          <w:rStyle w:val="FootnoteReference"/>
        </w:rPr>
        <w:footnoteReference w:id="51"/>
      </w:r>
    </w:p>
    <w:p w14:paraId="6DA0E051" w14:textId="77777777" w:rsidR="00D57398" w:rsidRPr="002D7723" w:rsidRDefault="00D57398" w:rsidP="00D57398">
      <w:pPr>
        <w:pStyle w:val="Paragraph"/>
      </w:pPr>
      <w:r w:rsidRPr="002D7723">
        <w:t>Spectrum, along with communications technologies, is an enabler of digital inclusion</w:t>
      </w:r>
      <w:r>
        <w:t>. C</w:t>
      </w:r>
      <w:r w:rsidRPr="002D7723">
        <w:t xml:space="preserve">onsidering </w:t>
      </w:r>
      <w:r>
        <w:t xml:space="preserve">how </w:t>
      </w:r>
      <w:r w:rsidRPr="002D7723">
        <w:t xml:space="preserve">incumbent or alternative </w:t>
      </w:r>
      <w:r>
        <w:t>uses for</w:t>
      </w:r>
      <w:r w:rsidRPr="002D7723">
        <w:t xml:space="preserve"> and use</w:t>
      </w:r>
      <w:r>
        <w:t>r</w:t>
      </w:r>
      <w:r w:rsidRPr="002D7723">
        <w:t xml:space="preserve">s of the spectrum can facilitate opportunities </w:t>
      </w:r>
      <w:r>
        <w:t xml:space="preserve">for </w:t>
      </w:r>
      <w:r w:rsidRPr="002D7723">
        <w:t xml:space="preserve">regional, rural and remote connectivity is a way that we, as the spectrum manager, can contribute </w:t>
      </w:r>
      <w:r>
        <w:t>to these objectives</w:t>
      </w:r>
      <w:r w:rsidRPr="002D7723">
        <w:t>.</w:t>
      </w:r>
      <w:r w:rsidRPr="002D7723">
        <w:rPr>
          <w:rStyle w:val="FootnoteReference"/>
        </w:rPr>
        <w:footnoteReference w:id="52"/>
      </w:r>
    </w:p>
    <w:p w14:paraId="4FCA6F9F" w14:textId="10032F67" w:rsidR="00D57398" w:rsidRDefault="00D57398" w:rsidP="00D57398">
      <w:pPr>
        <w:pStyle w:val="Paragraph"/>
      </w:pPr>
      <w:r>
        <w:t>Some stakeholders have expressed</w:t>
      </w:r>
      <w:r w:rsidRPr="002D7723" w:rsidDel="001466D8">
        <w:t xml:space="preserve"> </w:t>
      </w:r>
      <w:r>
        <w:t xml:space="preserve">views that </w:t>
      </w:r>
      <w:r w:rsidRPr="002D7723">
        <w:t xml:space="preserve">there is </w:t>
      </w:r>
      <w:r w:rsidR="3516E909" w:rsidRPr="002D7723">
        <w:t xml:space="preserve">unused or underutilised </w:t>
      </w:r>
      <w:r w:rsidRPr="002D7723">
        <w:t xml:space="preserve">spectrum in ESLs that </w:t>
      </w:r>
      <w:r>
        <w:t>could be used to provide better connectivity in the regions. In the absence of an active secondary market</w:t>
      </w:r>
      <w:r w:rsidRPr="002D7723">
        <w:t>, long-</w:t>
      </w:r>
      <w:r>
        <w:t xml:space="preserve">term Australia-wide </w:t>
      </w:r>
      <w:r w:rsidRPr="002D7723">
        <w:t xml:space="preserve">licensing arrangements </w:t>
      </w:r>
      <w:r>
        <w:t xml:space="preserve">would </w:t>
      </w:r>
      <w:r w:rsidRPr="002D7723">
        <w:t>preclud</w:t>
      </w:r>
      <w:r>
        <w:t>e</w:t>
      </w:r>
      <w:r w:rsidRPr="002D7723">
        <w:t xml:space="preserve"> alternative users from addressing these public interest issues.</w:t>
      </w:r>
      <w:r w:rsidRPr="002D7723">
        <w:rPr>
          <w:rStyle w:val="FootnoteReference"/>
        </w:rPr>
        <w:footnoteReference w:id="53"/>
      </w:r>
      <w:r w:rsidRPr="002D7723">
        <w:t xml:space="preserve"> Low</w:t>
      </w:r>
      <w:r>
        <w:t>-</w:t>
      </w:r>
      <w:r w:rsidRPr="002D7723">
        <w:t>band spectrum</w:t>
      </w:r>
      <w:r>
        <w:t xml:space="preserve">, which can </w:t>
      </w:r>
      <w:r w:rsidRPr="002D7723">
        <w:t xml:space="preserve">provide coverage in regional and remote </w:t>
      </w:r>
      <w:r w:rsidRPr="002D7723">
        <w:lastRenderedPageBreak/>
        <w:t>areas</w:t>
      </w:r>
      <w:r>
        <w:t>,</w:t>
      </w:r>
      <w:r w:rsidRPr="002D7723">
        <w:t xml:space="preserve"> is </w:t>
      </w:r>
      <w:r>
        <w:t xml:space="preserve">considered </w:t>
      </w:r>
      <w:r w:rsidRPr="002D7723">
        <w:t>particularly desirable</w:t>
      </w:r>
      <w:r>
        <w:t xml:space="preserve"> by a range of different interests</w:t>
      </w:r>
      <w:r w:rsidRPr="002D7723">
        <w:t xml:space="preserve">, and we are aware of calls to make </w:t>
      </w:r>
      <w:r>
        <w:t xml:space="preserve">unused parts of this </w:t>
      </w:r>
      <w:r w:rsidRPr="002D7723">
        <w:t xml:space="preserve">spectrum </w:t>
      </w:r>
      <w:r>
        <w:t xml:space="preserve">covered by ESLs </w:t>
      </w:r>
      <w:r w:rsidRPr="002D7723">
        <w:t xml:space="preserve">available for mobile </w:t>
      </w:r>
      <w:r>
        <w:t xml:space="preserve">and/or public safety </w:t>
      </w:r>
      <w:r w:rsidRPr="002D7723">
        <w:t>services in the</w:t>
      </w:r>
      <w:r>
        <w:t>se</w:t>
      </w:r>
      <w:r w:rsidRPr="002D7723">
        <w:t xml:space="preserve"> areas.</w:t>
      </w:r>
      <w:r w:rsidRPr="00040FFE">
        <w:t xml:space="preserve"> </w:t>
      </w:r>
    </w:p>
    <w:p w14:paraId="24290BB1" w14:textId="43F0F218" w:rsidR="00D57398" w:rsidRPr="002D7723" w:rsidRDefault="5FF7A432" w:rsidP="00D57398">
      <w:pPr>
        <w:pStyle w:val="Paragraph"/>
      </w:pPr>
      <w:r>
        <w:t>In terms of</w:t>
      </w:r>
      <w:r w:rsidR="00D57398" w:rsidRPr="00D939F4">
        <w:t xml:space="preserve"> First Nations </w:t>
      </w:r>
      <w:r w:rsidR="00D57398">
        <w:t>Australians’</w:t>
      </w:r>
      <w:r w:rsidR="00D57398" w:rsidRPr="00D939F4">
        <w:t xml:space="preserve"> </w:t>
      </w:r>
      <w:r w:rsidR="00D57398">
        <w:t>d</w:t>
      </w:r>
      <w:r w:rsidR="00D57398" w:rsidRPr="00D939F4">
        <w:t xml:space="preserve">igital </w:t>
      </w:r>
      <w:r w:rsidR="00D57398">
        <w:t>i</w:t>
      </w:r>
      <w:r w:rsidR="00D57398" w:rsidRPr="00D939F4">
        <w:t>nclusion</w:t>
      </w:r>
      <w:r w:rsidR="00D57398">
        <w:t xml:space="preserve"> – largely in regional and remote areas – </w:t>
      </w:r>
      <w:r w:rsidR="00D57398" w:rsidRPr="00D939F4">
        <w:t xml:space="preserve">the </w:t>
      </w:r>
      <w:hyperlink r:id="rId71">
        <w:r w:rsidR="00D57398" w:rsidRPr="2D2D235C">
          <w:rPr>
            <w:rStyle w:val="Hyperlink"/>
          </w:rPr>
          <w:t>2023 First Nations Digital Inclusion Advisory Group Initial Report</w:t>
        </w:r>
      </w:hyperlink>
      <w:r w:rsidR="00D57398">
        <w:rPr>
          <w:rStyle w:val="Hyperlink"/>
        </w:rPr>
        <w:t xml:space="preserve"> </w:t>
      </w:r>
      <w:r w:rsidR="00D57398" w:rsidRPr="00D939F4">
        <w:t>encourages further examination of competition issues and new technologies. It notes the potential benefits that could be realised by roll</w:t>
      </w:r>
      <w:r w:rsidR="00D57398">
        <w:t xml:space="preserve">ing </w:t>
      </w:r>
      <w:r w:rsidR="00D57398" w:rsidRPr="00D939F4">
        <w:t xml:space="preserve">out mesh </w:t>
      </w:r>
      <w:r w:rsidR="00D57398">
        <w:t>w</w:t>
      </w:r>
      <w:r w:rsidR="00D57398" w:rsidRPr="00D939F4">
        <w:t>i-</w:t>
      </w:r>
      <w:r w:rsidR="00D57398">
        <w:t>f</w:t>
      </w:r>
      <w:r w:rsidR="00D57398" w:rsidRPr="00D939F4">
        <w:t xml:space="preserve">i and </w:t>
      </w:r>
      <w:r w:rsidR="00D57398" w:rsidRPr="001A411A">
        <w:t>LEO</w:t>
      </w:r>
      <w:r w:rsidR="00D57398">
        <w:t>s</w:t>
      </w:r>
      <w:r w:rsidR="00D57398" w:rsidRPr="001A411A">
        <w:t>ats</w:t>
      </w:r>
      <w:r w:rsidR="00D57398">
        <w:t>.</w:t>
      </w:r>
    </w:p>
    <w:p w14:paraId="55B2527A" w14:textId="7302667A" w:rsidR="00D57398" w:rsidRDefault="61759E3F" w:rsidP="00D57398">
      <w:pPr>
        <w:pStyle w:val="Paragraph"/>
      </w:pPr>
      <w:r>
        <w:t>Given</w:t>
      </w:r>
      <w:r w:rsidR="00D57398">
        <w:t xml:space="preserve"> that supporting competition in regional areas is an objective of the SOE relevant to ESLs, we will consider whether existing arrangements are facilitating competitive outcomes. We and other stakeholders have noted</w:t>
      </w:r>
      <w:r w:rsidR="00D57398" w:rsidRPr="002D7723">
        <w:t xml:space="preserve"> that spectrum availab</w:t>
      </w:r>
      <w:r w:rsidR="00D57398">
        <w:t>ilit</w:t>
      </w:r>
      <w:r w:rsidR="00D57398" w:rsidRPr="002D7723">
        <w:t>y and access is not</w:t>
      </w:r>
      <w:r w:rsidR="00D57398">
        <w:t xml:space="preserve"> necessarily a </w:t>
      </w:r>
      <w:r w:rsidR="00D57398" w:rsidRPr="002D7723">
        <w:t xml:space="preserve">barrier to terrestrial mobile network expansion in </w:t>
      </w:r>
      <w:r w:rsidR="00D57398">
        <w:t>regional, rural, and remote</w:t>
      </w:r>
      <w:r w:rsidR="00D57398" w:rsidRPr="002D7723">
        <w:t xml:space="preserve"> areas</w:t>
      </w:r>
      <w:r w:rsidR="00D57398">
        <w:t xml:space="preserve">, </w:t>
      </w:r>
      <w:r w:rsidR="00D57398" w:rsidRPr="002D7723">
        <w:t xml:space="preserve">or to digital inclusion for First Nations </w:t>
      </w:r>
      <w:r w:rsidR="00D57398">
        <w:t>Australians</w:t>
      </w:r>
      <w:r w:rsidR="00D57398" w:rsidRPr="002D7723">
        <w:t xml:space="preserve">. </w:t>
      </w:r>
      <w:r w:rsidR="00D57398">
        <w:t>T</w:t>
      </w:r>
      <w:r w:rsidR="00D57398" w:rsidRPr="002D7723">
        <w:t>he spectrum management framework and spectrum licences are designed to facilitate trading and sharing in the secondary market</w:t>
      </w:r>
      <w:r w:rsidR="00D57398">
        <w:t>, which is intended to facilitate movement of spectrum to the most economically efficient and productive ends. Whether that secondary market is realising those outcomes may be a relevant consideration for the public interest.</w:t>
      </w:r>
      <w:r w:rsidR="00D57398" w:rsidDel="002034C6">
        <w:t xml:space="preserve"> </w:t>
      </w:r>
      <w:r w:rsidR="00D57398">
        <w:t xml:space="preserve">We </w:t>
      </w:r>
      <w:r w:rsidR="00D57398" w:rsidRPr="008024ED">
        <w:t xml:space="preserve">have </w:t>
      </w:r>
      <w:r w:rsidR="00D57398">
        <w:t>also</w:t>
      </w:r>
      <w:r w:rsidR="00D57398" w:rsidRPr="008024ED">
        <w:t xml:space="preserve"> noted</w:t>
      </w:r>
      <w:r w:rsidR="00D57398" w:rsidRPr="002F2B4E">
        <w:rPr>
          <w:vertAlign w:val="superscript"/>
        </w:rPr>
        <w:footnoteReference w:id="54"/>
      </w:r>
      <w:r w:rsidR="00D57398" w:rsidRPr="002D7723">
        <w:t xml:space="preserve"> that sharing models and other incentives </w:t>
      </w:r>
      <w:r w:rsidR="00D57398">
        <w:t>could be</w:t>
      </w:r>
      <w:r w:rsidR="00D57398" w:rsidRPr="002D7723">
        <w:t xml:space="preserve"> conducive to increasing spectrum utilisation</w:t>
      </w:r>
      <w:r w:rsidR="00D57398">
        <w:t xml:space="preserve"> in areas that lack connectivity</w:t>
      </w:r>
      <w:r w:rsidR="00D57398" w:rsidRPr="002D7723">
        <w:t>.</w:t>
      </w:r>
      <w:r w:rsidR="00D57398">
        <w:t xml:space="preserve"> </w:t>
      </w:r>
    </w:p>
    <w:p w14:paraId="3512EF9B" w14:textId="433CF9F6" w:rsidR="00D57398" w:rsidRDefault="00D57398" w:rsidP="00D57398">
      <w:pPr>
        <w:pStyle w:val="Paragraph"/>
      </w:pPr>
      <w:r>
        <w:t>Recent technology trends</w:t>
      </w:r>
      <w:r w:rsidDel="00EC5DA3">
        <w:t xml:space="preserve"> </w:t>
      </w:r>
      <w:r>
        <w:t xml:space="preserve">might also be relevant to our consideration of how ESLs and the spectrum overall can contribute to this policy priority. We are aware of increasing interest in provision of satellite direct-to-mobile services, and that some stakeholders consider that such services could be used to provide regional, rural and remote connectivity. These services are in their early stages of development, and different models have different licensing and regulatory requirements. One of the emerging models, International Mobile Telephony (IMT) satellite direct-to-mobile, is being proposed for use in parts of the spectrum allocated to mobile network operators </w:t>
      </w:r>
      <w:r w:rsidR="5C5092A3">
        <w:t xml:space="preserve">(MNOs) </w:t>
      </w:r>
      <w:r>
        <w:t>under spectrum licences, including ESLs. W</w:t>
      </w:r>
      <w:r w:rsidR="3E314019">
        <w:t>BB</w:t>
      </w:r>
      <w:r>
        <w:t xml:space="preserve"> stakeholders have recently announced their plans to offer services using LEOsats.</w:t>
      </w:r>
      <w:r>
        <w:rPr>
          <w:rStyle w:val="FootnoteReference"/>
        </w:rPr>
        <w:footnoteReference w:id="55"/>
      </w:r>
      <w:r>
        <w:t xml:space="preserve"> </w:t>
      </w:r>
    </w:p>
    <w:p w14:paraId="327EEC9E" w14:textId="67932CE7" w:rsidR="00D57398" w:rsidRDefault="00D57398" w:rsidP="00D57398">
      <w:pPr>
        <w:pStyle w:val="Paragraph"/>
      </w:pPr>
      <w:r>
        <w:t>In our FYSO 2023-28, we have signalled that, given the broad coverage provided by satellite services, and the requirements of the new interference management profile associated with providing satellite services in these bands, operation of IMT satellite direct-to-mobile in Australia would likely only be practical under an Australia-wide spectrum licence, including ESLs in 700 MHz, 850 MHz, and 2.5 GHz.</w:t>
      </w:r>
      <w:r>
        <w:rPr>
          <w:rStyle w:val="FootnoteReference"/>
        </w:rPr>
        <w:footnoteReference w:id="56"/>
      </w:r>
      <w:r>
        <w:t xml:space="preserve"> The extent to which IMT satellite direct-to-mobile, as well as mobile-satellite service direct-to-mobile, could address long-standing issues relating to regional, rural and remote coverage, may be a relevant factor in our consideration of long-term arrangements for the spectrum that best serve the public interest.</w:t>
      </w:r>
    </w:p>
    <w:p w14:paraId="1DDCEB36" w14:textId="77777777" w:rsidR="00BD7D93" w:rsidRDefault="00BD7D93" w:rsidP="00D57398">
      <w:pPr>
        <w:pStyle w:val="Paragraph"/>
      </w:pPr>
    </w:p>
    <w:p w14:paraId="7D1B09D7" w14:textId="77777777" w:rsidR="00BD7D93" w:rsidRPr="002D7723" w:rsidRDefault="00BD7D93" w:rsidP="00D57398">
      <w:pPr>
        <w:pStyle w:val="Paragraph"/>
      </w:pPr>
    </w:p>
    <w:p w14:paraId="4A484509" w14:textId="77777777" w:rsidR="00D57398" w:rsidRDefault="00D57398" w:rsidP="00D57398">
      <w:pPr>
        <w:pStyle w:val="Heading4"/>
      </w:pPr>
      <w:r>
        <w:t>Guidance for stakeholders</w:t>
      </w:r>
    </w:p>
    <w:p w14:paraId="518D49BA" w14:textId="77777777" w:rsidR="00D57398" w:rsidRPr="002D7723" w:rsidRDefault="00D57398" w:rsidP="00D57398">
      <w:pPr>
        <w:pStyle w:val="Paragraph"/>
      </w:pPr>
      <w:r w:rsidRPr="002D7723">
        <w:t xml:space="preserve">We invite incumbents to present us with information and evidence relating to how their use of the spectrum covered by ESLs has, or could, assist in achieving </w:t>
      </w:r>
      <w:r>
        <w:t>this policy priority</w:t>
      </w:r>
      <w:r w:rsidRPr="002D7723">
        <w:t xml:space="preserve">. </w:t>
      </w:r>
    </w:p>
    <w:p w14:paraId="34524E25" w14:textId="57236DA6" w:rsidR="00D57398" w:rsidRDefault="00D57398" w:rsidP="00D57398">
      <w:pPr>
        <w:pStyle w:val="Paragraph"/>
      </w:pPr>
      <w:r w:rsidRPr="002D7723">
        <w:t>Prospective users putting forward alternative use</w:t>
      </w:r>
      <w:r w:rsidR="0022165E">
        <w:t xml:space="preserve"> </w:t>
      </w:r>
      <w:r w:rsidRPr="002D7723">
        <w:t xml:space="preserve">cases are encouraged to frame </w:t>
      </w:r>
      <w:r>
        <w:t xml:space="preserve">submissions </w:t>
      </w:r>
      <w:r w:rsidRPr="002D7723">
        <w:t xml:space="preserve">with specific </w:t>
      </w:r>
      <w:r>
        <w:t xml:space="preserve">information about </w:t>
      </w:r>
      <w:r w:rsidRPr="002D7723">
        <w:t xml:space="preserve">how their proposed use of the spectrum could overcome </w:t>
      </w:r>
      <w:r>
        <w:t xml:space="preserve">the complex </w:t>
      </w:r>
      <w:r w:rsidRPr="002D7723">
        <w:t>existing barriers to addressing these issues</w:t>
      </w:r>
      <w:r>
        <w:t xml:space="preserve"> noted in the resources mentioned above</w:t>
      </w:r>
      <w:r w:rsidRPr="002D7723">
        <w:t>.</w:t>
      </w:r>
    </w:p>
    <w:p w14:paraId="4255CF3F" w14:textId="20D5425E" w:rsidR="008364F8" w:rsidRDefault="008364F8" w:rsidP="008364F8">
      <w:pPr>
        <w:pStyle w:val="Heading1"/>
      </w:pPr>
      <w:bookmarkStart w:id="77" w:name="_Toc161756545"/>
      <w:bookmarkStart w:id="78" w:name="_Toc159360676"/>
      <w:r>
        <w:lastRenderedPageBreak/>
        <w:t>Appendix B: Stage</w:t>
      </w:r>
      <w:r w:rsidR="00287E5C">
        <w:t>s</w:t>
      </w:r>
      <w:r>
        <w:t xml:space="preserve"> 3 and 4</w:t>
      </w:r>
      <w:bookmarkEnd w:id="77"/>
      <w:r>
        <w:t xml:space="preserve"> </w:t>
      </w:r>
    </w:p>
    <w:p w14:paraId="70FC6B11" w14:textId="77777777" w:rsidR="008364F8" w:rsidRDefault="008364F8" w:rsidP="008364F8">
      <w:pPr>
        <w:pStyle w:val="Paragraph"/>
      </w:pPr>
      <w:r>
        <w:t xml:space="preserve">This appendix contains much of the material in our </w:t>
      </w:r>
      <w:hyperlink r:id="rId72" w:history="1">
        <w:r>
          <w:rPr>
            <w:rStyle w:val="Hyperlink"/>
          </w:rPr>
          <w:t>ESL</w:t>
        </w:r>
        <w:r w:rsidRPr="007E3E1B">
          <w:rPr>
            <w:rStyle w:val="Hyperlink"/>
          </w:rPr>
          <w:t xml:space="preserve"> framework</w:t>
        </w:r>
      </w:hyperlink>
      <w:r>
        <w:t xml:space="preserve"> paper from December 2023. </w:t>
      </w:r>
    </w:p>
    <w:p w14:paraId="1EA45A72" w14:textId="77777777" w:rsidR="008364F8" w:rsidRPr="00FE7F76" w:rsidRDefault="008364F8" w:rsidP="008364F8">
      <w:pPr>
        <w:pStyle w:val="Paragraph"/>
      </w:pPr>
      <w:r>
        <w:t>It is reproduced here to guide stakeholders on the next steps following the information-gathering request.</w:t>
      </w:r>
    </w:p>
    <w:p w14:paraId="222E9737" w14:textId="77777777" w:rsidR="008364F8" w:rsidRPr="00FE7F76" w:rsidRDefault="008364F8" w:rsidP="008364F8">
      <w:pPr>
        <w:pStyle w:val="Heading2"/>
      </w:pPr>
      <w:bookmarkStart w:id="79" w:name="_Toc161756546"/>
      <w:r>
        <w:t>Stage 3: preliminary views (Q4 2024)</w:t>
      </w:r>
      <w:bookmarkEnd w:id="79"/>
    </w:p>
    <w:p w14:paraId="706BDD9D" w14:textId="77777777" w:rsidR="008364F8" w:rsidRDefault="008364F8" w:rsidP="008364F8">
      <w:pPr>
        <w:pStyle w:val="Paragraph"/>
      </w:pPr>
      <w:r>
        <w:t>In stage 3, we will provide and consult on a preliminary view about the proposed future arrangements for spectrum subject to ESLs. In developing these preliminary views, we will consider information provided by incumbent licensees and other stakeholders in our stage 2 information-gathering exercise and other sources.</w:t>
      </w:r>
    </w:p>
    <w:p w14:paraId="7521B88F" w14:textId="77777777" w:rsidR="008364F8" w:rsidRDefault="008364F8" w:rsidP="008364F8">
      <w:pPr>
        <w:pStyle w:val="Paragraph"/>
      </w:pPr>
      <w:r>
        <w:t>It is our role to consider potential options for the ESLs and underlying spectrum, consistent with our responsibilities and objectives under the Act and the ACMA Act. Therefore, in considering whether a licence should be renewed, and the relevant terms, conditions and pricing of any renewed licences, we will evaluate and identify the appropriate arrangements for the spectrum more broadly.</w:t>
      </w:r>
    </w:p>
    <w:p w14:paraId="29B22EC7" w14:textId="77777777" w:rsidR="008364F8" w:rsidRPr="004D5BF7" w:rsidRDefault="008364F8" w:rsidP="008364F8">
      <w:pPr>
        <w:pStyle w:val="Paragraphbeforelist"/>
      </w:pPr>
      <w:r w:rsidRPr="004D5BF7">
        <w:t>We will examine:</w:t>
      </w:r>
    </w:p>
    <w:p w14:paraId="33B94044" w14:textId="77777777" w:rsidR="008364F8" w:rsidRDefault="008364F8" w:rsidP="008364F8">
      <w:pPr>
        <w:pStyle w:val="Bulletlevel1"/>
      </w:pPr>
      <w:r>
        <w:t>use, use cases and users for the spectrum – whether the existing arrangements continue to best facilitate the long-term public interest or relevant objectives, or whether alternative or complementary arrangements may facilitate the long-term public interest</w:t>
      </w:r>
    </w:p>
    <w:p w14:paraId="64E33E7A" w14:textId="77777777" w:rsidR="008364F8" w:rsidRDefault="008364F8" w:rsidP="008364F8">
      <w:pPr>
        <w:pStyle w:val="Bulletlevel1"/>
      </w:pPr>
      <w:r>
        <w:t>licensing arrangements – identifying appropriate licence arrangements (that is, spectrum, apparatus or class licensing or a mixture) to support the identified spectrum use, uses cases and users, or any other relevant objectives</w:t>
      </w:r>
    </w:p>
    <w:p w14:paraId="7CE0BCFC" w14:textId="77777777" w:rsidR="008364F8" w:rsidRDefault="008364F8" w:rsidP="008364F8">
      <w:pPr>
        <w:pStyle w:val="Bulletlevel1"/>
      </w:pPr>
      <w:r>
        <w:t>licence conditions and technical framework – identifying appropriate licence conditions and technical frameworks to facilitate efficient use and co-existence with users in neighbouring bands, and to support relevant objectives, including the public interest</w:t>
      </w:r>
    </w:p>
    <w:p w14:paraId="54BF1A9D" w14:textId="77777777" w:rsidR="008364F8" w:rsidRDefault="008364F8" w:rsidP="008364F8">
      <w:pPr>
        <w:pStyle w:val="Bulletlevel1"/>
      </w:pPr>
      <w:r>
        <w:t>spectrum value and pricing – identifying the value of the spectrum and payment terms, if licences are renewed</w:t>
      </w:r>
    </w:p>
    <w:p w14:paraId="426CD7AB" w14:textId="77777777" w:rsidR="008364F8" w:rsidRDefault="008364F8" w:rsidP="008364F8">
      <w:pPr>
        <w:pStyle w:val="Bulletlevel1last"/>
      </w:pPr>
      <w:r>
        <w:t>allocation options – whether renewal or re-allocation facilitates the long-term public interest, or whether, as a result of any changes to frameworks, a new allocation is required and an indication of the likely form of that allocation.</w:t>
      </w:r>
    </w:p>
    <w:p w14:paraId="649AA4C5" w14:textId="77777777" w:rsidR="008364F8" w:rsidRDefault="008364F8" w:rsidP="008364F8">
      <w:pPr>
        <w:pStyle w:val="Paragraph"/>
      </w:pPr>
      <w:r>
        <w:t>Preliminary views will not relate to specific licences or licensees, rather preliminary views will focus on the arrangements in one or more spectrum bands. A preliminary view is not a decision, or an indication of a decision to be made in response to a renewal application.</w:t>
      </w:r>
    </w:p>
    <w:p w14:paraId="1BAFF7C1" w14:textId="77777777" w:rsidR="008364F8" w:rsidRDefault="008364F8" w:rsidP="008364F8">
      <w:pPr>
        <w:pStyle w:val="Paragraph"/>
      </w:pPr>
      <w:r>
        <w:t>Consistent with our established practices, we intend to consult on these preliminary views and consider submissions to that process. This will enable us to form preferred views that would be communicated in stage 4.</w:t>
      </w:r>
    </w:p>
    <w:p w14:paraId="48C066F4" w14:textId="77777777" w:rsidR="008364F8" w:rsidRDefault="008364F8" w:rsidP="005B0711">
      <w:pPr>
        <w:pStyle w:val="Heading2"/>
        <w:keepLines/>
      </w:pPr>
      <w:bookmarkStart w:id="80" w:name="_Toc161756547"/>
      <w:r>
        <w:lastRenderedPageBreak/>
        <w:t>Stage 4: preferred views, renewal application and decision-making (commencing 2025)</w:t>
      </w:r>
      <w:bookmarkEnd w:id="80"/>
    </w:p>
    <w:p w14:paraId="183A6F31" w14:textId="77777777" w:rsidR="008364F8" w:rsidRDefault="008364F8" w:rsidP="005B0711">
      <w:pPr>
        <w:pStyle w:val="Paragraph"/>
        <w:keepNext/>
        <w:keepLines/>
      </w:pPr>
      <w:r>
        <w:t>During 2025, we will release a response to submissions received for the preliminary views consultation in stage 3. This will outline our preferred views and policy on planning, licensing and pricing relating to the relevant spectrum. These views are intended to inform stakeholders of the matters the ACMA will consider relevant in making a decision. In making a decision, however, the ACMA will have regard to its preferred view and an application for renewal.</w:t>
      </w:r>
    </w:p>
    <w:p w14:paraId="14C86865" w14:textId="77777777" w:rsidR="008364F8" w:rsidRDefault="008364F8" w:rsidP="008364F8">
      <w:pPr>
        <w:pStyle w:val="Paragraphbeforelist"/>
      </w:pPr>
      <w:r>
        <w:t>Following this, we will:</w:t>
      </w:r>
    </w:p>
    <w:p w14:paraId="6759AA01" w14:textId="77777777" w:rsidR="008364F8" w:rsidRDefault="008364F8" w:rsidP="008364F8">
      <w:pPr>
        <w:pStyle w:val="Bulletlevel1"/>
      </w:pPr>
      <w:r>
        <w:t>consider if any changes are required to the established policy</w:t>
      </w:r>
    </w:p>
    <w:p w14:paraId="75DBD4DB" w14:textId="77777777" w:rsidR="008364F8" w:rsidRDefault="008364F8" w:rsidP="008364F8">
      <w:pPr>
        <w:pStyle w:val="Bulletlevel1"/>
      </w:pPr>
      <w:r>
        <w:t>prepare draft sample licences and draft spectrum access charge determinations so that the general terms of renewal may be known (if the licence is renewed)</w:t>
      </w:r>
    </w:p>
    <w:p w14:paraId="0D81D65D" w14:textId="77777777" w:rsidR="008364F8" w:rsidRDefault="008364F8" w:rsidP="008364F8">
      <w:pPr>
        <w:pStyle w:val="Bulletlevel1"/>
      </w:pPr>
      <w:r>
        <w:t>prepare draft allocation instruments (to facilitate potential re-allocation)</w:t>
      </w:r>
    </w:p>
    <w:p w14:paraId="49096A8D" w14:textId="77777777" w:rsidR="008364F8" w:rsidRDefault="008364F8" w:rsidP="008364F8">
      <w:pPr>
        <w:pStyle w:val="Bulletlevel1"/>
      </w:pPr>
      <w:r>
        <w:t>finalise any changes to the technical framework for the relevant band</w:t>
      </w:r>
    </w:p>
    <w:p w14:paraId="094988FB" w14:textId="77777777" w:rsidR="008364F8" w:rsidRDefault="008364F8" w:rsidP="008364F8">
      <w:pPr>
        <w:pStyle w:val="Bulletlevel1last"/>
      </w:pPr>
      <w:r>
        <w:t>publish application forms and specify information and documents that must accompany a renewal application.</w:t>
      </w:r>
    </w:p>
    <w:p w14:paraId="6518ABEB" w14:textId="77777777" w:rsidR="008364F8" w:rsidRDefault="008364F8" w:rsidP="008364F8">
      <w:pPr>
        <w:pStyle w:val="Paragraph"/>
      </w:pPr>
      <w:r>
        <w:t>This will facilitate a licensee being able to apply for the renewal of their licence from the first day of the relevant renewal application period, and identify the terms and conditions of any potential renewal. Upon receiving an application, we would then consider whether to renew that licence, taking into consideration the application, our preferred views, and any relevant objectives.</w:t>
      </w:r>
    </w:p>
    <w:p w14:paraId="7E88530C" w14:textId="77777777" w:rsidR="008364F8" w:rsidRDefault="008364F8" w:rsidP="008364F8">
      <w:pPr>
        <w:pStyle w:val="Paragraph"/>
      </w:pPr>
      <w:r>
        <w:t>It may be necessary for the ACMA to prepare for all potential outcomes well in advance to expeditiously facilitate decisions being made and given effect. That is, we may need to prepare for both renewal and re-allocation of spectrum licences before a renewal application is received.</w:t>
      </w:r>
    </w:p>
    <w:p w14:paraId="4EE6FD27" w14:textId="77777777" w:rsidR="008364F8" w:rsidRDefault="008364F8" w:rsidP="008364F8">
      <w:pPr>
        <w:pStyle w:val="Paragraph"/>
      </w:pPr>
      <w:r>
        <w:t>In circumstances where we identify that partial or full re-allocation of spectrum within a band is a preferred outcome, incumbent licensees would still be able to apply to have their licences renewed, and we would then consider that application on its merits. Even in circumstances where we indicate that renewal may be beneficial, an application would still need to be considered on its own merits.</w:t>
      </w:r>
    </w:p>
    <w:p w14:paraId="0E8A9C82" w14:textId="77777777" w:rsidR="008364F8" w:rsidRDefault="008364F8" w:rsidP="008364F8">
      <w:pPr>
        <w:pStyle w:val="Paragraph"/>
      </w:pPr>
      <w:r>
        <w:t>It is possible that the currency of these views will diminish over time, particularly in relation to bands covered by ESLs expiring in the later tranches, such as ESLs in the 2 GHz band, which are due to expire in October 2032. To ensure that we give all licensees the same levels of confidence, we will update, and consult on, preferred views as necessary.</w:t>
      </w:r>
    </w:p>
    <w:p w14:paraId="76A2EACF" w14:textId="77777777" w:rsidR="008364F8" w:rsidRDefault="008364F8" w:rsidP="008364F8">
      <w:pPr>
        <w:pStyle w:val="Paragraph"/>
      </w:pPr>
      <w:r w:rsidRPr="00B41151">
        <w:t>In stage 4, we will provide incumbents with the necessary materials to apply for renewal of their ESLs. This will include application forms provided for by paragraph 77A(4)(b) of the Act. If an application must be accompanied by information and documents pursuant to paragraphs 77A(4)(c) and (d), that information and those documents will be specified in a legislative instrument</w:t>
      </w:r>
      <w:r>
        <w:rPr>
          <w:rStyle w:val="FootnoteReference"/>
        </w:rPr>
        <w:footnoteReference w:id="57"/>
      </w:r>
      <w:r w:rsidRPr="00B41151">
        <w:t xml:space="preserve"> that we will have consulted on before making.</w:t>
      </w:r>
    </w:p>
    <w:p w14:paraId="548CB8A8" w14:textId="1214C842" w:rsidR="00D57398" w:rsidRDefault="00D57398" w:rsidP="00D57398">
      <w:pPr>
        <w:pStyle w:val="Heading1"/>
      </w:pPr>
      <w:bookmarkStart w:id="81" w:name="_Toc161756548"/>
      <w:r>
        <w:lastRenderedPageBreak/>
        <w:t xml:space="preserve">Appendix </w:t>
      </w:r>
      <w:bookmarkEnd w:id="78"/>
      <w:r w:rsidR="008364F8">
        <w:t>C</w:t>
      </w:r>
      <w:r w:rsidR="0048585A">
        <w:t xml:space="preserve">: </w:t>
      </w:r>
      <w:r>
        <w:t>International examples of alternative licence conditions</w:t>
      </w:r>
      <w:bookmarkEnd w:id="81"/>
    </w:p>
    <w:p w14:paraId="3594EF5B" w14:textId="4885931A" w:rsidR="00D57398" w:rsidRPr="008E3926" w:rsidRDefault="00D57398" w:rsidP="00D57398">
      <w:pPr>
        <w:pStyle w:val="Heading2"/>
      </w:pPr>
      <w:bookmarkStart w:id="82" w:name="_Toc160020900"/>
      <w:bookmarkStart w:id="83" w:name="_Toc161756549"/>
      <w:r>
        <w:t>Rollout obligations</w:t>
      </w:r>
      <w:bookmarkEnd w:id="82"/>
      <w:bookmarkEnd w:id="83"/>
    </w:p>
    <w:p w14:paraId="0F291156" w14:textId="15EB251F" w:rsidR="00D45358" w:rsidRDefault="00D57398" w:rsidP="00F53C4E">
      <w:pPr>
        <w:pStyle w:val="Paragraph"/>
      </w:pPr>
      <w:r>
        <w:t xml:space="preserve">Rollout obligations are a relatively common feature of the radiocommunications regulatory regimes in other jurisdictions. </w:t>
      </w:r>
      <w:r w:rsidR="000E399B">
        <w:t>The</w:t>
      </w:r>
      <w:r>
        <w:t xml:space="preserve"> ACMA is aware of regulators in the United States, Canada, New Zealand, Denmark, and Sweden imposing rollout obligations in varied forms and for a range of purposes. </w:t>
      </w:r>
    </w:p>
    <w:p w14:paraId="38262CE9" w14:textId="458579DE" w:rsidR="00D57398" w:rsidRDefault="00D57398" w:rsidP="00F53C4E">
      <w:pPr>
        <w:pStyle w:val="Paragraph"/>
      </w:pPr>
      <w:r>
        <w:t>There is some degree of overlap between rollout obligations and UIOLI in the policy frameworks of regulators internationally</w:t>
      </w:r>
      <w:r w:rsidR="000E399B">
        <w:t>,</w:t>
      </w:r>
      <w:r>
        <w:t xml:space="preserve"> particularly where the penalty for not meeting an obligation is the loss of the relevant spectrum licence. However, the examples below outline interventions where the primary objective is to increase or improve the services available in the downstream market, rather than to focus on the use of the spectrum as a resource in its own right. That is, there is a strong link between the issue of a licence and the intention that the licence be used for a specific purpose or in a specific way.</w:t>
      </w:r>
    </w:p>
    <w:p w14:paraId="2B95BA91" w14:textId="3153722B" w:rsidR="00D57398" w:rsidRDefault="00D57398" w:rsidP="00F53C4E">
      <w:pPr>
        <w:pStyle w:val="Paragraph"/>
      </w:pPr>
      <w:r>
        <w:t>New Zealand</w:t>
      </w:r>
      <w:r w:rsidR="000E399B">
        <w:t>,</w:t>
      </w:r>
      <w:r>
        <w:t xml:space="preserve"> in its 2013</w:t>
      </w:r>
      <w:r w:rsidR="000E399B">
        <w:t>–</w:t>
      </w:r>
      <w:r>
        <w:t>14 auction of 700 MHz management rights</w:t>
      </w:r>
      <w:r w:rsidR="000E399B">
        <w:t>,</w:t>
      </w:r>
      <w:r>
        <w:t xml:space="preserve"> placed a number of conditions on the use of the spectrum</w:t>
      </w:r>
      <w:r w:rsidR="21623EA7">
        <w:t>.</w:t>
      </w:r>
      <w:r>
        <w:t xml:space="preserve"> </w:t>
      </w:r>
      <w:r w:rsidR="44B454AE">
        <w:t>This</w:t>
      </w:r>
      <w:r w:rsidR="202726E5">
        <w:t xml:space="preserve"> included</w:t>
      </w:r>
      <w:r>
        <w:t xml:space="preserve"> requirements that the spectrum be used at a certain proportion of existing sites for existing operators</w:t>
      </w:r>
      <w:r w:rsidR="000E399B">
        <w:t xml:space="preserve">, </w:t>
      </w:r>
      <w:r>
        <w:t>that a new network cover a certain proportion of the population for new operators</w:t>
      </w:r>
      <w:r w:rsidR="000E399B">
        <w:t xml:space="preserve">, </w:t>
      </w:r>
      <w:r>
        <w:t xml:space="preserve">and that the winning bidder build a specified number of new sites using the spectrum within </w:t>
      </w:r>
      <w:r w:rsidR="2627C93B">
        <w:t xml:space="preserve">5 </w:t>
      </w:r>
      <w:r>
        <w:t>year</w:t>
      </w:r>
      <w:r w:rsidR="233CA74C">
        <w:t>s</w:t>
      </w:r>
      <w:r>
        <w:t>. The number of new sites that an operator was required to build also varied based on the amount of spectrum the relevant operator won.</w:t>
      </w:r>
      <w:r>
        <w:rPr>
          <w:rStyle w:val="FootnoteReference"/>
        </w:rPr>
        <w:footnoteReference w:id="58"/>
      </w:r>
    </w:p>
    <w:p w14:paraId="2A2310F0" w14:textId="32FD4C6F" w:rsidR="00D57398" w:rsidRDefault="00D57398" w:rsidP="00F53C4E">
      <w:pPr>
        <w:pStyle w:val="Paragraph"/>
      </w:pPr>
      <w:r>
        <w:t>Similarly, Canada has in several licence</w:t>
      </w:r>
      <w:r w:rsidR="6A454B9A">
        <w:t>-</w:t>
      </w:r>
      <w:r>
        <w:t>issuing processes</w:t>
      </w:r>
      <w:r w:rsidR="23E6DDC9">
        <w:t>,</w:t>
      </w:r>
      <w:r>
        <w:t xml:space="preserve"> made use of ‘general rollout obligations’ intended to encourage licensees to put the spectrum to use, but also to deter speculation or competitive foreclosure.</w:t>
      </w:r>
      <w:r>
        <w:rPr>
          <w:rStyle w:val="FootnoteReference"/>
        </w:rPr>
        <w:footnoteReference w:id="59"/>
      </w:r>
      <w:r>
        <w:t xml:space="preserve"> Specifically, in its 2014 auction of 700 MHz licences, Canada imposed both general rollout obligations, requiring licensees to cover a certain proportion of the population (varying by licence area) and ‘rural deployment requirements’, such that where a licensee holds licences for </w:t>
      </w:r>
      <w:r w:rsidR="723173A6">
        <w:t xml:space="preserve">2 </w:t>
      </w:r>
      <w:r>
        <w:t xml:space="preserve">or more paired blocks of 700 MHz spectrum (2 x 10 MHz), the licensee must use that spectrum to cover 90% of the population coverage of its HSPA (3G) network within </w:t>
      </w:r>
      <w:r w:rsidR="6E97B884" w:rsidDel="000E399B">
        <w:t>5</w:t>
      </w:r>
      <w:r w:rsidR="000E399B">
        <w:t> </w:t>
      </w:r>
      <w:r>
        <w:t xml:space="preserve">years of licence issue, and 97% of the population coverage of its 3G network within </w:t>
      </w:r>
      <w:r w:rsidR="11E9CE8C" w:rsidDel="000E399B">
        <w:t>10</w:t>
      </w:r>
      <w:r w:rsidR="000E399B">
        <w:t> </w:t>
      </w:r>
      <w:r>
        <w:t>years.</w:t>
      </w:r>
      <w:r>
        <w:rPr>
          <w:rStyle w:val="FootnoteReference"/>
        </w:rPr>
        <w:footnoteReference w:id="60"/>
      </w:r>
    </w:p>
    <w:p w14:paraId="1E4D8CE0" w14:textId="5D00A18A" w:rsidR="00D57398" w:rsidRDefault="00D57398" w:rsidP="00F53C4E">
      <w:pPr>
        <w:pStyle w:val="Paragraph"/>
      </w:pPr>
      <w:r>
        <w:t>Some regulators are reflecting the imposition of rollout obligations in their spectrum auction processes. For example, Denmark</w:t>
      </w:r>
      <w:r w:rsidR="0ACB298C">
        <w:t>’s</w:t>
      </w:r>
      <w:r>
        <w:t xml:space="preserve"> auction of multiple bands in 2018, introduced an option where winning bidders participate</w:t>
      </w:r>
      <w:r w:rsidR="77F874EB">
        <w:t>d</w:t>
      </w:r>
      <w:r>
        <w:t xml:space="preserve"> in a further stage to reverse-bid for coverage conditions, which </w:t>
      </w:r>
      <w:r>
        <w:rPr>
          <w:iCs/>
        </w:rPr>
        <w:t xml:space="preserve">lowered </w:t>
      </w:r>
      <w:r>
        <w:t>the price of their licence in exchange for increasing their coverage requirements.</w:t>
      </w:r>
      <w:r>
        <w:rPr>
          <w:rStyle w:val="FootnoteReference"/>
        </w:rPr>
        <w:footnoteReference w:id="61"/>
      </w:r>
    </w:p>
    <w:p w14:paraId="20221E01" w14:textId="6E287C8F" w:rsidR="00D57398" w:rsidRDefault="00D57398" w:rsidP="00F53C4E">
      <w:pPr>
        <w:pStyle w:val="Paragraph"/>
      </w:pPr>
      <w:r>
        <w:lastRenderedPageBreak/>
        <w:t xml:space="preserve">Sweden implemented coverage conditions in a similar fashion, auctioning a series of </w:t>
      </w:r>
      <w:r w:rsidR="3185E562" w:rsidDel="000E399B">
        <w:t>6</w:t>
      </w:r>
      <w:r w:rsidR="000E399B">
        <w:t> </w:t>
      </w:r>
      <w:r>
        <w:t>identical lots in the 700 MHz band but attaching a rollout obligation to only one of those lots, encouraging a market-based approach to determin</w:t>
      </w:r>
      <w:r w:rsidR="45439862">
        <w:t>e</w:t>
      </w:r>
      <w:r>
        <w:t xml:space="preserve"> the lowest-cost method for delivering on the obligation.</w:t>
      </w:r>
      <w:r>
        <w:rPr>
          <w:rStyle w:val="FootnoteReference"/>
        </w:rPr>
        <w:footnoteReference w:id="62"/>
      </w:r>
    </w:p>
    <w:p w14:paraId="57E5E1C8" w14:textId="6E0FB979" w:rsidR="00D57398" w:rsidRPr="008E3926" w:rsidRDefault="00D57398" w:rsidP="00D57398">
      <w:pPr>
        <w:pStyle w:val="Heading2"/>
      </w:pPr>
      <w:bookmarkStart w:id="84" w:name="_Toc160020901"/>
      <w:bookmarkStart w:id="85" w:name="_Toc161756550"/>
      <w:r>
        <w:t>UIOLI</w:t>
      </w:r>
      <w:bookmarkEnd w:id="84"/>
      <w:r w:rsidR="009811F6">
        <w:t xml:space="preserve"> regimes</w:t>
      </w:r>
      <w:bookmarkEnd w:id="85"/>
    </w:p>
    <w:p w14:paraId="29139232" w14:textId="746BB0AC" w:rsidR="00D57398" w:rsidRDefault="00D57398" w:rsidP="00F53C4E">
      <w:pPr>
        <w:pStyle w:val="Paragraph"/>
      </w:pPr>
      <w:r>
        <w:t>The ACMA is aware of jurisdictions overseas that have implemented a form of UIOLI sometimes known as ‘keep</w:t>
      </w:r>
      <w:r w:rsidR="236AF918">
        <w:t>-</w:t>
      </w:r>
      <w:r>
        <w:t>what</w:t>
      </w:r>
      <w:r w:rsidR="0C5A2C20">
        <w:t>-</w:t>
      </w:r>
      <w:r>
        <w:t>you</w:t>
      </w:r>
      <w:r w:rsidR="40D588DE">
        <w:t>-</w:t>
      </w:r>
      <w:r>
        <w:t>serve’. That is, licensees that fail to meet a certain requirement must surrender only the parts of their licence that are not being used at the time of assessment. Any re</w:t>
      </w:r>
      <w:r w:rsidR="36175BDB">
        <w:t>turned</w:t>
      </w:r>
      <w:r>
        <w:t xml:space="preserve"> spectrum is then available to the regulator to reallocate or replan </w:t>
      </w:r>
      <w:r w:rsidR="70E6045F">
        <w:t>and</w:t>
      </w:r>
      <w:r>
        <w:t xml:space="preserve"> the remaining ‘used’ portion is retained by the original licensee.</w:t>
      </w:r>
    </w:p>
    <w:p w14:paraId="6EDC4826" w14:textId="77777777" w:rsidR="00D57398" w:rsidRDefault="00D57398" w:rsidP="00F53C4E">
      <w:pPr>
        <w:pStyle w:val="Paragraph"/>
      </w:pPr>
      <w:r>
        <w:t>Although in theory keep-what-you-serve may be applicable to both the frequency and geographic dimensions of the licensed spectrum space, these kinds of regimes tend to focus on the geographic use of the spectrum.</w:t>
      </w:r>
      <w:r>
        <w:rPr>
          <w:rStyle w:val="FootnoteReference"/>
        </w:rPr>
        <w:footnoteReference w:id="63"/>
      </w:r>
    </w:p>
    <w:p w14:paraId="13C8DEA8" w14:textId="77777777" w:rsidR="00D57398" w:rsidRDefault="00D57398" w:rsidP="00F53C4E">
      <w:pPr>
        <w:pStyle w:val="Paragraph"/>
      </w:pPr>
      <w:r>
        <w:t>Both the United States and Canada have implemented forms of keep-what-you-serve regimes.</w:t>
      </w:r>
    </w:p>
    <w:p w14:paraId="1C128875" w14:textId="097ADAB1" w:rsidR="00D57398" w:rsidRDefault="00D57398" w:rsidP="00F53C4E">
      <w:pPr>
        <w:pStyle w:val="Paragraph"/>
      </w:pPr>
      <w:r>
        <w:t>In the United States, certain parts of the 700 MHz band are subject to a keep-what-you-serve regime, where construction targets are set for licensees based on population coverage for their entire geographic licence area, or within various subsets of the licence area.</w:t>
      </w:r>
      <w:r>
        <w:rPr>
          <w:rStyle w:val="FootnoteReference"/>
        </w:rPr>
        <w:footnoteReference w:id="64"/>
      </w:r>
      <w:r>
        <w:t xml:space="preserve"> Licensees </w:t>
      </w:r>
      <w:r w:rsidR="34018EF7">
        <w:t xml:space="preserve">that </w:t>
      </w:r>
      <w:r>
        <w:t>fail to meet their final construction targets are subject to keep-what-you-serve rules, allowing them to retain only those parts of the licence in use.</w:t>
      </w:r>
      <w:r>
        <w:rPr>
          <w:rStyle w:val="FootnoteReference"/>
        </w:rPr>
        <w:footnoteReference w:id="65"/>
      </w:r>
    </w:p>
    <w:p w14:paraId="0E09B78A" w14:textId="77777777" w:rsidR="00D57398" w:rsidRDefault="00D57398" w:rsidP="00F53C4E">
      <w:pPr>
        <w:pStyle w:val="Paragraph"/>
      </w:pPr>
      <w:r>
        <w:t>Importantly, in most cases, licensees that meet their coverage targets are not subject to the keep-what-you-serve rules, and may retain their entire licence, used or not.</w:t>
      </w:r>
    </w:p>
    <w:p w14:paraId="25D2E41A" w14:textId="143E131B" w:rsidR="00D57398" w:rsidRDefault="00D57398" w:rsidP="00D57398">
      <w:pPr>
        <w:pStyle w:val="Paragraphbeforelist"/>
      </w:pPr>
      <w:r>
        <w:t xml:space="preserve">This regime can therefore be considered a </w:t>
      </w:r>
      <w:r w:rsidR="49A58DA6">
        <w:t>2-</w:t>
      </w:r>
      <w:r>
        <w:t>stage assessment process, which in effect combines rollout obligations with UIOLI rules:</w:t>
      </w:r>
    </w:p>
    <w:p w14:paraId="2685916A" w14:textId="273B5DC5" w:rsidR="00D57398" w:rsidRPr="007A5587" w:rsidRDefault="3A097908" w:rsidP="005B0711">
      <w:pPr>
        <w:pStyle w:val="Bulletlevel1"/>
      </w:pPr>
      <w:r>
        <w:t>I</w:t>
      </w:r>
      <w:r w:rsidR="00D57398">
        <w:t>f</w:t>
      </w:r>
      <w:r w:rsidR="00D57398" w:rsidRPr="007A5587">
        <w:t xml:space="preserve"> the </w:t>
      </w:r>
      <w:r w:rsidR="00D57398" w:rsidRPr="003D11CD">
        <w:t>licensee</w:t>
      </w:r>
      <w:r w:rsidR="00D57398" w:rsidRPr="007A5587">
        <w:t xml:space="preserve"> has met its construction target (which is in effect a rollout obligation), then no further action is required. The licensee retains its entire licence.</w:t>
      </w:r>
    </w:p>
    <w:p w14:paraId="6D284C6C" w14:textId="087AF813" w:rsidR="00D57398" w:rsidRDefault="00D57398" w:rsidP="005B0711">
      <w:pPr>
        <w:pStyle w:val="Bulletlevel1last"/>
      </w:pPr>
      <w:r>
        <w:t xml:space="preserve">If the licensee </w:t>
      </w:r>
      <w:r w:rsidRPr="003D11CD">
        <w:t>has</w:t>
      </w:r>
      <w:r>
        <w:t xml:space="preserve"> not met its rollout obligation, only then is the licence subject to keep-what-you-serve rules. Spectrum that is not used is surrendered and may be reallocated by the regulator.</w:t>
      </w:r>
    </w:p>
    <w:p w14:paraId="3E08BEED" w14:textId="2AFF5547" w:rsidR="00D57398" w:rsidRDefault="00D57398" w:rsidP="00F53C4E">
      <w:pPr>
        <w:pStyle w:val="Paragraph"/>
      </w:pPr>
      <w:r>
        <w:t xml:space="preserve">By implementing a </w:t>
      </w:r>
      <w:r w:rsidR="6A0E3060">
        <w:t>2</w:t>
      </w:r>
      <w:r>
        <w:t xml:space="preserve">-stage process based on coverage requirements, this scheme requires the regulator to set a threshold for coverage as a test for whether a licensee will be subject to the keep-what-you-serve process. In doing so, the scheme in practice operates as a coverage obligation, but with </w:t>
      </w:r>
      <w:r w:rsidR="7B92AF87">
        <w:t>the</w:t>
      </w:r>
      <w:r>
        <w:t xml:space="preserve"> ‘penalty’ for non-compliance </w:t>
      </w:r>
      <w:r w:rsidR="74E0B76E">
        <w:t>being</w:t>
      </w:r>
      <w:r>
        <w:t xml:space="preserve"> the loss of only the unused portions of the licence.</w:t>
      </w:r>
    </w:p>
    <w:p w14:paraId="70914EF4" w14:textId="792AEDFC" w:rsidR="00D57398" w:rsidRDefault="00D57398" w:rsidP="00F53C4E">
      <w:pPr>
        <w:pStyle w:val="Paragraph"/>
      </w:pPr>
      <w:r>
        <w:t xml:space="preserve">The Federal Communications Commission’s (FCC) has also set out the process for relicensing any spectrum surrendered under the scheme. The FCC’s stated goals of </w:t>
      </w:r>
      <w:r>
        <w:lastRenderedPageBreak/>
        <w:t xml:space="preserve">implementing this scheme </w:t>
      </w:r>
      <w:r w:rsidR="6013D30B">
        <w:t xml:space="preserve">is </w:t>
      </w:r>
      <w:r>
        <w:t>to ‘</w:t>
      </w:r>
      <w:r w:rsidRPr="00955606">
        <w:t>promote the Commission’s goal of making spectrum available, so far as possible, to all the people of the United States regardless of where they live</w:t>
      </w:r>
      <w:r>
        <w:t>’.</w:t>
      </w:r>
      <w:r>
        <w:rPr>
          <w:rStyle w:val="FootnoteReference"/>
        </w:rPr>
        <w:footnoteReference w:id="66"/>
      </w:r>
    </w:p>
    <w:p w14:paraId="118EE413" w14:textId="5E1BEE20" w:rsidR="00D57398" w:rsidRDefault="00D57398" w:rsidP="00F53C4E">
      <w:pPr>
        <w:pStyle w:val="Paragraph"/>
      </w:pPr>
      <w:r>
        <w:t xml:space="preserve">The Canadian </w:t>
      </w:r>
      <w:r w:rsidR="00806D18">
        <w:t>G</w:t>
      </w:r>
      <w:r>
        <w:t xml:space="preserve">overnment has also recently </w:t>
      </w:r>
      <w:r w:rsidR="7D82A085">
        <w:t>decided</w:t>
      </w:r>
      <w:r>
        <w:t xml:space="preserve"> to implement a ‘New Access Licensing Framework’</w:t>
      </w:r>
      <w:r w:rsidR="54F9188F">
        <w:t>.</w:t>
      </w:r>
      <w:r>
        <w:t xml:space="preserve"> </w:t>
      </w:r>
      <w:r w:rsidR="0CC67FD9">
        <w:t xml:space="preserve">It </w:t>
      </w:r>
      <w:r>
        <w:t>permits issu</w:t>
      </w:r>
      <w:r w:rsidR="5A305F5C">
        <w:t>ing</w:t>
      </w:r>
      <w:r>
        <w:t xml:space="preserve"> overlapping licences on top of existing spectrum licences in rural and regional areas where the original licensee is not making use of the spectrum.</w:t>
      </w:r>
      <w:r>
        <w:rPr>
          <w:rStyle w:val="FootnoteReference"/>
        </w:rPr>
        <w:footnoteReference w:id="67"/>
      </w:r>
      <w:r>
        <w:t xml:space="preserve"> </w:t>
      </w:r>
    </w:p>
    <w:p w14:paraId="31D06314" w14:textId="0C14F909" w:rsidR="00D57398" w:rsidRDefault="00D57398" w:rsidP="00F53C4E">
      <w:pPr>
        <w:pStyle w:val="Paragraph"/>
      </w:pPr>
      <w:r>
        <w:t>This decision creates a framework for the use of otherwise licensed, but unused</w:t>
      </w:r>
      <w:r w:rsidR="46296981">
        <w:t>,</w:t>
      </w:r>
      <w:r>
        <w:t xml:space="preserve"> spectrum by other parties. We discuss this approach further below in the context of UIOSI interventions.</w:t>
      </w:r>
    </w:p>
    <w:p w14:paraId="2275B642" w14:textId="35D89E67" w:rsidR="00D57398" w:rsidRPr="008E3926" w:rsidRDefault="00D57398" w:rsidP="00D57398">
      <w:pPr>
        <w:pStyle w:val="Heading2"/>
      </w:pPr>
      <w:bookmarkStart w:id="86" w:name="_Toc160020902"/>
      <w:bookmarkStart w:id="87" w:name="_Toc161756551"/>
      <w:r>
        <w:t>UIOSI</w:t>
      </w:r>
      <w:bookmarkEnd w:id="86"/>
      <w:r w:rsidR="009811F6">
        <w:t xml:space="preserve"> regimes</w:t>
      </w:r>
      <w:bookmarkEnd w:id="87"/>
    </w:p>
    <w:p w14:paraId="18DDBA1A" w14:textId="5210E0DD" w:rsidR="00D57398" w:rsidRDefault="00D57398" w:rsidP="00D57398">
      <w:pPr>
        <w:pStyle w:val="Paragraphbeforelist"/>
      </w:pPr>
      <w:r>
        <w:t xml:space="preserve">We are not aware of many international examples of UIOSI as it relates to the ESL context. Rather, most regulators, including the ACMA, have sought to provide access to spectrum for WBB uses to alternative users </w:t>
      </w:r>
      <w:r w:rsidR="3B6A2D11">
        <w:t>by</w:t>
      </w:r>
      <w:r>
        <w:t>:</w:t>
      </w:r>
    </w:p>
    <w:p w14:paraId="0D392CCC" w14:textId="63CFCF60" w:rsidR="00D57398" w:rsidRPr="003D11CD" w:rsidRDefault="00D57398" w:rsidP="005B0711">
      <w:pPr>
        <w:pStyle w:val="Bulletlevel1"/>
      </w:pPr>
      <w:r w:rsidRPr="00AF2FE0">
        <w:t xml:space="preserve">reducing barriers to </w:t>
      </w:r>
      <w:r>
        <w:t>enabl</w:t>
      </w:r>
      <w:r w:rsidR="681443FC">
        <w:t>e</w:t>
      </w:r>
      <w:r w:rsidRPr="00AF2FE0">
        <w:t xml:space="preserve"> licensees </w:t>
      </w:r>
      <w:r w:rsidR="08D2FD28">
        <w:t xml:space="preserve">to </w:t>
      </w:r>
      <w:r>
        <w:t>enter</w:t>
      </w:r>
      <w:r w:rsidRPr="00AF2FE0">
        <w:t xml:space="preserve"> into commercial agreements for shared use of </w:t>
      </w:r>
      <w:r w:rsidRPr="003D11CD">
        <w:t>the spectrum (for example, third</w:t>
      </w:r>
      <w:r w:rsidR="1DB21CBC" w:rsidRPr="003D11CD">
        <w:t>-</w:t>
      </w:r>
      <w:r w:rsidRPr="003D11CD">
        <w:t>party authorisations)</w:t>
      </w:r>
    </w:p>
    <w:p w14:paraId="65784E2C" w14:textId="1A67CA44" w:rsidR="00D57398" w:rsidRDefault="0A5EDA38" w:rsidP="005B0711">
      <w:pPr>
        <w:pStyle w:val="Bulletlevel1"/>
      </w:pPr>
      <w:r w:rsidRPr="003D11CD">
        <w:t xml:space="preserve">facilitating </w:t>
      </w:r>
      <w:r w:rsidR="00D57398" w:rsidRPr="003D11CD">
        <w:t>allocations such as industry verticals and private networks (for example, the issue of area</w:t>
      </w:r>
      <w:r w:rsidR="00D57398">
        <w:t xml:space="preserve">-wide licences in 3.4 – 4.0 GHz) </w:t>
      </w:r>
    </w:p>
    <w:p w14:paraId="535BD370" w14:textId="01D39FC9" w:rsidR="00D57398" w:rsidRPr="00AF2FE0" w:rsidRDefault="00D57398" w:rsidP="005B0711">
      <w:pPr>
        <w:pStyle w:val="Bulletlevel1last"/>
      </w:pPr>
      <w:r>
        <w:t>implement</w:t>
      </w:r>
      <w:r w:rsidR="13B6AFFA">
        <w:t>ing</w:t>
      </w:r>
      <w:r w:rsidRPr="00AF2FE0">
        <w:t xml:space="preserve"> arrangements to </w:t>
      </w:r>
      <w:r w:rsidRPr="003D11CD">
        <w:t>facilitate</w:t>
      </w:r>
      <w:r w:rsidRPr="00AF2FE0">
        <w:t xml:space="preserve"> shared use of the spectrum through database or commons models (for example, class licensing)</w:t>
      </w:r>
      <w:r w:rsidR="003D11CD">
        <w:t>.</w:t>
      </w:r>
    </w:p>
    <w:p w14:paraId="0837F0ED" w14:textId="556984E2" w:rsidR="00D57398" w:rsidRDefault="00D57398" w:rsidP="004C33A7">
      <w:pPr>
        <w:pStyle w:val="Paragraph"/>
      </w:pPr>
      <w:r>
        <w:t>One notable example of issuing secondary overlapping licences is the UK’s local access licensing model.</w:t>
      </w:r>
      <w:r>
        <w:rPr>
          <w:rStyle w:val="FootnoteReference"/>
        </w:rPr>
        <w:footnoteReference w:id="68"/>
      </w:r>
      <w:r>
        <w:t xml:space="preserve"> These arrangements to do not create a specific obligation for the licensee to use the spectrum. However, they enable secondary users to apply to be issued a local area licence in spectrum space already licensed to an MNO where spectrum is unused by the first licensee and the first licensee does not have plans to use the spectrum in those areas for the following 3-year period. Frequency bands where local access arrangements have been made available include 800 MHz, </w:t>
      </w:r>
      <w:r w:rsidDel="00806D18">
        <w:t>900</w:t>
      </w:r>
      <w:r w:rsidR="00806D18">
        <w:t> </w:t>
      </w:r>
      <w:r>
        <w:t>MHz, 1400 MHz, 1800 MHz, 1900 MHz, 2.1 GHz, 2.3 GHz, 2.5 GHz and 3.4 GHz. These licences are subject to coordination and</w:t>
      </w:r>
      <w:r w:rsidR="00806D18">
        <w:t>,</w:t>
      </w:r>
      <w:r>
        <w:t xml:space="preserve"> as part of the application process, the first licensee </w:t>
      </w:r>
      <w:r w:rsidR="018C607F">
        <w:t>may</w:t>
      </w:r>
      <w:r>
        <w:t xml:space="preserve"> provide reasonable objection to the licence being issued, such as on the grounds that it would impact their existing or planned services. The licences are issued for up to 3 years and may not be renewed, requiring the secondary user to re-apply for the licence every 3 years. There are currently 27 licences</w:t>
      </w:r>
      <w:r w:rsidDel="00D57398">
        <w:t xml:space="preserve"> </w:t>
      </w:r>
      <w:r>
        <w:t>issued as a result of these arrangements.</w:t>
      </w:r>
      <w:r>
        <w:rPr>
          <w:rStyle w:val="FootnoteReference"/>
        </w:rPr>
        <w:footnoteReference w:id="69"/>
      </w:r>
      <w:r>
        <w:t xml:space="preserve"> </w:t>
      </w:r>
    </w:p>
    <w:sectPr w:rsidR="00D57398" w:rsidSect="00C77380">
      <w:headerReference w:type="even" r:id="rId73"/>
      <w:headerReference w:type="default" r:id="rId74"/>
      <w:footerReference w:type="even" r:id="rId75"/>
      <w:footerReference w:type="default" r:id="rId76"/>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7240" w14:textId="77777777" w:rsidR="00614FB9" w:rsidRDefault="00614FB9">
      <w:r>
        <w:separator/>
      </w:r>
    </w:p>
  </w:endnote>
  <w:endnote w:type="continuationSeparator" w:id="0">
    <w:p w14:paraId="638F2D43" w14:textId="77777777" w:rsidR="00614FB9" w:rsidRDefault="00614FB9">
      <w:r>
        <w:continuationSeparator/>
      </w:r>
    </w:p>
  </w:endnote>
  <w:endnote w:type="continuationNotice" w:id="1">
    <w:p w14:paraId="4E71F642" w14:textId="77777777" w:rsidR="00614FB9" w:rsidRDefault="00614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557D" w14:textId="77777777" w:rsidR="005E250B" w:rsidRDefault="005E250B" w:rsidP="005E250B">
    <w:pPr>
      <w:pStyle w:val="Footer"/>
      <w:jc w:val="right"/>
    </w:pPr>
    <w:r w:rsidRPr="005E250B">
      <w:rPr>
        <w:noProof/>
        <w:vertAlign w:val="subscript"/>
      </w:rPr>
      <w:drawing>
        <wp:inline distT="0" distB="0" distL="0" distR="0" wp14:anchorId="36B16D81" wp14:editId="4FC2C0F5">
          <wp:extent cx="1066800" cy="277368"/>
          <wp:effectExtent l="0" t="0" r="0" b="0"/>
          <wp:docPr id="4" name="Picture 4"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72F4"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A5AA"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2CFD"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59C3895A"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8E00"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35A28725"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BBAD"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DA3D1DD"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437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F8CFFF5"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145F"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8A63E2D"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EAFC" w14:textId="77777777" w:rsidR="00614FB9" w:rsidRDefault="00614FB9" w:rsidP="00EA0969">
      <w:pPr>
        <w:spacing w:after="0"/>
      </w:pPr>
      <w:r>
        <w:separator/>
      </w:r>
    </w:p>
  </w:footnote>
  <w:footnote w:type="continuationSeparator" w:id="0">
    <w:p w14:paraId="2B28FED0" w14:textId="77777777" w:rsidR="00614FB9" w:rsidRDefault="00614FB9">
      <w:r>
        <w:continuationSeparator/>
      </w:r>
    </w:p>
  </w:footnote>
  <w:footnote w:type="continuationNotice" w:id="1">
    <w:p w14:paraId="2A17D0E7" w14:textId="77777777" w:rsidR="00614FB9" w:rsidRDefault="00614FB9">
      <w:pPr>
        <w:spacing w:after="0" w:line="240" w:lineRule="auto"/>
      </w:pPr>
    </w:p>
  </w:footnote>
  <w:footnote w:id="2">
    <w:p w14:paraId="5F92E8E4" w14:textId="5B31F3D6" w:rsidR="00D57398" w:rsidRDefault="00D57398" w:rsidP="00D57398">
      <w:pPr>
        <w:pStyle w:val="FootnoteText"/>
      </w:pPr>
      <w:r>
        <w:rPr>
          <w:rStyle w:val="FootnoteReference"/>
        </w:rPr>
        <w:footnoteRef/>
      </w:r>
      <w:r>
        <w:t xml:space="preserve"> </w:t>
      </w:r>
      <w:r w:rsidRPr="007B634F">
        <w:t xml:space="preserve">Bands covered are 700 MHz, 850 MHz 1800 MHz, 2 GHz, 2.3 GHz, 2.5 GHz, 2.5 GHz </w:t>
      </w:r>
      <w:r w:rsidR="007525B7">
        <w:t>m</w:t>
      </w:r>
      <w:r w:rsidRPr="007B634F">
        <w:t>id</w:t>
      </w:r>
      <w:r w:rsidR="007525B7">
        <w:t>-b</w:t>
      </w:r>
      <w:r w:rsidRPr="007B634F">
        <w:t xml:space="preserve">and </w:t>
      </w:r>
      <w:r w:rsidR="007525B7">
        <w:t>g</w:t>
      </w:r>
      <w:r w:rsidRPr="007B634F">
        <w:t>ap, and 3.4 GHz. In this paper, ‘850 MHz’ refers to the licences held by TPG Telecom and Telstra across 825 MHz to 890 MHz, as well as the 2 x 1 MHz ‘downshift’ spectrum licence allocated to Optus commencing 1 July 2024</w:t>
      </w:r>
      <w:r>
        <w:t xml:space="preserve">. See </w:t>
      </w:r>
      <w:r w:rsidR="003E4C58">
        <w:t xml:space="preserve">Table 1 for more details. </w:t>
      </w:r>
    </w:p>
  </w:footnote>
  <w:footnote w:id="3">
    <w:p w14:paraId="59AE6F42" w14:textId="77777777" w:rsidR="00637F71" w:rsidRDefault="00637F71" w:rsidP="00637F71">
      <w:pPr>
        <w:pStyle w:val="FootnoteText"/>
      </w:pPr>
      <w:r>
        <w:rPr>
          <w:rStyle w:val="FootnoteReference"/>
        </w:rPr>
        <w:footnoteRef/>
      </w:r>
      <w:r>
        <w:t xml:space="preserve"> The relevant correspondence from the minister is </w:t>
      </w:r>
      <w:hyperlink r:id="rId1" w:history="1">
        <w:r w:rsidRPr="0025408C">
          <w:rPr>
            <w:rStyle w:val="Hyperlink"/>
          </w:rPr>
          <w:t>available on our website</w:t>
        </w:r>
      </w:hyperlink>
      <w:r>
        <w:t>.</w:t>
      </w:r>
    </w:p>
  </w:footnote>
  <w:footnote w:id="4">
    <w:p w14:paraId="7C67606D" w14:textId="77777777" w:rsidR="00D57398" w:rsidRDefault="00D57398" w:rsidP="00D57398">
      <w:pPr>
        <w:pStyle w:val="FootnoteText"/>
      </w:pPr>
      <w:r>
        <w:rPr>
          <w:rStyle w:val="FootnoteReference"/>
        </w:rPr>
        <w:footnoteRef/>
      </w:r>
      <w:r>
        <w:t xml:space="preserve"> Section 65A of the Act. </w:t>
      </w:r>
    </w:p>
  </w:footnote>
  <w:footnote w:id="5">
    <w:p w14:paraId="661EC5DF" w14:textId="409C78A6" w:rsidR="00477C16" w:rsidRPr="00DA0897" w:rsidRDefault="00477C16" w:rsidP="00477C16">
      <w:pPr>
        <w:pStyle w:val="FootnoteText"/>
      </w:pPr>
      <w:r>
        <w:rPr>
          <w:rStyle w:val="FootnoteReference"/>
        </w:rPr>
        <w:footnoteRef/>
      </w:r>
      <w:r>
        <w:t xml:space="preserve"> These licences were re-issued on the basis they were used to provide services included in the </w:t>
      </w:r>
      <w:r>
        <w:rPr>
          <w:i/>
          <w:iCs/>
        </w:rPr>
        <w:t xml:space="preserve">Radiocommunications (Class of Services) Determination 2012 </w:t>
      </w:r>
      <w:r>
        <w:t xml:space="preserve">made by the then Minister </w:t>
      </w:r>
      <w:r w:rsidR="00F15D02">
        <w:t>for</w:t>
      </w:r>
      <w:r>
        <w:t xml:space="preserve"> Communications. Other licences subject to this process were allocated via auction process, although some were also allocated via a conversion process</w:t>
      </w:r>
      <w:r w:rsidR="00BC018C">
        <w:t>, under since-repealed provisions of the Act</w:t>
      </w:r>
      <w:r>
        <w:t xml:space="preserve">. </w:t>
      </w:r>
    </w:p>
  </w:footnote>
  <w:footnote w:id="6">
    <w:p w14:paraId="24EB41DE" w14:textId="5A117C60" w:rsidR="00D57398" w:rsidRDefault="00D57398" w:rsidP="00D57398">
      <w:pPr>
        <w:pStyle w:val="FootnoteText"/>
      </w:pPr>
      <w:r>
        <w:rPr>
          <w:rStyle w:val="FootnoteReference"/>
        </w:rPr>
        <w:footnoteRef/>
      </w:r>
      <w:r>
        <w:t xml:space="preserve"> Subsection</w:t>
      </w:r>
      <w:r w:rsidR="00BC018C">
        <w:t>s</w:t>
      </w:r>
      <w:r>
        <w:t xml:space="preserve"> 77</w:t>
      </w:r>
      <w:r>
        <w:t xml:space="preserve">C(1) </w:t>
      </w:r>
      <w:r w:rsidR="00BC018C">
        <w:t xml:space="preserve">and 294(1) </w:t>
      </w:r>
      <w:r>
        <w:t xml:space="preserve">of the Act. </w:t>
      </w:r>
    </w:p>
  </w:footnote>
  <w:footnote w:id="7">
    <w:p w14:paraId="699E1089" w14:textId="77777777" w:rsidR="000857A6" w:rsidRPr="007B634F" w:rsidRDefault="000857A6" w:rsidP="000857A6">
      <w:pPr>
        <w:pStyle w:val="FootnoteText"/>
      </w:pPr>
      <w:r w:rsidRPr="00611486">
        <w:rPr>
          <w:rStyle w:val="FootnoteReference"/>
        </w:rPr>
        <w:footnoteRef/>
      </w:r>
      <w:r w:rsidRPr="007B634F">
        <w:t xml:space="preserve"> See subsection 77</w:t>
      </w:r>
      <w:r w:rsidRPr="007B634F">
        <w:t xml:space="preserve">C(10) of the Act. </w:t>
      </w:r>
    </w:p>
  </w:footnote>
  <w:footnote w:id="8">
    <w:p w14:paraId="6FED4563" w14:textId="77777777" w:rsidR="000857A6" w:rsidRPr="007B634F" w:rsidRDefault="000857A6" w:rsidP="000857A6">
      <w:pPr>
        <w:pStyle w:val="FootnoteText"/>
      </w:pPr>
      <w:r w:rsidRPr="00611486">
        <w:rPr>
          <w:rStyle w:val="FootnoteReference"/>
        </w:rPr>
        <w:footnoteRef/>
      </w:r>
      <w:r w:rsidRPr="007B634F">
        <w:t xml:space="preserve"> See section 77D of the Act.</w:t>
      </w:r>
    </w:p>
  </w:footnote>
  <w:footnote w:id="9">
    <w:p w14:paraId="344ECF22" w14:textId="5BB88E6E" w:rsidR="00D57398" w:rsidRPr="00CC2409" w:rsidRDefault="00D57398" w:rsidP="00D57398">
      <w:pPr>
        <w:pStyle w:val="FootnoteText"/>
      </w:pPr>
      <w:r>
        <w:rPr>
          <w:rStyle w:val="FootnoteReference"/>
        </w:rPr>
        <w:footnoteRef/>
      </w:r>
      <w:r>
        <w:t xml:space="preserve"> These submissions were used to inform the Minister’s consideration of the public interest and making of the </w:t>
      </w:r>
      <w:r w:rsidRPr="00A925FF">
        <w:t>Radiocommunications (Class of Services) Determination 2012</w:t>
      </w:r>
      <w:r w:rsidR="003F16C3">
        <w:t xml:space="preserve">, </w:t>
      </w:r>
      <w:r>
        <w:t xml:space="preserve">which identified where re-issue of a licence would be in the public interest if the licence had been used by the licensee in the provision of the services identified for the relevant frequency band.  </w:t>
      </w:r>
    </w:p>
  </w:footnote>
  <w:footnote w:id="10">
    <w:p w14:paraId="20B7BF07" w14:textId="7F4D0137" w:rsidR="0040551A" w:rsidRDefault="0040551A">
      <w:pPr>
        <w:pStyle w:val="FootnoteText"/>
      </w:pPr>
      <w:r>
        <w:rPr>
          <w:rStyle w:val="FootnoteReference"/>
        </w:rPr>
        <w:footnoteRef/>
      </w:r>
      <w:r>
        <w:t xml:space="preserve"> </w:t>
      </w:r>
      <w:r w:rsidR="007C2AD0">
        <w:t xml:space="preserve">This includes policy objectives and priorities specified in the </w:t>
      </w:r>
      <w:r w:rsidR="004E1694" w:rsidRPr="004C33A7">
        <w:t>December 2022 Australian Communications and Media Authority Statement of Expectations</w:t>
      </w:r>
      <w:r w:rsidR="00F92522">
        <w:t>, December 2023 letter from the minister to the ACMA regarding policy priorities, MPS and licensing conditions, and the</w:t>
      </w:r>
      <w:r w:rsidR="00244AFB">
        <w:t xml:space="preserve"> draft</w:t>
      </w:r>
      <w:r w:rsidR="00F92522">
        <w:t xml:space="preserve"> MPS. </w:t>
      </w:r>
    </w:p>
  </w:footnote>
  <w:footnote w:id="11">
    <w:p w14:paraId="4E6D2C9C" w14:textId="4C43DE55" w:rsidR="00D57398" w:rsidRDefault="00D57398" w:rsidP="00D57398">
      <w:pPr>
        <w:pStyle w:val="FootnoteText"/>
      </w:pPr>
      <w:r>
        <w:rPr>
          <w:rStyle w:val="FootnoteReference"/>
        </w:rPr>
        <w:footnoteRef/>
      </w:r>
      <w:r>
        <w:t xml:space="preserve"> Coverage maps are modelled on predicted coverage rather than a representation of actual coverage. The ACCC has noted a number of caveats about the data in </w:t>
      </w:r>
      <w:hyperlink r:id="rId2" w:history="1">
        <w:r w:rsidRPr="005B0CD8">
          <w:rPr>
            <w:rStyle w:val="Hyperlink"/>
          </w:rPr>
          <w:t>ACCC Mobile Infrastructure Report – data interpretation guide v3</w:t>
        </w:r>
      </w:hyperlink>
      <w:r w:rsidR="00404FEF" w:rsidRPr="0065502E">
        <w:rPr>
          <w:rStyle w:val="Hyperlink"/>
          <w:color w:val="auto"/>
          <w:u w:val="none"/>
        </w:rPr>
        <w:t>.</w:t>
      </w:r>
    </w:p>
  </w:footnote>
  <w:footnote w:id="12">
    <w:p w14:paraId="445A3F07" w14:textId="2D136ED7" w:rsidR="00D57398" w:rsidRDefault="00D57398" w:rsidP="00D57398">
      <w:pPr>
        <w:pStyle w:val="FootnoteText"/>
      </w:pPr>
      <w:r>
        <w:rPr>
          <w:rStyle w:val="FootnoteReference"/>
        </w:rPr>
        <w:footnoteRef/>
      </w:r>
      <w:r>
        <w:t xml:space="preserve"> </w:t>
      </w:r>
      <w:r w:rsidRPr="00E24361">
        <w:t>We propose that the term ‘us</w:t>
      </w:r>
      <w:r>
        <w:t>e</w:t>
      </w:r>
      <w:r w:rsidRPr="00E24361">
        <w:t xml:space="preserve">’ describes the main service/s facilitated </w:t>
      </w:r>
      <w:r w:rsidR="00741301">
        <w:t>by or</w:t>
      </w:r>
      <w:r w:rsidRPr="00E24361">
        <w:t xml:space="preserve"> deployed on a particular band (</w:t>
      </w:r>
      <w:r w:rsidR="00F02482">
        <w:t>for example</w:t>
      </w:r>
      <w:r w:rsidRPr="00E24361">
        <w:t>, WBB is the primary use case identified for the 700 MHz band).</w:t>
      </w:r>
      <w:r>
        <w:t xml:space="preserve"> We also propose that the term ‘use case’ refer to the specific kinds of deployments and services provided, such as fixed and mobile WBB. </w:t>
      </w:r>
    </w:p>
  </w:footnote>
  <w:footnote w:id="13">
    <w:p w14:paraId="3FF6D2F5" w14:textId="0D823986" w:rsidR="003B07A6" w:rsidRDefault="003B07A6">
      <w:pPr>
        <w:pStyle w:val="FootnoteText"/>
      </w:pPr>
      <w:r>
        <w:rPr>
          <w:rStyle w:val="FootnoteReference"/>
        </w:rPr>
        <w:footnoteRef/>
      </w:r>
      <w:r>
        <w:t xml:space="preserve"> </w:t>
      </w:r>
      <w:r w:rsidR="006B365C">
        <w:t xml:space="preserve">The Radio Regulations are available </w:t>
      </w:r>
      <w:r w:rsidR="00C94F91">
        <w:t>at</w:t>
      </w:r>
      <w:r w:rsidR="006B365C">
        <w:t xml:space="preserve">: </w:t>
      </w:r>
      <w:hyperlink r:id="rId3" w:history="1">
        <w:r w:rsidR="00E367F4" w:rsidRPr="0006320B">
          <w:rPr>
            <w:rStyle w:val="Hyperlink"/>
          </w:rPr>
          <w:t>https://www.itu.int/pub/R-REG-RR</w:t>
        </w:r>
      </w:hyperlink>
      <w:r w:rsidR="00E367F4">
        <w:t xml:space="preserve"> </w:t>
      </w:r>
    </w:p>
  </w:footnote>
  <w:footnote w:id="14">
    <w:p w14:paraId="5BFC99F7" w14:textId="01CBCBA5" w:rsidR="00E367F4" w:rsidRDefault="00E367F4">
      <w:pPr>
        <w:pStyle w:val="FootnoteText"/>
      </w:pPr>
      <w:r>
        <w:rPr>
          <w:rStyle w:val="FootnoteReference"/>
        </w:rPr>
        <w:footnoteRef/>
      </w:r>
      <w:r>
        <w:t xml:space="preserve"> The Radio Regulations use terminology </w:t>
      </w:r>
      <w:r w:rsidR="00725D9C">
        <w:t xml:space="preserve">to refer to </w:t>
      </w:r>
      <w:r w:rsidR="00725D9C">
        <w:t>particular uses and use cases that</w:t>
      </w:r>
      <w:r w:rsidR="004135BF">
        <w:t xml:space="preserve"> may</w:t>
      </w:r>
      <w:r w:rsidR="00725D9C">
        <w:t xml:space="preserve"> differ from </w:t>
      </w:r>
      <w:r w:rsidR="004135BF">
        <w:t xml:space="preserve">those used domestically and throughout this paper. </w:t>
      </w:r>
    </w:p>
  </w:footnote>
  <w:footnote w:id="15">
    <w:p w14:paraId="64FF17D9" w14:textId="12F29F60" w:rsidR="00C81A8B" w:rsidRDefault="00C81A8B">
      <w:pPr>
        <w:pStyle w:val="FootnoteText"/>
      </w:pPr>
      <w:r>
        <w:rPr>
          <w:rStyle w:val="FootnoteReference"/>
        </w:rPr>
        <w:footnoteRef/>
      </w:r>
      <w:r>
        <w:t xml:space="preserve"> ITU</w:t>
      </w:r>
      <w:r w:rsidR="00727E43">
        <w:t>-R</w:t>
      </w:r>
      <w:r>
        <w:t xml:space="preserve"> Recommendations are available </w:t>
      </w:r>
      <w:r w:rsidR="00981974">
        <w:t>at</w:t>
      </w:r>
      <w:r>
        <w:t xml:space="preserve">: </w:t>
      </w:r>
      <w:hyperlink r:id="rId4" w:history="1">
        <w:r w:rsidR="00983B1C" w:rsidRPr="0006320B">
          <w:rPr>
            <w:rStyle w:val="Hyperlink"/>
          </w:rPr>
          <w:t>https://extranet.itu.int/brdocsearch/R-REC/Forms/folders_inforce.aspx</w:t>
        </w:r>
      </w:hyperlink>
      <w:r w:rsidR="00983B1C">
        <w:t xml:space="preserve"> </w:t>
      </w:r>
    </w:p>
  </w:footnote>
  <w:footnote w:id="16">
    <w:p w14:paraId="402D08E5" w14:textId="17FDFF00" w:rsidR="00142849" w:rsidRDefault="00142849">
      <w:pPr>
        <w:pStyle w:val="FootnoteText"/>
      </w:pPr>
      <w:r>
        <w:rPr>
          <w:rStyle w:val="FootnoteReference"/>
        </w:rPr>
        <w:footnoteRef/>
      </w:r>
      <w:r>
        <w:t xml:space="preserve"> </w:t>
      </w:r>
      <w:r w:rsidR="00F670BA">
        <w:t xml:space="preserve">GAMBoD database is available from: </w:t>
      </w:r>
      <w:hyperlink r:id="rId5" w:history="1">
        <w:r w:rsidR="00F670BA" w:rsidRPr="00306EC4">
          <w:rPr>
            <w:rStyle w:val="Hyperlink"/>
          </w:rPr>
          <w:t>https://gsacom.com/gambod/</w:t>
        </w:r>
      </w:hyperlink>
      <w:r w:rsidR="00F670BA">
        <w:t xml:space="preserve"> </w:t>
      </w:r>
    </w:p>
  </w:footnote>
  <w:footnote w:id="17">
    <w:p w14:paraId="5530CF60" w14:textId="5370AD18" w:rsidR="00D57398" w:rsidRDefault="00D57398" w:rsidP="00D57398">
      <w:pPr>
        <w:pStyle w:val="FootnoteText"/>
      </w:pPr>
      <w:r>
        <w:rPr>
          <w:rStyle w:val="FootnoteReference"/>
        </w:rPr>
        <w:footnoteRef/>
      </w:r>
      <w:r>
        <w:t xml:space="preserve"> In some cases, not all frequency bands shown are entirely spectrum licen</w:t>
      </w:r>
      <w:r w:rsidR="00E7204A">
        <w:t>s</w:t>
      </w:r>
      <w:r>
        <w:t xml:space="preserve">ed. </w:t>
      </w:r>
    </w:p>
  </w:footnote>
  <w:footnote w:id="18">
    <w:p w14:paraId="3914CABC" w14:textId="77777777" w:rsidR="008D4BBA" w:rsidRPr="003B6AD7" w:rsidRDefault="008D4BBA" w:rsidP="00D57398">
      <w:pPr>
        <w:pStyle w:val="FootnoteText"/>
        <w:rPr>
          <w:rFonts w:cs="Arial"/>
          <w:sz w:val="14"/>
          <w:szCs w:val="14"/>
        </w:rPr>
      </w:pPr>
      <w:r w:rsidRPr="003B6AD7">
        <w:rPr>
          <w:rStyle w:val="FootnoteReference"/>
          <w:rFonts w:cs="Arial"/>
          <w:sz w:val="14"/>
          <w:szCs w:val="14"/>
        </w:rPr>
        <w:footnoteRef/>
      </w:r>
      <w:r w:rsidRPr="003B6AD7">
        <w:rPr>
          <w:rFonts w:cs="Arial"/>
          <w:sz w:val="14"/>
          <w:szCs w:val="14"/>
        </w:rPr>
        <w:t xml:space="preserve"> </w:t>
      </w:r>
      <w:r w:rsidRPr="00305954">
        <w:rPr>
          <w:rFonts w:eastAsia="Calibri" w:cs="Arial"/>
        </w:rPr>
        <w:t xml:space="preserve">EIRENE Functional Requirements version 7.0.0 and System Requirements version 15.0.0 available on the International Union of Railways </w:t>
      </w:r>
      <w:hyperlink r:id="rId6" w:history="1">
        <w:hyperlink r:id="rId7" w:history="1">
          <w:r w:rsidRPr="00305954">
            <w:rPr>
              <w:rStyle w:val="Hyperlink"/>
              <w:rFonts w:eastAsia="Calibri" w:cs="Arial"/>
            </w:rPr>
            <w:t>website</w:t>
          </w:r>
        </w:hyperlink>
      </w:hyperlink>
      <w:r w:rsidRPr="00305954">
        <w:rPr>
          <w:rFonts w:eastAsia="Calibri" w:cs="Arial"/>
        </w:rPr>
        <w:t>.</w:t>
      </w:r>
    </w:p>
  </w:footnote>
  <w:footnote w:id="19">
    <w:p w14:paraId="6DB27339" w14:textId="77777777" w:rsidR="008D4BBA" w:rsidRPr="004F6FCF" w:rsidRDefault="008D4BBA" w:rsidP="00D57398">
      <w:pPr>
        <w:spacing w:after="0" w:line="257" w:lineRule="auto"/>
        <w:rPr>
          <w:rFonts w:eastAsia="Calibri" w:cs="Arial"/>
          <w:sz w:val="16"/>
          <w:szCs w:val="16"/>
        </w:rPr>
      </w:pPr>
      <w:r w:rsidRPr="004F6FCF">
        <w:rPr>
          <w:rStyle w:val="FootnoteReference"/>
          <w:rFonts w:cs="Arial"/>
          <w:sz w:val="16"/>
          <w:szCs w:val="20"/>
        </w:rPr>
        <w:footnoteRef/>
      </w:r>
      <w:r w:rsidRPr="004F6FCF">
        <w:rPr>
          <w:rFonts w:cs="Arial"/>
          <w:sz w:val="16"/>
          <w:szCs w:val="20"/>
        </w:rPr>
        <w:t xml:space="preserve"> </w:t>
      </w:r>
      <w:r w:rsidRPr="004F6FCF">
        <w:rPr>
          <w:rFonts w:eastAsia="Calibri" w:cs="Arial"/>
          <w:sz w:val="16"/>
          <w:szCs w:val="16"/>
        </w:rPr>
        <w:t>Australia is not included.</w:t>
      </w:r>
    </w:p>
    <w:p w14:paraId="71FB453E" w14:textId="77777777" w:rsidR="008D4BBA" w:rsidRDefault="008D4BBA" w:rsidP="00D57398">
      <w:pPr>
        <w:pStyle w:val="FootnoteText"/>
      </w:pPr>
    </w:p>
  </w:footnote>
  <w:footnote w:id="20">
    <w:p w14:paraId="2322E13A" w14:textId="22D870E4" w:rsidR="00D57398" w:rsidRDefault="00D57398" w:rsidP="00D57398">
      <w:pPr>
        <w:pStyle w:val="FootnoteText"/>
      </w:pPr>
      <w:r>
        <w:rPr>
          <w:rStyle w:val="FootnoteReference"/>
        </w:rPr>
        <w:footnoteRef/>
      </w:r>
      <w:r>
        <w:t xml:space="preserve"> </w:t>
      </w:r>
      <w:r w:rsidR="00C822BB">
        <w:t>‘</w:t>
      </w:r>
      <w:r>
        <w:t>Costs</w:t>
      </w:r>
      <w:r w:rsidR="00C822BB">
        <w:t>’</w:t>
      </w:r>
      <w:r>
        <w:t xml:space="preserve"> here is used to encompass monetary costs also other costs that may be incurred by the licensee by complying or not complying with a licence condition, such as reputational costs, administrative costs, and opportunity costs. </w:t>
      </w:r>
      <w:r w:rsidR="0093610B">
        <w:t xml:space="preserve">This incorporates both </w:t>
      </w:r>
      <w:r w:rsidR="0093610B" w:rsidDel="00305FCD">
        <w:t>short</w:t>
      </w:r>
      <w:r w:rsidR="00305FCD">
        <w:t>- and long-term</w:t>
      </w:r>
      <w:r w:rsidR="0093610B">
        <w:t xml:space="preserve"> costs. </w:t>
      </w:r>
    </w:p>
  </w:footnote>
  <w:footnote w:id="21">
    <w:p w14:paraId="20472342" w14:textId="77777777" w:rsidR="009E2321" w:rsidRDefault="009E2321" w:rsidP="009E2321">
      <w:pPr>
        <w:pStyle w:val="FootnoteText"/>
      </w:pPr>
      <w:r>
        <w:rPr>
          <w:rStyle w:val="FootnoteReference"/>
        </w:rPr>
        <w:footnoteRef/>
      </w:r>
      <w:r>
        <w:t xml:space="preserve"> </w:t>
      </w:r>
      <w:r w:rsidRPr="00AC79D0">
        <w:t>There is a general assumption that unutilised or underutilised spectrum does not result in an output or benefit to the public and is, therefore, an inefficient use or allocation of the spectrum. There can be productive, allocative and dynamic dimensions to this perceived inefficiency, such as when a licensee is acquiring spectrum for future capacity or deployment, or to lower interference management costs. We also note that spectrum utilisation can be sporadic, responding to dynamic demand, and that efficient uses of certain spectrum may not exist at a given time.</w:t>
      </w:r>
    </w:p>
  </w:footnote>
  <w:footnote w:id="22">
    <w:p w14:paraId="2EE44BDC" w14:textId="77777777" w:rsidR="008B55FD" w:rsidRDefault="008B55FD" w:rsidP="008B55FD">
      <w:pPr>
        <w:pStyle w:val="FootnoteText"/>
      </w:pPr>
      <w:r>
        <w:rPr>
          <w:rStyle w:val="FootnoteReference"/>
        </w:rPr>
        <w:footnoteRef/>
      </w:r>
      <w:r>
        <w:t xml:space="preserve"> While technical frameworks may be optimised for </w:t>
      </w:r>
      <w:r>
        <w:t xml:space="preserve">particular uses and use cases (for example, LTE or 5G), they do not require spectrum be put to that specific use with the intention of enabling licensees to adjust their use of their spectrum as technology and consumer trends evolve. </w:t>
      </w:r>
    </w:p>
  </w:footnote>
  <w:footnote w:id="23">
    <w:p w14:paraId="0C273F5F" w14:textId="77777777" w:rsidR="00D57398" w:rsidRDefault="00D57398" w:rsidP="00D57398">
      <w:pPr>
        <w:pStyle w:val="FootnoteText"/>
      </w:pPr>
      <w:r>
        <w:rPr>
          <w:rStyle w:val="FootnoteReference"/>
        </w:rPr>
        <w:footnoteRef/>
      </w:r>
      <w:r>
        <w:t xml:space="preserve"> Section 71 of the Act states that the ACMA may include other conditions in spectrum licence as it thinks fit. Paragraph 65A(1)(c) of the Act states that the ACMA may include a renewal statement to the effect that the licence may be renewed at the discretion of the ACMA so long as specified circumstances exist. </w:t>
      </w:r>
    </w:p>
  </w:footnote>
  <w:footnote w:id="24">
    <w:p w14:paraId="660569A9" w14:textId="250D127E" w:rsidR="001D1314" w:rsidRDefault="001D1314">
      <w:pPr>
        <w:pStyle w:val="FootnoteText"/>
      </w:pPr>
      <w:r>
        <w:rPr>
          <w:rStyle w:val="FootnoteReference"/>
        </w:rPr>
        <w:footnoteRef/>
      </w:r>
      <w:r>
        <w:t xml:space="preserve"> </w:t>
      </w:r>
      <w:r w:rsidR="00637C56">
        <w:t>Division 3 of Part 3.2 of the Act provides that the</w:t>
      </w:r>
      <w:r>
        <w:t xml:space="preserve"> ACMA may suspend or cancel a licence where the licensee has contravened a condition of its licence.</w:t>
      </w:r>
      <w:r w:rsidR="00637C56">
        <w:t xml:space="preserve"> </w:t>
      </w:r>
      <w:r w:rsidR="000834E5">
        <w:t xml:space="preserve">Suspension is not considered a suitable enforcement mechanism in </w:t>
      </w:r>
      <w:r w:rsidR="00B0538A">
        <w:t>this context</w:t>
      </w:r>
      <w:r w:rsidR="000834E5">
        <w:t xml:space="preserve"> as it would </w:t>
      </w:r>
      <w:r w:rsidR="00B0538A">
        <w:t xml:space="preserve">not provide the ACMA the ability to re-allocate the spectrum. </w:t>
      </w:r>
    </w:p>
  </w:footnote>
  <w:footnote w:id="25">
    <w:p w14:paraId="3400AF72" w14:textId="7DFDAECB" w:rsidR="009D2185" w:rsidRDefault="009D2185" w:rsidP="009D2185">
      <w:pPr>
        <w:pStyle w:val="FootnoteText"/>
      </w:pPr>
      <w:r>
        <w:rPr>
          <w:rStyle w:val="FootnoteReference"/>
        </w:rPr>
        <w:footnoteRef/>
      </w:r>
      <w:r>
        <w:t xml:space="preserve"> Paragraph 77C(8)(b) of the Act</w:t>
      </w:r>
      <w:r w:rsidDel="000B6420">
        <w:t xml:space="preserve"> </w:t>
      </w:r>
      <w:r w:rsidR="000B6420">
        <w:t xml:space="preserve">provides </w:t>
      </w:r>
      <w:r>
        <w:t>that the ACMA may have regard to whether the licensee has contravened the conditions of its licence when deciding whether to renew it. Further, subsection 77</w:t>
      </w:r>
      <w:r>
        <w:t xml:space="preserve">C(7) requires the ACMA to have regard to all matters it considers relevant to the decision, providing broad discretion. Subsection 77C(10) of the Act states that the conditions of a renewed spectrum licence need not be the same as the licence it replaces, meaning the ACMA has discretion to change the conditions of a licence at renewal. This is a reviewable decision. </w:t>
      </w:r>
    </w:p>
  </w:footnote>
  <w:footnote w:id="26">
    <w:p w14:paraId="7AC82CDE" w14:textId="74A9F2F8" w:rsidR="00AF4856" w:rsidRDefault="00AF4856" w:rsidP="00AF4856">
      <w:pPr>
        <w:pStyle w:val="FootnoteText"/>
      </w:pPr>
      <w:r>
        <w:rPr>
          <w:rStyle w:val="FootnoteReference"/>
        </w:rPr>
        <w:footnoteRef/>
      </w:r>
      <w:r>
        <w:t xml:space="preserve"> </w:t>
      </w:r>
      <w:r w:rsidR="000B3A56">
        <w:t xml:space="preserve">For example, </w:t>
      </w:r>
      <w:r w:rsidR="00A6720E">
        <w:t>a condition where contravention would also</w:t>
      </w:r>
      <w:r w:rsidR="000B3A56">
        <w:t xml:space="preserve"> </w:t>
      </w:r>
      <w:r w:rsidR="00403C0B">
        <w:t>result in contravention of section 46 of the Act. S</w:t>
      </w:r>
      <w:r w:rsidR="000820F8">
        <w:t>ection 46 of the Act provides that a person must not operate a radiocommunications device otherwise than as authorised by a spectrum, apparatus or class licence</w:t>
      </w:r>
      <w:r w:rsidR="00A827E4">
        <w:t xml:space="preserve"> with </w:t>
      </w:r>
      <w:r w:rsidR="00DA2B38">
        <w:t xml:space="preserve">contravention </w:t>
      </w:r>
      <w:r w:rsidR="00844ECB">
        <w:t xml:space="preserve">potentially resulting </w:t>
      </w:r>
      <w:r w:rsidR="0039798E">
        <w:t xml:space="preserve">in </w:t>
      </w:r>
      <w:r w:rsidR="00173B11">
        <w:t>civil penalties or offence</w:t>
      </w:r>
      <w:r w:rsidR="00144825">
        <w:t>s</w:t>
      </w:r>
      <w:r w:rsidR="00173B11">
        <w:t xml:space="preserve">. </w:t>
      </w:r>
      <w:r w:rsidR="00C07DFD">
        <w:t xml:space="preserve"> </w:t>
      </w:r>
    </w:p>
  </w:footnote>
  <w:footnote w:id="27">
    <w:p w14:paraId="52EAAEB3" w14:textId="24AD4963" w:rsidR="00A94C3C" w:rsidRDefault="00A94C3C" w:rsidP="00A94C3C">
      <w:pPr>
        <w:pStyle w:val="FootnoteText"/>
      </w:pPr>
      <w:r>
        <w:rPr>
          <w:rStyle w:val="FootnoteReference"/>
        </w:rPr>
        <w:footnoteRef/>
      </w:r>
      <w:r>
        <w:t xml:space="preserve"> </w:t>
      </w:r>
      <w:r w:rsidR="00722E9C">
        <w:t>Section 71 of the Act states that the ACMA may include such other conditions in spectrum licences a</w:t>
      </w:r>
      <w:r w:rsidR="009A7AD6">
        <w:t>s</w:t>
      </w:r>
      <w:r w:rsidR="00722E9C">
        <w:t xml:space="preserve"> it sees fit. </w:t>
      </w:r>
      <w:r>
        <w:t xml:space="preserve">Division 1 of Part 3.2 of the Act specifies conditions that must be included in all spectrum licences. </w:t>
      </w:r>
    </w:p>
  </w:footnote>
  <w:footnote w:id="28">
    <w:p w14:paraId="103CE588" w14:textId="77777777" w:rsidR="00A94C3C" w:rsidRDefault="00A94C3C" w:rsidP="00A94C3C">
      <w:pPr>
        <w:pStyle w:val="FootnoteText"/>
      </w:pPr>
      <w:r>
        <w:rPr>
          <w:rStyle w:val="FootnoteReference"/>
        </w:rPr>
        <w:footnoteRef/>
      </w:r>
      <w:r>
        <w:t xml:space="preserve"> Sections 72 and 73 of the Act. </w:t>
      </w:r>
    </w:p>
  </w:footnote>
  <w:footnote w:id="29">
    <w:p w14:paraId="2F6DB78E" w14:textId="012E43AF" w:rsidR="00DE6E16" w:rsidRDefault="00DE6E16" w:rsidP="00DE6E16">
      <w:pPr>
        <w:pStyle w:val="FootnoteText"/>
      </w:pPr>
      <w:r>
        <w:rPr>
          <w:rStyle w:val="FootnoteReference"/>
        </w:rPr>
        <w:footnoteRef/>
      </w:r>
      <w:r>
        <w:t xml:space="preserve"> Section</w:t>
      </w:r>
      <w:r w:rsidR="001417EB">
        <w:t xml:space="preserve">s 60B and </w:t>
      </w:r>
      <w:r>
        <w:t xml:space="preserve">138 of the Act. </w:t>
      </w:r>
    </w:p>
  </w:footnote>
  <w:footnote w:id="30">
    <w:p w14:paraId="7C2EF408" w14:textId="77777777" w:rsidR="00D57398" w:rsidRDefault="00D57398" w:rsidP="00D57398">
      <w:pPr>
        <w:pStyle w:val="FootnoteText"/>
      </w:pPr>
      <w:r>
        <w:rPr>
          <w:rStyle w:val="FootnoteReference"/>
        </w:rPr>
        <w:footnoteRef/>
      </w:r>
      <w:r>
        <w:t xml:space="preserve"> Section 105 of the Act. </w:t>
      </w:r>
    </w:p>
  </w:footnote>
  <w:footnote w:id="31">
    <w:p w14:paraId="3DD8C098" w14:textId="2F1F2A84" w:rsidR="00186C3C" w:rsidRDefault="00186C3C">
      <w:pPr>
        <w:pStyle w:val="FootnoteText"/>
      </w:pPr>
      <w:r>
        <w:rPr>
          <w:rStyle w:val="FootnoteReference"/>
        </w:rPr>
        <w:footnoteRef/>
      </w:r>
      <w:r>
        <w:t xml:space="preserve"> These options have been raised and </w:t>
      </w:r>
      <w:r w:rsidR="00106415">
        <w:t>discussed</w:t>
      </w:r>
      <w:r>
        <w:t xml:space="preserve"> </w:t>
      </w:r>
      <w:r w:rsidR="00AA0CD5">
        <w:t xml:space="preserve">in submissions to </w:t>
      </w:r>
      <w:r w:rsidR="00106415">
        <w:t xml:space="preserve">various processes, including </w:t>
      </w:r>
      <w:r w:rsidR="00AA0CD5">
        <w:t xml:space="preserve">the </w:t>
      </w:r>
      <w:hyperlink r:id="rId8" w:history="1">
        <w:r w:rsidR="005C16AE" w:rsidRPr="000A6F76">
          <w:rPr>
            <w:rStyle w:val="Hyperlink"/>
          </w:rPr>
          <w:t xml:space="preserve">Regional Mobile Infrastructure Inquiry and </w:t>
        </w:r>
        <w:r w:rsidR="00B21BE4" w:rsidRPr="000A6F76">
          <w:rPr>
            <w:rStyle w:val="Hyperlink"/>
          </w:rPr>
          <w:t>Co</w:t>
        </w:r>
        <w:r w:rsidR="00EA05E0" w:rsidRPr="000A6F76">
          <w:rPr>
            <w:rStyle w:val="Hyperlink"/>
          </w:rPr>
          <w:t xml:space="preserve">-investment </w:t>
        </w:r>
        <w:r w:rsidR="00B21BE4" w:rsidRPr="000A6F76">
          <w:rPr>
            <w:rStyle w:val="Hyperlink"/>
          </w:rPr>
          <w:t>Inquiry</w:t>
        </w:r>
      </w:hyperlink>
      <w:r w:rsidR="00B21BE4">
        <w:t xml:space="preserve">. </w:t>
      </w:r>
      <w:r w:rsidR="00EA05E0">
        <w:t xml:space="preserve"> </w:t>
      </w:r>
    </w:p>
  </w:footnote>
  <w:footnote w:id="32">
    <w:p w14:paraId="057A5599" w14:textId="77777777" w:rsidR="00D57398" w:rsidRDefault="00D57398" w:rsidP="00D57398">
      <w:pPr>
        <w:pStyle w:val="FootnoteText"/>
      </w:pPr>
      <w:r>
        <w:rPr>
          <w:rStyle w:val="FootnoteReference"/>
        </w:rPr>
        <w:footnoteRef/>
      </w:r>
      <w:r>
        <w:t xml:space="preserve"> These 3 concepts are considered to constitute Pareto or economic efficiency, whereby resources are allocated in a way that does not better one consumer or firm to the detriment of another. See Martin Cave, Chris Doyle and William Webb, </w:t>
      </w:r>
      <w:r>
        <w:rPr>
          <w:i/>
          <w:iCs/>
        </w:rPr>
        <w:t>Essentials of Modern Spectrum Management</w:t>
      </w:r>
      <w:r>
        <w:t>, Cambridge University Press, 2007, p. 88 and p. 169.</w:t>
      </w:r>
    </w:p>
  </w:footnote>
  <w:footnote w:id="33">
    <w:p w14:paraId="41328A26" w14:textId="77777777" w:rsidR="00D57398" w:rsidRPr="004942B4" w:rsidRDefault="00D57398" w:rsidP="00D57398">
      <w:pPr>
        <w:pStyle w:val="FootnoteText"/>
      </w:pPr>
      <w:r>
        <w:rPr>
          <w:rStyle w:val="FootnoteReference"/>
        </w:rPr>
        <w:footnoteRef/>
      </w:r>
      <w:r>
        <w:t xml:space="preserve"> See Mazar, </w:t>
      </w:r>
      <w:r>
        <w:rPr>
          <w:i/>
          <w:iCs/>
        </w:rPr>
        <w:t>Radio Spectrum Management</w:t>
      </w:r>
      <w:r>
        <w:t>, p. 128.</w:t>
      </w:r>
    </w:p>
  </w:footnote>
  <w:footnote w:id="34">
    <w:p w14:paraId="4AEABD27" w14:textId="77777777" w:rsidR="00D57398" w:rsidRDefault="00D57398" w:rsidP="00D57398">
      <w:pPr>
        <w:pStyle w:val="FootnoteText"/>
      </w:pPr>
      <w:r>
        <w:rPr>
          <w:rStyle w:val="FootnoteReference"/>
        </w:rPr>
        <w:footnoteRef/>
      </w:r>
      <w:r>
        <w:t xml:space="preserve"> Mazar, </w:t>
      </w:r>
      <w:r>
        <w:rPr>
          <w:i/>
          <w:iCs/>
        </w:rPr>
        <w:t>Radio Spectrum Management</w:t>
      </w:r>
      <w:r>
        <w:t xml:space="preserve">, p. 133. Similarly, the design of licences should be guided by economic efficiency, whereby a licence is considered an input and that, as an input, it should be used in a way that does not restrict the economy’s potential – see Cave, Doyle and Webb, </w:t>
      </w:r>
      <w:r>
        <w:rPr>
          <w:i/>
          <w:iCs/>
        </w:rPr>
        <w:t xml:space="preserve">Modern Spectrum </w:t>
      </w:r>
      <w:r w:rsidRPr="006B3862">
        <w:t>Management</w:t>
      </w:r>
      <w:r>
        <w:t xml:space="preserve">, </w:t>
      </w:r>
      <w:r w:rsidRPr="006B3862">
        <w:t>p</w:t>
      </w:r>
      <w:r>
        <w:t>. 124.</w:t>
      </w:r>
    </w:p>
  </w:footnote>
  <w:footnote w:id="35">
    <w:p w14:paraId="2A6769D8" w14:textId="77777777" w:rsidR="00D57398" w:rsidRPr="007C3C12" w:rsidRDefault="00D57398" w:rsidP="00D57398">
      <w:pPr>
        <w:pStyle w:val="FootnoteText"/>
      </w:pPr>
      <w:r>
        <w:rPr>
          <w:rStyle w:val="FootnoteReference"/>
        </w:rPr>
        <w:footnoteRef/>
      </w:r>
      <w:r>
        <w:t xml:space="preserve"> See Martin Cave and William Webb, </w:t>
      </w:r>
      <w:r>
        <w:rPr>
          <w:i/>
          <w:iCs/>
        </w:rPr>
        <w:t>Spectrum Management</w:t>
      </w:r>
      <w:r w:rsidRPr="00324C32">
        <w:rPr>
          <w:i/>
          <w:iCs/>
        </w:rPr>
        <w:t>: Using the Airwaves for Maximum Social and Economic Benefit</w:t>
      </w:r>
      <w:r>
        <w:t>, Cambridge University Press, 2015, p. 42.</w:t>
      </w:r>
    </w:p>
  </w:footnote>
  <w:footnote w:id="36">
    <w:p w14:paraId="5C5453CA" w14:textId="77777777" w:rsidR="00D57398" w:rsidRDefault="00D57398" w:rsidP="00D57398">
      <w:pPr>
        <w:pStyle w:val="FootnoteText"/>
      </w:pPr>
      <w:r>
        <w:rPr>
          <w:rStyle w:val="FootnoteReference"/>
        </w:rPr>
        <w:footnoteRef/>
      </w:r>
      <w:r>
        <w:t xml:space="preserve"> </w:t>
      </w:r>
      <w:r>
        <w:t xml:space="preserve">GlobalData, </w:t>
      </w:r>
      <w:r w:rsidRPr="007C5CC4">
        <w:rPr>
          <w:i/>
          <w:iCs/>
        </w:rPr>
        <w:t>Australian Mobile Operator KPI Forecast for Australia</w:t>
      </w:r>
      <w:r>
        <w:rPr>
          <w:i/>
          <w:iCs/>
        </w:rPr>
        <w:t xml:space="preserve"> </w:t>
      </w:r>
      <w:r w:rsidRPr="00CE32A2">
        <w:t>[database]</w:t>
      </w:r>
      <w:r>
        <w:t>, March 2023</w:t>
      </w:r>
      <w:r w:rsidRPr="000D7A4F">
        <w:t>,</w:t>
      </w:r>
      <w:r>
        <w:t xml:space="preserve"> accessed March 28, 2023. Forecast excludes device sales. </w:t>
      </w:r>
    </w:p>
  </w:footnote>
  <w:footnote w:id="37">
    <w:p w14:paraId="2A1F61CC" w14:textId="77777777" w:rsidR="00D57398" w:rsidRDefault="00D57398" w:rsidP="00D57398">
      <w:pPr>
        <w:pStyle w:val="FootnoteText"/>
      </w:pPr>
      <w:r>
        <w:rPr>
          <w:rStyle w:val="FootnoteReference"/>
        </w:rPr>
        <w:footnoteRef/>
      </w:r>
      <w:r>
        <w:t xml:space="preserve"> See our </w:t>
      </w:r>
      <w:hyperlink r:id="rId9" w:history="1">
        <w:r w:rsidRPr="0047330A">
          <w:rPr>
            <w:rStyle w:val="Hyperlink"/>
          </w:rPr>
          <w:t>Market study: private wireless networks using 4G and 5G</w:t>
        </w:r>
      </w:hyperlink>
      <w:r>
        <w:t>.</w:t>
      </w:r>
    </w:p>
  </w:footnote>
  <w:footnote w:id="38">
    <w:p w14:paraId="10F79ACA" w14:textId="77777777" w:rsidR="00D57398" w:rsidRDefault="00D57398" w:rsidP="00D57398">
      <w:pPr>
        <w:pStyle w:val="FootnoteText"/>
      </w:pPr>
      <w:r>
        <w:rPr>
          <w:rStyle w:val="FootnoteReference"/>
        </w:rPr>
        <w:footnoteRef/>
      </w:r>
      <w:r>
        <w:t xml:space="preserve"> </w:t>
      </w:r>
      <w:r w:rsidRPr="00097A9E">
        <w:t xml:space="preserve">Mordor Intelligence, </w:t>
      </w:r>
      <w:r w:rsidRPr="007C5CC4">
        <w:rPr>
          <w:i/>
          <w:iCs/>
        </w:rPr>
        <w:t xml:space="preserve">Australian Private wireless network Landscape </w:t>
      </w:r>
      <w:r>
        <w:rPr>
          <w:i/>
          <w:iCs/>
        </w:rPr>
        <w:t>(2022-2027)</w:t>
      </w:r>
      <w:r w:rsidRPr="00097A9E">
        <w:t>.</w:t>
      </w:r>
    </w:p>
  </w:footnote>
  <w:footnote w:id="39">
    <w:p w14:paraId="05F9FC65" w14:textId="77777777" w:rsidR="00D57398" w:rsidRDefault="00D57398" w:rsidP="00D57398">
      <w:pPr>
        <w:pStyle w:val="FootnoteText"/>
      </w:pPr>
      <w:r>
        <w:rPr>
          <w:rStyle w:val="FootnoteReference"/>
        </w:rPr>
        <w:footnoteRef/>
      </w:r>
      <w:r>
        <w:t xml:space="preserve"> For example, the United States has reserved spectrum available at 3.5–3.7 GHz, Germany at 3.7–3.8 GHz and Japan at 1.9 GHz and between 4.6 GHz and 4.9 GHz. </w:t>
      </w:r>
    </w:p>
  </w:footnote>
  <w:footnote w:id="40">
    <w:p w14:paraId="62546D54" w14:textId="77777777" w:rsidR="00D57398" w:rsidRDefault="00D57398" w:rsidP="00D57398">
      <w:pPr>
        <w:pStyle w:val="FootnoteText"/>
      </w:pPr>
      <w:r w:rsidRPr="007B634F">
        <w:rPr>
          <w:vertAlign w:val="superscript"/>
        </w:rPr>
        <w:footnoteRef/>
      </w:r>
      <w:r>
        <w:t xml:space="preserve"> </w:t>
      </w:r>
      <w:r w:rsidRPr="00AC0089">
        <w:t xml:space="preserve">GSA, Private Mobile Networks: May 2023 Member Report, GSA, 2023. p.10, accessed 14 June 2023. As part of our broader spectrum allocation activities, we support private network use cases through licensing arrangements for </w:t>
      </w:r>
      <w:r>
        <w:t>local area wireless broadband</w:t>
      </w:r>
      <w:r w:rsidRPr="00AC0089">
        <w:t xml:space="preserve">. Recently, the ACMA introduced area-wide licences in response to changes in technology and requests from spectrum users for additional flexibility within the apparatus licensing system - see </w:t>
      </w:r>
      <w:hyperlink r:id="rId10" w:history="1">
        <w:r w:rsidRPr="00AC0089">
          <w:rPr>
            <w:rStyle w:val="Hyperlink"/>
          </w:rPr>
          <w:t>Area-wide licensing: ACMA approach to introducing area-wide licences</w:t>
        </w:r>
      </w:hyperlink>
      <w:r>
        <w:t xml:space="preserve">. </w:t>
      </w:r>
      <w:r w:rsidRPr="00AC0089">
        <w:t>We also note allocation exercises in 3.4</w:t>
      </w:r>
      <w:r>
        <w:t>–</w:t>
      </w:r>
      <w:r w:rsidRPr="00AC0089">
        <w:t>4 GHz for 2023 and 2024.</w:t>
      </w:r>
    </w:p>
  </w:footnote>
  <w:footnote w:id="41">
    <w:p w14:paraId="5BF32A06" w14:textId="77777777" w:rsidR="00D57398" w:rsidRDefault="00D57398" w:rsidP="00D57398">
      <w:pPr>
        <w:pStyle w:val="FootnoteText"/>
      </w:pPr>
      <w:r>
        <w:rPr>
          <w:rStyle w:val="FootnoteReference"/>
        </w:rPr>
        <w:footnoteRef/>
      </w:r>
      <w:r>
        <w:t xml:space="preserve"> See </w:t>
      </w:r>
      <w:hyperlink r:id="rId11" w:history="1">
        <w:r>
          <w:rPr>
            <w:rStyle w:val="Hyperlink"/>
          </w:rPr>
          <w:t>A more dynamic and competitive economy</w:t>
        </w:r>
      </w:hyperlink>
    </w:p>
  </w:footnote>
  <w:footnote w:id="42">
    <w:p w14:paraId="1AA00159" w14:textId="77777777" w:rsidR="00D57398" w:rsidRPr="002D7723" w:rsidRDefault="00D57398" w:rsidP="00D57398">
      <w:pPr>
        <w:pStyle w:val="FootnoteText"/>
        <w:rPr>
          <w:i/>
          <w:iCs/>
        </w:rPr>
      </w:pPr>
      <w:r>
        <w:rPr>
          <w:rStyle w:val="FootnoteReference"/>
        </w:rPr>
        <w:footnoteRef/>
      </w:r>
      <w:r>
        <w:t xml:space="preserve"> Cave, Doyle and Webb, </w:t>
      </w:r>
      <w:r>
        <w:rPr>
          <w:i/>
          <w:iCs/>
        </w:rPr>
        <w:t>Modern Spectrum Management</w:t>
      </w:r>
      <w:r>
        <w:t>, p. 85.</w:t>
      </w:r>
    </w:p>
  </w:footnote>
  <w:footnote w:id="43">
    <w:p w14:paraId="07606CA8" w14:textId="77777777" w:rsidR="00D57398" w:rsidRDefault="00D57398" w:rsidP="00D57398">
      <w:pPr>
        <w:pStyle w:val="FootnoteText"/>
      </w:pPr>
      <w:r>
        <w:rPr>
          <w:rStyle w:val="FootnoteReference"/>
        </w:rPr>
        <w:footnoteRef/>
      </w:r>
      <w:r>
        <w:t xml:space="preserve"> Additionally, the economic efficiency gains intended to be realised by tradable and technology-flexible licences, and low transaction costs imposed by regulation, can go unrealised where the behaviour of market players is not competitive – see Cave, Doyle and Webb, </w:t>
      </w:r>
      <w:r>
        <w:rPr>
          <w:i/>
          <w:iCs/>
        </w:rPr>
        <w:t>Modern Spectrum Management</w:t>
      </w:r>
      <w:r>
        <w:t xml:space="preserve">, p. 39. </w:t>
      </w:r>
    </w:p>
  </w:footnote>
  <w:footnote w:id="44">
    <w:p w14:paraId="19351AC9" w14:textId="77777777" w:rsidR="00D57398" w:rsidRDefault="00D57398" w:rsidP="00D57398">
      <w:pPr>
        <w:pStyle w:val="FootnoteText"/>
      </w:pPr>
      <w:r>
        <w:rPr>
          <w:rStyle w:val="FootnoteReference"/>
        </w:rPr>
        <w:footnoteRef/>
      </w:r>
      <w:r>
        <w:t xml:space="preserve"> See </w:t>
      </w:r>
      <w:hyperlink r:id="rId12" w:history="1">
        <w:r w:rsidRPr="0020278E">
          <w:rPr>
            <w:rStyle w:val="Hyperlink"/>
          </w:rPr>
          <w:t>Venture Insights State of the Australian Telecommunications Industry</w:t>
        </w:r>
      </w:hyperlink>
      <w:r>
        <w:t>.</w:t>
      </w:r>
    </w:p>
  </w:footnote>
  <w:footnote w:id="45">
    <w:p w14:paraId="25515BE0" w14:textId="77777777" w:rsidR="00D57398" w:rsidRDefault="00D57398" w:rsidP="00D57398">
      <w:pPr>
        <w:pStyle w:val="FootnoteText"/>
      </w:pPr>
      <w:r w:rsidRPr="002D7723">
        <w:rPr>
          <w:rStyle w:val="FootnoteReference"/>
        </w:rPr>
        <w:footnoteRef/>
      </w:r>
      <w:r w:rsidRPr="002D7723">
        <w:t xml:space="preserve"> Recommendations arising from the </w:t>
      </w:r>
      <w:hyperlink r:id="rId13" w:history="1">
        <w:r w:rsidRPr="00396E06">
          <w:rPr>
            <w:rStyle w:val="Hyperlink"/>
          </w:rPr>
          <w:t>2021 Regional Telecommunications Review</w:t>
        </w:r>
      </w:hyperlink>
      <w:r w:rsidRPr="002D7723">
        <w:t xml:space="preserve"> do not specifically focus on spectrum management, but do recommend, among other things, new or continued funding for new mobile coverage and</w:t>
      </w:r>
      <w:r>
        <w:t xml:space="preserve"> shared network access models (including neutral hosting models).</w:t>
      </w:r>
      <w:r w:rsidRPr="003B2310">
        <w:t xml:space="preserve"> </w:t>
      </w:r>
      <w:r w:rsidRPr="002C2B7E">
        <w:t>Telstra</w:t>
      </w:r>
      <w:r>
        <w:t xml:space="preserve"> has noted that ‘Because of the challenging economics, there are likely to be few new economically viable sites in regional and remote areas, without support from government co-funding’; and that ‘Difficult terrain and low population density means there will always be large parts of Australia’s land mass that will not get terrestrial based mobile coverage, even with co-funding initiatives.’ See Telstra’s </w:t>
      </w:r>
      <w:hyperlink r:id="rId14" w:history="1">
        <w:r w:rsidRPr="00847BAA">
          <w:rPr>
            <w:rStyle w:val="Hyperlink"/>
          </w:rPr>
          <w:t>submission</w:t>
        </w:r>
      </w:hyperlink>
      <w:r>
        <w:t xml:space="preserve"> to the Inquiry into Co-Investment in Multi-carrier Regional Mobile Infrastructure (the Inquiry into Co-Investment). The ACCC noted similar stakeholder views in its RMII. Similarly, the </w:t>
      </w:r>
      <w:hyperlink r:id="rId15" w:history="1">
        <w:r w:rsidRPr="007212C9">
          <w:rPr>
            <w:rStyle w:val="Hyperlink"/>
          </w:rPr>
          <w:t>Australian Broadband Advisory Council has commented</w:t>
        </w:r>
      </w:hyperlink>
      <w:r>
        <w:t xml:space="preserve"> that ‘It is not reasonable to expect that the national carrier business models, even with the stepped up “push-pull” approaches from government, will solve what is essentially a local problem;’ and that ‘’While carrier fixed and mobile broadband networks can “do everything”, they are over-engineered for many agri-tech applications, and still won’t necessary resolve’ coverage problems. The Council cites a range of technologies and approaches that are being deployed, and notes that access to fibre backhaul and access to spectrum – including potential allocation and licensing </w:t>
      </w:r>
      <w:hyperlink r:id="rId16" w:history="1">
        <w:r w:rsidRPr="007212C9">
          <w:rPr>
            <w:rStyle w:val="Hyperlink"/>
          </w:rPr>
          <w:t>options for the 6 GHz</w:t>
        </w:r>
      </w:hyperlink>
      <w:r>
        <w:t xml:space="preserve"> band being considered by the ACMA – are critical inputs into developing a robust and multi-tiered market for services in these regions.</w:t>
      </w:r>
    </w:p>
  </w:footnote>
  <w:footnote w:id="46">
    <w:p w14:paraId="3D3E6576" w14:textId="77777777" w:rsidR="00D57398" w:rsidRDefault="00D57398" w:rsidP="00D57398">
      <w:pPr>
        <w:pStyle w:val="FootnoteText"/>
      </w:pPr>
      <w:r>
        <w:rPr>
          <w:rStyle w:val="FootnoteReference"/>
        </w:rPr>
        <w:footnoteRef/>
      </w:r>
      <w:r>
        <w:t xml:space="preserve"> See the House of </w:t>
      </w:r>
      <w:r w:rsidRPr="00B32388">
        <w:rPr>
          <w:rFonts w:cs="Arial"/>
        </w:rPr>
        <w:t>Representatives</w:t>
      </w:r>
      <w:r w:rsidRPr="001631AD">
        <w:rPr>
          <w:rFonts w:cs="Arial"/>
          <w:color w:val="222222"/>
          <w:shd w:val="clear" w:color="auto" w:fill="FFFFFF"/>
        </w:rPr>
        <w:t xml:space="preserve"> Standing Committee on Communications and the Arts</w:t>
      </w:r>
      <w:r>
        <w:rPr>
          <w:rFonts w:cs="Arial"/>
          <w:color w:val="222222"/>
          <w:shd w:val="clear" w:color="auto" w:fill="FFFFFF"/>
        </w:rPr>
        <w:t xml:space="preserve">’ 2023 report </w:t>
      </w:r>
      <w:hyperlink r:id="rId17" w:history="1">
        <w:r w:rsidRPr="00854EF5">
          <w:rPr>
            <w:rStyle w:val="Hyperlink"/>
          </w:rPr>
          <w:t>Connecting the country: Mission critical Inquiry into co-investment in multi-carrier regional mobile infrastructure.</w:t>
        </w:r>
      </w:hyperlink>
    </w:p>
  </w:footnote>
  <w:footnote w:id="47">
    <w:p w14:paraId="1DC7257A" w14:textId="48B3D88C" w:rsidR="00D57398" w:rsidRDefault="00D57398" w:rsidP="00D57398">
      <w:pPr>
        <w:pStyle w:val="FootnoteText"/>
      </w:pPr>
      <w:r>
        <w:rPr>
          <w:rStyle w:val="FootnoteReference"/>
        </w:rPr>
        <w:footnoteRef/>
      </w:r>
      <w:r>
        <w:t xml:space="preserve"> </w:t>
      </w:r>
      <w:r w:rsidRPr="00AA4BF2">
        <w:t>In th</w:t>
      </w:r>
      <w:r>
        <w:t>e</w:t>
      </w:r>
      <w:r w:rsidRPr="00AA4BF2">
        <w:t xml:space="preserve"> </w:t>
      </w:r>
      <w:r w:rsidR="00334530">
        <w:t>ACMA’s Statement of Intent</w:t>
      </w:r>
      <w:r w:rsidRPr="00AA4BF2">
        <w:t>, we also indicate that we will have regard to and contribute, where we are able, to broader policy priorities, including First Nations Australians and Closing the Gap targets.</w:t>
      </w:r>
    </w:p>
  </w:footnote>
  <w:footnote w:id="48">
    <w:p w14:paraId="7BF58957" w14:textId="77777777" w:rsidR="00D57398" w:rsidRDefault="00D57398" w:rsidP="00D57398">
      <w:pPr>
        <w:pStyle w:val="FootnoteText"/>
      </w:pPr>
      <w:r>
        <w:rPr>
          <w:rStyle w:val="FootnoteReference"/>
        </w:rPr>
        <w:footnoteRef/>
      </w:r>
      <w:r>
        <w:t xml:space="preserve"> See the ACCC’s </w:t>
      </w:r>
      <w:hyperlink r:id="rId18" w:history="1">
        <w:r w:rsidRPr="000F0060">
          <w:rPr>
            <w:rStyle w:val="Hyperlink"/>
            <w:i/>
          </w:rPr>
          <w:t>Mobile Infrastructure Report 2022</w:t>
        </w:r>
      </w:hyperlink>
      <w:r>
        <w:t>.</w:t>
      </w:r>
    </w:p>
  </w:footnote>
  <w:footnote w:id="49">
    <w:p w14:paraId="15A2CE83" w14:textId="77777777" w:rsidR="00D57398" w:rsidRDefault="00D57398" w:rsidP="00D57398">
      <w:pPr>
        <w:pStyle w:val="FootnoteText"/>
      </w:pPr>
      <w:r>
        <w:rPr>
          <w:rStyle w:val="FootnoteReference"/>
        </w:rPr>
        <w:footnoteRef/>
      </w:r>
      <w:r>
        <w:t xml:space="preserve"> See the</w:t>
      </w:r>
      <w:r w:rsidRPr="002D7723">
        <w:t xml:space="preserve"> ACCC’s 2023 </w:t>
      </w:r>
      <w:hyperlink r:id="rId19" w:history="1">
        <w:r w:rsidRPr="005726BE">
          <w:rPr>
            <w:rStyle w:val="Hyperlink"/>
          </w:rPr>
          <w:t>Regional mobile infrastructure inquiry – Final report</w:t>
        </w:r>
      </w:hyperlink>
      <w:r>
        <w:t>, p.1 and p. 5.</w:t>
      </w:r>
    </w:p>
  </w:footnote>
  <w:footnote w:id="50">
    <w:p w14:paraId="21D92D77" w14:textId="77777777" w:rsidR="00D57398" w:rsidRPr="002D7723" w:rsidRDefault="00D57398" w:rsidP="00D57398">
      <w:pPr>
        <w:pStyle w:val="FootnoteText"/>
      </w:pPr>
      <w:r>
        <w:rPr>
          <w:rStyle w:val="FootnoteReference"/>
        </w:rPr>
        <w:footnoteRef/>
      </w:r>
      <w:r>
        <w:t xml:space="preserve"> In this context, we </w:t>
      </w:r>
      <w:r w:rsidRPr="002D7723">
        <w:t xml:space="preserve">understand digital inclusion, and the digital gap (that is, the ‘difference in levels of digital inclusion between First Nations people and other Australians’) as </w:t>
      </w:r>
      <w:r>
        <w:t xml:space="preserve">considering </w:t>
      </w:r>
      <w:r w:rsidRPr="002D7723">
        <w:t xml:space="preserve">the availability and affordability of communications options, as well as a range of social factors. This understanding is consistent with the </w:t>
      </w:r>
      <w:hyperlink r:id="rId20" w:history="1">
        <w:r w:rsidRPr="000F0060">
          <w:rPr>
            <w:rStyle w:val="Hyperlink"/>
            <w:i/>
            <w:iCs/>
          </w:rPr>
          <w:t>Mapping the Digital Gap 2023 Outcomes Report</w:t>
        </w:r>
      </w:hyperlink>
      <w:r w:rsidRPr="002D7723">
        <w:t>.</w:t>
      </w:r>
    </w:p>
  </w:footnote>
  <w:footnote w:id="51">
    <w:p w14:paraId="23B1F8B6" w14:textId="77777777" w:rsidR="00D57398" w:rsidRPr="002D7723" w:rsidRDefault="00D57398" w:rsidP="00D57398">
      <w:pPr>
        <w:pStyle w:val="FootnoteText"/>
      </w:pPr>
      <w:r w:rsidRPr="002D7723">
        <w:rPr>
          <w:rStyle w:val="FootnoteReference"/>
        </w:rPr>
        <w:footnoteRef/>
      </w:r>
      <w:r w:rsidRPr="002D7723">
        <w:t xml:space="preserve"> </w:t>
      </w:r>
      <w:hyperlink r:id="rId21" w:history="1">
        <w:r w:rsidRPr="000F0060">
          <w:rPr>
            <w:rStyle w:val="Hyperlink"/>
            <w:i/>
            <w:iCs/>
          </w:rPr>
          <w:t>2023 First Nations Digital Inclusion Advisory Group Initial Report</w:t>
        </w:r>
      </w:hyperlink>
      <w:r>
        <w:t xml:space="preserve">, </w:t>
      </w:r>
      <w:r w:rsidRPr="002D7723">
        <w:t>p. 8</w:t>
      </w:r>
      <w:r>
        <w:t xml:space="preserve"> and</w:t>
      </w:r>
      <w:r w:rsidRPr="002D7723">
        <w:t xml:space="preserve"> p</w:t>
      </w:r>
      <w:r>
        <w:t>p</w:t>
      </w:r>
      <w:r w:rsidRPr="002D7723">
        <w:t xml:space="preserve">. 11-12. These findings are echoed in the Mapping the Digital Gap </w:t>
      </w:r>
      <w:r>
        <w:t>2023 Outcomes R</w:t>
      </w:r>
      <w:r w:rsidRPr="002D7723">
        <w:t>eport.</w:t>
      </w:r>
    </w:p>
  </w:footnote>
  <w:footnote w:id="52">
    <w:p w14:paraId="7D9F26B8" w14:textId="77777777" w:rsidR="00D57398" w:rsidRPr="002D7723" w:rsidRDefault="00D57398" w:rsidP="00D57398">
      <w:pPr>
        <w:pStyle w:val="FootnoteText"/>
      </w:pPr>
      <w:r w:rsidRPr="002D7723">
        <w:rPr>
          <w:rStyle w:val="FootnoteReference"/>
        </w:rPr>
        <w:footnoteRef/>
      </w:r>
      <w:r w:rsidRPr="002D7723">
        <w:t xml:space="preserve"> Outcome 17 of the </w:t>
      </w:r>
      <w:hyperlink r:id="rId22" w:anchor=":~:text=Aboriginal%20and%20Torres%20Strait%20Islander%20people%20from%20across%20the%20country,Torres%20Strait%20Islander%20peoples'%20priorities." w:history="1">
        <w:r w:rsidRPr="00B36766">
          <w:rPr>
            <w:rStyle w:val="Hyperlink"/>
          </w:rPr>
          <w:t>National Partnership Agreement on Closing the Gap</w:t>
        </w:r>
      </w:hyperlink>
      <w:r w:rsidRPr="002D7723">
        <w:t xml:space="preserve"> is </w:t>
      </w:r>
      <w:r>
        <w:t>‘</w:t>
      </w:r>
      <w:r w:rsidRPr="002D7723">
        <w:t>Aboriginal and Torres Strait Islander people have access to information and services enabling participation in informed decision-making regarding their own lives.</w:t>
      </w:r>
      <w:r>
        <w:t xml:space="preserve">’ The </w:t>
      </w:r>
      <w:hyperlink r:id="rId23" w:history="1">
        <w:r w:rsidRPr="00A25652">
          <w:rPr>
            <w:rStyle w:val="Hyperlink"/>
          </w:rPr>
          <w:t>target</w:t>
        </w:r>
      </w:hyperlink>
      <w:r>
        <w:t xml:space="preserve"> associated with Outcome 17 is ‘By 2026, Aboriginal and Torres Strait Islander people have equal levels of digital inclusion.’ We note that the timeframes for ESLs are not necessarily conducive to achieving that target, and we propose to have regard to the outcome.</w:t>
      </w:r>
    </w:p>
  </w:footnote>
  <w:footnote w:id="53">
    <w:p w14:paraId="5D9D616B" w14:textId="549D6C2B" w:rsidR="00D57398" w:rsidRDefault="00D57398" w:rsidP="00D57398">
      <w:pPr>
        <w:pStyle w:val="FootnoteText"/>
      </w:pPr>
      <w:r>
        <w:rPr>
          <w:rStyle w:val="FootnoteReference"/>
        </w:rPr>
        <w:footnoteRef/>
      </w:r>
      <w:r>
        <w:t xml:space="preserve"> The ACCC finding was that ‘To the extent that regional-focused operators can develop alternative means of providing mobile coverage in regional Australia, there may be benefit in providing those operators with access to [currently allocated, and particularly low-band] spectrum, particularly where the spectrum may be not currently used.’ The ACCC also noted that, while it had ‘not been provided with more detailed information on the proposed alternative use</w:t>
      </w:r>
      <w:r w:rsidR="0022165E">
        <w:t xml:space="preserve"> </w:t>
      </w:r>
      <w:r>
        <w:t>cases, the ACCC understands that some international jurisdictions have a “use it or lose it” licence obligation on spectrum licences. “Use it or lose it” provisions could potentially promote more efficient use of spectrum including by incentivising licensees to share spectrum that they do not use. However, “use it or lose it” obligations may lead to inefficiencies where there are, for example, legitimate reasons for a company to delay rolling out services.’</w:t>
      </w:r>
    </w:p>
  </w:footnote>
  <w:footnote w:id="54">
    <w:p w14:paraId="79AF3A62" w14:textId="77777777" w:rsidR="00D57398" w:rsidRDefault="00D57398" w:rsidP="00D57398">
      <w:pPr>
        <w:pStyle w:val="FootnoteText"/>
      </w:pPr>
      <w:r>
        <w:rPr>
          <w:rStyle w:val="FootnoteReference"/>
        </w:rPr>
        <w:footnoteRef/>
      </w:r>
      <w:r w:rsidRPr="00136231">
        <w:t xml:space="preserve"> </w:t>
      </w:r>
      <w:r>
        <w:t xml:space="preserve">See our </w:t>
      </w:r>
      <w:hyperlink r:id="rId24" w:history="1">
        <w:r w:rsidRPr="0086032D">
          <w:rPr>
            <w:rStyle w:val="Hyperlink"/>
          </w:rPr>
          <w:t>submission</w:t>
        </w:r>
      </w:hyperlink>
      <w:r>
        <w:t xml:space="preserve"> to the Inquiry into Co-Investment. </w:t>
      </w:r>
      <w:r w:rsidRPr="00AA4BF2">
        <w:t xml:space="preserve">The Department of Infrastructure, Transport, Regional </w:t>
      </w:r>
      <w:r>
        <w:t>D</w:t>
      </w:r>
      <w:r w:rsidRPr="00AA4BF2">
        <w:t>evelopment, Communications and the Arts</w:t>
      </w:r>
      <w:r>
        <w:t>, in its submission to the Inquiry into Co-Investment</w:t>
      </w:r>
      <w:r w:rsidRPr="00AA4BF2">
        <w:t xml:space="preserve"> </w:t>
      </w:r>
      <w:r w:rsidRPr="002C2B7E">
        <w:t>similarly observed that</w:t>
      </w:r>
      <w:r w:rsidRPr="00AA4BF2">
        <w:t xml:space="preserve"> ‘There is no clear evidence that spectrum access is a barrier to expanding coverage in regional and remote areas for the major mobile carriers. All the major mobile carriers own national spectrum licences for low band and have holdings of medium and high band spectrum.’ The ACCC</w:t>
      </w:r>
      <w:r>
        <w:t>’s RMII report</w:t>
      </w:r>
      <w:r w:rsidRPr="00AA4BF2">
        <w:t xml:space="preserve"> notes that it </w:t>
      </w:r>
      <w:r>
        <w:t>‘</w:t>
      </w:r>
      <w:r w:rsidRPr="00AA4BF2">
        <w:t>consider[s] that Telstra, Optus and TPG Telecom all currently have sufficient spectrum to supply mobile network services in rural, regional, remote and peri-urban areas</w:t>
      </w:r>
      <w:r>
        <w:t>,</w:t>
      </w:r>
      <w:r w:rsidRPr="00AA4BF2">
        <w:t xml:space="preserve">’ </w:t>
      </w:r>
      <w:r>
        <w:t>p</w:t>
      </w:r>
      <w:r w:rsidRPr="00AA4BF2">
        <w:t>. 80.</w:t>
      </w:r>
    </w:p>
  </w:footnote>
  <w:footnote w:id="55">
    <w:p w14:paraId="525FACC0" w14:textId="77777777" w:rsidR="00D57398" w:rsidRDefault="00D57398" w:rsidP="00D57398">
      <w:pPr>
        <w:pStyle w:val="FootnoteText"/>
      </w:pPr>
      <w:r>
        <w:rPr>
          <w:rStyle w:val="FootnoteReference"/>
        </w:rPr>
        <w:footnoteRef/>
      </w:r>
      <w:r>
        <w:t xml:space="preserve"> See the government’s 2023 </w:t>
      </w:r>
      <w:hyperlink r:id="rId25" w:history="1">
        <w:r w:rsidRPr="00E65C02">
          <w:rPr>
            <w:rStyle w:val="Hyperlink"/>
            <w:i/>
          </w:rPr>
          <w:t>Better delivery of universal services discussion paper</w:t>
        </w:r>
      </w:hyperlink>
      <w:r>
        <w:t>.</w:t>
      </w:r>
    </w:p>
  </w:footnote>
  <w:footnote w:id="56">
    <w:p w14:paraId="3B731200" w14:textId="77777777" w:rsidR="00D57398" w:rsidRDefault="00D57398" w:rsidP="00D57398">
      <w:pPr>
        <w:pStyle w:val="FootnoteText"/>
      </w:pPr>
      <w:r>
        <w:rPr>
          <w:rStyle w:val="FootnoteReference"/>
        </w:rPr>
        <w:footnoteRef/>
      </w:r>
      <w:r>
        <w:t xml:space="preserve"> See our FYSO 2023–28 for more on this topic. </w:t>
      </w:r>
    </w:p>
  </w:footnote>
  <w:footnote w:id="57">
    <w:p w14:paraId="63170141" w14:textId="77777777" w:rsidR="008364F8" w:rsidRDefault="008364F8" w:rsidP="008364F8">
      <w:pPr>
        <w:pStyle w:val="FootnoteText"/>
      </w:pPr>
      <w:r>
        <w:rPr>
          <w:rStyle w:val="FootnoteReference"/>
        </w:rPr>
        <w:footnoteRef/>
      </w:r>
      <w:r>
        <w:t xml:space="preserve"> </w:t>
      </w:r>
      <w:r w:rsidRPr="00B41151">
        <w:rPr>
          <w:color w:val="000000"/>
        </w:rPr>
        <w:t>Made under either or both of subsections 77</w:t>
      </w:r>
      <w:r w:rsidRPr="00B41151">
        <w:rPr>
          <w:color w:val="000000"/>
        </w:rPr>
        <w:t>A(6) and (7).</w:t>
      </w:r>
    </w:p>
  </w:footnote>
  <w:footnote w:id="58">
    <w:p w14:paraId="48865215" w14:textId="77777777" w:rsidR="00D57398" w:rsidRDefault="00D57398" w:rsidP="00D57398">
      <w:pPr>
        <w:pStyle w:val="FootnoteText"/>
      </w:pPr>
      <w:r>
        <w:rPr>
          <w:rStyle w:val="FootnoteReference"/>
        </w:rPr>
        <w:footnoteRef/>
      </w:r>
      <w:r>
        <w:t xml:space="preserve"> Radio Spectrum Management New Zealand, </w:t>
      </w:r>
      <w:hyperlink r:id="rId26" w:history="1">
        <w:r w:rsidRPr="00437AF9">
          <w:rPr>
            <w:rStyle w:val="Hyperlink"/>
            <w:i/>
            <w:iCs/>
          </w:rPr>
          <w:t>Auction 12, Cellular management rights in the 700 MHz band for LTE (4G) cellular networks</w:t>
        </w:r>
      </w:hyperlink>
      <w:r>
        <w:t>, 2014.</w:t>
      </w:r>
    </w:p>
  </w:footnote>
  <w:footnote w:id="59">
    <w:p w14:paraId="6407BF6D" w14:textId="77777777" w:rsidR="00D57398" w:rsidRDefault="00D57398" w:rsidP="00D57398">
      <w:pPr>
        <w:pStyle w:val="FootnoteText"/>
      </w:pPr>
      <w:r>
        <w:rPr>
          <w:rStyle w:val="FootnoteReference"/>
        </w:rPr>
        <w:footnoteRef/>
      </w:r>
      <w:r>
        <w:t xml:space="preserve"> Industry Canada, </w:t>
      </w:r>
      <w:hyperlink r:id="rId27" w:history="1">
        <w:r w:rsidRPr="009E6DE2">
          <w:rPr>
            <w:rStyle w:val="Hyperlink"/>
            <w:i/>
            <w:iCs/>
          </w:rPr>
          <w:t>Policy and Technical Framework, Mobile Broadband Services (MBS) – 700 MHz band</w:t>
        </w:r>
      </w:hyperlink>
      <w:r w:rsidRPr="00A34A27">
        <w:rPr>
          <w:u w:color="0000FF"/>
        </w:rPr>
        <w:t>, March 2012</w:t>
      </w:r>
      <w:r w:rsidRPr="00A34A27">
        <w:t xml:space="preserve">, </w:t>
      </w:r>
      <w:r>
        <w:t>p. 29.</w:t>
      </w:r>
    </w:p>
  </w:footnote>
  <w:footnote w:id="60">
    <w:p w14:paraId="1847A399" w14:textId="24AD2C9A" w:rsidR="00D57398" w:rsidRDefault="00D57398" w:rsidP="00D57398">
      <w:pPr>
        <w:pStyle w:val="FootnoteText"/>
      </w:pPr>
      <w:r>
        <w:rPr>
          <w:rStyle w:val="FootnoteReference"/>
        </w:rPr>
        <w:footnoteRef/>
      </w:r>
      <w:r>
        <w:t xml:space="preserve"> Industry Canada, </w:t>
      </w:r>
      <w:hyperlink r:id="rId28" w:history="1">
        <w:r w:rsidRPr="00A34A27">
          <w:rPr>
            <w:rStyle w:val="Hyperlink"/>
            <w:i/>
            <w:iCs/>
          </w:rPr>
          <w:t>Licensing Framework for Mobile Broadband Services (MBS) — 700 MHz Band</w:t>
        </w:r>
      </w:hyperlink>
      <w:r>
        <w:t>, March 2013, pp. 52</w:t>
      </w:r>
      <w:r w:rsidR="000E399B">
        <w:t>–</w:t>
      </w:r>
      <w:r>
        <w:t>55.</w:t>
      </w:r>
    </w:p>
  </w:footnote>
  <w:footnote w:id="61">
    <w:p w14:paraId="0F5BE6BF" w14:textId="77777777" w:rsidR="00D57398" w:rsidRDefault="00D57398" w:rsidP="00D57398">
      <w:pPr>
        <w:pStyle w:val="FootnoteText"/>
      </w:pPr>
      <w:r>
        <w:rPr>
          <w:rStyle w:val="FootnoteReference"/>
        </w:rPr>
        <w:footnoteRef/>
      </w:r>
      <w:r>
        <w:t xml:space="preserve"> Gerard </w:t>
      </w:r>
      <w:r>
        <w:t xml:space="preserve">Pogorel, </w:t>
      </w:r>
      <w:hyperlink r:id="rId29" w:history="1">
        <w:r w:rsidRPr="006A2228">
          <w:rPr>
            <w:rStyle w:val="Hyperlink"/>
            <w:i/>
            <w:iCs/>
          </w:rPr>
          <w:t xml:space="preserve">Spectrum 5.0 </w:t>
        </w:r>
        <w:r w:rsidRPr="006A2228">
          <w:rPr>
            <w:rStyle w:val="Hyperlink"/>
            <w:i/>
            <w:iCs/>
          </w:rPr>
          <w:t>Re Thinking Spectrum Awards for Optimal 5G Deployment</w:t>
        </w:r>
      </w:hyperlink>
      <w:r>
        <w:t>, October 2018, p. 15.</w:t>
      </w:r>
    </w:p>
  </w:footnote>
  <w:footnote w:id="62">
    <w:p w14:paraId="53AFEFC6" w14:textId="77777777" w:rsidR="00D57398" w:rsidRDefault="00D57398" w:rsidP="00D57398">
      <w:pPr>
        <w:pStyle w:val="FootnoteText"/>
      </w:pPr>
      <w:r>
        <w:rPr>
          <w:rStyle w:val="FootnoteReference"/>
        </w:rPr>
        <w:footnoteRef/>
      </w:r>
      <w:r>
        <w:t xml:space="preserve"> Gerard </w:t>
      </w:r>
      <w:r>
        <w:t xml:space="preserve">Pogorel, </w:t>
      </w:r>
      <w:hyperlink r:id="rId30" w:history="1">
        <w:r w:rsidRPr="006A2228">
          <w:rPr>
            <w:rStyle w:val="Hyperlink"/>
            <w:i/>
            <w:iCs/>
          </w:rPr>
          <w:t xml:space="preserve">Spectrum 5.0 </w:t>
        </w:r>
        <w:r w:rsidRPr="006A2228">
          <w:rPr>
            <w:rStyle w:val="Hyperlink"/>
            <w:i/>
            <w:iCs/>
          </w:rPr>
          <w:t>Re Thinking Spectrum Awards for Optimal 5G Deployment</w:t>
        </w:r>
      </w:hyperlink>
      <w:r>
        <w:t>, October 2018, p. 16.</w:t>
      </w:r>
    </w:p>
  </w:footnote>
  <w:footnote w:id="63">
    <w:p w14:paraId="1F8E5639" w14:textId="62C24115" w:rsidR="00D57398" w:rsidRDefault="00D57398" w:rsidP="00D57398">
      <w:pPr>
        <w:pStyle w:val="FootnoteText"/>
      </w:pPr>
      <w:r>
        <w:rPr>
          <w:rStyle w:val="FootnoteReference"/>
        </w:rPr>
        <w:footnoteRef/>
      </w:r>
      <w:r>
        <w:t xml:space="preserve"> For example, a licensee may hold a licence for 20 MHz of spectrum covering </w:t>
      </w:r>
      <w:r w:rsidR="000E399B">
        <w:t xml:space="preserve">2 </w:t>
      </w:r>
      <w:r>
        <w:t>cities, but only makes use of 10 MHz, in one city. A hypothetical keep-what-you-serve UIOLI framework may allow for the resumption of 10 MHz in both cities, or 20 MHz in the unused city, or some combination thereof.</w:t>
      </w:r>
    </w:p>
  </w:footnote>
  <w:footnote w:id="64">
    <w:p w14:paraId="328E93A3" w14:textId="77777777" w:rsidR="00D57398" w:rsidRDefault="00D57398" w:rsidP="00D57398">
      <w:pPr>
        <w:pStyle w:val="FootnoteText"/>
      </w:pPr>
      <w:r>
        <w:rPr>
          <w:rStyle w:val="FootnoteReference"/>
        </w:rPr>
        <w:footnoteRef/>
      </w:r>
      <w:r>
        <w:t xml:space="preserve"> Some licences are assessed on a geographic coverage </w:t>
      </w:r>
      <w:r>
        <w:t>basis, or provide options for licensees to choose population or geographic coverage.</w:t>
      </w:r>
    </w:p>
  </w:footnote>
  <w:footnote w:id="65">
    <w:p w14:paraId="22C2A045" w14:textId="77777777" w:rsidR="00D57398" w:rsidRDefault="00D57398" w:rsidP="00D57398">
      <w:pPr>
        <w:pStyle w:val="FootnoteText"/>
      </w:pPr>
      <w:r>
        <w:rPr>
          <w:rStyle w:val="FootnoteReference"/>
        </w:rPr>
        <w:footnoteRef/>
      </w:r>
      <w:r>
        <w:t xml:space="preserve"> See FCC, </w:t>
      </w:r>
      <w:hyperlink r:id="rId31" w:history="1">
        <w:r w:rsidRPr="005E7D68">
          <w:rPr>
            <w:rStyle w:val="Hyperlink"/>
            <w:i/>
            <w:iCs/>
          </w:rPr>
          <w:t>Relicensing 700 MHZ Spectrum In Unserved Areas</w:t>
        </w:r>
      </w:hyperlink>
      <w:r>
        <w:t>, February 2019, and associated public notices.</w:t>
      </w:r>
    </w:p>
  </w:footnote>
  <w:footnote w:id="66">
    <w:p w14:paraId="1F8B388E" w14:textId="77777777" w:rsidR="00D57398" w:rsidRDefault="00D57398" w:rsidP="00D57398">
      <w:pPr>
        <w:pStyle w:val="FootnoteText"/>
      </w:pPr>
      <w:r>
        <w:rPr>
          <w:rStyle w:val="FootnoteReference"/>
        </w:rPr>
        <w:footnoteRef/>
      </w:r>
      <w:r>
        <w:t xml:space="preserve"> Federal Communications Commission, </w:t>
      </w:r>
      <w:hyperlink r:id="rId32" w:history="1">
        <w:r w:rsidRPr="00826981">
          <w:rPr>
            <w:rStyle w:val="Hyperlink"/>
            <w:i/>
            <w:iCs/>
          </w:rPr>
          <w:t>Public Notice – DA 19-77 (Wireless telecommunications bureau announces process for relicensing 700 MHz spectrum in unserved areas)</w:t>
        </w:r>
      </w:hyperlink>
      <w:r w:rsidRPr="00A11E30">
        <w:t xml:space="preserve">, February 2019, </w:t>
      </w:r>
      <w:r>
        <w:t>p, 1.</w:t>
      </w:r>
    </w:p>
  </w:footnote>
  <w:footnote w:id="67">
    <w:p w14:paraId="3B056FFC" w14:textId="77777777" w:rsidR="00D57398" w:rsidRDefault="00D57398" w:rsidP="00D57398">
      <w:pPr>
        <w:pStyle w:val="FootnoteText"/>
      </w:pPr>
      <w:r>
        <w:rPr>
          <w:rStyle w:val="FootnoteReference"/>
        </w:rPr>
        <w:footnoteRef/>
      </w:r>
      <w:r>
        <w:t xml:space="preserve"> Government of Canada, </w:t>
      </w:r>
      <w:hyperlink r:id="rId33" w:history="1">
        <w:r w:rsidRPr="000E3FA3">
          <w:rPr>
            <w:rStyle w:val="Hyperlink"/>
            <w:i/>
            <w:iCs/>
          </w:rPr>
          <w:t>SPB-001-24 (Decision on New Access Licensing Framework, Changes to Subordinate Licensing and White Space to Support Rural and Remote Deployment)</w:t>
        </w:r>
      </w:hyperlink>
      <w:r>
        <w:t>, January 2024.</w:t>
      </w:r>
    </w:p>
  </w:footnote>
  <w:footnote w:id="68">
    <w:p w14:paraId="5AA5EC90" w14:textId="77777777" w:rsidR="00D57398" w:rsidRDefault="00D57398" w:rsidP="00D57398">
      <w:pPr>
        <w:pStyle w:val="FootnoteText"/>
      </w:pPr>
      <w:r>
        <w:rPr>
          <w:rStyle w:val="FootnoteReference"/>
        </w:rPr>
        <w:footnoteRef/>
      </w:r>
      <w:r>
        <w:t xml:space="preserve"> Ofcom, </w:t>
      </w:r>
      <w:hyperlink r:id="rId34" w:history="1">
        <w:r w:rsidRPr="00D05AB4">
          <w:rPr>
            <w:rStyle w:val="Hyperlink"/>
          </w:rPr>
          <w:t>https://www.ofcom.org.uk/manage-your-licence/radiocommunication-licences/local-access-licences</w:t>
        </w:r>
      </w:hyperlink>
      <w:r>
        <w:t xml:space="preserve"> </w:t>
      </w:r>
    </w:p>
  </w:footnote>
  <w:footnote w:id="69">
    <w:p w14:paraId="2A713E3C" w14:textId="77777777" w:rsidR="00D57398" w:rsidRDefault="00D57398" w:rsidP="00D57398">
      <w:pPr>
        <w:pStyle w:val="FootnoteText"/>
      </w:pPr>
      <w:r>
        <w:rPr>
          <w:rStyle w:val="FootnoteReference"/>
        </w:rPr>
        <w:footnoteRef/>
      </w:r>
      <w:r>
        <w:t xml:space="preserve"> Ofcom, </w:t>
      </w:r>
      <w:hyperlink r:id="rId35" w:history="1">
        <w:r w:rsidRPr="00286248">
          <w:rPr>
            <w:rStyle w:val="Hyperlink"/>
          </w:rPr>
          <w:t>https://www.ofcom.org.uk/__data/assets/pdf_file/0020/276302/Local-Access-Licences-Chart.pdf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A7C9" w14:textId="77777777" w:rsidR="00C053A1" w:rsidRPr="00A5474E" w:rsidRDefault="0021426C" w:rsidP="00A5474E">
    <w:pPr>
      <w:pStyle w:val="Header"/>
    </w:pPr>
    <w:r>
      <w:rPr>
        <w:noProof/>
      </w:rPr>
      <w:drawing>
        <wp:inline distT="0" distB="0" distL="0" distR="0" wp14:anchorId="101B831F" wp14:editId="0A81F570">
          <wp:extent cx="6210300" cy="571134"/>
          <wp:effectExtent l="0" t="0" r="0"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BF6"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32E3"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D6D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5D06AD9" w14:textId="77777777" w:rsidTr="009B396C">
      <w:trPr>
        <w:trHeight w:hRule="exact" w:val="988"/>
      </w:trPr>
      <w:tc>
        <w:tcPr>
          <w:tcW w:w="7678" w:type="dxa"/>
          <w:shd w:val="clear" w:color="auto" w:fill="auto"/>
        </w:tcPr>
        <w:p w14:paraId="350A439B" w14:textId="77777777" w:rsidR="00971914" w:rsidRDefault="00971914" w:rsidP="00971914">
          <w:pPr>
            <w:pStyle w:val="Header"/>
          </w:pPr>
        </w:p>
      </w:tc>
    </w:tr>
    <w:tr w:rsidR="00971914" w14:paraId="1BD41426" w14:textId="77777777" w:rsidTr="009B396C">
      <w:tc>
        <w:tcPr>
          <w:tcW w:w="7678" w:type="dxa"/>
          <w:shd w:val="clear" w:color="auto" w:fill="auto"/>
        </w:tcPr>
        <w:p w14:paraId="079FE2FF" w14:textId="77777777" w:rsidR="00971914" w:rsidRDefault="00971914" w:rsidP="00971914">
          <w:pPr>
            <w:pStyle w:val="GridTable31"/>
          </w:pPr>
          <w:r>
            <w:t xml:space="preserve">Contents </w:t>
          </w:r>
          <w:r w:rsidRPr="00915B1C">
            <w:rPr>
              <w:b w:val="0"/>
              <w:spacing w:val="0"/>
              <w:sz w:val="28"/>
              <w:szCs w:val="28"/>
            </w:rPr>
            <w:t>(Continued)</w:t>
          </w:r>
        </w:p>
      </w:tc>
    </w:tr>
    <w:tr w:rsidR="00971914" w14:paraId="07D4B540" w14:textId="77777777" w:rsidTr="009B396C">
      <w:trPr>
        <w:trHeight w:val="1220"/>
      </w:trPr>
      <w:tc>
        <w:tcPr>
          <w:tcW w:w="7678" w:type="dxa"/>
          <w:shd w:val="clear" w:color="auto" w:fill="auto"/>
        </w:tcPr>
        <w:p w14:paraId="3215C288" w14:textId="77777777" w:rsidR="00971914" w:rsidRDefault="00971914" w:rsidP="00971914"/>
      </w:tc>
    </w:tr>
  </w:tbl>
  <w:p w14:paraId="063A0390"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948A022" w14:textId="77777777" w:rsidTr="009B396C">
      <w:trPr>
        <w:trHeight w:hRule="exact" w:val="988"/>
      </w:trPr>
      <w:tc>
        <w:tcPr>
          <w:tcW w:w="7678" w:type="dxa"/>
          <w:shd w:val="clear" w:color="auto" w:fill="auto"/>
        </w:tcPr>
        <w:p w14:paraId="01DAFDD6" w14:textId="77777777" w:rsidR="00971914" w:rsidRDefault="00971914" w:rsidP="00971914">
          <w:pPr>
            <w:pStyle w:val="Header"/>
          </w:pPr>
        </w:p>
      </w:tc>
    </w:tr>
    <w:tr w:rsidR="00971914" w14:paraId="20970267" w14:textId="77777777" w:rsidTr="009B396C">
      <w:tc>
        <w:tcPr>
          <w:tcW w:w="7678" w:type="dxa"/>
          <w:shd w:val="clear" w:color="auto" w:fill="auto"/>
        </w:tcPr>
        <w:p w14:paraId="02340456" w14:textId="77777777" w:rsidR="00971914" w:rsidRDefault="00971914" w:rsidP="00971914">
          <w:pPr>
            <w:pStyle w:val="GridTable31"/>
          </w:pPr>
          <w:r>
            <w:t xml:space="preserve">Contents </w:t>
          </w:r>
          <w:r w:rsidRPr="00915B1C">
            <w:rPr>
              <w:b w:val="0"/>
              <w:spacing w:val="0"/>
              <w:sz w:val="28"/>
              <w:szCs w:val="28"/>
            </w:rPr>
            <w:t>(Continued)</w:t>
          </w:r>
        </w:p>
      </w:tc>
    </w:tr>
    <w:tr w:rsidR="00971914" w14:paraId="3615FC7C" w14:textId="77777777" w:rsidTr="009B396C">
      <w:trPr>
        <w:trHeight w:val="1220"/>
      </w:trPr>
      <w:tc>
        <w:tcPr>
          <w:tcW w:w="7678" w:type="dxa"/>
          <w:shd w:val="clear" w:color="auto" w:fill="auto"/>
        </w:tcPr>
        <w:p w14:paraId="5C43F4DF" w14:textId="77777777" w:rsidR="00971914" w:rsidRDefault="00971914" w:rsidP="00971914"/>
      </w:tc>
    </w:tr>
  </w:tbl>
  <w:p w14:paraId="0483E2FD"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8AD2"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1654"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0FEAEC16"/>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BB287A2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A6E40"/>
    <w:multiLevelType w:val="hybridMultilevel"/>
    <w:tmpl w:val="C80886FE"/>
    <w:lvl w:ilvl="0" w:tplc="9CD2D3DA">
      <w:start w:val="1"/>
      <w:numFmt w:val="bullet"/>
      <w:lvlText w:val="&gt;"/>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1058B2"/>
    <w:multiLevelType w:val="hybridMultilevel"/>
    <w:tmpl w:val="1C8A61F2"/>
    <w:lvl w:ilvl="0" w:tplc="44EEC084">
      <w:start w:val="1"/>
      <w:numFmt w:val="bullet"/>
      <w:lvlText w:val="&gt;"/>
      <w:lvlJc w:val="left"/>
      <w:pPr>
        <w:ind w:left="720" w:hanging="360"/>
      </w:pPr>
      <w:rPr>
        <w:rFonts w:ascii="HelveticaNeueLT Std" w:hAnsi="HelveticaNeueLT St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ED5835"/>
    <w:multiLevelType w:val="hybridMultilevel"/>
    <w:tmpl w:val="68DA0B80"/>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A5F5C"/>
    <w:multiLevelType w:val="hybridMultilevel"/>
    <w:tmpl w:val="146CC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D4021D"/>
    <w:multiLevelType w:val="hybridMultilevel"/>
    <w:tmpl w:val="80BE5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66259E"/>
    <w:multiLevelType w:val="hybridMultilevel"/>
    <w:tmpl w:val="8C52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8107AF"/>
    <w:multiLevelType w:val="hybridMultilevel"/>
    <w:tmpl w:val="0F963A6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A329DC"/>
    <w:multiLevelType w:val="hybridMultilevel"/>
    <w:tmpl w:val="531A6130"/>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9602EC"/>
    <w:multiLevelType w:val="hybridMultilevel"/>
    <w:tmpl w:val="87F8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4F67C2"/>
    <w:multiLevelType w:val="hybridMultilevel"/>
    <w:tmpl w:val="85C6839C"/>
    <w:lvl w:ilvl="0" w:tplc="9CD2D3DA">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862D89"/>
    <w:multiLevelType w:val="hybridMultilevel"/>
    <w:tmpl w:val="3CB43080"/>
    <w:lvl w:ilvl="0" w:tplc="9CD2D3DA">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6B594A"/>
    <w:multiLevelType w:val="hybridMultilevel"/>
    <w:tmpl w:val="5F501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303E25"/>
    <w:multiLevelType w:val="hybridMultilevel"/>
    <w:tmpl w:val="A0428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1B3B50"/>
    <w:multiLevelType w:val="hybridMultilevel"/>
    <w:tmpl w:val="82FEAB72"/>
    <w:lvl w:ilvl="0" w:tplc="9CD2D3DA">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2E1F4C"/>
    <w:multiLevelType w:val="hybridMultilevel"/>
    <w:tmpl w:val="DFE4C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0457B7"/>
    <w:multiLevelType w:val="hybridMultilevel"/>
    <w:tmpl w:val="A750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2E7F7A0F"/>
    <w:multiLevelType w:val="hybridMultilevel"/>
    <w:tmpl w:val="90929312"/>
    <w:lvl w:ilvl="0" w:tplc="FFFFFFFF">
      <w:start w:val="1"/>
      <w:numFmt w:val="bullet"/>
      <w:lvlText w:val="&gt;"/>
      <w:lvlJc w:val="left"/>
      <w:pPr>
        <w:ind w:left="644" w:hanging="360"/>
      </w:pPr>
      <w:rPr>
        <w:rFonts w:ascii="HelveticaNeueLT Std" w:hAnsi="HelveticaNeueLT Std" w:hint="default"/>
      </w:rPr>
    </w:lvl>
    <w:lvl w:ilvl="1" w:tplc="44EEC084">
      <w:start w:val="1"/>
      <w:numFmt w:val="bullet"/>
      <w:lvlText w:val="&gt;"/>
      <w:lvlJc w:val="left"/>
      <w:pPr>
        <w:ind w:left="1364" w:hanging="360"/>
      </w:pPr>
      <w:rPr>
        <w:rFonts w:ascii="HelveticaNeueLT Std" w:hAnsi="HelveticaNeueLT Std"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2ECD2C98"/>
    <w:multiLevelType w:val="hybridMultilevel"/>
    <w:tmpl w:val="2942348A"/>
    <w:lvl w:ilvl="0" w:tplc="44EEC084">
      <w:start w:val="1"/>
      <w:numFmt w:val="bullet"/>
      <w:lvlText w:val="&gt;"/>
      <w:lvlJc w:val="left"/>
      <w:pPr>
        <w:ind w:left="720" w:hanging="360"/>
      </w:pPr>
      <w:rPr>
        <w:rFonts w:ascii="HelveticaNeueLT Std" w:hAnsi="HelveticaNeueLT Std" w:hint="default"/>
      </w:rPr>
    </w:lvl>
    <w:lvl w:ilvl="1" w:tplc="44EEC084">
      <w:start w:val="1"/>
      <w:numFmt w:val="bullet"/>
      <w:lvlText w:val="&gt;"/>
      <w:lvlJc w:val="left"/>
      <w:pPr>
        <w:ind w:left="1440" w:hanging="360"/>
      </w:pPr>
      <w:rPr>
        <w:rFonts w:ascii="HelveticaNeueLT Std" w:hAnsi="HelveticaNeueLT Std"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30AE382B"/>
    <w:multiLevelType w:val="hybridMultilevel"/>
    <w:tmpl w:val="2C785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321A9C"/>
    <w:multiLevelType w:val="hybridMultilevel"/>
    <w:tmpl w:val="2F3A4F2E"/>
    <w:lvl w:ilvl="0" w:tplc="57FE0B7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1F2C92"/>
    <w:multiLevelType w:val="hybridMultilevel"/>
    <w:tmpl w:val="256E5274"/>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9" w15:restartNumberingAfterBreak="0">
    <w:nsid w:val="36326282"/>
    <w:multiLevelType w:val="hybridMultilevel"/>
    <w:tmpl w:val="D08AC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3A6FE3"/>
    <w:multiLevelType w:val="multilevel"/>
    <w:tmpl w:val="2C286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E92ACE"/>
    <w:multiLevelType w:val="hybridMultilevel"/>
    <w:tmpl w:val="C382F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DE3D1C4"/>
    <w:multiLevelType w:val="hybridMultilevel"/>
    <w:tmpl w:val="FFFFFFFF"/>
    <w:lvl w:ilvl="0" w:tplc="2FA0764C">
      <w:start w:val="1"/>
      <w:numFmt w:val="bullet"/>
      <w:lvlText w:val=""/>
      <w:lvlJc w:val="left"/>
      <w:pPr>
        <w:ind w:left="720" w:hanging="360"/>
      </w:pPr>
      <w:rPr>
        <w:rFonts w:ascii="Symbol" w:hAnsi="Symbol" w:hint="default"/>
      </w:rPr>
    </w:lvl>
    <w:lvl w:ilvl="1" w:tplc="A3F213B2">
      <w:start w:val="1"/>
      <w:numFmt w:val="bullet"/>
      <w:lvlText w:val="o"/>
      <w:lvlJc w:val="left"/>
      <w:pPr>
        <w:ind w:left="1440" w:hanging="360"/>
      </w:pPr>
      <w:rPr>
        <w:rFonts w:ascii="Courier New" w:hAnsi="Courier New" w:hint="default"/>
      </w:rPr>
    </w:lvl>
    <w:lvl w:ilvl="2" w:tplc="114E234C">
      <w:start w:val="1"/>
      <w:numFmt w:val="bullet"/>
      <w:lvlText w:val=""/>
      <w:lvlJc w:val="left"/>
      <w:pPr>
        <w:ind w:left="2160" w:hanging="360"/>
      </w:pPr>
      <w:rPr>
        <w:rFonts w:ascii="Wingdings" w:hAnsi="Wingdings" w:hint="default"/>
      </w:rPr>
    </w:lvl>
    <w:lvl w:ilvl="3" w:tplc="5F70A8FE">
      <w:start w:val="1"/>
      <w:numFmt w:val="bullet"/>
      <w:lvlText w:val=""/>
      <w:lvlJc w:val="left"/>
      <w:pPr>
        <w:ind w:left="2880" w:hanging="360"/>
      </w:pPr>
      <w:rPr>
        <w:rFonts w:ascii="Symbol" w:hAnsi="Symbol" w:hint="default"/>
      </w:rPr>
    </w:lvl>
    <w:lvl w:ilvl="4" w:tplc="8FF2ADB4">
      <w:start w:val="1"/>
      <w:numFmt w:val="bullet"/>
      <w:lvlText w:val="o"/>
      <w:lvlJc w:val="left"/>
      <w:pPr>
        <w:ind w:left="3600" w:hanging="360"/>
      </w:pPr>
      <w:rPr>
        <w:rFonts w:ascii="Courier New" w:hAnsi="Courier New" w:hint="default"/>
      </w:rPr>
    </w:lvl>
    <w:lvl w:ilvl="5" w:tplc="68B09452">
      <w:start w:val="1"/>
      <w:numFmt w:val="bullet"/>
      <w:lvlText w:val=""/>
      <w:lvlJc w:val="left"/>
      <w:pPr>
        <w:ind w:left="4320" w:hanging="360"/>
      </w:pPr>
      <w:rPr>
        <w:rFonts w:ascii="Wingdings" w:hAnsi="Wingdings" w:hint="default"/>
      </w:rPr>
    </w:lvl>
    <w:lvl w:ilvl="6" w:tplc="AA68F4C4">
      <w:start w:val="1"/>
      <w:numFmt w:val="bullet"/>
      <w:lvlText w:val=""/>
      <w:lvlJc w:val="left"/>
      <w:pPr>
        <w:ind w:left="5040" w:hanging="360"/>
      </w:pPr>
      <w:rPr>
        <w:rFonts w:ascii="Symbol" w:hAnsi="Symbol" w:hint="default"/>
      </w:rPr>
    </w:lvl>
    <w:lvl w:ilvl="7" w:tplc="B8DEA7F8">
      <w:start w:val="1"/>
      <w:numFmt w:val="bullet"/>
      <w:lvlText w:val="o"/>
      <w:lvlJc w:val="left"/>
      <w:pPr>
        <w:ind w:left="5760" w:hanging="360"/>
      </w:pPr>
      <w:rPr>
        <w:rFonts w:ascii="Courier New" w:hAnsi="Courier New" w:hint="default"/>
      </w:rPr>
    </w:lvl>
    <w:lvl w:ilvl="8" w:tplc="6C9C0D6C">
      <w:start w:val="1"/>
      <w:numFmt w:val="bullet"/>
      <w:lvlText w:val=""/>
      <w:lvlJc w:val="left"/>
      <w:pPr>
        <w:ind w:left="6480" w:hanging="360"/>
      </w:pPr>
      <w:rPr>
        <w:rFonts w:ascii="Wingdings" w:hAnsi="Wingdings" w:hint="default"/>
      </w:rPr>
    </w:lvl>
  </w:abstractNum>
  <w:abstractNum w:abstractNumId="33" w15:restartNumberingAfterBreak="0">
    <w:nsid w:val="3EEC2700"/>
    <w:multiLevelType w:val="hybridMultilevel"/>
    <w:tmpl w:val="D5F49756"/>
    <w:lvl w:ilvl="0" w:tplc="9CD2D3DA">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1357F6"/>
    <w:multiLevelType w:val="hybridMultilevel"/>
    <w:tmpl w:val="69404C22"/>
    <w:lvl w:ilvl="0" w:tplc="4740D2D0">
      <w:start w:val="1"/>
      <w:numFmt w:val="bullet"/>
      <w:pStyle w:val="Bulletlevel1"/>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0DA2749"/>
    <w:multiLevelType w:val="hybridMultilevel"/>
    <w:tmpl w:val="F29CEB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E23C68"/>
    <w:multiLevelType w:val="hybridMultilevel"/>
    <w:tmpl w:val="28AEE598"/>
    <w:lvl w:ilvl="0" w:tplc="A58A2B50">
      <w:start w:val="1"/>
      <w:numFmt w:val="bullet"/>
      <w:pStyle w:val="Bulletlevel1las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D56DC7"/>
    <w:multiLevelType w:val="hybridMultilevel"/>
    <w:tmpl w:val="4AE25480"/>
    <w:lvl w:ilvl="0" w:tplc="0C090011">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184ED6"/>
    <w:multiLevelType w:val="hybridMultilevel"/>
    <w:tmpl w:val="5D20FA5E"/>
    <w:lvl w:ilvl="0" w:tplc="44EEC084">
      <w:start w:val="1"/>
      <w:numFmt w:val="bullet"/>
      <w:lvlText w:val="&gt;"/>
      <w:lvlJc w:val="left"/>
      <w:pPr>
        <w:ind w:left="1021" w:hanging="360"/>
      </w:pPr>
      <w:rPr>
        <w:rFonts w:ascii="HelveticaNeueLT Std" w:hAnsi="HelveticaNeueLT Std"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39" w15:restartNumberingAfterBreak="0">
    <w:nsid w:val="53923DF3"/>
    <w:multiLevelType w:val="hybridMultilevel"/>
    <w:tmpl w:val="A1EC5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AC2A17"/>
    <w:multiLevelType w:val="hybridMultilevel"/>
    <w:tmpl w:val="EDB6E4DC"/>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B7FC39"/>
    <w:multiLevelType w:val="hybridMultilevel"/>
    <w:tmpl w:val="FFFFFFFF"/>
    <w:lvl w:ilvl="0" w:tplc="1DA0F288">
      <w:start w:val="1"/>
      <w:numFmt w:val="decimal"/>
      <w:lvlText w:val="%1."/>
      <w:lvlJc w:val="left"/>
      <w:pPr>
        <w:ind w:left="720" w:hanging="360"/>
      </w:pPr>
    </w:lvl>
    <w:lvl w:ilvl="1" w:tplc="0AC44BFA">
      <w:start w:val="1"/>
      <w:numFmt w:val="lowerLetter"/>
      <w:lvlText w:val="%2."/>
      <w:lvlJc w:val="left"/>
      <w:pPr>
        <w:ind w:left="1440" w:hanging="360"/>
      </w:pPr>
    </w:lvl>
    <w:lvl w:ilvl="2" w:tplc="0E5EA3CA">
      <w:start w:val="1"/>
      <w:numFmt w:val="lowerRoman"/>
      <w:lvlText w:val="%3."/>
      <w:lvlJc w:val="right"/>
      <w:pPr>
        <w:ind w:left="2160" w:hanging="180"/>
      </w:pPr>
    </w:lvl>
    <w:lvl w:ilvl="3" w:tplc="F3B29E74">
      <w:start w:val="1"/>
      <w:numFmt w:val="decimal"/>
      <w:lvlText w:val="%4."/>
      <w:lvlJc w:val="left"/>
      <w:pPr>
        <w:ind w:left="2880" w:hanging="360"/>
      </w:pPr>
    </w:lvl>
    <w:lvl w:ilvl="4" w:tplc="6FC688E4">
      <w:start w:val="1"/>
      <w:numFmt w:val="lowerLetter"/>
      <w:lvlText w:val="%5."/>
      <w:lvlJc w:val="left"/>
      <w:pPr>
        <w:ind w:left="3600" w:hanging="360"/>
      </w:pPr>
    </w:lvl>
    <w:lvl w:ilvl="5" w:tplc="F412FA9C">
      <w:start w:val="1"/>
      <w:numFmt w:val="lowerRoman"/>
      <w:lvlText w:val="%6."/>
      <w:lvlJc w:val="right"/>
      <w:pPr>
        <w:ind w:left="4320" w:hanging="180"/>
      </w:pPr>
    </w:lvl>
    <w:lvl w:ilvl="6" w:tplc="FDD0BFA6">
      <w:start w:val="1"/>
      <w:numFmt w:val="decimal"/>
      <w:lvlText w:val="%7."/>
      <w:lvlJc w:val="left"/>
      <w:pPr>
        <w:ind w:left="5040" w:hanging="360"/>
      </w:pPr>
    </w:lvl>
    <w:lvl w:ilvl="7" w:tplc="F96C5B2C">
      <w:start w:val="1"/>
      <w:numFmt w:val="lowerLetter"/>
      <w:lvlText w:val="%8."/>
      <w:lvlJc w:val="left"/>
      <w:pPr>
        <w:ind w:left="5760" w:hanging="360"/>
      </w:pPr>
    </w:lvl>
    <w:lvl w:ilvl="8" w:tplc="2E0CE0FE">
      <w:start w:val="1"/>
      <w:numFmt w:val="lowerRoman"/>
      <w:lvlText w:val="%9."/>
      <w:lvlJc w:val="right"/>
      <w:pPr>
        <w:ind w:left="6480" w:hanging="180"/>
      </w:pPr>
    </w:lvl>
  </w:abstractNum>
  <w:abstractNum w:abstractNumId="43" w15:restartNumberingAfterBreak="0">
    <w:nsid w:val="58767311"/>
    <w:multiLevelType w:val="hybridMultilevel"/>
    <w:tmpl w:val="B7F4AA66"/>
    <w:lvl w:ilvl="0" w:tplc="44EEC084">
      <w:start w:val="1"/>
      <w:numFmt w:val="bullet"/>
      <w:lvlText w:val="&gt;"/>
      <w:lvlJc w:val="left"/>
      <w:pPr>
        <w:ind w:left="644" w:hanging="360"/>
      </w:pPr>
      <w:rPr>
        <w:rFonts w:ascii="HelveticaNeueLT Std" w:hAnsi="HelveticaNeueLT Std" w:hint="default"/>
      </w:rPr>
    </w:lvl>
    <w:lvl w:ilvl="1" w:tplc="44EEC084">
      <w:start w:val="1"/>
      <w:numFmt w:val="bullet"/>
      <w:lvlText w:val="&gt;"/>
      <w:lvlJc w:val="left"/>
      <w:pPr>
        <w:ind w:left="1364" w:hanging="360"/>
      </w:pPr>
      <w:rPr>
        <w:rFonts w:ascii="HelveticaNeueLT Std" w:hAnsi="HelveticaNeueLT Std"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15:restartNumberingAfterBreak="0">
    <w:nsid w:val="5A857908"/>
    <w:multiLevelType w:val="hybridMultilevel"/>
    <w:tmpl w:val="86A00C5E"/>
    <w:lvl w:ilvl="0" w:tplc="9CD2D3DA">
      <w:start w:val="1"/>
      <w:numFmt w:val="bullet"/>
      <w:lvlText w:val="&gt;"/>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AE8E6BD"/>
    <w:multiLevelType w:val="hybridMultilevel"/>
    <w:tmpl w:val="FFFFFFFF"/>
    <w:lvl w:ilvl="0" w:tplc="3C329BAC">
      <w:start w:val="1"/>
      <w:numFmt w:val="decimal"/>
      <w:lvlText w:val="%1)"/>
      <w:lvlJc w:val="left"/>
      <w:pPr>
        <w:ind w:left="720" w:hanging="360"/>
      </w:pPr>
    </w:lvl>
    <w:lvl w:ilvl="1" w:tplc="86340F16">
      <w:start w:val="1"/>
      <w:numFmt w:val="lowerLetter"/>
      <w:lvlText w:val="%2."/>
      <w:lvlJc w:val="left"/>
      <w:pPr>
        <w:ind w:left="1440" w:hanging="360"/>
      </w:pPr>
    </w:lvl>
    <w:lvl w:ilvl="2" w:tplc="2984F1B8">
      <w:start w:val="1"/>
      <w:numFmt w:val="lowerRoman"/>
      <w:lvlText w:val="%3."/>
      <w:lvlJc w:val="right"/>
      <w:pPr>
        <w:ind w:left="2160" w:hanging="180"/>
      </w:pPr>
    </w:lvl>
    <w:lvl w:ilvl="3" w:tplc="A112D724">
      <w:start w:val="1"/>
      <w:numFmt w:val="decimal"/>
      <w:lvlText w:val="%4."/>
      <w:lvlJc w:val="left"/>
      <w:pPr>
        <w:ind w:left="2880" w:hanging="360"/>
      </w:pPr>
    </w:lvl>
    <w:lvl w:ilvl="4" w:tplc="3D7ABF26">
      <w:start w:val="1"/>
      <w:numFmt w:val="lowerLetter"/>
      <w:lvlText w:val="%5."/>
      <w:lvlJc w:val="left"/>
      <w:pPr>
        <w:ind w:left="3600" w:hanging="360"/>
      </w:pPr>
    </w:lvl>
    <w:lvl w:ilvl="5" w:tplc="9150146C">
      <w:start w:val="1"/>
      <w:numFmt w:val="lowerRoman"/>
      <w:lvlText w:val="%6."/>
      <w:lvlJc w:val="right"/>
      <w:pPr>
        <w:ind w:left="4320" w:hanging="180"/>
      </w:pPr>
    </w:lvl>
    <w:lvl w:ilvl="6" w:tplc="EDCC38AC">
      <w:start w:val="1"/>
      <w:numFmt w:val="decimal"/>
      <w:lvlText w:val="%7."/>
      <w:lvlJc w:val="left"/>
      <w:pPr>
        <w:ind w:left="5040" w:hanging="360"/>
      </w:pPr>
    </w:lvl>
    <w:lvl w:ilvl="7" w:tplc="84680E1E">
      <w:start w:val="1"/>
      <w:numFmt w:val="lowerLetter"/>
      <w:lvlText w:val="%8."/>
      <w:lvlJc w:val="left"/>
      <w:pPr>
        <w:ind w:left="5760" w:hanging="360"/>
      </w:pPr>
    </w:lvl>
    <w:lvl w:ilvl="8" w:tplc="F4145B86">
      <w:start w:val="1"/>
      <w:numFmt w:val="lowerRoman"/>
      <w:lvlText w:val="%9."/>
      <w:lvlJc w:val="right"/>
      <w:pPr>
        <w:ind w:left="6480" w:hanging="180"/>
      </w:pPr>
    </w:lvl>
  </w:abstractNum>
  <w:abstractNum w:abstractNumId="46" w15:restartNumberingAfterBreak="0">
    <w:nsid w:val="5E4A7981"/>
    <w:multiLevelType w:val="hybridMultilevel"/>
    <w:tmpl w:val="21309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776297"/>
    <w:multiLevelType w:val="hybridMultilevel"/>
    <w:tmpl w:val="32DC77F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994D04"/>
    <w:multiLevelType w:val="hybridMultilevel"/>
    <w:tmpl w:val="8FAE9C7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5500E4"/>
    <w:multiLevelType w:val="hybridMultilevel"/>
    <w:tmpl w:val="0F8CAC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8E326B"/>
    <w:multiLevelType w:val="hybridMultilevel"/>
    <w:tmpl w:val="E2D8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6D55402"/>
    <w:multiLevelType w:val="hybridMultilevel"/>
    <w:tmpl w:val="545A70C4"/>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B81069C"/>
    <w:multiLevelType w:val="hybridMultilevel"/>
    <w:tmpl w:val="73867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CCF028B"/>
    <w:multiLevelType w:val="hybridMultilevel"/>
    <w:tmpl w:val="9370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64662D"/>
    <w:multiLevelType w:val="hybridMultilevel"/>
    <w:tmpl w:val="2A4C0D5E"/>
    <w:lvl w:ilvl="0" w:tplc="9CD2D3DA">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975555"/>
    <w:multiLevelType w:val="hybridMultilevel"/>
    <w:tmpl w:val="B0E0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FA71A09"/>
    <w:multiLevelType w:val="hybridMultilevel"/>
    <w:tmpl w:val="6E820596"/>
    <w:lvl w:ilvl="0" w:tplc="9F7615DC">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07E62BE"/>
    <w:multiLevelType w:val="hybridMultilevel"/>
    <w:tmpl w:val="AFF4983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047B9F"/>
    <w:multiLevelType w:val="hybridMultilevel"/>
    <w:tmpl w:val="C1568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317FA9"/>
    <w:multiLevelType w:val="hybridMultilevel"/>
    <w:tmpl w:val="4F1A04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A887750"/>
    <w:multiLevelType w:val="hybridMultilevel"/>
    <w:tmpl w:val="1D5468B4"/>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ED6B26"/>
    <w:multiLevelType w:val="hybridMultilevel"/>
    <w:tmpl w:val="1C7644F2"/>
    <w:lvl w:ilvl="0" w:tplc="A40E2FBE">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22"/>
  </w:num>
  <w:num w:numId="6" w16cid:durableId="1170756036">
    <w:abstractNumId w:val="51"/>
  </w:num>
  <w:num w:numId="7" w16cid:durableId="1179462982">
    <w:abstractNumId w:val="41"/>
  </w:num>
  <w:num w:numId="8" w16cid:durableId="2010865431">
    <w:abstractNumId w:val="50"/>
  </w:num>
  <w:num w:numId="9" w16cid:durableId="153958827">
    <w:abstractNumId w:val="57"/>
  </w:num>
  <w:num w:numId="10" w16cid:durableId="770122694">
    <w:abstractNumId w:val="8"/>
  </w:num>
  <w:num w:numId="11" w16cid:durableId="1981958685">
    <w:abstractNumId w:val="5"/>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25"/>
  </w:num>
  <w:num w:numId="17" w16cid:durableId="1271475918">
    <w:abstractNumId w:val="2"/>
  </w:num>
  <w:num w:numId="18" w16cid:durableId="2118475825">
    <w:abstractNumId w:val="3"/>
  </w:num>
  <w:num w:numId="19" w16cid:durableId="1206605668">
    <w:abstractNumId w:val="3"/>
  </w:num>
  <w:num w:numId="20" w16cid:durableId="2130465379">
    <w:abstractNumId w:val="45"/>
  </w:num>
  <w:num w:numId="21" w16cid:durableId="793213052">
    <w:abstractNumId w:val="39"/>
  </w:num>
  <w:num w:numId="22" w16cid:durableId="36048572">
    <w:abstractNumId w:val="9"/>
  </w:num>
  <w:num w:numId="23" w16cid:durableId="1963076247">
    <w:abstractNumId w:val="18"/>
  </w:num>
  <w:num w:numId="24" w16cid:durableId="295070253">
    <w:abstractNumId w:val="52"/>
  </w:num>
  <w:num w:numId="25" w16cid:durableId="200240877">
    <w:abstractNumId w:val="26"/>
  </w:num>
  <w:num w:numId="26" w16cid:durableId="1441532018">
    <w:abstractNumId w:val="54"/>
  </w:num>
  <w:num w:numId="27" w16cid:durableId="599214910">
    <w:abstractNumId w:val="30"/>
  </w:num>
  <w:num w:numId="28" w16cid:durableId="544223656">
    <w:abstractNumId w:val="37"/>
  </w:num>
  <w:num w:numId="29" w16cid:durableId="1887452627">
    <w:abstractNumId w:val="17"/>
  </w:num>
  <w:num w:numId="30" w16cid:durableId="94714389">
    <w:abstractNumId w:val="55"/>
  </w:num>
  <w:num w:numId="31" w16cid:durableId="1255241940">
    <w:abstractNumId w:val="29"/>
  </w:num>
  <w:num w:numId="32" w16cid:durableId="1767312417">
    <w:abstractNumId w:val="11"/>
  </w:num>
  <w:num w:numId="33" w16cid:durableId="236717575">
    <w:abstractNumId w:val="46"/>
  </w:num>
  <w:num w:numId="34" w16cid:durableId="1286765891">
    <w:abstractNumId w:val="10"/>
  </w:num>
  <w:num w:numId="35" w16cid:durableId="979730338">
    <w:abstractNumId w:val="14"/>
  </w:num>
  <w:num w:numId="36" w16cid:durableId="1286424476">
    <w:abstractNumId w:val="58"/>
  </w:num>
  <w:num w:numId="37" w16cid:durableId="615867710">
    <w:abstractNumId w:val="43"/>
  </w:num>
  <w:num w:numId="38" w16cid:durableId="1271626474">
    <w:abstractNumId w:val="3"/>
  </w:num>
  <w:num w:numId="39" w16cid:durableId="464468204">
    <w:abstractNumId w:val="3"/>
  </w:num>
  <w:num w:numId="40" w16cid:durableId="874805379">
    <w:abstractNumId w:val="3"/>
  </w:num>
  <w:num w:numId="41" w16cid:durableId="2040662740">
    <w:abstractNumId w:val="3"/>
  </w:num>
  <w:num w:numId="42" w16cid:durableId="459350026">
    <w:abstractNumId w:val="3"/>
  </w:num>
  <w:num w:numId="43" w16cid:durableId="392199130">
    <w:abstractNumId w:val="3"/>
  </w:num>
  <w:num w:numId="44" w16cid:durableId="33583136">
    <w:abstractNumId w:val="12"/>
  </w:num>
  <w:num w:numId="45" w16cid:durableId="668992873">
    <w:abstractNumId w:val="33"/>
  </w:num>
  <w:num w:numId="46" w16cid:durableId="629484033">
    <w:abstractNumId w:val="3"/>
  </w:num>
  <w:num w:numId="47" w16cid:durableId="1369449044">
    <w:abstractNumId w:val="16"/>
  </w:num>
  <w:num w:numId="48" w16cid:durableId="184251235">
    <w:abstractNumId w:val="56"/>
  </w:num>
  <w:num w:numId="49" w16cid:durableId="1822691933">
    <w:abstractNumId w:val="19"/>
  </w:num>
  <w:num w:numId="50" w16cid:durableId="496963096">
    <w:abstractNumId w:val="31"/>
  </w:num>
  <w:num w:numId="51" w16cid:durableId="976422856">
    <w:abstractNumId w:val="35"/>
  </w:num>
  <w:num w:numId="52" w16cid:durableId="668102302">
    <w:abstractNumId w:val="49"/>
  </w:num>
  <w:num w:numId="53" w16cid:durableId="1785153606">
    <w:abstractNumId w:val="62"/>
  </w:num>
  <w:num w:numId="54" w16cid:durableId="1245530452">
    <w:abstractNumId w:val="34"/>
  </w:num>
  <w:num w:numId="55" w16cid:durableId="1664308314">
    <w:abstractNumId w:val="23"/>
  </w:num>
  <w:num w:numId="56" w16cid:durableId="1116146067">
    <w:abstractNumId w:val="59"/>
  </w:num>
  <w:num w:numId="57" w16cid:durableId="1441147808">
    <w:abstractNumId w:val="36"/>
  </w:num>
  <w:num w:numId="58" w16cid:durableId="782959599">
    <w:abstractNumId w:val="13"/>
  </w:num>
  <w:num w:numId="59" w16cid:durableId="934897043">
    <w:abstractNumId w:val="34"/>
  </w:num>
  <w:num w:numId="60" w16cid:durableId="1139229877">
    <w:abstractNumId w:val="20"/>
  </w:num>
  <w:num w:numId="61" w16cid:durableId="345064339">
    <w:abstractNumId w:val="6"/>
  </w:num>
  <w:num w:numId="62" w16cid:durableId="369497478">
    <w:abstractNumId w:val="53"/>
  </w:num>
  <w:num w:numId="63" w16cid:durableId="1926987237">
    <w:abstractNumId w:val="42"/>
  </w:num>
  <w:num w:numId="64" w16cid:durableId="1797941919">
    <w:abstractNumId w:val="32"/>
  </w:num>
  <w:num w:numId="65" w16cid:durableId="326523646">
    <w:abstractNumId w:val="47"/>
  </w:num>
  <w:num w:numId="66" w16cid:durableId="1117597887">
    <w:abstractNumId w:val="63"/>
  </w:num>
  <w:num w:numId="67" w16cid:durableId="1692025924">
    <w:abstractNumId w:val="60"/>
  </w:num>
  <w:num w:numId="68" w16cid:durableId="182936154">
    <w:abstractNumId w:val="24"/>
  </w:num>
  <w:num w:numId="69" w16cid:durableId="1920364580">
    <w:abstractNumId w:val="40"/>
  </w:num>
  <w:num w:numId="70" w16cid:durableId="1427769600">
    <w:abstractNumId w:val="48"/>
  </w:num>
  <w:num w:numId="71" w16cid:durableId="738944054">
    <w:abstractNumId w:val="34"/>
  </w:num>
  <w:num w:numId="72" w16cid:durableId="290672703">
    <w:abstractNumId w:val="61"/>
  </w:num>
  <w:num w:numId="73" w16cid:durableId="1459836753">
    <w:abstractNumId w:val="7"/>
  </w:num>
  <w:num w:numId="74" w16cid:durableId="611282490">
    <w:abstractNumId w:val="38"/>
  </w:num>
  <w:num w:numId="75" w16cid:durableId="1867404099">
    <w:abstractNumId w:val="28"/>
  </w:num>
  <w:num w:numId="76" w16cid:durableId="1250188340">
    <w:abstractNumId w:val="34"/>
  </w:num>
  <w:num w:numId="77" w16cid:durableId="1401170622">
    <w:abstractNumId w:val="21"/>
  </w:num>
  <w:num w:numId="78" w16cid:durableId="1914269858">
    <w:abstractNumId w:val="64"/>
  </w:num>
  <w:num w:numId="79" w16cid:durableId="1471748060">
    <w:abstractNumId w:val="4"/>
  </w:num>
  <w:num w:numId="80" w16cid:durableId="2032607537">
    <w:abstractNumId w:val="15"/>
  </w:num>
  <w:num w:numId="81" w16cid:durableId="194851636">
    <w:abstractNumId w:val="27"/>
  </w:num>
  <w:num w:numId="82" w16cid:durableId="580529100">
    <w:abstractNumId w:val="4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98"/>
    <w:rsid w:val="0000040A"/>
    <w:rsid w:val="000005D1"/>
    <w:rsid w:val="00000989"/>
    <w:rsid w:val="00000A81"/>
    <w:rsid w:val="00000CB9"/>
    <w:rsid w:val="00000E0A"/>
    <w:rsid w:val="0000108D"/>
    <w:rsid w:val="00001339"/>
    <w:rsid w:val="000016EB"/>
    <w:rsid w:val="0000197D"/>
    <w:rsid w:val="000019A2"/>
    <w:rsid w:val="00001CB1"/>
    <w:rsid w:val="00001CBB"/>
    <w:rsid w:val="00002228"/>
    <w:rsid w:val="00002782"/>
    <w:rsid w:val="0000278A"/>
    <w:rsid w:val="00002834"/>
    <w:rsid w:val="000028D1"/>
    <w:rsid w:val="00002C02"/>
    <w:rsid w:val="00002DD6"/>
    <w:rsid w:val="0000321B"/>
    <w:rsid w:val="000032BD"/>
    <w:rsid w:val="000032F8"/>
    <w:rsid w:val="000036A6"/>
    <w:rsid w:val="00003929"/>
    <w:rsid w:val="00003A8D"/>
    <w:rsid w:val="00003CF7"/>
    <w:rsid w:val="00003DFB"/>
    <w:rsid w:val="00003F7A"/>
    <w:rsid w:val="00003FEB"/>
    <w:rsid w:val="000041C4"/>
    <w:rsid w:val="000043F2"/>
    <w:rsid w:val="000046F3"/>
    <w:rsid w:val="00004CCA"/>
    <w:rsid w:val="0000500F"/>
    <w:rsid w:val="0000525F"/>
    <w:rsid w:val="00005B58"/>
    <w:rsid w:val="00005FBE"/>
    <w:rsid w:val="00006023"/>
    <w:rsid w:val="00006025"/>
    <w:rsid w:val="000064E8"/>
    <w:rsid w:val="00006694"/>
    <w:rsid w:val="00006785"/>
    <w:rsid w:val="000067BA"/>
    <w:rsid w:val="00006845"/>
    <w:rsid w:val="00006B43"/>
    <w:rsid w:val="00006C7A"/>
    <w:rsid w:val="00006EDF"/>
    <w:rsid w:val="00007185"/>
    <w:rsid w:val="00007196"/>
    <w:rsid w:val="000071B7"/>
    <w:rsid w:val="000071F4"/>
    <w:rsid w:val="0000724F"/>
    <w:rsid w:val="00007280"/>
    <w:rsid w:val="00007649"/>
    <w:rsid w:val="00007856"/>
    <w:rsid w:val="00007B6B"/>
    <w:rsid w:val="00007BBD"/>
    <w:rsid w:val="00007E32"/>
    <w:rsid w:val="00010003"/>
    <w:rsid w:val="000100AC"/>
    <w:rsid w:val="0001017A"/>
    <w:rsid w:val="000101D6"/>
    <w:rsid w:val="00010667"/>
    <w:rsid w:val="000106A5"/>
    <w:rsid w:val="00010726"/>
    <w:rsid w:val="000107AC"/>
    <w:rsid w:val="00010D34"/>
    <w:rsid w:val="00010E8D"/>
    <w:rsid w:val="00010FA2"/>
    <w:rsid w:val="000111FC"/>
    <w:rsid w:val="00011364"/>
    <w:rsid w:val="00011445"/>
    <w:rsid w:val="00011959"/>
    <w:rsid w:val="00011BDB"/>
    <w:rsid w:val="00011FEA"/>
    <w:rsid w:val="00012150"/>
    <w:rsid w:val="000121D3"/>
    <w:rsid w:val="000125EC"/>
    <w:rsid w:val="0001260C"/>
    <w:rsid w:val="00012744"/>
    <w:rsid w:val="000129D5"/>
    <w:rsid w:val="00012A9C"/>
    <w:rsid w:val="00012C4F"/>
    <w:rsid w:val="000130AA"/>
    <w:rsid w:val="00013269"/>
    <w:rsid w:val="0001354F"/>
    <w:rsid w:val="000136ED"/>
    <w:rsid w:val="00013821"/>
    <w:rsid w:val="00013A59"/>
    <w:rsid w:val="00013C39"/>
    <w:rsid w:val="00013CE7"/>
    <w:rsid w:val="00013FC2"/>
    <w:rsid w:val="0001409F"/>
    <w:rsid w:val="00014183"/>
    <w:rsid w:val="000142AF"/>
    <w:rsid w:val="000142C8"/>
    <w:rsid w:val="000144F0"/>
    <w:rsid w:val="000145C7"/>
    <w:rsid w:val="0001526E"/>
    <w:rsid w:val="000157D8"/>
    <w:rsid w:val="000158E9"/>
    <w:rsid w:val="00015A0A"/>
    <w:rsid w:val="00015AE7"/>
    <w:rsid w:val="00015C28"/>
    <w:rsid w:val="00015DA5"/>
    <w:rsid w:val="00015F94"/>
    <w:rsid w:val="00015F95"/>
    <w:rsid w:val="0001608A"/>
    <w:rsid w:val="00016249"/>
    <w:rsid w:val="0001632B"/>
    <w:rsid w:val="000167C0"/>
    <w:rsid w:val="000167EC"/>
    <w:rsid w:val="00016E21"/>
    <w:rsid w:val="00016FED"/>
    <w:rsid w:val="0001702F"/>
    <w:rsid w:val="00017068"/>
    <w:rsid w:val="0001719C"/>
    <w:rsid w:val="000173AA"/>
    <w:rsid w:val="00017612"/>
    <w:rsid w:val="00017CEB"/>
    <w:rsid w:val="00017D3F"/>
    <w:rsid w:val="00017DF0"/>
    <w:rsid w:val="00020025"/>
    <w:rsid w:val="00020184"/>
    <w:rsid w:val="0002094C"/>
    <w:rsid w:val="00020A11"/>
    <w:rsid w:val="00020CBF"/>
    <w:rsid w:val="00020D08"/>
    <w:rsid w:val="0002152E"/>
    <w:rsid w:val="000215A8"/>
    <w:rsid w:val="00021D28"/>
    <w:rsid w:val="00021EE0"/>
    <w:rsid w:val="00022218"/>
    <w:rsid w:val="0002224E"/>
    <w:rsid w:val="0002278C"/>
    <w:rsid w:val="0002288E"/>
    <w:rsid w:val="00022981"/>
    <w:rsid w:val="00022A58"/>
    <w:rsid w:val="00022B89"/>
    <w:rsid w:val="000232A4"/>
    <w:rsid w:val="000232C7"/>
    <w:rsid w:val="00023416"/>
    <w:rsid w:val="00023726"/>
    <w:rsid w:val="00023A36"/>
    <w:rsid w:val="00023A43"/>
    <w:rsid w:val="00023EEA"/>
    <w:rsid w:val="00024021"/>
    <w:rsid w:val="000245E5"/>
    <w:rsid w:val="00024A17"/>
    <w:rsid w:val="00024B78"/>
    <w:rsid w:val="00024C0A"/>
    <w:rsid w:val="00024DA1"/>
    <w:rsid w:val="00024E9C"/>
    <w:rsid w:val="00024FB8"/>
    <w:rsid w:val="0002525F"/>
    <w:rsid w:val="000256A4"/>
    <w:rsid w:val="0002690A"/>
    <w:rsid w:val="000269F7"/>
    <w:rsid w:val="00026AFE"/>
    <w:rsid w:val="00026BAA"/>
    <w:rsid w:val="00026BD5"/>
    <w:rsid w:val="00026C46"/>
    <w:rsid w:val="00026CB0"/>
    <w:rsid w:val="00026F91"/>
    <w:rsid w:val="00027098"/>
    <w:rsid w:val="00027196"/>
    <w:rsid w:val="000272A3"/>
    <w:rsid w:val="000273B3"/>
    <w:rsid w:val="00027645"/>
    <w:rsid w:val="0002786D"/>
    <w:rsid w:val="00027A4F"/>
    <w:rsid w:val="00027BCE"/>
    <w:rsid w:val="00027DD6"/>
    <w:rsid w:val="00030005"/>
    <w:rsid w:val="0003012B"/>
    <w:rsid w:val="00030362"/>
    <w:rsid w:val="00030444"/>
    <w:rsid w:val="000304CC"/>
    <w:rsid w:val="00030522"/>
    <w:rsid w:val="000305C6"/>
    <w:rsid w:val="00030768"/>
    <w:rsid w:val="000308E6"/>
    <w:rsid w:val="00030BC4"/>
    <w:rsid w:val="00030E00"/>
    <w:rsid w:val="000311AF"/>
    <w:rsid w:val="00031761"/>
    <w:rsid w:val="00031783"/>
    <w:rsid w:val="000318A1"/>
    <w:rsid w:val="00031FF9"/>
    <w:rsid w:val="000321A5"/>
    <w:rsid w:val="00032214"/>
    <w:rsid w:val="000323AE"/>
    <w:rsid w:val="00032621"/>
    <w:rsid w:val="0003285C"/>
    <w:rsid w:val="00032B31"/>
    <w:rsid w:val="0003305F"/>
    <w:rsid w:val="000332F4"/>
    <w:rsid w:val="0003377B"/>
    <w:rsid w:val="00033B69"/>
    <w:rsid w:val="00033D69"/>
    <w:rsid w:val="000340CC"/>
    <w:rsid w:val="000340E9"/>
    <w:rsid w:val="00034217"/>
    <w:rsid w:val="000345C0"/>
    <w:rsid w:val="000348F9"/>
    <w:rsid w:val="0003496C"/>
    <w:rsid w:val="000349D9"/>
    <w:rsid w:val="00034D74"/>
    <w:rsid w:val="00034F50"/>
    <w:rsid w:val="000350B8"/>
    <w:rsid w:val="000351CA"/>
    <w:rsid w:val="000353B5"/>
    <w:rsid w:val="000353CE"/>
    <w:rsid w:val="00035635"/>
    <w:rsid w:val="00035937"/>
    <w:rsid w:val="000359BC"/>
    <w:rsid w:val="00035D9F"/>
    <w:rsid w:val="00035F79"/>
    <w:rsid w:val="00035FE6"/>
    <w:rsid w:val="0003615C"/>
    <w:rsid w:val="0003622F"/>
    <w:rsid w:val="000363C0"/>
    <w:rsid w:val="000364E3"/>
    <w:rsid w:val="000364EF"/>
    <w:rsid w:val="000368D4"/>
    <w:rsid w:val="00036B2C"/>
    <w:rsid w:val="00036C07"/>
    <w:rsid w:val="00036DDE"/>
    <w:rsid w:val="00036E1A"/>
    <w:rsid w:val="00036F6E"/>
    <w:rsid w:val="00037020"/>
    <w:rsid w:val="00037040"/>
    <w:rsid w:val="0003712E"/>
    <w:rsid w:val="00037519"/>
    <w:rsid w:val="000377F8"/>
    <w:rsid w:val="000378AF"/>
    <w:rsid w:val="000379FE"/>
    <w:rsid w:val="00037AB9"/>
    <w:rsid w:val="000400A2"/>
    <w:rsid w:val="000402A1"/>
    <w:rsid w:val="000404C7"/>
    <w:rsid w:val="00040A8A"/>
    <w:rsid w:val="00040FA0"/>
    <w:rsid w:val="00040FB3"/>
    <w:rsid w:val="000410D6"/>
    <w:rsid w:val="000412B0"/>
    <w:rsid w:val="0004146F"/>
    <w:rsid w:val="000419A0"/>
    <w:rsid w:val="000419AE"/>
    <w:rsid w:val="00041A3B"/>
    <w:rsid w:val="00041A5F"/>
    <w:rsid w:val="00041AD3"/>
    <w:rsid w:val="00041B40"/>
    <w:rsid w:val="00041E59"/>
    <w:rsid w:val="00041F52"/>
    <w:rsid w:val="000420F3"/>
    <w:rsid w:val="0004265D"/>
    <w:rsid w:val="000426DB"/>
    <w:rsid w:val="00042768"/>
    <w:rsid w:val="00042A2B"/>
    <w:rsid w:val="00042DDA"/>
    <w:rsid w:val="00042EC1"/>
    <w:rsid w:val="00043644"/>
    <w:rsid w:val="0004369B"/>
    <w:rsid w:val="00043724"/>
    <w:rsid w:val="00043873"/>
    <w:rsid w:val="000438FD"/>
    <w:rsid w:val="0004391D"/>
    <w:rsid w:val="00043B7E"/>
    <w:rsid w:val="00043BC0"/>
    <w:rsid w:val="00043E0D"/>
    <w:rsid w:val="00043E21"/>
    <w:rsid w:val="00044031"/>
    <w:rsid w:val="0004434B"/>
    <w:rsid w:val="00044384"/>
    <w:rsid w:val="000443AC"/>
    <w:rsid w:val="000445B0"/>
    <w:rsid w:val="00044753"/>
    <w:rsid w:val="0004478D"/>
    <w:rsid w:val="00044A37"/>
    <w:rsid w:val="00044BDB"/>
    <w:rsid w:val="00044F80"/>
    <w:rsid w:val="00045370"/>
    <w:rsid w:val="000455B4"/>
    <w:rsid w:val="0004562A"/>
    <w:rsid w:val="00045673"/>
    <w:rsid w:val="000456EE"/>
    <w:rsid w:val="0004571A"/>
    <w:rsid w:val="00045881"/>
    <w:rsid w:val="00045B42"/>
    <w:rsid w:val="00045CBC"/>
    <w:rsid w:val="00045FE9"/>
    <w:rsid w:val="000463B5"/>
    <w:rsid w:val="000466BA"/>
    <w:rsid w:val="000466D7"/>
    <w:rsid w:val="00046ADD"/>
    <w:rsid w:val="00046AFF"/>
    <w:rsid w:val="00046B91"/>
    <w:rsid w:val="00046E21"/>
    <w:rsid w:val="00046E5D"/>
    <w:rsid w:val="00047022"/>
    <w:rsid w:val="00047260"/>
    <w:rsid w:val="00047513"/>
    <w:rsid w:val="000475AF"/>
    <w:rsid w:val="00047625"/>
    <w:rsid w:val="0004764C"/>
    <w:rsid w:val="00047929"/>
    <w:rsid w:val="00047A16"/>
    <w:rsid w:val="00047A72"/>
    <w:rsid w:val="00047A8D"/>
    <w:rsid w:val="0005011A"/>
    <w:rsid w:val="00050403"/>
    <w:rsid w:val="0005040B"/>
    <w:rsid w:val="0005045A"/>
    <w:rsid w:val="0005059B"/>
    <w:rsid w:val="00050BC8"/>
    <w:rsid w:val="00050DF8"/>
    <w:rsid w:val="000513BE"/>
    <w:rsid w:val="00051631"/>
    <w:rsid w:val="00051699"/>
    <w:rsid w:val="0005175D"/>
    <w:rsid w:val="000517FD"/>
    <w:rsid w:val="000519DB"/>
    <w:rsid w:val="00051B5C"/>
    <w:rsid w:val="00051C1E"/>
    <w:rsid w:val="00051E7B"/>
    <w:rsid w:val="000520C0"/>
    <w:rsid w:val="00052253"/>
    <w:rsid w:val="000522C6"/>
    <w:rsid w:val="0005246F"/>
    <w:rsid w:val="0005255E"/>
    <w:rsid w:val="000525DA"/>
    <w:rsid w:val="00052647"/>
    <w:rsid w:val="000527C0"/>
    <w:rsid w:val="0005292D"/>
    <w:rsid w:val="00052ACD"/>
    <w:rsid w:val="00052B0B"/>
    <w:rsid w:val="00052B2A"/>
    <w:rsid w:val="00052FB1"/>
    <w:rsid w:val="00053824"/>
    <w:rsid w:val="000539F9"/>
    <w:rsid w:val="00053D89"/>
    <w:rsid w:val="00053DD4"/>
    <w:rsid w:val="0005400E"/>
    <w:rsid w:val="000540C3"/>
    <w:rsid w:val="00054149"/>
    <w:rsid w:val="0005414B"/>
    <w:rsid w:val="000544C6"/>
    <w:rsid w:val="0005451C"/>
    <w:rsid w:val="00054666"/>
    <w:rsid w:val="000547A6"/>
    <w:rsid w:val="000547FB"/>
    <w:rsid w:val="00054A0E"/>
    <w:rsid w:val="00054C27"/>
    <w:rsid w:val="00054CE6"/>
    <w:rsid w:val="00055076"/>
    <w:rsid w:val="000557EC"/>
    <w:rsid w:val="00055AAB"/>
    <w:rsid w:val="00055B94"/>
    <w:rsid w:val="00055CD3"/>
    <w:rsid w:val="00055D22"/>
    <w:rsid w:val="00055EC3"/>
    <w:rsid w:val="000560AA"/>
    <w:rsid w:val="000562DD"/>
    <w:rsid w:val="000563BE"/>
    <w:rsid w:val="000563CE"/>
    <w:rsid w:val="000564BD"/>
    <w:rsid w:val="0005657A"/>
    <w:rsid w:val="0005669F"/>
    <w:rsid w:val="000568AE"/>
    <w:rsid w:val="000568E8"/>
    <w:rsid w:val="000569AB"/>
    <w:rsid w:val="00056A98"/>
    <w:rsid w:val="00056D8A"/>
    <w:rsid w:val="00056D9A"/>
    <w:rsid w:val="00056E98"/>
    <w:rsid w:val="00057012"/>
    <w:rsid w:val="00057371"/>
    <w:rsid w:val="000573B2"/>
    <w:rsid w:val="000576B3"/>
    <w:rsid w:val="000576DE"/>
    <w:rsid w:val="0006019A"/>
    <w:rsid w:val="0006021D"/>
    <w:rsid w:val="0006023D"/>
    <w:rsid w:val="00060255"/>
    <w:rsid w:val="0006038B"/>
    <w:rsid w:val="0006069F"/>
    <w:rsid w:val="000606E6"/>
    <w:rsid w:val="00060C59"/>
    <w:rsid w:val="00060C5C"/>
    <w:rsid w:val="00060C8F"/>
    <w:rsid w:val="000614B9"/>
    <w:rsid w:val="000616F2"/>
    <w:rsid w:val="00061BFE"/>
    <w:rsid w:val="00061C53"/>
    <w:rsid w:val="00061D8A"/>
    <w:rsid w:val="00062027"/>
    <w:rsid w:val="00062294"/>
    <w:rsid w:val="000622ED"/>
    <w:rsid w:val="00062312"/>
    <w:rsid w:val="00062373"/>
    <w:rsid w:val="00062454"/>
    <w:rsid w:val="0006262B"/>
    <w:rsid w:val="000626D1"/>
    <w:rsid w:val="00062759"/>
    <w:rsid w:val="00062D68"/>
    <w:rsid w:val="00062FDB"/>
    <w:rsid w:val="000631E8"/>
    <w:rsid w:val="000633A3"/>
    <w:rsid w:val="0006348F"/>
    <w:rsid w:val="0006350E"/>
    <w:rsid w:val="0006353B"/>
    <w:rsid w:val="000635C2"/>
    <w:rsid w:val="000636E1"/>
    <w:rsid w:val="00063A12"/>
    <w:rsid w:val="00063A76"/>
    <w:rsid w:val="00063B55"/>
    <w:rsid w:val="00063B68"/>
    <w:rsid w:val="000642F0"/>
    <w:rsid w:val="000644D9"/>
    <w:rsid w:val="0006490E"/>
    <w:rsid w:val="00064AEF"/>
    <w:rsid w:val="00064C95"/>
    <w:rsid w:val="00064CAD"/>
    <w:rsid w:val="00064CC7"/>
    <w:rsid w:val="00064F4B"/>
    <w:rsid w:val="00064FA7"/>
    <w:rsid w:val="0006553C"/>
    <w:rsid w:val="0006573C"/>
    <w:rsid w:val="000659B6"/>
    <w:rsid w:val="00065B67"/>
    <w:rsid w:val="000661EE"/>
    <w:rsid w:val="0006631D"/>
    <w:rsid w:val="0006675D"/>
    <w:rsid w:val="000667A6"/>
    <w:rsid w:val="0006686F"/>
    <w:rsid w:val="0006697D"/>
    <w:rsid w:val="00066A74"/>
    <w:rsid w:val="00066C0D"/>
    <w:rsid w:val="00066E32"/>
    <w:rsid w:val="000670F5"/>
    <w:rsid w:val="0006722A"/>
    <w:rsid w:val="000674B1"/>
    <w:rsid w:val="000675CA"/>
    <w:rsid w:val="000676DC"/>
    <w:rsid w:val="0006771D"/>
    <w:rsid w:val="00067746"/>
    <w:rsid w:val="00067910"/>
    <w:rsid w:val="00067C51"/>
    <w:rsid w:val="00067E32"/>
    <w:rsid w:val="0007027E"/>
    <w:rsid w:val="0007035C"/>
    <w:rsid w:val="000706C2"/>
    <w:rsid w:val="000707CE"/>
    <w:rsid w:val="0007091D"/>
    <w:rsid w:val="00070A0B"/>
    <w:rsid w:val="00070E43"/>
    <w:rsid w:val="0007103E"/>
    <w:rsid w:val="0007113C"/>
    <w:rsid w:val="00071309"/>
    <w:rsid w:val="000715ED"/>
    <w:rsid w:val="00071701"/>
    <w:rsid w:val="00071993"/>
    <w:rsid w:val="000719B1"/>
    <w:rsid w:val="00071A5F"/>
    <w:rsid w:val="00071AA6"/>
    <w:rsid w:val="00071BA7"/>
    <w:rsid w:val="00071DBF"/>
    <w:rsid w:val="000722EF"/>
    <w:rsid w:val="000723A4"/>
    <w:rsid w:val="000725AD"/>
    <w:rsid w:val="0007283C"/>
    <w:rsid w:val="000729D9"/>
    <w:rsid w:val="00072B3C"/>
    <w:rsid w:val="00072ECD"/>
    <w:rsid w:val="00073112"/>
    <w:rsid w:val="000732CF"/>
    <w:rsid w:val="0007333C"/>
    <w:rsid w:val="000738DD"/>
    <w:rsid w:val="00073A80"/>
    <w:rsid w:val="00073B05"/>
    <w:rsid w:val="00073E0A"/>
    <w:rsid w:val="00074190"/>
    <w:rsid w:val="000745A3"/>
    <w:rsid w:val="000745E4"/>
    <w:rsid w:val="00074B34"/>
    <w:rsid w:val="00074CBA"/>
    <w:rsid w:val="00074D99"/>
    <w:rsid w:val="0007502B"/>
    <w:rsid w:val="00075234"/>
    <w:rsid w:val="000752D5"/>
    <w:rsid w:val="00075317"/>
    <w:rsid w:val="0007556D"/>
    <w:rsid w:val="00075B96"/>
    <w:rsid w:val="00075BA5"/>
    <w:rsid w:val="00075C69"/>
    <w:rsid w:val="000760AF"/>
    <w:rsid w:val="00076111"/>
    <w:rsid w:val="000761B9"/>
    <w:rsid w:val="00076733"/>
    <w:rsid w:val="0007676E"/>
    <w:rsid w:val="0007687C"/>
    <w:rsid w:val="0007697F"/>
    <w:rsid w:val="00076A8C"/>
    <w:rsid w:val="00076DE0"/>
    <w:rsid w:val="00076FAE"/>
    <w:rsid w:val="000773BF"/>
    <w:rsid w:val="000776CF"/>
    <w:rsid w:val="000777A9"/>
    <w:rsid w:val="0007789B"/>
    <w:rsid w:val="00077A04"/>
    <w:rsid w:val="00077A21"/>
    <w:rsid w:val="00077CF9"/>
    <w:rsid w:val="0008008E"/>
    <w:rsid w:val="000804BF"/>
    <w:rsid w:val="000806A0"/>
    <w:rsid w:val="0008081D"/>
    <w:rsid w:val="000808CE"/>
    <w:rsid w:val="00080A7B"/>
    <w:rsid w:val="00080B36"/>
    <w:rsid w:val="00080C21"/>
    <w:rsid w:val="00081034"/>
    <w:rsid w:val="000815AB"/>
    <w:rsid w:val="000818B4"/>
    <w:rsid w:val="000818CD"/>
    <w:rsid w:val="0008196A"/>
    <w:rsid w:val="00081FB2"/>
    <w:rsid w:val="00082011"/>
    <w:rsid w:val="000820F8"/>
    <w:rsid w:val="000825C4"/>
    <w:rsid w:val="00082665"/>
    <w:rsid w:val="00082687"/>
    <w:rsid w:val="00082E37"/>
    <w:rsid w:val="000830F3"/>
    <w:rsid w:val="000832C8"/>
    <w:rsid w:val="000834E5"/>
    <w:rsid w:val="0008350A"/>
    <w:rsid w:val="0008365A"/>
    <w:rsid w:val="000839BD"/>
    <w:rsid w:val="00083ADB"/>
    <w:rsid w:val="00083B80"/>
    <w:rsid w:val="00083C1B"/>
    <w:rsid w:val="00083CD4"/>
    <w:rsid w:val="000840A5"/>
    <w:rsid w:val="000843B0"/>
    <w:rsid w:val="00084615"/>
    <w:rsid w:val="00084655"/>
    <w:rsid w:val="00084B85"/>
    <w:rsid w:val="00084DF0"/>
    <w:rsid w:val="0008551B"/>
    <w:rsid w:val="000856B5"/>
    <w:rsid w:val="0008571D"/>
    <w:rsid w:val="000857A6"/>
    <w:rsid w:val="0008580A"/>
    <w:rsid w:val="00085951"/>
    <w:rsid w:val="000859E9"/>
    <w:rsid w:val="00085A85"/>
    <w:rsid w:val="00085AC4"/>
    <w:rsid w:val="00085BE7"/>
    <w:rsid w:val="00086207"/>
    <w:rsid w:val="00086329"/>
    <w:rsid w:val="0008699F"/>
    <w:rsid w:val="000869E6"/>
    <w:rsid w:val="00086BC2"/>
    <w:rsid w:val="00086C39"/>
    <w:rsid w:val="00086D0A"/>
    <w:rsid w:val="00086E8A"/>
    <w:rsid w:val="00086FA3"/>
    <w:rsid w:val="000871E1"/>
    <w:rsid w:val="0008725F"/>
    <w:rsid w:val="00087454"/>
    <w:rsid w:val="00087836"/>
    <w:rsid w:val="00087B64"/>
    <w:rsid w:val="0009004F"/>
    <w:rsid w:val="0009050B"/>
    <w:rsid w:val="00090B13"/>
    <w:rsid w:val="00090BCA"/>
    <w:rsid w:val="00090EFF"/>
    <w:rsid w:val="0009147F"/>
    <w:rsid w:val="000915ED"/>
    <w:rsid w:val="0009162D"/>
    <w:rsid w:val="00091E98"/>
    <w:rsid w:val="00091F6F"/>
    <w:rsid w:val="00091F85"/>
    <w:rsid w:val="0009209D"/>
    <w:rsid w:val="00092445"/>
    <w:rsid w:val="0009259A"/>
    <w:rsid w:val="00092834"/>
    <w:rsid w:val="0009285A"/>
    <w:rsid w:val="0009312D"/>
    <w:rsid w:val="0009333C"/>
    <w:rsid w:val="00093483"/>
    <w:rsid w:val="00093868"/>
    <w:rsid w:val="00093ACD"/>
    <w:rsid w:val="0009404B"/>
    <w:rsid w:val="000942A8"/>
    <w:rsid w:val="0009463C"/>
    <w:rsid w:val="000946D4"/>
    <w:rsid w:val="0009483D"/>
    <w:rsid w:val="00094B4A"/>
    <w:rsid w:val="00094D83"/>
    <w:rsid w:val="00094F94"/>
    <w:rsid w:val="00095278"/>
    <w:rsid w:val="0009534B"/>
    <w:rsid w:val="0009537A"/>
    <w:rsid w:val="00095387"/>
    <w:rsid w:val="0009574E"/>
    <w:rsid w:val="0009590D"/>
    <w:rsid w:val="00095C89"/>
    <w:rsid w:val="00095CAC"/>
    <w:rsid w:val="00095D69"/>
    <w:rsid w:val="00095E37"/>
    <w:rsid w:val="00095E81"/>
    <w:rsid w:val="0009628E"/>
    <w:rsid w:val="0009666B"/>
    <w:rsid w:val="00096883"/>
    <w:rsid w:val="000969BD"/>
    <w:rsid w:val="000969BF"/>
    <w:rsid w:val="00096AF4"/>
    <w:rsid w:val="00096B93"/>
    <w:rsid w:val="00096CB5"/>
    <w:rsid w:val="00096D22"/>
    <w:rsid w:val="00096F2A"/>
    <w:rsid w:val="00096F31"/>
    <w:rsid w:val="00096F5B"/>
    <w:rsid w:val="0009719C"/>
    <w:rsid w:val="000973AC"/>
    <w:rsid w:val="000973C3"/>
    <w:rsid w:val="0009742D"/>
    <w:rsid w:val="0009751F"/>
    <w:rsid w:val="00097688"/>
    <w:rsid w:val="00097B93"/>
    <w:rsid w:val="000A0303"/>
    <w:rsid w:val="000A031B"/>
    <w:rsid w:val="000A0485"/>
    <w:rsid w:val="000A0914"/>
    <w:rsid w:val="000A0ABD"/>
    <w:rsid w:val="000A0BDE"/>
    <w:rsid w:val="000A0C22"/>
    <w:rsid w:val="000A0CEC"/>
    <w:rsid w:val="000A1135"/>
    <w:rsid w:val="000A13D7"/>
    <w:rsid w:val="000A1400"/>
    <w:rsid w:val="000A1750"/>
    <w:rsid w:val="000A1B1B"/>
    <w:rsid w:val="000A1CF3"/>
    <w:rsid w:val="000A24F7"/>
    <w:rsid w:val="000A2A00"/>
    <w:rsid w:val="000A2C73"/>
    <w:rsid w:val="000A2DC8"/>
    <w:rsid w:val="000A2EBE"/>
    <w:rsid w:val="000A2ED8"/>
    <w:rsid w:val="000A30BC"/>
    <w:rsid w:val="000A31E1"/>
    <w:rsid w:val="000A37B8"/>
    <w:rsid w:val="000A39C3"/>
    <w:rsid w:val="000A39FB"/>
    <w:rsid w:val="000A3C43"/>
    <w:rsid w:val="000A3E1E"/>
    <w:rsid w:val="000A3FE6"/>
    <w:rsid w:val="000A4052"/>
    <w:rsid w:val="000A4615"/>
    <w:rsid w:val="000A4807"/>
    <w:rsid w:val="000A4A51"/>
    <w:rsid w:val="000A4B7D"/>
    <w:rsid w:val="000A4CD1"/>
    <w:rsid w:val="000A4D3A"/>
    <w:rsid w:val="000A4E61"/>
    <w:rsid w:val="000A4F83"/>
    <w:rsid w:val="000A5161"/>
    <w:rsid w:val="000A55B7"/>
    <w:rsid w:val="000A576D"/>
    <w:rsid w:val="000A5770"/>
    <w:rsid w:val="000A5918"/>
    <w:rsid w:val="000A5923"/>
    <w:rsid w:val="000A597B"/>
    <w:rsid w:val="000A5CD4"/>
    <w:rsid w:val="000A5D2B"/>
    <w:rsid w:val="000A6205"/>
    <w:rsid w:val="000A6842"/>
    <w:rsid w:val="000A6A88"/>
    <w:rsid w:val="000A6AED"/>
    <w:rsid w:val="000A6B79"/>
    <w:rsid w:val="000A6DE3"/>
    <w:rsid w:val="000A6F76"/>
    <w:rsid w:val="000A72AF"/>
    <w:rsid w:val="000A73FE"/>
    <w:rsid w:val="000A7412"/>
    <w:rsid w:val="000A7ADE"/>
    <w:rsid w:val="000A7BF6"/>
    <w:rsid w:val="000A7CBA"/>
    <w:rsid w:val="000B0305"/>
    <w:rsid w:val="000B0C57"/>
    <w:rsid w:val="000B0DF0"/>
    <w:rsid w:val="000B1466"/>
    <w:rsid w:val="000B1602"/>
    <w:rsid w:val="000B1A3D"/>
    <w:rsid w:val="000B1EED"/>
    <w:rsid w:val="000B1FB7"/>
    <w:rsid w:val="000B207A"/>
    <w:rsid w:val="000B21F4"/>
    <w:rsid w:val="000B2507"/>
    <w:rsid w:val="000B27E0"/>
    <w:rsid w:val="000B280A"/>
    <w:rsid w:val="000B2BD0"/>
    <w:rsid w:val="000B2CD0"/>
    <w:rsid w:val="000B30A7"/>
    <w:rsid w:val="000B3221"/>
    <w:rsid w:val="000B32CB"/>
    <w:rsid w:val="000B33FC"/>
    <w:rsid w:val="000B348F"/>
    <w:rsid w:val="000B3965"/>
    <w:rsid w:val="000B3A56"/>
    <w:rsid w:val="000B3A8F"/>
    <w:rsid w:val="000B40E7"/>
    <w:rsid w:val="000B4309"/>
    <w:rsid w:val="000B4414"/>
    <w:rsid w:val="000B449F"/>
    <w:rsid w:val="000B4664"/>
    <w:rsid w:val="000B484E"/>
    <w:rsid w:val="000B4914"/>
    <w:rsid w:val="000B4D2B"/>
    <w:rsid w:val="000B4EEA"/>
    <w:rsid w:val="000B584E"/>
    <w:rsid w:val="000B5DE3"/>
    <w:rsid w:val="000B62FE"/>
    <w:rsid w:val="000B632F"/>
    <w:rsid w:val="000B634C"/>
    <w:rsid w:val="000B6420"/>
    <w:rsid w:val="000B65D4"/>
    <w:rsid w:val="000B6C35"/>
    <w:rsid w:val="000B6E1C"/>
    <w:rsid w:val="000B6E4A"/>
    <w:rsid w:val="000B71F9"/>
    <w:rsid w:val="000B7256"/>
    <w:rsid w:val="000B72A2"/>
    <w:rsid w:val="000B7523"/>
    <w:rsid w:val="000B7889"/>
    <w:rsid w:val="000B7AFA"/>
    <w:rsid w:val="000B7BEE"/>
    <w:rsid w:val="000B7E79"/>
    <w:rsid w:val="000C036B"/>
    <w:rsid w:val="000C038F"/>
    <w:rsid w:val="000C04E5"/>
    <w:rsid w:val="000C0544"/>
    <w:rsid w:val="000C0596"/>
    <w:rsid w:val="000C0A57"/>
    <w:rsid w:val="000C0A67"/>
    <w:rsid w:val="000C0BAA"/>
    <w:rsid w:val="000C0E8B"/>
    <w:rsid w:val="000C1037"/>
    <w:rsid w:val="000C11F4"/>
    <w:rsid w:val="000C12C8"/>
    <w:rsid w:val="000C13CB"/>
    <w:rsid w:val="000C18E3"/>
    <w:rsid w:val="000C1D4E"/>
    <w:rsid w:val="000C1DBD"/>
    <w:rsid w:val="000C2223"/>
    <w:rsid w:val="000C230C"/>
    <w:rsid w:val="000C23DA"/>
    <w:rsid w:val="000C26AC"/>
    <w:rsid w:val="000C26E3"/>
    <w:rsid w:val="000C271A"/>
    <w:rsid w:val="000C2A0F"/>
    <w:rsid w:val="000C2A99"/>
    <w:rsid w:val="000C2ACA"/>
    <w:rsid w:val="000C2ADC"/>
    <w:rsid w:val="000C2AE5"/>
    <w:rsid w:val="000C2DE9"/>
    <w:rsid w:val="000C32CD"/>
    <w:rsid w:val="000C330A"/>
    <w:rsid w:val="000C366D"/>
    <w:rsid w:val="000C3E2E"/>
    <w:rsid w:val="000C415C"/>
    <w:rsid w:val="000C41F8"/>
    <w:rsid w:val="000C4223"/>
    <w:rsid w:val="000C427E"/>
    <w:rsid w:val="000C44A9"/>
    <w:rsid w:val="000C4688"/>
    <w:rsid w:val="000C480F"/>
    <w:rsid w:val="000C4B21"/>
    <w:rsid w:val="000C4B39"/>
    <w:rsid w:val="000C4B89"/>
    <w:rsid w:val="000C4E32"/>
    <w:rsid w:val="000C4E82"/>
    <w:rsid w:val="000C4F31"/>
    <w:rsid w:val="000C4FF5"/>
    <w:rsid w:val="000C559F"/>
    <w:rsid w:val="000C55A6"/>
    <w:rsid w:val="000C5628"/>
    <w:rsid w:val="000C564E"/>
    <w:rsid w:val="000C58FB"/>
    <w:rsid w:val="000C5940"/>
    <w:rsid w:val="000C59B8"/>
    <w:rsid w:val="000C5AC9"/>
    <w:rsid w:val="000C5C94"/>
    <w:rsid w:val="000C5D1B"/>
    <w:rsid w:val="000C5EC5"/>
    <w:rsid w:val="000C5F7B"/>
    <w:rsid w:val="000C62CE"/>
    <w:rsid w:val="000C689C"/>
    <w:rsid w:val="000C6A1B"/>
    <w:rsid w:val="000C6AB4"/>
    <w:rsid w:val="000C6AD8"/>
    <w:rsid w:val="000C6B03"/>
    <w:rsid w:val="000C6BA9"/>
    <w:rsid w:val="000C6F49"/>
    <w:rsid w:val="000C712F"/>
    <w:rsid w:val="000C714F"/>
    <w:rsid w:val="000C734B"/>
    <w:rsid w:val="000C7662"/>
    <w:rsid w:val="000C7988"/>
    <w:rsid w:val="000C7B2E"/>
    <w:rsid w:val="000C7B89"/>
    <w:rsid w:val="000C7CDD"/>
    <w:rsid w:val="000C7E44"/>
    <w:rsid w:val="000C7F41"/>
    <w:rsid w:val="000C7FF8"/>
    <w:rsid w:val="000D00D4"/>
    <w:rsid w:val="000D0289"/>
    <w:rsid w:val="000D05B2"/>
    <w:rsid w:val="000D05D2"/>
    <w:rsid w:val="000D0603"/>
    <w:rsid w:val="000D096D"/>
    <w:rsid w:val="000D0A3E"/>
    <w:rsid w:val="000D0E41"/>
    <w:rsid w:val="000D0E67"/>
    <w:rsid w:val="000D160F"/>
    <w:rsid w:val="000D1625"/>
    <w:rsid w:val="000D1693"/>
    <w:rsid w:val="000D1720"/>
    <w:rsid w:val="000D172D"/>
    <w:rsid w:val="000D179F"/>
    <w:rsid w:val="000D1B46"/>
    <w:rsid w:val="000D1EB2"/>
    <w:rsid w:val="000D20DD"/>
    <w:rsid w:val="000D2167"/>
    <w:rsid w:val="000D23A0"/>
    <w:rsid w:val="000D2538"/>
    <w:rsid w:val="000D25B0"/>
    <w:rsid w:val="000D25C3"/>
    <w:rsid w:val="000D27CB"/>
    <w:rsid w:val="000D2839"/>
    <w:rsid w:val="000D295C"/>
    <w:rsid w:val="000D2A87"/>
    <w:rsid w:val="000D2FA7"/>
    <w:rsid w:val="000D316A"/>
    <w:rsid w:val="000D3284"/>
    <w:rsid w:val="000D32D3"/>
    <w:rsid w:val="000D32E2"/>
    <w:rsid w:val="000D3480"/>
    <w:rsid w:val="000D36CF"/>
    <w:rsid w:val="000D374F"/>
    <w:rsid w:val="000D379E"/>
    <w:rsid w:val="000D3B34"/>
    <w:rsid w:val="000D4091"/>
    <w:rsid w:val="000D4097"/>
    <w:rsid w:val="000D414D"/>
    <w:rsid w:val="000D4219"/>
    <w:rsid w:val="000D4371"/>
    <w:rsid w:val="000D4424"/>
    <w:rsid w:val="000D4775"/>
    <w:rsid w:val="000D48ED"/>
    <w:rsid w:val="000D4B25"/>
    <w:rsid w:val="000D4BC1"/>
    <w:rsid w:val="000D4F1F"/>
    <w:rsid w:val="000D4FE4"/>
    <w:rsid w:val="000D517F"/>
    <w:rsid w:val="000D5621"/>
    <w:rsid w:val="000D5675"/>
    <w:rsid w:val="000D56F4"/>
    <w:rsid w:val="000D5763"/>
    <w:rsid w:val="000D595B"/>
    <w:rsid w:val="000D59F3"/>
    <w:rsid w:val="000D5AB7"/>
    <w:rsid w:val="000D5C81"/>
    <w:rsid w:val="000D5F2A"/>
    <w:rsid w:val="000D6763"/>
    <w:rsid w:val="000D67A8"/>
    <w:rsid w:val="000D689E"/>
    <w:rsid w:val="000D6951"/>
    <w:rsid w:val="000D6BCF"/>
    <w:rsid w:val="000D6D35"/>
    <w:rsid w:val="000D6EB6"/>
    <w:rsid w:val="000D704D"/>
    <w:rsid w:val="000D71D9"/>
    <w:rsid w:val="000D73C7"/>
    <w:rsid w:val="000D76E0"/>
    <w:rsid w:val="000D78D7"/>
    <w:rsid w:val="000D7B15"/>
    <w:rsid w:val="000D7BEB"/>
    <w:rsid w:val="000D7E8B"/>
    <w:rsid w:val="000E0201"/>
    <w:rsid w:val="000E030D"/>
    <w:rsid w:val="000E05D2"/>
    <w:rsid w:val="000E0716"/>
    <w:rsid w:val="000E0AA0"/>
    <w:rsid w:val="000E0C2E"/>
    <w:rsid w:val="000E119E"/>
    <w:rsid w:val="000E1291"/>
    <w:rsid w:val="000E129C"/>
    <w:rsid w:val="000E13FF"/>
    <w:rsid w:val="000E1427"/>
    <w:rsid w:val="000E1481"/>
    <w:rsid w:val="000E1A0A"/>
    <w:rsid w:val="000E1C5B"/>
    <w:rsid w:val="000E1EF5"/>
    <w:rsid w:val="000E1FB2"/>
    <w:rsid w:val="000E2378"/>
    <w:rsid w:val="000E29A2"/>
    <w:rsid w:val="000E2B2B"/>
    <w:rsid w:val="000E2BEE"/>
    <w:rsid w:val="000E2D18"/>
    <w:rsid w:val="000E30D5"/>
    <w:rsid w:val="000E3258"/>
    <w:rsid w:val="000E34D4"/>
    <w:rsid w:val="000E35E5"/>
    <w:rsid w:val="000E35EF"/>
    <w:rsid w:val="000E38AE"/>
    <w:rsid w:val="000E399B"/>
    <w:rsid w:val="000E3A1A"/>
    <w:rsid w:val="000E3CB3"/>
    <w:rsid w:val="000E3D5A"/>
    <w:rsid w:val="000E3FAF"/>
    <w:rsid w:val="000E40A8"/>
    <w:rsid w:val="000E40B1"/>
    <w:rsid w:val="000E41A8"/>
    <w:rsid w:val="000E4293"/>
    <w:rsid w:val="000E4449"/>
    <w:rsid w:val="000E4844"/>
    <w:rsid w:val="000E493D"/>
    <w:rsid w:val="000E4CAC"/>
    <w:rsid w:val="000E4D88"/>
    <w:rsid w:val="000E4E4C"/>
    <w:rsid w:val="000E5447"/>
    <w:rsid w:val="000E5809"/>
    <w:rsid w:val="000E5AF1"/>
    <w:rsid w:val="000E6097"/>
    <w:rsid w:val="000E60F7"/>
    <w:rsid w:val="000E6219"/>
    <w:rsid w:val="000E6A1C"/>
    <w:rsid w:val="000E707C"/>
    <w:rsid w:val="000E720C"/>
    <w:rsid w:val="000E7526"/>
    <w:rsid w:val="000E753F"/>
    <w:rsid w:val="000E775C"/>
    <w:rsid w:val="000E786B"/>
    <w:rsid w:val="000E78C2"/>
    <w:rsid w:val="000E7F54"/>
    <w:rsid w:val="000F0080"/>
    <w:rsid w:val="000F0212"/>
    <w:rsid w:val="000F033D"/>
    <w:rsid w:val="000F036A"/>
    <w:rsid w:val="000F0536"/>
    <w:rsid w:val="000F0799"/>
    <w:rsid w:val="000F081D"/>
    <w:rsid w:val="000F0950"/>
    <w:rsid w:val="000F0CC5"/>
    <w:rsid w:val="000F12D5"/>
    <w:rsid w:val="000F1410"/>
    <w:rsid w:val="000F14B1"/>
    <w:rsid w:val="000F14B3"/>
    <w:rsid w:val="000F1550"/>
    <w:rsid w:val="000F166B"/>
    <w:rsid w:val="000F16A3"/>
    <w:rsid w:val="000F1802"/>
    <w:rsid w:val="000F1872"/>
    <w:rsid w:val="000F1B50"/>
    <w:rsid w:val="000F1B5B"/>
    <w:rsid w:val="000F1E99"/>
    <w:rsid w:val="000F1F9D"/>
    <w:rsid w:val="000F1FF1"/>
    <w:rsid w:val="000F21D3"/>
    <w:rsid w:val="000F22FA"/>
    <w:rsid w:val="000F230A"/>
    <w:rsid w:val="000F251C"/>
    <w:rsid w:val="000F2910"/>
    <w:rsid w:val="000F29B7"/>
    <w:rsid w:val="000F2BA0"/>
    <w:rsid w:val="000F2F23"/>
    <w:rsid w:val="000F3421"/>
    <w:rsid w:val="000F36DB"/>
    <w:rsid w:val="000F396B"/>
    <w:rsid w:val="000F3A47"/>
    <w:rsid w:val="000F40FB"/>
    <w:rsid w:val="000F4120"/>
    <w:rsid w:val="000F41B5"/>
    <w:rsid w:val="000F4312"/>
    <w:rsid w:val="000F43D0"/>
    <w:rsid w:val="000F447B"/>
    <w:rsid w:val="000F45AA"/>
    <w:rsid w:val="000F45DF"/>
    <w:rsid w:val="000F4607"/>
    <w:rsid w:val="000F4A43"/>
    <w:rsid w:val="000F4BAB"/>
    <w:rsid w:val="000F4F6D"/>
    <w:rsid w:val="000F4FE6"/>
    <w:rsid w:val="000F502E"/>
    <w:rsid w:val="000F51AA"/>
    <w:rsid w:val="000F53BD"/>
    <w:rsid w:val="000F54BA"/>
    <w:rsid w:val="000F56DD"/>
    <w:rsid w:val="000F5AD5"/>
    <w:rsid w:val="000F5C48"/>
    <w:rsid w:val="000F5DD4"/>
    <w:rsid w:val="000F5F2F"/>
    <w:rsid w:val="000F6013"/>
    <w:rsid w:val="000F6079"/>
    <w:rsid w:val="000F61B7"/>
    <w:rsid w:val="000F6372"/>
    <w:rsid w:val="000F637D"/>
    <w:rsid w:val="000F6397"/>
    <w:rsid w:val="000F6523"/>
    <w:rsid w:val="000F6591"/>
    <w:rsid w:val="000F67F4"/>
    <w:rsid w:val="000F6977"/>
    <w:rsid w:val="000F6A90"/>
    <w:rsid w:val="000F6D7A"/>
    <w:rsid w:val="000F7450"/>
    <w:rsid w:val="000F7615"/>
    <w:rsid w:val="000F771F"/>
    <w:rsid w:val="000F78C6"/>
    <w:rsid w:val="000F7B68"/>
    <w:rsid w:val="000F7F8F"/>
    <w:rsid w:val="001003A7"/>
    <w:rsid w:val="00100885"/>
    <w:rsid w:val="00100A1C"/>
    <w:rsid w:val="00100CFD"/>
    <w:rsid w:val="00100E4E"/>
    <w:rsid w:val="00100EFC"/>
    <w:rsid w:val="001011C0"/>
    <w:rsid w:val="001012CC"/>
    <w:rsid w:val="00101456"/>
    <w:rsid w:val="00101556"/>
    <w:rsid w:val="001015EA"/>
    <w:rsid w:val="0010185E"/>
    <w:rsid w:val="001018B2"/>
    <w:rsid w:val="00101ADD"/>
    <w:rsid w:val="00101E72"/>
    <w:rsid w:val="00101F91"/>
    <w:rsid w:val="001021CB"/>
    <w:rsid w:val="001023F2"/>
    <w:rsid w:val="00102AF8"/>
    <w:rsid w:val="00102EDB"/>
    <w:rsid w:val="00103260"/>
    <w:rsid w:val="00103762"/>
    <w:rsid w:val="00103829"/>
    <w:rsid w:val="001039F2"/>
    <w:rsid w:val="00103F84"/>
    <w:rsid w:val="001041B1"/>
    <w:rsid w:val="001041D6"/>
    <w:rsid w:val="001042C6"/>
    <w:rsid w:val="0010450E"/>
    <w:rsid w:val="00104533"/>
    <w:rsid w:val="0010457D"/>
    <w:rsid w:val="00104780"/>
    <w:rsid w:val="0010489B"/>
    <w:rsid w:val="001049B5"/>
    <w:rsid w:val="00104B1F"/>
    <w:rsid w:val="00104C75"/>
    <w:rsid w:val="001050E8"/>
    <w:rsid w:val="0010510C"/>
    <w:rsid w:val="0010519E"/>
    <w:rsid w:val="001054AC"/>
    <w:rsid w:val="001054B5"/>
    <w:rsid w:val="0010576C"/>
    <w:rsid w:val="001057FD"/>
    <w:rsid w:val="00105948"/>
    <w:rsid w:val="00105A63"/>
    <w:rsid w:val="00105C43"/>
    <w:rsid w:val="00105D33"/>
    <w:rsid w:val="00105D6A"/>
    <w:rsid w:val="00105D9F"/>
    <w:rsid w:val="00105FAB"/>
    <w:rsid w:val="0010612F"/>
    <w:rsid w:val="001062C9"/>
    <w:rsid w:val="00106415"/>
    <w:rsid w:val="00106B4C"/>
    <w:rsid w:val="00106B54"/>
    <w:rsid w:val="00106D77"/>
    <w:rsid w:val="00106E65"/>
    <w:rsid w:val="0010744B"/>
    <w:rsid w:val="0010777C"/>
    <w:rsid w:val="00107B03"/>
    <w:rsid w:val="00107E6C"/>
    <w:rsid w:val="00110043"/>
    <w:rsid w:val="00110102"/>
    <w:rsid w:val="00110430"/>
    <w:rsid w:val="0011048F"/>
    <w:rsid w:val="00110645"/>
    <w:rsid w:val="001108E9"/>
    <w:rsid w:val="001109AD"/>
    <w:rsid w:val="00110ADE"/>
    <w:rsid w:val="00110D44"/>
    <w:rsid w:val="00110F1D"/>
    <w:rsid w:val="001111E9"/>
    <w:rsid w:val="001114BD"/>
    <w:rsid w:val="001116BD"/>
    <w:rsid w:val="001118C5"/>
    <w:rsid w:val="00111947"/>
    <w:rsid w:val="001119F6"/>
    <w:rsid w:val="00111B8B"/>
    <w:rsid w:val="00111B99"/>
    <w:rsid w:val="00111CBE"/>
    <w:rsid w:val="00111D3C"/>
    <w:rsid w:val="00111FCE"/>
    <w:rsid w:val="001123C6"/>
    <w:rsid w:val="001125B4"/>
    <w:rsid w:val="00112724"/>
    <w:rsid w:val="00112C26"/>
    <w:rsid w:val="00112F7B"/>
    <w:rsid w:val="00112FA5"/>
    <w:rsid w:val="001130FC"/>
    <w:rsid w:val="0011339B"/>
    <w:rsid w:val="00113431"/>
    <w:rsid w:val="0011344C"/>
    <w:rsid w:val="00113572"/>
    <w:rsid w:val="001135C6"/>
    <w:rsid w:val="00113897"/>
    <w:rsid w:val="00113D96"/>
    <w:rsid w:val="00113DC6"/>
    <w:rsid w:val="00113DE3"/>
    <w:rsid w:val="00113DE5"/>
    <w:rsid w:val="00113DF5"/>
    <w:rsid w:val="00114049"/>
    <w:rsid w:val="0011410D"/>
    <w:rsid w:val="001142C3"/>
    <w:rsid w:val="001143DB"/>
    <w:rsid w:val="0011440D"/>
    <w:rsid w:val="001144A1"/>
    <w:rsid w:val="00114B84"/>
    <w:rsid w:val="00114D2B"/>
    <w:rsid w:val="00114E7A"/>
    <w:rsid w:val="00114FA7"/>
    <w:rsid w:val="0011500E"/>
    <w:rsid w:val="00115463"/>
    <w:rsid w:val="001154FB"/>
    <w:rsid w:val="001155C7"/>
    <w:rsid w:val="001156D8"/>
    <w:rsid w:val="00115B5B"/>
    <w:rsid w:val="00115F03"/>
    <w:rsid w:val="001160A1"/>
    <w:rsid w:val="0011667A"/>
    <w:rsid w:val="00116728"/>
    <w:rsid w:val="00116F3A"/>
    <w:rsid w:val="00116F69"/>
    <w:rsid w:val="00117083"/>
    <w:rsid w:val="001172A6"/>
    <w:rsid w:val="00117594"/>
    <w:rsid w:val="001175E8"/>
    <w:rsid w:val="0011775B"/>
    <w:rsid w:val="0011778A"/>
    <w:rsid w:val="00117C1B"/>
    <w:rsid w:val="00117CA3"/>
    <w:rsid w:val="00117CF2"/>
    <w:rsid w:val="00117D4F"/>
    <w:rsid w:val="00117FCB"/>
    <w:rsid w:val="0012034B"/>
    <w:rsid w:val="00120472"/>
    <w:rsid w:val="001205DB"/>
    <w:rsid w:val="001206CD"/>
    <w:rsid w:val="00120A4C"/>
    <w:rsid w:val="00120F0C"/>
    <w:rsid w:val="00120F2E"/>
    <w:rsid w:val="00120F85"/>
    <w:rsid w:val="0012118E"/>
    <w:rsid w:val="001216B5"/>
    <w:rsid w:val="0012171A"/>
    <w:rsid w:val="00121833"/>
    <w:rsid w:val="00121922"/>
    <w:rsid w:val="00121B0C"/>
    <w:rsid w:val="00121C0F"/>
    <w:rsid w:val="001221AD"/>
    <w:rsid w:val="001225B7"/>
    <w:rsid w:val="001229A5"/>
    <w:rsid w:val="00122A28"/>
    <w:rsid w:val="00122A7F"/>
    <w:rsid w:val="00122DFC"/>
    <w:rsid w:val="00122EB8"/>
    <w:rsid w:val="00122F82"/>
    <w:rsid w:val="00123111"/>
    <w:rsid w:val="00123129"/>
    <w:rsid w:val="0012334B"/>
    <w:rsid w:val="001237EC"/>
    <w:rsid w:val="00123D7B"/>
    <w:rsid w:val="00123F14"/>
    <w:rsid w:val="00124077"/>
    <w:rsid w:val="001242FD"/>
    <w:rsid w:val="00124564"/>
    <w:rsid w:val="00124654"/>
    <w:rsid w:val="00124660"/>
    <w:rsid w:val="0012489B"/>
    <w:rsid w:val="00124AD6"/>
    <w:rsid w:val="00124D64"/>
    <w:rsid w:val="00124E54"/>
    <w:rsid w:val="0012504B"/>
    <w:rsid w:val="001252D0"/>
    <w:rsid w:val="001252DF"/>
    <w:rsid w:val="0012545F"/>
    <w:rsid w:val="00125549"/>
    <w:rsid w:val="0012561F"/>
    <w:rsid w:val="00125699"/>
    <w:rsid w:val="001257D0"/>
    <w:rsid w:val="0012587A"/>
    <w:rsid w:val="00125A8C"/>
    <w:rsid w:val="00125B68"/>
    <w:rsid w:val="00125BC6"/>
    <w:rsid w:val="00125C59"/>
    <w:rsid w:val="00125D95"/>
    <w:rsid w:val="00125E31"/>
    <w:rsid w:val="001260C0"/>
    <w:rsid w:val="0012621E"/>
    <w:rsid w:val="001263B9"/>
    <w:rsid w:val="001264D5"/>
    <w:rsid w:val="00126D72"/>
    <w:rsid w:val="001274F2"/>
    <w:rsid w:val="00127610"/>
    <w:rsid w:val="00127648"/>
    <w:rsid w:val="00127BA5"/>
    <w:rsid w:val="00127C1C"/>
    <w:rsid w:val="00127EF7"/>
    <w:rsid w:val="00127FED"/>
    <w:rsid w:val="00130017"/>
    <w:rsid w:val="00130597"/>
    <w:rsid w:val="00130605"/>
    <w:rsid w:val="0013081A"/>
    <w:rsid w:val="0013093A"/>
    <w:rsid w:val="00130CAE"/>
    <w:rsid w:val="00130E51"/>
    <w:rsid w:val="00130EF6"/>
    <w:rsid w:val="00130F91"/>
    <w:rsid w:val="00131179"/>
    <w:rsid w:val="001312D3"/>
    <w:rsid w:val="001314AD"/>
    <w:rsid w:val="001315E3"/>
    <w:rsid w:val="0013169D"/>
    <w:rsid w:val="001317D5"/>
    <w:rsid w:val="001319D6"/>
    <w:rsid w:val="00131AAD"/>
    <w:rsid w:val="00131E84"/>
    <w:rsid w:val="0013224F"/>
    <w:rsid w:val="00132319"/>
    <w:rsid w:val="0013237F"/>
    <w:rsid w:val="001323E6"/>
    <w:rsid w:val="0013258C"/>
    <w:rsid w:val="001325C2"/>
    <w:rsid w:val="00132802"/>
    <w:rsid w:val="00132981"/>
    <w:rsid w:val="00132C77"/>
    <w:rsid w:val="00132EDE"/>
    <w:rsid w:val="00132F21"/>
    <w:rsid w:val="00133158"/>
    <w:rsid w:val="0013319C"/>
    <w:rsid w:val="001331C9"/>
    <w:rsid w:val="001332A7"/>
    <w:rsid w:val="001333C2"/>
    <w:rsid w:val="001333FD"/>
    <w:rsid w:val="0013356E"/>
    <w:rsid w:val="00133610"/>
    <w:rsid w:val="00133647"/>
    <w:rsid w:val="00133C04"/>
    <w:rsid w:val="00133DFE"/>
    <w:rsid w:val="00133F39"/>
    <w:rsid w:val="001343CB"/>
    <w:rsid w:val="00134634"/>
    <w:rsid w:val="00134697"/>
    <w:rsid w:val="001348B2"/>
    <w:rsid w:val="001349ED"/>
    <w:rsid w:val="00134A0D"/>
    <w:rsid w:val="00134B81"/>
    <w:rsid w:val="00134D7D"/>
    <w:rsid w:val="00134F96"/>
    <w:rsid w:val="0013504A"/>
    <w:rsid w:val="0013507C"/>
    <w:rsid w:val="00135130"/>
    <w:rsid w:val="001354E6"/>
    <w:rsid w:val="001355BE"/>
    <w:rsid w:val="0013588A"/>
    <w:rsid w:val="0013589B"/>
    <w:rsid w:val="001358D2"/>
    <w:rsid w:val="0013595B"/>
    <w:rsid w:val="00135C08"/>
    <w:rsid w:val="00135CF8"/>
    <w:rsid w:val="00135EED"/>
    <w:rsid w:val="00135FE3"/>
    <w:rsid w:val="00136057"/>
    <w:rsid w:val="001363A9"/>
    <w:rsid w:val="00136489"/>
    <w:rsid w:val="0013686C"/>
    <w:rsid w:val="00136B5A"/>
    <w:rsid w:val="00136D87"/>
    <w:rsid w:val="00137093"/>
    <w:rsid w:val="00137135"/>
    <w:rsid w:val="00137218"/>
    <w:rsid w:val="00137424"/>
    <w:rsid w:val="001374C7"/>
    <w:rsid w:val="00137D2A"/>
    <w:rsid w:val="00140143"/>
    <w:rsid w:val="00140318"/>
    <w:rsid w:val="001406DB"/>
    <w:rsid w:val="00140899"/>
    <w:rsid w:val="001412AD"/>
    <w:rsid w:val="001413C0"/>
    <w:rsid w:val="0014144C"/>
    <w:rsid w:val="0014153C"/>
    <w:rsid w:val="001417EB"/>
    <w:rsid w:val="00141894"/>
    <w:rsid w:val="00141A6C"/>
    <w:rsid w:val="00141AD9"/>
    <w:rsid w:val="00141CB2"/>
    <w:rsid w:val="00141E9D"/>
    <w:rsid w:val="00141F08"/>
    <w:rsid w:val="0014205C"/>
    <w:rsid w:val="001423D0"/>
    <w:rsid w:val="0014248C"/>
    <w:rsid w:val="0014259C"/>
    <w:rsid w:val="00142849"/>
    <w:rsid w:val="00142864"/>
    <w:rsid w:val="00142C76"/>
    <w:rsid w:val="00142ED9"/>
    <w:rsid w:val="00142EDA"/>
    <w:rsid w:val="00142F5C"/>
    <w:rsid w:val="00142F95"/>
    <w:rsid w:val="00142F99"/>
    <w:rsid w:val="001430CA"/>
    <w:rsid w:val="00143101"/>
    <w:rsid w:val="00143239"/>
    <w:rsid w:val="001434DF"/>
    <w:rsid w:val="00143536"/>
    <w:rsid w:val="001436BD"/>
    <w:rsid w:val="0014380F"/>
    <w:rsid w:val="00143957"/>
    <w:rsid w:val="00143CF8"/>
    <w:rsid w:val="00143D83"/>
    <w:rsid w:val="00143EA0"/>
    <w:rsid w:val="00143FD8"/>
    <w:rsid w:val="001442EA"/>
    <w:rsid w:val="00144594"/>
    <w:rsid w:val="00144825"/>
    <w:rsid w:val="00144D69"/>
    <w:rsid w:val="00144E04"/>
    <w:rsid w:val="00145633"/>
    <w:rsid w:val="0014564F"/>
    <w:rsid w:val="00145847"/>
    <w:rsid w:val="00145906"/>
    <w:rsid w:val="00145A25"/>
    <w:rsid w:val="0014600D"/>
    <w:rsid w:val="0014684F"/>
    <w:rsid w:val="001468BC"/>
    <w:rsid w:val="0014697A"/>
    <w:rsid w:val="00146CC4"/>
    <w:rsid w:val="00146CE6"/>
    <w:rsid w:val="00146D64"/>
    <w:rsid w:val="00146D6B"/>
    <w:rsid w:val="00146DD1"/>
    <w:rsid w:val="00146E94"/>
    <w:rsid w:val="001470FB"/>
    <w:rsid w:val="001472F5"/>
    <w:rsid w:val="001476A1"/>
    <w:rsid w:val="001477D7"/>
    <w:rsid w:val="001479D8"/>
    <w:rsid w:val="001479F3"/>
    <w:rsid w:val="00147D5A"/>
    <w:rsid w:val="00147D94"/>
    <w:rsid w:val="0015002F"/>
    <w:rsid w:val="001500FB"/>
    <w:rsid w:val="001505C8"/>
    <w:rsid w:val="00150697"/>
    <w:rsid w:val="001507B1"/>
    <w:rsid w:val="001508D5"/>
    <w:rsid w:val="001509A3"/>
    <w:rsid w:val="00150BA6"/>
    <w:rsid w:val="001511B8"/>
    <w:rsid w:val="001512D1"/>
    <w:rsid w:val="00151381"/>
    <w:rsid w:val="0015148A"/>
    <w:rsid w:val="001514BF"/>
    <w:rsid w:val="00151CB8"/>
    <w:rsid w:val="00151D84"/>
    <w:rsid w:val="001521D3"/>
    <w:rsid w:val="00152363"/>
    <w:rsid w:val="0015251C"/>
    <w:rsid w:val="00152649"/>
    <w:rsid w:val="001526B0"/>
    <w:rsid w:val="001528FE"/>
    <w:rsid w:val="00152903"/>
    <w:rsid w:val="00152A9D"/>
    <w:rsid w:val="00152CE9"/>
    <w:rsid w:val="00152D73"/>
    <w:rsid w:val="00152EE5"/>
    <w:rsid w:val="00153025"/>
    <w:rsid w:val="00153369"/>
    <w:rsid w:val="0015336D"/>
    <w:rsid w:val="00153590"/>
    <w:rsid w:val="00153955"/>
    <w:rsid w:val="001539B2"/>
    <w:rsid w:val="00153D9B"/>
    <w:rsid w:val="00153FC3"/>
    <w:rsid w:val="00153FD5"/>
    <w:rsid w:val="00153FDE"/>
    <w:rsid w:val="001541BA"/>
    <w:rsid w:val="001541E9"/>
    <w:rsid w:val="0015431C"/>
    <w:rsid w:val="0015431D"/>
    <w:rsid w:val="001543BC"/>
    <w:rsid w:val="00154C6C"/>
    <w:rsid w:val="00154E27"/>
    <w:rsid w:val="001554F9"/>
    <w:rsid w:val="001557DF"/>
    <w:rsid w:val="00155B17"/>
    <w:rsid w:val="00155CA4"/>
    <w:rsid w:val="00155D54"/>
    <w:rsid w:val="00155F12"/>
    <w:rsid w:val="0015614F"/>
    <w:rsid w:val="00156390"/>
    <w:rsid w:val="00156432"/>
    <w:rsid w:val="0015667A"/>
    <w:rsid w:val="00156B0C"/>
    <w:rsid w:val="00156E19"/>
    <w:rsid w:val="00156E60"/>
    <w:rsid w:val="00156EDA"/>
    <w:rsid w:val="00156F41"/>
    <w:rsid w:val="00157105"/>
    <w:rsid w:val="00157227"/>
    <w:rsid w:val="00157502"/>
    <w:rsid w:val="00157680"/>
    <w:rsid w:val="001577C2"/>
    <w:rsid w:val="00157813"/>
    <w:rsid w:val="00157997"/>
    <w:rsid w:val="00157B8E"/>
    <w:rsid w:val="00157D02"/>
    <w:rsid w:val="00157F57"/>
    <w:rsid w:val="00160062"/>
    <w:rsid w:val="001601FD"/>
    <w:rsid w:val="00160503"/>
    <w:rsid w:val="001608C4"/>
    <w:rsid w:val="00160909"/>
    <w:rsid w:val="00160AEC"/>
    <w:rsid w:val="00160D6B"/>
    <w:rsid w:val="00160E29"/>
    <w:rsid w:val="00160F73"/>
    <w:rsid w:val="00161218"/>
    <w:rsid w:val="00161550"/>
    <w:rsid w:val="00161796"/>
    <w:rsid w:val="001618B0"/>
    <w:rsid w:val="00161A37"/>
    <w:rsid w:val="00161A3D"/>
    <w:rsid w:val="00161A48"/>
    <w:rsid w:val="00161B51"/>
    <w:rsid w:val="00161BB6"/>
    <w:rsid w:val="00162111"/>
    <w:rsid w:val="001624D3"/>
    <w:rsid w:val="00162672"/>
    <w:rsid w:val="00162896"/>
    <w:rsid w:val="00162EE4"/>
    <w:rsid w:val="00162F46"/>
    <w:rsid w:val="0016306C"/>
    <w:rsid w:val="00163331"/>
    <w:rsid w:val="0016333B"/>
    <w:rsid w:val="001633C4"/>
    <w:rsid w:val="0016360A"/>
    <w:rsid w:val="00163636"/>
    <w:rsid w:val="00163829"/>
    <w:rsid w:val="001638F6"/>
    <w:rsid w:val="00163B5A"/>
    <w:rsid w:val="00163CF8"/>
    <w:rsid w:val="00164061"/>
    <w:rsid w:val="00164176"/>
    <w:rsid w:val="0016428E"/>
    <w:rsid w:val="00164798"/>
    <w:rsid w:val="001647A2"/>
    <w:rsid w:val="001647C0"/>
    <w:rsid w:val="0016493B"/>
    <w:rsid w:val="0016496A"/>
    <w:rsid w:val="00164B26"/>
    <w:rsid w:val="00164B95"/>
    <w:rsid w:val="00164D2C"/>
    <w:rsid w:val="00164F90"/>
    <w:rsid w:val="001656D3"/>
    <w:rsid w:val="0016578D"/>
    <w:rsid w:val="001657BA"/>
    <w:rsid w:val="00165815"/>
    <w:rsid w:val="001658AD"/>
    <w:rsid w:val="001658B0"/>
    <w:rsid w:val="001661F9"/>
    <w:rsid w:val="001662C7"/>
    <w:rsid w:val="00166400"/>
    <w:rsid w:val="00166480"/>
    <w:rsid w:val="00166633"/>
    <w:rsid w:val="0016678B"/>
    <w:rsid w:val="0016685D"/>
    <w:rsid w:val="00166A86"/>
    <w:rsid w:val="00166CE9"/>
    <w:rsid w:val="00166D5D"/>
    <w:rsid w:val="00167A22"/>
    <w:rsid w:val="00167A44"/>
    <w:rsid w:val="00167AC6"/>
    <w:rsid w:val="0016E6DC"/>
    <w:rsid w:val="001704D5"/>
    <w:rsid w:val="001708E4"/>
    <w:rsid w:val="00170ADB"/>
    <w:rsid w:val="00171053"/>
    <w:rsid w:val="00171591"/>
    <w:rsid w:val="00171699"/>
    <w:rsid w:val="00171838"/>
    <w:rsid w:val="00171856"/>
    <w:rsid w:val="00171A2C"/>
    <w:rsid w:val="00171D7F"/>
    <w:rsid w:val="00171E0D"/>
    <w:rsid w:val="00172457"/>
    <w:rsid w:val="001725F5"/>
    <w:rsid w:val="0017289A"/>
    <w:rsid w:val="00172A1C"/>
    <w:rsid w:val="00172CAA"/>
    <w:rsid w:val="00172E85"/>
    <w:rsid w:val="00173371"/>
    <w:rsid w:val="00173689"/>
    <w:rsid w:val="0017371C"/>
    <w:rsid w:val="00173930"/>
    <w:rsid w:val="00173981"/>
    <w:rsid w:val="001739E4"/>
    <w:rsid w:val="00173B11"/>
    <w:rsid w:val="00173B4D"/>
    <w:rsid w:val="00173F4E"/>
    <w:rsid w:val="00173FAB"/>
    <w:rsid w:val="00174351"/>
    <w:rsid w:val="00174436"/>
    <w:rsid w:val="001747BC"/>
    <w:rsid w:val="0017482E"/>
    <w:rsid w:val="00174947"/>
    <w:rsid w:val="00174AA5"/>
    <w:rsid w:val="00174E34"/>
    <w:rsid w:val="001751D0"/>
    <w:rsid w:val="001753A7"/>
    <w:rsid w:val="001754C9"/>
    <w:rsid w:val="0017559C"/>
    <w:rsid w:val="00175679"/>
    <w:rsid w:val="001756B1"/>
    <w:rsid w:val="0017586C"/>
    <w:rsid w:val="00175A83"/>
    <w:rsid w:val="00175D76"/>
    <w:rsid w:val="00175F2C"/>
    <w:rsid w:val="001760D4"/>
    <w:rsid w:val="00176356"/>
    <w:rsid w:val="00176567"/>
    <w:rsid w:val="00176625"/>
    <w:rsid w:val="001767BE"/>
    <w:rsid w:val="001768EE"/>
    <w:rsid w:val="00176ABC"/>
    <w:rsid w:val="00176E03"/>
    <w:rsid w:val="00176E4F"/>
    <w:rsid w:val="00176E97"/>
    <w:rsid w:val="0017719D"/>
    <w:rsid w:val="00177280"/>
    <w:rsid w:val="00177456"/>
    <w:rsid w:val="00177487"/>
    <w:rsid w:val="001774A0"/>
    <w:rsid w:val="001775BE"/>
    <w:rsid w:val="00177690"/>
    <w:rsid w:val="00177815"/>
    <w:rsid w:val="00177986"/>
    <w:rsid w:val="00177BFA"/>
    <w:rsid w:val="00177D27"/>
    <w:rsid w:val="00177F67"/>
    <w:rsid w:val="00180299"/>
    <w:rsid w:val="0018039B"/>
    <w:rsid w:val="00180C84"/>
    <w:rsid w:val="00180FC1"/>
    <w:rsid w:val="00181347"/>
    <w:rsid w:val="00181772"/>
    <w:rsid w:val="0018212D"/>
    <w:rsid w:val="00182191"/>
    <w:rsid w:val="0018258F"/>
    <w:rsid w:val="00182705"/>
    <w:rsid w:val="00182AF4"/>
    <w:rsid w:val="00182C2C"/>
    <w:rsid w:val="00182DB0"/>
    <w:rsid w:val="00182DE5"/>
    <w:rsid w:val="001832B6"/>
    <w:rsid w:val="001832FA"/>
    <w:rsid w:val="00183734"/>
    <w:rsid w:val="00183DD7"/>
    <w:rsid w:val="00183E7A"/>
    <w:rsid w:val="00183F07"/>
    <w:rsid w:val="00183FD7"/>
    <w:rsid w:val="00184055"/>
    <w:rsid w:val="001844EE"/>
    <w:rsid w:val="0018489A"/>
    <w:rsid w:val="00184C30"/>
    <w:rsid w:val="0018501C"/>
    <w:rsid w:val="0018509E"/>
    <w:rsid w:val="0018524C"/>
    <w:rsid w:val="0018544E"/>
    <w:rsid w:val="001855BA"/>
    <w:rsid w:val="001855EE"/>
    <w:rsid w:val="001856B7"/>
    <w:rsid w:val="00185979"/>
    <w:rsid w:val="00185C80"/>
    <w:rsid w:val="00185CAB"/>
    <w:rsid w:val="00185CEF"/>
    <w:rsid w:val="00185E3B"/>
    <w:rsid w:val="00185F22"/>
    <w:rsid w:val="00186124"/>
    <w:rsid w:val="0018622E"/>
    <w:rsid w:val="001865F0"/>
    <w:rsid w:val="0018660E"/>
    <w:rsid w:val="00186714"/>
    <w:rsid w:val="00186761"/>
    <w:rsid w:val="00186780"/>
    <w:rsid w:val="00186851"/>
    <w:rsid w:val="001868A7"/>
    <w:rsid w:val="00186AC8"/>
    <w:rsid w:val="00186C3C"/>
    <w:rsid w:val="00186C5A"/>
    <w:rsid w:val="001870CC"/>
    <w:rsid w:val="00187385"/>
    <w:rsid w:val="001874B0"/>
    <w:rsid w:val="001875A6"/>
    <w:rsid w:val="001875B7"/>
    <w:rsid w:val="00187755"/>
    <w:rsid w:val="0018794E"/>
    <w:rsid w:val="00187BD7"/>
    <w:rsid w:val="00187CB3"/>
    <w:rsid w:val="00187DFB"/>
    <w:rsid w:val="00187EE0"/>
    <w:rsid w:val="0019050A"/>
    <w:rsid w:val="00190694"/>
    <w:rsid w:val="001906D8"/>
    <w:rsid w:val="001906F8"/>
    <w:rsid w:val="001909C0"/>
    <w:rsid w:val="00190AD3"/>
    <w:rsid w:val="00190B5E"/>
    <w:rsid w:val="00190CD9"/>
    <w:rsid w:val="00190D98"/>
    <w:rsid w:val="001910D4"/>
    <w:rsid w:val="00191179"/>
    <w:rsid w:val="001911E0"/>
    <w:rsid w:val="0019136E"/>
    <w:rsid w:val="001913B1"/>
    <w:rsid w:val="0019149E"/>
    <w:rsid w:val="001914A6"/>
    <w:rsid w:val="0019176C"/>
    <w:rsid w:val="00191961"/>
    <w:rsid w:val="00191CCD"/>
    <w:rsid w:val="00191D9B"/>
    <w:rsid w:val="00191E51"/>
    <w:rsid w:val="00191EF3"/>
    <w:rsid w:val="00192445"/>
    <w:rsid w:val="001925FC"/>
    <w:rsid w:val="00192609"/>
    <w:rsid w:val="00192647"/>
    <w:rsid w:val="00192AD9"/>
    <w:rsid w:val="00192CCE"/>
    <w:rsid w:val="00192D05"/>
    <w:rsid w:val="001933BA"/>
    <w:rsid w:val="00193472"/>
    <w:rsid w:val="00193691"/>
    <w:rsid w:val="00193EDB"/>
    <w:rsid w:val="00193F25"/>
    <w:rsid w:val="00194185"/>
    <w:rsid w:val="00194687"/>
    <w:rsid w:val="001949E6"/>
    <w:rsid w:val="00194B8F"/>
    <w:rsid w:val="00194C59"/>
    <w:rsid w:val="00194DD4"/>
    <w:rsid w:val="00195218"/>
    <w:rsid w:val="001956AC"/>
    <w:rsid w:val="00195755"/>
    <w:rsid w:val="00195A71"/>
    <w:rsid w:val="001963C0"/>
    <w:rsid w:val="001963E0"/>
    <w:rsid w:val="0019648B"/>
    <w:rsid w:val="001964E0"/>
    <w:rsid w:val="00196BFC"/>
    <w:rsid w:val="00196D3F"/>
    <w:rsid w:val="00196FDA"/>
    <w:rsid w:val="001973D2"/>
    <w:rsid w:val="0019758B"/>
    <w:rsid w:val="0019766A"/>
    <w:rsid w:val="00197699"/>
    <w:rsid w:val="001976E3"/>
    <w:rsid w:val="001977E8"/>
    <w:rsid w:val="00197DF0"/>
    <w:rsid w:val="00197DFB"/>
    <w:rsid w:val="001A005C"/>
    <w:rsid w:val="001A03CC"/>
    <w:rsid w:val="001A06A9"/>
    <w:rsid w:val="001A07C7"/>
    <w:rsid w:val="001A093E"/>
    <w:rsid w:val="001A0CA3"/>
    <w:rsid w:val="001A0D0F"/>
    <w:rsid w:val="001A17CC"/>
    <w:rsid w:val="001A17CE"/>
    <w:rsid w:val="001A17D2"/>
    <w:rsid w:val="001A1CF5"/>
    <w:rsid w:val="001A1EC2"/>
    <w:rsid w:val="001A2199"/>
    <w:rsid w:val="001A227F"/>
    <w:rsid w:val="001A22DB"/>
    <w:rsid w:val="001A248B"/>
    <w:rsid w:val="001A2A59"/>
    <w:rsid w:val="001A2CF8"/>
    <w:rsid w:val="001A2EFF"/>
    <w:rsid w:val="001A317B"/>
    <w:rsid w:val="001A3270"/>
    <w:rsid w:val="001A37BF"/>
    <w:rsid w:val="001A3C6C"/>
    <w:rsid w:val="001A3CDA"/>
    <w:rsid w:val="001A3E03"/>
    <w:rsid w:val="001A44EC"/>
    <w:rsid w:val="001A4574"/>
    <w:rsid w:val="001A4625"/>
    <w:rsid w:val="001A4727"/>
    <w:rsid w:val="001A487B"/>
    <w:rsid w:val="001A48BA"/>
    <w:rsid w:val="001A49A3"/>
    <w:rsid w:val="001A4C59"/>
    <w:rsid w:val="001A4F46"/>
    <w:rsid w:val="001A5159"/>
    <w:rsid w:val="001A5564"/>
    <w:rsid w:val="001A589D"/>
    <w:rsid w:val="001A5DD5"/>
    <w:rsid w:val="001A5ECF"/>
    <w:rsid w:val="001A62C0"/>
    <w:rsid w:val="001A632D"/>
    <w:rsid w:val="001A6486"/>
    <w:rsid w:val="001A65FB"/>
    <w:rsid w:val="001A67C2"/>
    <w:rsid w:val="001A6B2E"/>
    <w:rsid w:val="001A6BC9"/>
    <w:rsid w:val="001A6EB0"/>
    <w:rsid w:val="001A72BE"/>
    <w:rsid w:val="001A7A65"/>
    <w:rsid w:val="001A7C5E"/>
    <w:rsid w:val="001B00BE"/>
    <w:rsid w:val="001B02E5"/>
    <w:rsid w:val="001B0395"/>
    <w:rsid w:val="001B0A32"/>
    <w:rsid w:val="001B0B78"/>
    <w:rsid w:val="001B0CD4"/>
    <w:rsid w:val="001B105D"/>
    <w:rsid w:val="001B144B"/>
    <w:rsid w:val="001B1508"/>
    <w:rsid w:val="001B1CFE"/>
    <w:rsid w:val="001B1D16"/>
    <w:rsid w:val="001B1E6A"/>
    <w:rsid w:val="001B207B"/>
    <w:rsid w:val="001B2098"/>
    <w:rsid w:val="001B2124"/>
    <w:rsid w:val="001B2177"/>
    <w:rsid w:val="001B233D"/>
    <w:rsid w:val="001B24A6"/>
    <w:rsid w:val="001B276D"/>
    <w:rsid w:val="001B27E4"/>
    <w:rsid w:val="001B2853"/>
    <w:rsid w:val="001B2990"/>
    <w:rsid w:val="001B2DDA"/>
    <w:rsid w:val="001B312C"/>
    <w:rsid w:val="001B3867"/>
    <w:rsid w:val="001B3C44"/>
    <w:rsid w:val="001B3D56"/>
    <w:rsid w:val="001B3F23"/>
    <w:rsid w:val="001B3F82"/>
    <w:rsid w:val="001B4002"/>
    <w:rsid w:val="001B4069"/>
    <w:rsid w:val="001B4117"/>
    <w:rsid w:val="001B4304"/>
    <w:rsid w:val="001B4355"/>
    <w:rsid w:val="001B43E9"/>
    <w:rsid w:val="001B45B7"/>
    <w:rsid w:val="001B4770"/>
    <w:rsid w:val="001B4C0F"/>
    <w:rsid w:val="001B5097"/>
    <w:rsid w:val="001B5425"/>
    <w:rsid w:val="001B547B"/>
    <w:rsid w:val="001B574C"/>
    <w:rsid w:val="001B58A7"/>
    <w:rsid w:val="001B58AA"/>
    <w:rsid w:val="001B591D"/>
    <w:rsid w:val="001B5CF2"/>
    <w:rsid w:val="001B5D84"/>
    <w:rsid w:val="001B6012"/>
    <w:rsid w:val="001B6C06"/>
    <w:rsid w:val="001B6F4A"/>
    <w:rsid w:val="001B70B1"/>
    <w:rsid w:val="001B7111"/>
    <w:rsid w:val="001B7231"/>
    <w:rsid w:val="001B725C"/>
    <w:rsid w:val="001B73C3"/>
    <w:rsid w:val="001B7423"/>
    <w:rsid w:val="001B76A3"/>
    <w:rsid w:val="001B7857"/>
    <w:rsid w:val="001B7A1A"/>
    <w:rsid w:val="001B7C50"/>
    <w:rsid w:val="001B7E48"/>
    <w:rsid w:val="001C01FD"/>
    <w:rsid w:val="001C02F2"/>
    <w:rsid w:val="001C037E"/>
    <w:rsid w:val="001C0F25"/>
    <w:rsid w:val="001C0F54"/>
    <w:rsid w:val="001C1573"/>
    <w:rsid w:val="001C17CE"/>
    <w:rsid w:val="001C1A51"/>
    <w:rsid w:val="001C1A59"/>
    <w:rsid w:val="001C1FA1"/>
    <w:rsid w:val="001C21FC"/>
    <w:rsid w:val="001C23E0"/>
    <w:rsid w:val="001C264E"/>
    <w:rsid w:val="001C2B2C"/>
    <w:rsid w:val="001C2CFB"/>
    <w:rsid w:val="001C2DDA"/>
    <w:rsid w:val="001C2E40"/>
    <w:rsid w:val="001C2EF9"/>
    <w:rsid w:val="001C3036"/>
    <w:rsid w:val="001C309E"/>
    <w:rsid w:val="001C31E7"/>
    <w:rsid w:val="001C3433"/>
    <w:rsid w:val="001C36CA"/>
    <w:rsid w:val="001C3D0A"/>
    <w:rsid w:val="001C3FE2"/>
    <w:rsid w:val="001C432D"/>
    <w:rsid w:val="001C44D1"/>
    <w:rsid w:val="001C457B"/>
    <w:rsid w:val="001C46C5"/>
    <w:rsid w:val="001C4A23"/>
    <w:rsid w:val="001C4A72"/>
    <w:rsid w:val="001C4AB6"/>
    <w:rsid w:val="001C4B2D"/>
    <w:rsid w:val="001C4CF7"/>
    <w:rsid w:val="001C4EFF"/>
    <w:rsid w:val="001C54C2"/>
    <w:rsid w:val="001C569C"/>
    <w:rsid w:val="001C56B2"/>
    <w:rsid w:val="001C5954"/>
    <w:rsid w:val="001C60C4"/>
    <w:rsid w:val="001C610B"/>
    <w:rsid w:val="001C6130"/>
    <w:rsid w:val="001C63E6"/>
    <w:rsid w:val="001C654C"/>
    <w:rsid w:val="001C663D"/>
    <w:rsid w:val="001C664D"/>
    <w:rsid w:val="001C67B5"/>
    <w:rsid w:val="001C6AEE"/>
    <w:rsid w:val="001C6C5D"/>
    <w:rsid w:val="001C6D60"/>
    <w:rsid w:val="001C71C7"/>
    <w:rsid w:val="001C75B5"/>
    <w:rsid w:val="001C7630"/>
    <w:rsid w:val="001C78C0"/>
    <w:rsid w:val="001C7998"/>
    <w:rsid w:val="001C7A10"/>
    <w:rsid w:val="001C7E87"/>
    <w:rsid w:val="001C7E98"/>
    <w:rsid w:val="001D000B"/>
    <w:rsid w:val="001D028B"/>
    <w:rsid w:val="001D02D7"/>
    <w:rsid w:val="001D032C"/>
    <w:rsid w:val="001D07B1"/>
    <w:rsid w:val="001D07D8"/>
    <w:rsid w:val="001D0889"/>
    <w:rsid w:val="001D09F0"/>
    <w:rsid w:val="001D1293"/>
    <w:rsid w:val="001D1314"/>
    <w:rsid w:val="001D1A09"/>
    <w:rsid w:val="001D1B55"/>
    <w:rsid w:val="001D1CBC"/>
    <w:rsid w:val="001D1E8B"/>
    <w:rsid w:val="001D2080"/>
    <w:rsid w:val="001D2973"/>
    <w:rsid w:val="001D29D3"/>
    <w:rsid w:val="001D29E6"/>
    <w:rsid w:val="001D2A37"/>
    <w:rsid w:val="001D2BDE"/>
    <w:rsid w:val="001D2BF2"/>
    <w:rsid w:val="001D2EA5"/>
    <w:rsid w:val="001D2EEA"/>
    <w:rsid w:val="001D2F4D"/>
    <w:rsid w:val="001D2F8C"/>
    <w:rsid w:val="001D2FEA"/>
    <w:rsid w:val="001D300A"/>
    <w:rsid w:val="001D30EF"/>
    <w:rsid w:val="001D3109"/>
    <w:rsid w:val="001D31CD"/>
    <w:rsid w:val="001D31D1"/>
    <w:rsid w:val="001D364A"/>
    <w:rsid w:val="001D3952"/>
    <w:rsid w:val="001D40A9"/>
    <w:rsid w:val="001D40DD"/>
    <w:rsid w:val="001D4154"/>
    <w:rsid w:val="001D4372"/>
    <w:rsid w:val="001D43EB"/>
    <w:rsid w:val="001D448D"/>
    <w:rsid w:val="001D489A"/>
    <w:rsid w:val="001D48FB"/>
    <w:rsid w:val="001D4AA9"/>
    <w:rsid w:val="001D4BDB"/>
    <w:rsid w:val="001D4D96"/>
    <w:rsid w:val="001D55C2"/>
    <w:rsid w:val="001D568B"/>
    <w:rsid w:val="001D5C91"/>
    <w:rsid w:val="001D5C9C"/>
    <w:rsid w:val="001D5E2D"/>
    <w:rsid w:val="001D6191"/>
    <w:rsid w:val="001D6310"/>
    <w:rsid w:val="001D63DF"/>
    <w:rsid w:val="001D65C4"/>
    <w:rsid w:val="001D6999"/>
    <w:rsid w:val="001D6AE3"/>
    <w:rsid w:val="001D6C23"/>
    <w:rsid w:val="001D6C8F"/>
    <w:rsid w:val="001D6D15"/>
    <w:rsid w:val="001D7392"/>
    <w:rsid w:val="001D74F1"/>
    <w:rsid w:val="001D7861"/>
    <w:rsid w:val="001D7962"/>
    <w:rsid w:val="001D79BF"/>
    <w:rsid w:val="001D7AAA"/>
    <w:rsid w:val="001D7D7E"/>
    <w:rsid w:val="001E0037"/>
    <w:rsid w:val="001E0615"/>
    <w:rsid w:val="001E0648"/>
    <w:rsid w:val="001E072F"/>
    <w:rsid w:val="001E0BDC"/>
    <w:rsid w:val="001E0ECF"/>
    <w:rsid w:val="001E124A"/>
    <w:rsid w:val="001E169B"/>
    <w:rsid w:val="001E18BE"/>
    <w:rsid w:val="001E1A17"/>
    <w:rsid w:val="001E1B1B"/>
    <w:rsid w:val="001E1C91"/>
    <w:rsid w:val="001E1CB3"/>
    <w:rsid w:val="001E1EA3"/>
    <w:rsid w:val="001E2094"/>
    <w:rsid w:val="001E29D6"/>
    <w:rsid w:val="001E2AF9"/>
    <w:rsid w:val="001E2D9A"/>
    <w:rsid w:val="001E304D"/>
    <w:rsid w:val="001E30D0"/>
    <w:rsid w:val="001E3807"/>
    <w:rsid w:val="001E3929"/>
    <w:rsid w:val="001E3B1E"/>
    <w:rsid w:val="001E3F52"/>
    <w:rsid w:val="001E43C5"/>
    <w:rsid w:val="001E44B4"/>
    <w:rsid w:val="001E454A"/>
    <w:rsid w:val="001E4593"/>
    <w:rsid w:val="001E45D6"/>
    <w:rsid w:val="001E47C9"/>
    <w:rsid w:val="001E48CB"/>
    <w:rsid w:val="001E4925"/>
    <w:rsid w:val="001E499E"/>
    <w:rsid w:val="001E4DB6"/>
    <w:rsid w:val="001E4E0A"/>
    <w:rsid w:val="001E4FAC"/>
    <w:rsid w:val="001E4FE6"/>
    <w:rsid w:val="001E512C"/>
    <w:rsid w:val="001E5335"/>
    <w:rsid w:val="001E54C2"/>
    <w:rsid w:val="001E5B74"/>
    <w:rsid w:val="001E5B90"/>
    <w:rsid w:val="001E5C1B"/>
    <w:rsid w:val="001E5C2C"/>
    <w:rsid w:val="001E5E03"/>
    <w:rsid w:val="001E5FD5"/>
    <w:rsid w:val="001E6002"/>
    <w:rsid w:val="001E6177"/>
    <w:rsid w:val="001E6490"/>
    <w:rsid w:val="001E670C"/>
    <w:rsid w:val="001E6D2A"/>
    <w:rsid w:val="001E6D78"/>
    <w:rsid w:val="001E6ED0"/>
    <w:rsid w:val="001E7191"/>
    <w:rsid w:val="001E71BC"/>
    <w:rsid w:val="001E742E"/>
    <w:rsid w:val="001E742F"/>
    <w:rsid w:val="001E7574"/>
    <w:rsid w:val="001E77B6"/>
    <w:rsid w:val="001E77DF"/>
    <w:rsid w:val="001E7D5A"/>
    <w:rsid w:val="001F01F7"/>
    <w:rsid w:val="001F02C5"/>
    <w:rsid w:val="001F0469"/>
    <w:rsid w:val="001F050B"/>
    <w:rsid w:val="001F0A25"/>
    <w:rsid w:val="001F0B38"/>
    <w:rsid w:val="001F0B5F"/>
    <w:rsid w:val="001F1027"/>
    <w:rsid w:val="001F1214"/>
    <w:rsid w:val="001F1260"/>
    <w:rsid w:val="001F1881"/>
    <w:rsid w:val="001F19C8"/>
    <w:rsid w:val="001F1CD4"/>
    <w:rsid w:val="001F1F88"/>
    <w:rsid w:val="001F23EC"/>
    <w:rsid w:val="001F253F"/>
    <w:rsid w:val="001F2782"/>
    <w:rsid w:val="001F2EC2"/>
    <w:rsid w:val="001F33E6"/>
    <w:rsid w:val="001F3A27"/>
    <w:rsid w:val="001F3A6B"/>
    <w:rsid w:val="001F3A70"/>
    <w:rsid w:val="001F3CBE"/>
    <w:rsid w:val="001F4078"/>
    <w:rsid w:val="001F4116"/>
    <w:rsid w:val="001F43D0"/>
    <w:rsid w:val="001F43D8"/>
    <w:rsid w:val="001F4792"/>
    <w:rsid w:val="001F4972"/>
    <w:rsid w:val="001F4D62"/>
    <w:rsid w:val="001F4E93"/>
    <w:rsid w:val="001F50CC"/>
    <w:rsid w:val="001F50F7"/>
    <w:rsid w:val="001F522D"/>
    <w:rsid w:val="001F5473"/>
    <w:rsid w:val="001F554C"/>
    <w:rsid w:val="001F565A"/>
    <w:rsid w:val="001F5F7D"/>
    <w:rsid w:val="001F6427"/>
    <w:rsid w:val="001F67D7"/>
    <w:rsid w:val="001F680D"/>
    <w:rsid w:val="001F6DB0"/>
    <w:rsid w:val="001F6EF7"/>
    <w:rsid w:val="001F7070"/>
    <w:rsid w:val="001F714E"/>
    <w:rsid w:val="001F71D8"/>
    <w:rsid w:val="001F7558"/>
    <w:rsid w:val="001F7629"/>
    <w:rsid w:val="001F76BC"/>
    <w:rsid w:val="001F76D4"/>
    <w:rsid w:val="001F77A5"/>
    <w:rsid w:val="001F7C49"/>
    <w:rsid w:val="001F7EA9"/>
    <w:rsid w:val="0020009D"/>
    <w:rsid w:val="002002C4"/>
    <w:rsid w:val="00200AE0"/>
    <w:rsid w:val="00200B4D"/>
    <w:rsid w:val="00200BB9"/>
    <w:rsid w:val="00200BD0"/>
    <w:rsid w:val="002010A5"/>
    <w:rsid w:val="002010BF"/>
    <w:rsid w:val="00201484"/>
    <w:rsid w:val="002015B7"/>
    <w:rsid w:val="002017D3"/>
    <w:rsid w:val="0020196E"/>
    <w:rsid w:val="00201E25"/>
    <w:rsid w:val="00201EE2"/>
    <w:rsid w:val="002021DA"/>
    <w:rsid w:val="0020241B"/>
    <w:rsid w:val="0020265B"/>
    <w:rsid w:val="00202B6F"/>
    <w:rsid w:val="002035C6"/>
    <w:rsid w:val="002039CD"/>
    <w:rsid w:val="00203AA1"/>
    <w:rsid w:val="00203AB4"/>
    <w:rsid w:val="00203B8E"/>
    <w:rsid w:val="00203C10"/>
    <w:rsid w:val="00203C94"/>
    <w:rsid w:val="00203FFD"/>
    <w:rsid w:val="00204114"/>
    <w:rsid w:val="002045A4"/>
    <w:rsid w:val="00204746"/>
    <w:rsid w:val="00204934"/>
    <w:rsid w:val="00204AE4"/>
    <w:rsid w:val="00204B7E"/>
    <w:rsid w:val="00204BBC"/>
    <w:rsid w:val="00204C91"/>
    <w:rsid w:val="00205836"/>
    <w:rsid w:val="002059EE"/>
    <w:rsid w:val="00205B57"/>
    <w:rsid w:val="00205BA1"/>
    <w:rsid w:val="0020611D"/>
    <w:rsid w:val="00206135"/>
    <w:rsid w:val="00206397"/>
    <w:rsid w:val="00206813"/>
    <w:rsid w:val="00206974"/>
    <w:rsid w:val="00206D6E"/>
    <w:rsid w:val="00206E58"/>
    <w:rsid w:val="002075F7"/>
    <w:rsid w:val="0020766A"/>
    <w:rsid w:val="00207732"/>
    <w:rsid w:val="00207995"/>
    <w:rsid w:val="00207BB1"/>
    <w:rsid w:val="00207F16"/>
    <w:rsid w:val="002100A2"/>
    <w:rsid w:val="0021023A"/>
    <w:rsid w:val="00210441"/>
    <w:rsid w:val="002105DB"/>
    <w:rsid w:val="00210620"/>
    <w:rsid w:val="00210660"/>
    <w:rsid w:val="00210773"/>
    <w:rsid w:val="002108C4"/>
    <w:rsid w:val="00210C4B"/>
    <w:rsid w:val="00210D33"/>
    <w:rsid w:val="00210D78"/>
    <w:rsid w:val="00210E05"/>
    <w:rsid w:val="00210E83"/>
    <w:rsid w:val="002110DC"/>
    <w:rsid w:val="002111B5"/>
    <w:rsid w:val="002116CF"/>
    <w:rsid w:val="00211797"/>
    <w:rsid w:val="0021197B"/>
    <w:rsid w:val="00211A51"/>
    <w:rsid w:val="00211A81"/>
    <w:rsid w:val="00211B1B"/>
    <w:rsid w:val="00211B40"/>
    <w:rsid w:val="00211C1A"/>
    <w:rsid w:val="00211CF9"/>
    <w:rsid w:val="00211E14"/>
    <w:rsid w:val="0021200F"/>
    <w:rsid w:val="00212114"/>
    <w:rsid w:val="0021263A"/>
    <w:rsid w:val="00212724"/>
    <w:rsid w:val="002129A6"/>
    <w:rsid w:val="00212CC5"/>
    <w:rsid w:val="00212DDE"/>
    <w:rsid w:val="0021300B"/>
    <w:rsid w:val="00213518"/>
    <w:rsid w:val="00213560"/>
    <w:rsid w:val="002137EA"/>
    <w:rsid w:val="00213AB9"/>
    <w:rsid w:val="00213C8E"/>
    <w:rsid w:val="00213D79"/>
    <w:rsid w:val="00213FD2"/>
    <w:rsid w:val="0021426C"/>
    <w:rsid w:val="00214790"/>
    <w:rsid w:val="00214802"/>
    <w:rsid w:val="00214C81"/>
    <w:rsid w:val="00214CF7"/>
    <w:rsid w:val="002151D1"/>
    <w:rsid w:val="00215253"/>
    <w:rsid w:val="00215339"/>
    <w:rsid w:val="0021552E"/>
    <w:rsid w:val="002155FB"/>
    <w:rsid w:val="00215638"/>
    <w:rsid w:val="002157E0"/>
    <w:rsid w:val="002158C7"/>
    <w:rsid w:val="00215C07"/>
    <w:rsid w:val="00216047"/>
    <w:rsid w:val="0021624B"/>
    <w:rsid w:val="0021641E"/>
    <w:rsid w:val="00216487"/>
    <w:rsid w:val="0021669D"/>
    <w:rsid w:val="00216A57"/>
    <w:rsid w:val="00216C6D"/>
    <w:rsid w:val="00216CB8"/>
    <w:rsid w:val="00216D6D"/>
    <w:rsid w:val="00216D79"/>
    <w:rsid w:val="00216EA4"/>
    <w:rsid w:val="00217193"/>
    <w:rsid w:val="00217195"/>
    <w:rsid w:val="00217216"/>
    <w:rsid w:val="00217448"/>
    <w:rsid w:val="0021797B"/>
    <w:rsid w:val="00217ADD"/>
    <w:rsid w:val="00217E19"/>
    <w:rsid w:val="00217EB1"/>
    <w:rsid w:val="00217EC9"/>
    <w:rsid w:val="0022020B"/>
    <w:rsid w:val="00220545"/>
    <w:rsid w:val="00220773"/>
    <w:rsid w:val="00220F6E"/>
    <w:rsid w:val="002210E3"/>
    <w:rsid w:val="00221229"/>
    <w:rsid w:val="00221249"/>
    <w:rsid w:val="0022129C"/>
    <w:rsid w:val="0022146E"/>
    <w:rsid w:val="0022165E"/>
    <w:rsid w:val="00221679"/>
    <w:rsid w:val="002216FB"/>
    <w:rsid w:val="002218F2"/>
    <w:rsid w:val="00221B4E"/>
    <w:rsid w:val="00221C50"/>
    <w:rsid w:val="00221DED"/>
    <w:rsid w:val="002222BA"/>
    <w:rsid w:val="0022263F"/>
    <w:rsid w:val="002226B5"/>
    <w:rsid w:val="0022288F"/>
    <w:rsid w:val="002228BC"/>
    <w:rsid w:val="00222C18"/>
    <w:rsid w:val="00222CFF"/>
    <w:rsid w:val="00222EA4"/>
    <w:rsid w:val="00223146"/>
    <w:rsid w:val="0022325E"/>
    <w:rsid w:val="0022334F"/>
    <w:rsid w:val="002233F3"/>
    <w:rsid w:val="00223427"/>
    <w:rsid w:val="002234C0"/>
    <w:rsid w:val="00223545"/>
    <w:rsid w:val="00223776"/>
    <w:rsid w:val="00223802"/>
    <w:rsid w:val="00223932"/>
    <w:rsid w:val="002239FE"/>
    <w:rsid w:val="00223C53"/>
    <w:rsid w:val="00223E49"/>
    <w:rsid w:val="002240D0"/>
    <w:rsid w:val="002240FB"/>
    <w:rsid w:val="0022417E"/>
    <w:rsid w:val="002242F5"/>
    <w:rsid w:val="002245B3"/>
    <w:rsid w:val="00224773"/>
    <w:rsid w:val="002247DC"/>
    <w:rsid w:val="00224A7E"/>
    <w:rsid w:val="00224C3D"/>
    <w:rsid w:val="0022513D"/>
    <w:rsid w:val="00225144"/>
    <w:rsid w:val="00225659"/>
    <w:rsid w:val="0022584A"/>
    <w:rsid w:val="002258C1"/>
    <w:rsid w:val="002258DE"/>
    <w:rsid w:val="00225A34"/>
    <w:rsid w:val="00225D25"/>
    <w:rsid w:val="00226101"/>
    <w:rsid w:val="002263C6"/>
    <w:rsid w:val="00226645"/>
    <w:rsid w:val="002266FB"/>
    <w:rsid w:val="00226705"/>
    <w:rsid w:val="00226819"/>
    <w:rsid w:val="00226AA7"/>
    <w:rsid w:val="00226D5F"/>
    <w:rsid w:val="00226D95"/>
    <w:rsid w:val="0022709D"/>
    <w:rsid w:val="00227273"/>
    <w:rsid w:val="0022763F"/>
    <w:rsid w:val="00227650"/>
    <w:rsid w:val="002279DA"/>
    <w:rsid w:val="00227ADB"/>
    <w:rsid w:val="00227F07"/>
    <w:rsid w:val="002304B9"/>
    <w:rsid w:val="00230762"/>
    <w:rsid w:val="00230BBF"/>
    <w:rsid w:val="00230C8D"/>
    <w:rsid w:val="00230F86"/>
    <w:rsid w:val="00230F8C"/>
    <w:rsid w:val="00231153"/>
    <w:rsid w:val="0023117D"/>
    <w:rsid w:val="0023120D"/>
    <w:rsid w:val="00231620"/>
    <w:rsid w:val="0023181F"/>
    <w:rsid w:val="00231DCA"/>
    <w:rsid w:val="00231F1B"/>
    <w:rsid w:val="00231FEF"/>
    <w:rsid w:val="00232144"/>
    <w:rsid w:val="002325B3"/>
    <w:rsid w:val="00232682"/>
    <w:rsid w:val="00232693"/>
    <w:rsid w:val="002326C7"/>
    <w:rsid w:val="002328ED"/>
    <w:rsid w:val="00232902"/>
    <w:rsid w:val="0023297F"/>
    <w:rsid w:val="00232B45"/>
    <w:rsid w:val="00232C51"/>
    <w:rsid w:val="00232F07"/>
    <w:rsid w:val="00232F31"/>
    <w:rsid w:val="00233101"/>
    <w:rsid w:val="0023313F"/>
    <w:rsid w:val="00233817"/>
    <w:rsid w:val="00233914"/>
    <w:rsid w:val="00233D6B"/>
    <w:rsid w:val="00233FF0"/>
    <w:rsid w:val="00234182"/>
    <w:rsid w:val="002341DF"/>
    <w:rsid w:val="002344A6"/>
    <w:rsid w:val="0023455C"/>
    <w:rsid w:val="00234717"/>
    <w:rsid w:val="002348D2"/>
    <w:rsid w:val="00234ABE"/>
    <w:rsid w:val="00234C63"/>
    <w:rsid w:val="0023534F"/>
    <w:rsid w:val="0023539A"/>
    <w:rsid w:val="00235439"/>
    <w:rsid w:val="0023562B"/>
    <w:rsid w:val="0023564A"/>
    <w:rsid w:val="00235942"/>
    <w:rsid w:val="00235999"/>
    <w:rsid w:val="00235A17"/>
    <w:rsid w:val="00235AAD"/>
    <w:rsid w:val="00235C07"/>
    <w:rsid w:val="00235C41"/>
    <w:rsid w:val="00235E56"/>
    <w:rsid w:val="00235EDD"/>
    <w:rsid w:val="00235FEF"/>
    <w:rsid w:val="00236218"/>
    <w:rsid w:val="0023628B"/>
    <w:rsid w:val="00236522"/>
    <w:rsid w:val="002366C3"/>
    <w:rsid w:val="002367FF"/>
    <w:rsid w:val="00236B35"/>
    <w:rsid w:val="002370ED"/>
    <w:rsid w:val="0023717F"/>
    <w:rsid w:val="0023771B"/>
    <w:rsid w:val="002378EE"/>
    <w:rsid w:val="00237D60"/>
    <w:rsid w:val="00237EEA"/>
    <w:rsid w:val="0024058A"/>
    <w:rsid w:val="00240CE9"/>
    <w:rsid w:val="0024106B"/>
    <w:rsid w:val="0024107C"/>
    <w:rsid w:val="0024133B"/>
    <w:rsid w:val="0024178C"/>
    <w:rsid w:val="0024185F"/>
    <w:rsid w:val="00241D96"/>
    <w:rsid w:val="00241F67"/>
    <w:rsid w:val="002425B1"/>
    <w:rsid w:val="00242A37"/>
    <w:rsid w:val="00242F6A"/>
    <w:rsid w:val="0024311D"/>
    <w:rsid w:val="00243130"/>
    <w:rsid w:val="00243301"/>
    <w:rsid w:val="00243363"/>
    <w:rsid w:val="002434BA"/>
    <w:rsid w:val="00243661"/>
    <w:rsid w:val="0024374E"/>
    <w:rsid w:val="00243D1D"/>
    <w:rsid w:val="00243D74"/>
    <w:rsid w:val="00243F5F"/>
    <w:rsid w:val="00244656"/>
    <w:rsid w:val="00244838"/>
    <w:rsid w:val="002449C1"/>
    <w:rsid w:val="00244AFB"/>
    <w:rsid w:val="00244CB9"/>
    <w:rsid w:val="00244D71"/>
    <w:rsid w:val="00245219"/>
    <w:rsid w:val="00245893"/>
    <w:rsid w:val="00245AA8"/>
    <w:rsid w:val="00245C4E"/>
    <w:rsid w:val="00245EE4"/>
    <w:rsid w:val="00245F23"/>
    <w:rsid w:val="00245FE5"/>
    <w:rsid w:val="00246089"/>
    <w:rsid w:val="00246093"/>
    <w:rsid w:val="0024629E"/>
    <w:rsid w:val="002463AE"/>
    <w:rsid w:val="00246702"/>
    <w:rsid w:val="00246BF1"/>
    <w:rsid w:val="00246C12"/>
    <w:rsid w:val="00246CFF"/>
    <w:rsid w:val="00246E1E"/>
    <w:rsid w:val="002474EC"/>
    <w:rsid w:val="002476BA"/>
    <w:rsid w:val="002476ED"/>
    <w:rsid w:val="00247880"/>
    <w:rsid w:val="00247A41"/>
    <w:rsid w:val="00247C59"/>
    <w:rsid w:val="00247F09"/>
    <w:rsid w:val="00247F2E"/>
    <w:rsid w:val="002500C7"/>
    <w:rsid w:val="0025013A"/>
    <w:rsid w:val="00250197"/>
    <w:rsid w:val="00250221"/>
    <w:rsid w:val="00250453"/>
    <w:rsid w:val="00250932"/>
    <w:rsid w:val="00250ADC"/>
    <w:rsid w:val="00250B07"/>
    <w:rsid w:val="00250DB8"/>
    <w:rsid w:val="00250F91"/>
    <w:rsid w:val="00251026"/>
    <w:rsid w:val="00251159"/>
    <w:rsid w:val="00251380"/>
    <w:rsid w:val="00251453"/>
    <w:rsid w:val="002515C2"/>
    <w:rsid w:val="00251628"/>
    <w:rsid w:val="0025175B"/>
    <w:rsid w:val="00251904"/>
    <w:rsid w:val="00251920"/>
    <w:rsid w:val="00251951"/>
    <w:rsid w:val="00251A3F"/>
    <w:rsid w:val="00251D74"/>
    <w:rsid w:val="00251DFE"/>
    <w:rsid w:val="00252028"/>
    <w:rsid w:val="00252227"/>
    <w:rsid w:val="002525A3"/>
    <w:rsid w:val="002526A9"/>
    <w:rsid w:val="00252799"/>
    <w:rsid w:val="002529D4"/>
    <w:rsid w:val="00252CDE"/>
    <w:rsid w:val="00252D69"/>
    <w:rsid w:val="00253145"/>
    <w:rsid w:val="00253704"/>
    <w:rsid w:val="0025394E"/>
    <w:rsid w:val="00253BCA"/>
    <w:rsid w:val="00253DEF"/>
    <w:rsid w:val="00253E17"/>
    <w:rsid w:val="00253F6E"/>
    <w:rsid w:val="0025411F"/>
    <w:rsid w:val="00254398"/>
    <w:rsid w:val="00254439"/>
    <w:rsid w:val="0025444E"/>
    <w:rsid w:val="002544A8"/>
    <w:rsid w:val="00254675"/>
    <w:rsid w:val="00254848"/>
    <w:rsid w:val="002549A8"/>
    <w:rsid w:val="00254A91"/>
    <w:rsid w:val="00254AB1"/>
    <w:rsid w:val="00254F5C"/>
    <w:rsid w:val="00255267"/>
    <w:rsid w:val="002552B5"/>
    <w:rsid w:val="002554FC"/>
    <w:rsid w:val="00255946"/>
    <w:rsid w:val="00255C75"/>
    <w:rsid w:val="00255C7C"/>
    <w:rsid w:val="00255F00"/>
    <w:rsid w:val="00255FDD"/>
    <w:rsid w:val="00256145"/>
    <w:rsid w:val="00256363"/>
    <w:rsid w:val="0025674E"/>
    <w:rsid w:val="002567B3"/>
    <w:rsid w:val="00256DB2"/>
    <w:rsid w:val="00256F77"/>
    <w:rsid w:val="00257553"/>
    <w:rsid w:val="002578E9"/>
    <w:rsid w:val="002579C1"/>
    <w:rsid w:val="00257A38"/>
    <w:rsid w:val="00257A9A"/>
    <w:rsid w:val="00257B19"/>
    <w:rsid w:val="00257EB6"/>
    <w:rsid w:val="00257EF6"/>
    <w:rsid w:val="00257F04"/>
    <w:rsid w:val="00257F3C"/>
    <w:rsid w:val="002602F6"/>
    <w:rsid w:val="00260304"/>
    <w:rsid w:val="00260370"/>
    <w:rsid w:val="00260475"/>
    <w:rsid w:val="0026087C"/>
    <w:rsid w:val="002609A5"/>
    <w:rsid w:val="00260AE3"/>
    <w:rsid w:val="00260BEE"/>
    <w:rsid w:val="00260C76"/>
    <w:rsid w:val="00260FB2"/>
    <w:rsid w:val="002613AF"/>
    <w:rsid w:val="002615FE"/>
    <w:rsid w:val="00261B09"/>
    <w:rsid w:val="00261CAE"/>
    <w:rsid w:val="00262128"/>
    <w:rsid w:val="002621F3"/>
    <w:rsid w:val="0026221D"/>
    <w:rsid w:val="00262256"/>
    <w:rsid w:val="0026243B"/>
    <w:rsid w:val="002624B0"/>
    <w:rsid w:val="00262549"/>
    <w:rsid w:val="00262910"/>
    <w:rsid w:val="00262936"/>
    <w:rsid w:val="00262D5D"/>
    <w:rsid w:val="00262E26"/>
    <w:rsid w:val="00262E29"/>
    <w:rsid w:val="00263101"/>
    <w:rsid w:val="0026338A"/>
    <w:rsid w:val="0026358F"/>
    <w:rsid w:val="0026364F"/>
    <w:rsid w:val="00263B52"/>
    <w:rsid w:val="00263D00"/>
    <w:rsid w:val="00263D02"/>
    <w:rsid w:val="00263E32"/>
    <w:rsid w:val="00263FF9"/>
    <w:rsid w:val="0026488F"/>
    <w:rsid w:val="00264913"/>
    <w:rsid w:val="00264D51"/>
    <w:rsid w:val="00264D87"/>
    <w:rsid w:val="00264F98"/>
    <w:rsid w:val="002650FB"/>
    <w:rsid w:val="00265238"/>
    <w:rsid w:val="00265378"/>
    <w:rsid w:val="00265436"/>
    <w:rsid w:val="00265894"/>
    <w:rsid w:val="00265E2C"/>
    <w:rsid w:val="00265E88"/>
    <w:rsid w:val="00266459"/>
    <w:rsid w:val="002665D7"/>
    <w:rsid w:val="00266B66"/>
    <w:rsid w:val="00266D29"/>
    <w:rsid w:val="00266E13"/>
    <w:rsid w:val="00266F34"/>
    <w:rsid w:val="00266FA8"/>
    <w:rsid w:val="00266FB3"/>
    <w:rsid w:val="002671BF"/>
    <w:rsid w:val="0026732B"/>
    <w:rsid w:val="0026733D"/>
    <w:rsid w:val="002673F5"/>
    <w:rsid w:val="00267701"/>
    <w:rsid w:val="00267704"/>
    <w:rsid w:val="0026788E"/>
    <w:rsid w:val="00267920"/>
    <w:rsid w:val="00267C58"/>
    <w:rsid w:val="00267FBC"/>
    <w:rsid w:val="002700CE"/>
    <w:rsid w:val="002704FA"/>
    <w:rsid w:val="00270FB5"/>
    <w:rsid w:val="00271077"/>
    <w:rsid w:val="002710A2"/>
    <w:rsid w:val="0027132C"/>
    <w:rsid w:val="002714E0"/>
    <w:rsid w:val="0027165D"/>
    <w:rsid w:val="002717BB"/>
    <w:rsid w:val="00271CC8"/>
    <w:rsid w:val="00272563"/>
    <w:rsid w:val="0027256D"/>
    <w:rsid w:val="00272AD6"/>
    <w:rsid w:val="00272AEA"/>
    <w:rsid w:val="00272B4F"/>
    <w:rsid w:val="00272BAD"/>
    <w:rsid w:val="00272C46"/>
    <w:rsid w:val="00272E43"/>
    <w:rsid w:val="00272F76"/>
    <w:rsid w:val="002733AA"/>
    <w:rsid w:val="00273410"/>
    <w:rsid w:val="0027351B"/>
    <w:rsid w:val="0027353A"/>
    <w:rsid w:val="002735D1"/>
    <w:rsid w:val="0027394F"/>
    <w:rsid w:val="00273B82"/>
    <w:rsid w:val="00273BCC"/>
    <w:rsid w:val="00273CEB"/>
    <w:rsid w:val="00274367"/>
    <w:rsid w:val="002748EA"/>
    <w:rsid w:val="00274A74"/>
    <w:rsid w:val="00274D20"/>
    <w:rsid w:val="00274D83"/>
    <w:rsid w:val="00274E36"/>
    <w:rsid w:val="00274E9D"/>
    <w:rsid w:val="00274FA2"/>
    <w:rsid w:val="002750BA"/>
    <w:rsid w:val="00275272"/>
    <w:rsid w:val="00275336"/>
    <w:rsid w:val="00275424"/>
    <w:rsid w:val="00275637"/>
    <w:rsid w:val="00275836"/>
    <w:rsid w:val="00275AE6"/>
    <w:rsid w:val="00275B2C"/>
    <w:rsid w:val="00275BDD"/>
    <w:rsid w:val="00275BDE"/>
    <w:rsid w:val="00275F8A"/>
    <w:rsid w:val="002761E8"/>
    <w:rsid w:val="002762C0"/>
    <w:rsid w:val="002762D3"/>
    <w:rsid w:val="002762E6"/>
    <w:rsid w:val="00276365"/>
    <w:rsid w:val="00276512"/>
    <w:rsid w:val="002765EE"/>
    <w:rsid w:val="002767B0"/>
    <w:rsid w:val="00276C46"/>
    <w:rsid w:val="00276CBA"/>
    <w:rsid w:val="00277049"/>
    <w:rsid w:val="002771B8"/>
    <w:rsid w:val="002771EA"/>
    <w:rsid w:val="00277389"/>
    <w:rsid w:val="0027743A"/>
    <w:rsid w:val="00277462"/>
    <w:rsid w:val="0027746E"/>
    <w:rsid w:val="00277789"/>
    <w:rsid w:val="00277A01"/>
    <w:rsid w:val="00277CE3"/>
    <w:rsid w:val="00277E97"/>
    <w:rsid w:val="0028014D"/>
    <w:rsid w:val="0028019D"/>
    <w:rsid w:val="0028038B"/>
    <w:rsid w:val="002805A8"/>
    <w:rsid w:val="002805FA"/>
    <w:rsid w:val="00280B1D"/>
    <w:rsid w:val="002813E4"/>
    <w:rsid w:val="0028148A"/>
    <w:rsid w:val="00281500"/>
    <w:rsid w:val="00281571"/>
    <w:rsid w:val="00281B1A"/>
    <w:rsid w:val="00281C89"/>
    <w:rsid w:val="00281E0B"/>
    <w:rsid w:val="00281FF3"/>
    <w:rsid w:val="00282229"/>
    <w:rsid w:val="0028224E"/>
    <w:rsid w:val="002825BC"/>
    <w:rsid w:val="0028282F"/>
    <w:rsid w:val="002828F7"/>
    <w:rsid w:val="00282A9B"/>
    <w:rsid w:val="00282CA3"/>
    <w:rsid w:val="002831DC"/>
    <w:rsid w:val="0028322B"/>
    <w:rsid w:val="00283312"/>
    <w:rsid w:val="0028335F"/>
    <w:rsid w:val="00283B62"/>
    <w:rsid w:val="00283C75"/>
    <w:rsid w:val="00283CCF"/>
    <w:rsid w:val="00283FCA"/>
    <w:rsid w:val="002841C5"/>
    <w:rsid w:val="0028424C"/>
    <w:rsid w:val="002842F1"/>
    <w:rsid w:val="00284340"/>
    <w:rsid w:val="00284569"/>
    <w:rsid w:val="00284788"/>
    <w:rsid w:val="00284C86"/>
    <w:rsid w:val="0028500A"/>
    <w:rsid w:val="002851C3"/>
    <w:rsid w:val="002854BF"/>
    <w:rsid w:val="00285A0D"/>
    <w:rsid w:val="00285AEC"/>
    <w:rsid w:val="00285C5C"/>
    <w:rsid w:val="00285CC8"/>
    <w:rsid w:val="00286524"/>
    <w:rsid w:val="00286598"/>
    <w:rsid w:val="0028663E"/>
    <w:rsid w:val="00286838"/>
    <w:rsid w:val="00286BF2"/>
    <w:rsid w:val="0028746F"/>
    <w:rsid w:val="00287739"/>
    <w:rsid w:val="00287E3E"/>
    <w:rsid w:val="00287E5C"/>
    <w:rsid w:val="002902D7"/>
    <w:rsid w:val="00290402"/>
    <w:rsid w:val="002904B3"/>
    <w:rsid w:val="00290502"/>
    <w:rsid w:val="00290765"/>
    <w:rsid w:val="002908E2"/>
    <w:rsid w:val="002909BA"/>
    <w:rsid w:val="00290B86"/>
    <w:rsid w:val="00290F67"/>
    <w:rsid w:val="00290F9E"/>
    <w:rsid w:val="00291020"/>
    <w:rsid w:val="0029133B"/>
    <w:rsid w:val="002913CA"/>
    <w:rsid w:val="002914E6"/>
    <w:rsid w:val="00291506"/>
    <w:rsid w:val="002916BA"/>
    <w:rsid w:val="0029171C"/>
    <w:rsid w:val="00291A91"/>
    <w:rsid w:val="00291D97"/>
    <w:rsid w:val="00291EF8"/>
    <w:rsid w:val="00292582"/>
    <w:rsid w:val="002927F1"/>
    <w:rsid w:val="0029285C"/>
    <w:rsid w:val="00292AC0"/>
    <w:rsid w:val="00293030"/>
    <w:rsid w:val="002932D1"/>
    <w:rsid w:val="0029340E"/>
    <w:rsid w:val="00293473"/>
    <w:rsid w:val="002934AA"/>
    <w:rsid w:val="0029379C"/>
    <w:rsid w:val="00293861"/>
    <w:rsid w:val="0029388D"/>
    <w:rsid w:val="0029394D"/>
    <w:rsid w:val="00293A23"/>
    <w:rsid w:val="00293A2F"/>
    <w:rsid w:val="00293D14"/>
    <w:rsid w:val="002943C3"/>
    <w:rsid w:val="002944FE"/>
    <w:rsid w:val="00294AE8"/>
    <w:rsid w:val="00294B09"/>
    <w:rsid w:val="00295110"/>
    <w:rsid w:val="0029593B"/>
    <w:rsid w:val="00295EFB"/>
    <w:rsid w:val="00296019"/>
    <w:rsid w:val="00296158"/>
    <w:rsid w:val="0029631C"/>
    <w:rsid w:val="00296658"/>
    <w:rsid w:val="00296AB4"/>
    <w:rsid w:val="00296C77"/>
    <w:rsid w:val="00296CE4"/>
    <w:rsid w:val="00296F05"/>
    <w:rsid w:val="0029723B"/>
    <w:rsid w:val="00297368"/>
    <w:rsid w:val="002974C2"/>
    <w:rsid w:val="002974CC"/>
    <w:rsid w:val="00297B78"/>
    <w:rsid w:val="00297E59"/>
    <w:rsid w:val="00297FC5"/>
    <w:rsid w:val="002A01BF"/>
    <w:rsid w:val="002A0417"/>
    <w:rsid w:val="002A07DC"/>
    <w:rsid w:val="002A0828"/>
    <w:rsid w:val="002A0A76"/>
    <w:rsid w:val="002A0F04"/>
    <w:rsid w:val="002A0FC2"/>
    <w:rsid w:val="002A16D8"/>
    <w:rsid w:val="002A1960"/>
    <w:rsid w:val="002A1BC8"/>
    <w:rsid w:val="002A1CE5"/>
    <w:rsid w:val="002A1D1F"/>
    <w:rsid w:val="002A266D"/>
    <w:rsid w:val="002A26FB"/>
    <w:rsid w:val="002A2797"/>
    <w:rsid w:val="002A2E05"/>
    <w:rsid w:val="002A3136"/>
    <w:rsid w:val="002A315D"/>
    <w:rsid w:val="002A34EC"/>
    <w:rsid w:val="002A35D4"/>
    <w:rsid w:val="002A3711"/>
    <w:rsid w:val="002A3781"/>
    <w:rsid w:val="002A3989"/>
    <w:rsid w:val="002A3AF5"/>
    <w:rsid w:val="002A3ED0"/>
    <w:rsid w:val="002A3EF2"/>
    <w:rsid w:val="002A4049"/>
    <w:rsid w:val="002A43CE"/>
    <w:rsid w:val="002A44D7"/>
    <w:rsid w:val="002A4572"/>
    <w:rsid w:val="002A45B2"/>
    <w:rsid w:val="002A47C6"/>
    <w:rsid w:val="002A4969"/>
    <w:rsid w:val="002A4FF7"/>
    <w:rsid w:val="002A51DB"/>
    <w:rsid w:val="002A5570"/>
    <w:rsid w:val="002A5784"/>
    <w:rsid w:val="002A5F66"/>
    <w:rsid w:val="002A5FCF"/>
    <w:rsid w:val="002A63ED"/>
    <w:rsid w:val="002A6814"/>
    <w:rsid w:val="002A68A6"/>
    <w:rsid w:val="002A68D4"/>
    <w:rsid w:val="002A690B"/>
    <w:rsid w:val="002A6A3C"/>
    <w:rsid w:val="002A6CD9"/>
    <w:rsid w:val="002A6E1A"/>
    <w:rsid w:val="002A71F4"/>
    <w:rsid w:val="002A7CED"/>
    <w:rsid w:val="002A7D17"/>
    <w:rsid w:val="002A7EB8"/>
    <w:rsid w:val="002B0380"/>
    <w:rsid w:val="002B0552"/>
    <w:rsid w:val="002B0580"/>
    <w:rsid w:val="002B0926"/>
    <w:rsid w:val="002B0DBE"/>
    <w:rsid w:val="002B0DED"/>
    <w:rsid w:val="002B0F29"/>
    <w:rsid w:val="002B0FB0"/>
    <w:rsid w:val="002B1132"/>
    <w:rsid w:val="002B11BD"/>
    <w:rsid w:val="002B140F"/>
    <w:rsid w:val="002B188C"/>
    <w:rsid w:val="002B19A2"/>
    <w:rsid w:val="002B1B90"/>
    <w:rsid w:val="002B1FA1"/>
    <w:rsid w:val="002B20F3"/>
    <w:rsid w:val="002B2239"/>
    <w:rsid w:val="002B2348"/>
    <w:rsid w:val="002B249C"/>
    <w:rsid w:val="002B2616"/>
    <w:rsid w:val="002B2747"/>
    <w:rsid w:val="002B283E"/>
    <w:rsid w:val="002B28FC"/>
    <w:rsid w:val="002B2A3B"/>
    <w:rsid w:val="002B2B93"/>
    <w:rsid w:val="002B2E73"/>
    <w:rsid w:val="002B336E"/>
    <w:rsid w:val="002B33E4"/>
    <w:rsid w:val="002B351B"/>
    <w:rsid w:val="002B3604"/>
    <w:rsid w:val="002B381A"/>
    <w:rsid w:val="002B3917"/>
    <w:rsid w:val="002B39A0"/>
    <w:rsid w:val="002B3DED"/>
    <w:rsid w:val="002B3F20"/>
    <w:rsid w:val="002B4104"/>
    <w:rsid w:val="002B447A"/>
    <w:rsid w:val="002B45AF"/>
    <w:rsid w:val="002B48E4"/>
    <w:rsid w:val="002B4B72"/>
    <w:rsid w:val="002B4FCC"/>
    <w:rsid w:val="002B502F"/>
    <w:rsid w:val="002B5408"/>
    <w:rsid w:val="002B5529"/>
    <w:rsid w:val="002B5576"/>
    <w:rsid w:val="002B55FA"/>
    <w:rsid w:val="002B572F"/>
    <w:rsid w:val="002B57F6"/>
    <w:rsid w:val="002B57F9"/>
    <w:rsid w:val="002B59BF"/>
    <w:rsid w:val="002B5AD0"/>
    <w:rsid w:val="002B5D28"/>
    <w:rsid w:val="002B6037"/>
    <w:rsid w:val="002B6380"/>
    <w:rsid w:val="002B690B"/>
    <w:rsid w:val="002B6BBB"/>
    <w:rsid w:val="002B6D67"/>
    <w:rsid w:val="002B6F27"/>
    <w:rsid w:val="002B7013"/>
    <w:rsid w:val="002B7184"/>
    <w:rsid w:val="002B73B3"/>
    <w:rsid w:val="002B7408"/>
    <w:rsid w:val="002B7544"/>
    <w:rsid w:val="002B76F2"/>
    <w:rsid w:val="002B7B7F"/>
    <w:rsid w:val="002B7CB5"/>
    <w:rsid w:val="002B7CC2"/>
    <w:rsid w:val="002B7CFD"/>
    <w:rsid w:val="002B7D94"/>
    <w:rsid w:val="002C03B8"/>
    <w:rsid w:val="002C0530"/>
    <w:rsid w:val="002C05BA"/>
    <w:rsid w:val="002C091E"/>
    <w:rsid w:val="002C0AF8"/>
    <w:rsid w:val="002C0B61"/>
    <w:rsid w:val="002C0CEF"/>
    <w:rsid w:val="002C1022"/>
    <w:rsid w:val="002C10C3"/>
    <w:rsid w:val="002C12A3"/>
    <w:rsid w:val="002C13CF"/>
    <w:rsid w:val="002C1712"/>
    <w:rsid w:val="002C1AE9"/>
    <w:rsid w:val="002C1E32"/>
    <w:rsid w:val="002C20B1"/>
    <w:rsid w:val="002C210F"/>
    <w:rsid w:val="002C2204"/>
    <w:rsid w:val="002C22C3"/>
    <w:rsid w:val="002C22EC"/>
    <w:rsid w:val="002C23A0"/>
    <w:rsid w:val="002C2A3F"/>
    <w:rsid w:val="002C2BF9"/>
    <w:rsid w:val="002C2CFE"/>
    <w:rsid w:val="002C2D3F"/>
    <w:rsid w:val="002C3064"/>
    <w:rsid w:val="002C33AD"/>
    <w:rsid w:val="002C346C"/>
    <w:rsid w:val="002C3E34"/>
    <w:rsid w:val="002C4250"/>
    <w:rsid w:val="002C43F8"/>
    <w:rsid w:val="002C4A80"/>
    <w:rsid w:val="002C4CA6"/>
    <w:rsid w:val="002C4E04"/>
    <w:rsid w:val="002C50F3"/>
    <w:rsid w:val="002C513B"/>
    <w:rsid w:val="002C5190"/>
    <w:rsid w:val="002C53CA"/>
    <w:rsid w:val="002C5495"/>
    <w:rsid w:val="002C5653"/>
    <w:rsid w:val="002C57DC"/>
    <w:rsid w:val="002C5929"/>
    <w:rsid w:val="002C59B6"/>
    <w:rsid w:val="002C629D"/>
    <w:rsid w:val="002C64CA"/>
    <w:rsid w:val="002C64D2"/>
    <w:rsid w:val="002C66BF"/>
    <w:rsid w:val="002C6701"/>
    <w:rsid w:val="002C687A"/>
    <w:rsid w:val="002C6A66"/>
    <w:rsid w:val="002C6A77"/>
    <w:rsid w:val="002C6C50"/>
    <w:rsid w:val="002C7115"/>
    <w:rsid w:val="002C721A"/>
    <w:rsid w:val="002C7265"/>
    <w:rsid w:val="002C7289"/>
    <w:rsid w:val="002C7410"/>
    <w:rsid w:val="002C74B4"/>
    <w:rsid w:val="002C7A41"/>
    <w:rsid w:val="002C7C82"/>
    <w:rsid w:val="002C7E2E"/>
    <w:rsid w:val="002C7EA9"/>
    <w:rsid w:val="002D0045"/>
    <w:rsid w:val="002D03FB"/>
    <w:rsid w:val="002D0504"/>
    <w:rsid w:val="002D06A8"/>
    <w:rsid w:val="002D0D5F"/>
    <w:rsid w:val="002D0F84"/>
    <w:rsid w:val="002D121C"/>
    <w:rsid w:val="002D1575"/>
    <w:rsid w:val="002D16B4"/>
    <w:rsid w:val="002D1717"/>
    <w:rsid w:val="002D18A9"/>
    <w:rsid w:val="002D1CD5"/>
    <w:rsid w:val="002D259F"/>
    <w:rsid w:val="002D2613"/>
    <w:rsid w:val="002D28D1"/>
    <w:rsid w:val="002D2A76"/>
    <w:rsid w:val="002D2B49"/>
    <w:rsid w:val="002D2EE0"/>
    <w:rsid w:val="002D2FC3"/>
    <w:rsid w:val="002D3600"/>
    <w:rsid w:val="002D3680"/>
    <w:rsid w:val="002D3787"/>
    <w:rsid w:val="002D3840"/>
    <w:rsid w:val="002D3E56"/>
    <w:rsid w:val="002D3F89"/>
    <w:rsid w:val="002D4429"/>
    <w:rsid w:val="002D457B"/>
    <w:rsid w:val="002D4626"/>
    <w:rsid w:val="002D46DD"/>
    <w:rsid w:val="002D47F5"/>
    <w:rsid w:val="002D4AA5"/>
    <w:rsid w:val="002D4BFF"/>
    <w:rsid w:val="002D4DBE"/>
    <w:rsid w:val="002D501E"/>
    <w:rsid w:val="002D5327"/>
    <w:rsid w:val="002D558A"/>
    <w:rsid w:val="002D55A6"/>
    <w:rsid w:val="002D55DB"/>
    <w:rsid w:val="002D583F"/>
    <w:rsid w:val="002D5A98"/>
    <w:rsid w:val="002D5CCD"/>
    <w:rsid w:val="002D5EBA"/>
    <w:rsid w:val="002D5ECA"/>
    <w:rsid w:val="002D61AE"/>
    <w:rsid w:val="002D64EC"/>
    <w:rsid w:val="002D65C7"/>
    <w:rsid w:val="002D68AD"/>
    <w:rsid w:val="002D6A50"/>
    <w:rsid w:val="002D6B04"/>
    <w:rsid w:val="002D6E4E"/>
    <w:rsid w:val="002D6EFC"/>
    <w:rsid w:val="002D7096"/>
    <w:rsid w:val="002D714B"/>
    <w:rsid w:val="002D71B7"/>
    <w:rsid w:val="002D71CF"/>
    <w:rsid w:val="002D71FB"/>
    <w:rsid w:val="002D7383"/>
    <w:rsid w:val="002D74A1"/>
    <w:rsid w:val="002D74BD"/>
    <w:rsid w:val="002D7D53"/>
    <w:rsid w:val="002D7F2F"/>
    <w:rsid w:val="002D7F94"/>
    <w:rsid w:val="002E00D9"/>
    <w:rsid w:val="002E076C"/>
    <w:rsid w:val="002E0846"/>
    <w:rsid w:val="002E08C9"/>
    <w:rsid w:val="002E0C7D"/>
    <w:rsid w:val="002E0E0B"/>
    <w:rsid w:val="002E12BE"/>
    <w:rsid w:val="002E1645"/>
    <w:rsid w:val="002E17FC"/>
    <w:rsid w:val="002E19F3"/>
    <w:rsid w:val="002E1B0E"/>
    <w:rsid w:val="002E1EB8"/>
    <w:rsid w:val="002E1EC3"/>
    <w:rsid w:val="002E20D1"/>
    <w:rsid w:val="002E25F8"/>
    <w:rsid w:val="002E27D8"/>
    <w:rsid w:val="002E2811"/>
    <w:rsid w:val="002E2A77"/>
    <w:rsid w:val="002E2FFB"/>
    <w:rsid w:val="002E355C"/>
    <w:rsid w:val="002E369C"/>
    <w:rsid w:val="002E37EF"/>
    <w:rsid w:val="002E3855"/>
    <w:rsid w:val="002E3A7F"/>
    <w:rsid w:val="002E3B0F"/>
    <w:rsid w:val="002E42CD"/>
    <w:rsid w:val="002E455F"/>
    <w:rsid w:val="002E46C4"/>
    <w:rsid w:val="002E46E7"/>
    <w:rsid w:val="002E4789"/>
    <w:rsid w:val="002E4A55"/>
    <w:rsid w:val="002E4B82"/>
    <w:rsid w:val="002E4DDC"/>
    <w:rsid w:val="002E4EC0"/>
    <w:rsid w:val="002E4F2C"/>
    <w:rsid w:val="002E50D2"/>
    <w:rsid w:val="002E50D3"/>
    <w:rsid w:val="002E5282"/>
    <w:rsid w:val="002E54EB"/>
    <w:rsid w:val="002E58DB"/>
    <w:rsid w:val="002E5987"/>
    <w:rsid w:val="002E59C0"/>
    <w:rsid w:val="002E5A0B"/>
    <w:rsid w:val="002E5B4C"/>
    <w:rsid w:val="002E5B6A"/>
    <w:rsid w:val="002E6441"/>
    <w:rsid w:val="002E65E6"/>
    <w:rsid w:val="002E6735"/>
    <w:rsid w:val="002E67C3"/>
    <w:rsid w:val="002E6EB1"/>
    <w:rsid w:val="002E705B"/>
    <w:rsid w:val="002E7104"/>
    <w:rsid w:val="002E77CC"/>
    <w:rsid w:val="002E7DB8"/>
    <w:rsid w:val="002E7DDA"/>
    <w:rsid w:val="002E7E92"/>
    <w:rsid w:val="002F0028"/>
    <w:rsid w:val="002F0524"/>
    <w:rsid w:val="002F05A6"/>
    <w:rsid w:val="002F0898"/>
    <w:rsid w:val="002F0B52"/>
    <w:rsid w:val="002F0B7E"/>
    <w:rsid w:val="002F11B3"/>
    <w:rsid w:val="002F1493"/>
    <w:rsid w:val="002F173B"/>
    <w:rsid w:val="002F17B3"/>
    <w:rsid w:val="002F1B49"/>
    <w:rsid w:val="002F1BC7"/>
    <w:rsid w:val="002F1E97"/>
    <w:rsid w:val="002F1FC7"/>
    <w:rsid w:val="002F20AA"/>
    <w:rsid w:val="002F2457"/>
    <w:rsid w:val="002F26E8"/>
    <w:rsid w:val="002F27DD"/>
    <w:rsid w:val="002F2B57"/>
    <w:rsid w:val="002F2EBD"/>
    <w:rsid w:val="002F2EF9"/>
    <w:rsid w:val="002F2F06"/>
    <w:rsid w:val="002F2FD1"/>
    <w:rsid w:val="002F3612"/>
    <w:rsid w:val="002F3A04"/>
    <w:rsid w:val="002F3B86"/>
    <w:rsid w:val="002F3C55"/>
    <w:rsid w:val="002F4104"/>
    <w:rsid w:val="002F42ED"/>
    <w:rsid w:val="002F45AB"/>
    <w:rsid w:val="002F472E"/>
    <w:rsid w:val="002F4A82"/>
    <w:rsid w:val="002F4DCF"/>
    <w:rsid w:val="002F524C"/>
    <w:rsid w:val="002F53F3"/>
    <w:rsid w:val="002F5431"/>
    <w:rsid w:val="002F5524"/>
    <w:rsid w:val="002F5572"/>
    <w:rsid w:val="002F569B"/>
    <w:rsid w:val="002F581B"/>
    <w:rsid w:val="002F6005"/>
    <w:rsid w:val="002F601B"/>
    <w:rsid w:val="002F63B4"/>
    <w:rsid w:val="002F6463"/>
    <w:rsid w:val="002F64BF"/>
    <w:rsid w:val="002F673B"/>
    <w:rsid w:val="002F6E98"/>
    <w:rsid w:val="002F6FE0"/>
    <w:rsid w:val="002F70D3"/>
    <w:rsid w:val="002F7272"/>
    <w:rsid w:val="002F732F"/>
    <w:rsid w:val="002F73C3"/>
    <w:rsid w:val="002F7620"/>
    <w:rsid w:val="002F77BD"/>
    <w:rsid w:val="002F7859"/>
    <w:rsid w:val="002F7C2E"/>
    <w:rsid w:val="00300313"/>
    <w:rsid w:val="00300461"/>
    <w:rsid w:val="00300BD5"/>
    <w:rsid w:val="00300C08"/>
    <w:rsid w:val="00300EFF"/>
    <w:rsid w:val="00301012"/>
    <w:rsid w:val="00301068"/>
    <w:rsid w:val="0030169D"/>
    <w:rsid w:val="00301830"/>
    <w:rsid w:val="00301867"/>
    <w:rsid w:val="00301E35"/>
    <w:rsid w:val="0030229F"/>
    <w:rsid w:val="0030234D"/>
    <w:rsid w:val="00302480"/>
    <w:rsid w:val="00302574"/>
    <w:rsid w:val="00302758"/>
    <w:rsid w:val="00302829"/>
    <w:rsid w:val="00302ABE"/>
    <w:rsid w:val="00302BE8"/>
    <w:rsid w:val="00302EF5"/>
    <w:rsid w:val="00302F8A"/>
    <w:rsid w:val="00303381"/>
    <w:rsid w:val="003035CC"/>
    <w:rsid w:val="00304011"/>
    <w:rsid w:val="00304176"/>
    <w:rsid w:val="0030417D"/>
    <w:rsid w:val="0030435C"/>
    <w:rsid w:val="00304437"/>
    <w:rsid w:val="0030465D"/>
    <w:rsid w:val="003046F8"/>
    <w:rsid w:val="00304E3B"/>
    <w:rsid w:val="00304F21"/>
    <w:rsid w:val="00304FC0"/>
    <w:rsid w:val="003052FB"/>
    <w:rsid w:val="003058C8"/>
    <w:rsid w:val="00305954"/>
    <w:rsid w:val="00305D4C"/>
    <w:rsid w:val="00305EE6"/>
    <w:rsid w:val="00305FCD"/>
    <w:rsid w:val="003061F2"/>
    <w:rsid w:val="00306340"/>
    <w:rsid w:val="00306755"/>
    <w:rsid w:val="00306B4C"/>
    <w:rsid w:val="003071DC"/>
    <w:rsid w:val="00307221"/>
    <w:rsid w:val="00307254"/>
    <w:rsid w:val="003072FB"/>
    <w:rsid w:val="00307835"/>
    <w:rsid w:val="003078A1"/>
    <w:rsid w:val="00307974"/>
    <w:rsid w:val="00307B7B"/>
    <w:rsid w:val="00307C5E"/>
    <w:rsid w:val="00307D24"/>
    <w:rsid w:val="00307DB3"/>
    <w:rsid w:val="00307E13"/>
    <w:rsid w:val="003102F7"/>
    <w:rsid w:val="003106A6"/>
    <w:rsid w:val="0031117A"/>
    <w:rsid w:val="003112CB"/>
    <w:rsid w:val="003112E2"/>
    <w:rsid w:val="0031137A"/>
    <w:rsid w:val="0031137E"/>
    <w:rsid w:val="003116C5"/>
    <w:rsid w:val="0031174A"/>
    <w:rsid w:val="003118BF"/>
    <w:rsid w:val="003119B5"/>
    <w:rsid w:val="00311A80"/>
    <w:rsid w:val="00311F6B"/>
    <w:rsid w:val="00312402"/>
    <w:rsid w:val="003125DB"/>
    <w:rsid w:val="0031275F"/>
    <w:rsid w:val="003127A7"/>
    <w:rsid w:val="0031295D"/>
    <w:rsid w:val="00312A32"/>
    <w:rsid w:val="00312ACA"/>
    <w:rsid w:val="00312E86"/>
    <w:rsid w:val="00312F19"/>
    <w:rsid w:val="0031309A"/>
    <w:rsid w:val="003132CD"/>
    <w:rsid w:val="003138E6"/>
    <w:rsid w:val="00313D4E"/>
    <w:rsid w:val="00314577"/>
    <w:rsid w:val="003146B7"/>
    <w:rsid w:val="00314729"/>
    <w:rsid w:val="003148A2"/>
    <w:rsid w:val="0031491A"/>
    <w:rsid w:val="003149C1"/>
    <w:rsid w:val="00314B7E"/>
    <w:rsid w:val="00314BA4"/>
    <w:rsid w:val="00314DD4"/>
    <w:rsid w:val="003152AD"/>
    <w:rsid w:val="00315406"/>
    <w:rsid w:val="00315708"/>
    <w:rsid w:val="00315B87"/>
    <w:rsid w:val="00315BA2"/>
    <w:rsid w:val="00315CA8"/>
    <w:rsid w:val="00316065"/>
    <w:rsid w:val="003162D6"/>
    <w:rsid w:val="003165E6"/>
    <w:rsid w:val="00316630"/>
    <w:rsid w:val="0031707B"/>
    <w:rsid w:val="003173F2"/>
    <w:rsid w:val="003179BF"/>
    <w:rsid w:val="00317A7A"/>
    <w:rsid w:val="00317BA0"/>
    <w:rsid w:val="00317BF7"/>
    <w:rsid w:val="00317DB1"/>
    <w:rsid w:val="00317F36"/>
    <w:rsid w:val="00317F74"/>
    <w:rsid w:val="00320136"/>
    <w:rsid w:val="00320463"/>
    <w:rsid w:val="0032070E"/>
    <w:rsid w:val="003207FC"/>
    <w:rsid w:val="003208C0"/>
    <w:rsid w:val="00320B87"/>
    <w:rsid w:val="00320BE2"/>
    <w:rsid w:val="00320CF9"/>
    <w:rsid w:val="00320EDC"/>
    <w:rsid w:val="00320F92"/>
    <w:rsid w:val="003212A9"/>
    <w:rsid w:val="003215B5"/>
    <w:rsid w:val="003217A1"/>
    <w:rsid w:val="003219CE"/>
    <w:rsid w:val="00321A90"/>
    <w:rsid w:val="00321C39"/>
    <w:rsid w:val="00321C9B"/>
    <w:rsid w:val="00321CEE"/>
    <w:rsid w:val="00321D80"/>
    <w:rsid w:val="00321E42"/>
    <w:rsid w:val="00322004"/>
    <w:rsid w:val="003220DD"/>
    <w:rsid w:val="003221BD"/>
    <w:rsid w:val="003221CF"/>
    <w:rsid w:val="003223B6"/>
    <w:rsid w:val="00322948"/>
    <w:rsid w:val="003229A9"/>
    <w:rsid w:val="00322B7B"/>
    <w:rsid w:val="00322BF7"/>
    <w:rsid w:val="00323359"/>
    <w:rsid w:val="003233ED"/>
    <w:rsid w:val="00323447"/>
    <w:rsid w:val="0032381C"/>
    <w:rsid w:val="0032389B"/>
    <w:rsid w:val="00323FB9"/>
    <w:rsid w:val="0032404F"/>
    <w:rsid w:val="003245A6"/>
    <w:rsid w:val="003245D8"/>
    <w:rsid w:val="003246FE"/>
    <w:rsid w:val="00324BE9"/>
    <w:rsid w:val="00324D06"/>
    <w:rsid w:val="00324D9F"/>
    <w:rsid w:val="00324ED7"/>
    <w:rsid w:val="00324F05"/>
    <w:rsid w:val="003251AF"/>
    <w:rsid w:val="0032521A"/>
    <w:rsid w:val="003253EE"/>
    <w:rsid w:val="0032542C"/>
    <w:rsid w:val="0032590B"/>
    <w:rsid w:val="00325AF6"/>
    <w:rsid w:val="00325C63"/>
    <w:rsid w:val="00325DD1"/>
    <w:rsid w:val="0032603A"/>
    <w:rsid w:val="003262A0"/>
    <w:rsid w:val="00326847"/>
    <w:rsid w:val="00326908"/>
    <w:rsid w:val="00326C16"/>
    <w:rsid w:val="00326CF0"/>
    <w:rsid w:val="00326DF6"/>
    <w:rsid w:val="00326EF1"/>
    <w:rsid w:val="00327197"/>
    <w:rsid w:val="003273CD"/>
    <w:rsid w:val="00327948"/>
    <w:rsid w:val="00327BA0"/>
    <w:rsid w:val="00327CAC"/>
    <w:rsid w:val="0033000F"/>
    <w:rsid w:val="00330316"/>
    <w:rsid w:val="00330782"/>
    <w:rsid w:val="00330BFA"/>
    <w:rsid w:val="00330DD2"/>
    <w:rsid w:val="00330FC4"/>
    <w:rsid w:val="003313D4"/>
    <w:rsid w:val="0033140F"/>
    <w:rsid w:val="00331972"/>
    <w:rsid w:val="00331A82"/>
    <w:rsid w:val="00331B2C"/>
    <w:rsid w:val="00332011"/>
    <w:rsid w:val="00332063"/>
    <w:rsid w:val="00332066"/>
    <w:rsid w:val="00332103"/>
    <w:rsid w:val="003323D2"/>
    <w:rsid w:val="00332518"/>
    <w:rsid w:val="00332660"/>
    <w:rsid w:val="00332925"/>
    <w:rsid w:val="003329DB"/>
    <w:rsid w:val="00332CB9"/>
    <w:rsid w:val="00332CC8"/>
    <w:rsid w:val="00332D49"/>
    <w:rsid w:val="00332D4C"/>
    <w:rsid w:val="00332E3D"/>
    <w:rsid w:val="00332E3F"/>
    <w:rsid w:val="0033308A"/>
    <w:rsid w:val="00333161"/>
    <w:rsid w:val="003332ED"/>
    <w:rsid w:val="00333424"/>
    <w:rsid w:val="0033351F"/>
    <w:rsid w:val="003335FA"/>
    <w:rsid w:val="00333804"/>
    <w:rsid w:val="003339C2"/>
    <w:rsid w:val="00333E66"/>
    <w:rsid w:val="00333E8F"/>
    <w:rsid w:val="003342EA"/>
    <w:rsid w:val="00334530"/>
    <w:rsid w:val="003345D3"/>
    <w:rsid w:val="0033478E"/>
    <w:rsid w:val="003348BF"/>
    <w:rsid w:val="0033499F"/>
    <w:rsid w:val="00334A83"/>
    <w:rsid w:val="00334D8D"/>
    <w:rsid w:val="00334DF5"/>
    <w:rsid w:val="00334EE4"/>
    <w:rsid w:val="00335356"/>
    <w:rsid w:val="003353FB"/>
    <w:rsid w:val="0033587E"/>
    <w:rsid w:val="00335899"/>
    <w:rsid w:val="00335995"/>
    <w:rsid w:val="003359E7"/>
    <w:rsid w:val="00335C45"/>
    <w:rsid w:val="00335D7A"/>
    <w:rsid w:val="003361CA"/>
    <w:rsid w:val="003368DC"/>
    <w:rsid w:val="003369AD"/>
    <w:rsid w:val="00336AC9"/>
    <w:rsid w:val="00336D5A"/>
    <w:rsid w:val="0033705D"/>
    <w:rsid w:val="00337118"/>
    <w:rsid w:val="0033744F"/>
    <w:rsid w:val="00337479"/>
    <w:rsid w:val="00337755"/>
    <w:rsid w:val="003379F5"/>
    <w:rsid w:val="00337A10"/>
    <w:rsid w:val="00337B04"/>
    <w:rsid w:val="00337C05"/>
    <w:rsid w:val="00337CEF"/>
    <w:rsid w:val="003400C2"/>
    <w:rsid w:val="0034029D"/>
    <w:rsid w:val="003404F4"/>
    <w:rsid w:val="00340681"/>
    <w:rsid w:val="00340753"/>
    <w:rsid w:val="00340A58"/>
    <w:rsid w:val="00340C76"/>
    <w:rsid w:val="00340E61"/>
    <w:rsid w:val="00340F2C"/>
    <w:rsid w:val="00341385"/>
    <w:rsid w:val="003413BD"/>
    <w:rsid w:val="003413C2"/>
    <w:rsid w:val="003415C9"/>
    <w:rsid w:val="00341798"/>
    <w:rsid w:val="00341827"/>
    <w:rsid w:val="00341862"/>
    <w:rsid w:val="00341C3E"/>
    <w:rsid w:val="00341D6B"/>
    <w:rsid w:val="00341DBD"/>
    <w:rsid w:val="00341E79"/>
    <w:rsid w:val="0034205C"/>
    <w:rsid w:val="00342186"/>
    <w:rsid w:val="003424E3"/>
    <w:rsid w:val="00342617"/>
    <w:rsid w:val="00342638"/>
    <w:rsid w:val="00342887"/>
    <w:rsid w:val="00342C1F"/>
    <w:rsid w:val="00342D12"/>
    <w:rsid w:val="00342D63"/>
    <w:rsid w:val="00342E78"/>
    <w:rsid w:val="00343215"/>
    <w:rsid w:val="00343558"/>
    <w:rsid w:val="003435F9"/>
    <w:rsid w:val="003437CC"/>
    <w:rsid w:val="00343D25"/>
    <w:rsid w:val="00343DBA"/>
    <w:rsid w:val="00343E0F"/>
    <w:rsid w:val="00344384"/>
    <w:rsid w:val="00344743"/>
    <w:rsid w:val="0034490B"/>
    <w:rsid w:val="00344B6B"/>
    <w:rsid w:val="00344C04"/>
    <w:rsid w:val="00344D57"/>
    <w:rsid w:val="00344ECC"/>
    <w:rsid w:val="00345023"/>
    <w:rsid w:val="003450F9"/>
    <w:rsid w:val="00345325"/>
    <w:rsid w:val="00345578"/>
    <w:rsid w:val="003456CC"/>
    <w:rsid w:val="00345927"/>
    <w:rsid w:val="00345987"/>
    <w:rsid w:val="00345C25"/>
    <w:rsid w:val="00345D7D"/>
    <w:rsid w:val="00345F15"/>
    <w:rsid w:val="00345F28"/>
    <w:rsid w:val="0034617A"/>
    <w:rsid w:val="003464BE"/>
    <w:rsid w:val="003466BB"/>
    <w:rsid w:val="003467A3"/>
    <w:rsid w:val="003467A9"/>
    <w:rsid w:val="00346A9F"/>
    <w:rsid w:val="003470CA"/>
    <w:rsid w:val="00347173"/>
    <w:rsid w:val="003474D6"/>
    <w:rsid w:val="00347B98"/>
    <w:rsid w:val="00347BC6"/>
    <w:rsid w:val="00350584"/>
    <w:rsid w:val="00350750"/>
    <w:rsid w:val="0035078A"/>
    <w:rsid w:val="00350B50"/>
    <w:rsid w:val="00350C59"/>
    <w:rsid w:val="003512A1"/>
    <w:rsid w:val="00351490"/>
    <w:rsid w:val="00351836"/>
    <w:rsid w:val="00351857"/>
    <w:rsid w:val="00351C28"/>
    <w:rsid w:val="00351F09"/>
    <w:rsid w:val="0035208F"/>
    <w:rsid w:val="00352090"/>
    <w:rsid w:val="003520B9"/>
    <w:rsid w:val="0035218E"/>
    <w:rsid w:val="00352308"/>
    <w:rsid w:val="00352444"/>
    <w:rsid w:val="003525A3"/>
    <w:rsid w:val="00352793"/>
    <w:rsid w:val="00352802"/>
    <w:rsid w:val="00352BBE"/>
    <w:rsid w:val="00352CCE"/>
    <w:rsid w:val="0035317F"/>
    <w:rsid w:val="0035325D"/>
    <w:rsid w:val="0035334A"/>
    <w:rsid w:val="0035357D"/>
    <w:rsid w:val="003536CD"/>
    <w:rsid w:val="00353867"/>
    <w:rsid w:val="00353B67"/>
    <w:rsid w:val="00353B8F"/>
    <w:rsid w:val="00353C0E"/>
    <w:rsid w:val="00353FCC"/>
    <w:rsid w:val="0035450F"/>
    <w:rsid w:val="003545E8"/>
    <w:rsid w:val="00354939"/>
    <w:rsid w:val="003549E1"/>
    <w:rsid w:val="00354B02"/>
    <w:rsid w:val="00354F50"/>
    <w:rsid w:val="00354F51"/>
    <w:rsid w:val="00354FAC"/>
    <w:rsid w:val="00355581"/>
    <w:rsid w:val="00355745"/>
    <w:rsid w:val="003557B4"/>
    <w:rsid w:val="003557B7"/>
    <w:rsid w:val="00355836"/>
    <w:rsid w:val="00355954"/>
    <w:rsid w:val="00355C0F"/>
    <w:rsid w:val="00355C78"/>
    <w:rsid w:val="00355E9A"/>
    <w:rsid w:val="00355F33"/>
    <w:rsid w:val="00355FD7"/>
    <w:rsid w:val="00356006"/>
    <w:rsid w:val="003561B8"/>
    <w:rsid w:val="00356217"/>
    <w:rsid w:val="003563BA"/>
    <w:rsid w:val="00356565"/>
    <w:rsid w:val="0035661F"/>
    <w:rsid w:val="00356A5B"/>
    <w:rsid w:val="00356A6B"/>
    <w:rsid w:val="00356D4D"/>
    <w:rsid w:val="00356E26"/>
    <w:rsid w:val="003571D8"/>
    <w:rsid w:val="0035727F"/>
    <w:rsid w:val="0035728A"/>
    <w:rsid w:val="003572F3"/>
    <w:rsid w:val="0035738C"/>
    <w:rsid w:val="00357691"/>
    <w:rsid w:val="003577B1"/>
    <w:rsid w:val="00357D42"/>
    <w:rsid w:val="00357E85"/>
    <w:rsid w:val="00357F84"/>
    <w:rsid w:val="00360122"/>
    <w:rsid w:val="0036047D"/>
    <w:rsid w:val="00360646"/>
    <w:rsid w:val="00360AB6"/>
    <w:rsid w:val="00360BC1"/>
    <w:rsid w:val="003610E1"/>
    <w:rsid w:val="003612D2"/>
    <w:rsid w:val="003613F2"/>
    <w:rsid w:val="00361423"/>
    <w:rsid w:val="00361500"/>
    <w:rsid w:val="003616B3"/>
    <w:rsid w:val="00361937"/>
    <w:rsid w:val="00362205"/>
    <w:rsid w:val="00362212"/>
    <w:rsid w:val="003622A5"/>
    <w:rsid w:val="00362484"/>
    <w:rsid w:val="0036254A"/>
    <w:rsid w:val="003626F2"/>
    <w:rsid w:val="00362743"/>
    <w:rsid w:val="003627C0"/>
    <w:rsid w:val="00362899"/>
    <w:rsid w:val="00362955"/>
    <w:rsid w:val="00362E02"/>
    <w:rsid w:val="003630E0"/>
    <w:rsid w:val="00363280"/>
    <w:rsid w:val="00363333"/>
    <w:rsid w:val="00363566"/>
    <w:rsid w:val="003638B2"/>
    <w:rsid w:val="0036391E"/>
    <w:rsid w:val="00363C04"/>
    <w:rsid w:val="00363CE8"/>
    <w:rsid w:val="00363D4B"/>
    <w:rsid w:val="00363F58"/>
    <w:rsid w:val="00364157"/>
    <w:rsid w:val="0036428A"/>
    <w:rsid w:val="00364675"/>
    <w:rsid w:val="003646CE"/>
    <w:rsid w:val="00364711"/>
    <w:rsid w:val="003648C0"/>
    <w:rsid w:val="003649E8"/>
    <w:rsid w:val="00364A14"/>
    <w:rsid w:val="00365169"/>
    <w:rsid w:val="003653A5"/>
    <w:rsid w:val="003655F2"/>
    <w:rsid w:val="003655FC"/>
    <w:rsid w:val="00365689"/>
    <w:rsid w:val="00365830"/>
    <w:rsid w:val="00365846"/>
    <w:rsid w:val="00365DBC"/>
    <w:rsid w:val="00365FA8"/>
    <w:rsid w:val="00365FFB"/>
    <w:rsid w:val="003661A2"/>
    <w:rsid w:val="003661BA"/>
    <w:rsid w:val="00366230"/>
    <w:rsid w:val="00366248"/>
    <w:rsid w:val="00366944"/>
    <w:rsid w:val="00366DDE"/>
    <w:rsid w:val="00367133"/>
    <w:rsid w:val="003671BE"/>
    <w:rsid w:val="00367409"/>
    <w:rsid w:val="003677BF"/>
    <w:rsid w:val="00367A9C"/>
    <w:rsid w:val="00367ACE"/>
    <w:rsid w:val="0037021A"/>
    <w:rsid w:val="003703BA"/>
    <w:rsid w:val="003703C0"/>
    <w:rsid w:val="0037042E"/>
    <w:rsid w:val="0037044B"/>
    <w:rsid w:val="00370B4B"/>
    <w:rsid w:val="00370D29"/>
    <w:rsid w:val="00370E22"/>
    <w:rsid w:val="0037113A"/>
    <w:rsid w:val="00371173"/>
    <w:rsid w:val="00371191"/>
    <w:rsid w:val="00371463"/>
    <w:rsid w:val="00371517"/>
    <w:rsid w:val="003719D3"/>
    <w:rsid w:val="00371B68"/>
    <w:rsid w:val="00371C27"/>
    <w:rsid w:val="00371D83"/>
    <w:rsid w:val="00371DB8"/>
    <w:rsid w:val="00371E33"/>
    <w:rsid w:val="003720C0"/>
    <w:rsid w:val="003721A2"/>
    <w:rsid w:val="00372485"/>
    <w:rsid w:val="00372547"/>
    <w:rsid w:val="0037285C"/>
    <w:rsid w:val="00372C68"/>
    <w:rsid w:val="00372D40"/>
    <w:rsid w:val="00372E13"/>
    <w:rsid w:val="00372F67"/>
    <w:rsid w:val="003731D6"/>
    <w:rsid w:val="00373200"/>
    <w:rsid w:val="0037340B"/>
    <w:rsid w:val="0037356F"/>
    <w:rsid w:val="0037367E"/>
    <w:rsid w:val="0037369F"/>
    <w:rsid w:val="00373995"/>
    <w:rsid w:val="00373A6F"/>
    <w:rsid w:val="00373D89"/>
    <w:rsid w:val="0037404A"/>
    <w:rsid w:val="003743DF"/>
    <w:rsid w:val="0037461F"/>
    <w:rsid w:val="00374721"/>
    <w:rsid w:val="00374D6B"/>
    <w:rsid w:val="00374E82"/>
    <w:rsid w:val="00375577"/>
    <w:rsid w:val="00375770"/>
    <w:rsid w:val="0037586C"/>
    <w:rsid w:val="00375955"/>
    <w:rsid w:val="00375A29"/>
    <w:rsid w:val="00375E3A"/>
    <w:rsid w:val="00375E98"/>
    <w:rsid w:val="00375EF5"/>
    <w:rsid w:val="00376155"/>
    <w:rsid w:val="003765E1"/>
    <w:rsid w:val="003767A5"/>
    <w:rsid w:val="00376B26"/>
    <w:rsid w:val="00376B99"/>
    <w:rsid w:val="00376E18"/>
    <w:rsid w:val="00376ED4"/>
    <w:rsid w:val="00377236"/>
    <w:rsid w:val="003772FA"/>
    <w:rsid w:val="003774D5"/>
    <w:rsid w:val="003776B0"/>
    <w:rsid w:val="00377A58"/>
    <w:rsid w:val="00377B45"/>
    <w:rsid w:val="00377B85"/>
    <w:rsid w:val="00380007"/>
    <w:rsid w:val="00380089"/>
    <w:rsid w:val="003802CA"/>
    <w:rsid w:val="003803BD"/>
    <w:rsid w:val="003808D4"/>
    <w:rsid w:val="00380B44"/>
    <w:rsid w:val="00380D5B"/>
    <w:rsid w:val="00380D88"/>
    <w:rsid w:val="00380E4B"/>
    <w:rsid w:val="00380F38"/>
    <w:rsid w:val="00380FA6"/>
    <w:rsid w:val="00381047"/>
    <w:rsid w:val="003813DF"/>
    <w:rsid w:val="0038141B"/>
    <w:rsid w:val="00381502"/>
    <w:rsid w:val="00381550"/>
    <w:rsid w:val="003815DB"/>
    <w:rsid w:val="00381A8F"/>
    <w:rsid w:val="00381BBF"/>
    <w:rsid w:val="00381C26"/>
    <w:rsid w:val="00381D15"/>
    <w:rsid w:val="00381D58"/>
    <w:rsid w:val="00381F58"/>
    <w:rsid w:val="003820F9"/>
    <w:rsid w:val="0038217C"/>
    <w:rsid w:val="0038222D"/>
    <w:rsid w:val="0038240C"/>
    <w:rsid w:val="0038252A"/>
    <w:rsid w:val="00382698"/>
    <w:rsid w:val="0038273C"/>
    <w:rsid w:val="00382827"/>
    <w:rsid w:val="00382916"/>
    <w:rsid w:val="00382CC2"/>
    <w:rsid w:val="00383313"/>
    <w:rsid w:val="003834B1"/>
    <w:rsid w:val="003836E1"/>
    <w:rsid w:val="00383844"/>
    <w:rsid w:val="003838C3"/>
    <w:rsid w:val="00383CE4"/>
    <w:rsid w:val="00383DDE"/>
    <w:rsid w:val="00383EB6"/>
    <w:rsid w:val="00383EC1"/>
    <w:rsid w:val="00384034"/>
    <w:rsid w:val="0038440D"/>
    <w:rsid w:val="003844A2"/>
    <w:rsid w:val="00384532"/>
    <w:rsid w:val="00384535"/>
    <w:rsid w:val="0038464C"/>
    <w:rsid w:val="00384848"/>
    <w:rsid w:val="003848A2"/>
    <w:rsid w:val="0038497C"/>
    <w:rsid w:val="00384D23"/>
    <w:rsid w:val="003850E9"/>
    <w:rsid w:val="00385254"/>
    <w:rsid w:val="00385D98"/>
    <w:rsid w:val="00386137"/>
    <w:rsid w:val="003867DB"/>
    <w:rsid w:val="003867DC"/>
    <w:rsid w:val="003868E6"/>
    <w:rsid w:val="00386A94"/>
    <w:rsid w:val="00386BB4"/>
    <w:rsid w:val="003874B7"/>
    <w:rsid w:val="00387626"/>
    <w:rsid w:val="0038762B"/>
    <w:rsid w:val="00387C8C"/>
    <w:rsid w:val="00387D49"/>
    <w:rsid w:val="0039016E"/>
    <w:rsid w:val="00390174"/>
    <w:rsid w:val="003901D5"/>
    <w:rsid w:val="00390253"/>
    <w:rsid w:val="00390357"/>
    <w:rsid w:val="00390B3B"/>
    <w:rsid w:val="00390D91"/>
    <w:rsid w:val="00391009"/>
    <w:rsid w:val="00391063"/>
    <w:rsid w:val="003910E2"/>
    <w:rsid w:val="0039117D"/>
    <w:rsid w:val="0039145C"/>
    <w:rsid w:val="0039160C"/>
    <w:rsid w:val="0039170E"/>
    <w:rsid w:val="00391843"/>
    <w:rsid w:val="0039192E"/>
    <w:rsid w:val="00391B25"/>
    <w:rsid w:val="00391B47"/>
    <w:rsid w:val="00391D68"/>
    <w:rsid w:val="00392155"/>
    <w:rsid w:val="00392335"/>
    <w:rsid w:val="00392386"/>
    <w:rsid w:val="0039241A"/>
    <w:rsid w:val="0039248E"/>
    <w:rsid w:val="00392586"/>
    <w:rsid w:val="00392719"/>
    <w:rsid w:val="003927DC"/>
    <w:rsid w:val="003927FC"/>
    <w:rsid w:val="00392844"/>
    <w:rsid w:val="00392A76"/>
    <w:rsid w:val="00392AD8"/>
    <w:rsid w:val="00392D1A"/>
    <w:rsid w:val="00392DDE"/>
    <w:rsid w:val="003933E8"/>
    <w:rsid w:val="0039362A"/>
    <w:rsid w:val="0039363D"/>
    <w:rsid w:val="00393697"/>
    <w:rsid w:val="00393838"/>
    <w:rsid w:val="003938C6"/>
    <w:rsid w:val="0039391E"/>
    <w:rsid w:val="00393C40"/>
    <w:rsid w:val="00393C43"/>
    <w:rsid w:val="00393C72"/>
    <w:rsid w:val="00394031"/>
    <w:rsid w:val="0039427D"/>
    <w:rsid w:val="003943E7"/>
    <w:rsid w:val="00394450"/>
    <w:rsid w:val="0039469A"/>
    <w:rsid w:val="0039499C"/>
    <w:rsid w:val="00394E0F"/>
    <w:rsid w:val="00394E3B"/>
    <w:rsid w:val="00394EB3"/>
    <w:rsid w:val="00394F2C"/>
    <w:rsid w:val="00394FFF"/>
    <w:rsid w:val="0039504A"/>
    <w:rsid w:val="0039531E"/>
    <w:rsid w:val="00395356"/>
    <w:rsid w:val="00395884"/>
    <w:rsid w:val="00395B9A"/>
    <w:rsid w:val="00395C3B"/>
    <w:rsid w:val="00395ED0"/>
    <w:rsid w:val="00395EF3"/>
    <w:rsid w:val="003964F0"/>
    <w:rsid w:val="00396709"/>
    <w:rsid w:val="00396818"/>
    <w:rsid w:val="00396931"/>
    <w:rsid w:val="00396A39"/>
    <w:rsid w:val="00396B38"/>
    <w:rsid w:val="00396BC7"/>
    <w:rsid w:val="00396DC2"/>
    <w:rsid w:val="00396FE1"/>
    <w:rsid w:val="00397120"/>
    <w:rsid w:val="003974E7"/>
    <w:rsid w:val="003976F3"/>
    <w:rsid w:val="003977C0"/>
    <w:rsid w:val="0039783D"/>
    <w:rsid w:val="00397970"/>
    <w:rsid w:val="0039798E"/>
    <w:rsid w:val="00397A24"/>
    <w:rsid w:val="00397CCF"/>
    <w:rsid w:val="00397CD3"/>
    <w:rsid w:val="003A0056"/>
    <w:rsid w:val="003A0168"/>
    <w:rsid w:val="003A01DA"/>
    <w:rsid w:val="003A04DB"/>
    <w:rsid w:val="003A0791"/>
    <w:rsid w:val="003A0CA8"/>
    <w:rsid w:val="003A138C"/>
    <w:rsid w:val="003A13B1"/>
    <w:rsid w:val="003A14AA"/>
    <w:rsid w:val="003A1AE6"/>
    <w:rsid w:val="003A1C84"/>
    <w:rsid w:val="003A1D9F"/>
    <w:rsid w:val="003A1ECD"/>
    <w:rsid w:val="003A2078"/>
    <w:rsid w:val="003A2180"/>
    <w:rsid w:val="003A2196"/>
    <w:rsid w:val="003A2364"/>
    <w:rsid w:val="003A2503"/>
    <w:rsid w:val="003A26CF"/>
    <w:rsid w:val="003A293A"/>
    <w:rsid w:val="003A2A04"/>
    <w:rsid w:val="003A2A22"/>
    <w:rsid w:val="003A308B"/>
    <w:rsid w:val="003A308E"/>
    <w:rsid w:val="003A3536"/>
    <w:rsid w:val="003A3609"/>
    <w:rsid w:val="003A3641"/>
    <w:rsid w:val="003A3885"/>
    <w:rsid w:val="003A3E97"/>
    <w:rsid w:val="003A3EDA"/>
    <w:rsid w:val="003A4915"/>
    <w:rsid w:val="003A5036"/>
    <w:rsid w:val="003A507F"/>
    <w:rsid w:val="003A521B"/>
    <w:rsid w:val="003A5B1B"/>
    <w:rsid w:val="003A5BC6"/>
    <w:rsid w:val="003A5C05"/>
    <w:rsid w:val="003A5E0F"/>
    <w:rsid w:val="003A5F5B"/>
    <w:rsid w:val="003A6636"/>
    <w:rsid w:val="003A68E3"/>
    <w:rsid w:val="003A6C1B"/>
    <w:rsid w:val="003A6CE3"/>
    <w:rsid w:val="003A715C"/>
    <w:rsid w:val="003A759C"/>
    <w:rsid w:val="003A7640"/>
    <w:rsid w:val="003A7648"/>
    <w:rsid w:val="003A789A"/>
    <w:rsid w:val="003A792C"/>
    <w:rsid w:val="003A7AA2"/>
    <w:rsid w:val="003A7B34"/>
    <w:rsid w:val="003A7B42"/>
    <w:rsid w:val="003A7E3B"/>
    <w:rsid w:val="003A7EBB"/>
    <w:rsid w:val="003B02C5"/>
    <w:rsid w:val="003B06B0"/>
    <w:rsid w:val="003B076E"/>
    <w:rsid w:val="003B07A6"/>
    <w:rsid w:val="003B0876"/>
    <w:rsid w:val="003B09B0"/>
    <w:rsid w:val="003B0AC7"/>
    <w:rsid w:val="003B0D67"/>
    <w:rsid w:val="003B0E9C"/>
    <w:rsid w:val="003B1001"/>
    <w:rsid w:val="003B12EC"/>
    <w:rsid w:val="003B1448"/>
    <w:rsid w:val="003B14B6"/>
    <w:rsid w:val="003B1681"/>
    <w:rsid w:val="003B1868"/>
    <w:rsid w:val="003B1DD1"/>
    <w:rsid w:val="003B1DEC"/>
    <w:rsid w:val="003B1E49"/>
    <w:rsid w:val="003B1FE6"/>
    <w:rsid w:val="003B2156"/>
    <w:rsid w:val="003B2162"/>
    <w:rsid w:val="003B225A"/>
    <w:rsid w:val="003B2272"/>
    <w:rsid w:val="003B2428"/>
    <w:rsid w:val="003B25D3"/>
    <w:rsid w:val="003B2CDF"/>
    <w:rsid w:val="003B2D90"/>
    <w:rsid w:val="003B2F36"/>
    <w:rsid w:val="003B3085"/>
    <w:rsid w:val="003B34AA"/>
    <w:rsid w:val="003B363F"/>
    <w:rsid w:val="003B3706"/>
    <w:rsid w:val="003B394A"/>
    <w:rsid w:val="003B3B5B"/>
    <w:rsid w:val="003B3E1E"/>
    <w:rsid w:val="003B413B"/>
    <w:rsid w:val="003B415A"/>
    <w:rsid w:val="003B42BE"/>
    <w:rsid w:val="003B44C5"/>
    <w:rsid w:val="003B4636"/>
    <w:rsid w:val="003B47E4"/>
    <w:rsid w:val="003B48A6"/>
    <w:rsid w:val="003B4907"/>
    <w:rsid w:val="003B4A3F"/>
    <w:rsid w:val="003B4CB7"/>
    <w:rsid w:val="003B4EC3"/>
    <w:rsid w:val="003B5670"/>
    <w:rsid w:val="003B582A"/>
    <w:rsid w:val="003B5B96"/>
    <w:rsid w:val="003B5C86"/>
    <w:rsid w:val="003B5D63"/>
    <w:rsid w:val="003B617F"/>
    <w:rsid w:val="003B6490"/>
    <w:rsid w:val="003B69E7"/>
    <w:rsid w:val="003B6C61"/>
    <w:rsid w:val="003B70C4"/>
    <w:rsid w:val="003B70DD"/>
    <w:rsid w:val="003B746B"/>
    <w:rsid w:val="003B7BA7"/>
    <w:rsid w:val="003B7C21"/>
    <w:rsid w:val="003B7E98"/>
    <w:rsid w:val="003B7F80"/>
    <w:rsid w:val="003C01AC"/>
    <w:rsid w:val="003C03A7"/>
    <w:rsid w:val="003C03B8"/>
    <w:rsid w:val="003C046E"/>
    <w:rsid w:val="003C051D"/>
    <w:rsid w:val="003C0BD4"/>
    <w:rsid w:val="003C0D43"/>
    <w:rsid w:val="003C0D4A"/>
    <w:rsid w:val="003C10C6"/>
    <w:rsid w:val="003C11BF"/>
    <w:rsid w:val="003C1200"/>
    <w:rsid w:val="003C138E"/>
    <w:rsid w:val="003C15E0"/>
    <w:rsid w:val="003C1756"/>
    <w:rsid w:val="003C1824"/>
    <w:rsid w:val="003C18A0"/>
    <w:rsid w:val="003C1933"/>
    <w:rsid w:val="003C1E9C"/>
    <w:rsid w:val="003C20C6"/>
    <w:rsid w:val="003C2173"/>
    <w:rsid w:val="003C2276"/>
    <w:rsid w:val="003C2435"/>
    <w:rsid w:val="003C25F9"/>
    <w:rsid w:val="003C281E"/>
    <w:rsid w:val="003C2862"/>
    <w:rsid w:val="003C2A2F"/>
    <w:rsid w:val="003C2A46"/>
    <w:rsid w:val="003C2A5D"/>
    <w:rsid w:val="003C2C91"/>
    <w:rsid w:val="003C2F2A"/>
    <w:rsid w:val="003C2F8D"/>
    <w:rsid w:val="003C305B"/>
    <w:rsid w:val="003C31C0"/>
    <w:rsid w:val="003C3208"/>
    <w:rsid w:val="003C36EA"/>
    <w:rsid w:val="003C395E"/>
    <w:rsid w:val="003C3EA9"/>
    <w:rsid w:val="003C3FA9"/>
    <w:rsid w:val="003C41DA"/>
    <w:rsid w:val="003C42EE"/>
    <w:rsid w:val="003C4325"/>
    <w:rsid w:val="003C44AD"/>
    <w:rsid w:val="003C4564"/>
    <w:rsid w:val="003C45D8"/>
    <w:rsid w:val="003C4BD0"/>
    <w:rsid w:val="003C50EC"/>
    <w:rsid w:val="003C52B9"/>
    <w:rsid w:val="003C52F0"/>
    <w:rsid w:val="003C581B"/>
    <w:rsid w:val="003C5A4D"/>
    <w:rsid w:val="003C5B53"/>
    <w:rsid w:val="003C5C1C"/>
    <w:rsid w:val="003C5DD0"/>
    <w:rsid w:val="003C5FC8"/>
    <w:rsid w:val="003C614D"/>
    <w:rsid w:val="003C6628"/>
    <w:rsid w:val="003C6715"/>
    <w:rsid w:val="003C683E"/>
    <w:rsid w:val="003C6CA1"/>
    <w:rsid w:val="003C6D02"/>
    <w:rsid w:val="003C6D42"/>
    <w:rsid w:val="003C6F75"/>
    <w:rsid w:val="003C7136"/>
    <w:rsid w:val="003C752E"/>
    <w:rsid w:val="003C77E0"/>
    <w:rsid w:val="003C7C3E"/>
    <w:rsid w:val="003C7D00"/>
    <w:rsid w:val="003C7D7E"/>
    <w:rsid w:val="003C7F5E"/>
    <w:rsid w:val="003C7F71"/>
    <w:rsid w:val="003D0161"/>
    <w:rsid w:val="003D02FD"/>
    <w:rsid w:val="003D0381"/>
    <w:rsid w:val="003D0C30"/>
    <w:rsid w:val="003D0C76"/>
    <w:rsid w:val="003D0E28"/>
    <w:rsid w:val="003D1007"/>
    <w:rsid w:val="003D1043"/>
    <w:rsid w:val="003D11CD"/>
    <w:rsid w:val="003D1288"/>
    <w:rsid w:val="003D1591"/>
    <w:rsid w:val="003D15DF"/>
    <w:rsid w:val="003D1744"/>
    <w:rsid w:val="003D17D7"/>
    <w:rsid w:val="003D17EC"/>
    <w:rsid w:val="003D1A11"/>
    <w:rsid w:val="003D1BD3"/>
    <w:rsid w:val="003D22B6"/>
    <w:rsid w:val="003D232F"/>
    <w:rsid w:val="003D234E"/>
    <w:rsid w:val="003D2678"/>
    <w:rsid w:val="003D27A1"/>
    <w:rsid w:val="003D281D"/>
    <w:rsid w:val="003D2845"/>
    <w:rsid w:val="003D28C8"/>
    <w:rsid w:val="003D2DCA"/>
    <w:rsid w:val="003D3089"/>
    <w:rsid w:val="003D30B2"/>
    <w:rsid w:val="003D3698"/>
    <w:rsid w:val="003D3877"/>
    <w:rsid w:val="003D3A8C"/>
    <w:rsid w:val="003D3ABD"/>
    <w:rsid w:val="003D3B08"/>
    <w:rsid w:val="003D3D46"/>
    <w:rsid w:val="003D407A"/>
    <w:rsid w:val="003D40F3"/>
    <w:rsid w:val="003D4401"/>
    <w:rsid w:val="003D48BA"/>
    <w:rsid w:val="003D48F4"/>
    <w:rsid w:val="003D4BFF"/>
    <w:rsid w:val="003D4CB9"/>
    <w:rsid w:val="003D4CC6"/>
    <w:rsid w:val="003D4D05"/>
    <w:rsid w:val="003D4D2E"/>
    <w:rsid w:val="003D4E12"/>
    <w:rsid w:val="003D550D"/>
    <w:rsid w:val="003D5A70"/>
    <w:rsid w:val="003D5C6B"/>
    <w:rsid w:val="003D6278"/>
    <w:rsid w:val="003D6389"/>
    <w:rsid w:val="003D65CB"/>
    <w:rsid w:val="003D690B"/>
    <w:rsid w:val="003D69FB"/>
    <w:rsid w:val="003D6B46"/>
    <w:rsid w:val="003D6E4B"/>
    <w:rsid w:val="003D6FDB"/>
    <w:rsid w:val="003D7148"/>
    <w:rsid w:val="003D71A3"/>
    <w:rsid w:val="003D73C1"/>
    <w:rsid w:val="003D7797"/>
    <w:rsid w:val="003D7A25"/>
    <w:rsid w:val="003D7A37"/>
    <w:rsid w:val="003D7BA0"/>
    <w:rsid w:val="003D7E14"/>
    <w:rsid w:val="003E0048"/>
    <w:rsid w:val="003E014B"/>
    <w:rsid w:val="003E0399"/>
    <w:rsid w:val="003E05C1"/>
    <w:rsid w:val="003E0ACA"/>
    <w:rsid w:val="003E0DF0"/>
    <w:rsid w:val="003E0F14"/>
    <w:rsid w:val="003E128F"/>
    <w:rsid w:val="003E12E6"/>
    <w:rsid w:val="003E14F7"/>
    <w:rsid w:val="003E1732"/>
    <w:rsid w:val="003E17D7"/>
    <w:rsid w:val="003E185C"/>
    <w:rsid w:val="003E1933"/>
    <w:rsid w:val="003E1FBF"/>
    <w:rsid w:val="003E25AA"/>
    <w:rsid w:val="003E262E"/>
    <w:rsid w:val="003E26B2"/>
    <w:rsid w:val="003E2714"/>
    <w:rsid w:val="003E2B8A"/>
    <w:rsid w:val="003E2BA5"/>
    <w:rsid w:val="003E2DDC"/>
    <w:rsid w:val="003E2E15"/>
    <w:rsid w:val="003E2FEE"/>
    <w:rsid w:val="003E35B7"/>
    <w:rsid w:val="003E38E6"/>
    <w:rsid w:val="003E428D"/>
    <w:rsid w:val="003E445D"/>
    <w:rsid w:val="003E4879"/>
    <w:rsid w:val="003E4A97"/>
    <w:rsid w:val="003E4B34"/>
    <w:rsid w:val="003E4C58"/>
    <w:rsid w:val="003E4C62"/>
    <w:rsid w:val="003E542C"/>
    <w:rsid w:val="003E5811"/>
    <w:rsid w:val="003E5C42"/>
    <w:rsid w:val="003E5CD3"/>
    <w:rsid w:val="003E63A6"/>
    <w:rsid w:val="003E66F8"/>
    <w:rsid w:val="003E66FD"/>
    <w:rsid w:val="003E6770"/>
    <w:rsid w:val="003E6A28"/>
    <w:rsid w:val="003E6AE6"/>
    <w:rsid w:val="003E6B1F"/>
    <w:rsid w:val="003E6FE5"/>
    <w:rsid w:val="003E7030"/>
    <w:rsid w:val="003E71A1"/>
    <w:rsid w:val="003E733F"/>
    <w:rsid w:val="003E75C6"/>
    <w:rsid w:val="003E7805"/>
    <w:rsid w:val="003E7A7A"/>
    <w:rsid w:val="003E7B0B"/>
    <w:rsid w:val="003E7B8C"/>
    <w:rsid w:val="003E7F40"/>
    <w:rsid w:val="003F02EF"/>
    <w:rsid w:val="003F03D9"/>
    <w:rsid w:val="003F07F0"/>
    <w:rsid w:val="003F088C"/>
    <w:rsid w:val="003F0A54"/>
    <w:rsid w:val="003F0B0C"/>
    <w:rsid w:val="003F0C7D"/>
    <w:rsid w:val="003F10EE"/>
    <w:rsid w:val="003F10F0"/>
    <w:rsid w:val="003F11CB"/>
    <w:rsid w:val="003F11F7"/>
    <w:rsid w:val="003F16C3"/>
    <w:rsid w:val="003F16F6"/>
    <w:rsid w:val="003F186A"/>
    <w:rsid w:val="003F1A98"/>
    <w:rsid w:val="003F1F2B"/>
    <w:rsid w:val="003F25B6"/>
    <w:rsid w:val="003F2EDD"/>
    <w:rsid w:val="003F2F67"/>
    <w:rsid w:val="003F31EF"/>
    <w:rsid w:val="003F31F7"/>
    <w:rsid w:val="003F32BA"/>
    <w:rsid w:val="003F359E"/>
    <w:rsid w:val="003F367A"/>
    <w:rsid w:val="003F38A6"/>
    <w:rsid w:val="003F39BE"/>
    <w:rsid w:val="003F3D61"/>
    <w:rsid w:val="003F4131"/>
    <w:rsid w:val="003F416E"/>
    <w:rsid w:val="003F4291"/>
    <w:rsid w:val="003F4645"/>
    <w:rsid w:val="003F4798"/>
    <w:rsid w:val="003F4983"/>
    <w:rsid w:val="003F4CFE"/>
    <w:rsid w:val="003F4DC7"/>
    <w:rsid w:val="003F5235"/>
    <w:rsid w:val="003F5404"/>
    <w:rsid w:val="003F5510"/>
    <w:rsid w:val="003F5674"/>
    <w:rsid w:val="003F584D"/>
    <w:rsid w:val="003F5874"/>
    <w:rsid w:val="003F5909"/>
    <w:rsid w:val="003F5A4A"/>
    <w:rsid w:val="003F5A82"/>
    <w:rsid w:val="003F5B77"/>
    <w:rsid w:val="003F5FFC"/>
    <w:rsid w:val="003F6020"/>
    <w:rsid w:val="003F6048"/>
    <w:rsid w:val="003F6199"/>
    <w:rsid w:val="003F63C5"/>
    <w:rsid w:val="003F6495"/>
    <w:rsid w:val="003F65BF"/>
    <w:rsid w:val="003F6CA0"/>
    <w:rsid w:val="003F6CCC"/>
    <w:rsid w:val="003F7005"/>
    <w:rsid w:val="003F72A6"/>
    <w:rsid w:val="003F76DB"/>
    <w:rsid w:val="003F799E"/>
    <w:rsid w:val="003F7B26"/>
    <w:rsid w:val="003F7DD6"/>
    <w:rsid w:val="003F7EC1"/>
    <w:rsid w:val="0040024B"/>
    <w:rsid w:val="00400421"/>
    <w:rsid w:val="004004D4"/>
    <w:rsid w:val="00400805"/>
    <w:rsid w:val="00400A04"/>
    <w:rsid w:val="00400A1E"/>
    <w:rsid w:val="00400CD9"/>
    <w:rsid w:val="00400CFF"/>
    <w:rsid w:val="00401202"/>
    <w:rsid w:val="00401978"/>
    <w:rsid w:val="00401B97"/>
    <w:rsid w:val="00401EE6"/>
    <w:rsid w:val="00401FB0"/>
    <w:rsid w:val="00402032"/>
    <w:rsid w:val="004023C2"/>
    <w:rsid w:val="0040240D"/>
    <w:rsid w:val="00402582"/>
    <w:rsid w:val="004025AB"/>
    <w:rsid w:val="0040279E"/>
    <w:rsid w:val="004027E4"/>
    <w:rsid w:val="00402896"/>
    <w:rsid w:val="004029DF"/>
    <w:rsid w:val="00402B43"/>
    <w:rsid w:val="00402E06"/>
    <w:rsid w:val="00402F2C"/>
    <w:rsid w:val="00402FB4"/>
    <w:rsid w:val="004030A8"/>
    <w:rsid w:val="00403136"/>
    <w:rsid w:val="00403192"/>
    <w:rsid w:val="00403362"/>
    <w:rsid w:val="00403401"/>
    <w:rsid w:val="004036BD"/>
    <w:rsid w:val="00403821"/>
    <w:rsid w:val="004038B5"/>
    <w:rsid w:val="004039E7"/>
    <w:rsid w:val="00403B4A"/>
    <w:rsid w:val="00403C0B"/>
    <w:rsid w:val="00403C64"/>
    <w:rsid w:val="00403DD3"/>
    <w:rsid w:val="00403FFE"/>
    <w:rsid w:val="00404221"/>
    <w:rsid w:val="004044F7"/>
    <w:rsid w:val="004045F0"/>
    <w:rsid w:val="00404736"/>
    <w:rsid w:val="004049B7"/>
    <w:rsid w:val="00404AB7"/>
    <w:rsid w:val="00404CEE"/>
    <w:rsid w:val="00404DAD"/>
    <w:rsid w:val="00404E9F"/>
    <w:rsid w:val="00404F19"/>
    <w:rsid w:val="00404FEF"/>
    <w:rsid w:val="0040510A"/>
    <w:rsid w:val="004053DA"/>
    <w:rsid w:val="0040551A"/>
    <w:rsid w:val="004057F4"/>
    <w:rsid w:val="00405B92"/>
    <w:rsid w:val="00405B9F"/>
    <w:rsid w:val="00405BB9"/>
    <w:rsid w:val="00405ED0"/>
    <w:rsid w:val="00405F19"/>
    <w:rsid w:val="00405F82"/>
    <w:rsid w:val="00406132"/>
    <w:rsid w:val="00406154"/>
    <w:rsid w:val="0040648E"/>
    <w:rsid w:val="0040651D"/>
    <w:rsid w:val="00406542"/>
    <w:rsid w:val="004065E5"/>
    <w:rsid w:val="00406923"/>
    <w:rsid w:val="00406A59"/>
    <w:rsid w:val="00406BB0"/>
    <w:rsid w:val="004070E9"/>
    <w:rsid w:val="00407464"/>
    <w:rsid w:val="0040765B"/>
    <w:rsid w:val="004076EB"/>
    <w:rsid w:val="004077E9"/>
    <w:rsid w:val="00407833"/>
    <w:rsid w:val="00407960"/>
    <w:rsid w:val="00407D05"/>
    <w:rsid w:val="00407E02"/>
    <w:rsid w:val="00407FA8"/>
    <w:rsid w:val="00410345"/>
    <w:rsid w:val="00410386"/>
    <w:rsid w:val="004103C9"/>
    <w:rsid w:val="00410659"/>
    <w:rsid w:val="0041071D"/>
    <w:rsid w:val="00410854"/>
    <w:rsid w:val="00410B31"/>
    <w:rsid w:val="00410BD8"/>
    <w:rsid w:val="00410C7F"/>
    <w:rsid w:val="00410D31"/>
    <w:rsid w:val="00410E0D"/>
    <w:rsid w:val="00410E42"/>
    <w:rsid w:val="00410EAB"/>
    <w:rsid w:val="00410F00"/>
    <w:rsid w:val="0041128F"/>
    <w:rsid w:val="00411329"/>
    <w:rsid w:val="004114BD"/>
    <w:rsid w:val="004116B3"/>
    <w:rsid w:val="0041179E"/>
    <w:rsid w:val="004117A0"/>
    <w:rsid w:val="00411937"/>
    <w:rsid w:val="00411993"/>
    <w:rsid w:val="00411A4B"/>
    <w:rsid w:val="00411ACB"/>
    <w:rsid w:val="00411E00"/>
    <w:rsid w:val="00411EBE"/>
    <w:rsid w:val="00411F06"/>
    <w:rsid w:val="004121C7"/>
    <w:rsid w:val="00412479"/>
    <w:rsid w:val="00412620"/>
    <w:rsid w:val="00412845"/>
    <w:rsid w:val="004128D7"/>
    <w:rsid w:val="00412A8C"/>
    <w:rsid w:val="00412D57"/>
    <w:rsid w:val="00412FA8"/>
    <w:rsid w:val="004135BF"/>
    <w:rsid w:val="00413947"/>
    <w:rsid w:val="00413AA4"/>
    <w:rsid w:val="00413B86"/>
    <w:rsid w:val="00413C3A"/>
    <w:rsid w:val="00413DB0"/>
    <w:rsid w:val="00413F8C"/>
    <w:rsid w:val="00414394"/>
    <w:rsid w:val="0041447C"/>
    <w:rsid w:val="004144D6"/>
    <w:rsid w:val="004145D7"/>
    <w:rsid w:val="00414AFC"/>
    <w:rsid w:val="00414BEC"/>
    <w:rsid w:val="00414D5B"/>
    <w:rsid w:val="004151A7"/>
    <w:rsid w:val="00415310"/>
    <w:rsid w:val="004155BF"/>
    <w:rsid w:val="00415C47"/>
    <w:rsid w:val="00415DE3"/>
    <w:rsid w:val="00415E4E"/>
    <w:rsid w:val="004160F6"/>
    <w:rsid w:val="004162C9"/>
    <w:rsid w:val="004163B4"/>
    <w:rsid w:val="00416439"/>
    <w:rsid w:val="00416553"/>
    <w:rsid w:val="004166CC"/>
    <w:rsid w:val="00416CDF"/>
    <w:rsid w:val="00416E53"/>
    <w:rsid w:val="00417208"/>
    <w:rsid w:val="004174C2"/>
    <w:rsid w:val="00417902"/>
    <w:rsid w:val="00417976"/>
    <w:rsid w:val="004179B1"/>
    <w:rsid w:val="00417AF7"/>
    <w:rsid w:val="00417B66"/>
    <w:rsid w:val="00417D86"/>
    <w:rsid w:val="00417E2B"/>
    <w:rsid w:val="00417F99"/>
    <w:rsid w:val="0042024E"/>
    <w:rsid w:val="00420467"/>
    <w:rsid w:val="004205AE"/>
    <w:rsid w:val="004206B8"/>
    <w:rsid w:val="00420707"/>
    <w:rsid w:val="00420A9B"/>
    <w:rsid w:val="00420C2C"/>
    <w:rsid w:val="00420D2F"/>
    <w:rsid w:val="00420D6D"/>
    <w:rsid w:val="00420DEC"/>
    <w:rsid w:val="00420E42"/>
    <w:rsid w:val="00420E45"/>
    <w:rsid w:val="00420FDB"/>
    <w:rsid w:val="004212DE"/>
    <w:rsid w:val="004212FF"/>
    <w:rsid w:val="0042133B"/>
    <w:rsid w:val="004213A0"/>
    <w:rsid w:val="00421635"/>
    <w:rsid w:val="00421709"/>
    <w:rsid w:val="00421AA7"/>
    <w:rsid w:val="00421D32"/>
    <w:rsid w:val="00421EFE"/>
    <w:rsid w:val="00422069"/>
    <w:rsid w:val="00422084"/>
    <w:rsid w:val="004221B9"/>
    <w:rsid w:val="004227F6"/>
    <w:rsid w:val="00422EE6"/>
    <w:rsid w:val="004230AC"/>
    <w:rsid w:val="00423165"/>
    <w:rsid w:val="00423210"/>
    <w:rsid w:val="004232F0"/>
    <w:rsid w:val="004235C7"/>
    <w:rsid w:val="004236F6"/>
    <w:rsid w:val="00423763"/>
    <w:rsid w:val="004237E2"/>
    <w:rsid w:val="004239C6"/>
    <w:rsid w:val="00423B71"/>
    <w:rsid w:val="00423B7B"/>
    <w:rsid w:val="004249D8"/>
    <w:rsid w:val="00424C4E"/>
    <w:rsid w:val="00424C72"/>
    <w:rsid w:val="00424D73"/>
    <w:rsid w:val="00424DAA"/>
    <w:rsid w:val="00424F1E"/>
    <w:rsid w:val="004250BA"/>
    <w:rsid w:val="00425182"/>
    <w:rsid w:val="004254BC"/>
    <w:rsid w:val="00425518"/>
    <w:rsid w:val="004257D0"/>
    <w:rsid w:val="00425C23"/>
    <w:rsid w:val="00425E0A"/>
    <w:rsid w:val="00425F06"/>
    <w:rsid w:val="004261CB"/>
    <w:rsid w:val="0042627C"/>
    <w:rsid w:val="004262FD"/>
    <w:rsid w:val="00426327"/>
    <w:rsid w:val="00426794"/>
    <w:rsid w:val="0042685C"/>
    <w:rsid w:val="004268D7"/>
    <w:rsid w:val="00426B5D"/>
    <w:rsid w:val="00426C49"/>
    <w:rsid w:val="0042762F"/>
    <w:rsid w:val="004278C4"/>
    <w:rsid w:val="00427ABA"/>
    <w:rsid w:val="00427DC7"/>
    <w:rsid w:val="00427FB8"/>
    <w:rsid w:val="004302EE"/>
    <w:rsid w:val="0043033A"/>
    <w:rsid w:val="004304E3"/>
    <w:rsid w:val="00430560"/>
    <w:rsid w:val="00430634"/>
    <w:rsid w:val="004307EC"/>
    <w:rsid w:val="004308E6"/>
    <w:rsid w:val="0043091F"/>
    <w:rsid w:val="00430B25"/>
    <w:rsid w:val="00430DCE"/>
    <w:rsid w:val="00430EB1"/>
    <w:rsid w:val="00430FBD"/>
    <w:rsid w:val="00431062"/>
    <w:rsid w:val="00431066"/>
    <w:rsid w:val="00431162"/>
    <w:rsid w:val="00431613"/>
    <w:rsid w:val="0043167F"/>
    <w:rsid w:val="004316FF"/>
    <w:rsid w:val="00431792"/>
    <w:rsid w:val="00431FC4"/>
    <w:rsid w:val="004320EA"/>
    <w:rsid w:val="00432844"/>
    <w:rsid w:val="0043297A"/>
    <w:rsid w:val="004329BD"/>
    <w:rsid w:val="00432B12"/>
    <w:rsid w:val="00432C65"/>
    <w:rsid w:val="00432EB2"/>
    <w:rsid w:val="00433126"/>
    <w:rsid w:val="00433292"/>
    <w:rsid w:val="004332D3"/>
    <w:rsid w:val="0043345C"/>
    <w:rsid w:val="0043347B"/>
    <w:rsid w:val="0043369B"/>
    <w:rsid w:val="00433777"/>
    <w:rsid w:val="00434016"/>
    <w:rsid w:val="00434036"/>
    <w:rsid w:val="004342E7"/>
    <w:rsid w:val="00434305"/>
    <w:rsid w:val="004344C4"/>
    <w:rsid w:val="004345AC"/>
    <w:rsid w:val="0043483C"/>
    <w:rsid w:val="00434972"/>
    <w:rsid w:val="00434981"/>
    <w:rsid w:val="00434A7D"/>
    <w:rsid w:val="00434B87"/>
    <w:rsid w:val="0043541A"/>
    <w:rsid w:val="004355B5"/>
    <w:rsid w:val="004357D5"/>
    <w:rsid w:val="004358D3"/>
    <w:rsid w:val="00435944"/>
    <w:rsid w:val="00435B35"/>
    <w:rsid w:val="00435D94"/>
    <w:rsid w:val="00435E11"/>
    <w:rsid w:val="00435E28"/>
    <w:rsid w:val="00435E5C"/>
    <w:rsid w:val="00436302"/>
    <w:rsid w:val="00436572"/>
    <w:rsid w:val="004365BA"/>
    <w:rsid w:val="00436C26"/>
    <w:rsid w:val="00436FA0"/>
    <w:rsid w:val="0043714F"/>
    <w:rsid w:val="00437338"/>
    <w:rsid w:val="0043752C"/>
    <w:rsid w:val="00437540"/>
    <w:rsid w:val="004378CC"/>
    <w:rsid w:val="004379CE"/>
    <w:rsid w:val="00437F59"/>
    <w:rsid w:val="0044051A"/>
    <w:rsid w:val="00440740"/>
    <w:rsid w:val="00440800"/>
    <w:rsid w:val="004408C8"/>
    <w:rsid w:val="0044093C"/>
    <w:rsid w:val="00440ADA"/>
    <w:rsid w:val="00440D93"/>
    <w:rsid w:val="0044103B"/>
    <w:rsid w:val="0044112C"/>
    <w:rsid w:val="004418FE"/>
    <w:rsid w:val="00441D76"/>
    <w:rsid w:val="004422B8"/>
    <w:rsid w:val="00442627"/>
    <w:rsid w:val="0044262B"/>
    <w:rsid w:val="00442747"/>
    <w:rsid w:val="00442A18"/>
    <w:rsid w:val="00442B54"/>
    <w:rsid w:val="00443156"/>
    <w:rsid w:val="004431AB"/>
    <w:rsid w:val="004431FE"/>
    <w:rsid w:val="004436B0"/>
    <w:rsid w:val="0044374B"/>
    <w:rsid w:val="004438B5"/>
    <w:rsid w:val="0044396F"/>
    <w:rsid w:val="004439C3"/>
    <w:rsid w:val="00443A08"/>
    <w:rsid w:val="00443AFF"/>
    <w:rsid w:val="00443D9A"/>
    <w:rsid w:val="00444071"/>
    <w:rsid w:val="004442E0"/>
    <w:rsid w:val="004443B4"/>
    <w:rsid w:val="004446EE"/>
    <w:rsid w:val="004447E0"/>
    <w:rsid w:val="004448FC"/>
    <w:rsid w:val="0044494B"/>
    <w:rsid w:val="00444986"/>
    <w:rsid w:val="00444ACD"/>
    <w:rsid w:val="00444BCF"/>
    <w:rsid w:val="00444C50"/>
    <w:rsid w:val="00444DE9"/>
    <w:rsid w:val="00444E32"/>
    <w:rsid w:val="0044543F"/>
    <w:rsid w:val="00445480"/>
    <w:rsid w:val="004457E9"/>
    <w:rsid w:val="00445804"/>
    <w:rsid w:val="00445825"/>
    <w:rsid w:val="00445AAD"/>
    <w:rsid w:val="00445E3D"/>
    <w:rsid w:val="0044600E"/>
    <w:rsid w:val="0044604D"/>
    <w:rsid w:val="004461D1"/>
    <w:rsid w:val="0044660D"/>
    <w:rsid w:val="00446787"/>
    <w:rsid w:val="0044678B"/>
    <w:rsid w:val="004468A0"/>
    <w:rsid w:val="0044695F"/>
    <w:rsid w:val="00447037"/>
    <w:rsid w:val="0044709C"/>
    <w:rsid w:val="00447128"/>
    <w:rsid w:val="004473F4"/>
    <w:rsid w:val="00447751"/>
    <w:rsid w:val="00447A8F"/>
    <w:rsid w:val="00447AE7"/>
    <w:rsid w:val="00447FC7"/>
    <w:rsid w:val="00450171"/>
    <w:rsid w:val="00450266"/>
    <w:rsid w:val="004502D5"/>
    <w:rsid w:val="004503F9"/>
    <w:rsid w:val="00450504"/>
    <w:rsid w:val="004506B2"/>
    <w:rsid w:val="004509CB"/>
    <w:rsid w:val="00450B94"/>
    <w:rsid w:val="00450ED8"/>
    <w:rsid w:val="00450F77"/>
    <w:rsid w:val="004510B8"/>
    <w:rsid w:val="0045124D"/>
    <w:rsid w:val="004512A0"/>
    <w:rsid w:val="004515B6"/>
    <w:rsid w:val="00451715"/>
    <w:rsid w:val="0045187D"/>
    <w:rsid w:val="0045193B"/>
    <w:rsid w:val="004519A4"/>
    <w:rsid w:val="00451E3C"/>
    <w:rsid w:val="00452138"/>
    <w:rsid w:val="0045217C"/>
    <w:rsid w:val="004522D6"/>
    <w:rsid w:val="00452548"/>
    <w:rsid w:val="004528BE"/>
    <w:rsid w:val="004528D5"/>
    <w:rsid w:val="00452B76"/>
    <w:rsid w:val="00452BA6"/>
    <w:rsid w:val="00452FA4"/>
    <w:rsid w:val="00452FB5"/>
    <w:rsid w:val="0045304B"/>
    <w:rsid w:val="0045335E"/>
    <w:rsid w:val="00453AE0"/>
    <w:rsid w:val="00453E55"/>
    <w:rsid w:val="00453EF4"/>
    <w:rsid w:val="004543CC"/>
    <w:rsid w:val="00454596"/>
    <w:rsid w:val="004545B8"/>
    <w:rsid w:val="00454657"/>
    <w:rsid w:val="0045465A"/>
    <w:rsid w:val="0045471C"/>
    <w:rsid w:val="0045492D"/>
    <w:rsid w:val="00454D24"/>
    <w:rsid w:val="004551B7"/>
    <w:rsid w:val="00455338"/>
    <w:rsid w:val="0045535C"/>
    <w:rsid w:val="004554D9"/>
    <w:rsid w:val="00455586"/>
    <w:rsid w:val="004558BF"/>
    <w:rsid w:val="00455984"/>
    <w:rsid w:val="00455C36"/>
    <w:rsid w:val="0045605D"/>
    <w:rsid w:val="00456123"/>
    <w:rsid w:val="004562D4"/>
    <w:rsid w:val="004563D5"/>
    <w:rsid w:val="004567CD"/>
    <w:rsid w:val="004569B7"/>
    <w:rsid w:val="00456BFD"/>
    <w:rsid w:val="00456C45"/>
    <w:rsid w:val="00456D03"/>
    <w:rsid w:val="00456D1F"/>
    <w:rsid w:val="00456F6B"/>
    <w:rsid w:val="00456FF8"/>
    <w:rsid w:val="00457305"/>
    <w:rsid w:val="0045742A"/>
    <w:rsid w:val="00457486"/>
    <w:rsid w:val="004576AB"/>
    <w:rsid w:val="004577BC"/>
    <w:rsid w:val="004578A0"/>
    <w:rsid w:val="00457A2A"/>
    <w:rsid w:val="00457C7D"/>
    <w:rsid w:val="00457CF6"/>
    <w:rsid w:val="00460723"/>
    <w:rsid w:val="00460888"/>
    <w:rsid w:val="00460DDA"/>
    <w:rsid w:val="0046102B"/>
    <w:rsid w:val="00461244"/>
    <w:rsid w:val="00461298"/>
    <w:rsid w:val="0046130A"/>
    <w:rsid w:val="0046135B"/>
    <w:rsid w:val="004613AC"/>
    <w:rsid w:val="00461896"/>
    <w:rsid w:val="00461AB9"/>
    <w:rsid w:val="00461AD9"/>
    <w:rsid w:val="00461D44"/>
    <w:rsid w:val="00461D47"/>
    <w:rsid w:val="004620A7"/>
    <w:rsid w:val="004622F3"/>
    <w:rsid w:val="00462393"/>
    <w:rsid w:val="004625CB"/>
    <w:rsid w:val="004628F9"/>
    <w:rsid w:val="00463061"/>
    <w:rsid w:val="00463171"/>
    <w:rsid w:val="0046330C"/>
    <w:rsid w:val="004637B2"/>
    <w:rsid w:val="00463899"/>
    <w:rsid w:val="004639A7"/>
    <w:rsid w:val="00463D5F"/>
    <w:rsid w:val="00464278"/>
    <w:rsid w:val="0046430C"/>
    <w:rsid w:val="0046460F"/>
    <w:rsid w:val="00464641"/>
    <w:rsid w:val="004647E4"/>
    <w:rsid w:val="00464A9E"/>
    <w:rsid w:val="00464D30"/>
    <w:rsid w:val="0046525F"/>
    <w:rsid w:val="004653DA"/>
    <w:rsid w:val="004654DE"/>
    <w:rsid w:val="00465E1F"/>
    <w:rsid w:val="00466034"/>
    <w:rsid w:val="0046628F"/>
    <w:rsid w:val="004667D6"/>
    <w:rsid w:val="004669F8"/>
    <w:rsid w:val="00466DF2"/>
    <w:rsid w:val="00466DF3"/>
    <w:rsid w:val="00466F79"/>
    <w:rsid w:val="004670C5"/>
    <w:rsid w:val="0046723C"/>
    <w:rsid w:val="0046761E"/>
    <w:rsid w:val="00467720"/>
    <w:rsid w:val="004679F9"/>
    <w:rsid w:val="00467EF3"/>
    <w:rsid w:val="00467F17"/>
    <w:rsid w:val="004705AD"/>
    <w:rsid w:val="00470637"/>
    <w:rsid w:val="0047071F"/>
    <w:rsid w:val="0047076C"/>
    <w:rsid w:val="00470780"/>
    <w:rsid w:val="00470CCD"/>
    <w:rsid w:val="00470DF7"/>
    <w:rsid w:val="00470EA9"/>
    <w:rsid w:val="00470F06"/>
    <w:rsid w:val="0047159E"/>
    <w:rsid w:val="004715AB"/>
    <w:rsid w:val="00471771"/>
    <w:rsid w:val="004718CC"/>
    <w:rsid w:val="00471997"/>
    <w:rsid w:val="00471B3E"/>
    <w:rsid w:val="00471E55"/>
    <w:rsid w:val="00471F45"/>
    <w:rsid w:val="004723D3"/>
    <w:rsid w:val="0047254B"/>
    <w:rsid w:val="00472932"/>
    <w:rsid w:val="00472E67"/>
    <w:rsid w:val="00473113"/>
    <w:rsid w:val="004732AB"/>
    <w:rsid w:val="004734F9"/>
    <w:rsid w:val="00473514"/>
    <w:rsid w:val="0047383B"/>
    <w:rsid w:val="00473CF4"/>
    <w:rsid w:val="00473D21"/>
    <w:rsid w:val="00473D3A"/>
    <w:rsid w:val="00473FA7"/>
    <w:rsid w:val="004742C7"/>
    <w:rsid w:val="00474601"/>
    <w:rsid w:val="00474693"/>
    <w:rsid w:val="004747BA"/>
    <w:rsid w:val="004748C8"/>
    <w:rsid w:val="00474BEF"/>
    <w:rsid w:val="00474C70"/>
    <w:rsid w:val="00474D4A"/>
    <w:rsid w:val="004752B5"/>
    <w:rsid w:val="004753C3"/>
    <w:rsid w:val="004755E1"/>
    <w:rsid w:val="00475861"/>
    <w:rsid w:val="0047591E"/>
    <w:rsid w:val="004759A0"/>
    <w:rsid w:val="00475BF3"/>
    <w:rsid w:val="00475E85"/>
    <w:rsid w:val="00476333"/>
    <w:rsid w:val="00476436"/>
    <w:rsid w:val="00476488"/>
    <w:rsid w:val="004767B3"/>
    <w:rsid w:val="00476B44"/>
    <w:rsid w:val="00476B92"/>
    <w:rsid w:val="00476D3C"/>
    <w:rsid w:val="00477740"/>
    <w:rsid w:val="00477C16"/>
    <w:rsid w:val="00477F88"/>
    <w:rsid w:val="00480072"/>
    <w:rsid w:val="00480213"/>
    <w:rsid w:val="004803CE"/>
    <w:rsid w:val="00480558"/>
    <w:rsid w:val="00480748"/>
    <w:rsid w:val="004807FF"/>
    <w:rsid w:val="004808B2"/>
    <w:rsid w:val="004808F6"/>
    <w:rsid w:val="0048092F"/>
    <w:rsid w:val="00480993"/>
    <w:rsid w:val="004809F7"/>
    <w:rsid w:val="00480F83"/>
    <w:rsid w:val="00481122"/>
    <w:rsid w:val="00481695"/>
    <w:rsid w:val="0048192C"/>
    <w:rsid w:val="00481EB8"/>
    <w:rsid w:val="00481F44"/>
    <w:rsid w:val="00482130"/>
    <w:rsid w:val="00482353"/>
    <w:rsid w:val="004825D9"/>
    <w:rsid w:val="0048275D"/>
    <w:rsid w:val="0048286A"/>
    <w:rsid w:val="004828F0"/>
    <w:rsid w:val="0048296A"/>
    <w:rsid w:val="00482C1E"/>
    <w:rsid w:val="00483005"/>
    <w:rsid w:val="0048322F"/>
    <w:rsid w:val="004832D2"/>
    <w:rsid w:val="0048349E"/>
    <w:rsid w:val="004835BD"/>
    <w:rsid w:val="00483734"/>
    <w:rsid w:val="00483959"/>
    <w:rsid w:val="00483A49"/>
    <w:rsid w:val="00483AB6"/>
    <w:rsid w:val="0048416F"/>
    <w:rsid w:val="00484328"/>
    <w:rsid w:val="0048475E"/>
    <w:rsid w:val="00484E59"/>
    <w:rsid w:val="004854AF"/>
    <w:rsid w:val="0048585A"/>
    <w:rsid w:val="00485CB6"/>
    <w:rsid w:val="00485EA0"/>
    <w:rsid w:val="0048616D"/>
    <w:rsid w:val="00486180"/>
    <w:rsid w:val="0048622D"/>
    <w:rsid w:val="004863CA"/>
    <w:rsid w:val="0048684D"/>
    <w:rsid w:val="00486CFD"/>
    <w:rsid w:val="00486E17"/>
    <w:rsid w:val="00486F13"/>
    <w:rsid w:val="00486FF6"/>
    <w:rsid w:val="00487146"/>
    <w:rsid w:val="0048737C"/>
    <w:rsid w:val="0048742B"/>
    <w:rsid w:val="0048747F"/>
    <w:rsid w:val="004876CF"/>
    <w:rsid w:val="00487B89"/>
    <w:rsid w:val="00487C52"/>
    <w:rsid w:val="00487EEC"/>
    <w:rsid w:val="00490267"/>
    <w:rsid w:val="004907D7"/>
    <w:rsid w:val="004907FF"/>
    <w:rsid w:val="00490C50"/>
    <w:rsid w:val="00491180"/>
    <w:rsid w:val="004917BA"/>
    <w:rsid w:val="0049180D"/>
    <w:rsid w:val="004918C0"/>
    <w:rsid w:val="00491AA0"/>
    <w:rsid w:val="00491BF0"/>
    <w:rsid w:val="00491E32"/>
    <w:rsid w:val="00491ECD"/>
    <w:rsid w:val="004925EA"/>
    <w:rsid w:val="00492FF6"/>
    <w:rsid w:val="00493274"/>
    <w:rsid w:val="0049349A"/>
    <w:rsid w:val="004935EE"/>
    <w:rsid w:val="0049360A"/>
    <w:rsid w:val="00493713"/>
    <w:rsid w:val="00493787"/>
    <w:rsid w:val="004937A6"/>
    <w:rsid w:val="004939C1"/>
    <w:rsid w:val="00493DC2"/>
    <w:rsid w:val="004940BD"/>
    <w:rsid w:val="004940F4"/>
    <w:rsid w:val="00494294"/>
    <w:rsid w:val="004944C7"/>
    <w:rsid w:val="004946C7"/>
    <w:rsid w:val="00494861"/>
    <w:rsid w:val="00494BC1"/>
    <w:rsid w:val="00494BC4"/>
    <w:rsid w:val="00494ED9"/>
    <w:rsid w:val="00494FE8"/>
    <w:rsid w:val="004955E8"/>
    <w:rsid w:val="00495916"/>
    <w:rsid w:val="00495952"/>
    <w:rsid w:val="00495A96"/>
    <w:rsid w:val="00495BB3"/>
    <w:rsid w:val="00495C4B"/>
    <w:rsid w:val="00495DA9"/>
    <w:rsid w:val="00495F6E"/>
    <w:rsid w:val="004965B5"/>
    <w:rsid w:val="00496742"/>
    <w:rsid w:val="004967E1"/>
    <w:rsid w:val="00496BC5"/>
    <w:rsid w:val="00496DB5"/>
    <w:rsid w:val="00496DE0"/>
    <w:rsid w:val="00496DE6"/>
    <w:rsid w:val="00497485"/>
    <w:rsid w:val="004974E2"/>
    <w:rsid w:val="0049767A"/>
    <w:rsid w:val="0049774B"/>
    <w:rsid w:val="004978FD"/>
    <w:rsid w:val="004A03F2"/>
    <w:rsid w:val="004A0653"/>
    <w:rsid w:val="004A07AA"/>
    <w:rsid w:val="004A0836"/>
    <w:rsid w:val="004A0936"/>
    <w:rsid w:val="004A0B1A"/>
    <w:rsid w:val="004A10E7"/>
    <w:rsid w:val="004A1705"/>
    <w:rsid w:val="004A1887"/>
    <w:rsid w:val="004A197A"/>
    <w:rsid w:val="004A1A28"/>
    <w:rsid w:val="004A1A4E"/>
    <w:rsid w:val="004A1BA1"/>
    <w:rsid w:val="004A215F"/>
    <w:rsid w:val="004A2184"/>
    <w:rsid w:val="004A225A"/>
    <w:rsid w:val="004A24A5"/>
    <w:rsid w:val="004A288C"/>
    <w:rsid w:val="004A2E45"/>
    <w:rsid w:val="004A2FA8"/>
    <w:rsid w:val="004A324F"/>
    <w:rsid w:val="004A341B"/>
    <w:rsid w:val="004A342B"/>
    <w:rsid w:val="004A3467"/>
    <w:rsid w:val="004A3718"/>
    <w:rsid w:val="004A380C"/>
    <w:rsid w:val="004A3B4B"/>
    <w:rsid w:val="004A3CBC"/>
    <w:rsid w:val="004A3E8B"/>
    <w:rsid w:val="004A3ECB"/>
    <w:rsid w:val="004A41EA"/>
    <w:rsid w:val="004A448E"/>
    <w:rsid w:val="004A4661"/>
    <w:rsid w:val="004A4A87"/>
    <w:rsid w:val="004A4B43"/>
    <w:rsid w:val="004A4E6C"/>
    <w:rsid w:val="004A4F9E"/>
    <w:rsid w:val="004A4FFD"/>
    <w:rsid w:val="004A5027"/>
    <w:rsid w:val="004A5068"/>
    <w:rsid w:val="004A5082"/>
    <w:rsid w:val="004A526D"/>
    <w:rsid w:val="004A52EE"/>
    <w:rsid w:val="004A5696"/>
    <w:rsid w:val="004A56BB"/>
    <w:rsid w:val="004A579C"/>
    <w:rsid w:val="004A5D52"/>
    <w:rsid w:val="004A6088"/>
    <w:rsid w:val="004A642E"/>
    <w:rsid w:val="004A64AF"/>
    <w:rsid w:val="004A665C"/>
    <w:rsid w:val="004A673A"/>
    <w:rsid w:val="004A6C5C"/>
    <w:rsid w:val="004A6CD2"/>
    <w:rsid w:val="004A70D6"/>
    <w:rsid w:val="004A73CC"/>
    <w:rsid w:val="004A7452"/>
    <w:rsid w:val="004A754E"/>
    <w:rsid w:val="004A77E4"/>
    <w:rsid w:val="004A799F"/>
    <w:rsid w:val="004A7BDC"/>
    <w:rsid w:val="004A7D42"/>
    <w:rsid w:val="004A7DC7"/>
    <w:rsid w:val="004A7DD7"/>
    <w:rsid w:val="004A7EC4"/>
    <w:rsid w:val="004B0016"/>
    <w:rsid w:val="004B0792"/>
    <w:rsid w:val="004B09F9"/>
    <w:rsid w:val="004B0B39"/>
    <w:rsid w:val="004B0B6F"/>
    <w:rsid w:val="004B0BBF"/>
    <w:rsid w:val="004B0CA8"/>
    <w:rsid w:val="004B0CE7"/>
    <w:rsid w:val="004B0FD1"/>
    <w:rsid w:val="004B13B4"/>
    <w:rsid w:val="004B1509"/>
    <w:rsid w:val="004B15CC"/>
    <w:rsid w:val="004B1751"/>
    <w:rsid w:val="004B178F"/>
    <w:rsid w:val="004B1A2E"/>
    <w:rsid w:val="004B1AB5"/>
    <w:rsid w:val="004B1BA8"/>
    <w:rsid w:val="004B1FEC"/>
    <w:rsid w:val="004B2067"/>
    <w:rsid w:val="004B230A"/>
    <w:rsid w:val="004B24FB"/>
    <w:rsid w:val="004B26B5"/>
    <w:rsid w:val="004B29A2"/>
    <w:rsid w:val="004B2BFF"/>
    <w:rsid w:val="004B2C19"/>
    <w:rsid w:val="004B2D79"/>
    <w:rsid w:val="004B31BA"/>
    <w:rsid w:val="004B321D"/>
    <w:rsid w:val="004B366B"/>
    <w:rsid w:val="004B3ADD"/>
    <w:rsid w:val="004B3D52"/>
    <w:rsid w:val="004B4020"/>
    <w:rsid w:val="004B4242"/>
    <w:rsid w:val="004B42B6"/>
    <w:rsid w:val="004B4415"/>
    <w:rsid w:val="004B48E9"/>
    <w:rsid w:val="004B4947"/>
    <w:rsid w:val="004B495B"/>
    <w:rsid w:val="004B4AA9"/>
    <w:rsid w:val="004B4FE1"/>
    <w:rsid w:val="004B51CF"/>
    <w:rsid w:val="004B5349"/>
    <w:rsid w:val="004B536B"/>
    <w:rsid w:val="004B538C"/>
    <w:rsid w:val="004B53E2"/>
    <w:rsid w:val="004B58AE"/>
    <w:rsid w:val="004B5ADE"/>
    <w:rsid w:val="004B64AB"/>
    <w:rsid w:val="004B67A8"/>
    <w:rsid w:val="004B693D"/>
    <w:rsid w:val="004B6BA9"/>
    <w:rsid w:val="004B7029"/>
    <w:rsid w:val="004B707F"/>
    <w:rsid w:val="004B7138"/>
    <w:rsid w:val="004B7244"/>
    <w:rsid w:val="004B72B5"/>
    <w:rsid w:val="004B7415"/>
    <w:rsid w:val="004B757A"/>
    <w:rsid w:val="004B75C7"/>
    <w:rsid w:val="004B76A0"/>
    <w:rsid w:val="004B7878"/>
    <w:rsid w:val="004B7967"/>
    <w:rsid w:val="004B7BB7"/>
    <w:rsid w:val="004C0034"/>
    <w:rsid w:val="004C0253"/>
    <w:rsid w:val="004C0413"/>
    <w:rsid w:val="004C0625"/>
    <w:rsid w:val="004C0860"/>
    <w:rsid w:val="004C0C0D"/>
    <w:rsid w:val="004C0FA3"/>
    <w:rsid w:val="004C10C3"/>
    <w:rsid w:val="004C1408"/>
    <w:rsid w:val="004C1AF0"/>
    <w:rsid w:val="004C1B4C"/>
    <w:rsid w:val="004C1BF9"/>
    <w:rsid w:val="004C1EAC"/>
    <w:rsid w:val="004C270E"/>
    <w:rsid w:val="004C27E2"/>
    <w:rsid w:val="004C2A60"/>
    <w:rsid w:val="004C2D6A"/>
    <w:rsid w:val="004C2DF1"/>
    <w:rsid w:val="004C2E5C"/>
    <w:rsid w:val="004C2EA6"/>
    <w:rsid w:val="004C2EED"/>
    <w:rsid w:val="004C3148"/>
    <w:rsid w:val="004C33A7"/>
    <w:rsid w:val="004C34FD"/>
    <w:rsid w:val="004C3E14"/>
    <w:rsid w:val="004C401F"/>
    <w:rsid w:val="004C4240"/>
    <w:rsid w:val="004C4296"/>
    <w:rsid w:val="004C4408"/>
    <w:rsid w:val="004C45D0"/>
    <w:rsid w:val="004C4607"/>
    <w:rsid w:val="004C4867"/>
    <w:rsid w:val="004C48E3"/>
    <w:rsid w:val="004C48E6"/>
    <w:rsid w:val="004C49A3"/>
    <w:rsid w:val="004C4CB6"/>
    <w:rsid w:val="004C4D04"/>
    <w:rsid w:val="004C4D4F"/>
    <w:rsid w:val="004C53F2"/>
    <w:rsid w:val="004C5490"/>
    <w:rsid w:val="004C55BA"/>
    <w:rsid w:val="004C592C"/>
    <w:rsid w:val="004C5D38"/>
    <w:rsid w:val="004C5D6A"/>
    <w:rsid w:val="004C5E14"/>
    <w:rsid w:val="004C5EE6"/>
    <w:rsid w:val="004C6085"/>
    <w:rsid w:val="004C6146"/>
    <w:rsid w:val="004C6451"/>
    <w:rsid w:val="004C65A8"/>
    <w:rsid w:val="004C6ADA"/>
    <w:rsid w:val="004C6C67"/>
    <w:rsid w:val="004C6D1B"/>
    <w:rsid w:val="004C6DCE"/>
    <w:rsid w:val="004C6E79"/>
    <w:rsid w:val="004C6F5B"/>
    <w:rsid w:val="004C70C5"/>
    <w:rsid w:val="004C7110"/>
    <w:rsid w:val="004C728C"/>
    <w:rsid w:val="004C72D4"/>
    <w:rsid w:val="004C7686"/>
    <w:rsid w:val="004C77EB"/>
    <w:rsid w:val="004C79C0"/>
    <w:rsid w:val="004C79D3"/>
    <w:rsid w:val="004C7A5D"/>
    <w:rsid w:val="004C7E27"/>
    <w:rsid w:val="004C7F69"/>
    <w:rsid w:val="004D0059"/>
    <w:rsid w:val="004D037C"/>
    <w:rsid w:val="004D0607"/>
    <w:rsid w:val="004D06FC"/>
    <w:rsid w:val="004D0818"/>
    <w:rsid w:val="004D0851"/>
    <w:rsid w:val="004D08F1"/>
    <w:rsid w:val="004D0B30"/>
    <w:rsid w:val="004D0BE8"/>
    <w:rsid w:val="004D0C51"/>
    <w:rsid w:val="004D0FD0"/>
    <w:rsid w:val="004D100B"/>
    <w:rsid w:val="004D19AB"/>
    <w:rsid w:val="004D1A12"/>
    <w:rsid w:val="004D1A29"/>
    <w:rsid w:val="004D1C17"/>
    <w:rsid w:val="004D21EC"/>
    <w:rsid w:val="004D235C"/>
    <w:rsid w:val="004D2922"/>
    <w:rsid w:val="004D2BF4"/>
    <w:rsid w:val="004D2DF7"/>
    <w:rsid w:val="004D3084"/>
    <w:rsid w:val="004D30C6"/>
    <w:rsid w:val="004D3423"/>
    <w:rsid w:val="004D3578"/>
    <w:rsid w:val="004D3784"/>
    <w:rsid w:val="004D3D6A"/>
    <w:rsid w:val="004D3D73"/>
    <w:rsid w:val="004D408D"/>
    <w:rsid w:val="004D42DA"/>
    <w:rsid w:val="004D44F8"/>
    <w:rsid w:val="004D48C4"/>
    <w:rsid w:val="004D4A15"/>
    <w:rsid w:val="004D51B2"/>
    <w:rsid w:val="004D5211"/>
    <w:rsid w:val="004D52F8"/>
    <w:rsid w:val="004D54D2"/>
    <w:rsid w:val="004D56FF"/>
    <w:rsid w:val="004D5BF7"/>
    <w:rsid w:val="004D5D61"/>
    <w:rsid w:val="004D5DD8"/>
    <w:rsid w:val="004D5F42"/>
    <w:rsid w:val="004D6241"/>
    <w:rsid w:val="004D6380"/>
    <w:rsid w:val="004D67A3"/>
    <w:rsid w:val="004D6A9D"/>
    <w:rsid w:val="004D6D5E"/>
    <w:rsid w:val="004D6DF3"/>
    <w:rsid w:val="004D7146"/>
    <w:rsid w:val="004D72D5"/>
    <w:rsid w:val="004D7411"/>
    <w:rsid w:val="004E0256"/>
    <w:rsid w:val="004E0261"/>
    <w:rsid w:val="004E08BD"/>
    <w:rsid w:val="004E09D0"/>
    <w:rsid w:val="004E0B8E"/>
    <w:rsid w:val="004E0FE2"/>
    <w:rsid w:val="004E127D"/>
    <w:rsid w:val="004E12D1"/>
    <w:rsid w:val="004E12FC"/>
    <w:rsid w:val="004E1694"/>
    <w:rsid w:val="004E1790"/>
    <w:rsid w:val="004E183F"/>
    <w:rsid w:val="004E191B"/>
    <w:rsid w:val="004E1F32"/>
    <w:rsid w:val="004E2218"/>
    <w:rsid w:val="004E2404"/>
    <w:rsid w:val="004E257D"/>
    <w:rsid w:val="004E29FF"/>
    <w:rsid w:val="004E301B"/>
    <w:rsid w:val="004E33BB"/>
    <w:rsid w:val="004E36FD"/>
    <w:rsid w:val="004E375D"/>
    <w:rsid w:val="004E38FD"/>
    <w:rsid w:val="004E3945"/>
    <w:rsid w:val="004E39D3"/>
    <w:rsid w:val="004E3C0E"/>
    <w:rsid w:val="004E3C4C"/>
    <w:rsid w:val="004E3FC0"/>
    <w:rsid w:val="004E4353"/>
    <w:rsid w:val="004E47F5"/>
    <w:rsid w:val="004E48FE"/>
    <w:rsid w:val="004E4A1B"/>
    <w:rsid w:val="004E4BDC"/>
    <w:rsid w:val="004E4C88"/>
    <w:rsid w:val="004E4C96"/>
    <w:rsid w:val="004E4CE1"/>
    <w:rsid w:val="004E4CFA"/>
    <w:rsid w:val="004E4EE5"/>
    <w:rsid w:val="004E4F1E"/>
    <w:rsid w:val="004E4F3E"/>
    <w:rsid w:val="004E5083"/>
    <w:rsid w:val="004E508A"/>
    <w:rsid w:val="004E5269"/>
    <w:rsid w:val="004E5383"/>
    <w:rsid w:val="004E54F7"/>
    <w:rsid w:val="004E589F"/>
    <w:rsid w:val="004E5B1B"/>
    <w:rsid w:val="004E5C1A"/>
    <w:rsid w:val="004E5F5E"/>
    <w:rsid w:val="004E6000"/>
    <w:rsid w:val="004E6146"/>
    <w:rsid w:val="004E616D"/>
    <w:rsid w:val="004E623E"/>
    <w:rsid w:val="004E68CE"/>
    <w:rsid w:val="004E69E2"/>
    <w:rsid w:val="004E6A86"/>
    <w:rsid w:val="004E6D30"/>
    <w:rsid w:val="004E6E5D"/>
    <w:rsid w:val="004E70EA"/>
    <w:rsid w:val="004E70FB"/>
    <w:rsid w:val="004E71A2"/>
    <w:rsid w:val="004E7510"/>
    <w:rsid w:val="004E7830"/>
    <w:rsid w:val="004E7998"/>
    <w:rsid w:val="004E7A4C"/>
    <w:rsid w:val="004E7DF3"/>
    <w:rsid w:val="004E7E40"/>
    <w:rsid w:val="004F0485"/>
    <w:rsid w:val="004F07EE"/>
    <w:rsid w:val="004F0D5D"/>
    <w:rsid w:val="004F0E89"/>
    <w:rsid w:val="004F117E"/>
    <w:rsid w:val="004F126F"/>
    <w:rsid w:val="004F1549"/>
    <w:rsid w:val="004F1602"/>
    <w:rsid w:val="004F1640"/>
    <w:rsid w:val="004F1906"/>
    <w:rsid w:val="004F1B6D"/>
    <w:rsid w:val="004F1BDE"/>
    <w:rsid w:val="004F1EDD"/>
    <w:rsid w:val="004F1F25"/>
    <w:rsid w:val="004F2C40"/>
    <w:rsid w:val="004F2CEE"/>
    <w:rsid w:val="004F2FEC"/>
    <w:rsid w:val="004F3050"/>
    <w:rsid w:val="004F30A7"/>
    <w:rsid w:val="004F31CC"/>
    <w:rsid w:val="004F36B0"/>
    <w:rsid w:val="004F3A14"/>
    <w:rsid w:val="004F3A73"/>
    <w:rsid w:val="004F3A99"/>
    <w:rsid w:val="004F3DAA"/>
    <w:rsid w:val="004F3DDC"/>
    <w:rsid w:val="004F45F2"/>
    <w:rsid w:val="004F4822"/>
    <w:rsid w:val="004F4A08"/>
    <w:rsid w:val="004F4A34"/>
    <w:rsid w:val="004F4A59"/>
    <w:rsid w:val="004F4CBE"/>
    <w:rsid w:val="004F4D92"/>
    <w:rsid w:val="004F4DD4"/>
    <w:rsid w:val="004F4E10"/>
    <w:rsid w:val="004F5105"/>
    <w:rsid w:val="004F51B1"/>
    <w:rsid w:val="004F548D"/>
    <w:rsid w:val="004F556E"/>
    <w:rsid w:val="004F591C"/>
    <w:rsid w:val="004F593C"/>
    <w:rsid w:val="004F5A16"/>
    <w:rsid w:val="004F5C1F"/>
    <w:rsid w:val="004F6450"/>
    <w:rsid w:val="004F6C7B"/>
    <w:rsid w:val="004F6DA4"/>
    <w:rsid w:val="004F6F5D"/>
    <w:rsid w:val="004F6FCF"/>
    <w:rsid w:val="004F70E4"/>
    <w:rsid w:val="004F72B3"/>
    <w:rsid w:val="004F7660"/>
    <w:rsid w:val="004F77C3"/>
    <w:rsid w:val="004F7B45"/>
    <w:rsid w:val="004F7EDB"/>
    <w:rsid w:val="004F7F44"/>
    <w:rsid w:val="004F7FF9"/>
    <w:rsid w:val="005004B4"/>
    <w:rsid w:val="005007DE"/>
    <w:rsid w:val="00500A84"/>
    <w:rsid w:val="00500CEC"/>
    <w:rsid w:val="00500D75"/>
    <w:rsid w:val="00500D8B"/>
    <w:rsid w:val="00500DA0"/>
    <w:rsid w:val="00500E73"/>
    <w:rsid w:val="00500F47"/>
    <w:rsid w:val="00500FDD"/>
    <w:rsid w:val="00501045"/>
    <w:rsid w:val="005011EC"/>
    <w:rsid w:val="0050123F"/>
    <w:rsid w:val="00501527"/>
    <w:rsid w:val="00501B58"/>
    <w:rsid w:val="00502079"/>
    <w:rsid w:val="005020E1"/>
    <w:rsid w:val="00502436"/>
    <w:rsid w:val="005028FC"/>
    <w:rsid w:val="005029F1"/>
    <w:rsid w:val="00502C34"/>
    <w:rsid w:val="00502DF5"/>
    <w:rsid w:val="00503096"/>
    <w:rsid w:val="005030FC"/>
    <w:rsid w:val="005034E0"/>
    <w:rsid w:val="00503651"/>
    <w:rsid w:val="005037B4"/>
    <w:rsid w:val="00503C50"/>
    <w:rsid w:val="005045BB"/>
    <w:rsid w:val="0050465B"/>
    <w:rsid w:val="0050475C"/>
    <w:rsid w:val="00504B2D"/>
    <w:rsid w:val="005051C1"/>
    <w:rsid w:val="005053A1"/>
    <w:rsid w:val="00505CA9"/>
    <w:rsid w:val="00505CDA"/>
    <w:rsid w:val="00505CFA"/>
    <w:rsid w:val="00505E9F"/>
    <w:rsid w:val="00505FD6"/>
    <w:rsid w:val="0050632A"/>
    <w:rsid w:val="00506351"/>
    <w:rsid w:val="0050666E"/>
    <w:rsid w:val="005066FC"/>
    <w:rsid w:val="0050674A"/>
    <w:rsid w:val="0050684F"/>
    <w:rsid w:val="00506D59"/>
    <w:rsid w:val="00507007"/>
    <w:rsid w:val="0050710D"/>
    <w:rsid w:val="005072A7"/>
    <w:rsid w:val="00507550"/>
    <w:rsid w:val="005075DC"/>
    <w:rsid w:val="005075E4"/>
    <w:rsid w:val="0050790A"/>
    <w:rsid w:val="005079BF"/>
    <w:rsid w:val="00507A95"/>
    <w:rsid w:val="00507B7B"/>
    <w:rsid w:val="00507D1F"/>
    <w:rsid w:val="00507D2D"/>
    <w:rsid w:val="00507FC9"/>
    <w:rsid w:val="00507FD2"/>
    <w:rsid w:val="005104E5"/>
    <w:rsid w:val="005104ED"/>
    <w:rsid w:val="00510638"/>
    <w:rsid w:val="00510688"/>
    <w:rsid w:val="005106AA"/>
    <w:rsid w:val="005112B1"/>
    <w:rsid w:val="005112C1"/>
    <w:rsid w:val="00511359"/>
    <w:rsid w:val="005115D5"/>
    <w:rsid w:val="00511DD3"/>
    <w:rsid w:val="00511E6B"/>
    <w:rsid w:val="00511F4C"/>
    <w:rsid w:val="00511FA5"/>
    <w:rsid w:val="005120A5"/>
    <w:rsid w:val="0051218C"/>
    <w:rsid w:val="005121A5"/>
    <w:rsid w:val="005121F5"/>
    <w:rsid w:val="005124B6"/>
    <w:rsid w:val="0051269A"/>
    <w:rsid w:val="005129FE"/>
    <w:rsid w:val="00512D6F"/>
    <w:rsid w:val="00512F60"/>
    <w:rsid w:val="005132F1"/>
    <w:rsid w:val="0051342B"/>
    <w:rsid w:val="00513450"/>
    <w:rsid w:val="005134B8"/>
    <w:rsid w:val="00513598"/>
    <w:rsid w:val="005135EB"/>
    <w:rsid w:val="0051360C"/>
    <w:rsid w:val="005136CF"/>
    <w:rsid w:val="005136EE"/>
    <w:rsid w:val="005138E0"/>
    <w:rsid w:val="00513C56"/>
    <w:rsid w:val="00513F3B"/>
    <w:rsid w:val="00514327"/>
    <w:rsid w:val="005148F7"/>
    <w:rsid w:val="00514D17"/>
    <w:rsid w:val="00514DBC"/>
    <w:rsid w:val="00514DD8"/>
    <w:rsid w:val="00514E0A"/>
    <w:rsid w:val="005152A7"/>
    <w:rsid w:val="0051590F"/>
    <w:rsid w:val="0051592C"/>
    <w:rsid w:val="00515BC5"/>
    <w:rsid w:val="00515E3D"/>
    <w:rsid w:val="005161F6"/>
    <w:rsid w:val="00516344"/>
    <w:rsid w:val="00516789"/>
    <w:rsid w:val="0051682F"/>
    <w:rsid w:val="00516A6A"/>
    <w:rsid w:val="00516AAA"/>
    <w:rsid w:val="00516E32"/>
    <w:rsid w:val="0051711D"/>
    <w:rsid w:val="00517326"/>
    <w:rsid w:val="0051735B"/>
    <w:rsid w:val="00517413"/>
    <w:rsid w:val="00517459"/>
    <w:rsid w:val="00517634"/>
    <w:rsid w:val="00517CA2"/>
    <w:rsid w:val="00517E9B"/>
    <w:rsid w:val="005203B5"/>
    <w:rsid w:val="005206CD"/>
    <w:rsid w:val="00520889"/>
    <w:rsid w:val="005208AE"/>
    <w:rsid w:val="00520CB2"/>
    <w:rsid w:val="00520E17"/>
    <w:rsid w:val="00520F5C"/>
    <w:rsid w:val="00521095"/>
    <w:rsid w:val="0052119E"/>
    <w:rsid w:val="005211B7"/>
    <w:rsid w:val="00521472"/>
    <w:rsid w:val="005216EF"/>
    <w:rsid w:val="00521733"/>
    <w:rsid w:val="005217A4"/>
    <w:rsid w:val="00521942"/>
    <w:rsid w:val="005219E7"/>
    <w:rsid w:val="00521BA2"/>
    <w:rsid w:val="00521D9B"/>
    <w:rsid w:val="00521E2C"/>
    <w:rsid w:val="00522523"/>
    <w:rsid w:val="005226E2"/>
    <w:rsid w:val="005228A9"/>
    <w:rsid w:val="00522928"/>
    <w:rsid w:val="005229CF"/>
    <w:rsid w:val="00522FD4"/>
    <w:rsid w:val="005230FE"/>
    <w:rsid w:val="00523385"/>
    <w:rsid w:val="00523529"/>
    <w:rsid w:val="00523750"/>
    <w:rsid w:val="005237C9"/>
    <w:rsid w:val="00523894"/>
    <w:rsid w:val="00523B5C"/>
    <w:rsid w:val="00524031"/>
    <w:rsid w:val="005243F1"/>
    <w:rsid w:val="0052450B"/>
    <w:rsid w:val="00524725"/>
    <w:rsid w:val="00524837"/>
    <w:rsid w:val="005248E6"/>
    <w:rsid w:val="00524B5A"/>
    <w:rsid w:val="00524E6F"/>
    <w:rsid w:val="00525174"/>
    <w:rsid w:val="005252E5"/>
    <w:rsid w:val="0052541C"/>
    <w:rsid w:val="005256AD"/>
    <w:rsid w:val="00525E65"/>
    <w:rsid w:val="00526103"/>
    <w:rsid w:val="005262C4"/>
    <w:rsid w:val="00526346"/>
    <w:rsid w:val="00526677"/>
    <w:rsid w:val="00526A3C"/>
    <w:rsid w:val="00526C5E"/>
    <w:rsid w:val="00526EE7"/>
    <w:rsid w:val="0052709D"/>
    <w:rsid w:val="005270A9"/>
    <w:rsid w:val="00527753"/>
    <w:rsid w:val="0052779E"/>
    <w:rsid w:val="00527CC1"/>
    <w:rsid w:val="0053006F"/>
    <w:rsid w:val="005300DB"/>
    <w:rsid w:val="0053024D"/>
    <w:rsid w:val="005305CF"/>
    <w:rsid w:val="005307B6"/>
    <w:rsid w:val="005307EB"/>
    <w:rsid w:val="00530BAC"/>
    <w:rsid w:val="00530DBE"/>
    <w:rsid w:val="00530DE4"/>
    <w:rsid w:val="00530F88"/>
    <w:rsid w:val="005311BD"/>
    <w:rsid w:val="005311F7"/>
    <w:rsid w:val="0053157C"/>
    <w:rsid w:val="00531739"/>
    <w:rsid w:val="00531979"/>
    <w:rsid w:val="00531B9A"/>
    <w:rsid w:val="00531BDE"/>
    <w:rsid w:val="00531D15"/>
    <w:rsid w:val="00531D63"/>
    <w:rsid w:val="0053202D"/>
    <w:rsid w:val="00532220"/>
    <w:rsid w:val="00532EFF"/>
    <w:rsid w:val="0053388B"/>
    <w:rsid w:val="00533A12"/>
    <w:rsid w:val="00533ABD"/>
    <w:rsid w:val="00533B75"/>
    <w:rsid w:val="00533CA9"/>
    <w:rsid w:val="00533CD1"/>
    <w:rsid w:val="00533DAC"/>
    <w:rsid w:val="00533F8E"/>
    <w:rsid w:val="00534389"/>
    <w:rsid w:val="00534491"/>
    <w:rsid w:val="0053468C"/>
    <w:rsid w:val="00534852"/>
    <w:rsid w:val="005348AA"/>
    <w:rsid w:val="005349CD"/>
    <w:rsid w:val="005353D1"/>
    <w:rsid w:val="005353D2"/>
    <w:rsid w:val="00535DE5"/>
    <w:rsid w:val="00535EAC"/>
    <w:rsid w:val="00535ED5"/>
    <w:rsid w:val="0053609A"/>
    <w:rsid w:val="005362DC"/>
    <w:rsid w:val="0053631F"/>
    <w:rsid w:val="005366BD"/>
    <w:rsid w:val="005368B5"/>
    <w:rsid w:val="0053692E"/>
    <w:rsid w:val="00536A46"/>
    <w:rsid w:val="00536E1F"/>
    <w:rsid w:val="00536FEE"/>
    <w:rsid w:val="005370A7"/>
    <w:rsid w:val="005370C8"/>
    <w:rsid w:val="00537239"/>
    <w:rsid w:val="00537294"/>
    <w:rsid w:val="00537480"/>
    <w:rsid w:val="00537545"/>
    <w:rsid w:val="005375EA"/>
    <w:rsid w:val="00537604"/>
    <w:rsid w:val="00537692"/>
    <w:rsid w:val="00537697"/>
    <w:rsid w:val="0053783E"/>
    <w:rsid w:val="00537A8F"/>
    <w:rsid w:val="00537AEC"/>
    <w:rsid w:val="00537B02"/>
    <w:rsid w:val="00537FDB"/>
    <w:rsid w:val="0054010C"/>
    <w:rsid w:val="00540265"/>
    <w:rsid w:val="005403C4"/>
    <w:rsid w:val="005409A8"/>
    <w:rsid w:val="00540CD3"/>
    <w:rsid w:val="00541032"/>
    <w:rsid w:val="00541253"/>
    <w:rsid w:val="00541577"/>
    <w:rsid w:val="00541632"/>
    <w:rsid w:val="00541939"/>
    <w:rsid w:val="005419F7"/>
    <w:rsid w:val="00541B8A"/>
    <w:rsid w:val="00541DF8"/>
    <w:rsid w:val="005420F8"/>
    <w:rsid w:val="00542377"/>
    <w:rsid w:val="005425B5"/>
    <w:rsid w:val="0054266C"/>
    <w:rsid w:val="00542968"/>
    <w:rsid w:val="00542B2A"/>
    <w:rsid w:val="00542D22"/>
    <w:rsid w:val="00542DE3"/>
    <w:rsid w:val="00542FA9"/>
    <w:rsid w:val="0054337C"/>
    <w:rsid w:val="005433D9"/>
    <w:rsid w:val="005435D5"/>
    <w:rsid w:val="00543706"/>
    <w:rsid w:val="00543766"/>
    <w:rsid w:val="00543DE5"/>
    <w:rsid w:val="00543EF6"/>
    <w:rsid w:val="00543FFC"/>
    <w:rsid w:val="00544005"/>
    <w:rsid w:val="00544100"/>
    <w:rsid w:val="005443F4"/>
    <w:rsid w:val="005443F5"/>
    <w:rsid w:val="00544700"/>
    <w:rsid w:val="00544AEA"/>
    <w:rsid w:val="005455AB"/>
    <w:rsid w:val="00545A90"/>
    <w:rsid w:val="00545C0C"/>
    <w:rsid w:val="00545C26"/>
    <w:rsid w:val="00545CD2"/>
    <w:rsid w:val="0054604B"/>
    <w:rsid w:val="005460B0"/>
    <w:rsid w:val="005464FD"/>
    <w:rsid w:val="0054670E"/>
    <w:rsid w:val="005468A8"/>
    <w:rsid w:val="00546BFB"/>
    <w:rsid w:val="0054743B"/>
    <w:rsid w:val="005476EB"/>
    <w:rsid w:val="0054781E"/>
    <w:rsid w:val="00547962"/>
    <w:rsid w:val="00547D4D"/>
    <w:rsid w:val="00547F12"/>
    <w:rsid w:val="00550058"/>
    <w:rsid w:val="0055034F"/>
    <w:rsid w:val="005503A0"/>
    <w:rsid w:val="00550523"/>
    <w:rsid w:val="005505EB"/>
    <w:rsid w:val="0055074E"/>
    <w:rsid w:val="005508C1"/>
    <w:rsid w:val="00550B13"/>
    <w:rsid w:val="00550B17"/>
    <w:rsid w:val="00550BD1"/>
    <w:rsid w:val="00550C4A"/>
    <w:rsid w:val="005512DC"/>
    <w:rsid w:val="0055139E"/>
    <w:rsid w:val="005514E0"/>
    <w:rsid w:val="00551502"/>
    <w:rsid w:val="00551782"/>
    <w:rsid w:val="00551870"/>
    <w:rsid w:val="0055193F"/>
    <w:rsid w:val="00551AA3"/>
    <w:rsid w:val="00551DF1"/>
    <w:rsid w:val="00552138"/>
    <w:rsid w:val="005525B6"/>
    <w:rsid w:val="005528E2"/>
    <w:rsid w:val="00552CC9"/>
    <w:rsid w:val="00552CD7"/>
    <w:rsid w:val="00552D07"/>
    <w:rsid w:val="00552D5E"/>
    <w:rsid w:val="00552D75"/>
    <w:rsid w:val="00552EE9"/>
    <w:rsid w:val="00552F25"/>
    <w:rsid w:val="00552FC8"/>
    <w:rsid w:val="00552FD7"/>
    <w:rsid w:val="00553125"/>
    <w:rsid w:val="0055338E"/>
    <w:rsid w:val="00553573"/>
    <w:rsid w:val="005535E0"/>
    <w:rsid w:val="00553CC7"/>
    <w:rsid w:val="00554514"/>
    <w:rsid w:val="005549C1"/>
    <w:rsid w:val="00554D4B"/>
    <w:rsid w:val="00554E19"/>
    <w:rsid w:val="005554D4"/>
    <w:rsid w:val="00555A91"/>
    <w:rsid w:val="005560A4"/>
    <w:rsid w:val="005561B1"/>
    <w:rsid w:val="005566CC"/>
    <w:rsid w:val="0055680E"/>
    <w:rsid w:val="0055695D"/>
    <w:rsid w:val="00556BE5"/>
    <w:rsid w:val="00556C94"/>
    <w:rsid w:val="00556D7B"/>
    <w:rsid w:val="00557141"/>
    <w:rsid w:val="005571A7"/>
    <w:rsid w:val="00557765"/>
    <w:rsid w:val="00557D08"/>
    <w:rsid w:val="00557FE0"/>
    <w:rsid w:val="00560344"/>
    <w:rsid w:val="005604B5"/>
    <w:rsid w:val="00560546"/>
    <w:rsid w:val="00560686"/>
    <w:rsid w:val="00560A67"/>
    <w:rsid w:val="005610C1"/>
    <w:rsid w:val="005610D4"/>
    <w:rsid w:val="005611B9"/>
    <w:rsid w:val="0056124E"/>
    <w:rsid w:val="005614E7"/>
    <w:rsid w:val="00561636"/>
    <w:rsid w:val="0056167D"/>
    <w:rsid w:val="0056174C"/>
    <w:rsid w:val="005617BC"/>
    <w:rsid w:val="005619B3"/>
    <w:rsid w:val="005619FE"/>
    <w:rsid w:val="00561BCD"/>
    <w:rsid w:val="00561BD7"/>
    <w:rsid w:val="00561DCC"/>
    <w:rsid w:val="0056202D"/>
    <w:rsid w:val="0056234C"/>
    <w:rsid w:val="00562615"/>
    <w:rsid w:val="005628F4"/>
    <w:rsid w:val="0056295D"/>
    <w:rsid w:val="005629B3"/>
    <w:rsid w:val="00562A07"/>
    <w:rsid w:val="00562B23"/>
    <w:rsid w:val="00562B7A"/>
    <w:rsid w:val="00562E3A"/>
    <w:rsid w:val="00562ED2"/>
    <w:rsid w:val="00562FDE"/>
    <w:rsid w:val="00563339"/>
    <w:rsid w:val="00563874"/>
    <w:rsid w:val="00563EC3"/>
    <w:rsid w:val="00563EF1"/>
    <w:rsid w:val="005640B8"/>
    <w:rsid w:val="00564633"/>
    <w:rsid w:val="00564773"/>
    <w:rsid w:val="0056493B"/>
    <w:rsid w:val="00564A85"/>
    <w:rsid w:val="00564A92"/>
    <w:rsid w:val="00564C66"/>
    <w:rsid w:val="00564E45"/>
    <w:rsid w:val="0056501B"/>
    <w:rsid w:val="00565302"/>
    <w:rsid w:val="00565625"/>
    <w:rsid w:val="00565CFB"/>
    <w:rsid w:val="00565D05"/>
    <w:rsid w:val="00565D25"/>
    <w:rsid w:val="00565E5E"/>
    <w:rsid w:val="00565F1C"/>
    <w:rsid w:val="00566007"/>
    <w:rsid w:val="00566244"/>
    <w:rsid w:val="00566423"/>
    <w:rsid w:val="005664B1"/>
    <w:rsid w:val="0056691A"/>
    <w:rsid w:val="00566994"/>
    <w:rsid w:val="00566A87"/>
    <w:rsid w:val="00566AB4"/>
    <w:rsid w:val="00566F83"/>
    <w:rsid w:val="00566FC4"/>
    <w:rsid w:val="005672DB"/>
    <w:rsid w:val="00567349"/>
    <w:rsid w:val="0056745A"/>
    <w:rsid w:val="00567487"/>
    <w:rsid w:val="00567600"/>
    <w:rsid w:val="0056772F"/>
    <w:rsid w:val="005677D6"/>
    <w:rsid w:val="005679DF"/>
    <w:rsid w:val="00567CCD"/>
    <w:rsid w:val="00567E82"/>
    <w:rsid w:val="005701E2"/>
    <w:rsid w:val="00570209"/>
    <w:rsid w:val="0057029E"/>
    <w:rsid w:val="00570338"/>
    <w:rsid w:val="005703DD"/>
    <w:rsid w:val="005703EE"/>
    <w:rsid w:val="00570B6E"/>
    <w:rsid w:val="0057100F"/>
    <w:rsid w:val="00571355"/>
    <w:rsid w:val="00571480"/>
    <w:rsid w:val="005716B7"/>
    <w:rsid w:val="00571AEC"/>
    <w:rsid w:val="00571BA1"/>
    <w:rsid w:val="00571BF9"/>
    <w:rsid w:val="00571DAF"/>
    <w:rsid w:val="005721C0"/>
    <w:rsid w:val="00572547"/>
    <w:rsid w:val="00572576"/>
    <w:rsid w:val="005726CC"/>
    <w:rsid w:val="00572D96"/>
    <w:rsid w:val="00572DCF"/>
    <w:rsid w:val="005734BE"/>
    <w:rsid w:val="00573812"/>
    <w:rsid w:val="0057387E"/>
    <w:rsid w:val="00573FE9"/>
    <w:rsid w:val="0057402C"/>
    <w:rsid w:val="00574181"/>
    <w:rsid w:val="005743BF"/>
    <w:rsid w:val="005745C9"/>
    <w:rsid w:val="005748B7"/>
    <w:rsid w:val="00574A64"/>
    <w:rsid w:val="00574B0E"/>
    <w:rsid w:val="00574E7D"/>
    <w:rsid w:val="00574EFC"/>
    <w:rsid w:val="00574F8F"/>
    <w:rsid w:val="00575178"/>
    <w:rsid w:val="0057547D"/>
    <w:rsid w:val="005755C3"/>
    <w:rsid w:val="0057583B"/>
    <w:rsid w:val="00575AC5"/>
    <w:rsid w:val="00575F8E"/>
    <w:rsid w:val="0057605D"/>
    <w:rsid w:val="0057606A"/>
    <w:rsid w:val="005761C1"/>
    <w:rsid w:val="00576251"/>
    <w:rsid w:val="005763B9"/>
    <w:rsid w:val="0057677B"/>
    <w:rsid w:val="00576A39"/>
    <w:rsid w:val="00576C61"/>
    <w:rsid w:val="00576E87"/>
    <w:rsid w:val="00576E89"/>
    <w:rsid w:val="0057723E"/>
    <w:rsid w:val="005773DE"/>
    <w:rsid w:val="00577674"/>
    <w:rsid w:val="0057780B"/>
    <w:rsid w:val="005779C3"/>
    <w:rsid w:val="005779FE"/>
    <w:rsid w:val="00577D62"/>
    <w:rsid w:val="0058029E"/>
    <w:rsid w:val="00580321"/>
    <w:rsid w:val="0058074F"/>
    <w:rsid w:val="005807ED"/>
    <w:rsid w:val="005808F5"/>
    <w:rsid w:val="00580A67"/>
    <w:rsid w:val="00580C15"/>
    <w:rsid w:val="00580C9E"/>
    <w:rsid w:val="00581347"/>
    <w:rsid w:val="00581A43"/>
    <w:rsid w:val="00581AC9"/>
    <w:rsid w:val="00582428"/>
    <w:rsid w:val="0058265B"/>
    <w:rsid w:val="00582911"/>
    <w:rsid w:val="00582D0C"/>
    <w:rsid w:val="00582DD0"/>
    <w:rsid w:val="005830C9"/>
    <w:rsid w:val="0058331D"/>
    <w:rsid w:val="0058371F"/>
    <w:rsid w:val="00583D9E"/>
    <w:rsid w:val="00584239"/>
    <w:rsid w:val="0058440F"/>
    <w:rsid w:val="005849F8"/>
    <w:rsid w:val="00584B51"/>
    <w:rsid w:val="00584C17"/>
    <w:rsid w:val="005851EF"/>
    <w:rsid w:val="0058527C"/>
    <w:rsid w:val="00585301"/>
    <w:rsid w:val="0058536A"/>
    <w:rsid w:val="005853BC"/>
    <w:rsid w:val="005857D3"/>
    <w:rsid w:val="005859EF"/>
    <w:rsid w:val="005861BF"/>
    <w:rsid w:val="00586220"/>
    <w:rsid w:val="005863FD"/>
    <w:rsid w:val="00586438"/>
    <w:rsid w:val="00586670"/>
    <w:rsid w:val="00586B67"/>
    <w:rsid w:val="00587053"/>
    <w:rsid w:val="00587175"/>
    <w:rsid w:val="00587AB8"/>
    <w:rsid w:val="00587E06"/>
    <w:rsid w:val="00587F07"/>
    <w:rsid w:val="00590073"/>
    <w:rsid w:val="005905DF"/>
    <w:rsid w:val="0059102E"/>
    <w:rsid w:val="005910D6"/>
    <w:rsid w:val="00591243"/>
    <w:rsid w:val="00591E65"/>
    <w:rsid w:val="00591F19"/>
    <w:rsid w:val="005924C3"/>
    <w:rsid w:val="00592827"/>
    <w:rsid w:val="005929A6"/>
    <w:rsid w:val="00592B49"/>
    <w:rsid w:val="00592C4C"/>
    <w:rsid w:val="00592E2D"/>
    <w:rsid w:val="00592F0B"/>
    <w:rsid w:val="0059307D"/>
    <w:rsid w:val="0059313B"/>
    <w:rsid w:val="00593426"/>
    <w:rsid w:val="005935DF"/>
    <w:rsid w:val="00593622"/>
    <w:rsid w:val="005938BA"/>
    <w:rsid w:val="005938DF"/>
    <w:rsid w:val="005938F7"/>
    <w:rsid w:val="00593997"/>
    <w:rsid w:val="00593E22"/>
    <w:rsid w:val="00593EB8"/>
    <w:rsid w:val="0059431F"/>
    <w:rsid w:val="00594C37"/>
    <w:rsid w:val="00594C4C"/>
    <w:rsid w:val="00594E9C"/>
    <w:rsid w:val="0059536E"/>
    <w:rsid w:val="0059550A"/>
    <w:rsid w:val="00595881"/>
    <w:rsid w:val="00595D89"/>
    <w:rsid w:val="005962D7"/>
    <w:rsid w:val="0059659B"/>
    <w:rsid w:val="00596C9F"/>
    <w:rsid w:val="00596DC2"/>
    <w:rsid w:val="00597112"/>
    <w:rsid w:val="005977B8"/>
    <w:rsid w:val="005977D4"/>
    <w:rsid w:val="00597A3A"/>
    <w:rsid w:val="00597C84"/>
    <w:rsid w:val="00597CB0"/>
    <w:rsid w:val="005A0262"/>
    <w:rsid w:val="005A0263"/>
    <w:rsid w:val="005A0300"/>
    <w:rsid w:val="005A036C"/>
    <w:rsid w:val="005A0482"/>
    <w:rsid w:val="005A0492"/>
    <w:rsid w:val="005A06C5"/>
    <w:rsid w:val="005A094E"/>
    <w:rsid w:val="005A099B"/>
    <w:rsid w:val="005A0C72"/>
    <w:rsid w:val="005A0DAF"/>
    <w:rsid w:val="005A11E7"/>
    <w:rsid w:val="005A11F1"/>
    <w:rsid w:val="005A1206"/>
    <w:rsid w:val="005A17B6"/>
    <w:rsid w:val="005A18CA"/>
    <w:rsid w:val="005A1AA9"/>
    <w:rsid w:val="005A1B79"/>
    <w:rsid w:val="005A1BBF"/>
    <w:rsid w:val="005A1C12"/>
    <w:rsid w:val="005A1FF1"/>
    <w:rsid w:val="005A20D3"/>
    <w:rsid w:val="005A26F0"/>
    <w:rsid w:val="005A2D54"/>
    <w:rsid w:val="005A2D9C"/>
    <w:rsid w:val="005A2DD5"/>
    <w:rsid w:val="005A2E74"/>
    <w:rsid w:val="005A2EE1"/>
    <w:rsid w:val="005A2FC8"/>
    <w:rsid w:val="005A31D6"/>
    <w:rsid w:val="005A3304"/>
    <w:rsid w:val="005A34A7"/>
    <w:rsid w:val="005A3719"/>
    <w:rsid w:val="005A3BB7"/>
    <w:rsid w:val="005A3EF3"/>
    <w:rsid w:val="005A3FA8"/>
    <w:rsid w:val="005A429D"/>
    <w:rsid w:val="005A4403"/>
    <w:rsid w:val="005A4612"/>
    <w:rsid w:val="005A4A33"/>
    <w:rsid w:val="005A4A68"/>
    <w:rsid w:val="005A4D19"/>
    <w:rsid w:val="005A4ED3"/>
    <w:rsid w:val="005A539F"/>
    <w:rsid w:val="005A53F8"/>
    <w:rsid w:val="005A5566"/>
    <w:rsid w:val="005A55FE"/>
    <w:rsid w:val="005A5606"/>
    <w:rsid w:val="005A5AEB"/>
    <w:rsid w:val="005A5BAA"/>
    <w:rsid w:val="005A5F9A"/>
    <w:rsid w:val="005A615E"/>
    <w:rsid w:val="005A61DA"/>
    <w:rsid w:val="005A64C9"/>
    <w:rsid w:val="005A6596"/>
    <w:rsid w:val="005A6A11"/>
    <w:rsid w:val="005A6B8D"/>
    <w:rsid w:val="005A6E18"/>
    <w:rsid w:val="005A6F70"/>
    <w:rsid w:val="005A6FCE"/>
    <w:rsid w:val="005A7066"/>
    <w:rsid w:val="005A7127"/>
    <w:rsid w:val="005A7517"/>
    <w:rsid w:val="005A752C"/>
    <w:rsid w:val="005A7B5A"/>
    <w:rsid w:val="005A7C01"/>
    <w:rsid w:val="005A7D63"/>
    <w:rsid w:val="005A7EAF"/>
    <w:rsid w:val="005B0313"/>
    <w:rsid w:val="005B0711"/>
    <w:rsid w:val="005B0779"/>
    <w:rsid w:val="005B0781"/>
    <w:rsid w:val="005B0D11"/>
    <w:rsid w:val="005B0E6E"/>
    <w:rsid w:val="005B0F4D"/>
    <w:rsid w:val="005B1263"/>
    <w:rsid w:val="005B1363"/>
    <w:rsid w:val="005B157B"/>
    <w:rsid w:val="005B1599"/>
    <w:rsid w:val="005B15F3"/>
    <w:rsid w:val="005B1908"/>
    <w:rsid w:val="005B1C91"/>
    <w:rsid w:val="005B1C97"/>
    <w:rsid w:val="005B1E35"/>
    <w:rsid w:val="005B1E3E"/>
    <w:rsid w:val="005B1EB0"/>
    <w:rsid w:val="005B1F10"/>
    <w:rsid w:val="005B205C"/>
    <w:rsid w:val="005B24B7"/>
    <w:rsid w:val="005B2751"/>
    <w:rsid w:val="005B2C48"/>
    <w:rsid w:val="005B2F0D"/>
    <w:rsid w:val="005B2FEB"/>
    <w:rsid w:val="005B30DC"/>
    <w:rsid w:val="005B350E"/>
    <w:rsid w:val="005B366D"/>
    <w:rsid w:val="005B3861"/>
    <w:rsid w:val="005B3894"/>
    <w:rsid w:val="005B3F1D"/>
    <w:rsid w:val="005B4741"/>
    <w:rsid w:val="005B480E"/>
    <w:rsid w:val="005B4A20"/>
    <w:rsid w:val="005B4AED"/>
    <w:rsid w:val="005B4B01"/>
    <w:rsid w:val="005B4C2E"/>
    <w:rsid w:val="005B4C44"/>
    <w:rsid w:val="005B4EF8"/>
    <w:rsid w:val="005B52AA"/>
    <w:rsid w:val="005B559C"/>
    <w:rsid w:val="005B568F"/>
    <w:rsid w:val="005B587D"/>
    <w:rsid w:val="005B5A3E"/>
    <w:rsid w:val="005B5C01"/>
    <w:rsid w:val="005B5E11"/>
    <w:rsid w:val="005B5FD8"/>
    <w:rsid w:val="005B6214"/>
    <w:rsid w:val="005B6677"/>
    <w:rsid w:val="005B6CC5"/>
    <w:rsid w:val="005B6D53"/>
    <w:rsid w:val="005B6DD8"/>
    <w:rsid w:val="005B7700"/>
    <w:rsid w:val="005B7F82"/>
    <w:rsid w:val="005B7FB0"/>
    <w:rsid w:val="005B7FBF"/>
    <w:rsid w:val="005C0206"/>
    <w:rsid w:val="005C02BD"/>
    <w:rsid w:val="005C0327"/>
    <w:rsid w:val="005C0500"/>
    <w:rsid w:val="005C0527"/>
    <w:rsid w:val="005C07BA"/>
    <w:rsid w:val="005C0867"/>
    <w:rsid w:val="005C0B35"/>
    <w:rsid w:val="005C0B89"/>
    <w:rsid w:val="005C0BBA"/>
    <w:rsid w:val="005C0F29"/>
    <w:rsid w:val="005C1080"/>
    <w:rsid w:val="005C143E"/>
    <w:rsid w:val="005C16AE"/>
    <w:rsid w:val="005C1782"/>
    <w:rsid w:val="005C1BFF"/>
    <w:rsid w:val="005C1CCA"/>
    <w:rsid w:val="005C1CF5"/>
    <w:rsid w:val="005C1DE0"/>
    <w:rsid w:val="005C21E6"/>
    <w:rsid w:val="005C2443"/>
    <w:rsid w:val="005C2577"/>
    <w:rsid w:val="005C2971"/>
    <w:rsid w:val="005C29F2"/>
    <w:rsid w:val="005C2A90"/>
    <w:rsid w:val="005C2ADC"/>
    <w:rsid w:val="005C2BD1"/>
    <w:rsid w:val="005C2D29"/>
    <w:rsid w:val="005C2E96"/>
    <w:rsid w:val="005C2F8E"/>
    <w:rsid w:val="005C34EF"/>
    <w:rsid w:val="005C3538"/>
    <w:rsid w:val="005C366F"/>
    <w:rsid w:val="005C3840"/>
    <w:rsid w:val="005C3939"/>
    <w:rsid w:val="005C3C8C"/>
    <w:rsid w:val="005C3E60"/>
    <w:rsid w:val="005C3E7E"/>
    <w:rsid w:val="005C405D"/>
    <w:rsid w:val="005C41D0"/>
    <w:rsid w:val="005C490C"/>
    <w:rsid w:val="005C4939"/>
    <w:rsid w:val="005C4A87"/>
    <w:rsid w:val="005C4B0E"/>
    <w:rsid w:val="005C4E15"/>
    <w:rsid w:val="005C4FDF"/>
    <w:rsid w:val="005C56A5"/>
    <w:rsid w:val="005C572D"/>
    <w:rsid w:val="005C5BC8"/>
    <w:rsid w:val="005C6117"/>
    <w:rsid w:val="005C639E"/>
    <w:rsid w:val="005C659E"/>
    <w:rsid w:val="005C6AD4"/>
    <w:rsid w:val="005C6B58"/>
    <w:rsid w:val="005C6E78"/>
    <w:rsid w:val="005C70AD"/>
    <w:rsid w:val="005C729B"/>
    <w:rsid w:val="005C73E5"/>
    <w:rsid w:val="005D0423"/>
    <w:rsid w:val="005D04E8"/>
    <w:rsid w:val="005D05F1"/>
    <w:rsid w:val="005D070B"/>
    <w:rsid w:val="005D09D7"/>
    <w:rsid w:val="005D0DE8"/>
    <w:rsid w:val="005D0EB3"/>
    <w:rsid w:val="005D109B"/>
    <w:rsid w:val="005D1173"/>
    <w:rsid w:val="005D11E5"/>
    <w:rsid w:val="005D125D"/>
    <w:rsid w:val="005D1395"/>
    <w:rsid w:val="005D1743"/>
    <w:rsid w:val="005D1D27"/>
    <w:rsid w:val="005D1D5B"/>
    <w:rsid w:val="005D20DA"/>
    <w:rsid w:val="005D2176"/>
    <w:rsid w:val="005D2502"/>
    <w:rsid w:val="005D28BC"/>
    <w:rsid w:val="005D293E"/>
    <w:rsid w:val="005D2E49"/>
    <w:rsid w:val="005D2F59"/>
    <w:rsid w:val="005D31A9"/>
    <w:rsid w:val="005D3400"/>
    <w:rsid w:val="005D355A"/>
    <w:rsid w:val="005D37B7"/>
    <w:rsid w:val="005D37D2"/>
    <w:rsid w:val="005D3F37"/>
    <w:rsid w:val="005D40BB"/>
    <w:rsid w:val="005D4112"/>
    <w:rsid w:val="005D4442"/>
    <w:rsid w:val="005D4494"/>
    <w:rsid w:val="005D47F3"/>
    <w:rsid w:val="005D49BF"/>
    <w:rsid w:val="005D4AA5"/>
    <w:rsid w:val="005D4B0B"/>
    <w:rsid w:val="005D4C71"/>
    <w:rsid w:val="005D4DA7"/>
    <w:rsid w:val="005D4F9A"/>
    <w:rsid w:val="005D52D2"/>
    <w:rsid w:val="005D539B"/>
    <w:rsid w:val="005D5A22"/>
    <w:rsid w:val="005D5C0C"/>
    <w:rsid w:val="005D5CAB"/>
    <w:rsid w:val="005D5D66"/>
    <w:rsid w:val="005D657F"/>
    <w:rsid w:val="005D6A85"/>
    <w:rsid w:val="005D6E4B"/>
    <w:rsid w:val="005D6F4E"/>
    <w:rsid w:val="005D6FBF"/>
    <w:rsid w:val="005D707B"/>
    <w:rsid w:val="005D7095"/>
    <w:rsid w:val="005D745C"/>
    <w:rsid w:val="005D760B"/>
    <w:rsid w:val="005D76F2"/>
    <w:rsid w:val="005D7C73"/>
    <w:rsid w:val="005E0153"/>
    <w:rsid w:val="005E0452"/>
    <w:rsid w:val="005E06E3"/>
    <w:rsid w:val="005E06FD"/>
    <w:rsid w:val="005E0800"/>
    <w:rsid w:val="005E0992"/>
    <w:rsid w:val="005E0F7C"/>
    <w:rsid w:val="005E10B8"/>
    <w:rsid w:val="005E12F6"/>
    <w:rsid w:val="005E1616"/>
    <w:rsid w:val="005E17C8"/>
    <w:rsid w:val="005E1803"/>
    <w:rsid w:val="005E2000"/>
    <w:rsid w:val="005E2366"/>
    <w:rsid w:val="005E250B"/>
    <w:rsid w:val="005E2614"/>
    <w:rsid w:val="005E2B31"/>
    <w:rsid w:val="005E2CD7"/>
    <w:rsid w:val="005E2F1A"/>
    <w:rsid w:val="005E2FDD"/>
    <w:rsid w:val="005E33CF"/>
    <w:rsid w:val="005E378C"/>
    <w:rsid w:val="005E37A9"/>
    <w:rsid w:val="005E3ACD"/>
    <w:rsid w:val="005E3B03"/>
    <w:rsid w:val="005E4011"/>
    <w:rsid w:val="005E4764"/>
    <w:rsid w:val="005E4D0D"/>
    <w:rsid w:val="005E4F00"/>
    <w:rsid w:val="005E501A"/>
    <w:rsid w:val="005E5162"/>
    <w:rsid w:val="005E582E"/>
    <w:rsid w:val="005E5A9E"/>
    <w:rsid w:val="005E5B72"/>
    <w:rsid w:val="005E5D03"/>
    <w:rsid w:val="005E61A8"/>
    <w:rsid w:val="005E637F"/>
    <w:rsid w:val="005E6388"/>
    <w:rsid w:val="005E63EA"/>
    <w:rsid w:val="005E6908"/>
    <w:rsid w:val="005E6F25"/>
    <w:rsid w:val="005E7226"/>
    <w:rsid w:val="005E767F"/>
    <w:rsid w:val="005E7A57"/>
    <w:rsid w:val="005E7BE3"/>
    <w:rsid w:val="005E7E4E"/>
    <w:rsid w:val="005E7EC2"/>
    <w:rsid w:val="005F0324"/>
    <w:rsid w:val="005F036C"/>
    <w:rsid w:val="005F05CF"/>
    <w:rsid w:val="005F082A"/>
    <w:rsid w:val="005F0A70"/>
    <w:rsid w:val="005F0B1D"/>
    <w:rsid w:val="005F0C7D"/>
    <w:rsid w:val="005F1178"/>
    <w:rsid w:val="005F11ED"/>
    <w:rsid w:val="005F12F1"/>
    <w:rsid w:val="005F153F"/>
    <w:rsid w:val="005F16BA"/>
    <w:rsid w:val="005F16FD"/>
    <w:rsid w:val="005F1A01"/>
    <w:rsid w:val="005F1CC4"/>
    <w:rsid w:val="005F1D6E"/>
    <w:rsid w:val="005F2452"/>
    <w:rsid w:val="005F24B0"/>
    <w:rsid w:val="005F257E"/>
    <w:rsid w:val="005F2816"/>
    <w:rsid w:val="005F28D9"/>
    <w:rsid w:val="005F2909"/>
    <w:rsid w:val="005F2BC4"/>
    <w:rsid w:val="005F2C59"/>
    <w:rsid w:val="005F2C97"/>
    <w:rsid w:val="005F319E"/>
    <w:rsid w:val="005F31E6"/>
    <w:rsid w:val="005F3208"/>
    <w:rsid w:val="005F33A2"/>
    <w:rsid w:val="005F33E5"/>
    <w:rsid w:val="005F3940"/>
    <w:rsid w:val="005F3B3D"/>
    <w:rsid w:val="005F3CAD"/>
    <w:rsid w:val="005F3E1E"/>
    <w:rsid w:val="005F3E31"/>
    <w:rsid w:val="005F4116"/>
    <w:rsid w:val="005F420B"/>
    <w:rsid w:val="005F440F"/>
    <w:rsid w:val="005F4484"/>
    <w:rsid w:val="005F45B6"/>
    <w:rsid w:val="005F45D0"/>
    <w:rsid w:val="005F46B7"/>
    <w:rsid w:val="005F46F0"/>
    <w:rsid w:val="005F483D"/>
    <w:rsid w:val="005F4C63"/>
    <w:rsid w:val="005F4D97"/>
    <w:rsid w:val="005F5363"/>
    <w:rsid w:val="005F538E"/>
    <w:rsid w:val="005F59BB"/>
    <w:rsid w:val="005F5A97"/>
    <w:rsid w:val="005F5F2D"/>
    <w:rsid w:val="005F6153"/>
    <w:rsid w:val="005F615C"/>
    <w:rsid w:val="005F6880"/>
    <w:rsid w:val="005F69C8"/>
    <w:rsid w:val="005F6D93"/>
    <w:rsid w:val="005F6FE4"/>
    <w:rsid w:val="005F7672"/>
    <w:rsid w:val="005F7838"/>
    <w:rsid w:val="0060051A"/>
    <w:rsid w:val="00600D8D"/>
    <w:rsid w:val="00600E9E"/>
    <w:rsid w:val="00600EDE"/>
    <w:rsid w:val="00600FD9"/>
    <w:rsid w:val="00601091"/>
    <w:rsid w:val="006015FA"/>
    <w:rsid w:val="00601942"/>
    <w:rsid w:val="006019D4"/>
    <w:rsid w:val="00601A23"/>
    <w:rsid w:val="00601EC1"/>
    <w:rsid w:val="00601FB5"/>
    <w:rsid w:val="00602210"/>
    <w:rsid w:val="00602447"/>
    <w:rsid w:val="006026B0"/>
    <w:rsid w:val="00602719"/>
    <w:rsid w:val="00602972"/>
    <w:rsid w:val="00602B1D"/>
    <w:rsid w:val="00602D25"/>
    <w:rsid w:val="0060307A"/>
    <w:rsid w:val="00603B50"/>
    <w:rsid w:val="00603B7F"/>
    <w:rsid w:val="00603B96"/>
    <w:rsid w:val="00603CCF"/>
    <w:rsid w:val="00603F8F"/>
    <w:rsid w:val="00603FA0"/>
    <w:rsid w:val="00604315"/>
    <w:rsid w:val="006043D8"/>
    <w:rsid w:val="0060452A"/>
    <w:rsid w:val="0060460C"/>
    <w:rsid w:val="00604886"/>
    <w:rsid w:val="0060499C"/>
    <w:rsid w:val="00604CBE"/>
    <w:rsid w:val="00604CC1"/>
    <w:rsid w:val="00604E26"/>
    <w:rsid w:val="0060508B"/>
    <w:rsid w:val="00605155"/>
    <w:rsid w:val="0060523F"/>
    <w:rsid w:val="006052CF"/>
    <w:rsid w:val="0060534A"/>
    <w:rsid w:val="00605452"/>
    <w:rsid w:val="006054C6"/>
    <w:rsid w:val="00605849"/>
    <w:rsid w:val="006058B8"/>
    <w:rsid w:val="00605EB1"/>
    <w:rsid w:val="0060616E"/>
    <w:rsid w:val="006062FD"/>
    <w:rsid w:val="00606444"/>
    <w:rsid w:val="006065CF"/>
    <w:rsid w:val="00606A00"/>
    <w:rsid w:val="00606C16"/>
    <w:rsid w:val="00606F7C"/>
    <w:rsid w:val="00607054"/>
    <w:rsid w:val="0060715E"/>
    <w:rsid w:val="006072E5"/>
    <w:rsid w:val="00607475"/>
    <w:rsid w:val="006076D5"/>
    <w:rsid w:val="00607B8D"/>
    <w:rsid w:val="00607C25"/>
    <w:rsid w:val="00607D1C"/>
    <w:rsid w:val="00607D67"/>
    <w:rsid w:val="00607E7B"/>
    <w:rsid w:val="00610350"/>
    <w:rsid w:val="00610474"/>
    <w:rsid w:val="0061065E"/>
    <w:rsid w:val="00610701"/>
    <w:rsid w:val="006107E7"/>
    <w:rsid w:val="006108C4"/>
    <w:rsid w:val="006109A0"/>
    <w:rsid w:val="00610B66"/>
    <w:rsid w:val="00610D77"/>
    <w:rsid w:val="00610EA7"/>
    <w:rsid w:val="00610FB4"/>
    <w:rsid w:val="00611176"/>
    <w:rsid w:val="006112C8"/>
    <w:rsid w:val="0061134F"/>
    <w:rsid w:val="0061140F"/>
    <w:rsid w:val="00611922"/>
    <w:rsid w:val="00611992"/>
    <w:rsid w:val="00611D91"/>
    <w:rsid w:val="00611DA1"/>
    <w:rsid w:val="00611E9C"/>
    <w:rsid w:val="00611F5C"/>
    <w:rsid w:val="00612092"/>
    <w:rsid w:val="00612588"/>
    <w:rsid w:val="006127CA"/>
    <w:rsid w:val="00612A65"/>
    <w:rsid w:val="00612BC7"/>
    <w:rsid w:val="00612DA9"/>
    <w:rsid w:val="00612E2B"/>
    <w:rsid w:val="006130B8"/>
    <w:rsid w:val="00613280"/>
    <w:rsid w:val="00613468"/>
    <w:rsid w:val="00613787"/>
    <w:rsid w:val="00613805"/>
    <w:rsid w:val="00613872"/>
    <w:rsid w:val="00613A12"/>
    <w:rsid w:val="00613DF1"/>
    <w:rsid w:val="00614040"/>
    <w:rsid w:val="00614044"/>
    <w:rsid w:val="006141EF"/>
    <w:rsid w:val="00614428"/>
    <w:rsid w:val="00614835"/>
    <w:rsid w:val="00614A94"/>
    <w:rsid w:val="00614C8C"/>
    <w:rsid w:val="00614DA2"/>
    <w:rsid w:val="00614FB9"/>
    <w:rsid w:val="00615124"/>
    <w:rsid w:val="00615190"/>
    <w:rsid w:val="006152DB"/>
    <w:rsid w:val="00615567"/>
    <w:rsid w:val="006155BA"/>
    <w:rsid w:val="00615C26"/>
    <w:rsid w:val="00616092"/>
    <w:rsid w:val="006160CC"/>
    <w:rsid w:val="00616250"/>
    <w:rsid w:val="006166B5"/>
    <w:rsid w:val="00616E09"/>
    <w:rsid w:val="00616F30"/>
    <w:rsid w:val="00617394"/>
    <w:rsid w:val="0061739B"/>
    <w:rsid w:val="006173A3"/>
    <w:rsid w:val="00617437"/>
    <w:rsid w:val="00617482"/>
    <w:rsid w:val="0061785E"/>
    <w:rsid w:val="006178A7"/>
    <w:rsid w:val="006178C4"/>
    <w:rsid w:val="00617B25"/>
    <w:rsid w:val="00617BD1"/>
    <w:rsid w:val="00620860"/>
    <w:rsid w:val="00620C02"/>
    <w:rsid w:val="00620C27"/>
    <w:rsid w:val="00620D7D"/>
    <w:rsid w:val="00620DE2"/>
    <w:rsid w:val="00620EBE"/>
    <w:rsid w:val="00620EF4"/>
    <w:rsid w:val="00620EF8"/>
    <w:rsid w:val="00620FBA"/>
    <w:rsid w:val="00621041"/>
    <w:rsid w:val="0062117E"/>
    <w:rsid w:val="006212D0"/>
    <w:rsid w:val="006216A6"/>
    <w:rsid w:val="006216EC"/>
    <w:rsid w:val="00621805"/>
    <w:rsid w:val="00621AB4"/>
    <w:rsid w:val="00621BF0"/>
    <w:rsid w:val="00621ED8"/>
    <w:rsid w:val="00622632"/>
    <w:rsid w:val="00622694"/>
    <w:rsid w:val="006227EC"/>
    <w:rsid w:val="00622A3B"/>
    <w:rsid w:val="00622C7D"/>
    <w:rsid w:val="00622EEA"/>
    <w:rsid w:val="006231EF"/>
    <w:rsid w:val="006232DC"/>
    <w:rsid w:val="00623409"/>
    <w:rsid w:val="0062343D"/>
    <w:rsid w:val="00623565"/>
    <w:rsid w:val="006235E1"/>
    <w:rsid w:val="00623725"/>
    <w:rsid w:val="0062396C"/>
    <w:rsid w:val="00623BA1"/>
    <w:rsid w:val="00623DD8"/>
    <w:rsid w:val="00623FF9"/>
    <w:rsid w:val="00624236"/>
    <w:rsid w:val="0062437D"/>
    <w:rsid w:val="00624CEC"/>
    <w:rsid w:val="00625782"/>
    <w:rsid w:val="0062593A"/>
    <w:rsid w:val="00625D33"/>
    <w:rsid w:val="00625FBD"/>
    <w:rsid w:val="00626082"/>
    <w:rsid w:val="006265EB"/>
    <w:rsid w:val="006268DD"/>
    <w:rsid w:val="00626C83"/>
    <w:rsid w:val="00626CFB"/>
    <w:rsid w:val="00627024"/>
    <w:rsid w:val="006270D7"/>
    <w:rsid w:val="0062726F"/>
    <w:rsid w:val="00627321"/>
    <w:rsid w:val="006274EB"/>
    <w:rsid w:val="006275A1"/>
    <w:rsid w:val="006275B7"/>
    <w:rsid w:val="00627630"/>
    <w:rsid w:val="0062795B"/>
    <w:rsid w:val="00627B0F"/>
    <w:rsid w:val="00627BF3"/>
    <w:rsid w:val="00627D4E"/>
    <w:rsid w:val="00627E0C"/>
    <w:rsid w:val="006300F1"/>
    <w:rsid w:val="00630113"/>
    <w:rsid w:val="006304F2"/>
    <w:rsid w:val="0063063C"/>
    <w:rsid w:val="006306C0"/>
    <w:rsid w:val="00630EEE"/>
    <w:rsid w:val="00630F57"/>
    <w:rsid w:val="0063113C"/>
    <w:rsid w:val="0063116A"/>
    <w:rsid w:val="00631496"/>
    <w:rsid w:val="006315DF"/>
    <w:rsid w:val="006315FB"/>
    <w:rsid w:val="006316D7"/>
    <w:rsid w:val="006316FF"/>
    <w:rsid w:val="00631819"/>
    <w:rsid w:val="0063182B"/>
    <w:rsid w:val="006319F6"/>
    <w:rsid w:val="00631A3B"/>
    <w:rsid w:val="00631CF4"/>
    <w:rsid w:val="00631E44"/>
    <w:rsid w:val="00632094"/>
    <w:rsid w:val="006322D0"/>
    <w:rsid w:val="00632376"/>
    <w:rsid w:val="0063244C"/>
    <w:rsid w:val="006327E2"/>
    <w:rsid w:val="00632B15"/>
    <w:rsid w:val="00632B89"/>
    <w:rsid w:val="00632EB5"/>
    <w:rsid w:val="0063303C"/>
    <w:rsid w:val="00633044"/>
    <w:rsid w:val="006330FB"/>
    <w:rsid w:val="0063346D"/>
    <w:rsid w:val="006334DB"/>
    <w:rsid w:val="00633AD7"/>
    <w:rsid w:val="00633F66"/>
    <w:rsid w:val="00634383"/>
    <w:rsid w:val="00634471"/>
    <w:rsid w:val="00634478"/>
    <w:rsid w:val="0063472A"/>
    <w:rsid w:val="006347BE"/>
    <w:rsid w:val="006347CD"/>
    <w:rsid w:val="00634994"/>
    <w:rsid w:val="00634D86"/>
    <w:rsid w:val="00634E5D"/>
    <w:rsid w:val="00635268"/>
    <w:rsid w:val="0063556F"/>
    <w:rsid w:val="0063569D"/>
    <w:rsid w:val="00635CA0"/>
    <w:rsid w:val="00636A28"/>
    <w:rsid w:val="00636E4B"/>
    <w:rsid w:val="0063704B"/>
    <w:rsid w:val="00637087"/>
    <w:rsid w:val="00637706"/>
    <w:rsid w:val="006377D3"/>
    <w:rsid w:val="00637C56"/>
    <w:rsid w:val="00637F0E"/>
    <w:rsid w:val="00637F71"/>
    <w:rsid w:val="006400F4"/>
    <w:rsid w:val="00640245"/>
    <w:rsid w:val="00640258"/>
    <w:rsid w:val="006404BA"/>
    <w:rsid w:val="00640594"/>
    <w:rsid w:val="00640715"/>
    <w:rsid w:val="006407EB"/>
    <w:rsid w:val="00640D9B"/>
    <w:rsid w:val="00641007"/>
    <w:rsid w:val="00641159"/>
    <w:rsid w:val="006411FD"/>
    <w:rsid w:val="00641479"/>
    <w:rsid w:val="006415A0"/>
    <w:rsid w:val="00641633"/>
    <w:rsid w:val="00641792"/>
    <w:rsid w:val="006417E1"/>
    <w:rsid w:val="00641827"/>
    <w:rsid w:val="0064186F"/>
    <w:rsid w:val="00641EB9"/>
    <w:rsid w:val="00641EEC"/>
    <w:rsid w:val="00641F5F"/>
    <w:rsid w:val="00641F62"/>
    <w:rsid w:val="00642021"/>
    <w:rsid w:val="0064223C"/>
    <w:rsid w:val="00642726"/>
    <w:rsid w:val="00642921"/>
    <w:rsid w:val="00642C09"/>
    <w:rsid w:val="00642E35"/>
    <w:rsid w:val="00643183"/>
    <w:rsid w:val="006432DD"/>
    <w:rsid w:val="006433F7"/>
    <w:rsid w:val="00643718"/>
    <w:rsid w:val="006438B6"/>
    <w:rsid w:val="00643A02"/>
    <w:rsid w:val="00643ABB"/>
    <w:rsid w:val="00643AED"/>
    <w:rsid w:val="00643C27"/>
    <w:rsid w:val="00643E4B"/>
    <w:rsid w:val="00643EAF"/>
    <w:rsid w:val="00643F37"/>
    <w:rsid w:val="00644094"/>
    <w:rsid w:val="006441D9"/>
    <w:rsid w:val="00644373"/>
    <w:rsid w:val="00644582"/>
    <w:rsid w:val="006446A3"/>
    <w:rsid w:val="006448FD"/>
    <w:rsid w:val="00644978"/>
    <w:rsid w:val="00644C19"/>
    <w:rsid w:val="00644C85"/>
    <w:rsid w:val="00644D54"/>
    <w:rsid w:val="006451BF"/>
    <w:rsid w:val="0064534A"/>
    <w:rsid w:val="006453C3"/>
    <w:rsid w:val="00645446"/>
    <w:rsid w:val="00645840"/>
    <w:rsid w:val="0064585B"/>
    <w:rsid w:val="00645915"/>
    <w:rsid w:val="00645B9C"/>
    <w:rsid w:val="00645C7C"/>
    <w:rsid w:val="00645E00"/>
    <w:rsid w:val="00645EE0"/>
    <w:rsid w:val="006460EB"/>
    <w:rsid w:val="0064616B"/>
    <w:rsid w:val="006461B3"/>
    <w:rsid w:val="006461BE"/>
    <w:rsid w:val="00646227"/>
    <w:rsid w:val="006463F6"/>
    <w:rsid w:val="0064641A"/>
    <w:rsid w:val="006464F2"/>
    <w:rsid w:val="00646725"/>
    <w:rsid w:val="00646AE2"/>
    <w:rsid w:val="00646CC4"/>
    <w:rsid w:val="00646DAC"/>
    <w:rsid w:val="00646F9B"/>
    <w:rsid w:val="00647128"/>
    <w:rsid w:val="00647151"/>
    <w:rsid w:val="0064756D"/>
    <w:rsid w:val="00647970"/>
    <w:rsid w:val="006479AB"/>
    <w:rsid w:val="00647B93"/>
    <w:rsid w:val="00647D9B"/>
    <w:rsid w:val="00647E20"/>
    <w:rsid w:val="00647FA7"/>
    <w:rsid w:val="0065013D"/>
    <w:rsid w:val="006505DF"/>
    <w:rsid w:val="00650631"/>
    <w:rsid w:val="00650C29"/>
    <w:rsid w:val="00650F69"/>
    <w:rsid w:val="0065142A"/>
    <w:rsid w:val="006519C3"/>
    <w:rsid w:val="00651A7C"/>
    <w:rsid w:val="00651E71"/>
    <w:rsid w:val="0065221B"/>
    <w:rsid w:val="006524F3"/>
    <w:rsid w:val="00652A16"/>
    <w:rsid w:val="00652B30"/>
    <w:rsid w:val="00652C5D"/>
    <w:rsid w:val="00652E6C"/>
    <w:rsid w:val="00653201"/>
    <w:rsid w:val="00653217"/>
    <w:rsid w:val="006534AC"/>
    <w:rsid w:val="006534D0"/>
    <w:rsid w:val="006536D7"/>
    <w:rsid w:val="00653949"/>
    <w:rsid w:val="00653D0E"/>
    <w:rsid w:val="00653E0B"/>
    <w:rsid w:val="00654075"/>
    <w:rsid w:val="00654141"/>
    <w:rsid w:val="00654174"/>
    <w:rsid w:val="0065466A"/>
    <w:rsid w:val="00654700"/>
    <w:rsid w:val="00654ADD"/>
    <w:rsid w:val="00654CE1"/>
    <w:rsid w:val="00654EA1"/>
    <w:rsid w:val="0065502E"/>
    <w:rsid w:val="0065531B"/>
    <w:rsid w:val="006554E6"/>
    <w:rsid w:val="0065568D"/>
    <w:rsid w:val="006556F5"/>
    <w:rsid w:val="0065573C"/>
    <w:rsid w:val="00655755"/>
    <w:rsid w:val="00655852"/>
    <w:rsid w:val="006559EE"/>
    <w:rsid w:val="00655B7D"/>
    <w:rsid w:val="00655B9C"/>
    <w:rsid w:val="00655C05"/>
    <w:rsid w:val="00656240"/>
    <w:rsid w:val="00656345"/>
    <w:rsid w:val="006563FB"/>
    <w:rsid w:val="0065644E"/>
    <w:rsid w:val="0065646E"/>
    <w:rsid w:val="006565B1"/>
    <w:rsid w:val="006567CC"/>
    <w:rsid w:val="00656AAC"/>
    <w:rsid w:val="00656DC6"/>
    <w:rsid w:val="00656E36"/>
    <w:rsid w:val="0065733D"/>
    <w:rsid w:val="00657893"/>
    <w:rsid w:val="006579ED"/>
    <w:rsid w:val="00657BA0"/>
    <w:rsid w:val="00657D17"/>
    <w:rsid w:val="00657DA7"/>
    <w:rsid w:val="00657FCC"/>
    <w:rsid w:val="0066047D"/>
    <w:rsid w:val="006604C3"/>
    <w:rsid w:val="0066092D"/>
    <w:rsid w:val="00660EC6"/>
    <w:rsid w:val="006615A7"/>
    <w:rsid w:val="0066185B"/>
    <w:rsid w:val="00661B66"/>
    <w:rsid w:val="00661EB6"/>
    <w:rsid w:val="00662077"/>
    <w:rsid w:val="006621E7"/>
    <w:rsid w:val="00662219"/>
    <w:rsid w:val="00662248"/>
    <w:rsid w:val="0066292E"/>
    <w:rsid w:val="00663093"/>
    <w:rsid w:val="00663249"/>
    <w:rsid w:val="006632D8"/>
    <w:rsid w:val="00663497"/>
    <w:rsid w:val="0066361E"/>
    <w:rsid w:val="00663623"/>
    <w:rsid w:val="00663A8F"/>
    <w:rsid w:val="00663C3C"/>
    <w:rsid w:val="00664110"/>
    <w:rsid w:val="0066429A"/>
    <w:rsid w:val="00664526"/>
    <w:rsid w:val="006647BD"/>
    <w:rsid w:val="00664835"/>
    <w:rsid w:val="00664842"/>
    <w:rsid w:val="00664A30"/>
    <w:rsid w:val="00664B3D"/>
    <w:rsid w:val="00664B5D"/>
    <w:rsid w:val="00664BE7"/>
    <w:rsid w:val="00664D17"/>
    <w:rsid w:val="00664F86"/>
    <w:rsid w:val="00665087"/>
    <w:rsid w:val="00665465"/>
    <w:rsid w:val="0066547B"/>
    <w:rsid w:val="00665520"/>
    <w:rsid w:val="00665BF6"/>
    <w:rsid w:val="00665C10"/>
    <w:rsid w:val="00666360"/>
    <w:rsid w:val="00666520"/>
    <w:rsid w:val="00666684"/>
    <w:rsid w:val="006666E9"/>
    <w:rsid w:val="006668B2"/>
    <w:rsid w:val="00666B2D"/>
    <w:rsid w:val="00666FBF"/>
    <w:rsid w:val="00667014"/>
    <w:rsid w:val="0066705C"/>
    <w:rsid w:val="00667113"/>
    <w:rsid w:val="0066714F"/>
    <w:rsid w:val="006672D5"/>
    <w:rsid w:val="006676BB"/>
    <w:rsid w:val="0066777C"/>
    <w:rsid w:val="006677B1"/>
    <w:rsid w:val="00667857"/>
    <w:rsid w:val="00667AFA"/>
    <w:rsid w:val="00667C5B"/>
    <w:rsid w:val="00667D48"/>
    <w:rsid w:val="00667F9D"/>
    <w:rsid w:val="00670085"/>
    <w:rsid w:val="00670349"/>
    <w:rsid w:val="00670404"/>
    <w:rsid w:val="00670410"/>
    <w:rsid w:val="006705EA"/>
    <w:rsid w:val="00670630"/>
    <w:rsid w:val="00670771"/>
    <w:rsid w:val="006707E2"/>
    <w:rsid w:val="006707FD"/>
    <w:rsid w:val="00670A4F"/>
    <w:rsid w:val="00670CCD"/>
    <w:rsid w:val="00670D22"/>
    <w:rsid w:val="00670D2C"/>
    <w:rsid w:val="0067140F"/>
    <w:rsid w:val="00671700"/>
    <w:rsid w:val="006718B8"/>
    <w:rsid w:val="00671ACE"/>
    <w:rsid w:val="00671C33"/>
    <w:rsid w:val="00671DC5"/>
    <w:rsid w:val="00671EDE"/>
    <w:rsid w:val="00672249"/>
    <w:rsid w:val="00672320"/>
    <w:rsid w:val="006727C6"/>
    <w:rsid w:val="0067291F"/>
    <w:rsid w:val="00672952"/>
    <w:rsid w:val="00672C53"/>
    <w:rsid w:val="00672C7C"/>
    <w:rsid w:val="00672D02"/>
    <w:rsid w:val="00672D62"/>
    <w:rsid w:val="00672EA0"/>
    <w:rsid w:val="0067336B"/>
    <w:rsid w:val="00673819"/>
    <w:rsid w:val="00673987"/>
    <w:rsid w:val="00673B7A"/>
    <w:rsid w:val="00673D6C"/>
    <w:rsid w:val="00674176"/>
    <w:rsid w:val="00674544"/>
    <w:rsid w:val="00674827"/>
    <w:rsid w:val="00674EA0"/>
    <w:rsid w:val="0067511F"/>
    <w:rsid w:val="00675269"/>
    <w:rsid w:val="006752A0"/>
    <w:rsid w:val="00675405"/>
    <w:rsid w:val="00675418"/>
    <w:rsid w:val="006755DC"/>
    <w:rsid w:val="00675C9F"/>
    <w:rsid w:val="00675DC8"/>
    <w:rsid w:val="00675E14"/>
    <w:rsid w:val="0067628C"/>
    <w:rsid w:val="0067635B"/>
    <w:rsid w:val="0067637E"/>
    <w:rsid w:val="006763FC"/>
    <w:rsid w:val="006768B7"/>
    <w:rsid w:val="00676A97"/>
    <w:rsid w:val="00676D6B"/>
    <w:rsid w:val="00677217"/>
    <w:rsid w:val="006772DC"/>
    <w:rsid w:val="006777E4"/>
    <w:rsid w:val="0067782D"/>
    <w:rsid w:val="006778D2"/>
    <w:rsid w:val="00677A49"/>
    <w:rsid w:val="00677AD0"/>
    <w:rsid w:val="00677CFC"/>
    <w:rsid w:val="00677D3D"/>
    <w:rsid w:val="00677E7C"/>
    <w:rsid w:val="00680176"/>
    <w:rsid w:val="00680361"/>
    <w:rsid w:val="0068067A"/>
    <w:rsid w:val="0068088B"/>
    <w:rsid w:val="00680914"/>
    <w:rsid w:val="006809ED"/>
    <w:rsid w:val="00680CD6"/>
    <w:rsid w:val="00680FA4"/>
    <w:rsid w:val="00680FFE"/>
    <w:rsid w:val="0068124F"/>
    <w:rsid w:val="00681338"/>
    <w:rsid w:val="006816C9"/>
    <w:rsid w:val="0068172D"/>
    <w:rsid w:val="00681907"/>
    <w:rsid w:val="0068191E"/>
    <w:rsid w:val="0068197B"/>
    <w:rsid w:val="00681AB7"/>
    <w:rsid w:val="00681B6F"/>
    <w:rsid w:val="00681C75"/>
    <w:rsid w:val="00681DE2"/>
    <w:rsid w:val="00681DE4"/>
    <w:rsid w:val="00681E4B"/>
    <w:rsid w:val="0068206A"/>
    <w:rsid w:val="006820C3"/>
    <w:rsid w:val="00682152"/>
    <w:rsid w:val="00682202"/>
    <w:rsid w:val="00682216"/>
    <w:rsid w:val="00682243"/>
    <w:rsid w:val="00682260"/>
    <w:rsid w:val="0068273A"/>
    <w:rsid w:val="00682B84"/>
    <w:rsid w:val="00682BED"/>
    <w:rsid w:val="00683069"/>
    <w:rsid w:val="006832E6"/>
    <w:rsid w:val="00683469"/>
    <w:rsid w:val="006834BC"/>
    <w:rsid w:val="00683694"/>
    <w:rsid w:val="00683788"/>
    <w:rsid w:val="00683C35"/>
    <w:rsid w:val="00683FD5"/>
    <w:rsid w:val="00684043"/>
    <w:rsid w:val="00684704"/>
    <w:rsid w:val="0068475B"/>
    <w:rsid w:val="006847D8"/>
    <w:rsid w:val="00684816"/>
    <w:rsid w:val="00684B37"/>
    <w:rsid w:val="00684EAE"/>
    <w:rsid w:val="0068538E"/>
    <w:rsid w:val="0068552A"/>
    <w:rsid w:val="006859D5"/>
    <w:rsid w:val="006859E7"/>
    <w:rsid w:val="00685B26"/>
    <w:rsid w:val="00685B7A"/>
    <w:rsid w:val="00685BAB"/>
    <w:rsid w:val="00685BBF"/>
    <w:rsid w:val="0068605B"/>
    <w:rsid w:val="00686224"/>
    <w:rsid w:val="0068677D"/>
    <w:rsid w:val="00686953"/>
    <w:rsid w:val="006869DB"/>
    <w:rsid w:val="00686B34"/>
    <w:rsid w:val="00686D91"/>
    <w:rsid w:val="00686EE2"/>
    <w:rsid w:val="00686F77"/>
    <w:rsid w:val="00686FF6"/>
    <w:rsid w:val="00687001"/>
    <w:rsid w:val="00687104"/>
    <w:rsid w:val="006871E0"/>
    <w:rsid w:val="00687678"/>
    <w:rsid w:val="006876B4"/>
    <w:rsid w:val="00687724"/>
    <w:rsid w:val="00687C38"/>
    <w:rsid w:val="00687E59"/>
    <w:rsid w:val="00690128"/>
    <w:rsid w:val="006901DA"/>
    <w:rsid w:val="00690264"/>
    <w:rsid w:val="00690458"/>
    <w:rsid w:val="006905A4"/>
    <w:rsid w:val="0069062E"/>
    <w:rsid w:val="006908CD"/>
    <w:rsid w:val="0069096A"/>
    <w:rsid w:val="00690974"/>
    <w:rsid w:val="00690B46"/>
    <w:rsid w:val="00690C64"/>
    <w:rsid w:val="00690CC3"/>
    <w:rsid w:val="00690D94"/>
    <w:rsid w:val="00690EE6"/>
    <w:rsid w:val="00690F36"/>
    <w:rsid w:val="0069133C"/>
    <w:rsid w:val="0069145B"/>
    <w:rsid w:val="00691537"/>
    <w:rsid w:val="006917E2"/>
    <w:rsid w:val="00691A7C"/>
    <w:rsid w:val="00691B0C"/>
    <w:rsid w:val="00691B30"/>
    <w:rsid w:val="00691EB8"/>
    <w:rsid w:val="00692213"/>
    <w:rsid w:val="006926A0"/>
    <w:rsid w:val="006926DC"/>
    <w:rsid w:val="00692731"/>
    <w:rsid w:val="00692A0C"/>
    <w:rsid w:val="00692A8E"/>
    <w:rsid w:val="00692CDE"/>
    <w:rsid w:val="00693073"/>
    <w:rsid w:val="006932DD"/>
    <w:rsid w:val="006933CF"/>
    <w:rsid w:val="00693417"/>
    <w:rsid w:val="00693595"/>
    <w:rsid w:val="00693813"/>
    <w:rsid w:val="00693823"/>
    <w:rsid w:val="0069395E"/>
    <w:rsid w:val="00693A62"/>
    <w:rsid w:val="00693B81"/>
    <w:rsid w:val="00693ECC"/>
    <w:rsid w:val="006943CF"/>
    <w:rsid w:val="006945A4"/>
    <w:rsid w:val="00694698"/>
    <w:rsid w:val="00694B52"/>
    <w:rsid w:val="00694CFE"/>
    <w:rsid w:val="00694F37"/>
    <w:rsid w:val="00694F3D"/>
    <w:rsid w:val="00694F70"/>
    <w:rsid w:val="0069528E"/>
    <w:rsid w:val="006952F2"/>
    <w:rsid w:val="0069547E"/>
    <w:rsid w:val="006958A2"/>
    <w:rsid w:val="0069597C"/>
    <w:rsid w:val="00695B59"/>
    <w:rsid w:val="00695CA8"/>
    <w:rsid w:val="00695D75"/>
    <w:rsid w:val="00695F7B"/>
    <w:rsid w:val="00696762"/>
    <w:rsid w:val="006968F5"/>
    <w:rsid w:val="00696BCE"/>
    <w:rsid w:val="00696C53"/>
    <w:rsid w:val="00696CD6"/>
    <w:rsid w:val="00696DCE"/>
    <w:rsid w:val="006971C0"/>
    <w:rsid w:val="006972A1"/>
    <w:rsid w:val="006973D6"/>
    <w:rsid w:val="006975FA"/>
    <w:rsid w:val="006977A3"/>
    <w:rsid w:val="006977FF"/>
    <w:rsid w:val="00697D87"/>
    <w:rsid w:val="00697F9F"/>
    <w:rsid w:val="006A00AB"/>
    <w:rsid w:val="006A01E0"/>
    <w:rsid w:val="006A01FA"/>
    <w:rsid w:val="006A03C8"/>
    <w:rsid w:val="006A0926"/>
    <w:rsid w:val="006A0B9E"/>
    <w:rsid w:val="006A0BB9"/>
    <w:rsid w:val="006A0E1A"/>
    <w:rsid w:val="006A0E9E"/>
    <w:rsid w:val="006A0ECC"/>
    <w:rsid w:val="006A104C"/>
    <w:rsid w:val="006A11C0"/>
    <w:rsid w:val="006A159B"/>
    <w:rsid w:val="006A17C1"/>
    <w:rsid w:val="006A1815"/>
    <w:rsid w:val="006A1C23"/>
    <w:rsid w:val="006A1E16"/>
    <w:rsid w:val="006A1EED"/>
    <w:rsid w:val="006A25C7"/>
    <w:rsid w:val="006A285C"/>
    <w:rsid w:val="006A2B8B"/>
    <w:rsid w:val="006A2CF2"/>
    <w:rsid w:val="006A2DB8"/>
    <w:rsid w:val="006A2DC0"/>
    <w:rsid w:val="006A30B7"/>
    <w:rsid w:val="006A30CD"/>
    <w:rsid w:val="006A33D5"/>
    <w:rsid w:val="006A34CF"/>
    <w:rsid w:val="006A36BE"/>
    <w:rsid w:val="006A38D5"/>
    <w:rsid w:val="006A3B1B"/>
    <w:rsid w:val="006A3BC0"/>
    <w:rsid w:val="006A3ECF"/>
    <w:rsid w:val="006A416A"/>
    <w:rsid w:val="006A43CC"/>
    <w:rsid w:val="006A4AAD"/>
    <w:rsid w:val="006A4BAC"/>
    <w:rsid w:val="006A4CCA"/>
    <w:rsid w:val="006A50B4"/>
    <w:rsid w:val="006A51AA"/>
    <w:rsid w:val="006A564E"/>
    <w:rsid w:val="006A56F8"/>
    <w:rsid w:val="006A59E7"/>
    <w:rsid w:val="006A5A8D"/>
    <w:rsid w:val="006A5A8E"/>
    <w:rsid w:val="006A5E39"/>
    <w:rsid w:val="006A61EB"/>
    <w:rsid w:val="006A6324"/>
    <w:rsid w:val="006A66E3"/>
    <w:rsid w:val="006A686B"/>
    <w:rsid w:val="006A6DA2"/>
    <w:rsid w:val="006A6F1C"/>
    <w:rsid w:val="006A7113"/>
    <w:rsid w:val="006A712F"/>
    <w:rsid w:val="006A7474"/>
    <w:rsid w:val="006A7610"/>
    <w:rsid w:val="006A7948"/>
    <w:rsid w:val="006A794E"/>
    <w:rsid w:val="006A7A2E"/>
    <w:rsid w:val="006A7AB2"/>
    <w:rsid w:val="006A7C24"/>
    <w:rsid w:val="006B000C"/>
    <w:rsid w:val="006B0030"/>
    <w:rsid w:val="006B04AB"/>
    <w:rsid w:val="006B04BD"/>
    <w:rsid w:val="006B0765"/>
    <w:rsid w:val="006B089D"/>
    <w:rsid w:val="006B0912"/>
    <w:rsid w:val="006B0AB3"/>
    <w:rsid w:val="006B0EEC"/>
    <w:rsid w:val="006B0EFF"/>
    <w:rsid w:val="006B10BC"/>
    <w:rsid w:val="006B12E2"/>
    <w:rsid w:val="006B138A"/>
    <w:rsid w:val="006B1450"/>
    <w:rsid w:val="006B1730"/>
    <w:rsid w:val="006B1AED"/>
    <w:rsid w:val="006B218C"/>
    <w:rsid w:val="006B25E9"/>
    <w:rsid w:val="006B2A1A"/>
    <w:rsid w:val="006B2A2A"/>
    <w:rsid w:val="006B2B4D"/>
    <w:rsid w:val="006B2FAD"/>
    <w:rsid w:val="006B350E"/>
    <w:rsid w:val="006B365C"/>
    <w:rsid w:val="006B3696"/>
    <w:rsid w:val="006B37AF"/>
    <w:rsid w:val="006B37CB"/>
    <w:rsid w:val="006B3BD5"/>
    <w:rsid w:val="006B3E7F"/>
    <w:rsid w:val="006B4361"/>
    <w:rsid w:val="006B4533"/>
    <w:rsid w:val="006B4630"/>
    <w:rsid w:val="006B46E9"/>
    <w:rsid w:val="006B4E4F"/>
    <w:rsid w:val="006B4E78"/>
    <w:rsid w:val="006B51D1"/>
    <w:rsid w:val="006B52DE"/>
    <w:rsid w:val="006B5717"/>
    <w:rsid w:val="006B582F"/>
    <w:rsid w:val="006B58B4"/>
    <w:rsid w:val="006B5EB2"/>
    <w:rsid w:val="006B5ED8"/>
    <w:rsid w:val="006B634A"/>
    <w:rsid w:val="006B65CD"/>
    <w:rsid w:val="006B66DD"/>
    <w:rsid w:val="006B66E9"/>
    <w:rsid w:val="006B672D"/>
    <w:rsid w:val="006B6BC3"/>
    <w:rsid w:val="006B6D76"/>
    <w:rsid w:val="006B7057"/>
    <w:rsid w:val="006B779E"/>
    <w:rsid w:val="006B77C9"/>
    <w:rsid w:val="006B78C0"/>
    <w:rsid w:val="006B799C"/>
    <w:rsid w:val="006B7AA2"/>
    <w:rsid w:val="006B7B31"/>
    <w:rsid w:val="006C00B5"/>
    <w:rsid w:val="006C034C"/>
    <w:rsid w:val="006C0749"/>
    <w:rsid w:val="006C0777"/>
    <w:rsid w:val="006C0A10"/>
    <w:rsid w:val="006C0CEB"/>
    <w:rsid w:val="006C12D5"/>
    <w:rsid w:val="006C1433"/>
    <w:rsid w:val="006C14D9"/>
    <w:rsid w:val="006C1602"/>
    <w:rsid w:val="006C1631"/>
    <w:rsid w:val="006C1673"/>
    <w:rsid w:val="006C1751"/>
    <w:rsid w:val="006C194E"/>
    <w:rsid w:val="006C1960"/>
    <w:rsid w:val="006C1C07"/>
    <w:rsid w:val="006C1C28"/>
    <w:rsid w:val="006C2182"/>
    <w:rsid w:val="006C2361"/>
    <w:rsid w:val="006C2444"/>
    <w:rsid w:val="006C252C"/>
    <w:rsid w:val="006C25F9"/>
    <w:rsid w:val="006C2610"/>
    <w:rsid w:val="006C286C"/>
    <w:rsid w:val="006C3089"/>
    <w:rsid w:val="006C3536"/>
    <w:rsid w:val="006C37AC"/>
    <w:rsid w:val="006C3802"/>
    <w:rsid w:val="006C3812"/>
    <w:rsid w:val="006C3849"/>
    <w:rsid w:val="006C385D"/>
    <w:rsid w:val="006C3B1E"/>
    <w:rsid w:val="006C3BCA"/>
    <w:rsid w:val="006C3DB9"/>
    <w:rsid w:val="006C3F28"/>
    <w:rsid w:val="006C4149"/>
    <w:rsid w:val="006C41DB"/>
    <w:rsid w:val="006C420F"/>
    <w:rsid w:val="006C43B0"/>
    <w:rsid w:val="006C4564"/>
    <w:rsid w:val="006C45FB"/>
    <w:rsid w:val="006C47FD"/>
    <w:rsid w:val="006C4829"/>
    <w:rsid w:val="006C49A6"/>
    <w:rsid w:val="006C4DF1"/>
    <w:rsid w:val="006C4E42"/>
    <w:rsid w:val="006C5031"/>
    <w:rsid w:val="006C5530"/>
    <w:rsid w:val="006C56B7"/>
    <w:rsid w:val="006C56CD"/>
    <w:rsid w:val="006C57AC"/>
    <w:rsid w:val="006C5BF2"/>
    <w:rsid w:val="006C5C19"/>
    <w:rsid w:val="006C5C51"/>
    <w:rsid w:val="006C5DFB"/>
    <w:rsid w:val="006C5FD4"/>
    <w:rsid w:val="006C608C"/>
    <w:rsid w:val="006C62EC"/>
    <w:rsid w:val="006C633E"/>
    <w:rsid w:val="006C68BF"/>
    <w:rsid w:val="006C699D"/>
    <w:rsid w:val="006C6BB7"/>
    <w:rsid w:val="006C6CB7"/>
    <w:rsid w:val="006C6D9D"/>
    <w:rsid w:val="006C70A0"/>
    <w:rsid w:val="006C7139"/>
    <w:rsid w:val="006C72CE"/>
    <w:rsid w:val="006C752E"/>
    <w:rsid w:val="006C7ACC"/>
    <w:rsid w:val="006C7C03"/>
    <w:rsid w:val="006C7F66"/>
    <w:rsid w:val="006D008D"/>
    <w:rsid w:val="006D042B"/>
    <w:rsid w:val="006D04E4"/>
    <w:rsid w:val="006D0AAB"/>
    <w:rsid w:val="006D0B27"/>
    <w:rsid w:val="006D0CC6"/>
    <w:rsid w:val="006D105B"/>
    <w:rsid w:val="006D10CF"/>
    <w:rsid w:val="006D10ED"/>
    <w:rsid w:val="006D11BD"/>
    <w:rsid w:val="006D1D85"/>
    <w:rsid w:val="006D1F58"/>
    <w:rsid w:val="006D2239"/>
    <w:rsid w:val="006D224D"/>
    <w:rsid w:val="006D24E5"/>
    <w:rsid w:val="006D264D"/>
    <w:rsid w:val="006D270E"/>
    <w:rsid w:val="006D27C2"/>
    <w:rsid w:val="006D27CB"/>
    <w:rsid w:val="006D283D"/>
    <w:rsid w:val="006D28A1"/>
    <w:rsid w:val="006D28FF"/>
    <w:rsid w:val="006D2C55"/>
    <w:rsid w:val="006D2F08"/>
    <w:rsid w:val="006D33F0"/>
    <w:rsid w:val="006D34F0"/>
    <w:rsid w:val="006D382C"/>
    <w:rsid w:val="006D3EBE"/>
    <w:rsid w:val="006D42C3"/>
    <w:rsid w:val="006D432D"/>
    <w:rsid w:val="006D4552"/>
    <w:rsid w:val="006D48FE"/>
    <w:rsid w:val="006D503D"/>
    <w:rsid w:val="006D5086"/>
    <w:rsid w:val="006D50F5"/>
    <w:rsid w:val="006D54AE"/>
    <w:rsid w:val="006D5517"/>
    <w:rsid w:val="006D5546"/>
    <w:rsid w:val="006D5581"/>
    <w:rsid w:val="006D5693"/>
    <w:rsid w:val="006D576C"/>
    <w:rsid w:val="006D5865"/>
    <w:rsid w:val="006D5B52"/>
    <w:rsid w:val="006D5D24"/>
    <w:rsid w:val="006D5D4C"/>
    <w:rsid w:val="006D5D4D"/>
    <w:rsid w:val="006D5D8B"/>
    <w:rsid w:val="006D5EDC"/>
    <w:rsid w:val="006D60AB"/>
    <w:rsid w:val="006D6321"/>
    <w:rsid w:val="006D634F"/>
    <w:rsid w:val="006D636D"/>
    <w:rsid w:val="006D6720"/>
    <w:rsid w:val="006D68CD"/>
    <w:rsid w:val="006D6D7A"/>
    <w:rsid w:val="006D6DDF"/>
    <w:rsid w:val="006D6ED3"/>
    <w:rsid w:val="006D6F36"/>
    <w:rsid w:val="006D7179"/>
    <w:rsid w:val="006D71CE"/>
    <w:rsid w:val="006D72E5"/>
    <w:rsid w:val="006D73CE"/>
    <w:rsid w:val="006D7406"/>
    <w:rsid w:val="006D7414"/>
    <w:rsid w:val="006D741A"/>
    <w:rsid w:val="006D771A"/>
    <w:rsid w:val="006D7747"/>
    <w:rsid w:val="006D78BA"/>
    <w:rsid w:val="006D7902"/>
    <w:rsid w:val="006D7B45"/>
    <w:rsid w:val="006D7D5D"/>
    <w:rsid w:val="006D7FEA"/>
    <w:rsid w:val="006E0002"/>
    <w:rsid w:val="006E003B"/>
    <w:rsid w:val="006E02CF"/>
    <w:rsid w:val="006E02D0"/>
    <w:rsid w:val="006E032E"/>
    <w:rsid w:val="006E080D"/>
    <w:rsid w:val="006E091D"/>
    <w:rsid w:val="006E0E75"/>
    <w:rsid w:val="006E1149"/>
    <w:rsid w:val="006E1445"/>
    <w:rsid w:val="006E1489"/>
    <w:rsid w:val="006E1687"/>
    <w:rsid w:val="006E1723"/>
    <w:rsid w:val="006E17C9"/>
    <w:rsid w:val="006E19CF"/>
    <w:rsid w:val="006E1B50"/>
    <w:rsid w:val="006E1F81"/>
    <w:rsid w:val="006E2409"/>
    <w:rsid w:val="006E246F"/>
    <w:rsid w:val="006E24A3"/>
    <w:rsid w:val="006E24E9"/>
    <w:rsid w:val="006E2751"/>
    <w:rsid w:val="006E28F8"/>
    <w:rsid w:val="006E2944"/>
    <w:rsid w:val="006E2ADF"/>
    <w:rsid w:val="006E2DB1"/>
    <w:rsid w:val="006E2F0F"/>
    <w:rsid w:val="006E3038"/>
    <w:rsid w:val="006E3441"/>
    <w:rsid w:val="006E3713"/>
    <w:rsid w:val="006E3930"/>
    <w:rsid w:val="006E3C63"/>
    <w:rsid w:val="006E40F6"/>
    <w:rsid w:val="006E46D5"/>
    <w:rsid w:val="006E48AB"/>
    <w:rsid w:val="006E48DE"/>
    <w:rsid w:val="006E4B1B"/>
    <w:rsid w:val="006E4BEF"/>
    <w:rsid w:val="006E4C46"/>
    <w:rsid w:val="006E4C77"/>
    <w:rsid w:val="006E4E00"/>
    <w:rsid w:val="006E5445"/>
    <w:rsid w:val="006E5703"/>
    <w:rsid w:val="006E59DB"/>
    <w:rsid w:val="006E5B5B"/>
    <w:rsid w:val="006E5D4C"/>
    <w:rsid w:val="006E5DD4"/>
    <w:rsid w:val="006E5EDD"/>
    <w:rsid w:val="006E6058"/>
    <w:rsid w:val="006E65D8"/>
    <w:rsid w:val="006E68E1"/>
    <w:rsid w:val="006E696A"/>
    <w:rsid w:val="006E69C5"/>
    <w:rsid w:val="006E7178"/>
    <w:rsid w:val="006E71C7"/>
    <w:rsid w:val="006E72F4"/>
    <w:rsid w:val="006E7374"/>
    <w:rsid w:val="006E747D"/>
    <w:rsid w:val="006E7553"/>
    <w:rsid w:val="006E761E"/>
    <w:rsid w:val="006E76A4"/>
    <w:rsid w:val="006E778F"/>
    <w:rsid w:val="006E7876"/>
    <w:rsid w:val="006E7C27"/>
    <w:rsid w:val="006E7D93"/>
    <w:rsid w:val="006E7EEB"/>
    <w:rsid w:val="006E7F0A"/>
    <w:rsid w:val="006F007B"/>
    <w:rsid w:val="006F0553"/>
    <w:rsid w:val="006F0635"/>
    <w:rsid w:val="006F0846"/>
    <w:rsid w:val="006F087C"/>
    <w:rsid w:val="006F0A97"/>
    <w:rsid w:val="006F0B9A"/>
    <w:rsid w:val="006F0BFD"/>
    <w:rsid w:val="006F0D57"/>
    <w:rsid w:val="006F0D61"/>
    <w:rsid w:val="006F0E7E"/>
    <w:rsid w:val="006F0F93"/>
    <w:rsid w:val="006F0FF9"/>
    <w:rsid w:val="006F10EA"/>
    <w:rsid w:val="006F115D"/>
    <w:rsid w:val="006F123D"/>
    <w:rsid w:val="006F12BB"/>
    <w:rsid w:val="006F12FF"/>
    <w:rsid w:val="006F14D6"/>
    <w:rsid w:val="006F14EA"/>
    <w:rsid w:val="006F160A"/>
    <w:rsid w:val="006F1719"/>
    <w:rsid w:val="006F1830"/>
    <w:rsid w:val="006F189F"/>
    <w:rsid w:val="006F1C58"/>
    <w:rsid w:val="006F1D53"/>
    <w:rsid w:val="006F1E62"/>
    <w:rsid w:val="006F1FF4"/>
    <w:rsid w:val="006F2159"/>
    <w:rsid w:val="006F2581"/>
    <w:rsid w:val="006F2743"/>
    <w:rsid w:val="006F27A4"/>
    <w:rsid w:val="006F2C45"/>
    <w:rsid w:val="006F3117"/>
    <w:rsid w:val="006F321F"/>
    <w:rsid w:val="006F329A"/>
    <w:rsid w:val="006F34C9"/>
    <w:rsid w:val="006F36BF"/>
    <w:rsid w:val="006F377A"/>
    <w:rsid w:val="006F3B56"/>
    <w:rsid w:val="006F3C35"/>
    <w:rsid w:val="006F3D91"/>
    <w:rsid w:val="006F3DD9"/>
    <w:rsid w:val="006F3E62"/>
    <w:rsid w:val="006F406C"/>
    <w:rsid w:val="006F4285"/>
    <w:rsid w:val="006F4308"/>
    <w:rsid w:val="006F432D"/>
    <w:rsid w:val="006F4371"/>
    <w:rsid w:val="006F4607"/>
    <w:rsid w:val="006F4680"/>
    <w:rsid w:val="006F4766"/>
    <w:rsid w:val="006F4920"/>
    <w:rsid w:val="006F495F"/>
    <w:rsid w:val="006F505F"/>
    <w:rsid w:val="006F50EA"/>
    <w:rsid w:val="006F557D"/>
    <w:rsid w:val="006F578F"/>
    <w:rsid w:val="006F59D5"/>
    <w:rsid w:val="006F5D16"/>
    <w:rsid w:val="006F5DCA"/>
    <w:rsid w:val="006F63D0"/>
    <w:rsid w:val="006F65A8"/>
    <w:rsid w:val="006F6669"/>
    <w:rsid w:val="006F6834"/>
    <w:rsid w:val="006F6A91"/>
    <w:rsid w:val="006F6A97"/>
    <w:rsid w:val="006F6AA0"/>
    <w:rsid w:val="006F6CAF"/>
    <w:rsid w:val="006F6D8A"/>
    <w:rsid w:val="006F6DD4"/>
    <w:rsid w:val="006F7480"/>
    <w:rsid w:val="006F76D4"/>
    <w:rsid w:val="006F797A"/>
    <w:rsid w:val="006F7BBF"/>
    <w:rsid w:val="006F7D4A"/>
    <w:rsid w:val="006F7EA9"/>
    <w:rsid w:val="007000C0"/>
    <w:rsid w:val="00700659"/>
    <w:rsid w:val="0070096E"/>
    <w:rsid w:val="00700ADF"/>
    <w:rsid w:val="00700AEC"/>
    <w:rsid w:val="00700DCD"/>
    <w:rsid w:val="00700DE1"/>
    <w:rsid w:val="0070133D"/>
    <w:rsid w:val="00701381"/>
    <w:rsid w:val="0070184A"/>
    <w:rsid w:val="00701AB8"/>
    <w:rsid w:val="00701BDC"/>
    <w:rsid w:val="00701D59"/>
    <w:rsid w:val="00701D8D"/>
    <w:rsid w:val="0070200A"/>
    <w:rsid w:val="00702225"/>
    <w:rsid w:val="00702541"/>
    <w:rsid w:val="00702694"/>
    <w:rsid w:val="007029A3"/>
    <w:rsid w:val="00702B99"/>
    <w:rsid w:val="00702D1E"/>
    <w:rsid w:val="00702DF3"/>
    <w:rsid w:val="00702F0B"/>
    <w:rsid w:val="00702FB8"/>
    <w:rsid w:val="00703018"/>
    <w:rsid w:val="00703462"/>
    <w:rsid w:val="007037AA"/>
    <w:rsid w:val="00703C32"/>
    <w:rsid w:val="00703D79"/>
    <w:rsid w:val="00704229"/>
    <w:rsid w:val="00704385"/>
    <w:rsid w:val="007045A5"/>
    <w:rsid w:val="007045A6"/>
    <w:rsid w:val="00704A44"/>
    <w:rsid w:val="00704E56"/>
    <w:rsid w:val="00704EC6"/>
    <w:rsid w:val="00704FA3"/>
    <w:rsid w:val="007052F8"/>
    <w:rsid w:val="00705A13"/>
    <w:rsid w:val="00705CBB"/>
    <w:rsid w:val="00705E9E"/>
    <w:rsid w:val="00705FA4"/>
    <w:rsid w:val="00705FD4"/>
    <w:rsid w:val="00706308"/>
    <w:rsid w:val="007065DB"/>
    <w:rsid w:val="007066AB"/>
    <w:rsid w:val="00706841"/>
    <w:rsid w:val="00706E4E"/>
    <w:rsid w:val="00706F59"/>
    <w:rsid w:val="00706FAE"/>
    <w:rsid w:val="007071B1"/>
    <w:rsid w:val="00707918"/>
    <w:rsid w:val="0070791C"/>
    <w:rsid w:val="0070795F"/>
    <w:rsid w:val="00707D9D"/>
    <w:rsid w:val="00707E62"/>
    <w:rsid w:val="00710050"/>
    <w:rsid w:val="0071009B"/>
    <w:rsid w:val="007100BF"/>
    <w:rsid w:val="00710190"/>
    <w:rsid w:val="007102A3"/>
    <w:rsid w:val="00710378"/>
    <w:rsid w:val="007105DC"/>
    <w:rsid w:val="00710631"/>
    <w:rsid w:val="00710779"/>
    <w:rsid w:val="00710EB8"/>
    <w:rsid w:val="0071108D"/>
    <w:rsid w:val="007111A1"/>
    <w:rsid w:val="0071125A"/>
    <w:rsid w:val="00711752"/>
    <w:rsid w:val="00711A0E"/>
    <w:rsid w:val="00711A22"/>
    <w:rsid w:val="00711A52"/>
    <w:rsid w:val="00711A6A"/>
    <w:rsid w:val="00712118"/>
    <w:rsid w:val="0071294E"/>
    <w:rsid w:val="00712A1F"/>
    <w:rsid w:val="00712B89"/>
    <w:rsid w:val="007130E5"/>
    <w:rsid w:val="00713147"/>
    <w:rsid w:val="007131B7"/>
    <w:rsid w:val="007131B9"/>
    <w:rsid w:val="007133F9"/>
    <w:rsid w:val="00713416"/>
    <w:rsid w:val="007134F7"/>
    <w:rsid w:val="007135FB"/>
    <w:rsid w:val="00713794"/>
    <w:rsid w:val="0071383C"/>
    <w:rsid w:val="00713928"/>
    <w:rsid w:val="00713BC5"/>
    <w:rsid w:val="00713F99"/>
    <w:rsid w:val="0071407C"/>
    <w:rsid w:val="007141A7"/>
    <w:rsid w:val="007147A7"/>
    <w:rsid w:val="00714821"/>
    <w:rsid w:val="00714B2E"/>
    <w:rsid w:val="00714B8A"/>
    <w:rsid w:val="00714D5D"/>
    <w:rsid w:val="00714D9D"/>
    <w:rsid w:val="00714F60"/>
    <w:rsid w:val="00714FB1"/>
    <w:rsid w:val="00715159"/>
    <w:rsid w:val="00715722"/>
    <w:rsid w:val="0071574C"/>
    <w:rsid w:val="0071592C"/>
    <w:rsid w:val="0071598A"/>
    <w:rsid w:val="00715A12"/>
    <w:rsid w:val="00715B54"/>
    <w:rsid w:val="00715BAF"/>
    <w:rsid w:val="00715BB9"/>
    <w:rsid w:val="00716053"/>
    <w:rsid w:val="00716568"/>
    <w:rsid w:val="00716672"/>
    <w:rsid w:val="00716A10"/>
    <w:rsid w:val="00716A41"/>
    <w:rsid w:val="00716C87"/>
    <w:rsid w:val="00716EA6"/>
    <w:rsid w:val="00716FCB"/>
    <w:rsid w:val="007170EF"/>
    <w:rsid w:val="00717254"/>
    <w:rsid w:val="007176D1"/>
    <w:rsid w:val="00717742"/>
    <w:rsid w:val="007178BC"/>
    <w:rsid w:val="007179D2"/>
    <w:rsid w:val="00717A7C"/>
    <w:rsid w:val="00717B95"/>
    <w:rsid w:val="00720184"/>
    <w:rsid w:val="007202A7"/>
    <w:rsid w:val="00720683"/>
    <w:rsid w:val="00720993"/>
    <w:rsid w:val="00720AB3"/>
    <w:rsid w:val="00720B1C"/>
    <w:rsid w:val="00720BA3"/>
    <w:rsid w:val="00720C3E"/>
    <w:rsid w:val="00720D71"/>
    <w:rsid w:val="00721032"/>
    <w:rsid w:val="0072132A"/>
    <w:rsid w:val="0072139B"/>
    <w:rsid w:val="00721559"/>
    <w:rsid w:val="007219CE"/>
    <w:rsid w:val="00721A33"/>
    <w:rsid w:val="00721B55"/>
    <w:rsid w:val="00721B8E"/>
    <w:rsid w:val="00721D76"/>
    <w:rsid w:val="00721DD9"/>
    <w:rsid w:val="00721E83"/>
    <w:rsid w:val="00721EA9"/>
    <w:rsid w:val="00721FC7"/>
    <w:rsid w:val="00722448"/>
    <w:rsid w:val="00722AB2"/>
    <w:rsid w:val="00722E9C"/>
    <w:rsid w:val="00722F5C"/>
    <w:rsid w:val="007230BD"/>
    <w:rsid w:val="0072320C"/>
    <w:rsid w:val="0072351D"/>
    <w:rsid w:val="007235AB"/>
    <w:rsid w:val="00723889"/>
    <w:rsid w:val="007239A6"/>
    <w:rsid w:val="0072410E"/>
    <w:rsid w:val="00724210"/>
    <w:rsid w:val="007242D8"/>
    <w:rsid w:val="00724AB5"/>
    <w:rsid w:val="00724B98"/>
    <w:rsid w:val="00724CA3"/>
    <w:rsid w:val="00724EBF"/>
    <w:rsid w:val="00725194"/>
    <w:rsid w:val="00725340"/>
    <w:rsid w:val="0072541E"/>
    <w:rsid w:val="00725BB8"/>
    <w:rsid w:val="00725D9C"/>
    <w:rsid w:val="00725DB2"/>
    <w:rsid w:val="00725EC8"/>
    <w:rsid w:val="00725FE4"/>
    <w:rsid w:val="007266BD"/>
    <w:rsid w:val="00726CE4"/>
    <w:rsid w:val="00726D84"/>
    <w:rsid w:val="007270CB"/>
    <w:rsid w:val="0072714C"/>
    <w:rsid w:val="0072725B"/>
    <w:rsid w:val="00727307"/>
    <w:rsid w:val="007274C0"/>
    <w:rsid w:val="00727E43"/>
    <w:rsid w:val="00727E80"/>
    <w:rsid w:val="00730312"/>
    <w:rsid w:val="00730711"/>
    <w:rsid w:val="00730A36"/>
    <w:rsid w:val="00730A8C"/>
    <w:rsid w:val="00730AEA"/>
    <w:rsid w:val="00730BBF"/>
    <w:rsid w:val="00730C9F"/>
    <w:rsid w:val="00730D95"/>
    <w:rsid w:val="007310C3"/>
    <w:rsid w:val="00731487"/>
    <w:rsid w:val="00731652"/>
    <w:rsid w:val="007318F9"/>
    <w:rsid w:val="0073190B"/>
    <w:rsid w:val="00731B6E"/>
    <w:rsid w:val="00731CE1"/>
    <w:rsid w:val="00731D90"/>
    <w:rsid w:val="00731F06"/>
    <w:rsid w:val="007321C0"/>
    <w:rsid w:val="007322B1"/>
    <w:rsid w:val="007329F1"/>
    <w:rsid w:val="00733731"/>
    <w:rsid w:val="00733A8A"/>
    <w:rsid w:val="00733BD4"/>
    <w:rsid w:val="00734119"/>
    <w:rsid w:val="00734143"/>
    <w:rsid w:val="00734253"/>
    <w:rsid w:val="00734331"/>
    <w:rsid w:val="00734593"/>
    <w:rsid w:val="00734716"/>
    <w:rsid w:val="007347C3"/>
    <w:rsid w:val="007349B8"/>
    <w:rsid w:val="00734C65"/>
    <w:rsid w:val="00734C6A"/>
    <w:rsid w:val="00734F3C"/>
    <w:rsid w:val="00734FE5"/>
    <w:rsid w:val="00735163"/>
    <w:rsid w:val="0073516C"/>
    <w:rsid w:val="007352D3"/>
    <w:rsid w:val="0073570C"/>
    <w:rsid w:val="00735843"/>
    <w:rsid w:val="00735980"/>
    <w:rsid w:val="00735B1F"/>
    <w:rsid w:val="00735CB5"/>
    <w:rsid w:val="00735D6A"/>
    <w:rsid w:val="00735F65"/>
    <w:rsid w:val="00736E4F"/>
    <w:rsid w:val="0073706B"/>
    <w:rsid w:val="00737464"/>
    <w:rsid w:val="007375D2"/>
    <w:rsid w:val="00737634"/>
    <w:rsid w:val="00737753"/>
    <w:rsid w:val="007379EA"/>
    <w:rsid w:val="00737DEB"/>
    <w:rsid w:val="00737E47"/>
    <w:rsid w:val="00740296"/>
    <w:rsid w:val="007403BD"/>
    <w:rsid w:val="007408B4"/>
    <w:rsid w:val="00740AB4"/>
    <w:rsid w:val="00740B21"/>
    <w:rsid w:val="00740B7F"/>
    <w:rsid w:val="00740D5F"/>
    <w:rsid w:val="00740EAC"/>
    <w:rsid w:val="00741103"/>
    <w:rsid w:val="007412B2"/>
    <w:rsid w:val="007412E9"/>
    <w:rsid w:val="00741301"/>
    <w:rsid w:val="00741603"/>
    <w:rsid w:val="007416E3"/>
    <w:rsid w:val="007418C2"/>
    <w:rsid w:val="00741A11"/>
    <w:rsid w:val="00741E9F"/>
    <w:rsid w:val="00742061"/>
    <w:rsid w:val="0074251A"/>
    <w:rsid w:val="00742902"/>
    <w:rsid w:val="007429CF"/>
    <w:rsid w:val="00742CCD"/>
    <w:rsid w:val="00742F31"/>
    <w:rsid w:val="00743196"/>
    <w:rsid w:val="0074326E"/>
    <w:rsid w:val="007435BB"/>
    <w:rsid w:val="00743621"/>
    <w:rsid w:val="007436AF"/>
    <w:rsid w:val="00743816"/>
    <w:rsid w:val="00743C88"/>
    <w:rsid w:val="00743DC5"/>
    <w:rsid w:val="00744365"/>
    <w:rsid w:val="0074438D"/>
    <w:rsid w:val="007445E8"/>
    <w:rsid w:val="00744956"/>
    <w:rsid w:val="00744B16"/>
    <w:rsid w:val="00744C02"/>
    <w:rsid w:val="00744C09"/>
    <w:rsid w:val="00744CB7"/>
    <w:rsid w:val="00744DEB"/>
    <w:rsid w:val="007456D7"/>
    <w:rsid w:val="007456E7"/>
    <w:rsid w:val="0074593A"/>
    <w:rsid w:val="00745A5C"/>
    <w:rsid w:val="00745C63"/>
    <w:rsid w:val="00745CBA"/>
    <w:rsid w:val="0074605F"/>
    <w:rsid w:val="00746066"/>
    <w:rsid w:val="00746331"/>
    <w:rsid w:val="007468B6"/>
    <w:rsid w:val="00746A7C"/>
    <w:rsid w:val="0074719A"/>
    <w:rsid w:val="00747345"/>
    <w:rsid w:val="0074772E"/>
    <w:rsid w:val="0074789C"/>
    <w:rsid w:val="007478BA"/>
    <w:rsid w:val="007478E0"/>
    <w:rsid w:val="00747BC8"/>
    <w:rsid w:val="00747C2B"/>
    <w:rsid w:val="00747CD8"/>
    <w:rsid w:val="00747E94"/>
    <w:rsid w:val="00750190"/>
    <w:rsid w:val="00750541"/>
    <w:rsid w:val="007505C6"/>
    <w:rsid w:val="007505CB"/>
    <w:rsid w:val="007508AF"/>
    <w:rsid w:val="00750A7C"/>
    <w:rsid w:val="00750E00"/>
    <w:rsid w:val="00750ED5"/>
    <w:rsid w:val="0075197C"/>
    <w:rsid w:val="00751A12"/>
    <w:rsid w:val="00751AA6"/>
    <w:rsid w:val="00751B4E"/>
    <w:rsid w:val="00751BED"/>
    <w:rsid w:val="00751C96"/>
    <w:rsid w:val="0075218B"/>
    <w:rsid w:val="007523C3"/>
    <w:rsid w:val="007525B7"/>
    <w:rsid w:val="00752684"/>
    <w:rsid w:val="007528FC"/>
    <w:rsid w:val="00752B25"/>
    <w:rsid w:val="00752B43"/>
    <w:rsid w:val="007532B8"/>
    <w:rsid w:val="00753358"/>
    <w:rsid w:val="00753417"/>
    <w:rsid w:val="00753474"/>
    <w:rsid w:val="00753719"/>
    <w:rsid w:val="00753798"/>
    <w:rsid w:val="00753AF4"/>
    <w:rsid w:val="00753B3A"/>
    <w:rsid w:val="00753F40"/>
    <w:rsid w:val="00753F9A"/>
    <w:rsid w:val="00754168"/>
    <w:rsid w:val="007542AB"/>
    <w:rsid w:val="00754454"/>
    <w:rsid w:val="00754896"/>
    <w:rsid w:val="00754C83"/>
    <w:rsid w:val="007552EE"/>
    <w:rsid w:val="00755383"/>
    <w:rsid w:val="00755663"/>
    <w:rsid w:val="007556F8"/>
    <w:rsid w:val="00755A76"/>
    <w:rsid w:val="00755C4C"/>
    <w:rsid w:val="00755CD5"/>
    <w:rsid w:val="007563CE"/>
    <w:rsid w:val="007563DB"/>
    <w:rsid w:val="00756414"/>
    <w:rsid w:val="007567EB"/>
    <w:rsid w:val="007569E1"/>
    <w:rsid w:val="00756D93"/>
    <w:rsid w:val="00756F54"/>
    <w:rsid w:val="00756F9C"/>
    <w:rsid w:val="00756FAD"/>
    <w:rsid w:val="00757195"/>
    <w:rsid w:val="007572A4"/>
    <w:rsid w:val="007577C9"/>
    <w:rsid w:val="0075788F"/>
    <w:rsid w:val="00757ED8"/>
    <w:rsid w:val="0076029C"/>
    <w:rsid w:val="007603F6"/>
    <w:rsid w:val="0076040A"/>
    <w:rsid w:val="00760832"/>
    <w:rsid w:val="00760837"/>
    <w:rsid w:val="00760995"/>
    <w:rsid w:val="00760B58"/>
    <w:rsid w:val="00761093"/>
    <w:rsid w:val="007610A4"/>
    <w:rsid w:val="007610CB"/>
    <w:rsid w:val="007615EE"/>
    <w:rsid w:val="0076179B"/>
    <w:rsid w:val="007617CF"/>
    <w:rsid w:val="00761E5C"/>
    <w:rsid w:val="00761F59"/>
    <w:rsid w:val="00762373"/>
    <w:rsid w:val="0076259F"/>
    <w:rsid w:val="00762600"/>
    <w:rsid w:val="0076277A"/>
    <w:rsid w:val="00762838"/>
    <w:rsid w:val="00762AF5"/>
    <w:rsid w:val="00762BA0"/>
    <w:rsid w:val="00763014"/>
    <w:rsid w:val="00763121"/>
    <w:rsid w:val="007631FF"/>
    <w:rsid w:val="0076323A"/>
    <w:rsid w:val="0076330F"/>
    <w:rsid w:val="00763490"/>
    <w:rsid w:val="007636D3"/>
    <w:rsid w:val="007639FB"/>
    <w:rsid w:val="00763AB4"/>
    <w:rsid w:val="00763C62"/>
    <w:rsid w:val="00763CE2"/>
    <w:rsid w:val="00763E72"/>
    <w:rsid w:val="00763FA3"/>
    <w:rsid w:val="00763FF0"/>
    <w:rsid w:val="00764056"/>
    <w:rsid w:val="00764225"/>
    <w:rsid w:val="00764233"/>
    <w:rsid w:val="007648C7"/>
    <w:rsid w:val="00764A16"/>
    <w:rsid w:val="00764FC8"/>
    <w:rsid w:val="007655D0"/>
    <w:rsid w:val="00765691"/>
    <w:rsid w:val="0076582B"/>
    <w:rsid w:val="00765DF8"/>
    <w:rsid w:val="00765EF7"/>
    <w:rsid w:val="007660E8"/>
    <w:rsid w:val="00766708"/>
    <w:rsid w:val="00766749"/>
    <w:rsid w:val="00766770"/>
    <w:rsid w:val="007667CF"/>
    <w:rsid w:val="00766925"/>
    <w:rsid w:val="00766F78"/>
    <w:rsid w:val="0076703C"/>
    <w:rsid w:val="007670AF"/>
    <w:rsid w:val="007671C4"/>
    <w:rsid w:val="00767361"/>
    <w:rsid w:val="00767439"/>
    <w:rsid w:val="00767697"/>
    <w:rsid w:val="00767726"/>
    <w:rsid w:val="007677F3"/>
    <w:rsid w:val="007678FE"/>
    <w:rsid w:val="00767BAB"/>
    <w:rsid w:val="00767C1B"/>
    <w:rsid w:val="00767CE0"/>
    <w:rsid w:val="00767E32"/>
    <w:rsid w:val="00767F06"/>
    <w:rsid w:val="00767FFE"/>
    <w:rsid w:val="00770090"/>
    <w:rsid w:val="0077028E"/>
    <w:rsid w:val="00770414"/>
    <w:rsid w:val="0077063E"/>
    <w:rsid w:val="007706BD"/>
    <w:rsid w:val="00770B3F"/>
    <w:rsid w:val="00770D09"/>
    <w:rsid w:val="00770D36"/>
    <w:rsid w:val="007711E7"/>
    <w:rsid w:val="007713BD"/>
    <w:rsid w:val="007713D1"/>
    <w:rsid w:val="007714A9"/>
    <w:rsid w:val="00771573"/>
    <w:rsid w:val="00771614"/>
    <w:rsid w:val="0077162F"/>
    <w:rsid w:val="0077167A"/>
    <w:rsid w:val="00771A5C"/>
    <w:rsid w:val="00771D44"/>
    <w:rsid w:val="00771F81"/>
    <w:rsid w:val="00772051"/>
    <w:rsid w:val="00772514"/>
    <w:rsid w:val="0077292E"/>
    <w:rsid w:val="00772963"/>
    <w:rsid w:val="00772980"/>
    <w:rsid w:val="00772D7B"/>
    <w:rsid w:val="0077323F"/>
    <w:rsid w:val="0077340E"/>
    <w:rsid w:val="00773591"/>
    <w:rsid w:val="00773725"/>
    <w:rsid w:val="00773B36"/>
    <w:rsid w:val="00773B93"/>
    <w:rsid w:val="00773C92"/>
    <w:rsid w:val="00773F22"/>
    <w:rsid w:val="0077409A"/>
    <w:rsid w:val="00774471"/>
    <w:rsid w:val="007746E2"/>
    <w:rsid w:val="00774F88"/>
    <w:rsid w:val="00774FDB"/>
    <w:rsid w:val="00775096"/>
    <w:rsid w:val="00775354"/>
    <w:rsid w:val="00775670"/>
    <w:rsid w:val="00775789"/>
    <w:rsid w:val="0077598E"/>
    <w:rsid w:val="00775BDA"/>
    <w:rsid w:val="00775EC2"/>
    <w:rsid w:val="007760BF"/>
    <w:rsid w:val="0077625A"/>
    <w:rsid w:val="007762ED"/>
    <w:rsid w:val="00776353"/>
    <w:rsid w:val="00776A9F"/>
    <w:rsid w:val="00776BC3"/>
    <w:rsid w:val="00776D66"/>
    <w:rsid w:val="00776F95"/>
    <w:rsid w:val="00777661"/>
    <w:rsid w:val="00777BA2"/>
    <w:rsid w:val="00777F33"/>
    <w:rsid w:val="00780307"/>
    <w:rsid w:val="00780582"/>
    <w:rsid w:val="007808D6"/>
    <w:rsid w:val="00780AC8"/>
    <w:rsid w:val="00780C0B"/>
    <w:rsid w:val="00780F52"/>
    <w:rsid w:val="00781311"/>
    <w:rsid w:val="00781408"/>
    <w:rsid w:val="00781484"/>
    <w:rsid w:val="00781749"/>
    <w:rsid w:val="007817F8"/>
    <w:rsid w:val="007819C0"/>
    <w:rsid w:val="00781E93"/>
    <w:rsid w:val="007826C6"/>
    <w:rsid w:val="00782737"/>
    <w:rsid w:val="0078293B"/>
    <w:rsid w:val="00782D29"/>
    <w:rsid w:val="007831B0"/>
    <w:rsid w:val="0078376C"/>
    <w:rsid w:val="00783B74"/>
    <w:rsid w:val="00783CC8"/>
    <w:rsid w:val="00783F61"/>
    <w:rsid w:val="00784146"/>
    <w:rsid w:val="00784600"/>
    <w:rsid w:val="0078464E"/>
    <w:rsid w:val="00784759"/>
    <w:rsid w:val="00784818"/>
    <w:rsid w:val="007849AD"/>
    <w:rsid w:val="00784A32"/>
    <w:rsid w:val="00784B83"/>
    <w:rsid w:val="00784F7F"/>
    <w:rsid w:val="0078510F"/>
    <w:rsid w:val="0078529B"/>
    <w:rsid w:val="0078580D"/>
    <w:rsid w:val="00785B45"/>
    <w:rsid w:val="00785B8D"/>
    <w:rsid w:val="00785CA8"/>
    <w:rsid w:val="00785D75"/>
    <w:rsid w:val="00785DEA"/>
    <w:rsid w:val="00785E98"/>
    <w:rsid w:val="00785F1E"/>
    <w:rsid w:val="00785F80"/>
    <w:rsid w:val="0078626B"/>
    <w:rsid w:val="00786321"/>
    <w:rsid w:val="0078632F"/>
    <w:rsid w:val="007866C2"/>
    <w:rsid w:val="007866E3"/>
    <w:rsid w:val="00786795"/>
    <w:rsid w:val="007869D6"/>
    <w:rsid w:val="00786C0B"/>
    <w:rsid w:val="00786F33"/>
    <w:rsid w:val="007871D4"/>
    <w:rsid w:val="0078728B"/>
    <w:rsid w:val="0078729A"/>
    <w:rsid w:val="007875E4"/>
    <w:rsid w:val="007877A2"/>
    <w:rsid w:val="007878BD"/>
    <w:rsid w:val="00787C74"/>
    <w:rsid w:val="00790333"/>
    <w:rsid w:val="00790560"/>
    <w:rsid w:val="00790653"/>
    <w:rsid w:val="00790B3D"/>
    <w:rsid w:val="00790F12"/>
    <w:rsid w:val="00791099"/>
    <w:rsid w:val="0079117A"/>
    <w:rsid w:val="007912D1"/>
    <w:rsid w:val="0079175B"/>
    <w:rsid w:val="0079178B"/>
    <w:rsid w:val="00791AE2"/>
    <w:rsid w:val="00791F0E"/>
    <w:rsid w:val="00792350"/>
    <w:rsid w:val="00792509"/>
    <w:rsid w:val="007925CF"/>
    <w:rsid w:val="00792826"/>
    <w:rsid w:val="007929B3"/>
    <w:rsid w:val="00792A9F"/>
    <w:rsid w:val="00792DFC"/>
    <w:rsid w:val="0079337A"/>
    <w:rsid w:val="0079375B"/>
    <w:rsid w:val="00793812"/>
    <w:rsid w:val="007939F5"/>
    <w:rsid w:val="00793D09"/>
    <w:rsid w:val="00793DFC"/>
    <w:rsid w:val="00794104"/>
    <w:rsid w:val="007941B0"/>
    <w:rsid w:val="00794497"/>
    <w:rsid w:val="0079451B"/>
    <w:rsid w:val="00794680"/>
    <w:rsid w:val="007946CE"/>
    <w:rsid w:val="007947A5"/>
    <w:rsid w:val="007949CA"/>
    <w:rsid w:val="00794A43"/>
    <w:rsid w:val="00794A7C"/>
    <w:rsid w:val="0079556B"/>
    <w:rsid w:val="007957EE"/>
    <w:rsid w:val="0079597D"/>
    <w:rsid w:val="00795D78"/>
    <w:rsid w:val="00795E69"/>
    <w:rsid w:val="00795E6B"/>
    <w:rsid w:val="007963BF"/>
    <w:rsid w:val="00796586"/>
    <w:rsid w:val="00796779"/>
    <w:rsid w:val="007967A5"/>
    <w:rsid w:val="00796AB6"/>
    <w:rsid w:val="00796BDD"/>
    <w:rsid w:val="00796C4D"/>
    <w:rsid w:val="00796E74"/>
    <w:rsid w:val="00796F25"/>
    <w:rsid w:val="007973CC"/>
    <w:rsid w:val="00797B4F"/>
    <w:rsid w:val="00797CDB"/>
    <w:rsid w:val="007A0074"/>
    <w:rsid w:val="007A0257"/>
    <w:rsid w:val="007A0283"/>
    <w:rsid w:val="007A030A"/>
    <w:rsid w:val="007A0CBA"/>
    <w:rsid w:val="007A0DF0"/>
    <w:rsid w:val="007A0FC5"/>
    <w:rsid w:val="007A10C4"/>
    <w:rsid w:val="007A1151"/>
    <w:rsid w:val="007A1156"/>
    <w:rsid w:val="007A12B8"/>
    <w:rsid w:val="007A1542"/>
    <w:rsid w:val="007A1797"/>
    <w:rsid w:val="007A1D85"/>
    <w:rsid w:val="007A2024"/>
    <w:rsid w:val="007A226E"/>
    <w:rsid w:val="007A22E6"/>
    <w:rsid w:val="007A24E7"/>
    <w:rsid w:val="007A28E1"/>
    <w:rsid w:val="007A2B15"/>
    <w:rsid w:val="007A2E98"/>
    <w:rsid w:val="007A31EB"/>
    <w:rsid w:val="007A33BE"/>
    <w:rsid w:val="007A39AA"/>
    <w:rsid w:val="007A39E2"/>
    <w:rsid w:val="007A3A61"/>
    <w:rsid w:val="007A3BA3"/>
    <w:rsid w:val="007A3C61"/>
    <w:rsid w:val="007A3CDA"/>
    <w:rsid w:val="007A3DF3"/>
    <w:rsid w:val="007A4072"/>
    <w:rsid w:val="007A420B"/>
    <w:rsid w:val="007A4B88"/>
    <w:rsid w:val="007A4CEE"/>
    <w:rsid w:val="007A5301"/>
    <w:rsid w:val="007A57A2"/>
    <w:rsid w:val="007A58B7"/>
    <w:rsid w:val="007A5966"/>
    <w:rsid w:val="007A5F2F"/>
    <w:rsid w:val="007A62BE"/>
    <w:rsid w:val="007A68CE"/>
    <w:rsid w:val="007A6964"/>
    <w:rsid w:val="007A6B38"/>
    <w:rsid w:val="007A6B7F"/>
    <w:rsid w:val="007A6BF2"/>
    <w:rsid w:val="007A6C3C"/>
    <w:rsid w:val="007A6CC0"/>
    <w:rsid w:val="007A72B1"/>
    <w:rsid w:val="007A72BF"/>
    <w:rsid w:val="007A73C9"/>
    <w:rsid w:val="007A75B7"/>
    <w:rsid w:val="007A7A43"/>
    <w:rsid w:val="007A7BD7"/>
    <w:rsid w:val="007A7DE1"/>
    <w:rsid w:val="007A7E4C"/>
    <w:rsid w:val="007A7FEC"/>
    <w:rsid w:val="007B0324"/>
    <w:rsid w:val="007B04F9"/>
    <w:rsid w:val="007B0D13"/>
    <w:rsid w:val="007B1369"/>
    <w:rsid w:val="007B1476"/>
    <w:rsid w:val="007B1499"/>
    <w:rsid w:val="007B157A"/>
    <w:rsid w:val="007B19B7"/>
    <w:rsid w:val="007B1BBF"/>
    <w:rsid w:val="007B1D77"/>
    <w:rsid w:val="007B2024"/>
    <w:rsid w:val="007B209F"/>
    <w:rsid w:val="007B21A8"/>
    <w:rsid w:val="007B2431"/>
    <w:rsid w:val="007B25C3"/>
    <w:rsid w:val="007B28D9"/>
    <w:rsid w:val="007B2960"/>
    <w:rsid w:val="007B2EE7"/>
    <w:rsid w:val="007B30D8"/>
    <w:rsid w:val="007B313E"/>
    <w:rsid w:val="007B334C"/>
    <w:rsid w:val="007B3462"/>
    <w:rsid w:val="007B355D"/>
    <w:rsid w:val="007B390A"/>
    <w:rsid w:val="007B39C7"/>
    <w:rsid w:val="007B39F1"/>
    <w:rsid w:val="007B3BA6"/>
    <w:rsid w:val="007B3EDD"/>
    <w:rsid w:val="007B3F07"/>
    <w:rsid w:val="007B3FA1"/>
    <w:rsid w:val="007B463D"/>
    <w:rsid w:val="007B476F"/>
    <w:rsid w:val="007B479B"/>
    <w:rsid w:val="007B5945"/>
    <w:rsid w:val="007B5AA4"/>
    <w:rsid w:val="007B5C2A"/>
    <w:rsid w:val="007B5C3E"/>
    <w:rsid w:val="007B5E29"/>
    <w:rsid w:val="007B5FDA"/>
    <w:rsid w:val="007B69FC"/>
    <w:rsid w:val="007B6AEB"/>
    <w:rsid w:val="007B6B77"/>
    <w:rsid w:val="007B6D01"/>
    <w:rsid w:val="007B6E18"/>
    <w:rsid w:val="007B6E2C"/>
    <w:rsid w:val="007B7277"/>
    <w:rsid w:val="007B7278"/>
    <w:rsid w:val="007B7511"/>
    <w:rsid w:val="007B7707"/>
    <w:rsid w:val="007B783D"/>
    <w:rsid w:val="007B7980"/>
    <w:rsid w:val="007B7AB9"/>
    <w:rsid w:val="007B7E48"/>
    <w:rsid w:val="007B7FAD"/>
    <w:rsid w:val="007C01E6"/>
    <w:rsid w:val="007C0A38"/>
    <w:rsid w:val="007C0DEF"/>
    <w:rsid w:val="007C0F12"/>
    <w:rsid w:val="007C149C"/>
    <w:rsid w:val="007C157A"/>
    <w:rsid w:val="007C1961"/>
    <w:rsid w:val="007C1ACD"/>
    <w:rsid w:val="007C1AF4"/>
    <w:rsid w:val="007C1EE6"/>
    <w:rsid w:val="007C22F9"/>
    <w:rsid w:val="007C231F"/>
    <w:rsid w:val="007C23C5"/>
    <w:rsid w:val="007C23D0"/>
    <w:rsid w:val="007C267A"/>
    <w:rsid w:val="007C26F6"/>
    <w:rsid w:val="007C26FF"/>
    <w:rsid w:val="007C27A9"/>
    <w:rsid w:val="007C2986"/>
    <w:rsid w:val="007C2AD0"/>
    <w:rsid w:val="007C2F68"/>
    <w:rsid w:val="007C308B"/>
    <w:rsid w:val="007C3422"/>
    <w:rsid w:val="007C35C9"/>
    <w:rsid w:val="007C3834"/>
    <w:rsid w:val="007C38CF"/>
    <w:rsid w:val="007C3C4D"/>
    <w:rsid w:val="007C3CD8"/>
    <w:rsid w:val="007C3CF0"/>
    <w:rsid w:val="007C3FC6"/>
    <w:rsid w:val="007C401D"/>
    <w:rsid w:val="007C43C4"/>
    <w:rsid w:val="007C43E8"/>
    <w:rsid w:val="007C43FB"/>
    <w:rsid w:val="007C4473"/>
    <w:rsid w:val="007C4767"/>
    <w:rsid w:val="007C4BE5"/>
    <w:rsid w:val="007C4E04"/>
    <w:rsid w:val="007C4E41"/>
    <w:rsid w:val="007C509D"/>
    <w:rsid w:val="007C50E1"/>
    <w:rsid w:val="007C5785"/>
    <w:rsid w:val="007C579E"/>
    <w:rsid w:val="007C59FF"/>
    <w:rsid w:val="007C5A2A"/>
    <w:rsid w:val="007C5AF8"/>
    <w:rsid w:val="007C5C1F"/>
    <w:rsid w:val="007C5D5A"/>
    <w:rsid w:val="007C5FDB"/>
    <w:rsid w:val="007C6028"/>
    <w:rsid w:val="007C607F"/>
    <w:rsid w:val="007C6210"/>
    <w:rsid w:val="007C6398"/>
    <w:rsid w:val="007C63A0"/>
    <w:rsid w:val="007C64BF"/>
    <w:rsid w:val="007C65CB"/>
    <w:rsid w:val="007C65DA"/>
    <w:rsid w:val="007C688F"/>
    <w:rsid w:val="007C6AB4"/>
    <w:rsid w:val="007C6DF3"/>
    <w:rsid w:val="007C6EF9"/>
    <w:rsid w:val="007C703F"/>
    <w:rsid w:val="007C71DC"/>
    <w:rsid w:val="007C7450"/>
    <w:rsid w:val="007C79DD"/>
    <w:rsid w:val="007C7BBE"/>
    <w:rsid w:val="007C7CED"/>
    <w:rsid w:val="007C7D0A"/>
    <w:rsid w:val="007D07D3"/>
    <w:rsid w:val="007D0880"/>
    <w:rsid w:val="007D0B62"/>
    <w:rsid w:val="007D0B92"/>
    <w:rsid w:val="007D0BD6"/>
    <w:rsid w:val="007D0CB4"/>
    <w:rsid w:val="007D0EC6"/>
    <w:rsid w:val="007D0FE1"/>
    <w:rsid w:val="007D156B"/>
    <w:rsid w:val="007D189D"/>
    <w:rsid w:val="007D1A97"/>
    <w:rsid w:val="007D1AAD"/>
    <w:rsid w:val="007D1CE0"/>
    <w:rsid w:val="007D1D7D"/>
    <w:rsid w:val="007D1DA9"/>
    <w:rsid w:val="007D1ED6"/>
    <w:rsid w:val="007D209A"/>
    <w:rsid w:val="007D2194"/>
    <w:rsid w:val="007D21B7"/>
    <w:rsid w:val="007D2243"/>
    <w:rsid w:val="007D23A0"/>
    <w:rsid w:val="007D264B"/>
    <w:rsid w:val="007D2BAC"/>
    <w:rsid w:val="007D2C4D"/>
    <w:rsid w:val="007D2CD6"/>
    <w:rsid w:val="007D2D58"/>
    <w:rsid w:val="007D3063"/>
    <w:rsid w:val="007D308E"/>
    <w:rsid w:val="007D30C2"/>
    <w:rsid w:val="007D31B8"/>
    <w:rsid w:val="007D33E4"/>
    <w:rsid w:val="007D364F"/>
    <w:rsid w:val="007D3671"/>
    <w:rsid w:val="007D36F1"/>
    <w:rsid w:val="007D3726"/>
    <w:rsid w:val="007D384C"/>
    <w:rsid w:val="007D39CD"/>
    <w:rsid w:val="007D3B07"/>
    <w:rsid w:val="007D3C88"/>
    <w:rsid w:val="007D3CEB"/>
    <w:rsid w:val="007D42E6"/>
    <w:rsid w:val="007D4765"/>
    <w:rsid w:val="007D482E"/>
    <w:rsid w:val="007D48B3"/>
    <w:rsid w:val="007D4928"/>
    <w:rsid w:val="007D4B15"/>
    <w:rsid w:val="007D4EC9"/>
    <w:rsid w:val="007D4F0B"/>
    <w:rsid w:val="007D5058"/>
    <w:rsid w:val="007D5446"/>
    <w:rsid w:val="007D5498"/>
    <w:rsid w:val="007D593C"/>
    <w:rsid w:val="007D5E28"/>
    <w:rsid w:val="007D5FB2"/>
    <w:rsid w:val="007D63C7"/>
    <w:rsid w:val="007D6477"/>
    <w:rsid w:val="007D6502"/>
    <w:rsid w:val="007D67AF"/>
    <w:rsid w:val="007D67FF"/>
    <w:rsid w:val="007D7321"/>
    <w:rsid w:val="007D73ED"/>
    <w:rsid w:val="007D74B7"/>
    <w:rsid w:val="007D76DC"/>
    <w:rsid w:val="007D7818"/>
    <w:rsid w:val="007D785B"/>
    <w:rsid w:val="007D7ADA"/>
    <w:rsid w:val="007D7B5E"/>
    <w:rsid w:val="007D7CB9"/>
    <w:rsid w:val="007D7F5A"/>
    <w:rsid w:val="007E01AB"/>
    <w:rsid w:val="007E0289"/>
    <w:rsid w:val="007E0B36"/>
    <w:rsid w:val="007E0EF4"/>
    <w:rsid w:val="007E0F8D"/>
    <w:rsid w:val="007E0FD9"/>
    <w:rsid w:val="007E14A4"/>
    <w:rsid w:val="007E1574"/>
    <w:rsid w:val="007E15DB"/>
    <w:rsid w:val="007E17F7"/>
    <w:rsid w:val="007E1E42"/>
    <w:rsid w:val="007E1EB7"/>
    <w:rsid w:val="007E1F5A"/>
    <w:rsid w:val="007E207C"/>
    <w:rsid w:val="007E22DB"/>
    <w:rsid w:val="007E274D"/>
    <w:rsid w:val="007E29CA"/>
    <w:rsid w:val="007E29D9"/>
    <w:rsid w:val="007E2C87"/>
    <w:rsid w:val="007E31A4"/>
    <w:rsid w:val="007E34C2"/>
    <w:rsid w:val="007E37D8"/>
    <w:rsid w:val="007E3B8B"/>
    <w:rsid w:val="007E3E1B"/>
    <w:rsid w:val="007E3F5C"/>
    <w:rsid w:val="007E43B8"/>
    <w:rsid w:val="007E4497"/>
    <w:rsid w:val="007E4732"/>
    <w:rsid w:val="007E496D"/>
    <w:rsid w:val="007E4B25"/>
    <w:rsid w:val="007E4DD2"/>
    <w:rsid w:val="007E51D5"/>
    <w:rsid w:val="007E5273"/>
    <w:rsid w:val="007E53D1"/>
    <w:rsid w:val="007E5665"/>
    <w:rsid w:val="007E56A6"/>
    <w:rsid w:val="007E5944"/>
    <w:rsid w:val="007E5B9A"/>
    <w:rsid w:val="007E5D5B"/>
    <w:rsid w:val="007E5DA7"/>
    <w:rsid w:val="007E67E6"/>
    <w:rsid w:val="007E69D6"/>
    <w:rsid w:val="007E6B8E"/>
    <w:rsid w:val="007E6C24"/>
    <w:rsid w:val="007E6E7B"/>
    <w:rsid w:val="007E7683"/>
    <w:rsid w:val="007E7835"/>
    <w:rsid w:val="007E79B6"/>
    <w:rsid w:val="007E7AC8"/>
    <w:rsid w:val="007E7AFB"/>
    <w:rsid w:val="007E7D36"/>
    <w:rsid w:val="007E7E28"/>
    <w:rsid w:val="007E7E91"/>
    <w:rsid w:val="007E7F14"/>
    <w:rsid w:val="007F015D"/>
    <w:rsid w:val="007F0219"/>
    <w:rsid w:val="007F02EA"/>
    <w:rsid w:val="007F04AF"/>
    <w:rsid w:val="007F0522"/>
    <w:rsid w:val="007F05FD"/>
    <w:rsid w:val="007F0CA9"/>
    <w:rsid w:val="007F100A"/>
    <w:rsid w:val="007F111D"/>
    <w:rsid w:val="007F1167"/>
    <w:rsid w:val="007F1B39"/>
    <w:rsid w:val="007F1C3C"/>
    <w:rsid w:val="007F1F02"/>
    <w:rsid w:val="007F1F38"/>
    <w:rsid w:val="007F2472"/>
    <w:rsid w:val="007F2508"/>
    <w:rsid w:val="007F299C"/>
    <w:rsid w:val="007F2B2B"/>
    <w:rsid w:val="007F3197"/>
    <w:rsid w:val="007F33C1"/>
    <w:rsid w:val="007F3471"/>
    <w:rsid w:val="007F35B9"/>
    <w:rsid w:val="007F37B9"/>
    <w:rsid w:val="007F3973"/>
    <w:rsid w:val="007F39A3"/>
    <w:rsid w:val="007F3B9E"/>
    <w:rsid w:val="007F3CBA"/>
    <w:rsid w:val="007F4353"/>
    <w:rsid w:val="007F46EE"/>
    <w:rsid w:val="007F47DF"/>
    <w:rsid w:val="007F49FA"/>
    <w:rsid w:val="007F4C3E"/>
    <w:rsid w:val="007F4C59"/>
    <w:rsid w:val="007F4CA7"/>
    <w:rsid w:val="007F4FC2"/>
    <w:rsid w:val="007F501C"/>
    <w:rsid w:val="007F5108"/>
    <w:rsid w:val="007F5381"/>
    <w:rsid w:val="007F539D"/>
    <w:rsid w:val="007F5457"/>
    <w:rsid w:val="007F54C4"/>
    <w:rsid w:val="007F560E"/>
    <w:rsid w:val="007F568C"/>
    <w:rsid w:val="007F5874"/>
    <w:rsid w:val="007F5921"/>
    <w:rsid w:val="007F5E4F"/>
    <w:rsid w:val="007F6144"/>
    <w:rsid w:val="007F6163"/>
    <w:rsid w:val="007F6232"/>
    <w:rsid w:val="007F62BB"/>
    <w:rsid w:val="007F6909"/>
    <w:rsid w:val="007F6927"/>
    <w:rsid w:val="007F6AB3"/>
    <w:rsid w:val="007F6D55"/>
    <w:rsid w:val="007F6DD3"/>
    <w:rsid w:val="007F6E9A"/>
    <w:rsid w:val="007F6F87"/>
    <w:rsid w:val="007F70A5"/>
    <w:rsid w:val="007F7236"/>
    <w:rsid w:val="007F72EF"/>
    <w:rsid w:val="007F74AC"/>
    <w:rsid w:val="007F76AB"/>
    <w:rsid w:val="007F7719"/>
    <w:rsid w:val="007F7C6B"/>
    <w:rsid w:val="007F7C71"/>
    <w:rsid w:val="00800166"/>
    <w:rsid w:val="0080030F"/>
    <w:rsid w:val="0080048C"/>
    <w:rsid w:val="008006B2"/>
    <w:rsid w:val="0080073E"/>
    <w:rsid w:val="00800BEF"/>
    <w:rsid w:val="00800CCD"/>
    <w:rsid w:val="00800F55"/>
    <w:rsid w:val="008012D4"/>
    <w:rsid w:val="00801413"/>
    <w:rsid w:val="00801462"/>
    <w:rsid w:val="008014B8"/>
    <w:rsid w:val="0080151C"/>
    <w:rsid w:val="008015B5"/>
    <w:rsid w:val="0080185E"/>
    <w:rsid w:val="0080190A"/>
    <w:rsid w:val="008019BD"/>
    <w:rsid w:val="00801C49"/>
    <w:rsid w:val="00801FEB"/>
    <w:rsid w:val="00802295"/>
    <w:rsid w:val="008023B8"/>
    <w:rsid w:val="008024CD"/>
    <w:rsid w:val="00802516"/>
    <w:rsid w:val="00802B31"/>
    <w:rsid w:val="00802D01"/>
    <w:rsid w:val="00802E4D"/>
    <w:rsid w:val="00802FA7"/>
    <w:rsid w:val="00802FE9"/>
    <w:rsid w:val="008030B2"/>
    <w:rsid w:val="00803132"/>
    <w:rsid w:val="00803305"/>
    <w:rsid w:val="00803797"/>
    <w:rsid w:val="008039AC"/>
    <w:rsid w:val="008039FC"/>
    <w:rsid w:val="00803F11"/>
    <w:rsid w:val="008040C3"/>
    <w:rsid w:val="00804163"/>
    <w:rsid w:val="008041F1"/>
    <w:rsid w:val="00804224"/>
    <w:rsid w:val="008043A4"/>
    <w:rsid w:val="008044D4"/>
    <w:rsid w:val="00804689"/>
    <w:rsid w:val="0080484C"/>
    <w:rsid w:val="008048C1"/>
    <w:rsid w:val="00804DE0"/>
    <w:rsid w:val="008051E9"/>
    <w:rsid w:val="008052F9"/>
    <w:rsid w:val="0080539C"/>
    <w:rsid w:val="008055BE"/>
    <w:rsid w:val="008057C1"/>
    <w:rsid w:val="00805979"/>
    <w:rsid w:val="00805D67"/>
    <w:rsid w:val="00805F32"/>
    <w:rsid w:val="008061B7"/>
    <w:rsid w:val="008061D3"/>
    <w:rsid w:val="00806237"/>
    <w:rsid w:val="008063CA"/>
    <w:rsid w:val="00806563"/>
    <w:rsid w:val="0080683B"/>
    <w:rsid w:val="00806A82"/>
    <w:rsid w:val="00806D18"/>
    <w:rsid w:val="0080703C"/>
    <w:rsid w:val="008073BF"/>
    <w:rsid w:val="008073D5"/>
    <w:rsid w:val="0080766C"/>
    <w:rsid w:val="00807670"/>
    <w:rsid w:val="0080768C"/>
    <w:rsid w:val="0080784A"/>
    <w:rsid w:val="008078B4"/>
    <w:rsid w:val="00807A2D"/>
    <w:rsid w:val="00807DB3"/>
    <w:rsid w:val="0081014E"/>
    <w:rsid w:val="0081036D"/>
    <w:rsid w:val="0081097A"/>
    <w:rsid w:val="00810AB4"/>
    <w:rsid w:val="00810CD0"/>
    <w:rsid w:val="00810ED3"/>
    <w:rsid w:val="00811053"/>
    <w:rsid w:val="00811637"/>
    <w:rsid w:val="0081163D"/>
    <w:rsid w:val="00811986"/>
    <w:rsid w:val="00811F85"/>
    <w:rsid w:val="00812048"/>
    <w:rsid w:val="008120F1"/>
    <w:rsid w:val="0081215B"/>
    <w:rsid w:val="0081221F"/>
    <w:rsid w:val="008122AE"/>
    <w:rsid w:val="008126DD"/>
    <w:rsid w:val="008126EB"/>
    <w:rsid w:val="008127EB"/>
    <w:rsid w:val="00812EB7"/>
    <w:rsid w:val="00812EC4"/>
    <w:rsid w:val="00812F46"/>
    <w:rsid w:val="00813077"/>
    <w:rsid w:val="008132EF"/>
    <w:rsid w:val="008133CC"/>
    <w:rsid w:val="00813955"/>
    <w:rsid w:val="00813D57"/>
    <w:rsid w:val="00813DC2"/>
    <w:rsid w:val="00814954"/>
    <w:rsid w:val="008149F5"/>
    <w:rsid w:val="00814A60"/>
    <w:rsid w:val="00814DBB"/>
    <w:rsid w:val="00814FEA"/>
    <w:rsid w:val="0081534A"/>
    <w:rsid w:val="00815389"/>
    <w:rsid w:val="00815458"/>
    <w:rsid w:val="008156A3"/>
    <w:rsid w:val="00815808"/>
    <w:rsid w:val="00815A06"/>
    <w:rsid w:val="00815B2C"/>
    <w:rsid w:val="0081641C"/>
    <w:rsid w:val="008164C9"/>
    <w:rsid w:val="00816609"/>
    <w:rsid w:val="00816675"/>
    <w:rsid w:val="0081691D"/>
    <w:rsid w:val="00816977"/>
    <w:rsid w:val="00816A25"/>
    <w:rsid w:val="00816A3C"/>
    <w:rsid w:val="0081711B"/>
    <w:rsid w:val="0081726E"/>
    <w:rsid w:val="008172CF"/>
    <w:rsid w:val="00817571"/>
    <w:rsid w:val="00817A92"/>
    <w:rsid w:val="00817B56"/>
    <w:rsid w:val="00817DD1"/>
    <w:rsid w:val="00817E28"/>
    <w:rsid w:val="00817FF5"/>
    <w:rsid w:val="008202EB"/>
    <w:rsid w:val="0082058E"/>
    <w:rsid w:val="008207C5"/>
    <w:rsid w:val="0082090A"/>
    <w:rsid w:val="00820AA5"/>
    <w:rsid w:val="00820CE3"/>
    <w:rsid w:val="00820DD3"/>
    <w:rsid w:val="00820F67"/>
    <w:rsid w:val="00821037"/>
    <w:rsid w:val="00821161"/>
    <w:rsid w:val="0082123F"/>
    <w:rsid w:val="00821323"/>
    <w:rsid w:val="008213EE"/>
    <w:rsid w:val="00821A88"/>
    <w:rsid w:val="00821AA7"/>
    <w:rsid w:val="00821CC9"/>
    <w:rsid w:val="00821FFB"/>
    <w:rsid w:val="008224C8"/>
    <w:rsid w:val="0082260E"/>
    <w:rsid w:val="008227FE"/>
    <w:rsid w:val="00822877"/>
    <w:rsid w:val="00822BC2"/>
    <w:rsid w:val="00822F64"/>
    <w:rsid w:val="008230FF"/>
    <w:rsid w:val="008231DD"/>
    <w:rsid w:val="0082322E"/>
    <w:rsid w:val="00823584"/>
    <w:rsid w:val="0082365D"/>
    <w:rsid w:val="008236E4"/>
    <w:rsid w:val="008237CC"/>
    <w:rsid w:val="00823C60"/>
    <w:rsid w:val="00823E36"/>
    <w:rsid w:val="00823E3A"/>
    <w:rsid w:val="008241E8"/>
    <w:rsid w:val="00824568"/>
    <w:rsid w:val="0082466D"/>
    <w:rsid w:val="0082468A"/>
    <w:rsid w:val="008246DD"/>
    <w:rsid w:val="0082474B"/>
    <w:rsid w:val="00824860"/>
    <w:rsid w:val="0082495D"/>
    <w:rsid w:val="008249E7"/>
    <w:rsid w:val="00824FE0"/>
    <w:rsid w:val="00825026"/>
    <w:rsid w:val="00825488"/>
    <w:rsid w:val="00825543"/>
    <w:rsid w:val="0082570D"/>
    <w:rsid w:val="008259E3"/>
    <w:rsid w:val="00825A36"/>
    <w:rsid w:val="00825AFF"/>
    <w:rsid w:val="00825B60"/>
    <w:rsid w:val="00825EC1"/>
    <w:rsid w:val="008261CF"/>
    <w:rsid w:val="008265C3"/>
    <w:rsid w:val="00826658"/>
    <w:rsid w:val="00826AE1"/>
    <w:rsid w:val="0082710E"/>
    <w:rsid w:val="00827160"/>
    <w:rsid w:val="008274F1"/>
    <w:rsid w:val="00827D99"/>
    <w:rsid w:val="0083030E"/>
    <w:rsid w:val="008304AD"/>
    <w:rsid w:val="0083092E"/>
    <w:rsid w:val="00830990"/>
    <w:rsid w:val="00830A30"/>
    <w:rsid w:val="00830A3C"/>
    <w:rsid w:val="00830AAE"/>
    <w:rsid w:val="00830B4D"/>
    <w:rsid w:val="00830DBD"/>
    <w:rsid w:val="00830EE4"/>
    <w:rsid w:val="008311B7"/>
    <w:rsid w:val="008316D8"/>
    <w:rsid w:val="008317AE"/>
    <w:rsid w:val="008318CD"/>
    <w:rsid w:val="00831929"/>
    <w:rsid w:val="00831AC3"/>
    <w:rsid w:val="00831EF5"/>
    <w:rsid w:val="00831F52"/>
    <w:rsid w:val="008320F0"/>
    <w:rsid w:val="008322FC"/>
    <w:rsid w:val="00832348"/>
    <w:rsid w:val="00832511"/>
    <w:rsid w:val="008329A5"/>
    <w:rsid w:val="00832D8E"/>
    <w:rsid w:val="00832FF8"/>
    <w:rsid w:val="0083314D"/>
    <w:rsid w:val="0083318F"/>
    <w:rsid w:val="008331DF"/>
    <w:rsid w:val="00833588"/>
    <w:rsid w:val="008337F3"/>
    <w:rsid w:val="008338BA"/>
    <w:rsid w:val="00833995"/>
    <w:rsid w:val="00833E46"/>
    <w:rsid w:val="00833EBE"/>
    <w:rsid w:val="00833F0D"/>
    <w:rsid w:val="00834001"/>
    <w:rsid w:val="00834172"/>
    <w:rsid w:val="008341DA"/>
    <w:rsid w:val="008343FB"/>
    <w:rsid w:val="008344BB"/>
    <w:rsid w:val="00834ABE"/>
    <w:rsid w:val="00834D08"/>
    <w:rsid w:val="00834E9C"/>
    <w:rsid w:val="00834FCB"/>
    <w:rsid w:val="0083510B"/>
    <w:rsid w:val="008353F5"/>
    <w:rsid w:val="00835701"/>
    <w:rsid w:val="00835777"/>
    <w:rsid w:val="00835AFB"/>
    <w:rsid w:val="0083607A"/>
    <w:rsid w:val="00836122"/>
    <w:rsid w:val="008361F1"/>
    <w:rsid w:val="00836386"/>
    <w:rsid w:val="008364F8"/>
    <w:rsid w:val="00836672"/>
    <w:rsid w:val="008366BD"/>
    <w:rsid w:val="00836714"/>
    <w:rsid w:val="008368B0"/>
    <w:rsid w:val="0083693E"/>
    <w:rsid w:val="00836945"/>
    <w:rsid w:val="008369D2"/>
    <w:rsid w:val="00836A99"/>
    <w:rsid w:val="00836D3D"/>
    <w:rsid w:val="00836FCE"/>
    <w:rsid w:val="00837082"/>
    <w:rsid w:val="008370F6"/>
    <w:rsid w:val="00837117"/>
    <w:rsid w:val="0083730A"/>
    <w:rsid w:val="00837379"/>
    <w:rsid w:val="00837540"/>
    <w:rsid w:val="008375F5"/>
    <w:rsid w:val="00837676"/>
    <w:rsid w:val="00837B86"/>
    <w:rsid w:val="00837C2D"/>
    <w:rsid w:val="00837DA5"/>
    <w:rsid w:val="00837DB5"/>
    <w:rsid w:val="00840016"/>
    <w:rsid w:val="00840081"/>
    <w:rsid w:val="00840143"/>
    <w:rsid w:val="00840667"/>
    <w:rsid w:val="008408FF"/>
    <w:rsid w:val="008409E5"/>
    <w:rsid w:val="00840D33"/>
    <w:rsid w:val="00840D8A"/>
    <w:rsid w:val="00840DBE"/>
    <w:rsid w:val="00841004"/>
    <w:rsid w:val="00841166"/>
    <w:rsid w:val="00841293"/>
    <w:rsid w:val="008412D4"/>
    <w:rsid w:val="0084131B"/>
    <w:rsid w:val="0084148B"/>
    <w:rsid w:val="00841657"/>
    <w:rsid w:val="00841B76"/>
    <w:rsid w:val="00841EAF"/>
    <w:rsid w:val="00842174"/>
    <w:rsid w:val="00842393"/>
    <w:rsid w:val="008425B8"/>
    <w:rsid w:val="008425BA"/>
    <w:rsid w:val="0084280B"/>
    <w:rsid w:val="0084288F"/>
    <w:rsid w:val="008428F7"/>
    <w:rsid w:val="008429B7"/>
    <w:rsid w:val="00842CA0"/>
    <w:rsid w:val="00842D65"/>
    <w:rsid w:val="00842F87"/>
    <w:rsid w:val="0084300B"/>
    <w:rsid w:val="008433B7"/>
    <w:rsid w:val="00843406"/>
    <w:rsid w:val="008434DB"/>
    <w:rsid w:val="00843808"/>
    <w:rsid w:val="00843973"/>
    <w:rsid w:val="008439FF"/>
    <w:rsid w:val="00843A94"/>
    <w:rsid w:val="00843BFB"/>
    <w:rsid w:val="00843CC2"/>
    <w:rsid w:val="00843DC7"/>
    <w:rsid w:val="00843FEA"/>
    <w:rsid w:val="00844184"/>
    <w:rsid w:val="00844194"/>
    <w:rsid w:val="00844572"/>
    <w:rsid w:val="008445A7"/>
    <w:rsid w:val="0084487F"/>
    <w:rsid w:val="00844911"/>
    <w:rsid w:val="0084497F"/>
    <w:rsid w:val="00844BB6"/>
    <w:rsid w:val="00844ECB"/>
    <w:rsid w:val="0084511D"/>
    <w:rsid w:val="008451BF"/>
    <w:rsid w:val="008459CE"/>
    <w:rsid w:val="008459EA"/>
    <w:rsid w:val="00845B07"/>
    <w:rsid w:val="00845BC2"/>
    <w:rsid w:val="00845C4D"/>
    <w:rsid w:val="00845C7C"/>
    <w:rsid w:val="00845CF3"/>
    <w:rsid w:val="00846219"/>
    <w:rsid w:val="008463B7"/>
    <w:rsid w:val="00846606"/>
    <w:rsid w:val="00846698"/>
    <w:rsid w:val="00846784"/>
    <w:rsid w:val="008468EE"/>
    <w:rsid w:val="008469D0"/>
    <w:rsid w:val="00846AE5"/>
    <w:rsid w:val="00846EA1"/>
    <w:rsid w:val="00846EEB"/>
    <w:rsid w:val="00846F5C"/>
    <w:rsid w:val="008473B4"/>
    <w:rsid w:val="00847417"/>
    <w:rsid w:val="00847588"/>
    <w:rsid w:val="008476D2"/>
    <w:rsid w:val="008477FC"/>
    <w:rsid w:val="00847AC9"/>
    <w:rsid w:val="00847D88"/>
    <w:rsid w:val="008500CD"/>
    <w:rsid w:val="008500E5"/>
    <w:rsid w:val="008501CB"/>
    <w:rsid w:val="008502EC"/>
    <w:rsid w:val="00850663"/>
    <w:rsid w:val="00850719"/>
    <w:rsid w:val="0085072F"/>
    <w:rsid w:val="00850898"/>
    <w:rsid w:val="00850A3E"/>
    <w:rsid w:val="00850ABE"/>
    <w:rsid w:val="00850AE9"/>
    <w:rsid w:val="0085154B"/>
    <w:rsid w:val="00851762"/>
    <w:rsid w:val="00851B7F"/>
    <w:rsid w:val="00851B9F"/>
    <w:rsid w:val="00851D2D"/>
    <w:rsid w:val="00851EE8"/>
    <w:rsid w:val="00851F3F"/>
    <w:rsid w:val="008520DC"/>
    <w:rsid w:val="00852485"/>
    <w:rsid w:val="00852564"/>
    <w:rsid w:val="00852567"/>
    <w:rsid w:val="008526B6"/>
    <w:rsid w:val="0085288C"/>
    <w:rsid w:val="00852B55"/>
    <w:rsid w:val="00852C0B"/>
    <w:rsid w:val="00852CC1"/>
    <w:rsid w:val="00852D43"/>
    <w:rsid w:val="00852DC8"/>
    <w:rsid w:val="008530C0"/>
    <w:rsid w:val="0085329A"/>
    <w:rsid w:val="008533BF"/>
    <w:rsid w:val="00853956"/>
    <w:rsid w:val="00853B86"/>
    <w:rsid w:val="00853F18"/>
    <w:rsid w:val="00854332"/>
    <w:rsid w:val="0085444F"/>
    <w:rsid w:val="0085454D"/>
    <w:rsid w:val="00854CA7"/>
    <w:rsid w:val="00854D28"/>
    <w:rsid w:val="00854D5F"/>
    <w:rsid w:val="00855DB1"/>
    <w:rsid w:val="00855EA4"/>
    <w:rsid w:val="008563D1"/>
    <w:rsid w:val="0085645A"/>
    <w:rsid w:val="0085671C"/>
    <w:rsid w:val="00856847"/>
    <w:rsid w:val="00856A47"/>
    <w:rsid w:val="00856A9A"/>
    <w:rsid w:val="00856AFC"/>
    <w:rsid w:val="00856E62"/>
    <w:rsid w:val="00856EA4"/>
    <w:rsid w:val="00856EDC"/>
    <w:rsid w:val="00856F20"/>
    <w:rsid w:val="008575AB"/>
    <w:rsid w:val="0085772F"/>
    <w:rsid w:val="00857BF7"/>
    <w:rsid w:val="00860011"/>
    <w:rsid w:val="0086020A"/>
    <w:rsid w:val="0086037E"/>
    <w:rsid w:val="0086053B"/>
    <w:rsid w:val="00860867"/>
    <w:rsid w:val="008609B0"/>
    <w:rsid w:val="008611C7"/>
    <w:rsid w:val="008613F8"/>
    <w:rsid w:val="008615C9"/>
    <w:rsid w:val="00861708"/>
    <w:rsid w:val="00861B5D"/>
    <w:rsid w:val="00861D7F"/>
    <w:rsid w:val="00861DA4"/>
    <w:rsid w:val="00862084"/>
    <w:rsid w:val="00862142"/>
    <w:rsid w:val="008621D0"/>
    <w:rsid w:val="008621E1"/>
    <w:rsid w:val="008623B5"/>
    <w:rsid w:val="00862600"/>
    <w:rsid w:val="0086270C"/>
    <w:rsid w:val="008627DA"/>
    <w:rsid w:val="0086285E"/>
    <w:rsid w:val="0086287C"/>
    <w:rsid w:val="00862923"/>
    <w:rsid w:val="008629C6"/>
    <w:rsid w:val="00862EA8"/>
    <w:rsid w:val="0086346A"/>
    <w:rsid w:val="00863569"/>
    <w:rsid w:val="00863800"/>
    <w:rsid w:val="00863F80"/>
    <w:rsid w:val="00864469"/>
    <w:rsid w:val="00864626"/>
    <w:rsid w:val="0086469B"/>
    <w:rsid w:val="00864882"/>
    <w:rsid w:val="008649A1"/>
    <w:rsid w:val="00864BB5"/>
    <w:rsid w:val="00864E9C"/>
    <w:rsid w:val="00864F3B"/>
    <w:rsid w:val="00864FCD"/>
    <w:rsid w:val="00864FDA"/>
    <w:rsid w:val="00865075"/>
    <w:rsid w:val="008655FF"/>
    <w:rsid w:val="00865608"/>
    <w:rsid w:val="0086573C"/>
    <w:rsid w:val="0086596D"/>
    <w:rsid w:val="00865A49"/>
    <w:rsid w:val="00866062"/>
    <w:rsid w:val="008660D4"/>
    <w:rsid w:val="00866207"/>
    <w:rsid w:val="0086631D"/>
    <w:rsid w:val="00866346"/>
    <w:rsid w:val="0086678B"/>
    <w:rsid w:val="008669A5"/>
    <w:rsid w:val="00866ED6"/>
    <w:rsid w:val="008671C9"/>
    <w:rsid w:val="008674B5"/>
    <w:rsid w:val="0086754D"/>
    <w:rsid w:val="00867662"/>
    <w:rsid w:val="008679A8"/>
    <w:rsid w:val="008679C1"/>
    <w:rsid w:val="00867B66"/>
    <w:rsid w:val="00867B97"/>
    <w:rsid w:val="008700BC"/>
    <w:rsid w:val="00870142"/>
    <w:rsid w:val="008704FC"/>
    <w:rsid w:val="00870523"/>
    <w:rsid w:val="008705A9"/>
    <w:rsid w:val="008709B7"/>
    <w:rsid w:val="00870AA8"/>
    <w:rsid w:val="00870ABA"/>
    <w:rsid w:val="00870EA7"/>
    <w:rsid w:val="00870F4A"/>
    <w:rsid w:val="00871042"/>
    <w:rsid w:val="008710E1"/>
    <w:rsid w:val="0087127A"/>
    <w:rsid w:val="008712BA"/>
    <w:rsid w:val="008713E2"/>
    <w:rsid w:val="008716E5"/>
    <w:rsid w:val="00871839"/>
    <w:rsid w:val="00871B27"/>
    <w:rsid w:val="00871EE7"/>
    <w:rsid w:val="00871F27"/>
    <w:rsid w:val="0087207A"/>
    <w:rsid w:val="00872177"/>
    <w:rsid w:val="00872340"/>
    <w:rsid w:val="008723F1"/>
    <w:rsid w:val="0087241C"/>
    <w:rsid w:val="008725C9"/>
    <w:rsid w:val="0087283E"/>
    <w:rsid w:val="008728A9"/>
    <w:rsid w:val="00872AB5"/>
    <w:rsid w:val="00872B21"/>
    <w:rsid w:val="00872B41"/>
    <w:rsid w:val="00872BD7"/>
    <w:rsid w:val="00872E2A"/>
    <w:rsid w:val="00872FC9"/>
    <w:rsid w:val="0087310B"/>
    <w:rsid w:val="00873243"/>
    <w:rsid w:val="00873249"/>
    <w:rsid w:val="00873304"/>
    <w:rsid w:val="00873C93"/>
    <w:rsid w:val="00873D52"/>
    <w:rsid w:val="00874047"/>
    <w:rsid w:val="00874227"/>
    <w:rsid w:val="00874353"/>
    <w:rsid w:val="0087471D"/>
    <w:rsid w:val="008747E2"/>
    <w:rsid w:val="00874970"/>
    <w:rsid w:val="00874CF2"/>
    <w:rsid w:val="0087506E"/>
    <w:rsid w:val="008752BA"/>
    <w:rsid w:val="00875504"/>
    <w:rsid w:val="008757CA"/>
    <w:rsid w:val="0087584C"/>
    <w:rsid w:val="008759A2"/>
    <w:rsid w:val="008759B2"/>
    <w:rsid w:val="00875AFD"/>
    <w:rsid w:val="008761AB"/>
    <w:rsid w:val="0087684C"/>
    <w:rsid w:val="00876886"/>
    <w:rsid w:val="00876926"/>
    <w:rsid w:val="0087697B"/>
    <w:rsid w:val="00876B6D"/>
    <w:rsid w:val="00876E0C"/>
    <w:rsid w:val="00876E49"/>
    <w:rsid w:val="00876FEF"/>
    <w:rsid w:val="0087711F"/>
    <w:rsid w:val="0087738C"/>
    <w:rsid w:val="0087748C"/>
    <w:rsid w:val="008775AF"/>
    <w:rsid w:val="0087779E"/>
    <w:rsid w:val="008777B6"/>
    <w:rsid w:val="00880396"/>
    <w:rsid w:val="00880AC8"/>
    <w:rsid w:val="00880C6F"/>
    <w:rsid w:val="00880CD9"/>
    <w:rsid w:val="00880DCA"/>
    <w:rsid w:val="00880E7A"/>
    <w:rsid w:val="00880ED8"/>
    <w:rsid w:val="008813F4"/>
    <w:rsid w:val="008814EE"/>
    <w:rsid w:val="008815ED"/>
    <w:rsid w:val="0088173A"/>
    <w:rsid w:val="00881B49"/>
    <w:rsid w:val="00881BE7"/>
    <w:rsid w:val="00881CA9"/>
    <w:rsid w:val="00881E80"/>
    <w:rsid w:val="00881F35"/>
    <w:rsid w:val="00882344"/>
    <w:rsid w:val="00882711"/>
    <w:rsid w:val="0088284C"/>
    <w:rsid w:val="00882A05"/>
    <w:rsid w:val="00882BF0"/>
    <w:rsid w:val="00882DAD"/>
    <w:rsid w:val="00883436"/>
    <w:rsid w:val="008834E1"/>
    <w:rsid w:val="00883628"/>
    <w:rsid w:val="0088374A"/>
    <w:rsid w:val="0088393E"/>
    <w:rsid w:val="00883B8B"/>
    <w:rsid w:val="00883E95"/>
    <w:rsid w:val="008843BA"/>
    <w:rsid w:val="00884A34"/>
    <w:rsid w:val="00884ACC"/>
    <w:rsid w:val="00884C2A"/>
    <w:rsid w:val="00884DEB"/>
    <w:rsid w:val="008850D6"/>
    <w:rsid w:val="008852B0"/>
    <w:rsid w:val="0088542E"/>
    <w:rsid w:val="00885544"/>
    <w:rsid w:val="008857E0"/>
    <w:rsid w:val="00885913"/>
    <w:rsid w:val="0088596E"/>
    <w:rsid w:val="00885A3C"/>
    <w:rsid w:val="00885AE0"/>
    <w:rsid w:val="00885CF9"/>
    <w:rsid w:val="0088634E"/>
    <w:rsid w:val="00886437"/>
    <w:rsid w:val="0088646E"/>
    <w:rsid w:val="00886BD0"/>
    <w:rsid w:val="00886C4E"/>
    <w:rsid w:val="00886EDF"/>
    <w:rsid w:val="00887230"/>
    <w:rsid w:val="00887408"/>
    <w:rsid w:val="00887477"/>
    <w:rsid w:val="0088772D"/>
    <w:rsid w:val="008878BF"/>
    <w:rsid w:val="00887B9D"/>
    <w:rsid w:val="00887BA3"/>
    <w:rsid w:val="00887EF0"/>
    <w:rsid w:val="008900B4"/>
    <w:rsid w:val="008901FE"/>
    <w:rsid w:val="008903DA"/>
    <w:rsid w:val="008903FA"/>
    <w:rsid w:val="008904F1"/>
    <w:rsid w:val="00890C02"/>
    <w:rsid w:val="00890C19"/>
    <w:rsid w:val="00890D9C"/>
    <w:rsid w:val="00890DA5"/>
    <w:rsid w:val="00891164"/>
    <w:rsid w:val="008912EE"/>
    <w:rsid w:val="00891343"/>
    <w:rsid w:val="0089175E"/>
    <w:rsid w:val="00891CD6"/>
    <w:rsid w:val="00892521"/>
    <w:rsid w:val="00892B61"/>
    <w:rsid w:val="00892C7C"/>
    <w:rsid w:val="00892CF3"/>
    <w:rsid w:val="00892DA1"/>
    <w:rsid w:val="00892FA5"/>
    <w:rsid w:val="00893301"/>
    <w:rsid w:val="00893576"/>
    <w:rsid w:val="0089374F"/>
    <w:rsid w:val="00893AB8"/>
    <w:rsid w:val="00893CE2"/>
    <w:rsid w:val="00893D91"/>
    <w:rsid w:val="00893DC3"/>
    <w:rsid w:val="00893DDE"/>
    <w:rsid w:val="00894342"/>
    <w:rsid w:val="0089448B"/>
    <w:rsid w:val="008944F0"/>
    <w:rsid w:val="008945B6"/>
    <w:rsid w:val="00894882"/>
    <w:rsid w:val="0089492E"/>
    <w:rsid w:val="00894A83"/>
    <w:rsid w:val="00894C7B"/>
    <w:rsid w:val="00894CC9"/>
    <w:rsid w:val="00894D33"/>
    <w:rsid w:val="00894D9B"/>
    <w:rsid w:val="00894FAF"/>
    <w:rsid w:val="00895435"/>
    <w:rsid w:val="0089582E"/>
    <w:rsid w:val="00895EC6"/>
    <w:rsid w:val="00895FEB"/>
    <w:rsid w:val="008960D6"/>
    <w:rsid w:val="0089615A"/>
    <w:rsid w:val="00896189"/>
    <w:rsid w:val="00896201"/>
    <w:rsid w:val="0089635F"/>
    <w:rsid w:val="00896635"/>
    <w:rsid w:val="00896C18"/>
    <w:rsid w:val="00896E85"/>
    <w:rsid w:val="00897031"/>
    <w:rsid w:val="008975DE"/>
    <w:rsid w:val="0089760B"/>
    <w:rsid w:val="008978F9"/>
    <w:rsid w:val="00897962"/>
    <w:rsid w:val="00897AC4"/>
    <w:rsid w:val="00897C5E"/>
    <w:rsid w:val="00897CC4"/>
    <w:rsid w:val="008A04C8"/>
    <w:rsid w:val="008A05DD"/>
    <w:rsid w:val="008A0CD4"/>
    <w:rsid w:val="008A0CE1"/>
    <w:rsid w:val="008A0E9E"/>
    <w:rsid w:val="008A11DD"/>
    <w:rsid w:val="008A158B"/>
    <w:rsid w:val="008A16B5"/>
    <w:rsid w:val="008A19C8"/>
    <w:rsid w:val="008A1AD6"/>
    <w:rsid w:val="008A1E63"/>
    <w:rsid w:val="008A2255"/>
    <w:rsid w:val="008A2433"/>
    <w:rsid w:val="008A26DF"/>
    <w:rsid w:val="008A2703"/>
    <w:rsid w:val="008A27B7"/>
    <w:rsid w:val="008A2D0C"/>
    <w:rsid w:val="008A2D30"/>
    <w:rsid w:val="008A2F50"/>
    <w:rsid w:val="008A33AE"/>
    <w:rsid w:val="008A3A65"/>
    <w:rsid w:val="008A3CE9"/>
    <w:rsid w:val="008A4066"/>
    <w:rsid w:val="008A412D"/>
    <w:rsid w:val="008A41C9"/>
    <w:rsid w:val="008A42C2"/>
    <w:rsid w:val="008A444A"/>
    <w:rsid w:val="008A4BC1"/>
    <w:rsid w:val="008A4BEC"/>
    <w:rsid w:val="008A514B"/>
    <w:rsid w:val="008A52CA"/>
    <w:rsid w:val="008A534C"/>
    <w:rsid w:val="008A58EF"/>
    <w:rsid w:val="008A5942"/>
    <w:rsid w:val="008A5B95"/>
    <w:rsid w:val="008A5D4F"/>
    <w:rsid w:val="008A5E28"/>
    <w:rsid w:val="008A5EFC"/>
    <w:rsid w:val="008A604F"/>
    <w:rsid w:val="008A6913"/>
    <w:rsid w:val="008A6CA9"/>
    <w:rsid w:val="008A6CD7"/>
    <w:rsid w:val="008A6E22"/>
    <w:rsid w:val="008A6E35"/>
    <w:rsid w:val="008A6F03"/>
    <w:rsid w:val="008A7433"/>
    <w:rsid w:val="008A74EA"/>
    <w:rsid w:val="008A7D2E"/>
    <w:rsid w:val="008A7DBA"/>
    <w:rsid w:val="008A7E16"/>
    <w:rsid w:val="008B00D4"/>
    <w:rsid w:val="008B00E7"/>
    <w:rsid w:val="008B0267"/>
    <w:rsid w:val="008B0281"/>
    <w:rsid w:val="008B032F"/>
    <w:rsid w:val="008B08EA"/>
    <w:rsid w:val="008B0983"/>
    <w:rsid w:val="008B0A04"/>
    <w:rsid w:val="008B0C4B"/>
    <w:rsid w:val="008B1D26"/>
    <w:rsid w:val="008B24B7"/>
    <w:rsid w:val="008B272F"/>
    <w:rsid w:val="008B2832"/>
    <w:rsid w:val="008B28F5"/>
    <w:rsid w:val="008B33AC"/>
    <w:rsid w:val="008B3598"/>
    <w:rsid w:val="008B361B"/>
    <w:rsid w:val="008B36FA"/>
    <w:rsid w:val="008B3908"/>
    <w:rsid w:val="008B41AA"/>
    <w:rsid w:val="008B426A"/>
    <w:rsid w:val="008B473A"/>
    <w:rsid w:val="008B4AEA"/>
    <w:rsid w:val="008B4B17"/>
    <w:rsid w:val="008B4BE6"/>
    <w:rsid w:val="008B53E7"/>
    <w:rsid w:val="008B5463"/>
    <w:rsid w:val="008B55FD"/>
    <w:rsid w:val="008B5835"/>
    <w:rsid w:val="008B58E8"/>
    <w:rsid w:val="008B5A7C"/>
    <w:rsid w:val="008B5A7D"/>
    <w:rsid w:val="008B5BE7"/>
    <w:rsid w:val="008B5C82"/>
    <w:rsid w:val="008B5C9C"/>
    <w:rsid w:val="008B601E"/>
    <w:rsid w:val="008B6057"/>
    <w:rsid w:val="008B65F9"/>
    <w:rsid w:val="008B666C"/>
    <w:rsid w:val="008B67F5"/>
    <w:rsid w:val="008B6B98"/>
    <w:rsid w:val="008B6C76"/>
    <w:rsid w:val="008B6D4C"/>
    <w:rsid w:val="008B6F1D"/>
    <w:rsid w:val="008B6F33"/>
    <w:rsid w:val="008B70F3"/>
    <w:rsid w:val="008B7162"/>
    <w:rsid w:val="008B71C4"/>
    <w:rsid w:val="008B73E4"/>
    <w:rsid w:val="008B76DF"/>
    <w:rsid w:val="008B76FC"/>
    <w:rsid w:val="008B79E7"/>
    <w:rsid w:val="008B7F46"/>
    <w:rsid w:val="008C0791"/>
    <w:rsid w:val="008C0F29"/>
    <w:rsid w:val="008C1072"/>
    <w:rsid w:val="008C10A7"/>
    <w:rsid w:val="008C10F4"/>
    <w:rsid w:val="008C122F"/>
    <w:rsid w:val="008C1469"/>
    <w:rsid w:val="008C15E0"/>
    <w:rsid w:val="008C1615"/>
    <w:rsid w:val="008C1725"/>
    <w:rsid w:val="008C175C"/>
    <w:rsid w:val="008C17E8"/>
    <w:rsid w:val="008C1CD6"/>
    <w:rsid w:val="008C1D65"/>
    <w:rsid w:val="008C1E3F"/>
    <w:rsid w:val="008C1E96"/>
    <w:rsid w:val="008C1EBB"/>
    <w:rsid w:val="008C1FC8"/>
    <w:rsid w:val="008C1FCA"/>
    <w:rsid w:val="008C2001"/>
    <w:rsid w:val="008C2233"/>
    <w:rsid w:val="008C2398"/>
    <w:rsid w:val="008C27F1"/>
    <w:rsid w:val="008C2847"/>
    <w:rsid w:val="008C2CD6"/>
    <w:rsid w:val="008C2E7C"/>
    <w:rsid w:val="008C2FDD"/>
    <w:rsid w:val="008C31BD"/>
    <w:rsid w:val="008C353A"/>
    <w:rsid w:val="008C354D"/>
    <w:rsid w:val="008C3584"/>
    <w:rsid w:val="008C35BD"/>
    <w:rsid w:val="008C3931"/>
    <w:rsid w:val="008C3A51"/>
    <w:rsid w:val="008C3EAA"/>
    <w:rsid w:val="008C416C"/>
    <w:rsid w:val="008C41C7"/>
    <w:rsid w:val="008C4318"/>
    <w:rsid w:val="008C44FD"/>
    <w:rsid w:val="008C4754"/>
    <w:rsid w:val="008C47E5"/>
    <w:rsid w:val="008C4A7F"/>
    <w:rsid w:val="008C4D85"/>
    <w:rsid w:val="008C52A6"/>
    <w:rsid w:val="008C52BE"/>
    <w:rsid w:val="008C54D6"/>
    <w:rsid w:val="008C57AF"/>
    <w:rsid w:val="008C57C0"/>
    <w:rsid w:val="008C5CCF"/>
    <w:rsid w:val="008C5D23"/>
    <w:rsid w:val="008C5ED3"/>
    <w:rsid w:val="008C5F67"/>
    <w:rsid w:val="008C6095"/>
    <w:rsid w:val="008C65F7"/>
    <w:rsid w:val="008C65FA"/>
    <w:rsid w:val="008C6609"/>
    <w:rsid w:val="008C68E3"/>
    <w:rsid w:val="008C695B"/>
    <w:rsid w:val="008C69F7"/>
    <w:rsid w:val="008C6AFC"/>
    <w:rsid w:val="008C6BE0"/>
    <w:rsid w:val="008C774C"/>
    <w:rsid w:val="008C77A0"/>
    <w:rsid w:val="008C79CD"/>
    <w:rsid w:val="008C7C37"/>
    <w:rsid w:val="008D03F1"/>
    <w:rsid w:val="008D051E"/>
    <w:rsid w:val="008D074F"/>
    <w:rsid w:val="008D08F3"/>
    <w:rsid w:val="008D0A7B"/>
    <w:rsid w:val="008D158B"/>
    <w:rsid w:val="008D1656"/>
    <w:rsid w:val="008D1703"/>
    <w:rsid w:val="008D19D0"/>
    <w:rsid w:val="008D1B10"/>
    <w:rsid w:val="008D1CFB"/>
    <w:rsid w:val="008D1FA7"/>
    <w:rsid w:val="008D2425"/>
    <w:rsid w:val="008D2443"/>
    <w:rsid w:val="008D25D9"/>
    <w:rsid w:val="008D2767"/>
    <w:rsid w:val="008D2909"/>
    <w:rsid w:val="008D29CE"/>
    <w:rsid w:val="008D2AD2"/>
    <w:rsid w:val="008D2B88"/>
    <w:rsid w:val="008D2E3D"/>
    <w:rsid w:val="008D2E3F"/>
    <w:rsid w:val="008D30FA"/>
    <w:rsid w:val="008D33F3"/>
    <w:rsid w:val="008D3430"/>
    <w:rsid w:val="008D374C"/>
    <w:rsid w:val="008D38AA"/>
    <w:rsid w:val="008D3A48"/>
    <w:rsid w:val="008D3C09"/>
    <w:rsid w:val="008D40DE"/>
    <w:rsid w:val="008D4786"/>
    <w:rsid w:val="008D47C2"/>
    <w:rsid w:val="008D4912"/>
    <w:rsid w:val="008D4B02"/>
    <w:rsid w:val="008D4BBA"/>
    <w:rsid w:val="008D4F7D"/>
    <w:rsid w:val="008D52AB"/>
    <w:rsid w:val="008D5396"/>
    <w:rsid w:val="008D56EF"/>
    <w:rsid w:val="008D57CE"/>
    <w:rsid w:val="008D5B8A"/>
    <w:rsid w:val="008D5DF8"/>
    <w:rsid w:val="008D5EC4"/>
    <w:rsid w:val="008D5EFD"/>
    <w:rsid w:val="008D64F6"/>
    <w:rsid w:val="008D6532"/>
    <w:rsid w:val="008D65FC"/>
    <w:rsid w:val="008D68C0"/>
    <w:rsid w:val="008D69C2"/>
    <w:rsid w:val="008D6A30"/>
    <w:rsid w:val="008D6B19"/>
    <w:rsid w:val="008D6B7D"/>
    <w:rsid w:val="008D6E51"/>
    <w:rsid w:val="008D711B"/>
    <w:rsid w:val="008D7453"/>
    <w:rsid w:val="008D77DB"/>
    <w:rsid w:val="008D78F0"/>
    <w:rsid w:val="008D7C50"/>
    <w:rsid w:val="008E0279"/>
    <w:rsid w:val="008E0428"/>
    <w:rsid w:val="008E04F3"/>
    <w:rsid w:val="008E0670"/>
    <w:rsid w:val="008E08EE"/>
    <w:rsid w:val="008E0979"/>
    <w:rsid w:val="008E0AB1"/>
    <w:rsid w:val="008E0ABB"/>
    <w:rsid w:val="008E0DE5"/>
    <w:rsid w:val="008E0F30"/>
    <w:rsid w:val="008E10E7"/>
    <w:rsid w:val="008E1597"/>
    <w:rsid w:val="008E1979"/>
    <w:rsid w:val="008E1A31"/>
    <w:rsid w:val="008E1C79"/>
    <w:rsid w:val="008E22B6"/>
    <w:rsid w:val="008E24EC"/>
    <w:rsid w:val="008E261A"/>
    <w:rsid w:val="008E262F"/>
    <w:rsid w:val="008E27F5"/>
    <w:rsid w:val="008E2A02"/>
    <w:rsid w:val="008E2B96"/>
    <w:rsid w:val="008E2D29"/>
    <w:rsid w:val="008E2D67"/>
    <w:rsid w:val="008E2E66"/>
    <w:rsid w:val="008E2E96"/>
    <w:rsid w:val="008E2F0B"/>
    <w:rsid w:val="008E3035"/>
    <w:rsid w:val="008E3433"/>
    <w:rsid w:val="008E35F3"/>
    <w:rsid w:val="008E3B5D"/>
    <w:rsid w:val="008E3EBF"/>
    <w:rsid w:val="008E42C8"/>
    <w:rsid w:val="008E4349"/>
    <w:rsid w:val="008E44E8"/>
    <w:rsid w:val="008E4767"/>
    <w:rsid w:val="008E477D"/>
    <w:rsid w:val="008E48EB"/>
    <w:rsid w:val="008E4CD3"/>
    <w:rsid w:val="008E4D17"/>
    <w:rsid w:val="008E4DD3"/>
    <w:rsid w:val="008E4F39"/>
    <w:rsid w:val="008E51B7"/>
    <w:rsid w:val="008E5304"/>
    <w:rsid w:val="008E5450"/>
    <w:rsid w:val="008E547E"/>
    <w:rsid w:val="008E5B31"/>
    <w:rsid w:val="008E5C62"/>
    <w:rsid w:val="008E63F8"/>
    <w:rsid w:val="008E65A5"/>
    <w:rsid w:val="008E688A"/>
    <w:rsid w:val="008E68D0"/>
    <w:rsid w:val="008E6BD6"/>
    <w:rsid w:val="008E72A8"/>
    <w:rsid w:val="008E7870"/>
    <w:rsid w:val="008E7871"/>
    <w:rsid w:val="008E7A8C"/>
    <w:rsid w:val="008E7BDE"/>
    <w:rsid w:val="008E7C7B"/>
    <w:rsid w:val="008E7C8F"/>
    <w:rsid w:val="008F0222"/>
    <w:rsid w:val="008F03A2"/>
    <w:rsid w:val="008F0446"/>
    <w:rsid w:val="008F07CB"/>
    <w:rsid w:val="008F09CC"/>
    <w:rsid w:val="008F0A00"/>
    <w:rsid w:val="008F0A6F"/>
    <w:rsid w:val="008F0C5A"/>
    <w:rsid w:val="008F0E49"/>
    <w:rsid w:val="008F10B1"/>
    <w:rsid w:val="008F15A0"/>
    <w:rsid w:val="008F15C8"/>
    <w:rsid w:val="008F16BF"/>
    <w:rsid w:val="008F16C4"/>
    <w:rsid w:val="008F1862"/>
    <w:rsid w:val="008F1A00"/>
    <w:rsid w:val="008F1AC7"/>
    <w:rsid w:val="008F1D76"/>
    <w:rsid w:val="008F1FB5"/>
    <w:rsid w:val="008F2078"/>
    <w:rsid w:val="008F20CD"/>
    <w:rsid w:val="008F2167"/>
    <w:rsid w:val="008F2172"/>
    <w:rsid w:val="008F26D8"/>
    <w:rsid w:val="008F2BCF"/>
    <w:rsid w:val="008F2C8F"/>
    <w:rsid w:val="008F2FAE"/>
    <w:rsid w:val="008F2FE2"/>
    <w:rsid w:val="008F301A"/>
    <w:rsid w:val="008F3121"/>
    <w:rsid w:val="008F3666"/>
    <w:rsid w:val="008F366B"/>
    <w:rsid w:val="008F3A31"/>
    <w:rsid w:val="008F3AA3"/>
    <w:rsid w:val="008F3D38"/>
    <w:rsid w:val="008F40AC"/>
    <w:rsid w:val="008F429C"/>
    <w:rsid w:val="008F4DC6"/>
    <w:rsid w:val="008F4F14"/>
    <w:rsid w:val="008F5036"/>
    <w:rsid w:val="008F5068"/>
    <w:rsid w:val="008F50B7"/>
    <w:rsid w:val="008F52BC"/>
    <w:rsid w:val="008F5967"/>
    <w:rsid w:val="008F5BF5"/>
    <w:rsid w:val="008F5D0E"/>
    <w:rsid w:val="008F5EB7"/>
    <w:rsid w:val="008F5F48"/>
    <w:rsid w:val="008F604E"/>
    <w:rsid w:val="008F6098"/>
    <w:rsid w:val="008F62F1"/>
    <w:rsid w:val="008F635D"/>
    <w:rsid w:val="008F63C0"/>
    <w:rsid w:val="008F66FB"/>
    <w:rsid w:val="008F6B7B"/>
    <w:rsid w:val="008F6C51"/>
    <w:rsid w:val="008F6D36"/>
    <w:rsid w:val="008F70D6"/>
    <w:rsid w:val="008F7391"/>
    <w:rsid w:val="008F76F5"/>
    <w:rsid w:val="008F78BB"/>
    <w:rsid w:val="008F78FB"/>
    <w:rsid w:val="008F79AD"/>
    <w:rsid w:val="008F7C98"/>
    <w:rsid w:val="008F7FED"/>
    <w:rsid w:val="0090032F"/>
    <w:rsid w:val="009003D2"/>
    <w:rsid w:val="009005CF"/>
    <w:rsid w:val="009008B3"/>
    <w:rsid w:val="00900B4D"/>
    <w:rsid w:val="00901240"/>
    <w:rsid w:val="0090203B"/>
    <w:rsid w:val="0090228A"/>
    <w:rsid w:val="009022BB"/>
    <w:rsid w:val="00902548"/>
    <w:rsid w:val="0090260D"/>
    <w:rsid w:val="0090286F"/>
    <w:rsid w:val="00902908"/>
    <w:rsid w:val="00902CFF"/>
    <w:rsid w:val="00902D0E"/>
    <w:rsid w:val="00902FF8"/>
    <w:rsid w:val="00903211"/>
    <w:rsid w:val="00903285"/>
    <w:rsid w:val="009032FF"/>
    <w:rsid w:val="00903314"/>
    <w:rsid w:val="0090398D"/>
    <w:rsid w:val="00903BFE"/>
    <w:rsid w:val="00903E0B"/>
    <w:rsid w:val="009042B2"/>
    <w:rsid w:val="009048E2"/>
    <w:rsid w:val="00904A88"/>
    <w:rsid w:val="00904C41"/>
    <w:rsid w:val="00904E78"/>
    <w:rsid w:val="00904EA5"/>
    <w:rsid w:val="009053D2"/>
    <w:rsid w:val="009056FB"/>
    <w:rsid w:val="0090573E"/>
    <w:rsid w:val="009058CA"/>
    <w:rsid w:val="00905AF8"/>
    <w:rsid w:val="00905B09"/>
    <w:rsid w:val="00905B14"/>
    <w:rsid w:val="00905B5B"/>
    <w:rsid w:val="00905D9A"/>
    <w:rsid w:val="00905F8F"/>
    <w:rsid w:val="0090623E"/>
    <w:rsid w:val="009062ED"/>
    <w:rsid w:val="0090669C"/>
    <w:rsid w:val="00906B02"/>
    <w:rsid w:val="00906D79"/>
    <w:rsid w:val="00906F40"/>
    <w:rsid w:val="00906F69"/>
    <w:rsid w:val="009072DB"/>
    <w:rsid w:val="0090731E"/>
    <w:rsid w:val="009073E0"/>
    <w:rsid w:val="0090743A"/>
    <w:rsid w:val="009076FA"/>
    <w:rsid w:val="009078AA"/>
    <w:rsid w:val="00907AFC"/>
    <w:rsid w:val="00907D52"/>
    <w:rsid w:val="00907E68"/>
    <w:rsid w:val="009100C9"/>
    <w:rsid w:val="0091016B"/>
    <w:rsid w:val="009104EB"/>
    <w:rsid w:val="009106E2"/>
    <w:rsid w:val="00910887"/>
    <w:rsid w:val="00910968"/>
    <w:rsid w:val="00910A2F"/>
    <w:rsid w:val="00910EBF"/>
    <w:rsid w:val="00910EF7"/>
    <w:rsid w:val="009110A4"/>
    <w:rsid w:val="00911198"/>
    <w:rsid w:val="009117EA"/>
    <w:rsid w:val="009119C2"/>
    <w:rsid w:val="00911A2D"/>
    <w:rsid w:val="00911A8F"/>
    <w:rsid w:val="00911B4B"/>
    <w:rsid w:val="009120C7"/>
    <w:rsid w:val="009121E8"/>
    <w:rsid w:val="0091268D"/>
    <w:rsid w:val="0091272D"/>
    <w:rsid w:val="00912949"/>
    <w:rsid w:val="00912A72"/>
    <w:rsid w:val="00912E91"/>
    <w:rsid w:val="00913043"/>
    <w:rsid w:val="009132C8"/>
    <w:rsid w:val="0091386A"/>
    <w:rsid w:val="0091396E"/>
    <w:rsid w:val="00913AA7"/>
    <w:rsid w:val="00913BF4"/>
    <w:rsid w:val="00913D6D"/>
    <w:rsid w:val="009141E5"/>
    <w:rsid w:val="00914212"/>
    <w:rsid w:val="009144F8"/>
    <w:rsid w:val="0091451E"/>
    <w:rsid w:val="009145E4"/>
    <w:rsid w:val="00914C52"/>
    <w:rsid w:val="00914C57"/>
    <w:rsid w:val="00914C90"/>
    <w:rsid w:val="00914E82"/>
    <w:rsid w:val="00914F1B"/>
    <w:rsid w:val="00915071"/>
    <w:rsid w:val="00915285"/>
    <w:rsid w:val="009154AF"/>
    <w:rsid w:val="00915964"/>
    <w:rsid w:val="00915A2F"/>
    <w:rsid w:val="00915AC3"/>
    <w:rsid w:val="00915B1C"/>
    <w:rsid w:val="00915CA1"/>
    <w:rsid w:val="00915D03"/>
    <w:rsid w:val="00915D3C"/>
    <w:rsid w:val="00915D5B"/>
    <w:rsid w:val="00915DED"/>
    <w:rsid w:val="00915E39"/>
    <w:rsid w:val="00915FF4"/>
    <w:rsid w:val="009160E3"/>
    <w:rsid w:val="009161FD"/>
    <w:rsid w:val="0091625D"/>
    <w:rsid w:val="0091628F"/>
    <w:rsid w:val="0091643F"/>
    <w:rsid w:val="00916D3D"/>
    <w:rsid w:val="00916F13"/>
    <w:rsid w:val="00917357"/>
    <w:rsid w:val="009173D3"/>
    <w:rsid w:val="009174F3"/>
    <w:rsid w:val="009174F5"/>
    <w:rsid w:val="0091760B"/>
    <w:rsid w:val="00917676"/>
    <w:rsid w:val="0091782D"/>
    <w:rsid w:val="0091795A"/>
    <w:rsid w:val="0091797D"/>
    <w:rsid w:val="00917C83"/>
    <w:rsid w:val="00917D11"/>
    <w:rsid w:val="009200C1"/>
    <w:rsid w:val="00920138"/>
    <w:rsid w:val="00920343"/>
    <w:rsid w:val="00920824"/>
    <w:rsid w:val="00920F44"/>
    <w:rsid w:val="00920FA7"/>
    <w:rsid w:val="0092160D"/>
    <w:rsid w:val="009216A2"/>
    <w:rsid w:val="009217D6"/>
    <w:rsid w:val="00921803"/>
    <w:rsid w:val="00921814"/>
    <w:rsid w:val="0092189D"/>
    <w:rsid w:val="00921D66"/>
    <w:rsid w:val="00921EAB"/>
    <w:rsid w:val="00921EDC"/>
    <w:rsid w:val="00921F62"/>
    <w:rsid w:val="00921FC6"/>
    <w:rsid w:val="00922677"/>
    <w:rsid w:val="0092282A"/>
    <w:rsid w:val="00922C17"/>
    <w:rsid w:val="00922EF6"/>
    <w:rsid w:val="009233BF"/>
    <w:rsid w:val="0092362A"/>
    <w:rsid w:val="0092362E"/>
    <w:rsid w:val="00923CBA"/>
    <w:rsid w:val="00923CD1"/>
    <w:rsid w:val="00923E4B"/>
    <w:rsid w:val="00923ECE"/>
    <w:rsid w:val="009241EA"/>
    <w:rsid w:val="0092443E"/>
    <w:rsid w:val="00924441"/>
    <w:rsid w:val="00924551"/>
    <w:rsid w:val="00924662"/>
    <w:rsid w:val="00924AAB"/>
    <w:rsid w:val="00924B4E"/>
    <w:rsid w:val="00924C7B"/>
    <w:rsid w:val="00924F87"/>
    <w:rsid w:val="00925163"/>
    <w:rsid w:val="00925506"/>
    <w:rsid w:val="0092550B"/>
    <w:rsid w:val="00925646"/>
    <w:rsid w:val="00925888"/>
    <w:rsid w:val="00925A32"/>
    <w:rsid w:val="00925C23"/>
    <w:rsid w:val="00925F5E"/>
    <w:rsid w:val="00926383"/>
    <w:rsid w:val="00926681"/>
    <w:rsid w:val="00926697"/>
    <w:rsid w:val="00926703"/>
    <w:rsid w:val="00926720"/>
    <w:rsid w:val="0092727A"/>
    <w:rsid w:val="009274B9"/>
    <w:rsid w:val="00927691"/>
    <w:rsid w:val="00927735"/>
    <w:rsid w:val="00927A4C"/>
    <w:rsid w:val="00927A5F"/>
    <w:rsid w:val="00927C2F"/>
    <w:rsid w:val="00927CE6"/>
    <w:rsid w:val="00927D21"/>
    <w:rsid w:val="00930358"/>
    <w:rsid w:val="00930510"/>
    <w:rsid w:val="00930587"/>
    <w:rsid w:val="00930664"/>
    <w:rsid w:val="00930839"/>
    <w:rsid w:val="00930849"/>
    <w:rsid w:val="009308A8"/>
    <w:rsid w:val="009315B1"/>
    <w:rsid w:val="00931907"/>
    <w:rsid w:val="009319CA"/>
    <w:rsid w:val="00931B58"/>
    <w:rsid w:val="00931B8F"/>
    <w:rsid w:val="00931D25"/>
    <w:rsid w:val="00931D64"/>
    <w:rsid w:val="00931E78"/>
    <w:rsid w:val="00931F02"/>
    <w:rsid w:val="009321F0"/>
    <w:rsid w:val="00932394"/>
    <w:rsid w:val="009327BF"/>
    <w:rsid w:val="00932A3E"/>
    <w:rsid w:val="00932CD7"/>
    <w:rsid w:val="00932DA7"/>
    <w:rsid w:val="00932E78"/>
    <w:rsid w:val="00932F9F"/>
    <w:rsid w:val="00933087"/>
    <w:rsid w:val="009338F7"/>
    <w:rsid w:val="00933EAE"/>
    <w:rsid w:val="00933F47"/>
    <w:rsid w:val="009340ED"/>
    <w:rsid w:val="00934248"/>
    <w:rsid w:val="009342AA"/>
    <w:rsid w:val="00934D2C"/>
    <w:rsid w:val="00935998"/>
    <w:rsid w:val="00935B63"/>
    <w:rsid w:val="00935C41"/>
    <w:rsid w:val="00935D06"/>
    <w:rsid w:val="00935E85"/>
    <w:rsid w:val="00935F1C"/>
    <w:rsid w:val="00935F4D"/>
    <w:rsid w:val="009360F6"/>
    <w:rsid w:val="0093610B"/>
    <w:rsid w:val="00936534"/>
    <w:rsid w:val="00936605"/>
    <w:rsid w:val="009369F6"/>
    <w:rsid w:val="00936BF5"/>
    <w:rsid w:val="00936E95"/>
    <w:rsid w:val="00937531"/>
    <w:rsid w:val="00937638"/>
    <w:rsid w:val="00937786"/>
    <w:rsid w:val="00937889"/>
    <w:rsid w:val="00940163"/>
    <w:rsid w:val="009402DD"/>
    <w:rsid w:val="0094069C"/>
    <w:rsid w:val="0094078F"/>
    <w:rsid w:val="00940E36"/>
    <w:rsid w:val="00940FA3"/>
    <w:rsid w:val="0094112D"/>
    <w:rsid w:val="009411DB"/>
    <w:rsid w:val="0094145A"/>
    <w:rsid w:val="009415A2"/>
    <w:rsid w:val="009416C5"/>
    <w:rsid w:val="009418B7"/>
    <w:rsid w:val="00941B29"/>
    <w:rsid w:val="00941BD5"/>
    <w:rsid w:val="00941FB0"/>
    <w:rsid w:val="00942118"/>
    <w:rsid w:val="00942245"/>
    <w:rsid w:val="0094232B"/>
    <w:rsid w:val="00942494"/>
    <w:rsid w:val="009424AA"/>
    <w:rsid w:val="00942578"/>
    <w:rsid w:val="009426D4"/>
    <w:rsid w:val="0094275D"/>
    <w:rsid w:val="009427A8"/>
    <w:rsid w:val="00942B2A"/>
    <w:rsid w:val="00942C9A"/>
    <w:rsid w:val="00942EF7"/>
    <w:rsid w:val="00943206"/>
    <w:rsid w:val="00943209"/>
    <w:rsid w:val="00943791"/>
    <w:rsid w:val="00943C55"/>
    <w:rsid w:val="00943DFF"/>
    <w:rsid w:val="00943FB8"/>
    <w:rsid w:val="00944171"/>
    <w:rsid w:val="00944640"/>
    <w:rsid w:val="0094471D"/>
    <w:rsid w:val="00944AF5"/>
    <w:rsid w:val="00944E9F"/>
    <w:rsid w:val="00945061"/>
    <w:rsid w:val="0094521F"/>
    <w:rsid w:val="0094534D"/>
    <w:rsid w:val="0094552E"/>
    <w:rsid w:val="009455D7"/>
    <w:rsid w:val="00945701"/>
    <w:rsid w:val="009457C3"/>
    <w:rsid w:val="009459C6"/>
    <w:rsid w:val="00945DEA"/>
    <w:rsid w:val="00945FA9"/>
    <w:rsid w:val="0094630B"/>
    <w:rsid w:val="0094658F"/>
    <w:rsid w:val="00946B48"/>
    <w:rsid w:val="00946D6A"/>
    <w:rsid w:val="00946DD7"/>
    <w:rsid w:val="00946DEC"/>
    <w:rsid w:val="009470E8"/>
    <w:rsid w:val="009470FA"/>
    <w:rsid w:val="009476E5"/>
    <w:rsid w:val="0094773E"/>
    <w:rsid w:val="00947BCF"/>
    <w:rsid w:val="00947BFE"/>
    <w:rsid w:val="00947DDA"/>
    <w:rsid w:val="00947F25"/>
    <w:rsid w:val="00947F50"/>
    <w:rsid w:val="00950159"/>
    <w:rsid w:val="0095036A"/>
    <w:rsid w:val="009503C5"/>
    <w:rsid w:val="009505E1"/>
    <w:rsid w:val="00950B59"/>
    <w:rsid w:val="00950C16"/>
    <w:rsid w:val="00950D07"/>
    <w:rsid w:val="00950DBA"/>
    <w:rsid w:val="00950E50"/>
    <w:rsid w:val="00950F32"/>
    <w:rsid w:val="0095111E"/>
    <w:rsid w:val="00951127"/>
    <w:rsid w:val="009514D4"/>
    <w:rsid w:val="009518BA"/>
    <w:rsid w:val="00951A28"/>
    <w:rsid w:val="00951A73"/>
    <w:rsid w:val="00952560"/>
    <w:rsid w:val="009525AD"/>
    <w:rsid w:val="009528C9"/>
    <w:rsid w:val="00952E91"/>
    <w:rsid w:val="0095343E"/>
    <w:rsid w:val="00953846"/>
    <w:rsid w:val="00953B01"/>
    <w:rsid w:val="00953F0C"/>
    <w:rsid w:val="0095401B"/>
    <w:rsid w:val="009543A2"/>
    <w:rsid w:val="0095490B"/>
    <w:rsid w:val="00954DCC"/>
    <w:rsid w:val="009552FE"/>
    <w:rsid w:val="0095541D"/>
    <w:rsid w:val="00955528"/>
    <w:rsid w:val="009558F3"/>
    <w:rsid w:val="009559A5"/>
    <w:rsid w:val="009559A9"/>
    <w:rsid w:val="00955B58"/>
    <w:rsid w:val="00955E36"/>
    <w:rsid w:val="00956028"/>
    <w:rsid w:val="00956415"/>
    <w:rsid w:val="00956667"/>
    <w:rsid w:val="00956AF2"/>
    <w:rsid w:val="00956B74"/>
    <w:rsid w:val="00956CFB"/>
    <w:rsid w:val="009570AE"/>
    <w:rsid w:val="009571F7"/>
    <w:rsid w:val="009577AF"/>
    <w:rsid w:val="00957A1C"/>
    <w:rsid w:val="00957D32"/>
    <w:rsid w:val="00960268"/>
    <w:rsid w:val="00960490"/>
    <w:rsid w:val="009606D2"/>
    <w:rsid w:val="0096097E"/>
    <w:rsid w:val="00960A33"/>
    <w:rsid w:val="00960C66"/>
    <w:rsid w:val="00961000"/>
    <w:rsid w:val="00961490"/>
    <w:rsid w:val="0096149F"/>
    <w:rsid w:val="00961D99"/>
    <w:rsid w:val="00961E8B"/>
    <w:rsid w:val="00961FE6"/>
    <w:rsid w:val="00962001"/>
    <w:rsid w:val="00962223"/>
    <w:rsid w:val="009623FA"/>
    <w:rsid w:val="00962427"/>
    <w:rsid w:val="00962718"/>
    <w:rsid w:val="00962DF7"/>
    <w:rsid w:val="009631F6"/>
    <w:rsid w:val="00963274"/>
    <w:rsid w:val="009632B8"/>
    <w:rsid w:val="00963328"/>
    <w:rsid w:val="00963342"/>
    <w:rsid w:val="009635F8"/>
    <w:rsid w:val="0096365A"/>
    <w:rsid w:val="009639D8"/>
    <w:rsid w:val="00963AD9"/>
    <w:rsid w:val="00963B53"/>
    <w:rsid w:val="00963C18"/>
    <w:rsid w:val="00963D59"/>
    <w:rsid w:val="00963E18"/>
    <w:rsid w:val="00963ED9"/>
    <w:rsid w:val="00964037"/>
    <w:rsid w:val="00964269"/>
    <w:rsid w:val="009644EA"/>
    <w:rsid w:val="0096453E"/>
    <w:rsid w:val="00964607"/>
    <w:rsid w:val="00964666"/>
    <w:rsid w:val="009647A0"/>
    <w:rsid w:val="00964EB5"/>
    <w:rsid w:val="00964F90"/>
    <w:rsid w:val="00965151"/>
    <w:rsid w:val="00965378"/>
    <w:rsid w:val="009653FB"/>
    <w:rsid w:val="0096557B"/>
    <w:rsid w:val="009655A7"/>
    <w:rsid w:val="00965747"/>
    <w:rsid w:val="00965758"/>
    <w:rsid w:val="009658D6"/>
    <w:rsid w:val="009659C0"/>
    <w:rsid w:val="00965C7C"/>
    <w:rsid w:val="00965C99"/>
    <w:rsid w:val="00966570"/>
    <w:rsid w:val="009665DF"/>
    <w:rsid w:val="00966A42"/>
    <w:rsid w:val="00966DAD"/>
    <w:rsid w:val="00966DBF"/>
    <w:rsid w:val="00966FC0"/>
    <w:rsid w:val="009670E1"/>
    <w:rsid w:val="00967378"/>
    <w:rsid w:val="009674E7"/>
    <w:rsid w:val="00967575"/>
    <w:rsid w:val="0096764E"/>
    <w:rsid w:val="00967949"/>
    <w:rsid w:val="009679A1"/>
    <w:rsid w:val="00967DB5"/>
    <w:rsid w:val="00967EEC"/>
    <w:rsid w:val="00967F4E"/>
    <w:rsid w:val="009702E1"/>
    <w:rsid w:val="0097043F"/>
    <w:rsid w:val="009704A7"/>
    <w:rsid w:val="00970672"/>
    <w:rsid w:val="009706B0"/>
    <w:rsid w:val="009706CA"/>
    <w:rsid w:val="00970B28"/>
    <w:rsid w:val="00970C56"/>
    <w:rsid w:val="00970DD7"/>
    <w:rsid w:val="00970EAB"/>
    <w:rsid w:val="00970FFB"/>
    <w:rsid w:val="009710B3"/>
    <w:rsid w:val="009711B0"/>
    <w:rsid w:val="009711BC"/>
    <w:rsid w:val="00971209"/>
    <w:rsid w:val="00971349"/>
    <w:rsid w:val="00971559"/>
    <w:rsid w:val="009718EC"/>
    <w:rsid w:val="00971914"/>
    <w:rsid w:val="009719C8"/>
    <w:rsid w:val="00971B1F"/>
    <w:rsid w:val="00971BD8"/>
    <w:rsid w:val="00972250"/>
    <w:rsid w:val="00972375"/>
    <w:rsid w:val="009728ED"/>
    <w:rsid w:val="00972A70"/>
    <w:rsid w:val="00973034"/>
    <w:rsid w:val="0097306F"/>
    <w:rsid w:val="00973082"/>
    <w:rsid w:val="0097319F"/>
    <w:rsid w:val="00973289"/>
    <w:rsid w:val="009734FE"/>
    <w:rsid w:val="009737BD"/>
    <w:rsid w:val="009737D0"/>
    <w:rsid w:val="00973F3A"/>
    <w:rsid w:val="00973FDC"/>
    <w:rsid w:val="00974046"/>
    <w:rsid w:val="00974086"/>
    <w:rsid w:val="009742C5"/>
    <w:rsid w:val="00974363"/>
    <w:rsid w:val="00974443"/>
    <w:rsid w:val="00974470"/>
    <w:rsid w:val="00974502"/>
    <w:rsid w:val="0097454F"/>
    <w:rsid w:val="00974DBF"/>
    <w:rsid w:val="009751DE"/>
    <w:rsid w:val="00975408"/>
    <w:rsid w:val="009755F0"/>
    <w:rsid w:val="0097566D"/>
    <w:rsid w:val="009756DF"/>
    <w:rsid w:val="009757EB"/>
    <w:rsid w:val="0097593E"/>
    <w:rsid w:val="00975A8C"/>
    <w:rsid w:val="00975AD7"/>
    <w:rsid w:val="00975C14"/>
    <w:rsid w:val="00976050"/>
    <w:rsid w:val="00976355"/>
    <w:rsid w:val="009763DE"/>
    <w:rsid w:val="009764E6"/>
    <w:rsid w:val="009766F4"/>
    <w:rsid w:val="0097674F"/>
    <w:rsid w:val="00976907"/>
    <w:rsid w:val="00976A3F"/>
    <w:rsid w:val="00976FD8"/>
    <w:rsid w:val="00977015"/>
    <w:rsid w:val="0097703E"/>
    <w:rsid w:val="00977067"/>
    <w:rsid w:val="00977128"/>
    <w:rsid w:val="00977459"/>
    <w:rsid w:val="00977881"/>
    <w:rsid w:val="009778B1"/>
    <w:rsid w:val="00977C15"/>
    <w:rsid w:val="00977D53"/>
    <w:rsid w:val="00977D80"/>
    <w:rsid w:val="0097E889"/>
    <w:rsid w:val="00980558"/>
    <w:rsid w:val="009808AB"/>
    <w:rsid w:val="00980987"/>
    <w:rsid w:val="00980A41"/>
    <w:rsid w:val="00980B16"/>
    <w:rsid w:val="009811F6"/>
    <w:rsid w:val="00981223"/>
    <w:rsid w:val="00981301"/>
    <w:rsid w:val="00981830"/>
    <w:rsid w:val="00981898"/>
    <w:rsid w:val="00981974"/>
    <w:rsid w:val="00981B24"/>
    <w:rsid w:val="00981C6B"/>
    <w:rsid w:val="00981D22"/>
    <w:rsid w:val="00982282"/>
    <w:rsid w:val="00982327"/>
    <w:rsid w:val="009823BE"/>
    <w:rsid w:val="009825AA"/>
    <w:rsid w:val="009826DE"/>
    <w:rsid w:val="00982A54"/>
    <w:rsid w:val="00982B1D"/>
    <w:rsid w:val="00982C05"/>
    <w:rsid w:val="00982C96"/>
    <w:rsid w:val="00982CDC"/>
    <w:rsid w:val="00982CFF"/>
    <w:rsid w:val="00982F4A"/>
    <w:rsid w:val="00983008"/>
    <w:rsid w:val="009830C4"/>
    <w:rsid w:val="00983186"/>
    <w:rsid w:val="0098362C"/>
    <w:rsid w:val="00983692"/>
    <w:rsid w:val="0098369F"/>
    <w:rsid w:val="00983754"/>
    <w:rsid w:val="0098382B"/>
    <w:rsid w:val="009838D8"/>
    <w:rsid w:val="009839A8"/>
    <w:rsid w:val="00983B1C"/>
    <w:rsid w:val="00983E13"/>
    <w:rsid w:val="00983E6F"/>
    <w:rsid w:val="0098415A"/>
    <w:rsid w:val="00984172"/>
    <w:rsid w:val="00984379"/>
    <w:rsid w:val="00984536"/>
    <w:rsid w:val="0098455B"/>
    <w:rsid w:val="009846AF"/>
    <w:rsid w:val="00984877"/>
    <w:rsid w:val="00984A1D"/>
    <w:rsid w:val="00984ACC"/>
    <w:rsid w:val="00984FD2"/>
    <w:rsid w:val="009850A5"/>
    <w:rsid w:val="00985535"/>
    <w:rsid w:val="009856A4"/>
    <w:rsid w:val="0098592E"/>
    <w:rsid w:val="00985991"/>
    <w:rsid w:val="00985A36"/>
    <w:rsid w:val="00985DEC"/>
    <w:rsid w:val="00985F13"/>
    <w:rsid w:val="00986061"/>
    <w:rsid w:val="00986274"/>
    <w:rsid w:val="0098638E"/>
    <w:rsid w:val="00986570"/>
    <w:rsid w:val="009865E4"/>
    <w:rsid w:val="009868B2"/>
    <w:rsid w:val="00986B2C"/>
    <w:rsid w:val="00986B40"/>
    <w:rsid w:val="00986C32"/>
    <w:rsid w:val="009870A3"/>
    <w:rsid w:val="0098721A"/>
    <w:rsid w:val="00987418"/>
    <w:rsid w:val="00987455"/>
    <w:rsid w:val="009874FC"/>
    <w:rsid w:val="00987586"/>
    <w:rsid w:val="009879ED"/>
    <w:rsid w:val="00987B86"/>
    <w:rsid w:val="00987D8E"/>
    <w:rsid w:val="00987ECF"/>
    <w:rsid w:val="0099017B"/>
    <w:rsid w:val="009901D8"/>
    <w:rsid w:val="00990580"/>
    <w:rsid w:val="00990844"/>
    <w:rsid w:val="0099097C"/>
    <w:rsid w:val="00990D7D"/>
    <w:rsid w:val="00990ED1"/>
    <w:rsid w:val="00990EDF"/>
    <w:rsid w:val="00991071"/>
    <w:rsid w:val="009911DA"/>
    <w:rsid w:val="009912A4"/>
    <w:rsid w:val="00991435"/>
    <w:rsid w:val="0099145A"/>
    <w:rsid w:val="009914AB"/>
    <w:rsid w:val="0099150F"/>
    <w:rsid w:val="00991516"/>
    <w:rsid w:val="00991803"/>
    <w:rsid w:val="0099189B"/>
    <w:rsid w:val="009918B5"/>
    <w:rsid w:val="00991D4F"/>
    <w:rsid w:val="00992075"/>
    <w:rsid w:val="0099210E"/>
    <w:rsid w:val="0099252B"/>
    <w:rsid w:val="00992DB7"/>
    <w:rsid w:val="00993079"/>
    <w:rsid w:val="0099352C"/>
    <w:rsid w:val="00993545"/>
    <w:rsid w:val="0099379F"/>
    <w:rsid w:val="009937CA"/>
    <w:rsid w:val="0099383B"/>
    <w:rsid w:val="00993A45"/>
    <w:rsid w:val="00993A46"/>
    <w:rsid w:val="00993D46"/>
    <w:rsid w:val="00993E2B"/>
    <w:rsid w:val="0099426D"/>
    <w:rsid w:val="009942F9"/>
    <w:rsid w:val="009944E8"/>
    <w:rsid w:val="00994511"/>
    <w:rsid w:val="009945A1"/>
    <w:rsid w:val="009946EA"/>
    <w:rsid w:val="00994A41"/>
    <w:rsid w:val="00994A5B"/>
    <w:rsid w:val="00995181"/>
    <w:rsid w:val="009954BA"/>
    <w:rsid w:val="009955D5"/>
    <w:rsid w:val="00995687"/>
    <w:rsid w:val="0099577C"/>
    <w:rsid w:val="009957BF"/>
    <w:rsid w:val="00995919"/>
    <w:rsid w:val="00995CE4"/>
    <w:rsid w:val="00995D17"/>
    <w:rsid w:val="00995D7F"/>
    <w:rsid w:val="00995DDF"/>
    <w:rsid w:val="00995DF3"/>
    <w:rsid w:val="009963C6"/>
    <w:rsid w:val="00996462"/>
    <w:rsid w:val="009964A0"/>
    <w:rsid w:val="0099675D"/>
    <w:rsid w:val="009967C7"/>
    <w:rsid w:val="00996FB4"/>
    <w:rsid w:val="00996FE4"/>
    <w:rsid w:val="0099771C"/>
    <w:rsid w:val="00997A25"/>
    <w:rsid w:val="00997C7D"/>
    <w:rsid w:val="009A020E"/>
    <w:rsid w:val="009A021C"/>
    <w:rsid w:val="009A024D"/>
    <w:rsid w:val="009A0260"/>
    <w:rsid w:val="009A02B3"/>
    <w:rsid w:val="009A0872"/>
    <w:rsid w:val="009A08FA"/>
    <w:rsid w:val="009A0903"/>
    <w:rsid w:val="009A0A24"/>
    <w:rsid w:val="009A0A64"/>
    <w:rsid w:val="009A0C83"/>
    <w:rsid w:val="009A16AE"/>
    <w:rsid w:val="009A1701"/>
    <w:rsid w:val="009A176B"/>
    <w:rsid w:val="009A17C8"/>
    <w:rsid w:val="009A1A95"/>
    <w:rsid w:val="009A1DE1"/>
    <w:rsid w:val="009A1E2C"/>
    <w:rsid w:val="009A1E2D"/>
    <w:rsid w:val="009A1EF1"/>
    <w:rsid w:val="009A1F25"/>
    <w:rsid w:val="009A1F6A"/>
    <w:rsid w:val="009A2005"/>
    <w:rsid w:val="009A21A0"/>
    <w:rsid w:val="009A2210"/>
    <w:rsid w:val="009A25CC"/>
    <w:rsid w:val="009A262E"/>
    <w:rsid w:val="009A273B"/>
    <w:rsid w:val="009A27A1"/>
    <w:rsid w:val="009A2909"/>
    <w:rsid w:val="009A2969"/>
    <w:rsid w:val="009A2997"/>
    <w:rsid w:val="009A2AFF"/>
    <w:rsid w:val="009A2C11"/>
    <w:rsid w:val="009A2C92"/>
    <w:rsid w:val="009A2D61"/>
    <w:rsid w:val="009A2F26"/>
    <w:rsid w:val="009A30BC"/>
    <w:rsid w:val="009A345A"/>
    <w:rsid w:val="009A3463"/>
    <w:rsid w:val="009A3469"/>
    <w:rsid w:val="009A35A2"/>
    <w:rsid w:val="009A360C"/>
    <w:rsid w:val="009A39EE"/>
    <w:rsid w:val="009A3A05"/>
    <w:rsid w:val="009A3AC8"/>
    <w:rsid w:val="009A3BDB"/>
    <w:rsid w:val="009A3DC6"/>
    <w:rsid w:val="009A3E00"/>
    <w:rsid w:val="009A43C2"/>
    <w:rsid w:val="009A4424"/>
    <w:rsid w:val="009A4E0B"/>
    <w:rsid w:val="009A505E"/>
    <w:rsid w:val="009A5110"/>
    <w:rsid w:val="009A53AA"/>
    <w:rsid w:val="009A560F"/>
    <w:rsid w:val="009A5730"/>
    <w:rsid w:val="009A58D0"/>
    <w:rsid w:val="009A59DD"/>
    <w:rsid w:val="009A5A0B"/>
    <w:rsid w:val="009A5A35"/>
    <w:rsid w:val="009A5D84"/>
    <w:rsid w:val="009A5DEB"/>
    <w:rsid w:val="009A5EF6"/>
    <w:rsid w:val="009A6000"/>
    <w:rsid w:val="009A6039"/>
    <w:rsid w:val="009A6325"/>
    <w:rsid w:val="009A6527"/>
    <w:rsid w:val="009A6A63"/>
    <w:rsid w:val="009A6CD0"/>
    <w:rsid w:val="009A6FC2"/>
    <w:rsid w:val="009A7346"/>
    <w:rsid w:val="009A76AE"/>
    <w:rsid w:val="009A7710"/>
    <w:rsid w:val="009A777B"/>
    <w:rsid w:val="009A7AD6"/>
    <w:rsid w:val="009B0193"/>
    <w:rsid w:val="009B0287"/>
    <w:rsid w:val="009B0312"/>
    <w:rsid w:val="009B04D1"/>
    <w:rsid w:val="009B0612"/>
    <w:rsid w:val="009B06FF"/>
    <w:rsid w:val="009B0875"/>
    <w:rsid w:val="009B0A68"/>
    <w:rsid w:val="009B0AE8"/>
    <w:rsid w:val="009B0DD6"/>
    <w:rsid w:val="009B0E87"/>
    <w:rsid w:val="009B0EC3"/>
    <w:rsid w:val="009B0FDF"/>
    <w:rsid w:val="009B1380"/>
    <w:rsid w:val="009B1601"/>
    <w:rsid w:val="009B192C"/>
    <w:rsid w:val="009B1934"/>
    <w:rsid w:val="009B197F"/>
    <w:rsid w:val="009B1B8A"/>
    <w:rsid w:val="009B1E0E"/>
    <w:rsid w:val="009B1F17"/>
    <w:rsid w:val="009B2087"/>
    <w:rsid w:val="009B20E6"/>
    <w:rsid w:val="009B21F2"/>
    <w:rsid w:val="009B23CA"/>
    <w:rsid w:val="009B24A5"/>
    <w:rsid w:val="009B2533"/>
    <w:rsid w:val="009B2601"/>
    <w:rsid w:val="009B26E2"/>
    <w:rsid w:val="009B273F"/>
    <w:rsid w:val="009B274A"/>
    <w:rsid w:val="009B2C3C"/>
    <w:rsid w:val="009B2C76"/>
    <w:rsid w:val="009B2DE4"/>
    <w:rsid w:val="009B323B"/>
    <w:rsid w:val="009B34FF"/>
    <w:rsid w:val="009B364E"/>
    <w:rsid w:val="009B36B9"/>
    <w:rsid w:val="009B37DC"/>
    <w:rsid w:val="009B396C"/>
    <w:rsid w:val="009B3B76"/>
    <w:rsid w:val="009B3BD1"/>
    <w:rsid w:val="009B3BE6"/>
    <w:rsid w:val="009B3D42"/>
    <w:rsid w:val="009B4251"/>
    <w:rsid w:val="009B44D4"/>
    <w:rsid w:val="009B4D96"/>
    <w:rsid w:val="009B4E9E"/>
    <w:rsid w:val="009B4F47"/>
    <w:rsid w:val="009B502E"/>
    <w:rsid w:val="009B520D"/>
    <w:rsid w:val="009B5265"/>
    <w:rsid w:val="009B5285"/>
    <w:rsid w:val="009B549D"/>
    <w:rsid w:val="009B55B1"/>
    <w:rsid w:val="009B5742"/>
    <w:rsid w:val="009B5B32"/>
    <w:rsid w:val="009B6154"/>
    <w:rsid w:val="009B631F"/>
    <w:rsid w:val="009B67DD"/>
    <w:rsid w:val="009B68DF"/>
    <w:rsid w:val="009B6963"/>
    <w:rsid w:val="009B6B35"/>
    <w:rsid w:val="009B6CE1"/>
    <w:rsid w:val="009B6D76"/>
    <w:rsid w:val="009B7182"/>
    <w:rsid w:val="009B718D"/>
    <w:rsid w:val="009B73A2"/>
    <w:rsid w:val="009B78E5"/>
    <w:rsid w:val="009B7923"/>
    <w:rsid w:val="009B79EE"/>
    <w:rsid w:val="009B7CD6"/>
    <w:rsid w:val="009C0175"/>
    <w:rsid w:val="009C020D"/>
    <w:rsid w:val="009C0446"/>
    <w:rsid w:val="009C0527"/>
    <w:rsid w:val="009C0576"/>
    <w:rsid w:val="009C080E"/>
    <w:rsid w:val="009C0E31"/>
    <w:rsid w:val="009C15A3"/>
    <w:rsid w:val="009C1690"/>
    <w:rsid w:val="009C16F0"/>
    <w:rsid w:val="009C17B8"/>
    <w:rsid w:val="009C18C9"/>
    <w:rsid w:val="009C1D77"/>
    <w:rsid w:val="009C2181"/>
    <w:rsid w:val="009C2480"/>
    <w:rsid w:val="009C25A9"/>
    <w:rsid w:val="009C2612"/>
    <w:rsid w:val="009C2718"/>
    <w:rsid w:val="009C2C0B"/>
    <w:rsid w:val="009C2FCB"/>
    <w:rsid w:val="009C30B2"/>
    <w:rsid w:val="009C33F3"/>
    <w:rsid w:val="009C373E"/>
    <w:rsid w:val="009C3741"/>
    <w:rsid w:val="009C3784"/>
    <w:rsid w:val="009C3869"/>
    <w:rsid w:val="009C3E3F"/>
    <w:rsid w:val="009C41A7"/>
    <w:rsid w:val="009C47CF"/>
    <w:rsid w:val="009C4822"/>
    <w:rsid w:val="009C4875"/>
    <w:rsid w:val="009C4D48"/>
    <w:rsid w:val="009C4DDD"/>
    <w:rsid w:val="009C4E2E"/>
    <w:rsid w:val="009C4E5E"/>
    <w:rsid w:val="009C5765"/>
    <w:rsid w:val="009C5815"/>
    <w:rsid w:val="009C5845"/>
    <w:rsid w:val="009C58CB"/>
    <w:rsid w:val="009C5A66"/>
    <w:rsid w:val="009C5B39"/>
    <w:rsid w:val="009C60A0"/>
    <w:rsid w:val="009C6533"/>
    <w:rsid w:val="009C680C"/>
    <w:rsid w:val="009C684F"/>
    <w:rsid w:val="009C6881"/>
    <w:rsid w:val="009C6BAE"/>
    <w:rsid w:val="009C73F4"/>
    <w:rsid w:val="009C75C4"/>
    <w:rsid w:val="009C763D"/>
    <w:rsid w:val="009C7759"/>
    <w:rsid w:val="009C77FC"/>
    <w:rsid w:val="009C78F4"/>
    <w:rsid w:val="009C792B"/>
    <w:rsid w:val="009C79A3"/>
    <w:rsid w:val="009C7A5E"/>
    <w:rsid w:val="009C7BBE"/>
    <w:rsid w:val="009C7BEE"/>
    <w:rsid w:val="009C7C1A"/>
    <w:rsid w:val="009C7C70"/>
    <w:rsid w:val="009C7C93"/>
    <w:rsid w:val="009D0090"/>
    <w:rsid w:val="009D023B"/>
    <w:rsid w:val="009D02AB"/>
    <w:rsid w:val="009D0356"/>
    <w:rsid w:val="009D043D"/>
    <w:rsid w:val="009D065C"/>
    <w:rsid w:val="009D06A2"/>
    <w:rsid w:val="009D07B6"/>
    <w:rsid w:val="009D07C8"/>
    <w:rsid w:val="009D0DA8"/>
    <w:rsid w:val="009D1024"/>
    <w:rsid w:val="009D10E2"/>
    <w:rsid w:val="009D1151"/>
    <w:rsid w:val="009D119A"/>
    <w:rsid w:val="009D11FE"/>
    <w:rsid w:val="009D122A"/>
    <w:rsid w:val="009D1B53"/>
    <w:rsid w:val="009D1D43"/>
    <w:rsid w:val="009D1D66"/>
    <w:rsid w:val="009D1FFB"/>
    <w:rsid w:val="009D2185"/>
    <w:rsid w:val="009D24E4"/>
    <w:rsid w:val="009D29F8"/>
    <w:rsid w:val="009D2A02"/>
    <w:rsid w:val="009D2D7F"/>
    <w:rsid w:val="009D31C8"/>
    <w:rsid w:val="009D345C"/>
    <w:rsid w:val="009D3B8A"/>
    <w:rsid w:val="009D3DB5"/>
    <w:rsid w:val="009D3E3A"/>
    <w:rsid w:val="009D4025"/>
    <w:rsid w:val="009D4082"/>
    <w:rsid w:val="009D408D"/>
    <w:rsid w:val="009D4313"/>
    <w:rsid w:val="009D4694"/>
    <w:rsid w:val="009D49D5"/>
    <w:rsid w:val="009D4C85"/>
    <w:rsid w:val="009D4D79"/>
    <w:rsid w:val="009D4F5B"/>
    <w:rsid w:val="009D515F"/>
    <w:rsid w:val="009D51DA"/>
    <w:rsid w:val="009D56E1"/>
    <w:rsid w:val="009D595D"/>
    <w:rsid w:val="009D5992"/>
    <w:rsid w:val="009D5DCF"/>
    <w:rsid w:val="009D5E1A"/>
    <w:rsid w:val="009D601C"/>
    <w:rsid w:val="009D65BF"/>
    <w:rsid w:val="009D687F"/>
    <w:rsid w:val="009D6BB0"/>
    <w:rsid w:val="009D6C0E"/>
    <w:rsid w:val="009D6C71"/>
    <w:rsid w:val="009D6D44"/>
    <w:rsid w:val="009D7356"/>
    <w:rsid w:val="009D74CF"/>
    <w:rsid w:val="009D7577"/>
    <w:rsid w:val="009D79D1"/>
    <w:rsid w:val="009D7BD3"/>
    <w:rsid w:val="009D7D7F"/>
    <w:rsid w:val="009E0149"/>
    <w:rsid w:val="009E02E7"/>
    <w:rsid w:val="009E02F1"/>
    <w:rsid w:val="009E0631"/>
    <w:rsid w:val="009E07D7"/>
    <w:rsid w:val="009E0A2B"/>
    <w:rsid w:val="009E123F"/>
    <w:rsid w:val="009E124A"/>
    <w:rsid w:val="009E13C0"/>
    <w:rsid w:val="009E16D0"/>
    <w:rsid w:val="009E1934"/>
    <w:rsid w:val="009E1BDA"/>
    <w:rsid w:val="009E1FC0"/>
    <w:rsid w:val="009E200F"/>
    <w:rsid w:val="009E2051"/>
    <w:rsid w:val="009E2081"/>
    <w:rsid w:val="009E20B7"/>
    <w:rsid w:val="009E2321"/>
    <w:rsid w:val="009E26D5"/>
    <w:rsid w:val="009E26FC"/>
    <w:rsid w:val="009E26FD"/>
    <w:rsid w:val="009E27F2"/>
    <w:rsid w:val="009E2BDE"/>
    <w:rsid w:val="009E34D0"/>
    <w:rsid w:val="009E3504"/>
    <w:rsid w:val="009E3549"/>
    <w:rsid w:val="009E384E"/>
    <w:rsid w:val="009E38FD"/>
    <w:rsid w:val="009E3A95"/>
    <w:rsid w:val="009E3AF1"/>
    <w:rsid w:val="009E4311"/>
    <w:rsid w:val="009E453D"/>
    <w:rsid w:val="009E4626"/>
    <w:rsid w:val="009E4C0E"/>
    <w:rsid w:val="009E4D29"/>
    <w:rsid w:val="009E5181"/>
    <w:rsid w:val="009E5336"/>
    <w:rsid w:val="009E54E8"/>
    <w:rsid w:val="009E5604"/>
    <w:rsid w:val="009E5821"/>
    <w:rsid w:val="009E5A5C"/>
    <w:rsid w:val="009E5BB2"/>
    <w:rsid w:val="009E5D72"/>
    <w:rsid w:val="009E5D86"/>
    <w:rsid w:val="009E61DC"/>
    <w:rsid w:val="009E623C"/>
    <w:rsid w:val="009E6337"/>
    <w:rsid w:val="009E643D"/>
    <w:rsid w:val="009E6723"/>
    <w:rsid w:val="009E689D"/>
    <w:rsid w:val="009E693D"/>
    <w:rsid w:val="009E6A55"/>
    <w:rsid w:val="009E6CF8"/>
    <w:rsid w:val="009E6CFF"/>
    <w:rsid w:val="009E6DE8"/>
    <w:rsid w:val="009E70BB"/>
    <w:rsid w:val="009E7339"/>
    <w:rsid w:val="009E7590"/>
    <w:rsid w:val="009E7640"/>
    <w:rsid w:val="009E7713"/>
    <w:rsid w:val="009E77D2"/>
    <w:rsid w:val="009E7A53"/>
    <w:rsid w:val="009F01EF"/>
    <w:rsid w:val="009F07C7"/>
    <w:rsid w:val="009F084B"/>
    <w:rsid w:val="009F0AD8"/>
    <w:rsid w:val="009F0B5B"/>
    <w:rsid w:val="009F0E26"/>
    <w:rsid w:val="009F1317"/>
    <w:rsid w:val="009F13D6"/>
    <w:rsid w:val="009F1652"/>
    <w:rsid w:val="009F19F9"/>
    <w:rsid w:val="009F1F3F"/>
    <w:rsid w:val="009F20EF"/>
    <w:rsid w:val="009F215C"/>
    <w:rsid w:val="009F24C1"/>
    <w:rsid w:val="009F2659"/>
    <w:rsid w:val="009F274E"/>
    <w:rsid w:val="009F27F4"/>
    <w:rsid w:val="009F2A9A"/>
    <w:rsid w:val="009F2FD5"/>
    <w:rsid w:val="009F3186"/>
    <w:rsid w:val="009F32AF"/>
    <w:rsid w:val="009F3361"/>
    <w:rsid w:val="009F33E6"/>
    <w:rsid w:val="009F345B"/>
    <w:rsid w:val="009F345F"/>
    <w:rsid w:val="009F3614"/>
    <w:rsid w:val="009F3692"/>
    <w:rsid w:val="009F38BB"/>
    <w:rsid w:val="009F38EA"/>
    <w:rsid w:val="009F39E4"/>
    <w:rsid w:val="009F3D54"/>
    <w:rsid w:val="009F3E1C"/>
    <w:rsid w:val="009F4764"/>
    <w:rsid w:val="009F4786"/>
    <w:rsid w:val="009F4964"/>
    <w:rsid w:val="009F49E2"/>
    <w:rsid w:val="009F4B71"/>
    <w:rsid w:val="009F4BE8"/>
    <w:rsid w:val="009F4C0D"/>
    <w:rsid w:val="009F4C13"/>
    <w:rsid w:val="009F4C6B"/>
    <w:rsid w:val="009F4DD9"/>
    <w:rsid w:val="009F502E"/>
    <w:rsid w:val="009F514A"/>
    <w:rsid w:val="009F52C5"/>
    <w:rsid w:val="009F52E5"/>
    <w:rsid w:val="009F55FF"/>
    <w:rsid w:val="009F59E0"/>
    <w:rsid w:val="009F5AFB"/>
    <w:rsid w:val="009F5D65"/>
    <w:rsid w:val="009F5E95"/>
    <w:rsid w:val="009F64F0"/>
    <w:rsid w:val="009F6602"/>
    <w:rsid w:val="009F6633"/>
    <w:rsid w:val="009F665E"/>
    <w:rsid w:val="009F6AFF"/>
    <w:rsid w:val="009F6F09"/>
    <w:rsid w:val="009F6F42"/>
    <w:rsid w:val="009F701D"/>
    <w:rsid w:val="009F72F2"/>
    <w:rsid w:val="009F757C"/>
    <w:rsid w:val="009F75A9"/>
    <w:rsid w:val="009F7677"/>
    <w:rsid w:val="009F7806"/>
    <w:rsid w:val="009F7812"/>
    <w:rsid w:val="009F78A8"/>
    <w:rsid w:val="009F791E"/>
    <w:rsid w:val="00A0014E"/>
    <w:rsid w:val="00A00639"/>
    <w:rsid w:val="00A00839"/>
    <w:rsid w:val="00A00ACC"/>
    <w:rsid w:val="00A00D3D"/>
    <w:rsid w:val="00A00D97"/>
    <w:rsid w:val="00A015DD"/>
    <w:rsid w:val="00A0163E"/>
    <w:rsid w:val="00A01744"/>
    <w:rsid w:val="00A017E0"/>
    <w:rsid w:val="00A01906"/>
    <w:rsid w:val="00A01BF4"/>
    <w:rsid w:val="00A01E55"/>
    <w:rsid w:val="00A02079"/>
    <w:rsid w:val="00A0215E"/>
    <w:rsid w:val="00A02494"/>
    <w:rsid w:val="00A0254E"/>
    <w:rsid w:val="00A025B5"/>
    <w:rsid w:val="00A02A49"/>
    <w:rsid w:val="00A02AD6"/>
    <w:rsid w:val="00A033EA"/>
    <w:rsid w:val="00A0454C"/>
    <w:rsid w:val="00A04643"/>
    <w:rsid w:val="00A04AF2"/>
    <w:rsid w:val="00A04D00"/>
    <w:rsid w:val="00A04EE6"/>
    <w:rsid w:val="00A05043"/>
    <w:rsid w:val="00A051B0"/>
    <w:rsid w:val="00A052F6"/>
    <w:rsid w:val="00A0530C"/>
    <w:rsid w:val="00A059B6"/>
    <w:rsid w:val="00A05C05"/>
    <w:rsid w:val="00A0603A"/>
    <w:rsid w:val="00A060D6"/>
    <w:rsid w:val="00A061EA"/>
    <w:rsid w:val="00A06240"/>
    <w:rsid w:val="00A06524"/>
    <w:rsid w:val="00A0665E"/>
    <w:rsid w:val="00A067EA"/>
    <w:rsid w:val="00A06991"/>
    <w:rsid w:val="00A06AB0"/>
    <w:rsid w:val="00A06C50"/>
    <w:rsid w:val="00A06D87"/>
    <w:rsid w:val="00A06D8D"/>
    <w:rsid w:val="00A06E1A"/>
    <w:rsid w:val="00A07096"/>
    <w:rsid w:val="00A07186"/>
    <w:rsid w:val="00A07318"/>
    <w:rsid w:val="00A07418"/>
    <w:rsid w:val="00A074B0"/>
    <w:rsid w:val="00A0777C"/>
    <w:rsid w:val="00A077E4"/>
    <w:rsid w:val="00A07905"/>
    <w:rsid w:val="00A07A90"/>
    <w:rsid w:val="00A07B0A"/>
    <w:rsid w:val="00A07B67"/>
    <w:rsid w:val="00A10080"/>
    <w:rsid w:val="00A102AA"/>
    <w:rsid w:val="00A1030D"/>
    <w:rsid w:val="00A103E2"/>
    <w:rsid w:val="00A105E6"/>
    <w:rsid w:val="00A108CC"/>
    <w:rsid w:val="00A109E7"/>
    <w:rsid w:val="00A10E2E"/>
    <w:rsid w:val="00A10F63"/>
    <w:rsid w:val="00A10FD9"/>
    <w:rsid w:val="00A11006"/>
    <w:rsid w:val="00A11300"/>
    <w:rsid w:val="00A11370"/>
    <w:rsid w:val="00A11380"/>
    <w:rsid w:val="00A116FC"/>
    <w:rsid w:val="00A11A5F"/>
    <w:rsid w:val="00A11B38"/>
    <w:rsid w:val="00A11F0D"/>
    <w:rsid w:val="00A12017"/>
    <w:rsid w:val="00A12913"/>
    <w:rsid w:val="00A12937"/>
    <w:rsid w:val="00A12AEE"/>
    <w:rsid w:val="00A12DDF"/>
    <w:rsid w:val="00A12ECC"/>
    <w:rsid w:val="00A1303E"/>
    <w:rsid w:val="00A1304D"/>
    <w:rsid w:val="00A133F0"/>
    <w:rsid w:val="00A13567"/>
    <w:rsid w:val="00A13668"/>
    <w:rsid w:val="00A13689"/>
    <w:rsid w:val="00A13733"/>
    <w:rsid w:val="00A137D9"/>
    <w:rsid w:val="00A137E5"/>
    <w:rsid w:val="00A14320"/>
    <w:rsid w:val="00A14BC1"/>
    <w:rsid w:val="00A1531E"/>
    <w:rsid w:val="00A15320"/>
    <w:rsid w:val="00A158A3"/>
    <w:rsid w:val="00A158FD"/>
    <w:rsid w:val="00A1613C"/>
    <w:rsid w:val="00A16214"/>
    <w:rsid w:val="00A166CB"/>
    <w:rsid w:val="00A1671E"/>
    <w:rsid w:val="00A16AFA"/>
    <w:rsid w:val="00A16B03"/>
    <w:rsid w:val="00A16B3A"/>
    <w:rsid w:val="00A16B4C"/>
    <w:rsid w:val="00A16EE7"/>
    <w:rsid w:val="00A17282"/>
    <w:rsid w:val="00A17423"/>
    <w:rsid w:val="00A17597"/>
    <w:rsid w:val="00A175A9"/>
    <w:rsid w:val="00A17747"/>
    <w:rsid w:val="00A17A9D"/>
    <w:rsid w:val="00A203CB"/>
    <w:rsid w:val="00A203FD"/>
    <w:rsid w:val="00A2060D"/>
    <w:rsid w:val="00A206ED"/>
    <w:rsid w:val="00A208FB"/>
    <w:rsid w:val="00A2098A"/>
    <w:rsid w:val="00A209A7"/>
    <w:rsid w:val="00A20BE0"/>
    <w:rsid w:val="00A20EB1"/>
    <w:rsid w:val="00A20F32"/>
    <w:rsid w:val="00A2111C"/>
    <w:rsid w:val="00A21388"/>
    <w:rsid w:val="00A214B3"/>
    <w:rsid w:val="00A21507"/>
    <w:rsid w:val="00A215E5"/>
    <w:rsid w:val="00A215FE"/>
    <w:rsid w:val="00A217C1"/>
    <w:rsid w:val="00A21D2E"/>
    <w:rsid w:val="00A21D9D"/>
    <w:rsid w:val="00A220B4"/>
    <w:rsid w:val="00A221C1"/>
    <w:rsid w:val="00A224CE"/>
    <w:rsid w:val="00A22522"/>
    <w:rsid w:val="00A226C3"/>
    <w:rsid w:val="00A22CA0"/>
    <w:rsid w:val="00A22DF1"/>
    <w:rsid w:val="00A23039"/>
    <w:rsid w:val="00A23611"/>
    <w:rsid w:val="00A2362C"/>
    <w:rsid w:val="00A23736"/>
    <w:rsid w:val="00A23AFF"/>
    <w:rsid w:val="00A240B5"/>
    <w:rsid w:val="00A2414F"/>
    <w:rsid w:val="00A24515"/>
    <w:rsid w:val="00A2468E"/>
    <w:rsid w:val="00A24911"/>
    <w:rsid w:val="00A24A87"/>
    <w:rsid w:val="00A24AFD"/>
    <w:rsid w:val="00A24F5C"/>
    <w:rsid w:val="00A24FDA"/>
    <w:rsid w:val="00A252A1"/>
    <w:rsid w:val="00A253C7"/>
    <w:rsid w:val="00A253F2"/>
    <w:rsid w:val="00A25443"/>
    <w:rsid w:val="00A25B73"/>
    <w:rsid w:val="00A25DE4"/>
    <w:rsid w:val="00A25F59"/>
    <w:rsid w:val="00A2606A"/>
    <w:rsid w:val="00A26223"/>
    <w:rsid w:val="00A26344"/>
    <w:rsid w:val="00A2636E"/>
    <w:rsid w:val="00A26421"/>
    <w:rsid w:val="00A267FA"/>
    <w:rsid w:val="00A26822"/>
    <w:rsid w:val="00A26939"/>
    <w:rsid w:val="00A2699B"/>
    <w:rsid w:val="00A26A19"/>
    <w:rsid w:val="00A26AF8"/>
    <w:rsid w:val="00A270FF"/>
    <w:rsid w:val="00A271F4"/>
    <w:rsid w:val="00A272B0"/>
    <w:rsid w:val="00A27490"/>
    <w:rsid w:val="00A2749E"/>
    <w:rsid w:val="00A274CE"/>
    <w:rsid w:val="00A27514"/>
    <w:rsid w:val="00A276A4"/>
    <w:rsid w:val="00A27B9B"/>
    <w:rsid w:val="00A27E14"/>
    <w:rsid w:val="00A27EF2"/>
    <w:rsid w:val="00A3019D"/>
    <w:rsid w:val="00A304F2"/>
    <w:rsid w:val="00A30624"/>
    <w:rsid w:val="00A3066F"/>
    <w:rsid w:val="00A306B2"/>
    <w:rsid w:val="00A30753"/>
    <w:rsid w:val="00A307E2"/>
    <w:rsid w:val="00A30DF1"/>
    <w:rsid w:val="00A311D6"/>
    <w:rsid w:val="00A312F0"/>
    <w:rsid w:val="00A31352"/>
    <w:rsid w:val="00A3146B"/>
    <w:rsid w:val="00A31908"/>
    <w:rsid w:val="00A31DE3"/>
    <w:rsid w:val="00A325CF"/>
    <w:rsid w:val="00A3270C"/>
    <w:rsid w:val="00A327FE"/>
    <w:rsid w:val="00A328C4"/>
    <w:rsid w:val="00A32BC0"/>
    <w:rsid w:val="00A32C15"/>
    <w:rsid w:val="00A32CD0"/>
    <w:rsid w:val="00A32D7F"/>
    <w:rsid w:val="00A32F96"/>
    <w:rsid w:val="00A3351B"/>
    <w:rsid w:val="00A335FF"/>
    <w:rsid w:val="00A337BA"/>
    <w:rsid w:val="00A337CE"/>
    <w:rsid w:val="00A33874"/>
    <w:rsid w:val="00A338B7"/>
    <w:rsid w:val="00A33BEA"/>
    <w:rsid w:val="00A33CBB"/>
    <w:rsid w:val="00A33D53"/>
    <w:rsid w:val="00A33FC5"/>
    <w:rsid w:val="00A343D5"/>
    <w:rsid w:val="00A3446A"/>
    <w:rsid w:val="00A34518"/>
    <w:rsid w:val="00A34620"/>
    <w:rsid w:val="00A347F0"/>
    <w:rsid w:val="00A34BD8"/>
    <w:rsid w:val="00A34D95"/>
    <w:rsid w:val="00A35138"/>
    <w:rsid w:val="00A35256"/>
    <w:rsid w:val="00A354BA"/>
    <w:rsid w:val="00A35747"/>
    <w:rsid w:val="00A35950"/>
    <w:rsid w:val="00A359D8"/>
    <w:rsid w:val="00A35F41"/>
    <w:rsid w:val="00A35F81"/>
    <w:rsid w:val="00A362A8"/>
    <w:rsid w:val="00A364A5"/>
    <w:rsid w:val="00A36866"/>
    <w:rsid w:val="00A36B26"/>
    <w:rsid w:val="00A36E77"/>
    <w:rsid w:val="00A372F0"/>
    <w:rsid w:val="00A373DA"/>
    <w:rsid w:val="00A3747C"/>
    <w:rsid w:val="00A37A70"/>
    <w:rsid w:val="00A37B4D"/>
    <w:rsid w:val="00A37B95"/>
    <w:rsid w:val="00A37D6F"/>
    <w:rsid w:val="00A37DA4"/>
    <w:rsid w:val="00A402D5"/>
    <w:rsid w:val="00A4038D"/>
    <w:rsid w:val="00A4058F"/>
    <w:rsid w:val="00A4062D"/>
    <w:rsid w:val="00A407DE"/>
    <w:rsid w:val="00A40871"/>
    <w:rsid w:val="00A408B2"/>
    <w:rsid w:val="00A40DF3"/>
    <w:rsid w:val="00A40E17"/>
    <w:rsid w:val="00A40F5E"/>
    <w:rsid w:val="00A410ED"/>
    <w:rsid w:val="00A412AB"/>
    <w:rsid w:val="00A41471"/>
    <w:rsid w:val="00A41581"/>
    <w:rsid w:val="00A4163A"/>
    <w:rsid w:val="00A41660"/>
    <w:rsid w:val="00A416E5"/>
    <w:rsid w:val="00A4173E"/>
    <w:rsid w:val="00A4193E"/>
    <w:rsid w:val="00A419F5"/>
    <w:rsid w:val="00A41AC5"/>
    <w:rsid w:val="00A41F4E"/>
    <w:rsid w:val="00A426DC"/>
    <w:rsid w:val="00A4284E"/>
    <w:rsid w:val="00A42D74"/>
    <w:rsid w:val="00A42E6F"/>
    <w:rsid w:val="00A43023"/>
    <w:rsid w:val="00A438F2"/>
    <w:rsid w:val="00A43925"/>
    <w:rsid w:val="00A43A23"/>
    <w:rsid w:val="00A43A92"/>
    <w:rsid w:val="00A43B90"/>
    <w:rsid w:val="00A440E0"/>
    <w:rsid w:val="00A44134"/>
    <w:rsid w:val="00A442A4"/>
    <w:rsid w:val="00A442EF"/>
    <w:rsid w:val="00A449A3"/>
    <w:rsid w:val="00A44C6A"/>
    <w:rsid w:val="00A44F4F"/>
    <w:rsid w:val="00A452BC"/>
    <w:rsid w:val="00A45341"/>
    <w:rsid w:val="00A4552D"/>
    <w:rsid w:val="00A4559A"/>
    <w:rsid w:val="00A456B2"/>
    <w:rsid w:val="00A456F1"/>
    <w:rsid w:val="00A45925"/>
    <w:rsid w:val="00A45A33"/>
    <w:rsid w:val="00A45A34"/>
    <w:rsid w:val="00A45B78"/>
    <w:rsid w:val="00A45B89"/>
    <w:rsid w:val="00A45E41"/>
    <w:rsid w:val="00A46094"/>
    <w:rsid w:val="00A462B3"/>
    <w:rsid w:val="00A4647B"/>
    <w:rsid w:val="00A46B9A"/>
    <w:rsid w:val="00A46CAE"/>
    <w:rsid w:val="00A46CB6"/>
    <w:rsid w:val="00A46EE5"/>
    <w:rsid w:val="00A47155"/>
    <w:rsid w:val="00A47203"/>
    <w:rsid w:val="00A47444"/>
    <w:rsid w:val="00A47694"/>
    <w:rsid w:val="00A476C6"/>
    <w:rsid w:val="00A47B05"/>
    <w:rsid w:val="00A47DD2"/>
    <w:rsid w:val="00A47E4D"/>
    <w:rsid w:val="00A47F31"/>
    <w:rsid w:val="00A50223"/>
    <w:rsid w:val="00A50429"/>
    <w:rsid w:val="00A50686"/>
    <w:rsid w:val="00A5090C"/>
    <w:rsid w:val="00A50B46"/>
    <w:rsid w:val="00A50DA9"/>
    <w:rsid w:val="00A511FD"/>
    <w:rsid w:val="00A51A2B"/>
    <w:rsid w:val="00A51C90"/>
    <w:rsid w:val="00A51D1A"/>
    <w:rsid w:val="00A51E5A"/>
    <w:rsid w:val="00A51F5A"/>
    <w:rsid w:val="00A52102"/>
    <w:rsid w:val="00A52293"/>
    <w:rsid w:val="00A523B3"/>
    <w:rsid w:val="00A52922"/>
    <w:rsid w:val="00A529E8"/>
    <w:rsid w:val="00A52A04"/>
    <w:rsid w:val="00A52A3B"/>
    <w:rsid w:val="00A52A56"/>
    <w:rsid w:val="00A52A8C"/>
    <w:rsid w:val="00A52B85"/>
    <w:rsid w:val="00A52BC1"/>
    <w:rsid w:val="00A531C7"/>
    <w:rsid w:val="00A5384B"/>
    <w:rsid w:val="00A538C2"/>
    <w:rsid w:val="00A53909"/>
    <w:rsid w:val="00A53A2A"/>
    <w:rsid w:val="00A53B4B"/>
    <w:rsid w:val="00A53BCB"/>
    <w:rsid w:val="00A53CEB"/>
    <w:rsid w:val="00A53DAF"/>
    <w:rsid w:val="00A5418D"/>
    <w:rsid w:val="00A54661"/>
    <w:rsid w:val="00A5474E"/>
    <w:rsid w:val="00A547E8"/>
    <w:rsid w:val="00A54AD6"/>
    <w:rsid w:val="00A54EBC"/>
    <w:rsid w:val="00A54F3F"/>
    <w:rsid w:val="00A54F7E"/>
    <w:rsid w:val="00A54FC4"/>
    <w:rsid w:val="00A55063"/>
    <w:rsid w:val="00A55139"/>
    <w:rsid w:val="00A55450"/>
    <w:rsid w:val="00A55452"/>
    <w:rsid w:val="00A5581A"/>
    <w:rsid w:val="00A5584F"/>
    <w:rsid w:val="00A55930"/>
    <w:rsid w:val="00A55BD7"/>
    <w:rsid w:val="00A55C6D"/>
    <w:rsid w:val="00A55C6F"/>
    <w:rsid w:val="00A55C89"/>
    <w:rsid w:val="00A55CB8"/>
    <w:rsid w:val="00A5698E"/>
    <w:rsid w:val="00A56BDE"/>
    <w:rsid w:val="00A56C1E"/>
    <w:rsid w:val="00A56D05"/>
    <w:rsid w:val="00A56D84"/>
    <w:rsid w:val="00A56F52"/>
    <w:rsid w:val="00A570AF"/>
    <w:rsid w:val="00A572A3"/>
    <w:rsid w:val="00A57843"/>
    <w:rsid w:val="00A57C7D"/>
    <w:rsid w:val="00A57DF4"/>
    <w:rsid w:val="00A57FA7"/>
    <w:rsid w:val="00A60066"/>
    <w:rsid w:val="00A6022B"/>
    <w:rsid w:val="00A60244"/>
    <w:rsid w:val="00A602C1"/>
    <w:rsid w:val="00A60595"/>
    <w:rsid w:val="00A6093C"/>
    <w:rsid w:val="00A60E33"/>
    <w:rsid w:val="00A61014"/>
    <w:rsid w:val="00A610F4"/>
    <w:rsid w:val="00A61422"/>
    <w:rsid w:val="00A61532"/>
    <w:rsid w:val="00A618E5"/>
    <w:rsid w:val="00A618EA"/>
    <w:rsid w:val="00A619D2"/>
    <w:rsid w:val="00A61A3A"/>
    <w:rsid w:val="00A62387"/>
    <w:rsid w:val="00A62690"/>
    <w:rsid w:val="00A626BD"/>
    <w:rsid w:val="00A62B27"/>
    <w:rsid w:val="00A62BF8"/>
    <w:rsid w:val="00A62C76"/>
    <w:rsid w:val="00A62F16"/>
    <w:rsid w:val="00A6314B"/>
    <w:rsid w:val="00A632BC"/>
    <w:rsid w:val="00A633EE"/>
    <w:rsid w:val="00A634F3"/>
    <w:rsid w:val="00A63831"/>
    <w:rsid w:val="00A638F4"/>
    <w:rsid w:val="00A6393B"/>
    <w:rsid w:val="00A63DEA"/>
    <w:rsid w:val="00A6420B"/>
    <w:rsid w:val="00A64234"/>
    <w:rsid w:val="00A6459F"/>
    <w:rsid w:val="00A6462B"/>
    <w:rsid w:val="00A6480D"/>
    <w:rsid w:val="00A64A87"/>
    <w:rsid w:val="00A64D2E"/>
    <w:rsid w:val="00A64D73"/>
    <w:rsid w:val="00A64F9C"/>
    <w:rsid w:val="00A65391"/>
    <w:rsid w:val="00A654BC"/>
    <w:rsid w:val="00A658B1"/>
    <w:rsid w:val="00A65AC8"/>
    <w:rsid w:val="00A65C7D"/>
    <w:rsid w:val="00A65D7B"/>
    <w:rsid w:val="00A65E91"/>
    <w:rsid w:val="00A6611A"/>
    <w:rsid w:val="00A662B6"/>
    <w:rsid w:val="00A66308"/>
    <w:rsid w:val="00A665DC"/>
    <w:rsid w:val="00A667DC"/>
    <w:rsid w:val="00A66B5B"/>
    <w:rsid w:val="00A66C40"/>
    <w:rsid w:val="00A66DBE"/>
    <w:rsid w:val="00A6715D"/>
    <w:rsid w:val="00A6720E"/>
    <w:rsid w:val="00A6750F"/>
    <w:rsid w:val="00A67AC4"/>
    <w:rsid w:val="00A67ACB"/>
    <w:rsid w:val="00A67AE7"/>
    <w:rsid w:val="00A70042"/>
    <w:rsid w:val="00A700EA"/>
    <w:rsid w:val="00A7066A"/>
    <w:rsid w:val="00A708B1"/>
    <w:rsid w:val="00A70ADF"/>
    <w:rsid w:val="00A70B23"/>
    <w:rsid w:val="00A70B48"/>
    <w:rsid w:val="00A70B4E"/>
    <w:rsid w:val="00A71466"/>
    <w:rsid w:val="00A717DA"/>
    <w:rsid w:val="00A7186B"/>
    <w:rsid w:val="00A718B4"/>
    <w:rsid w:val="00A71A54"/>
    <w:rsid w:val="00A71CF6"/>
    <w:rsid w:val="00A71F57"/>
    <w:rsid w:val="00A71F5D"/>
    <w:rsid w:val="00A72A7F"/>
    <w:rsid w:val="00A72C3A"/>
    <w:rsid w:val="00A72D1D"/>
    <w:rsid w:val="00A72FC0"/>
    <w:rsid w:val="00A73463"/>
    <w:rsid w:val="00A735B4"/>
    <w:rsid w:val="00A7374C"/>
    <w:rsid w:val="00A73CF2"/>
    <w:rsid w:val="00A73F72"/>
    <w:rsid w:val="00A74130"/>
    <w:rsid w:val="00A747BE"/>
    <w:rsid w:val="00A74B5E"/>
    <w:rsid w:val="00A74EF6"/>
    <w:rsid w:val="00A74FC7"/>
    <w:rsid w:val="00A7511A"/>
    <w:rsid w:val="00A7512E"/>
    <w:rsid w:val="00A752F4"/>
    <w:rsid w:val="00A756FB"/>
    <w:rsid w:val="00A75C46"/>
    <w:rsid w:val="00A75FCE"/>
    <w:rsid w:val="00A75FF3"/>
    <w:rsid w:val="00A76A49"/>
    <w:rsid w:val="00A76C44"/>
    <w:rsid w:val="00A76F29"/>
    <w:rsid w:val="00A770BD"/>
    <w:rsid w:val="00A77114"/>
    <w:rsid w:val="00A772C2"/>
    <w:rsid w:val="00A77550"/>
    <w:rsid w:val="00A77615"/>
    <w:rsid w:val="00A7781E"/>
    <w:rsid w:val="00A77D00"/>
    <w:rsid w:val="00A77D61"/>
    <w:rsid w:val="00A77E75"/>
    <w:rsid w:val="00A77F02"/>
    <w:rsid w:val="00A80323"/>
    <w:rsid w:val="00A803AA"/>
    <w:rsid w:val="00A804E4"/>
    <w:rsid w:val="00A8075A"/>
    <w:rsid w:val="00A8089A"/>
    <w:rsid w:val="00A8111A"/>
    <w:rsid w:val="00A812ED"/>
    <w:rsid w:val="00A8159A"/>
    <w:rsid w:val="00A81762"/>
    <w:rsid w:val="00A81872"/>
    <w:rsid w:val="00A81A85"/>
    <w:rsid w:val="00A81BED"/>
    <w:rsid w:val="00A81CC8"/>
    <w:rsid w:val="00A81D8F"/>
    <w:rsid w:val="00A81D9F"/>
    <w:rsid w:val="00A81EC4"/>
    <w:rsid w:val="00A8211A"/>
    <w:rsid w:val="00A822E7"/>
    <w:rsid w:val="00A82303"/>
    <w:rsid w:val="00A824B2"/>
    <w:rsid w:val="00A824E8"/>
    <w:rsid w:val="00A82614"/>
    <w:rsid w:val="00A82620"/>
    <w:rsid w:val="00A82661"/>
    <w:rsid w:val="00A827E4"/>
    <w:rsid w:val="00A828A2"/>
    <w:rsid w:val="00A82D9F"/>
    <w:rsid w:val="00A82F35"/>
    <w:rsid w:val="00A8302D"/>
    <w:rsid w:val="00A830B3"/>
    <w:rsid w:val="00A83308"/>
    <w:rsid w:val="00A833AE"/>
    <w:rsid w:val="00A834A0"/>
    <w:rsid w:val="00A83639"/>
    <w:rsid w:val="00A839AE"/>
    <w:rsid w:val="00A83D64"/>
    <w:rsid w:val="00A83D91"/>
    <w:rsid w:val="00A8403C"/>
    <w:rsid w:val="00A8404C"/>
    <w:rsid w:val="00A8408D"/>
    <w:rsid w:val="00A84112"/>
    <w:rsid w:val="00A8417D"/>
    <w:rsid w:val="00A841CC"/>
    <w:rsid w:val="00A84348"/>
    <w:rsid w:val="00A8461E"/>
    <w:rsid w:val="00A84AA2"/>
    <w:rsid w:val="00A84AA5"/>
    <w:rsid w:val="00A84DC0"/>
    <w:rsid w:val="00A84DD5"/>
    <w:rsid w:val="00A84F41"/>
    <w:rsid w:val="00A84FE9"/>
    <w:rsid w:val="00A8531B"/>
    <w:rsid w:val="00A85345"/>
    <w:rsid w:val="00A85852"/>
    <w:rsid w:val="00A8592B"/>
    <w:rsid w:val="00A85C35"/>
    <w:rsid w:val="00A85FC4"/>
    <w:rsid w:val="00A86241"/>
    <w:rsid w:val="00A86869"/>
    <w:rsid w:val="00A87047"/>
    <w:rsid w:val="00A87814"/>
    <w:rsid w:val="00A879A1"/>
    <w:rsid w:val="00A9029C"/>
    <w:rsid w:val="00A902D6"/>
    <w:rsid w:val="00A90BD2"/>
    <w:rsid w:val="00A90BE3"/>
    <w:rsid w:val="00A91046"/>
    <w:rsid w:val="00A9149E"/>
    <w:rsid w:val="00A916F4"/>
    <w:rsid w:val="00A9173F"/>
    <w:rsid w:val="00A919C3"/>
    <w:rsid w:val="00A91D39"/>
    <w:rsid w:val="00A91E0E"/>
    <w:rsid w:val="00A91E9E"/>
    <w:rsid w:val="00A925FF"/>
    <w:rsid w:val="00A92730"/>
    <w:rsid w:val="00A927E3"/>
    <w:rsid w:val="00A92E36"/>
    <w:rsid w:val="00A9308E"/>
    <w:rsid w:val="00A93189"/>
    <w:rsid w:val="00A9318F"/>
    <w:rsid w:val="00A93304"/>
    <w:rsid w:val="00A93761"/>
    <w:rsid w:val="00A93BAB"/>
    <w:rsid w:val="00A93EA6"/>
    <w:rsid w:val="00A94325"/>
    <w:rsid w:val="00A9451D"/>
    <w:rsid w:val="00A94687"/>
    <w:rsid w:val="00A94696"/>
    <w:rsid w:val="00A94994"/>
    <w:rsid w:val="00A94B49"/>
    <w:rsid w:val="00A94B8A"/>
    <w:rsid w:val="00A94C3C"/>
    <w:rsid w:val="00A94F73"/>
    <w:rsid w:val="00A950E7"/>
    <w:rsid w:val="00A95962"/>
    <w:rsid w:val="00A95A6F"/>
    <w:rsid w:val="00A95DA1"/>
    <w:rsid w:val="00A960DE"/>
    <w:rsid w:val="00A962D6"/>
    <w:rsid w:val="00A9653D"/>
    <w:rsid w:val="00A967FD"/>
    <w:rsid w:val="00A968B0"/>
    <w:rsid w:val="00A96B12"/>
    <w:rsid w:val="00A96F61"/>
    <w:rsid w:val="00A97208"/>
    <w:rsid w:val="00A9727C"/>
    <w:rsid w:val="00A972F0"/>
    <w:rsid w:val="00A972FB"/>
    <w:rsid w:val="00A97337"/>
    <w:rsid w:val="00A9751E"/>
    <w:rsid w:val="00A9770F"/>
    <w:rsid w:val="00A978DE"/>
    <w:rsid w:val="00A97AAC"/>
    <w:rsid w:val="00A97D9C"/>
    <w:rsid w:val="00AA00EA"/>
    <w:rsid w:val="00AA0185"/>
    <w:rsid w:val="00AA04D3"/>
    <w:rsid w:val="00AA0B8E"/>
    <w:rsid w:val="00AA0BDD"/>
    <w:rsid w:val="00AA0CD5"/>
    <w:rsid w:val="00AA11C3"/>
    <w:rsid w:val="00AA12B5"/>
    <w:rsid w:val="00AA16EF"/>
    <w:rsid w:val="00AA1888"/>
    <w:rsid w:val="00AA1CD7"/>
    <w:rsid w:val="00AA1D1C"/>
    <w:rsid w:val="00AA1D47"/>
    <w:rsid w:val="00AA1F95"/>
    <w:rsid w:val="00AA2088"/>
    <w:rsid w:val="00AA20AF"/>
    <w:rsid w:val="00AA255F"/>
    <w:rsid w:val="00AA25F0"/>
    <w:rsid w:val="00AA27B7"/>
    <w:rsid w:val="00AA2852"/>
    <w:rsid w:val="00AA2ACA"/>
    <w:rsid w:val="00AA2DE5"/>
    <w:rsid w:val="00AA2EFE"/>
    <w:rsid w:val="00AA3375"/>
    <w:rsid w:val="00AA36BE"/>
    <w:rsid w:val="00AA38CC"/>
    <w:rsid w:val="00AA39E0"/>
    <w:rsid w:val="00AA3DCB"/>
    <w:rsid w:val="00AA403C"/>
    <w:rsid w:val="00AA41BB"/>
    <w:rsid w:val="00AA4284"/>
    <w:rsid w:val="00AA428C"/>
    <w:rsid w:val="00AA42EA"/>
    <w:rsid w:val="00AA4425"/>
    <w:rsid w:val="00AA4547"/>
    <w:rsid w:val="00AA470F"/>
    <w:rsid w:val="00AA49DC"/>
    <w:rsid w:val="00AA4AF2"/>
    <w:rsid w:val="00AA4B9D"/>
    <w:rsid w:val="00AA4CE8"/>
    <w:rsid w:val="00AA5010"/>
    <w:rsid w:val="00AA519B"/>
    <w:rsid w:val="00AA5525"/>
    <w:rsid w:val="00AA57F6"/>
    <w:rsid w:val="00AA5876"/>
    <w:rsid w:val="00AA6399"/>
    <w:rsid w:val="00AA6770"/>
    <w:rsid w:val="00AA69D5"/>
    <w:rsid w:val="00AA6C55"/>
    <w:rsid w:val="00AA6E9F"/>
    <w:rsid w:val="00AA6F7A"/>
    <w:rsid w:val="00AA7018"/>
    <w:rsid w:val="00AA7822"/>
    <w:rsid w:val="00AA78B4"/>
    <w:rsid w:val="00AA7D1A"/>
    <w:rsid w:val="00AA7DCE"/>
    <w:rsid w:val="00AA7E3C"/>
    <w:rsid w:val="00AB0290"/>
    <w:rsid w:val="00AB03A4"/>
    <w:rsid w:val="00AB04F2"/>
    <w:rsid w:val="00AB055A"/>
    <w:rsid w:val="00AB0BDB"/>
    <w:rsid w:val="00AB0C1B"/>
    <w:rsid w:val="00AB0C44"/>
    <w:rsid w:val="00AB0E49"/>
    <w:rsid w:val="00AB14F2"/>
    <w:rsid w:val="00AB150F"/>
    <w:rsid w:val="00AB156C"/>
    <w:rsid w:val="00AB1776"/>
    <w:rsid w:val="00AB1DDE"/>
    <w:rsid w:val="00AB2176"/>
    <w:rsid w:val="00AB21F1"/>
    <w:rsid w:val="00AB2262"/>
    <w:rsid w:val="00AB2341"/>
    <w:rsid w:val="00AB250C"/>
    <w:rsid w:val="00AB2510"/>
    <w:rsid w:val="00AB254B"/>
    <w:rsid w:val="00AB2627"/>
    <w:rsid w:val="00AB2786"/>
    <w:rsid w:val="00AB2969"/>
    <w:rsid w:val="00AB2A3D"/>
    <w:rsid w:val="00AB2AE5"/>
    <w:rsid w:val="00AB32C8"/>
    <w:rsid w:val="00AB392F"/>
    <w:rsid w:val="00AB3B3C"/>
    <w:rsid w:val="00AB3D25"/>
    <w:rsid w:val="00AB3DA2"/>
    <w:rsid w:val="00AB3E8A"/>
    <w:rsid w:val="00AB43FF"/>
    <w:rsid w:val="00AB4440"/>
    <w:rsid w:val="00AB446F"/>
    <w:rsid w:val="00AB44F7"/>
    <w:rsid w:val="00AB451C"/>
    <w:rsid w:val="00AB4574"/>
    <w:rsid w:val="00AB4DF7"/>
    <w:rsid w:val="00AB591D"/>
    <w:rsid w:val="00AB5C8F"/>
    <w:rsid w:val="00AB5CAE"/>
    <w:rsid w:val="00AB5F2E"/>
    <w:rsid w:val="00AB6746"/>
    <w:rsid w:val="00AB676E"/>
    <w:rsid w:val="00AB6814"/>
    <w:rsid w:val="00AB69FA"/>
    <w:rsid w:val="00AB6EB8"/>
    <w:rsid w:val="00AB714A"/>
    <w:rsid w:val="00AB71C6"/>
    <w:rsid w:val="00AB71F5"/>
    <w:rsid w:val="00AB7545"/>
    <w:rsid w:val="00AB76D1"/>
    <w:rsid w:val="00AC04BA"/>
    <w:rsid w:val="00AC0A23"/>
    <w:rsid w:val="00AC0A81"/>
    <w:rsid w:val="00AC0E39"/>
    <w:rsid w:val="00AC0EC0"/>
    <w:rsid w:val="00AC0F3B"/>
    <w:rsid w:val="00AC125A"/>
    <w:rsid w:val="00AC1295"/>
    <w:rsid w:val="00AC13E8"/>
    <w:rsid w:val="00AC1421"/>
    <w:rsid w:val="00AC14BC"/>
    <w:rsid w:val="00AC14C0"/>
    <w:rsid w:val="00AC191F"/>
    <w:rsid w:val="00AC195A"/>
    <w:rsid w:val="00AC19EB"/>
    <w:rsid w:val="00AC1C82"/>
    <w:rsid w:val="00AC1CE9"/>
    <w:rsid w:val="00AC2249"/>
    <w:rsid w:val="00AC2345"/>
    <w:rsid w:val="00AC2981"/>
    <w:rsid w:val="00AC29F0"/>
    <w:rsid w:val="00AC2B6F"/>
    <w:rsid w:val="00AC2D49"/>
    <w:rsid w:val="00AC2E75"/>
    <w:rsid w:val="00AC2FD2"/>
    <w:rsid w:val="00AC31F8"/>
    <w:rsid w:val="00AC329D"/>
    <w:rsid w:val="00AC3327"/>
    <w:rsid w:val="00AC35D1"/>
    <w:rsid w:val="00AC361F"/>
    <w:rsid w:val="00AC365E"/>
    <w:rsid w:val="00AC3792"/>
    <w:rsid w:val="00AC39AF"/>
    <w:rsid w:val="00AC3B3D"/>
    <w:rsid w:val="00AC3B5C"/>
    <w:rsid w:val="00AC3BA7"/>
    <w:rsid w:val="00AC3D6B"/>
    <w:rsid w:val="00AC3E01"/>
    <w:rsid w:val="00AC3E66"/>
    <w:rsid w:val="00AC3FF5"/>
    <w:rsid w:val="00AC4386"/>
    <w:rsid w:val="00AC4E05"/>
    <w:rsid w:val="00AC5371"/>
    <w:rsid w:val="00AC5480"/>
    <w:rsid w:val="00AC563E"/>
    <w:rsid w:val="00AC57E9"/>
    <w:rsid w:val="00AC5935"/>
    <w:rsid w:val="00AC59ED"/>
    <w:rsid w:val="00AC5A25"/>
    <w:rsid w:val="00AC5CD9"/>
    <w:rsid w:val="00AC6706"/>
    <w:rsid w:val="00AC67ED"/>
    <w:rsid w:val="00AC6AA5"/>
    <w:rsid w:val="00AC6E71"/>
    <w:rsid w:val="00AC701D"/>
    <w:rsid w:val="00AC7704"/>
    <w:rsid w:val="00AC7864"/>
    <w:rsid w:val="00AC79C8"/>
    <w:rsid w:val="00AC7BC9"/>
    <w:rsid w:val="00AC7C20"/>
    <w:rsid w:val="00AD0068"/>
    <w:rsid w:val="00AD0178"/>
    <w:rsid w:val="00AD0204"/>
    <w:rsid w:val="00AD062E"/>
    <w:rsid w:val="00AD09B3"/>
    <w:rsid w:val="00AD0A35"/>
    <w:rsid w:val="00AD0E4F"/>
    <w:rsid w:val="00AD0EDC"/>
    <w:rsid w:val="00AD10C5"/>
    <w:rsid w:val="00AD11EB"/>
    <w:rsid w:val="00AD156C"/>
    <w:rsid w:val="00AD1611"/>
    <w:rsid w:val="00AD1690"/>
    <w:rsid w:val="00AD1C6D"/>
    <w:rsid w:val="00AD1D0E"/>
    <w:rsid w:val="00AD1D8C"/>
    <w:rsid w:val="00AD210D"/>
    <w:rsid w:val="00AD2144"/>
    <w:rsid w:val="00AD228E"/>
    <w:rsid w:val="00AD2428"/>
    <w:rsid w:val="00AD29BE"/>
    <w:rsid w:val="00AD3082"/>
    <w:rsid w:val="00AD3101"/>
    <w:rsid w:val="00AD3153"/>
    <w:rsid w:val="00AD32B4"/>
    <w:rsid w:val="00AD36F5"/>
    <w:rsid w:val="00AD3735"/>
    <w:rsid w:val="00AD3747"/>
    <w:rsid w:val="00AD3906"/>
    <w:rsid w:val="00AD3EDA"/>
    <w:rsid w:val="00AD419D"/>
    <w:rsid w:val="00AD425B"/>
    <w:rsid w:val="00AD4260"/>
    <w:rsid w:val="00AD4440"/>
    <w:rsid w:val="00AD47AC"/>
    <w:rsid w:val="00AD4937"/>
    <w:rsid w:val="00AD4AD0"/>
    <w:rsid w:val="00AD4B38"/>
    <w:rsid w:val="00AD4B54"/>
    <w:rsid w:val="00AD4F7D"/>
    <w:rsid w:val="00AD5273"/>
    <w:rsid w:val="00AD5436"/>
    <w:rsid w:val="00AD5A4A"/>
    <w:rsid w:val="00AD5BB3"/>
    <w:rsid w:val="00AD5E05"/>
    <w:rsid w:val="00AD5EFB"/>
    <w:rsid w:val="00AD60CD"/>
    <w:rsid w:val="00AD6188"/>
    <w:rsid w:val="00AD6329"/>
    <w:rsid w:val="00AD647D"/>
    <w:rsid w:val="00AD64E7"/>
    <w:rsid w:val="00AD65D8"/>
    <w:rsid w:val="00AD6C58"/>
    <w:rsid w:val="00AD6C8C"/>
    <w:rsid w:val="00AD6FB5"/>
    <w:rsid w:val="00AD7043"/>
    <w:rsid w:val="00AD7108"/>
    <w:rsid w:val="00AD71B7"/>
    <w:rsid w:val="00AD755B"/>
    <w:rsid w:val="00AD7659"/>
    <w:rsid w:val="00AD769A"/>
    <w:rsid w:val="00AD7761"/>
    <w:rsid w:val="00AD7D38"/>
    <w:rsid w:val="00AD7E3C"/>
    <w:rsid w:val="00AD7F9A"/>
    <w:rsid w:val="00AE0226"/>
    <w:rsid w:val="00AE04A0"/>
    <w:rsid w:val="00AE059D"/>
    <w:rsid w:val="00AE091D"/>
    <w:rsid w:val="00AE0B18"/>
    <w:rsid w:val="00AE0C89"/>
    <w:rsid w:val="00AE0E12"/>
    <w:rsid w:val="00AE0F2D"/>
    <w:rsid w:val="00AE10C4"/>
    <w:rsid w:val="00AE10E6"/>
    <w:rsid w:val="00AE16BE"/>
    <w:rsid w:val="00AE1729"/>
    <w:rsid w:val="00AE1774"/>
    <w:rsid w:val="00AE1839"/>
    <w:rsid w:val="00AE1E57"/>
    <w:rsid w:val="00AE23EC"/>
    <w:rsid w:val="00AE25DF"/>
    <w:rsid w:val="00AE264B"/>
    <w:rsid w:val="00AE266D"/>
    <w:rsid w:val="00AE295F"/>
    <w:rsid w:val="00AE2B2B"/>
    <w:rsid w:val="00AE2E64"/>
    <w:rsid w:val="00AE2FB5"/>
    <w:rsid w:val="00AE325D"/>
    <w:rsid w:val="00AE346A"/>
    <w:rsid w:val="00AE37B2"/>
    <w:rsid w:val="00AE38B9"/>
    <w:rsid w:val="00AE3B60"/>
    <w:rsid w:val="00AE3D4D"/>
    <w:rsid w:val="00AE41B3"/>
    <w:rsid w:val="00AE420A"/>
    <w:rsid w:val="00AE4395"/>
    <w:rsid w:val="00AE4932"/>
    <w:rsid w:val="00AE4B27"/>
    <w:rsid w:val="00AE4FE6"/>
    <w:rsid w:val="00AE53A1"/>
    <w:rsid w:val="00AE55D1"/>
    <w:rsid w:val="00AE5799"/>
    <w:rsid w:val="00AE588D"/>
    <w:rsid w:val="00AE59B0"/>
    <w:rsid w:val="00AE5CBC"/>
    <w:rsid w:val="00AE5D88"/>
    <w:rsid w:val="00AE5F9E"/>
    <w:rsid w:val="00AE6182"/>
    <w:rsid w:val="00AE6334"/>
    <w:rsid w:val="00AE6A6B"/>
    <w:rsid w:val="00AE6C10"/>
    <w:rsid w:val="00AE6CF3"/>
    <w:rsid w:val="00AE6EC8"/>
    <w:rsid w:val="00AE6EFB"/>
    <w:rsid w:val="00AE7046"/>
    <w:rsid w:val="00AE712B"/>
    <w:rsid w:val="00AE7243"/>
    <w:rsid w:val="00AE7266"/>
    <w:rsid w:val="00AE72D0"/>
    <w:rsid w:val="00AE77B3"/>
    <w:rsid w:val="00AE792D"/>
    <w:rsid w:val="00AE7947"/>
    <w:rsid w:val="00AE79D8"/>
    <w:rsid w:val="00AE7A36"/>
    <w:rsid w:val="00AE7B09"/>
    <w:rsid w:val="00AE7F0C"/>
    <w:rsid w:val="00AE7F9E"/>
    <w:rsid w:val="00AF013C"/>
    <w:rsid w:val="00AF01A3"/>
    <w:rsid w:val="00AF063D"/>
    <w:rsid w:val="00AF078E"/>
    <w:rsid w:val="00AF07DE"/>
    <w:rsid w:val="00AF098D"/>
    <w:rsid w:val="00AF0BE5"/>
    <w:rsid w:val="00AF0C69"/>
    <w:rsid w:val="00AF1396"/>
    <w:rsid w:val="00AF1672"/>
    <w:rsid w:val="00AF17F5"/>
    <w:rsid w:val="00AF1E0B"/>
    <w:rsid w:val="00AF23B9"/>
    <w:rsid w:val="00AF2484"/>
    <w:rsid w:val="00AF2B36"/>
    <w:rsid w:val="00AF2FE0"/>
    <w:rsid w:val="00AF3065"/>
    <w:rsid w:val="00AF31BB"/>
    <w:rsid w:val="00AF3573"/>
    <w:rsid w:val="00AF36B4"/>
    <w:rsid w:val="00AF3851"/>
    <w:rsid w:val="00AF3AEB"/>
    <w:rsid w:val="00AF3B29"/>
    <w:rsid w:val="00AF42C0"/>
    <w:rsid w:val="00AF4448"/>
    <w:rsid w:val="00AF445A"/>
    <w:rsid w:val="00AF4606"/>
    <w:rsid w:val="00AF4856"/>
    <w:rsid w:val="00AF493D"/>
    <w:rsid w:val="00AF49CD"/>
    <w:rsid w:val="00AF4AC9"/>
    <w:rsid w:val="00AF4B51"/>
    <w:rsid w:val="00AF4B9B"/>
    <w:rsid w:val="00AF546D"/>
    <w:rsid w:val="00AF553C"/>
    <w:rsid w:val="00AF58FA"/>
    <w:rsid w:val="00AF5938"/>
    <w:rsid w:val="00AF5E03"/>
    <w:rsid w:val="00AF63E7"/>
    <w:rsid w:val="00AF6574"/>
    <w:rsid w:val="00AF65CA"/>
    <w:rsid w:val="00AF676C"/>
    <w:rsid w:val="00AF6B8D"/>
    <w:rsid w:val="00AF6E17"/>
    <w:rsid w:val="00AF6F9B"/>
    <w:rsid w:val="00AF7042"/>
    <w:rsid w:val="00AF711D"/>
    <w:rsid w:val="00AF7230"/>
    <w:rsid w:val="00AF7269"/>
    <w:rsid w:val="00AF76CC"/>
    <w:rsid w:val="00AF7794"/>
    <w:rsid w:val="00AF78B7"/>
    <w:rsid w:val="00AF7AA4"/>
    <w:rsid w:val="00AF7D09"/>
    <w:rsid w:val="00AF7D8E"/>
    <w:rsid w:val="00AF7D9F"/>
    <w:rsid w:val="00B0017A"/>
    <w:rsid w:val="00B0067A"/>
    <w:rsid w:val="00B00929"/>
    <w:rsid w:val="00B009A3"/>
    <w:rsid w:val="00B009D7"/>
    <w:rsid w:val="00B00F10"/>
    <w:rsid w:val="00B01130"/>
    <w:rsid w:val="00B013F6"/>
    <w:rsid w:val="00B014DA"/>
    <w:rsid w:val="00B0165D"/>
    <w:rsid w:val="00B01780"/>
    <w:rsid w:val="00B01817"/>
    <w:rsid w:val="00B01B60"/>
    <w:rsid w:val="00B01E47"/>
    <w:rsid w:val="00B022AC"/>
    <w:rsid w:val="00B0240A"/>
    <w:rsid w:val="00B0241C"/>
    <w:rsid w:val="00B024CF"/>
    <w:rsid w:val="00B025D7"/>
    <w:rsid w:val="00B02636"/>
    <w:rsid w:val="00B02981"/>
    <w:rsid w:val="00B02BEC"/>
    <w:rsid w:val="00B02C18"/>
    <w:rsid w:val="00B02C80"/>
    <w:rsid w:val="00B02CCB"/>
    <w:rsid w:val="00B031F3"/>
    <w:rsid w:val="00B03253"/>
    <w:rsid w:val="00B03302"/>
    <w:rsid w:val="00B03307"/>
    <w:rsid w:val="00B033BE"/>
    <w:rsid w:val="00B03554"/>
    <w:rsid w:val="00B0361C"/>
    <w:rsid w:val="00B03683"/>
    <w:rsid w:val="00B03711"/>
    <w:rsid w:val="00B0379C"/>
    <w:rsid w:val="00B037CD"/>
    <w:rsid w:val="00B03C56"/>
    <w:rsid w:val="00B03E10"/>
    <w:rsid w:val="00B03F5D"/>
    <w:rsid w:val="00B03F7E"/>
    <w:rsid w:val="00B03FEC"/>
    <w:rsid w:val="00B04145"/>
    <w:rsid w:val="00B04321"/>
    <w:rsid w:val="00B04500"/>
    <w:rsid w:val="00B045B0"/>
    <w:rsid w:val="00B045BB"/>
    <w:rsid w:val="00B04730"/>
    <w:rsid w:val="00B04753"/>
    <w:rsid w:val="00B0491E"/>
    <w:rsid w:val="00B04AC1"/>
    <w:rsid w:val="00B04DE8"/>
    <w:rsid w:val="00B05112"/>
    <w:rsid w:val="00B0514F"/>
    <w:rsid w:val="00B0520E"/>
    <w:rsid w:val="00B05263"/>
    <w:rsid w:val="00B052A4"/>
    <w:rsid w:val="00B052CA"/>
    <w:rsid w:val="00B052F0"/>
    <w:rsid w:val="00B0538A"/>
    <w:rsid w:val="00B053C4"/>
    <w:rsid w:val="00B0547B"/>
    <w:rsid w:val="00B0556F"/>
    <w:rsid w:val="00B05625"/>
    <w:rsid w:val="00B05735"/>
    <w:rsid w:val="00B05B32"/>
    <w:rsid w:val="00B05EC1"/>
    <w:rsid w:val="00B05FA3"/>
    <w:rsid w:val="00B06051"/>
    <w:rsid w:val="00B060EB"/>
    <w:rsid w:val="00B061A5"/>
    <w:rsid w:val="00B062EA"/>
    <w:rsid w:val="00B0639E"/>
    <w:rsid w:val="00B06644"/>
    <w:rsid w:val="00B06646"/>
    <w:rsid w:val="00B06672"/>
    <w:rsid w:val="00B06891"/>
    <w:rsid w:val="00B06916"/>
    <w:rsid w:val="00B0691E"/>
    <w:rsid w:val="00B06BEB"/>
    <w:rsid w:val="00B0726C"/>
    <w:rsid w:val="00B0726F"/>
    <w:rsid w:val="00B073B6"/>
    <w:rsid w:val="00B07963"/>
    <w:rsid w:val="00B079B7"/>
    <w:rsid w:val="00B07E9D"/>
    <w:rsid w:val="00B10051"/>
    <w:rsid w:val="00B1016F"/>
    <w:rsid w:val="00B101F0"/>
    <w:rsid w:val="00B103AA"/>
    <w:rsid w:val="00B103E1"/>
    <w:rsid w:val="00B104B2"/>
    <w:rsid w:val="00B1050D"/>
    <w:rsid w:val="00B1050E"/>
    <w:rsid w:val="00B10B14"/>
    <w:rsid w:val="00B11110"/>
    <w:rsid w:val="00B11332"/>
    <w:rsid w:val="00B114AF"/>
    <w:rsid w:val="00B114B6"/>
    <w:rsid w:val="00B11582"/>
    <w:rsid w:val="00B11592"/>
    <w:rsid w:val="00B1163F"/>
    <w:rsid w:val="00B117F5"/>
    <w:rsid w:val="00B118CA"/>
    <w:rsid w:val="00B11B14"/>
    <w:rsid w:val="00B11B5A"/>
    <w:rsid w:val="00B11ECD"/>
    <w:rsid w:val="00B12079"/>
    <w:rsid w:val="00B121F0"/>
    <w:rsid w:val="00B1257D"/>
    <w:rsid w:val="00B125DE"/>
    <w:rsid w:val="00B12718"/>
    <w:rsid w:val="00B128D8"/>
    <w:rsid w:val="00B12C79"/>
    <w:rsid w:val="00B12E38"/>
    <w:rsid w:val="00B13A01"/>
    <w:rsid w:val="00B13A89"/>
    <w:rsid w:val="00B13B50"/>
    <w:rsid w:val="00B13D1F"/>
    <w:rsid w:val="00B13F3D"/>
    <w:rsid w:val="00B13FDD"/>
    <w:rsid w:val="00B145D0"/>
    <w:rsid w:val="00B1489A"/>
    <w:rsid w:val="00B14916"/>
    <w:rsid w:val="00B14B8D"/>
    <w:rsid w:val="00B14D66"/>
    <w:rsid w:val="00B14EAE"/>
    <w:rsid w:val="00B152CB"/>
    <w:rsid w:val="00B153D8"/>
    <w:rsid w:val="00B156A3"/>
    <w:rsid w:val="00B15701"/>
    <w:rsid w:val="00B1597B"/>
    <w:rsid w:val="00B15AD4"/>
    <w:rsid w:val="00B15B51"/>
    <w:rsid w:val="00B16287"/>
    <w:rsid w:val="00B1659C"/>
    <w:rsid w:val="00B16A69"/>
    <w:rsid w:val="00B16EA3"/>
    <w:rsid w:val="00B16EFB"/>
    <w:rsid w:val="00B17102"/>
    <w:rsid w:val="00B1767F"/>
    <w:rsid w:val="00B17721"/>
    <w:rsid w:val="00B17921"/>
    <w:rsid w:val="00B17977"/>
    <w:rsid w:val="00B17BAF"/>
    <w:rsid w:val="00B17C7C"/>
    <w:rsid w:val="00B202FA"/>
    <w:rsid w:val="00B20DED"/>
    <w:rsid w:val="00B21A38"/>
    <w:rsid w:val="00B21BE4"/>
    <w:rsid w:val="00B21D2D"/>
    <w:rsid w:val="00B220B1"/>
    <w:rsid w:val="00B22233"/>
    <w:rsid w:val="00B22243"/>
    <w:rsid w:val="00B222E6"/>
    <w:rsid w:val="00B224CE"/>
    <w:rsid w:val="00B225AA"/>
    <w:rsid w:val="00B22738"/>
    <w:rsid w:val="00B22818"/>
    <w:rsid w:val="00B22965"/>
    <w:rsid w:val="00B22A4C"/>
    <w:rsid w:val="00B22A7E"/>
    <w:rsid w:val="00B22C23"/>
    <w:rsid w:val="00B22C98"/>
    <w:rsid w:val="00B22D05"/>
    <w:rsid w:val="00B22E20"/>
    <w:rsid w:val="00B22E33"/>
    <w:rsid w:val="00B22EB2"/>
    <w:rsid w:val="00B22F66"/>
    <w:rsid w:val="00B238F6"/>
    <w:rsid w:val="00B23997"/>
    <w:rsid w:val="00B23E4E"/>
    <w:rsid w:val="00B23F59"/>
    <w:rsid w:val="00B248D0"/>
    <w:rsid w:val="00B24A2E"/>
    <w:rsid w:val="00B24A93"/>
    <w:rsid w:val="00B24B50"/>
    <w:rsid w:val="00B24C88"/>
    <w:rsid w:val="00B24D42"/>
    <w:rsid w:val="00B24F60"/>
    <w:rsid w:val="00B24FDC"/>
    <w:rsid w:val="00B25015"/>
    <w:rsid w:val="00B251E7"/>
    <w:rsid w:val="00B25410"/>
    <w:rsid w:val="00B25793"/>
    <w:rsid w:val="00B25C55"/>
    <w:rsid w:val="00B25CEA"/>
    <w:rsid w:val="00B26137"/>
    <w:rsid w:val="00B261BD"/>
    <w:rsid w:val="00B26259"/>
    <w:rsid w:val="00B263A5"/>
    <w:rsid w:val="00B2670B"/>
    <w:rsid w:val="00B26CFC"/>
    <w:rsid w:val="00B26FBA"/>
    <w:rsid w:val="00B27063"/>
    <w:rsid w:val="00B270E5"/>
    <w:rsid w:val="00B273C3"/>
    <w:rsid w:val="00B27442"/>
    <w:rsid w:val="00B27575"/>
    <w:rsid w:val="00B27946"/>
    <w:rsid w:val="00B30094"/>
    <w:rsid w:val="00B3056D"/>
    <w:rsid w:val="00B30906"/>
    <w:rsid w:val="00B30F3E"/>
    <w:rsid w:val="00B31167"/>
    <w:rsid w:val="00B312F8"/>
    <w:rsid w:val="00B31387"/>
    <w:rsid w:val="00B31A85"/>
    <w:rsid w:val="00B31B5C"/>
    <w:rsid w:val="00B31CC2"/>
    <w:rsid w:val="00B31D2D"/>
    <w:rsid w:val="00B31D61"/>
    <w:rsid w:val="00B3230D"/>
    <w:rsid w:val="00B32671"/>
    <w:rsid w:val="00B329D8"/>
    <w:rsid w:val="00B32BB9"/>
    <w:rsid w:val="00B32D1A"/>
    <w:rsid w:val="00B33119"/>
    <w:rsid w:val="00B33131"/>
    <w:rsid w:val="00B331DA"/>
    <w:rsid w:val="00B3351D"/>
    <w:rsid w:val="00B338D1"/>
    <w:rsid w:val="00B33938"/>
    <w:rsid w:val="00B33AE1"/>
    <w:rsid w:val="00B33EED"/>
    <w:rsid w:val="00B33FD5"/>
    <w:rsid w:val="00B34261"/>
    <w:rsid w:val="00B34359"/>
    <w:rsid w:val="00B34570"/>
    <w:rsid w:val="00B345EC"/>
    <w:rsid w:val="00B345FB"/>
    <w:rsid w:val="00B34675"/>
    <w:rsid w:val="00B3499B"/>
    <w:rsid w:val="00B34BCE"/>
    <w:rsid w:val="00B34C68"/>
    <w:rsid w:val="00B34E7C"/>
    <w:rsid w:val="00B351DB"/>
    <w:rsid w:val="00B353DB"/>
    <w:rsid w:val="00B35460"/>
    <w:rsid w:val="00B35533"/>
    <w:rsid w:val="00B357EF"/>
    <w:rsid w:val="00B358C0"/>
    <w:rsid w:val="00B35923"/>
    <w:rsid w:val="00B359B4"/>
    <w:rsid w:val="00B35E10"/>
    <w:rsid w:val="00B35F97"/>
    <w:rsid w:val="00B35FAC"/>
    <w:rsid w:val="00B35FB5"/>
    <w:rsid w:val="00B35FDA"/>
    <w:rsid w:val="00B3647C"/>
    <w:rsid w:val="00B3650A"/>
    <w:rsid w:val="00B3685A"/>
    <w:rsid w:val="00B36B7F"/>
    <w:rsid w:val="00B36E43"/>
    <w:rsid w:val="00B36E9D"/>
    <w:rsid w:val="00B36FEA"/>
    <w:rsid w:val="00B37507"/>
    <w:rsid w:val="00B37602"/>
    <w:rsid w:val="00B37682"/>
    <w:rsid w:val="00B3795B"/>
    <w:rsid w:val="00B37C38"/>
    <w:rsid w:val="00B401CF"/>
    <w:rsid w:val="00B4029C"/>
    <w:rsid w:val="00B40447"/>
    <w:rsid w:val="00B4069B"/>
    <w:rsid w:val="00B408A4"/>
    <w:rsid w:val="00B409A5"/>
    <w:rsid w:val="00B409D9"/>
    <w:rsid w:val="00B40ABB"/>
    <w:rsid w:val="00B40B4E"/>
    <w:rsid w:val="00B40B8C"/>
    <w:rsid w:val="00B40BFD"/>
    <w:rsid w:val="00B40DE8"/>
    <w:rsid w:val="00B40DF2"/>
    <w:rsid w:val="00B40F06"/>
    <w:rsid w:val="00B40F79"/>
    <w:rsid w:val="00B4103C"/>
    <w:rsid w:val="00B41058"/>
    <w:rsid w:val="00B41175"/>
    <w:rsid w:val="00B4156A"/>
    <w:rsid w:val="00B41A49"/>
    <w:rsid w:val="00B41C9D"/>
    <w:rsid w:val="00B41CB1"/>
    <w:rsid w:val="00B41E94"/>
    <w:rsid w:val="00B42476"/>
    <w:rsid w:val="00B4276C"/>
    <w:rsid w:val="00B4288C"/>
    <w:rsid w:val="00B428FE"/>
    <w:rsid w:val="00B42DD1"/>
    <w:rsid w:val="00B4318B"/>
    <w:rsid w:val="00B43262"/>
    <w:rsid w:val="00B43B7E"/>
    <w:rsid w:val="00B43F20"/>
    <w:rsid w:val="00B43F9A"/>
    <w:rsid w:val="00B44100"/>
    <w:rsid w:val="00B44103"/>
    <w:rsid w:val="00B44A33"/>
    <w:rsid w:val="00B4511A"/>
    <w:rsid w:val="00B454BE"/>
    <w:rsid w:val="00B457AF"/>
    <w:rsid w:val="00B45915"/>
    <w:rsid w:val="00B45B7A"/>
    <w:rsid w:val="00B460F8"/>
    <w:rsid w:val="00B46310"/>
    <w:rsid w:val="00B463BE"/>
    <w:rsid w:val="00B46585"/>
    <w:rsid w:val="00B4666A"/>
    <w:rsid w:val="00B46AEC"/>
    <w:rsid w:val="00B46B84"/>
    <w:rsid w:val="00B46BD2"/>
    <w:rsid w:val="00B46CBA"/>
    <w:rsid w:val="00B46DB5"/>
    <w:rsid w:val="00B46E0B"/>
    <w:rsid w:val="00B46ECA"/>
    <w:rsid w:val="00B46F18"/>
    <w:rsid w:val="00B46F94"/>
    <w:rsid w:val="00B46FC2"/>
    <w:rsid w:val="00B47007"/>
    <w:rsid w:val="00B47212"/>
    <w:rsid w:val="00B4763A"/>
    <w:rsid w:val="00B4777E"/>
    <w:rsid w:val="00B47845"/>
    <w:rsid w:val="00B47928"/>
    <w:rsid w:val="00B47C98"/>
    <w:rsid w:val="00B47CEC"/>
    <w:rsid w:val="00B47DD8"/>
    <w:rsid w:val="00B47E4E"/>
    <w:rsid w:val="00B500FF"/>
    <w:rsid w:val="00B5010B"/>
    <w:rsid w:val="00B50251"/>
    <w:rsid w:val="00B50483"/>
    <w:rsid w:val="00B50AC9"/>
    <w:rsid w:val="00B50C8E"/>
    <w:rsid w:val="00B50EE5"/>
    <w:rsid w:val="00B514FE"/>
    <w:rsid w:val="00B51672"/>
    <w:rsid w:val="00B51700"/>
    <w:rsid w:val="00B517C4"/>
    <w:rsid w:val="00B51A47"/>
    <w:rsid w:val="00B51C99"/>
    <w:rsid w:val="00B51D1E"/>
    <w:rsid w:val="00B51DD9"/>
    <w:rsid w:val="00B51E01"/>
    <w:rsid w:val="00B51F52"/>
    <w:rsid w:val="00B51F6A"/>
    <w:rsid w:val="00B52128"/>
    <w:rsid w:val="00B522DE"/>
    <w:rsid w:val="00B52BAB"/>
    <w:rsid w:val="00B52F93"/>
    <w:rsid w:val="00B5385A"/>
    <w:rsid w:val="00B5393C"/>
    <w:rsid w:val="00B53CF3"/>
    <w:rsid w:val="00B53DD4"/>
    <w:rsid w:val="00B53FFE"/>
    <w:rsid w:val="00B5408C"/>
    <w:rsid w:val="00B543B4"/>
    <w:rsid w:val="00B54C38"/>
    <w:rsid w:val="00B55035"/>
    <w:rsid w:val="00B553EC"/>
    <w:rsid w:val="00B5556D"/>
    <w:rsid w:val="00B55632"/>
    <w:rsid w:val="00B5593F"/>
    <w:rsid w:val="00B55C34"/>
    <w:rsid w:val="00B55E43"/>
    <w:rsid w:val="00B5624D"/>
    <w:rsid w:val="00B5673A"/>
    <w:rsid w:val="00B56B70"/>
    <w:rsid w:val="00B56C20"/>
    <w:rsid w:val="00B56C6F"/>
    <w:rsid w:val="00B56D32"/>
    <w:rsid w:val="00B57262"/>
    <w:rsid w:val="00B57285"/>
    <w:rsid w:val="00B572E4"/>
    <w:rsid w:val="00B5760B"/>
    <w:rsid w:val="00B57973"/>
    <w:rsid w:val="00B579BD"/>
    <w:rsid w:val="00B579CE"/>
    <w:rsid w:val="00B57F6D"/>
    <w:rsid w:val="00B6003C"/>
    <w:rsid w:val="00B60212"/>
    <w:rsid w:val="00B602FB"/>
    <w:rsid w:val="00B60846"/>
    <w:rsid w:val="00B609A6"/>
    <w:rsid w:val="00B60A41"/>
    <w:rsid w:val="00B60CF7"/>
    <w:rsid w:val="00B612D2"/>
    <w:rsid w:val="00B613B9"/>
    <w:rsid w:val="00B61572"/>
    <w:rsid w:val="00B61B4F"/>
    <w:rsid w:val="00B61F03"/>
    <w:rsid w:val="00B6208B"/>
    <w:rsid w:val="00B62141"/>
    <w:rsid w:val="00B623A8"/>
    <w:rsid w:val="00B624FF"/>
    <w:rsid w:val="00B62691"/>
    <w:rsid w:val="00B626E4"/>
    <w:rsid w:val="00B62704"/>
    <w:rsid w:val="00B628C6"/>
    <w:rsid w:val="00B62A97"/>
    <w:rsid w:val="00B62B42"/>
    <w:rsid w:val="00B62BA0"/>
    <w:rsid w:val="00B62BB6"/>
    <w:rsid w:val="00B62D6E"/>
    <w:rsid w:val="00B6333E"/>
    <w:rsid w:val="00B634BD"/>
    <w:rsid w:val="00B63754"/>
    <w:rsid w:val="00B63787"/>
    <w:rsid w:val="00B637C0"/>
    <w:rsid w:val="00B63D95"/>
    <w:rsid w:val="00B63F19"/>
    <w:rsid w:val="00B63F55"/>
    <w:rsid w:val="00B64229"/>
    <w:rsid w:val="00B6453E"/>
    <w:rsid w:val="00B645E8"/>
    <w:rsid w:val="00B646A9"/>
    <w:rsid w:val="00B64AF9"/>
    <w:rsid w:val="00B64B36"/>
    <w:rsid w:val="00B64E1E"/>
    <w:rsid w:val="00B65650"/>
    <w:rsid w:val="00B656B5"/>
    <w:rsid w:val="00B65834"/>
    <w:rsid w:val="00B65BC3"/>
    <w:rsid w:val="00B65E4E"/>
    <w:rsid w:val="00B65F3A"/>
    <w:rsid w:val="00B66180"/>
    <w:rsid w:val="00B661D0"/>
    <w:rsid w:val="00B662A5"/>
    <w:rsid w:val="00B66365"/>
    <w:rsid w:val="00B663F5"/>
    <w:rsid w:val="00B664F8"/>
    <w:rsid w:val="00B6651F"/>
    <w:rsid w:val="00B66975"/>
    <w:rsid w:val="00B66A79"/>
    <w:rsid w:val="00B66CC4"/>
    <w:rsid w:val="00B670BB"/>
    <w:rsid w:val="00B674FD"/>
    <w:rsid w:val="00B6768B"/>
    <w:rsid w:val="00B6790D"/>
    <w:rsid w:val="00B67913"/>
    <w:rsid w:val="00B67A9F"/>
    <w:rsid w:val="00B67CEB"/>
    <w:rsid w:val="00B67D9C"/>
    <w:rsid w:val="00B67E12"/>
    <w:rsid w:val="00B70181"/>
    <w:rsid w:val="00B7024E"/>
    <w:rsid w:val="00B705F5"/>
    <w:rsid w:val="00B70662"/>
    <w:rsid w:val="00B7080E"/>
    <w:rsid w:val="00B70C11"/>
    <w:rsid w:val="00B70C66"/>
    <w:rsid w:val="00B71139"/>
    <w:rsid w:val="00B71536"/>
    <w:rsid w:val="00B719BC"/>
    <w:rsid w:val="00B71A47"/>
    <w:rsid w:val="00B71D0A"/>
    <w:rsid w:val="00B72158"/>
    <w:rsid w:val="00B72515"/>
    <w:rsid w:val="00B7272B"/>
    <w:rsid w:val="00B7275C"/>
    <w:rsid w:val="00B72AFB"/>
    <w:rsid w:val="00B72F4A"/>
    <w:rsid w:val="00B7327D"/>
    <w:rsid w:val="00B73540"/>
    <w:rsid w:val="00B73927"/>
    <w:rsid w:val="00B73AD3"/>
    <w:rsid w:val="00B73BC8"/>
    <w:rsid w:val="00B73F64"/>
    <w:rsid w:val="00B743D2"/>
    <w:rsid w:val="00B7471E"/>
    <w:rsid w:val="00B74BED"/>
    <w:rsid w:val="00B74C33"/>
    <w:rsid w:val="00B75076"/>
    <w:rsid w:val="00B751E1"/>
    <w:rsid w:val="00B759CE"/>
    <w:rsid w:val="00B75C90"/>
    <w:rsid w:val="00B763E7"/>
    <w:rsid w:val="00B76683"/>
    <w:rsid w:val="00B76826"/>
    <w:rsid w:val="00B76F90"/>
    <w:rsid w:val="00B772DE"/>
    <w:rsid w:val="00B774F7"/>
    <w:rsid w:val="00B77571"/>
    <w:rsid w:val="00B778B5"/>
    <w:rsid w:val="00B77A75"/>
    <w:rsid w:val="00B77BCC"/>
    <w:rsid w:val="00B77DB3"/>
    <w:rsid w:val="00B80058"/>
    <w:rsid w:val="00B80204"/>
    <w:rsid w:val="00B80341"/>
    <w:rsid w:val="00B80733"/>
    <w:rsid w:val="00B80735"/>
    <w:rsid w:val="00B808B2"/>
    <w:rsid w:val="00B809DD"/>
    <w:rsid w:val="00B80C1E"/>
    <w:rsid w:val="00B81593"/>
    <w:rsid w:val="00B81B82"/>
    <w:rsid w:val="00B81D24"/>
    <w:rsid w:val="00B822BC"/>
    <w:rsid w:val="00B82520"/>
    <w:rsid w:val="00B829AB"/>
    <w:rsid w:val="00B82C75"/>
    <w:rsid w:val="00B83425"/>
    <w:rsid w:val="00B83503"/>
    <w:rsid w:val="00B83587"/>
    <w:rsid w:val="00B83C27"/>
    <w:rsid w:val="00B83DB3"/>
    <w:rsid w:val="00B83E7B"/>
    <w:rsid w:val="00B83E95"/>
    <w:rsid w:val="00B83F94"/>
    <w:rsid w:val="00B84007"/>
    <w:rsid w:val="00B84029"/>
    <w:rsid w:val="00B84031"/>
    <w:rsid w:val="00B840B1"/>
    <w:rsid w:val="00B8474D"/>
    <w:rsid w:val="00B84957"/>
    <w:rsid w:val="00B84BC3"/>
    <w:rsid w:val="00B84BDD"/>
    <w:rsid w:val="00B8522A"/>
    <w:rsid w:val="00B85249"/>
    <w:rsid w:val="00B854E3"/>
    <w:rsid w:val="00B85873"/>
    <w:rsid w:val="00B85A7C"/>
    <w:rsid w:val="00B85CDC"/>
    <w:rsid w:val="00B85E87"/>
    <w:rsid w:val="00B8600F"/>
    <w:rsid w:val="00B8628A"/>
    <w:rsid w:val="00B863CA"/>
    <w:rsid w:val="00B86603"/>
    <w:rsid w:val="00B8699D"/>
    <w:rsid w:val="00B86A66"/>
    <w:rsid w:val="00B86D12"/>
    <w:rsid w:val="00B86E09"/>
    <w:rsid w:val="00B87161"/>
    <w:rsid w:val="00B8729F"/>
    <w:rsid w:val="00B87B63"/>
    <w:rsid w:val="00B901DB"/>
    <w:rsid w:val="00B9039C"/>
    <w:rsid w:val="00B90845"/>
    <w:rsid w:val="00B908D2"/>
    <w:rsid w:val="00B908FC"/>
    <w:rsid w:val="00B90921"/>
    <w:rsid w:val="00B90B75"/>
    <w:rsid w:val="00B90DE5"/>
    <w:rsid w:val="00B90F08"/>
    <w:rsid w:val="00B91069"/>
    <w:rsid w:val="00B910BD"/>
    <w:rsid w:val="00B91112"/>
    <w:rsid w:val="00B91185"/>
    <w:rsid w:val="00B911C2"/>
    <w:rsid w:val="00B911DF"/>
    <w:rsid w:val="00B912AA"/>
    <w:rsid w:val="00B9137D"/>
    <w:rsid w:val="00B9163D"/>
    <w:rsid w:val="00B9212C"/>
    <w:rsid w:val="00B9219A"/>
    <w:rsid w:val="00B92320"/>
    <w:rsid w:val="00B9261B"/>
    <w:rsid w:val="00B92788"/>
    <w:rsid w:val="00B92812"/>
    <w:rsid w:val="00B9283F"/>
    <w:rsid w:val="00B92988"/>
    <w:rsid w:val="00B92BEF"/>
    <w:rsid w:val="00B92C86"/>
    <w:rsid w:val="00B92F1E"/>
    <w:rsid w:val="00B930A9"/>
    <w:rsid w:val="00B93109"/>
    <w:rsid w:val="00B9355D"/>
    <w:rsid w:val="00B935AC"/>
    <w:rsid w:val="00B93614"/>
    <w:rsid w:val="00B938B9"/>
    <w:rsid w:val="00B93919"/>
    <w:rsid w:val="00B93DED"/>
    <w:rsid w:val="00B93F92"/>
    <w:rsid w:val="00B94214"/>
    <w:rsid w:val="00B9423C"/>
    <w:rsid w:val="00B94249"/>
    <w:rsid w:val="00B942F2"/>
    <w:rsid w:val="00B944BC"/>
    <w:rsid w:val="00B94627"/>
    <w:rsid w:val="00B94673"/>
    <w:rsid w:val="00B94696"/>
    <w:rsid w:val="00B9484B"/>
    <w:rsid w:val="00B94C91"/>
    <w:rsid w:val="00B94C92"/>
    <w:rsid w:val="00B94D23"/>
    <w:rsid w:val="00B95045"/>
    <w:rsid w:val="00B9506A"/>
    <w:rsid w:val="00B9529C"/>
    <w:rsid w:val="00B95321"/>
    <w:rsid w:val="00B95469"/>
    <w:rsid w:val="00B95473"/>
    <w:rsid w:val="00B956C6"/>
    <w:rsid w:val="00B9581A"/>
    <w:rsid w:val="00B95C85"/>
    <w:rsid w:val="00B95D40"/>
    <w:rsid w:val="00B95DB1"/>
    <w:rsid w:val="00B95F1B"/>
    <w:rsid w:val="00B95FB0"/>
    <w:rsid w:val="00B96306"/>
    <w:rsid w:val="00B96630"/>
    <w:rsid w:val="00B966CB"/>
    <w:rsid w:val="00B9679E"/>
    <w:rsid w:val="00B9695F"/>
    <w:rsid w:val="00B96A35"/>
    <w:rsid w:val="00B96AD3"/>
    <w:rsid w:val="00B96B3E"/>
    <w:rsid w:val="00B96C1F"/>
    <w:rsid w:val="00B96CC1"/>
    <w:rsid w:val="00B96F36"/>
    <w:rsid w:val="00B97099"/>
    <w:rsid w:val="00B97180"/>
    <w:rsid w:val="00B9742B"/>
    <w:rsid w:val="00B97464"/>
    <w:rsid w:val="00B974AF"/>
    <w:rsid w:val="00B975AD"/>
    <w:rsid w:val="00B97EA2"/>
    <w:rsid w:val="00B97EFB"/>
    <w:rsid w:val="00BA02A9"/>
    <w:rsid w:val="00BA0361"/>
    <w:rsid w:val="00BA0407"/>
    <w:rsid w:val="00BA0533"/>
    <w:rsid w:val="00BA0A88"/>
    <w:rsid w:val="00BA0BB2"/>
    <w:rsid w:val="00BA0C3E"/>
    <w:rsid w:val="00BA0DFD"/>
    <w:rsid w:val="00BA1461"/>
    <w:rsid w:val="00BA168D"/>
    <w:rsid w:val="00BA16EF"/>
    <w:rsid w:val="00BA19FA"/>
    <w:rsid w:val="00BA1B0A"/>
    <w:rsid w:val="00BA1C29"/>
    <w:rsid w:val="00BA203C"/>
    <w:rsid w:val="00BA2084"/>
    <w:rsid w:val="00BA209F"/>
    <w:rsid w:val="00BA2452"/>
    <w:rsid w:val="00BA2581"/>
    <w:rsid w:val="00BA2649"/>
    <w:rsid w:val="00BA2B03"/>
    <w:rsid w:val="00BA2C98"/>
    <w:rsid w:val="00BA301F"/>
    <w:rsid w:val="00BA30F3"/>
    <w:rsid w:val="00BA3194"/>
    <w:rsid w:val="00BA3296"/>
    <w:rsid w:val="00BA3386"/>
    <w:rsid w:val="00BA3579"/>
    <w:rsid w:val="00BA35C1"/>
    <w:rsid w:val="00BA3626"/>
    <w:rsid w:val="00BA38DF"/>
    <w:rsid w:val="00BA39C9"/>
    <w:rsid w:val="00BA3AE6"/>
    <w:rsid w:val="00BA3CAD"/>
    <w:rsid w:val="00BA412D"/>
    <w:rsid w:val="00BA4A69"/>
    <w:rsid w:val="00BA4AFB"/>
    <w:rsid w:val="00BA4B25"/>
    <w:rsid w:val="00BA5273"/>
    <w:rsid w:val="00BA53AA"/>
    <w:rsid w:val="00BA56B4"/>
    <w:rsid w:val="00BA5B3E"/>
    <w:rsid w:val="00BA5CF6"/>
    <w:rsid w:val="00BA5D39"/>
    <w:rsid w:val="00BA6149"/>
    <w:rsid w:val="00BA62D8"/>
    <w:rsid w:val="00BA62FF"/>
    <w:rsid w:val="00BA64EE"/>
    <w:rsid w:val="00BA66AF"/>
    <w:rsid w:val="00BA66BC"/>
    <w:rsid w:val="00BA68B9"/>
    <w:rsid w:val="00BA69E7"/>
    <w:rsid w:val="00BA6CE3"/>
    <w:rsid w:val="00BA6D85"/>
    <w:rsid w:val="00BA6F85"/>
    <w:rsid w:val="00BA715C"/>
    <w:rsid w:val="00BA7201"/>
    <w:rsid w:val="00BA726A"/>
    <w:rsid w:val="00BA759F"/>
    <w:rsid w:val="00BA7751"/>
    <w:rsid w:val="00BA78F2"/>
    <w:rsid w:val="00BB065B"/>
    <w:rsid w:val="00BB08A3"/>
    <w:rsid w:val="00BB0AE2"/>
    <w:rsid w:val="00BB0B7D"/>
    <w:rsid w:val="00BB0BEA"/>
    <w:rsid w:val="00BB1260"/>
    <w:rsid w:val="00BB136E"/>
    <w:rsid w:val="00BB16EA"/>
    <w:rsid w:val="00BB1A2D"/>
    <w:rsid w:val="00BB1A4F"/>
    <w:rsid w:val="00BB1BD0"/>
    <w:rsid w:val="00BB1CBC"/>
    <w:rsid w:val="00BB1DE4"/>
    <w:rsid w:val="00BB2782"/>
    <w:rsid w:val="00BB288F"/>
    <w:rsid w:val="00BB2A81"/>
    <w:rsid w:val="00BB2D7C"/>
    <w:rsid w:val="00BB2D8B"/>
    <w:rsid w:val="00BB2FD2"/>
    <w:rsid w:val="00BB30CB"/>
    <w:rsid w:val="00BB31EB"/>
    <w:rsid w:val="00BB341E"/>
    <w:rsid w:val="00BB3430"/>
    <w:rsid w:val="00BB373E"/>
    <w:rsid w:val="00BB3A40"/>
    <w:rsid w:val="00BB3DF0"/>
    <w:rsid w:val="00BB4140"/>
    <w:rsid w:val="00BB4158"/>
    <w:rsid w:val="00BB4351"/>
    <w:rsid w:val="00BB45A1"/>
    <w:rsid w:val="00BB4667"/>
    <w:rsid w:val="00BB4692"/>
    <w:rsid w:val="00BB4800"/>
    <w:rsid w:val="00BB4860"/>
    <w:rsid w:val="00BB49AF"/>
    <w:rsid w:val="00BB4C75"/>
    <w:rsid w:val="00BB4CC6"/>
    <w:rsid w:val="00BB4F81"/>
    <w:rsid w:val="00BB5132"/>
    <w:rsid w:val="00BB532D"/>
    <w:rsid w:val="00BB54C3"/>
    <w:rsid w:val="00BB5686"/>
    <w:rsid w:val="00BB58FA"/>
    <w:rsid w:val="00BB5D47"/>
    <w:rsid w:val="00BB6052"/>
    <w:rsid w:val="00BB6335"/>
    <w:rsid w:val="00BB636E"/>
    <w:rsid w:val="00BB684E"/>
    <w:rsid w:val="00BB6AD7"/>
    <w:rsid w:val="00BB6E70"/>
    <w:rsid w:val="00BB71ED"/>
    <w:rsid w:val="00BB7686"/>
    <w:rsid w:val="00BB772B"/>
    <w:rsid w:val="00BB77F3"/>
    <w:rsid w:val="00BB7802"/>
    <w:rsid w:val="00BB7A25"/>
    <w:rsid w:val="00BB7AFC"/>
    <w:rsid w:val="00BB7D20"/>
    <w:rsid w:val="00BB7D37"/>
    <w:rsid w:val="00BB7DDB"/>
    <w:rsid w:val="00BC018C"/>
    <w:rsid w:val="00BC021A"/>
    <w:rsid w:val="00BC0320"/>
    <w:rsid w:val="00BC0C8A"/>
    <w:rsid w:val="00BC0E3F"/>
    <w:rsid w:val="00BC0F6A"/>
    <w:rsid w:val="00BC12E9"/>
    <w:rsid w:val="00BC12F8"/>
    <w:rsid w:val="00BC156E"/>
    <w:rsid w:val="00BC1FFF"/>
    <w:rsid w:val="00BC22CA"/>
    <w:rsid w:val="00BC23EE"/>
    <w:rsid w:val="00BC23F9"/>
    <w:rsid w:val="00BC24AA"/>
    <w:rsid w:val="00BC2658"/>
    <w:rsid w:val="00BC2704"/>
    <w:rsid w:val="00BC2797"/>
    <w:rsid w:val="00BC284B"/>
    <w:rsid w:val="00BC2CE8"/>
    <w:rsid w:val="00BC2EF4"/>
    <w:rsid w:val="00BC3027"/>
    <w:rsid w:val="00BC3088"/>
    <w:rsid w:val="00BC30B2"/>
    <w:rsid w:val="00BC3261"/>
    <w:rsid w:val="00BC32BD"/>
    <w:rsid w:val="00BC32FF"/>
    <w:rsid w:val="00BC33C4"/>
    <w:rsid w:val="00BC3421"/>
    <w:rsid w:val="00BC34E1"/>
    <w:rsid w:val="00BC3720"/>
    <w:rsid w:val="00BC37D0"/>
    <w:rsid w:val="00BC37F6"/>
    <w:rsid w:val="00BC3828"/>
    <w:rsid w:val="00BC3B35"/>
    <w:rsid w:val="00BC3FAF"/>
    <w:rsid w:val="00BC3FC3"/>
    <w:rsid w:val="00BC4172"/>
    <w:rsid w:val="00BC46B4"/>
    <w:rsid w:val="00BC46D3"/>
    <w:rsid w:val="00BC48AF"/>
    <w:rsid w:val="00BC4BC6"/>
    <w:rsid w:val="00BC4E7C"/>
    <w:rsid w:val="00BC500C"/>
    <w:rsid w:val="00BC510A"/>
    <w:rsid w:val="00BC56D5"/>
    <w:rsid w:val="00BC5809"/>
    <w:rsid w:val="00BC5839"/>
    <w:rsid w:val="00BC5FB6"/>
    <w:rsid w:val="00BC641E"/>
    <w:rsid w:val="00BC66F4"/>
    <w:rsid w:val="00BC732C"/>
    <w:rsid w:val="00BC7D8A"/>
    <w:rsid w:val="00BD0172"/>
    <w:rsid w:val="00BD0494"/>
    <w:rsid w:val="00BD0955"/>
    <w:rsid w:val="00BD0AE7"/>
    <w:rsid w:val="00BD0AEF"/>
    <w:rsid w:val="00BD0C17"/>
    <w:rsid w:val="00BD0FE0"/>
    <w:rsid w:val="00BD1116"/>
    <w:rsid w:val="00BD1227"/>
    <w:rsid w:val="00BD12D2"/>
    <w:rsid w:val="00BD13C4"/>
    <w:rsid w:val="00BD15EB"/>
    <w:rsid w:val="00BD1A21"/>
    <w:rsid w:val="00BD1A70"/>
    <w:rsid w:val="00BD2399"/>
    <w:rsid w:val="00BD2417"/>
    <w:rsid w:val="00BD26B0"/>
    <w:rsid w:val="00BD27A9"/>
    <w:rsid w:val="00BD2B3E"/>
    <w:rsid w:val="00BD2B4E"/>
    <w:rsid w:val="00BD2C4D"/>
    <w:rsid w:val="00BD2F2C"/>
    <w:rsid w:val="00BD3136"/>
    <w:rsid w:val="00BD314A"/>
    <w:rsid w:val="00BD3344"/>
    <w:rsid w:val="00BD3362"/>
    <w:rsid w:val="00BD348F"/>
    <w:rsid w:val="00BD3CAB"/>
    <w:rsid w:val="00BD3DE5"/>
    <w:rsid w:val="00BD3F67"/>
    <w:rsid w:val="00BD416D"/>
    <w:rsid w:val="00BD4262"/>
    <w:rsid w:val="00BD4421"/>
    <w:rsid w:val="00BD4560"/>
    <w:rsid w:val="00BD45F1"/>
    <w:rsid w:val="00BD463E"/>
    <w:rsid w:val="00BD48CC"/>
    <w:rsid w:val="00BD4C40"/>
    <w:rsid w:val="00BD4E20"/>
    <w:rsid w:val="00BD52D2"/>
    <w:rsid w:val="00BD57DC"/>
    <w:rsid w:val="00BD5A26"/>
    <w:rsid w:val="00BD5C33"/>
    <w:rsid w:val="00BD5F19"/>
    <w:rsid w:val="00BD63AE"/>
    <w:rsid w:val="00BD63EE"/>
    <w:rsid w:val="00BD654B"/>
    <w:rsid w:val="00BD6602"/>
    <w:rsid w:val="00BD6882"/>
    <w:rsid w:val="00BD6D9B"/>
    <w:rsid w:val="00BD78B3"/>
    <w:rsid w:val="00BD79C8"/>
    <w:rsid w:val="00BD7D93"/>
    <w:rsid w:val="00BE00BA"/>
    <w:rsid w:val="00BE02E8"/>
    <w:rsid w:val="00BE031F"/>
    <w:rsid w:val="00BE09DB"/>
    <w:rsid w:val="00BE0D16"/>
    <w:rsid w:val="00BE10FB"/>
    <w:rsid w:val="00BE118C"/>
    <w:rsid w:val="00BE127C"/>
    <w:rsid w:val="00BE137C"/>
    <w:rsid w:val="00BE13E4"/>
    <w:rsid w:val="00BE1423"/>
    <w:rsid w:val="00BE1470"/>
    <w:rsid w:val="00BE1482"/>
    <w:rsid w:val="00BE16B8"/>
    <w:rsid w:val="00BE175A"/>
    <w:rsid w:val="00BE18A3"/>
    <w:rsid w:val="00BE1AEB"/>
    <w:rsid w:val="00BE1CCB"/>
    <w:rsid w:val="00BE1F4B"/>
    <w:rsid w:val="00BE2177"/>
    <w:rsid w:val="00BE23E8"/>
    <w:rsid w:val="00BE2557"/>
    <w:rsid w:val="00BE2580"/>
    <w:rsid w:val="00BE266D"/>
    <w:rsid w:val="00BE2942"/>
    <w:rsid w:val="00BE2E70"/>
    <w:rsid w:val="00BE2FC8"/>
    <w:rsid w:val="00BE30BD"/>
    <w:rsid w:val="00BE3128"/>
    <w:rsid w:val="00BE3130"/>
    <w:rsid w:val="00BE3595"/>
    <w:rsid w:val="00BE3729"/>
    <w:rsid w:val="00BE3751"/>
    <w:rsid w:val="00BE37F9"/>
    <w:rsid w:val="00BE387B"/>
    <w:rsid w:val="00BE3938"/>
    <w:rsid w:val="00BE396A"/>
    <w:rsid w:val="00BE3A38"/>
    <w:rsid w:val="00BE3EB9"/>
    <w:rsid w:val="00BE3F2A"/>
    <w:rsid w:val="00BE3F53"/>
    <w:rsid w:val="00BE420A"/>
    <w:rsid w:val="00BE423A"/>
    <w:rsid w:val="00BE42B7"/>
    <w:rsid w:val="00BE4508"/>
    <w:rsid w:val="00BE4591"/>
    <w:rsid w:val="00BE45E7"/>
    <w:rsid w:val="00BE4864"/>
    <w:rsid w:val="00BE4B3E"/>
    <w:rsid w:val="00BE4B9A"/>
    <w:rsid w:val="00BE4BC4"/>
    <w:rsid w:val="00BE4C11"/>
    <w:rsid w:val="00BE54D5"/>
    <w:rsid w:val="00BE55FB"/>
    <w:rsid w:val="00BE58BA"/>
    <w:rsid w:val="00BE5B6F"/>
    <w:rsid w:val="00BE5C03"/>
    <w:rsid w:val="00BE5CE2"/>
    <w:rsid w:val="00BE5E55"/>
    <w:rsid w:val="00BE5ED1"/>
    <w:rsid w:val="00BE5F90"/>
    <w:rsid w:val="00BE602E"/>
    <w:rsid w:val="00BE6209"/>
    <w:rsid w:val="00BE6678"/>
    <w:rsid w:val="00BE66B5"/>
    <w:rsid w:val="00BE678E"/>
    <w:rsid w:val="00BE67C3"/>
    <w:rsid w:val="00BE6846"/>
    <w:rsid w:val="00BE6F2A"/>
    <w:rsid w:val="00BE6FA5"/>
    <w:rsid w:val="00BE6FA9"/>
    <w:rsid w:val="00BE7115"/>
    <w:rsid w:val="00BE71C0"/>
    <w:rsid w:val="00BE7205"/>
    <w:rsid w:val="00BE7327"/>
    <w:rsid w:val="00BE7413"/>
    <w:rsid w:val="00BE744C"/>
    <w:rsid w:val="00BE764C"/>
    <w:rsid w:val="00BE77A4"/>
    <w:rsid w:val="00BE7A53"/>
    <w:rsid w:val="00BF034D"/>
    <w:rsid w:val="00BF0470"/>
    <w:rsid w:val="00BF06A2"/>
    <w:rsid w:val="00BF07D6"/>
    <w:rsid w:val="00BF08DD"/>
    <w:rsid w:val="00BF094F"/>
    <w:rsid w:val="00BF0AF2"/>
    <w:rsid w:val="00BF0B74"/>
    <w:rsid w:val="00BF0F0E"/>
    <w:rsid w:val="00BF1AFD"/>
    <w:rsid w:val="00BF1B66"/>
    <w:rsid w:val="00BF1C2F"/>
    <w:rsid w:val="00BF1E98"/>
    <w:rsid w:val="00BF1F7F"/>
    <w:rsid w:val="00BF1FEA"/>
    <w:rsid w:val="00BF2087"/>
    <w:rsid w:val="00BF21F8"/>
    <w:rsid w:val="00BF2221"/>
    <w:rsid w:val="00BF2D78"/>
    <w:rsid w:val="00BF2EFA"/>
    <w:rsid w:val="00BF2F3C"/>
    <w:rsid w:val="00BF3402"/>
    <w:rsid w:val="00BF366D"/>
    <w:rsid w:val="00BF376F"/>
    <w:rsid w:val="00BF388E"/>
    <w:rsid w:val="00BF39DA"/>
    <w:rsid w:val="00BF3AE1"/>
    <w:rsid w:val="00BF3C2C"/>
    <w:rsid w:val="00BF3DDF"/>
    <w:rsid w:val="00BF45D7"/>
    <w:rsid w:val="00BF488A"/>
    <w:rsid w:val="00BF493A"/>
    <w:rsid w:val="00BF4CD6"/>
    <w:rsid w:val="00BF4EFC"/>
    <w:rsid w:val="00BF4FCC"/>
    <w:rsid w:val="00BF500B"/>
    <w:rsid w:val="00BF5298"/>
    <w:rsid w:val="00BF53FD"/>
    <w:rsid w:val="00BF55ED"/>
    <w:rsid w:val="00BF5689"/>
    <w:rsid w:val="00BF56CA"/>
    <w:rsid w:val="00BF57C3"/>
    <w:rsid w:val="00BF5831"/>
    <w:rsid w:val="00BF58F2"/>
    <w:rsid w:val="00BF5A01"/>
    <w:rsid w:val="00BF5C1C"/>
    <w:rsid w:val="00BF5EDC"/>
    <w:rsid w:val="00BF610C"/>
    <w:rsid w:val="00BF61F2"/>
    <w:rsid w:val="00BF66F7"/>
    <w:rsid w:val="00BF68F5"/>
    <w:rsid w:val="00BF69CD"/>
    <w:rsid w:val="00BF6B50"/>
    <w:rsid w:val="00BF6DEB"/>
    <w:rsid w:val="00BF6F72"/>
    <w:rsid w:val="00BF70D0"/>
    <w:rsid w:val="00BF71D1"/>
    <w:rsid w:val="00BF738F"/>
    <w:rsid w:val="00BF75A0"/>
    <w:rsid w:val="00BF75A4"/>
    <w:rsid w:val="00BF767B"/>
    <w:rsid w:val="00BF775D"/>
    <w:rsid w:val="00BF7BE4"/>
    <w:rsid w:val="00BF7E1D"/>
    <w:rsid w:val="00C00208"/>
    <w:rsid w:val="00C00363"/>
    <w:rsid w:val="00C00449"/>
    <w:rsid w:val="00C0056E"/>
    <w:rsid w:val="00C005BC"/>
    <w:rsid w:val="00C005DB"/>
    <w:rsid w:val="00C0060B"/>
    <w:rsid w:val="00C00920"/>
    <w:rsid w:val="00C0096F"/>
    <w:rsid w:val="00C00C2E"/>
    <w:rsid w:val="00C00C4A"/>
    <w:rsid w:val="00C00D14"/>
    <w:rsid w:val="00C01243"/>
    <w:rsid w:val="00C012C9"/>
    <w:rsid w:val="00C0145A"/>
    <w:rsid w:val="00C0146C"/>
    <w:rsid w:val="00C014D9"/>
    <w:rsid w:val="00C018F7"/>
    <w:rsid w:val="00C01A6C"/>
    <w:rsid w:val="00C01ADA"/>
    <w:rsid w:val="00C01AFC"/>
    <w:rsid w:val="00C01BE8"/>
    <w:rsid w:val="00C01C29"/>
    <w:rsid w:val="00C021FA"/>
    <w:rsid w:val="00C02216"/>
    <w:rsid w:val="00C0277D"/>
    <w:rsid w:val="00C02A21"/>
    <w:rsid w:val="00C02B55"/>
    <w:rsid w:val="00C02C07"/>
    <w:rsid w:val="00C02F26"/>
    <w:rsid w:val="00C030A8"/>
    <w:rsid w:val="00C03228"/>
    <w:rsid w:val="00C034AB"/>
    <w:rsid w:val="00C038E0"/>
    <w:rsid w:val="00C03AC5"/>
    <w:rsid w:val="00C03B56"/>
    <w:rsid w:val="00C03C40"/>
    <w:rsid w:val="00C03CA8"/>
    <w:rsid w:val="00C040EE"/>
    <w:rsid w:val="00C0428E"/>
    <w:rsid w:val="00C0438D"/>
    <w:rsid w:val="00C043D5"/>
    <w:rsid w:val="00C044EE"/>
    <w:rsid w:val="00C047C7"/>
    <w:rsid w:val="00C04A93"/>
    <w:rsid w:val="00C04C59"/>
    <w:rsid w:val="00C04CD8"/>
    <w:rsid w:val="00C04D48"/>
    <w:rsid w:val="00C04D79"/>
    <w:rsid w:val="00C04F1E"/>
    <w:rsid w:val="00C05015"/>
    <w:rsid w:val="00C0524D"/>
    <w:rsid w:val="00C053A1"/>
    <w:rsid w:val="00C05859"/>
    <w:rsid w:val="00C05A76"/>
    <w:rsid w:val="00C0600C"/>
    <w:rsid w:val="00C06287"/>
    <w:rsid w:val="00C06624"/>
    <w:rsid w:val="00C06A20"/>
    <w:rsid w:val="00C06BA1"/>
    <w:rsid w:val="00C06E6C"/>
    <w:rsid w:val="00C07184"/>
    <w:rsid w:val="00C0729D"/>
    <w:rsid w:val="00C07D12"/>
    <w:rsid w:val="00C07DFD"/>
    <w:rsid w:val="00C1014B"/>
    <w:rsid w:val="00C1025E"/>
    <w:rsid w:val="00C10360"/>
    <w:rsid w:val="00C10399"/>
    <w:rsid w:val="00C10705"/>
    <w:rsid w:val="00C10927"/>
    <w:rsid w:val="00C10A12"/>
    <w:rsid w:val="00C10BA3"/>
    <w:rsid w:val="00C10E98"/>
    <w:rsid w:val="00C10F00"/>
    <w:rsid w:val="00C11683"/>
    <w:rsid w:val="00C117D8"/>
    <w:rsid w:val="00C11862"/>
    <w:rsid w:val="00C1187C"/>
    <w:rsid w:val="00C118AE"/>
    <w:rsid w:val="00C1213A"/>
    <w:rsid w:val="00C1222F"/>
    <w:rsid w:val="00C1224D"/>
    <w:rsid w:val="00C12548"/>
    <w:rsid w:val="00C12729"/>
    <w:rsid w:val="00C12A51"/>
    <w:rsid w:val="00C12AC5"/>
    <w:rsid w:val="00C12E3F"/>
    <w:rsid w:val="00C13272"/>
    <w:rsid w:val="00C13534"/>
    <w:rsid w:val="00C1374D"/>
    <w:rsid w:val="00C137F8"/>
    <w:rsid w:val="00C13B32"/>
    <w:rsid w:val="00C13BF9"/>
    <w:rsid w:val="00C13CA7"/>
    <w:rsid w:val="00C14453"/>
    <w:rsid w:val="00C145DB"/>
    <w:rsid w:val="00C14827"/>
    <w:rsid w:val="00C1487C"/>
    <w:rsid w:val="00C148E1"/>
    <w:rsid w:val="00C14904"/>
    <w:rsid w:val="00C149E3"/>
    <w:rsid w:val="00C14C05"/>
    <w:rsid w:val="00C14CBB"/>
    <w:rsid w:val="00C14F6D"/>
    <w:rsid w:val="00C15240"/>
    <w:rsid w:val="00C15474"/>
    <w:rsid w:val="00C15674"/>
    <w:rsid w:val="00C15796"/>
    <w:rsid w:val="00C15A10"/>
    <w:rsid w:val="00C15CAE"/>
    <w:rsid w:val="00C16198"/>
    <w:rsid w:val="00C161F0"/>
    <w:rsid w:val="00C1660A"/>
    <w:rsid w:val="00C16670"/>
    <w:rsid w:val="00C16676"/>
    <w:rsid w:val="00C167A9"/>
    <w:rsid w:val="00C17463"/>
    <w:rsid w:val="00C1758F"/>
    <w:rsid w:val="00C17836"/>
    <w:rsid w:val="00C17986"/>
    <w:rsid w:val="00C17D8C"/>
    <w:rsid w:val="00C17FA4"/>
    <w:rsid w:val="00C201C7"/>
    <w:rsid w:val="00C20292"/>
    <w:rsid w:val="00C2064A"/>
    <w:rsid w:val="00C2083D"/>
    <w:rsid w:val="00C2089F"/>
    <w:rsid w:val="00C208D5"/>
    <w:rsid w:val="00C2096E"/>
    <w:rsid w:val="00C209ED"/>
    <w:rsid w:val="00C20BC7"/>
    <w:rsid w:val="00C20BDA"/>
    <w:rsid w:val="00C20F16"/>
    <w:rsid w:val="00C20F2A"/>
    <w:rsid w:val="00C211FF"/>
    <w:rsid w:val="00C2123A"/>
    <w:rsid w:val="00C213F2"/>
    <w:rsid w:val="00C214D1"/>
    <w:rsid w:val="00C21B92"/>
    <w:rsid w:val="00C21E28"/>
    <w:rsid w:val="00C21FCE"/>
    <w:rsid w:val="00C22164"/>
    <w:rsid w:val="00C221A6"/>
    <w:rsid w:val="00C22348"/>
    <w:rsid w:val="00C229BD"/>
    <w:rsid w:val="00C22B8E"/>
    <w:rsid w:val="00C22CFF"/>
    <w:rsid w:val="00C2329A"/>
    <w:rsid w:val="00C23557"/>
    <w:rsid w:val="00C23616"/>
    <w:rsid w:val="00C23661"/>
    <w:rsid w:val="00C23869"/>
    <w:rsid w:val="00C23A51"/>
    <w:rsid w:val="00C23D07"/>
    <w:rsid w:val="00C23FC2"/>
    <w:rsid w:val="00C2405E"/>
    <w:rsid w:val="00C2411B"/>
    <w:rsid w:val="00C24368"/>
    <w:rsid w:val="00C2438B"/>
    <w:rsid w:val="00C243C4"/>
    <w:rsid w:val="00C24466"/>
    <w:rsid w:val="00C244FB"/>
    <w:rsid w:val="00C24804"/>
    <w:rsid w:val="00C24A53"/>
    <w:rsid w:val="00C24A8D"/>
    <w:rsid w:val="00C24AA8"/>
    <w:rsid w:val="00C24AD7"/>
    <w:rsid w:val="00C24BEE"/>
    <w:rsid w:val="00C24E31"/>
    <w:rsid w:val="00C24E75"/>
    <w:rsid w:val="00C25206"/>
    <w:rsid w:val="00C254A6"/>
    <w:rsid w:val="00C2555F"/>
    <w:rsid w:val="00C25647"/>
    <w:rsid w:val="00C25764"/>
    <w:rsid w:val="00C2582E"/>
    <w:rsid w:val="00C259C0"/>
    <w:rsid w:val="00C25D35"/>
    <w:rsid w:val="00C25D8D"/>
    <w:rsid w:val="00C2617A"/>
    <w:rsid w:val="00C266E6"/>
    <w:rsid w:val="00C26CC1"/>
    <w:rsid w:val="00C26E70"/>
    <w:rsid w:val="00C2744F"/>
    <w:rsid w:val="00C2750A"/>
    <w:rsid w:val="00C2780B"/>
    <w:rsid w:val="00C27BCA"/>
    <w:rsid w:val="00C27EFC"/>
    <w:rsid w:val="00C27FD6"/>
    <w:rsid w:val="00C3005D"/>
    <w:rsid w:val="00C30835"/>
    <w:rsid w:val="00C3083C"/>
    <w:rsid w:val="00C308FB"/>
    <w:rsid w:val="00C30AA4"/>
    <w:rsid w:val="00C30F7C"/>
    <w:rsid w:val="00C312D1"/>
    <w:rsid w:val="00C319ED"/>
    <w:rsid w:val="00C31BBC"/>
    <w:rsid w:val="00C31FB6"/>
    <w:rsid w:val="00C3256C"/>
    <w:rsid w:val="00C326D1"/>
    <w:rsid w:val="00C32814"/>
    <w:rsid w:val="00C32B13"/>
    <w:rsid w:val="00C32C7D"/>
    <w:rsid w:val="00C32D2C"/>
    <w:rsid w:val="00C32E1D"/>
    <w:rsid w:val="00C3374B"/>
    <w:rsid w:val="00C33B55"/>
    <w:rsid w:val="00C33BC9"/>
    <w:rsid w:val="00C341AE"/>
    <w:rsid w:val="00C34357"/>
    <w:rsid w:val="00C3438B"/>
    <w:rsid w:val="00C34A05"/>
    <w:rsid w:val="00C34AD0"/>
    <w:rsid w:val="00C34FAA"/>
    <w:rsid w:val="00C350A0"/>
    <w:rsid w:val="00C35144"/>
    <w:rsid w:val="00C353A3"/>
    <w:rsid w:val="00C358AD"/>
    <w:rsid w:val="00C35B7B"/>
    <w:rsid w:val="00C35CCE"/>
    <w:rsid w:val="00C36339"/>
    <w:rsid w:val="00C3658D"/>
    <w:rsid w:val="00C366D3"/>
    <w:rsid w:val="00C3693E"/>
    <w:rsid w:val="00C36AC5"/>
    <w:rsid w:val="00C36D87"/>
    <w:rsid w:val="00C37496"/>
    <w:rsid w:val="00C3773E"/>
    <w:rsid w:val="00C37B03"/>
    <w:rsid w:val="00C37D4D"/>
    <w:rsid w:val="00C37E20"/>
    <w:rsid w:val="00C4032F"/>
    <w:rsid w:val="00C40A2F"/>
    <w:rsid w:val="00C40B0B"/>
    <w:rsid w:val="00C40E03"/>
    <w:rsid w:val="00C40F5A"/>
    <w:rsid w:val="00C4132F"/>
    <w:rsid w:val="00C41550"/>
    <w:rsid w:val="00C41B13"/>
    <w:rsid w:val="00C41DC2"/>
    <w:rsid w:val="00C41F21"/>
    <w:rsid w:val="00C41F5B"/>
    <w:rsid w:val="00C42034"/>
    <w:rsid w:val="00C42061"/>
    <w:rsid w:val="00C4215B"/>
    <w:rsid w:val="00C421F4"/>
    <w:rsid w:val="00C423DE"/>
    <w:rsid w:val="00C42429"/>
    <w:rsid w:val="00C42608"/>
    <w:rsid w:val="00C42AA8"/>
    <w:rsid w:val="00C42B6C"/>
    <w:rsid w:val="00C43151"/>
    <w:rsid w:val="00C43367"/>
    <w:rsid w:val="00C436A3"/>
    <w:rsid w:val="00C436DC"/>
    <w:rsid w:val="00C43892"/>
    <w:rsid w:val="00C43C90"/>
    <w:rsid w:val="00C43DB0"/>
    <w:rsid w:val="00C44047"/>
    <w:rsid w:val="00C4405D"/>
    <w:rsid w:val="00C4413A"/>
    <w:rsid w:val="00C4415B"/>
    <w:rsid w:val="00C442E6"/>
    <w:rsid w:val="00C44464"/>
    <w:rsid w:val="00C44A09"/>
    <w:rsid w:val="00C44C7E"/>
    <w:rsid w:val="00C44E31"/>
    <w:rsid w:val="00C44EC1"/>
    <w:rsid w:val="00C45060"/>
    <w:rsid w:val="00C45155"/>
    <w:rsid w:val="00C451B1"/>
    <w:rsid w:val="00C45491"/>
    <w:rsid w:val="00C4552A"/>
    <w:rsid w:val="00C4559F"/>
    <w:rsid w:val="00C45664"/>
    <w:rsid w:val="00C45803"/>
    <w:rsid w:val="00C45933"/>
    <w:rsid w:val="00C46216"/>
    <w:rsid w:val="00C4657C"/>
    <w:rsid w:val="00C465B9"/>
    <w:rsid w:val="00C46AD3"/>
    <w:rsid w:val="00C46B0B"/>
    <w:rsid w:val="00C46B88"/>
    <w:rsid w:val="00C46BA2"/>
    <w:rsid w:val="00C46C99"/>
    <w:rsid w:val="00C46CC8"/>
    <w:rsid w:val="00C46D22"/>
    <w:rsid w:val="00C46ECE"/>
    <w:rsid w:val="00C47092"/>
    <w:rsid w:val="00C4729F"/>
    <w:rsid w:val="00C47341"/>
    <w:rsid w:val="00C4747B"/>
    <w:rsid w:val="00C47628"/>
    <w:rsid w:val="00C4764F"/>
    <w:rsid w:val="00C47822"/>
    <w:rsid w:val="00C479A1"/>
    <w:rsid w:val="00C479E0"/>
    <w:rsid w:val="00C47F9A"/>
    <w:rsid w:val="00C50031"/>
    <w:rsid w:val="00C50116"/>
    <w:rsid w:val="00C504CA"/>
    <w:rsid w:val="00C505C4"/>
    <w:rsid w:val="00C50819"/>
    <w:rsid w:val="00C50918"/>
    <w:rsid w:val="00C50A8E"/>
    <w:rsid w:val="00C50EE4"/>
    <w:rsid w:val="00C5100C"/>
    <w:rsid w:val="00C51360"/>
    <w:rsid w:val="00C51377"/>
    <w:rsid w:val="00C514A4"/>
    <w:rsid w:val="00C51807"/>
    <w:rsid w:val="00C51ACE"/>
    <w:rsid w:val="00C52066"/>
    <w:rsid w:val="00C520A0"/>
    <w:rsid w:val="00C520D2"/>
    <w:rsid w:val="00C5215D"/>
    <w:rsid w:val="00C52403"/>
    <w:rsid w:val="00C5266D"/>
    <w:rsid w:val="00C5291F"/>
    <w:rsid w:val="00C52936"/>
    <w:rsid w:val="00C52D96"/>
    <w:rsid w:val="00C52E79"/>
    <w:rsid w:val="00C52F81"/>
    <w:rsid w:val="00C532AE"/>
    <w:rsid w:val="00C532BD"/>
    <w:rsid w:val="00C532CA"/>
    <w:rsid w:val="00C53405"/>
    <w:rsid w:val="00C5346A"/>
    <w:rsid w:val="00C5347F"/>
    <w:rsid w:val="00C53530"/>
    <w:rsid w:val="00C53B8F"/>
    <w:rsid w:val="00C53BA5"/>
    <w:rsid w:val="00C53D05"/>
    <w:rsid w:val="00C53DC5"/>
    <w:rsid w:val="00C53E84"/>
    <w:rsid w:val="00C54400"/>
    <w:rsid w:val="00C544A5"/>
    <w:rsid w:val="00C5460B"/>
    <w:rsid w:val="00C546E3"/>
    <w:rsid w:val="00C548AF"/>
    <w:rsid w:val="00C5498F"/>
    <w:rsid w:val="00C54996"/>
    <w:rsid w:val="00C54B3E"/>
    <w:rsid w:val="00C54C16"/>
    <w:rsid w:val="00C54C49"/>
    <w:rsid w:val="00C54D19"/>
    <w:rsid w:val="00C54DF8"/>
    <w:rsid w:val="00C54F03"/>
    <w:rsid w:val="00C54F52"/>
    <w:rsid w:val="00C551BA"/>
    <w:rsid w:val="00C55235"/>
    <w:rsid w:val="00C554C3"/>
    <w:rsid w:val="00C55728"/>
    <w:rsid w:val="00C5581A"/>
    <w:rsid w:val="00C55B04"/>
    <w:rsid w:val="00C55B1F"/>
    <w:rsid w:val="00C55BAD"/>
    <w:rsid w:val="00C55D2A"/>
    <w:rsid w:val="00C55F3F"/>
    <w:rsid w:val="00C56679"/>
    <w:rsid w:val="00C56696"/>
    <w:rsid w:val="00C567E9"/>
    <w:rsid w:val="00C5698E"/>
    <w:rsid w:val="00C56B74"/>
    <w:rsid w:val="00C57094"/>
    <w:rsid w:val="00C57426"/>
    <w:rsid w:val="00C57443"/>
    <w:rsid w:val="00C57564"/>
    <w:rsid w:val="00C57A00"/>
    <w:rsid w:val="00C57F7E"/>
    <w:rsid w:val="00C60290"/>
    <w:rsid w:val="00C603AB"/>
    <w:rsid w:val="00C60470"/>
    <w:rsid w:val="00C60BEC"/>
    <w:rsid w:val="00C60E3A"/>
    <w:rsid w:val="00C61049"/>
    <w:rsid w:val="00C61436"/>
    <w:rsid w:val="00C616BA"/>
    <w:rsid w:val="00C618DA"/>
    <w:rsid w:val="00C619FD"/>
    <w:rsid w:val="00C61D95"/>
    <w:rsid w:val="00C61E19"/>
    <w:rsid w:val="00C61E51"/>
    <w:rsid w:val="00C62252"/>
    <w:rsid w:val="00C626D6"/>
    <w:rsid w:val="00C6288D"/>
    <w:rsid w:val="00C628BE"/>
    <w:rsid w:val="00C6298F"/>
    <w:rsid w:val="00C62C20"/>
    <w:rsid w:val="00C62C2F"/>
    <w:rsid w:val="00C634FB"/>
    <w:rsid w:val="00C6351E"/>
    <w:rsid w:val="00C637EA"/>
    <w:rsid w:val="00C639C5"/>
    <w:rsid w:val="00C63D76"/>
    <w:rsid w:val="00C63FD8"/>
    <w:rsid w:val="00C640EA"/>
    <w:rsid w:val="00C64239"/>
    <w:rsid w:val="00C642C5"/>
    <w:rsid w:val="00C6440E"/>
    <w:rsid w:val="00C6454D"/>
    <w:rsid w:val="00C64691"/>
    <w:rsid w:val="00C64A35"/>
    <w:rsid w:val="00C64CD0"/>
    <w:rsid w:val="00C64E0D"/>
    <w:rsid w:val="00C64E60"/>
    <w:rsid w:val="00C64EA6"/>
    <w:rsid w:val="00C65205"/>
    <w:rsid w:val="00C6525A"/>
    <w:rsid w:val="00C653DF"/>
    <w:rsid w:val="00C6591F"/>
    <w:rsid w:val="00C65B79"/>
    <w:rsid w:val="00C65D66"/>
    <w:rsid w:val="00C65F61"/>
    <w:rsid w:val="00C66014"/>
    <w:rsid w:val="00C66112"/>
    <w:rsid w:val="00C6631D"/>
    <w:rsid w:val="00C6636A"/>
    <w:rsid w:val="00C6640C"/>
    <w:rsid w:val="00C6642C"/>
    <w:rsid w:val="00C665AD"/>
    <w:rsid w:val="00C66642"/>
    <w:rsid w:val="00C6684F"/>
    <w:rsid w:val="00C668B5"/>
    <w:rsid w:val="00C66F00"/>
    <w:rsid w:val="00C6743B"/>
    <w:rsid w:val="00C67586"/>
    <w:rsid w:val="00C6787D"/>
    <w:rsid w:val="00C678D0"/>
    <w:rsid w:val="00C67920"/>
    <w:rsid w:val="00C67A3C"/>
    <w:rsid w:val="00C7003F"/>
    <w:rsid w:val="00C700B3"/>
    <w:rsid w:val="00C70415"/>
    <w:rsid w:val="00C707A5"/>
    <w:rsid w:val="00C7080B"/>
    <w:rsid w:val="00C70A3A"/>
    <w:rsid w:val="00C70AA0"/>
    <w:rsid w:val="00C70C3E"/>
    <w:rsid w:val="00C70C78"/>
    <w:rsid w:val="00C70CC7"/>
    <w:rsid w:val="00C70E70"/>
    <w:rsid w:val="00C70EAD"/>
    <w:rsid w:val="00C71076"/>
    <w:rsid w:val="00C710C7"/>
    <w:rsid w:val="00C711C5"/>
    <w:rsid w:val="00C712AC"/>
    <w:rsid w:val="00C718E0"/>
    <w:rsid w:val="00C7197F"/>
    <w:rsid w:val="00C719CB"/>
    <w:rsid w:val="00C71A37"/>
    <w:rsid w:val="00C71B81"/>
    <w:rsid w:val="00C71BF1"/>
    <w:rsid w:val="00C71FCC"/>
    <w:rsid w:val="00C72155"/>
    <w:rsid w:val="00C724BB"/>
    <w:rsid w:val="00C724BC"/>
    <w:rsid w:val="00C726DB"/>
    <w:rsid w:val="00C72816"/>
    <w:rsid w:val="00C72945"/>
    <w:rsid w:val="00C72C93"/>
    <w:rsid w:val="00C72CE1"/>
    <w:rsid w:val="00C734FA"/>
    <w:rsid w:val="00C735C4"/>
    <w:rsid w:val="00C7361F"/>
    <w:rsid w:val="00C7370C"/>
    <w:rsid w:val="00C7378F"/>
    <w:rsid w:val="00C739B7"/>
    <w:rsid w:val="00C73A42"/>
    <w:rsid w:val="00C73CF3"/>
    <w:rsid w:val="00C73D24"/>
    <w:rsid w:val="00C74153"/>
    <w:rsid w:val="00C74184"/>
    <w:rsid w:val="00C743A4"/>
    <w:rsid w:val="00C74666"/>
    <w:rsid w:val="00C746D4"/>
    <w:rsid w:val="00C746FF"/>
    <w:rsid w:val="00C74C70"/>
    <w:rsid w:val="00C74D1F"/>
    <w:rsid w:val="00C74E43"/>
    <w:rsid w:val="00C7514A"/>
    <w:rsid w:val="00C754BA"/>
    <w:rsid w:val="00C75819"/>
    <w:rsid w:val="00C7583D"/>
    <w:rsid w:val="00C758DF"/>
    <w:rsid w:val="00C758E8"/>
    <w:rsid w:val="00C759E2"/>
    <w:rsid w:val="00C75D3F"/>
    <w:rsid w:val="00C75F8D"/>
    <w:rsid w:val="00C75FBD"/>
    <w:rsid w:val="00C7600A"/>
    <w:rsid w:val="00C76287"/>
    <w:rsid w:val="00C7657A"/>
    <w:rsid w:val="00C768C4"/>
    <w:rsid w:val="00C76C1D"/>
    <w:rsid w:val="00C76F75"/>
    <w:rsid w:val="00C77380"/>
    <w:rsid w:val="00C7746C"/>
    <w:rsid w:val="00C77B9C"/>
    <w:rsid w:val="00C77C55"/>
    <w:rsid w:val="00C77C92"/>
    <w:rsid w:val="00C77FFB"/>
    <w:rsid w:val="00C802BD"/>
    <w:rsid w:val="00C8041E"/>
    <w:rsid w:val="00C80430"/>
    <w:rsid w:val="00C80473"/>
    <w:rsid w:val="00C8066A"/>
    <w:rsid w:val="00C80739"/>
    <w:rsid w:val="00C80878"/>
    <w:rsid w:val="00C80B45"/>
    <w:rsid w:val="00C80CAD"/>
    <w:rsid w:val="00C80F56"/>
    <w:rsid w:val="00C80F9A"/>
    <w:rsid w:val="00C81073"/>
    <w:rsid w:val="00C81132"/>
    <w:rsid w:val="00C8124F"/>
    <w:rsid w:val="00C8131A"/>
    <w:rsid w:val="00C81458"/>
    <w:rsid w:val="00C817E4"/>
    <w:rsid w:val="00C818BB"/>
    <w:rsid w:val="00C819DD"/>
    <w:rsid w:val="00C81A10"/>
    <w:rsid w:val="00C81A8B"/>
    <w:rsid w:val="00C81EB5"/>
    <w:rsid w:val="00C81F48"/>
    <w:rsid w:val="00C82100"/>
    <w:rsid w:val="00C82159"/>
    <w:rsid w:val="00C822BB"/>
    <w:rsid w:val="00C823FC"/>
    <w:rsid w:val="00C82977"/>
    <w:rsid w:val="00C829AA"/>
    <w:rsid w:val="00C82BE9"/>
    <w:rsid w:val="00C82C7F"/>
    <w:rsid w:val="00C833CF"/>
    <w:rsid w:val="00C8375D"/>
    <w:rsid w:val="00C83883"/>
    <w:rsid w:val="00C83D22"/>
    <w:rsid w:val="00C83D56"/>
    <w:rsid w:val="00C83E79"/>
    <w:rsid w:val="00C84084"/>
    <w:rsid w:val="00C84191"/>
    <w:rsid w:val="00C843B3"/>
    <w:rsid w:val="00C84958"/>
    <w:rsid w:val="00C84C0C"/>
    <w:rsid w:val="00C84CBB"/>
    <w:rsid w:val="00C8520D"/>
    <w:rsid w:val="00C85F57"/>
    <w:rsid w:val="00C8607A"/>
    <w:rsid w:val="00C86954"/>
    <w:rsid w:val="00C86B1E"/>
    <w:rsid w:val="00C86BC7"/>
    <w:rsid w:val="00C86C28"/>
    <w:rsid w:val="00C86D30"/>
    <w:rsid w:val="00C8703F"/>
    <w:rsid w:val="00C870A6"/>
    <w:rsid w:val="00C870AD"/>
    <w:rsid w:val="00C870C2"/>
    <w:rsid w:val="00C8712B"/>
    <w:rsid w:val="00C87165"/>
    <w:rsid w:val="00C87178"/>
    <w:rsid w:val="00C8746D"/>
    <w:rsid w:val="00C8748F"/>
    <w:rsid w:val="00C87735"/>
    <w:rsid w:val="00C879E6"/>
    <w:rsid w:val="00C87AB6"/>
    <w:rsid w:val="00C87E8A"/>
    <w:rsid w:val="00C87E93"/>
    <w:rsid w:val="00C900CE"/>
    <w:rsid w:val="00C9010C"/>
    <w:rsid w:val="00C90292"/>
    <w:rsid w:val="00C903E8"/>
    <w:rsid w:val="00C90689"/>
    <w:rsid w:val="00C9075D"/>
    <w:rsid w:val="00C907D3"/>
    <w:rsid w:val="00C908F8"/>
    <w:rsid w:val="00C9091B"/>
    <w:rsid w:val="00C90E55"/>
    <w:rsid w:val="00C91178"/>
    <w:rsid w:val="00C911FA"/>
    <w:rsid w:val="00C913D6"/>
    <w:rsid w:val="00C918F1"/>
    <w:rsid w:val="00C91CAF"/>
    <w:rsid w:val="00C920C1"/>
    <w:rsid w:val="00C922CA"/>
    <w:rsid w:val="00C9248B"/>
    <w:rsid w:val="00C9272E"/>
    <w:rsid w:val="00C92813"/>
    <w:rsid w:val="00C92B27"/>
    <w:rsid w:val="00C92B36"/>
    <w:rsid w:val="00C92D36"/>
    <w:rsid w:val="00C92E66"/>
    <w:rsid w:val="00C92F2E"/>
    <w:rsid w:val="00C92FD8"/>
    <w:rsid w:val="00C9301F"/>
    <w:rsid w:val="00C9311C"/>
    <w:rsid w:val="00C93297"/>
    <w:rsid w:val="00C932D0"/>
    <w:rsid w:val="00C9336C"/>
    <w:rsid w:val="00C93715"/>
    <w:rsid w:val="00C9395C"/>
    <w:rsid w:val="00C939C9"/>
    <w:rsid w:val="00C93D61"/>
    <w:rsid w:val="00C93FD2"/>
    <w:rsid w:val="00C94279"/>
    <w:rsid w:val="00C942DC"/>
    <w:rsid w:val="00C9433C"/>
    <w:rsid w:val="00C943C8"/>
    <w:rsid w:val="00C944C6"/>
    <w:rsid w:val="00C94574"/>
    <w:rsid w:val="00C947AA"/>
    <w:rsid w:val="00C948F9"/>
    <w:rsid w:val="00C94B7C"/>
    <w:rsid w:val="00C94D25"/>
    <w:rsid w:val="00C94F50"/>
    <w:rsid w:val="00C94F91"/>
    <w:rsid w:val="00C95076"/>
    <w:rsid w:val="00C953CD"/>
    <w:rsid w:val="00C95DAB"/>
    <w:rsid w:val="00C95E54"/>
    <w:rsid w:val="00C95F34"/>
    <w:rsid w:val="00C9642F"/>
    <w:rsid w:val="00C96580"/>
    <w:rsid w:val="00C965B4"/>
    <w:rsid w:val="00C967F8"/>
    <w:rsid w:val="00C96802"/>
    <w:rsid w:val="00C96999"/>
    <w:rsid w:val="00C969F4"/>
    <w:rsid w:val="00C96D52"/>
    <w:rsid w:val="00C96D90"/>
    <w:rsid w:val="00C96E1A"/>
    <w:rsid w:val="00C972E7"/>
    <w:rsid w:val="00C97381"/>
    <w:rsid w:val="00C97642"/>
    <w:rsid w:val="00C97736"/>
    <w:rsid w:val="00C9793B"/>
    <w:rsid w:val="00C97960"/>
    <w:rsid w:val="00C97AEA"/>
    <w:rsid w:val="00C97B1A"/>
    <w:rsid w:val="00C97D26"/>
    <w:rsid w:val="00C97F59"/>
    <w:rsid w:val="00CA0114"/>
    <w:rsid w:val="00CA0263"/>
    <w:rsid w:val="00CA0338"/>
    <w:rsid w:val="00CA0478"/>
    <w:rsid w:val="00CA0652"/>
    <w:rsid w:val="00CA06FE"/>
    <w:rsid w:val="00CA0836"/>
    <w:rsid w:val="00CA0B5E"/>
    <w:rsid w:val="00CA10D1"/>
    <w:rsid w:val="00CA133A"/>
    <w:rsid w:val="00CA1652"/>
    <w:rsid w:val="00CA16C4"/>
    <w:rsid w:val="00CA16D0"/>
    <w:rsid w:val="00CA178C"/>
    <w:rsid w:val="00CA17F1"/>
    <w:rsid w:val="00CA1A77"/>
    <w:rsid w:val="00CA1E3B"/>
    <w:rsid w:val="00CA1F70"/>
    <w:rsid w:val="00CA1FE4"/>
    <w:rsid w:val="00CA22DB"/>
    <w:rsid w:val="00CA281E"/>
    <w:rsid w:val="00CA284F"/>
    <w:rsid w:val="00CA2850"/>
    <w:rsid w:val="00CA28E7"/>
    <w:rsid w:val="00CA29DA"/>
    <w:rsid w:val="00CA2A9C"/>
    <w:rsid w:val="00CA2B13"/>
    <w:rsid w:val="00CA2B52"/>
    <w:rsid w:val="00CA3305"/>
    <w:rsid w:val="00CA345A"/>
    <w:rsid w:val="00CA3475"/>
    <w:rsid w:val="00CA3638"/>
    <w:rsid w:val="00CA38AB"/>
    <w:rsid w:val="00CA3B4A"/>
    <w:rsid w:val="00CA3E04"/>
    <w:rsid w:val="00CA3E4C"/>
    <w:rsid w:val="00CA3EAF"/>
    <w:rsid w:val="00CA44CB"/>
    <w:rsid w:val="00CA45E6"/>
    <w:rsid w:val="00CA4700"/>
    <w:rsid w:val="00CA490D"/>
    <w:rsid w:val="00CA4AC9"/>
    <w:rsid w:val="00CA4C00"/>
    <w:rsid w:val="00CA4D4E"/>
    <w:rsid w:val="00CA5160"/>
    <w:rsid w:val="00CA51ED"/>
    <w:rsid w:val="00CA543D"/>
    <w:rsid w:val="00CA5440"/>
    <w:rsid w:val="00CA5561"/>
    <w:rsid w:val="00CA55E6"/>
    <w:rsid w:val="00CA56AF"/>
    <w:rsid w:val="00CA571B"/>
    <w:rsid w:val="00CA5790"/>
    <w:rsid w:val="00CA58E8"/>
    <w:rsid w:val="00CA5931"/>
    <w:rsid w:val="00CA5D5A"/>
    <w:rsid w:val="00CA6224"/>
    <w:rsid w:val="00CA6244"/>
    <w:rsid w:val="00CA6443"/>
    <w:rsid w:val="00CA66AC"/>
    <w:rsid w:val="00CA67F7"/>
    <w:rsid w:val="00CA687F"/>
    <w:rsid w:val="00CA6C54"/>
    <w:rsid w:val="00CA702C"/>
    <w:rsid w:val="00CA73EF"/>
    <w:rsid w:val="00CA76C4"/>
    <w:rsid w:val="00CA7E46"/>
    <w:rsid w:val="00CA7EC6"/>
    <w:rsid w:val="00CB0057"/>
    <w:rsid w:val="00CB00B5"/>
    <w:rsid w:val="00CB00D9"/>
    <w:rsid w:val="00CB0206"/>
    <w:rsid w:val="00CB020C"/>
    <w:rsid w:val="00CB03E5"/>
    <w:rsid w:val="00CB058D"/>
    <w:rsid w:val="00CB0967"/>
    <w:rsid w:val="00CB0983"/>
    <w:rsid w:val="00CB0AA6"/>
    <w:rsid w:val="00CB0C07"/>
    <w:rsid w:val="00CB0C99"/>
    <w:rsid w:val="00CB109A"/>
    <w:rsid w:val="00CB1E82"/>
    <w:rsid w:val="00CB1F3D"/>
    <w:rsid w:val="00CB28E3"/>
    <w:rsid w:val="00CB2B67"/>
    <w:rsid w:val="00CB2C4A"/>
    <w:rsid w:val="00CB351A"/>
    <w:rsid w:val="00CB351D"/>
    <w:rsid w:val="00CB35F7"/>
    <w:rsid w:val="00CB3908"/>
    <w:rsid w:val="00CB3E6F"/>
    <w:rsid w:val="00CB456B"/>
    <w:rsid w:val="00CB466C"/>
    <w:rsid w:val="00CB478D"/>
    <w:rsid w:val="00CB4B14"/>
    <w:rsid w:val="00CB4B9B"/>
    <w:rsid w:val="00CB4BA8"/>
    <w:rsid w:val="00CB4DE7"/>
    <w:rsid w:val="00CB4F40"/>
    <w:rsid w:val="00CB4F8B"/>
    <w:rsid w:val="00CB52D7"/>
    <w:rsid w:val="00CB5505"/>
    <w:rsid w:val="00CB58BB"/>
    <w:rsid w:val="00CB5EAA"/>
    <w:rsid w:val="00CB610A"/>
    <w:rsid w:val="00CB61D5"/>
    <w:rsid w:val="00CB621C"/>
    <w:rsid w:val="00CB645A"/>
    <w:rsid w:val="00CB6466"/>
    <w:rsid w:val="00CB64D5"/>
    <w:rsid w:val="00CB6DE3"/>
    <w:rsid w:val="00CB6DF0"/>
    <w:rsid w:val="00CB6F25"/>
    <w:rsid w:val="00CB7053"/>
    <w:rsid w:val="00CB7178"/>
    <w:rsid w:val="00CB72C4"/>
    <w:rsid w:val="00CB7465"/>
    <w:rsid w:val="00CB747D"/>
    <w:rsid w:val="00CB761A"/>
    <w:rsid w:val="00CB77B3"/>
    <w:rsid w:val="00CB7874"/>
    <w:rsid w:val="00CB7B49"/>
    <w:rsid w:val="00CB7CB7"/>
    <w:rsid w:val="00CC04F8"/>
    <w:rsid w:val="00CC086D"/>
    <w:rsid w:val="00CC0A3E"/>
    <w:rsid w:val="00CC0CD2"/>
    <w:rsid w:val="00CC0ECC"/>
    <w:rsid w:val="00CC0F8F"/>
    <w:rsid w:val="00CC1065"/>
    <w:rsid w:val="00CC141F"/>
    <w:rsid w:val="00CC16DD"/>
    <w:rsid w:val="00CC1823"/>
    <w:rsid w:val="00CC1AF0"/>
    <w:rsid w:val="00CC1B26"/>
    <w:rsid w:val="00CC1BE0"/>
    <w:rsid w:val="00CC23A5"/>
    <w:rsid w:val="00CC2550"/>
    <w:rsid w:val="00CC26B8"/>
    <w:rsid w:val="00CC2798"/>
    <w:rsid w:val="00CC2822"/>
    <w:rsid w:val="00CC28C0"/>
    <w:rsid w:val="00CC2FF6"/>
    <w:rsid w:val="00CC3288"/>
    <w:rsid w:val="00CC3546"/>
    <w:rsid w:val="00CC35C3"/>
    <w:rsid w:val="00CC37ED"/>
    <w:rsid w:val="00CC39F4"/>
    <w:rsid w:val="00CC3D29"/>
    <w:rsid w:val="00CC3F4A"/>
    <w:rsid w:val="00CC3F8F"/>
    <w:rsid w:val="00CC41B4"/>
    <w:rsid w:val="00CC42D1"/>
    <w:rsid w:val="00CC43CE"/>
    <w:rsid w:val="00CC4787"/>
    <w:rsid w:val="00CC47FC"/>
    <w:rsid w:val="00CC4A6E"/>
    <w:rsid w:val="00CC52DE"/>
    <w:rsid w:val="00CC5344"/>
    <w:rsid w:val="00CC54D0"/>
    <w:rsid w:val="00CC564A"/>
    <w:rsid w:val="00CC5DD6"/>
    <w:rsid w:val="00CC5DDA"/>
    <w:rsid w:val="00CC6071"/>
    <w:rsid w:val="00CC6732"/>
    <w:rsid w:val="00CC690B"/>
    <w:rsid w:val="00CC6943"/>
    <w:rsid w:val="00CC69FE"/>
    <w:rsid w:val="00CC6B03"/>
    <w:rsid w:val="00CC6BEF"/>
    <w:rsid w:val="00CC6C42"/>
    <w:rsid w:val="00CC6EDE"/>
    <w:rsid w:val="00CC701F"/>
    <w:rsid w:val="00CC725A"/>
    <w:rsid w:val="00CC74BB"/>
    <w:rsid w:val="00CC76BA"/>
    <w:rsid w:val="00CC78F2"/>
    <w:rsid w:val="00CC794D"/>
    <w:rsid w:val="00CC7A01"/>
    <w:rsid w:val="00CC7A3E"/>
    <w:rsid w:val="00CD0180"/>
    <w:rsid w:val="00CD064E"/>
    <w:rsid w:val="00CD0718"/>
    <w:rsid w:val="00CD0865"/>
    <w:rsid w:val="00CD0D30"/>
    <w:rsid w:val="00CD0F34"/>
    <w:rsid w:val="00CD160E"/>
    <w:rsid w:val="00CD16AC"/>
    <w:rsid w:val="00CD1872"/>
    <w:rsid w:val="00CD19D5"/>
    <w:rsid w:val="00CD1A88"/>
    <w:rsid w:val="00CD1AC0"/>
    <w:rsid w:val="00CD1DCF"/>
    <w:rsid w:val="00CD1FD4"/>
    <w:rsid w:val="00CD20A8"/>
    <w:rsid w:val="00CD2388"/>
    <w:rsid w:val="00CD27E6"/>
    <w:rsid w:val="00CD2C47"/>
    <w:rsid w:val="00CD2D5B"/>
    <w:rsid w:val="00CD2DA8"/>
    <w:rsid w:val="00CD307B"/>
    <w:rsid w:val="00CD3609"/>
    <w:rsid w:val="00CD372A"/>
    <w:rsid w:val="00CD3747"/>
    <w:rsid w:val="00CD380D"/>
    <w:rsid w:val="00CD38C8"/>
    <w:rsid w:val="00CD3BDA"/>
    <w:rsid w:val="00CD3C03"/>
    <w:rsid w:val="00CD3F70"/>
    <w:rsid w:val="00CD3FA1"/>
    <w:rsid w:val="00CD405E"/>
    <w:rsid w:val="00CD4249"/>
    <w:rsid w:val="00CD426C"/>
    <w:rsid w:val="00CD4372"/>
    <w:rsid w:val="00CD4444"/>
    <w:rsid w:val="00CD45DF"/>
    <w:rsid w:val="00CD4649"/>
    <w:rsid w:val="00CD468F"/>
    <w:rsid w:val="00CD486E"/>
    <w:rsid w:val="00CD4931"/>
    <w:rsid w:val="00CD4FEF"/>
    <w:rsid w:val="00CD5135"/>
    <w:rsid w:val="00CD51B7"/>
    <w:rsid w:val="00CD5678"/>
    <w:rsid w:val="00CD5694"/>
    <w:rsid w:val="00CD56C2"/>
    <w:rsid w:val="00CD5C71"/>
    <w:rsid w:val="00CD5DA6"/>
    <w:rsid w:val="00CD5DAD"/>
    <w:rsid w:val="00CD621C"/>
    <w:rsid w:val="00CD6619"/>
    <w:rsid w:val="00CD66AD"/>
    <w:rsid w:val="00CD66BE"/>
    <w:rsid w:val="00CD69E6"/>
    <w:rsid w:val="00CD6ACF"/>
    <w:rsid w:val="00CD6DA9"/>
    <w:rsid w:val="00CD73C9"/>
    <w:rsid w:val="00CD74E4"/>
    <w:rsid w:val="00CD7659"/>
    <w:rsid w:val="00CD78AB"/>
    <w:rsid w:val="00CD78DD"/>
    <w:rsid w:val="00CD7BB3"/>
    <w:rsid w:val="00CD7BDD"/>
    <w:rsid w:val="00CD7F49"/>
    <w:rsid w:val="00CE025C"/>
    <w:rsid w:val="00CE0456"/>
    <w:rsid w:val="00CE0588"/>
    <w:rsid w:val="00CE05CC"/>
    <w:rsid w:val="00CE078D"/>
    <w:rsid w:val="00CE0886"/>
    <w:rsid w:val="00CE08F2"/>
    <w:rsid w:val="00CE0949"/>
    <w:rsid w:val="00CE0A0F"/>
    <w:rsid w:val="00CE0B16"/>
    <w:rsid w:val="00CE0C21"/>
    <w:rsid w:val="00CE0E88"/>
    <w:rsid w:val="00CE109C"/>
    <w:rsid w:val="00CE120F"/>
    <w:rsid w:val="00CE13C4"/>
    <w:rsid w:val="00CE1677"/>
    <w:rsid w:val="00CE1944"/>
    <w:rsid w:val="00CE2069"/>
    <w:rsid w:val="00CE220D"/>
    <w:rsid w:val="00CE233F"/>
    <w:rsid w:val="00CE24F4"/>
    <w:rsid w:val="00CE25B4"/>
    <w:rsid w:val="00CE2857"/>
    <w:rsid w:val="00CE28A8"/>
    <w:rsid w:val="00CE28C8"/>
    <w:rsid w:val="00CE2C4A"/>
    <w:rsid w:val="00CE2DAF"/>
    <w:rsid w:val="00CE2DD7"/>
    <w:rsid w:val="00CE2DED"/>
    <w:rsid w:val="00CE2F8E"/>
    <w:rsid w:val="00CE3225"/>
    <w:rsid w:val="00CE3303"/>
    <w:rsid w:val="00CE35F8"/>
    <w:rsid w:val="00CE3802"/>
    <w:rsid w:val="00CE3C37"/>
    <w:rsid w:val="00CE3C96"/>
    <w:rsid w:val="00CE3D83"/>
    <w:rsid w:val="00CE3F5A"/>
    <w:rsid w:val="00CE4464"/>
    <w:rsid w:val="00CE473B"/>
    <w:rsid w:val="00CE4B31"/>
    <w:rsid w:val="00CE4BD7"/>
    <w:rsid w:val="00CE4CF3"/>
    <w:rsid w:val="00CE4D0C"/>
    <w:rsid w:val="00CE4D60"/>
    <w:rsid w:val="00CE5142"/>
    <w:rsid w:val="00CE51A8"/>
    <w:rsid w:val="00CE51B4"/>
    <w:rsid w:val="00CE5478"/>
    <w:rsid w:val="00CE56DA"/>
    <w:rsid w:val="00CE57CA"/>
    <w:rsid w:val="00CE5836"/>
    <w:rsid w:val="00CE5A4D"/>
    <w:rsid w:val="00CE5B06"/>
    <w:rsid w:val="00CE5C89"/>
    <w:rsid w:val="00CE5CF0"/>
    <w:rsid w:val="00CE60D7"/>
    <w:rsid w:val="00CE6252"/>
    <w:rsid w:val="00CE631C"/>
    <w:rsid w:val="00CE639E"/>
    <w:rsid w:val="00CE6541"/>
    <w:rsid w:val="00CE67C2"/>
    <w:rsid w:val="00CE6CB2"/>
    <w:rsid w:val="00CE7009"/>
    <w:rsid w:val="00CE701B"/>
    <w:rsid w:val="00CE7038"/>
    <w:rsid w:val="00CE70B1"/>
    <w:rsid w:val="00CE739B"/>
    <w:rsid w:val="00CE7530"/>
    <w:rsid w:val="00CE79B6"/>
    <w:rsid w:val="00CE79BC"/>
    <w:rsid w:val="00CE7B3B"/>
    <w:rsid w:val="00CE7EED"/>
    <w:rsid w:val="00CE7EFF"/>
    <w:rsid w:val="00CF0153"/>
    <w:rsid w:val="00CF0211"/>
    <w:rsid w:val="00CF02E9"/>
    <w:rsid w:val="00CF034C"/>
    <w:rsid w:val="00CF0396"/>
    <w:rsid w:val="00CF07F6"/>
    <w:rsid w:val="00CF0BFE"/>
    <w:rsid w:val="00CF0CAF"/>
    <w:rsid w:val="00CF0D33"/>
    <w:rsid w:val="00CF0DDB"/>
    <w:rsid w:val="00CF10DD"/>
    <w:rsid w:val="00CF12C7"/>
    <w:rsid w:val="00CF1307"/>
    <w:rsid w:val="00CF1798"/>
    <w:rsid w:val="00CF1843"/>
    <w:rsid w:val="00CF1C72"/>
    <w:rsid w:val="00CF1E25"/>
    <w:rsid w:val="00CF22A8"/>
    <w:rsid w:val="00CF22D3"/>
    <w:rsid w:val="00CF261C"/>
    <w:rsid w:val="00CF26CF"/>
    <w:rsid w:val="00CF2776"/>
    <w:rsid w:val="00CF29AA"/>
    <w:rsid w:val="00CF2ACD"/>
    <w:rsid w:val="00CF35D2"/>
    <w:rsid w:val="00CF369B"/>
    <w:rsid w:val="00CF36EF"/>
    <w:rsid w:val="00CF37B9"/>
    <w:rsid w:val="00CF3DE8"/>
    <w:rsid w:val="00CF40F7"/>
    <w:rsid w:val="00CF43A1"/>
    <w:rsid w:val="00CF4451"/>
    <w:rsid w:val="00CF44F2"/>
    <w:rsid w:val="00CF4711"/>
    <w:rsid w:val="00CF492B"/>
    <w:rsid w:val="00CF4B11"/>
    <w:rsid w:val="00CF4B82"/>
    <w:rsid w:val="00CF4DDB"/>
    <w:rsid w:val="00CF4E35"/>
    <w:rsid w:val="00CF4E57"/>
    <w:rsid w:val="00CF5061"/>
    <w:rsid w:val="00CF50C3"/>
    <w:rsid w:val="00CF5170"/>
    <w:rsid w:val="00CF5176"/>
    <w:rsid w:val="00CF5185"/>
    <w:rsid w:val="00CF5415"/>
    <w:rsid w:val="00CF5B70"/>
    <w:rsid w:val="00CF5C52"/>
    <w:rsid w:val="00CF5CF8"/>
    <w:rsid w:val="00CF5EBD"/>
    <w:rsid w:val="00CF61B3"/>
    <w:rsid w:val="00CF631E"/>
    <w:rsid w:val="00CF63D5"/>
    <w:rsid w:val="00CF670E"/>
    <w:rsid w:val="00CF6B86"/>
    <w:rsid w:val="00CF6FFE"/>
    <w:rsid w:val="00CF7385"/>
    <w:rsid w:val="00CF766F"/>
    <w:rsid w:val="00CF7711"/>
    <w:rsid w:val="00CF784F"/>
    <w:rsid w:val="00CF7CDD"/>
    <w:rsid w:val="00D001A5"/>
    <w:rsid w:val="00D00232"/>
    <w:rsid w:val="00D0045C"/>
    <w:rsid w:val="00D004C4"/>
    <w:rsid w:val="00D005C6"/>
    <w:rsid w:val="00D0066F"/>
    <w:rsid w:val="00D00849"/>
    <w:rsid w:val="00D00BB6"/>
    <w:rsid w:val="00D00E28"/>
    <w:rsid w:val="00D0101C"/>
    <w:rsid w:val="00D0128F"/>
    <w:rsid w:val="00D014E8"/>
    <w:rsid w:val="00D01727"/>
    <w:rsid w:val="00D0188A"/>
    <w:rsid w:val="00D01943"/>
    <w:rsid w:val="00D01E35"/>
    <w:rsid w:val="00D0209D"/>
    <w:rsid w:val="00D020D1"/>
    <w:rsid w:val="00D021B0"/>
    <w:rsid w:val="00D0234D"/>
    <w:rsid w:val="00D023F5"/>
    <w:rsid w:val="00D0255D"/>
    <w:rsid w:val="00D02561"/>
    <w:rsid w:val="00D0269E"/>
    <w:rsid w:val="00D02929"/>
    <w:rsid w:val="00D02D7C"/>
    <w:rsid w:val="00D03087"/>
    <w:rsid w:val="00D03161"/>
    <w:rsid w:val="00D03276"/>
    <w:rsid w:val="00D03364"/>
    <w:rsid w:val="00D03934"/>
    <w:rsid w:val="00D03977"/>
    <w:rsid w:val="00D03E02"/>
    <w:rsid w:val="00D04079"/>
    <w:rsid w:val="00D04180"/>
    <w:rsid w:val="00D044AC"/>
    <w:rsid w:val="00D0476E"/>
    <w:rsid w:val="00D048B4"/>
    <w:rsid w:val="00D048BF"/>
    <w:rsid w:val="00D04C32"/>
    <w:rsid w:val="00D051A8"/>
    <w:rsid w:val="00D0534A"/>
    <w:rsid w:val="00D0595B"/>
    <w:rsid w:val="00D05D6C"/>
    <w:rsid w:val="00D05DF0"/>
    <w:rsid w:val="00D06064"/>
    <w:rsid w:val="00D0611A"/>
    <w:rsid w:val="00D0643D"/>
    <w:rsid w:val="00D0657C"/>
    <w:rsid w:val="00D0672D"/>
    <w:rsid w:val="00D06BC3"/>
    <w:rsid w:val="00D06D0F"/>
    <w:rsid w:val="00D06E9B"/>
    <w:rsid w:val="00D06EB4"/>
    <w:rsid w:val="00D06ECD"/>
    <w:rsid w:val="00D0741E"/>
    <w:rsid w:val="00D074EB"/>
    <w:rsid w:val="00D075A2"/>
    <w:rsid w:val="00D07615"/>
    <w:rsid w:val="00D0764A"/>
    <w:rsid w:val="00D07724"/>
    <w:rsid w:val="00D07783"/>
    <w:rsid w:val="00D0788D"/>
    <w:rsid w:val="00D079B7"/>
    <w:rsid w:val="00D07AA8"/>
    <w:rsid w:val="00D07CF6"/>
    <w:rsid w:val="00D07E10"/>
    <w:rsid w:val="00D07FD5"/>
    <w:rsid w:val="00D07FD7"/>
    <w:rsid w:val="00D10049"/>
    <w:rsid w:val="00D101E1"/>
    <w:rsid w:val="00D10204"/>
    <w:rsid w:val="00D1021A"/>
    <w:rsid w:val="00D102B0"/>
    <w:rsid w:val="00D10308"/>
    <w:rsid w:val="00D10617"/>
    <w:rsid w:val="00D106D9"/>
    <w:rsid w:val="00D10818"/>
    <w:rsid w:val="00D108FD"/>
    <w:rsid w:val="00D10B6A"/>
    <w:rsid w:val="00D10CDF"/>
    <w:rsid w:val="00D10E4C"/>
    <w:rsid w:val="00D10F8F"/>
    <w:rsid w:val="00D11085"/>
    <w:rsid w:val="00D113C2"/>
    <w:rsid w:val="00D113E4"/>
    <w:rsid w:val="00D114B7"/>
    <w:rsid w:val="00D116A7"/>
    <w:rsid w:val="00D11761"/>
    <w:rsid w:val="00D118B5"/>
    <w:rsid w:val="00D11AFE"/>
    <w:rsid w:val="00D11B4D"/>
    <w:rsid w:val="00D11FC7"/>
    <w:rsid w:val="00D121D9"/>
    <w:rsid w:val="00D12393"/>
    <w:rsid w:val="00D12437"/>
    <w:rsid w:val="00D12839"/>
    <w:rsid w:val="00D12907"/>
    <w:rsid w:val="00D1292B"/>
    <w:rsid w:val="00D12C55"/>
    <w:rsid w:val="00D12D03"/>
    <w:rsid w:val="00D12D90"/>
    <w:rsid w:val="00D12E39"/>
    <w:rsid w:val="00D13362"/>
    <w:rsid w:val="00D13461"/>
    <w:rsid w:val="00D13769"/>
    <w:rsid w:val="00D13E1B"/>
    <w:rsid w:val="00D13EE6"/>
    <w:rsid w:val="00D13F19"/>
    <w:rsid w:val="00D14000"/>
    <w:rsid w:val="00D14323"/>
    <w:rsid w:val="00D143FA"/>
    <w:rsid w:val="00D143FD"/>
    <w:rsid w:val="00D1446E"/>
    <w:rsid w:val="00D14625"/>
    <w:rsid w:val="00D1468B"/>
    <w:rsid w:val="00D149E1"/>
    <w:rsid w:val="00D14AA7"/>
    <w:rsid w:val="00D14F02"/>
    <w:rsid w:val="00D14FF4"/>
    <w:rsid w:val="00D15694"/>
    <w:rsid w:val="00D156C2"/>
    <w:rsid w:val="00D1570B"/>
    <w:rsid w:val="00D15810"/>
    <w:rsid w:val="00D16958"/>
    <w:rsid w:val="00D169AA"/>
    <w:rsid w:val="00D16C28"/>
    <w:rsid w:val="00D16D4E"/>
    <w:rsid w:val="00D16F6E"/>
    <w:rsid w:val="00D16FE3"/>
    <w:rsid w:val="00D1715E"/>
    <w:rsid w:val="00D174CC"/>
    <w:rsid w:val="00D17570"/>
    <w:rsid w:val="00D177E7"/>
    <w:rsid w:val="00D17913"/>
    <w:rsid w:val="00D17BC8"/>
    <w:rsid w:val="00D17CB0"/>
    <w:rsid w:val="00D17D25"/>
    <w:rsid w:val="00D17E14"/>
    <w:rsid w:val="00D17E7B"/>
    <w:rsid w:val="00D17EEB"/>
    <w:rsid w:val="00D17F1A"/>
    <w:rsid w:val="00D20655"/>
    <w:rsid w:val="00D20C58"/>
    <w:rsid w:val="00D20F5D"/>
    <w:rsid w:val="00D20FD2"/>
    <w:rsid w:val="00D21100"/>
    <w:rsid w:val="00D2147A"/>
    <w:rsid w:val="00D216EC"/>
    <w:rsid w:val="00D21A0B"/>
    <w:rsid w:val="00D21AB5"/>
    <w:rsid w:val="00D21B97"/>
    <w:rsid w:val="00D21C70"/>
    <w:rsid w:val="00D21CA1"/>
    <w:rsid w:val="00D21EF1"/>
    <w:rsid w:val="00D21F9F"/>
    <w:rsid w:val="00D222C9"/>
    <w:rsid w:val="00D222D6"/>
    <w:rsid w:val="00D22639"/>
    <w:rsid w:val="00D22C0C"/>
    <w:rsid w:val="00D23154"/>
    <w:rsid w:val="00D23221"/>
    <w:rsid w:val="00D23517"/>
    <w:rsid w:val="00D236B9"/>
    <w:rsid w:val="00D237F7"/>
    <w:rsid w:val="00D238A4"/>
    <w:rsid w:val="00D23B19"/>
    <w:rsid w:val="00D23BDB"/>
    <w:rsid w:val="00D23D60"/>
    <w:rsid w:val="00D23DAA"/>
    <w:rsid w:val="00D23EAF"/>
    <w:rsid w:val="00D23EB8"/>
    <w:rsid w:val="00D24065"/>
    <w:rsid w:val="00D24635"/>
    <w:rsid w:val="00D24763"/>
    <w:rsid w:val="00D247B9"/>
    <w:rsid w:val="00D247DB"/>
    <w:rsid w:val="00D24832"/>
    <w:rsid w:val="00D2490C"/>
    <w:rsid w:val="00D24B45"/>
    <w:rsid w:val="00D24B75"/>
    <w:rsid w:val="00D24F2A"/>
    <w:rsid w:val="00D25373"/>
    <w:rsid w:val="00D25799"/>
    <w:rsid w:val="00D25D0E"/>
    <w:rsid w:val="00D25D33"/>
    <w:rsid w:val="00D25D75"/>
    <w:rsid w:val="00D26548"/>
    <w:rsid w:val="00D266A0"/>
    <w:rsid w:val="00D266DD"/>
    <w:rsid w:val="00D2676A"/>
    <w:rsid w:val="00D268B6"/>
    <w:rsid w:val="00D269B2"/>
    <w:rsid w:val="00D26C84"/>
    <w:rsid w:val="00D26D25"/>
    <w:rsid w:val="00D27293"/>
    <w:rsid w:val="00D27C35"/>
    <w:rsid w:val="00D27E08"/>
    <w:rsid w:val="00D27F41"/>
    <w:rsid w:val="00D301C9"/>
    <w:rsid w:val="00D30250"/>
    <w:rsid w:val="00D30496"/>
    <w:rsid w:val="00D30795"/>
    <w:rsid w:val="00D30964"/>
    <w:rsid w:val="00D30AEC"/>
    <w:rsid w:val="00D30C3B"/>
    <w:rsid w:val="00D30D15"/>
    <w:rsid w:val="00D30E8A"/>
    <w:rsid w:val="00D312F7"/>
    <w:rsid w:val="00D3182C"/>
    <w:rsid w:val="00D3188C"/>
    <w:rsid w:val="00D31ABC"/>
    <w:rsid w:val="00D321AF"/>
    <w:rsid w:val="00D32354"/>
    <w:rsid w:val="00D323C0"/>
    <w:rsid w:val="00D323F8"/>
    <w:rsid w:val="00D32525"/>
    <w:rsid w:val="00D325EE"/>
    <w:rsid w:val="00D32A09"/>
    <w:rsid w:val="00D32B40"/>
    <w:rsid w:val="00D32DA4"/>
    <w:rsid w:val="00D331CF"/>
    <w:rsid w:val="00D332BB"/>
    <w:rsid w:val="00D335E4"/>
    <w:rsid w:val="00D33C0D"/>
    <w:rsid w:val="00D33C99"/>
    <w:rsid w:val="00D33E5D"/>
    <w:rsid w:val="00D33EBB"/>
    <w:rsid w:val="00D34192"/>
    <w:rsid w:val="00D342E8"/>
    <w:rsid w:val="00D342F1"/>
    <w:rsid w:val="00D34382"/>
    <w:rsid w:val="00D34384"/>
    <w:rsid w:val="00D3450A"/>
    <w:rsid w:val="00D34878"/>
    <w:rsid w:val="00D34965"/>
    <w:rsid w:val="00D34DEB"/>
    <w:rsid w:val="00D351E8"/>
    <w:rsid w:val="00D352D7"/>
    <w:rsid w:val="00D35586"/>
    <w:rsid w:val="00D3593E"/>
    <w:rsid w:val="00D35A0F"/>
    <w:rsid w:val="00D35B26"/>
    <w:rsid w:val="00D35BFD"/>
    <w:rsid w:val="00D360A2"/>
    <w:rsid w:val="00D361FE"/>
    <w:rsid w:val="00D36349"/>
    <w:rsid w:val="00D3640C"/>
    <w:rsid w:val="00D36441"/>
    <w:rsid w:val="00D3661A"/>
    <w:rsid w:val="00D36636"/>
    <w:rsid w:val="00D367B9"/>
    <w:rsid w:val="00D36C97"/>
    <w:rsid w:val="00D36FDE"/>
    <w:rsid w:val="00D37098"/>
    <w:rsid w:val="00D375C2"/>
    <w:rsid w:val="00D37746"/>
    <w:rsid w:val="00D378B2"/>
    <w:rsid w:val="00D37C98"/>
    <w:rsid w:val="00D400DE"/>
    <w:rsid w:val="00D4010F"/>
    <w:rsid w:val="00D4064E"/>
    <w:rsid w:val="00D40AC4"/>
    <w:rsid w:val="00D40BC9"/>
    <w:rsid w:val="00D40D37"/>
    <w:rsid w:val="00D40DC7"/>
    <w:rsid w:val="00D41233"/>
    <w:rsid w:val="00D415E8"/>
    <w:rsid w:val="00D418B6"/>
    <w:rsid w:val="00D41A15"/>
    <w:rsid w:val="00D41A77"/>
    <w:rsid w:val="00D41B53"/>
    <w:rsid w:val="00D42440"/>
    <w:rsid w:val="00D42587"/>
    <w:rsid w:val="00D42621"/>
    <w:rsid w:val="00D42AB5"/>
    <w:rsid w:val="00D42D9F"/>
    <w:rsid w:val="00D42F8D"/>
    <w:rsid w:val="00D4312F"/>
    <w:rsid w:val="00D43ABC"/>
    <w:rsid w:val="00D43B47"/>
    <w:rsid w:val="00D43D96"/>
    <w:rsid w:val="00D43E80"/>
    <w:rsid w:val="00D43FE8"/>
    <w:rsid w:val="00D44165"/>
    <w:rsid w:val="00D44243"/>
    <w:rsid w:val="00D44251"/>
    <w:rsid w:val="00D4433A"/>
    <w:rsid w:val="00D44351"/>
    <w:rsid w:val="00D444F0"/>
    <w:rsid w:val="00D44560"/>
    <w:rsid w:val="00D44642"/>
    <w:rsid w:val="00D4492A"/>
    <w:rsid w:val="00D44B48"/>
    <w:rsid w:val="00D44C29"/>
    <w:rsid w:val="00D44CD1"/>
    <w:rsid w:val="00D44E2E"/>
    <w:rsid w:val="00D44E9B"/>
    <w:rsid w:val="00D45076"/>
    <w:rsid w:val="00D451FF"/>
    <w:rsid w:val="00D45358"/>
    <w:rsid w:val="00D45527"/>
    <w:rsid w:val="00D4557D"/>
    <w:rsid w:val="00D45737"/>
    <w:rsid w:val="00D458DC"/>
    <w:rsid w:val="00D4592A"/>
    <w:rsid w:val="00D459F0"/>
    <w:rsid w:val="00D45A35"/>
    <w:rsid w:val="00D45DB9"/>
    <w:rsid w:val="00D45ED0"/>
    <w:rsid w:val="00D45F93"/>
    <w:rsid w:val="00D46081"/>
    <w:rsid w:val="00D460D9"/>
    <w:rsid w:val="00D460DB"/>
    <w:rsid w:val="00D462E0"/>
    <w:rsid w:val="00D46C1F"/>
    <w:rsid w:val="00D46F6A"/>
    <w:rsid w:val="00D471BD"/>
    <w:rsid w:val="00D47230"/>
    <w:rsid w:val="00D47404"/>
    <w:rsid w:val="00D47443"/>
    <w:rsid w:val="00D4756D"/>
    <w:rsid w:val="00D47641"/>
    <w:rsid w:val="00D477B2"/>
    <w:rsid w:val="00D4787F"/>
    <w:rsid w:val="00D47999"/>
    <w:rsid w:val="00D47AEB"/>
    <w:rsid w:val="00D47E22"/>
    <w:rsid w:val="00D47E91"/>
    <w:rsid w:val="00D47E92"/>
    <w:rsid w:val="00D5029B"/>
    <w:rsid w:val="00D502B9"/>
    <w:rsid w:val="00D504B0"/>
    <w:rsid w:val="00D504E4"/>
    <w:rsid w:val="00D507C7"/>
    <w:rsid w:val="00D50BA4"/>
    <w:rsid w:val="00D50C7F"/>
    <w:rsid w:val="00D50D92"/>
    <w:rsid w:val="00D50DB9"/>
    <w:rsid w:val="00D5113F"/>
    <w:rsid w:val="00D51302"/>
    <w:rsid w:val="00D5153F"/>
    <w:rsid w:val="00D515F8"/>
    <w:rsid w:val="00D51713"/>
    <w:rsid w:val="00D517F4"/>
    <w:rsid w:val="00D5180B"/>
    <w:rsid w:val="00D51CF0"/>
    <w:rsid w:val="00D51F6D"/>
    <w:rsid w:val="00D5211A"/>
    <w:rsid w:val="00D52B6C"/>
    <w:rsid w:val="00D52BF4"/>
    <w:rsid w:val="00D52C43"/>
    <w:rsid w:val="00D5305D"/>
    <w:rsid w:val="00D53345"/>
    <w:rsid w:val="00D534EC"/>
    <w:rsid w:val="00D535FF"/>
    <w:rsid w:val="00D5370C"/>
    <w:rsid w:val="00D53813"/>
    <w:rsid w:val="00D5394B"/>
    <w:rsid w:val="00D539E5"/>
    <w:rsid w:val="00D53AE0"/>
    <w:rsid w:val="00D53B4A"/>
    <w:rsid w:val="00D53C0F"/>
    <w:rsid w:val="00D53E5B"/>
    <w:rsid w:val="00D53F50"/>
    <w:rsid w:val="00D54018"/>
    <w:rsid w:val="00D5414A"/>
    <w:rsid w:val="00D54483"/>
    <w:rsid w:val="00D547CB"/>
    <w:rsid w:val="00D54B95"/>
    <w:rsid w:val="00D54C29"/>
    <w:rsid w:val="00D54D6A"/>
    <w:rsid w:val="00D54E28"/>
    <w:rsid w:val="00D551D1"/>
    <w:rsid w:val="00D55293"/>
    <w:rsid w:val="00D55443"/>
    <w:rsid w:val="00D55975"/>
    <w:rsid w:val="00D55AA2"/>
    <w:rsid w:val="00D55ECB"/>
    <w:rsid w:val="00D56066"/>
    <w:rsid w:val="00D5629F"/>
    <w:rsid w:val="00D562A4"/>
    <w:rsid w:val="00D563CB"/>
    <w:rsid w:val="00D56863"/>
    <w:rsid w:val="00D568B5"/>
    <w:rsid w:val="00D56D0D"/>
    <w:rsid w:val="00D570CB"/>
    <w:rsid w:val="00D57398"/>
    <w:rsid w:val="00D57474"/>
    <w:rsid w:val="00D5759D"/>
    <w:rsid w:val="00D57776"/>
    <w:rsid w:val="00D57864"/>
    <w:rsid w:val="00D57A9D"/>
    <w:rsid w:val="00D57AB3"/>
    <w:rsid w:val="00D57BF4"/>
    <w:rsid w:val="00D57D9A"/>
    <w:rsid w:val="00D6000A"/>
    <w:rsid w:val="00D61243"/>
    <w:rsid w:val="00D614A0"/>
    <w:rsid w:val="00D61537"/>
    <w:rsid w:val="00D6159C"/>
    <w:rsid w:val="00D6166D"/>
    <w:rsid w:val="00D61774"/>
    <w:rsid w:val="00D618C7"/>
    <w:rsid w:val="00D6198E"/>
    <w:rsid w:val="00D619C3"/>
    <w:rsid w:val="00D61A3A"/>
    <w:rsid w:val="00D61A4B"/>
    <w:rsid w:val="00D61B37"/>
    <w:rsid w:val="00D61D5E"/>
    <w:rsid w:val="00D6202A"/>
    <w:rsid w:val="00D622E4"/>
    <w:rsid w:val="00D6232A"/>
    <w:rsid w:val="00D62560"/>
    <w:rsid w:val="00D627CB"/>
    <w:rsid w:val="00D6281D"/>
    <w:rsid w:val="00D6287E"/>
    <w:rsid w:val="00D62B54"/>
    <w:rsid w:val="00D62FC7"/>
    <w:rsid w:val="00D63322"/>
    <w:rsid w:val="00D63549"/>
    <w:rsid w:val="00D635C2"/>
    <w:rsid w:val="00D636D8"/>
    <w:rsid w:val="00D638A2"/>
    <w:rsid w:val="00D638A9"/>
    <w:rsid w:val="00D638C6"/>
    <w:rsid w:val="00D638F7"/>
    <w:rsid w:val="00D639C4"/>
    <w:rsid w:val="00D63AD7"/>
    <w:rsid w:val="00D63C63"/>
    <w:rsid w:val="00D63E47"/>
    <w:rsid w:val="00D641A7"/>
    <w:rsid w:val="00D64275"/>
    <w:rsid w:val="00D64606"/>
    <w:rsid w:val="00D64DB0"/>
    <w:rsid w:val="00D64E3D"/>
    <w:rsid w:val="00D6507F"/>
    <w:rsid w:val="00D650CC"/>
    <w:rsid w:val="00D6520A"/>
    <w:rsid w:val="00D65211"/>
    <w:rsid w:val="00D6534B"/>
    <w:rsid w:val="00D6566B"/>
    <w:rsid w:val="00D6580C"/>
    <w:rsid w:val="00D65813"/>
    <w:rsid w:val="00D65835"/>
    <w:rsid w:val="00D6590E"/>
    <w:rsid w:val="00D65A6B"/>
    <w:rsid w:val="00D65DE5"/>
    <w:rsid w:val="00D65E46"/>
    <w:rsid w:val="00D65FD0"/>
    <w:rsid w:val="00D66357"/>
    <w:rsid w:val="00D66360"/>
    <w:rsid w:val="00D6637C"/>
    <w:rsid w:val="00D663DF"/>
    <w:rsid w:val="00D66CEA"/>
    <w:rsid w:val="00D67084"/>
    <w:rsid w:val="00D6709E"/>
    <w:rsid w:val="00D67464"/>
    <w:rsid w:val="00D67891"/>
    <w:rsid w:val="00D678E4"/>
    <w:rsid w:val="00D67DF6"/>
    <w:rsid w:val="00D67FC6"/>
    <w:rsid w:val="00D702C7"/>
    <w:rsid w:val="00D70336"/>
    <w:rsid w:val="00D7039C"/>
    <w:rsid w:val="00D705EA"/>
    <w:rsid w:val="00D710E6"/>
    <w:rsid w:val="00D71207"/>
    <w:rsid w:val="00D715A9"/>
    <w:rsid w:val="00D71947"/>
    <w:rsid w:val="00D71E76"/>
    <w:rsid w:val="00D7216F"/>
    <w:rsid w:val="00D7272F"/>
    <w:rsid w:val="00D727DA"/>
    <w:rsid w:val="00D72870"/>
    <w:rsid w:val="00D72DD1"/>
    <w:rsid w:val="00D72FFC"/>
    <w:rsid w:val="00D730BC"/>
    <w:rsid w:val="00D732B5"/>
    <w:rsid w:val="00D73464"/>
    <w:rsid w:val="00D735CC"/>
    <w:rsid w:val="00D73774"/>
    <w:rsid w:val="00D7388C"/>
    <w:rsid w:val="00D73912"/>
    <w:rsid w:val="00D73913"/>
    <w:rsid w:val="00D73994"/>
    <w:rsid w:val="00D73B3A"/>
    <w:rsid w:val="00D73B49"/>
    <w:rsid w:val="00D73CEE"/>
    <w:rsid w:val="00D73EC4"/>
    <w:rsid w:val="00D73F26"/>
    <w:rsid w:val="00D73F91"/>
    <w:rsid w:val="00D7415A"/>
    <w:rsid w:val="00D74341"/>
    <w:rsid w:val="00D74462"/>
    <w:rsid w:val="00D744C6"/>
    <w:rsid w:val="00D744F0"/>
    <w:rsid w:val="00D745C7"/>
    <w:rsid w:val="00D74770"/>
    <w:rsid w:val="00D74A40"/>
    <w:rsid w:val="00D74AD8"/>
    <w:rsid w:val="00D74BC5"/>
    <w:rsid w:val="00D74C43"/>
    <w:rsid w:val="00D74CBD"/>
    <w:rsid w:val="00D74D85"/>
    <w:rsid w:val="00D75114"/>
    <w:rsid w:val="00D7516C"/>
    <w:rsid w:val="00D7518B"/>
    <w:rsid w:val="00D75358"/>
    <w:rsid w:val="00D75437"/>
    <w:rsid w:val="00D7549D"/>
    <w:rsid w:val="00D754FA"/>
    <w:rsid w:val="00D75536"/>
    <w:rsid w:val="00D75542"/>
    <w:rsid w:val="00D756C4"/>
    <w:rsid w:val="00D757E7"/>
    <w:rsid w:val="00D75AC2"/>
    <w:rsid w:val="00D75B39"/>
    <w:rsid w:val="00D76035"/>
    <w:rsid w:val="00D7609D"/>
    <w:rsid w:val="00D76191"/>
    <w:rsid w:val="00D76348"/>
    <w:rsid w:val="00D764A7"/>
    <w:rsid w:val="00D7657F"/>
    <w:rsid w:val="00D768B3"/>
    <w:rsid w:val="00D76AAC"/>
    <w:rsid w:val="00D76DB6"/>
    <w:rsid w:val="00D77294"/>
    <w:rsid w:val="00D77428"/>
    <w:rsid w:val="00D77630"/>
    <w:rsid w:val="00D77682"/>
    <w:rsid w:val="00D77B78"/>
    <w:rsid w:val="00D77BB4"/>
    <w:rsid w:val="00D77DF8"/>
    <w:rsid w:val="00D801D2"/>
    <w:rsid w:val="00D8031C"/>
    <w:rsid w:val="00D8034E"/>
    <w:rsid w:val="00D80862"/>
    <w:rsid w:val="00D808D5"/>
    <w:rsid w:val="00D80A0A"/>
    <w:rsid w:val="00D80D32"/>
    <w:rsid w:val="00D80DA9"/>
    <w:rsid w:val="00D8132B"/>
    <w:rsid w:val="00D81752"/>
    <w:rsid w:val="00D817C2"/>
    <w:rsid w:val="00D817F1"/>
    <w:rsid w:val="00D8226D"/>
    <w:rsid w:val="00D822B7"/>
    <w:rsid w:val="00D82641"/>
    <w:rsid w:val="00D82761"/>
    <w:rsid w:val="00D82935"/>
    <w:rsid w:val="00D82BFC"/>
    <w:rsid w:val="00D8312D"/>
    <w:rsid w:val="00D8324C"/>
    <w:rsid w:val="00D83411"/>
    <w:rsid w:val="00D83783"/>
    <w:rsid w:val="00D839EE"/>
    <w:rsid w:val="00D83A56"/>
    <w:rsid w:val="00D83F91"/>
    <w:rsid w:val="00D842EF"/>
    <w:rsid w:val="00D8430C"/>
    <w:rsid w:val="00D84388"/>
    <w:rsid w:val="00D843BB"/>
    <w:rsid w:val="00D84633"/>
    <w:rsid w:val="00D84E39"/>
    <w:rsid w:val="00D850A7"/>
    <w:rsid w:val="00D85226"/>
    <w:rsid w:val="00D8522C"/>
    <w:rsid w:val="00D8530C"/>
    <w:rsid w:val="00D85315"/>
    <w:rsid w:val="00D856D9"/>
    <w:rsid w:val="00D85818"/>
    <w:rsid w:val="00D8586A"/>
    <w:rsid w:val="00D858BB"/>
    <w:rsid w:val="00D861B4"/>
    <w:rsid w:val="00D865FC"/>
    <w:rsid w:val="00D86720"/>
    <w:rsid w:val="00D8684A"/>
    <w:rsid w:val="00D86A99"/>
    <w:rsid w:val="00D86B71"/>
    <w:rsid w:val="00D86C2E"/>
    <w:rsid w:val="00D86D9D"/>
    <w:rsid w:val="00D86F7F"/>
    <w:rsid w:val="00D87057"/>
    <w:rsid w:val="00D8705C"/>
    <w:rsid w:val="00D87340"/>
    <w:rsid w:val="00D8750E"/>
    <w:rsid w:val="00D876D3"/>
    <w:rsid w:val="00D879D9"/>
    <w:rsid w:val="00D87B94"/>
    <w:rsid w:val="00D87CAB"/>
    <w:rsid w:val="00D905FD"/>
    <w:rsid w:val="00D9065D"/>
    <w:rsid w:val="00D909D6"/>
    <w:rsid w:val="00D909F7"/>
    <w:rsid w:val="00D90A00"/>
    <w:rsid w:val="00D90C4E"/>
    <w:rsid w:val="00D911B6"/>
    <w:rsid w:val="00D914DC"/>
    <w:rsid w:val="00D9183C"/>
    <w:rsid w:val="00D919A9"/>
    <w:rsid w:val="00D91B08"/>
    <w:rsid w:val="00D91B18"/>
    <w:rsid w:val="00D91C0C"/>
    <w:rsid w:val="00D91DAF"/>
    <w:rsid w:val="00D92116"/>
    <w:rsid w:val="00D92170"/>
    <w:rsid w:val="00D922EC"/>
    <w:rsid w:val="00D92398"/>
    <w:rsid w:val="00D9257A"/>
    <w:rsid w:val="00D9282A"/>
    <w:rsid w:val="00D928D0"/>
    <w:rsid w:val="00D92A2E"/>
    <w:rsid w:val="00D92D49"/>
    <w:rsid w:val="00D92D6A"/>
    <w:rsid w:val="00D92EC1"/>
    <w:rsid w:val="00D932FD"/>
    <w:rsid w:val="00D936CD"/>
    <w:rsid w:val="00D9376E"/>
    <w:rsid w:val="00D93969"/>
    <w:rsid w:val="00D93A5E"/>
    <w:rsid w:val="00D9400D"/>
    <w:rsid w:val="00D943C4"/>
    <w:rsid w:val="00D94834"/>
    <w:rsid w:val="00D9491D"/>
    <w:rsid w:val="00D94AA5"/>
    <w:rsid w:val="00D94ABB"/>
    <w:rsid w:val="00D94AD1"/>
    <w:rsid w:val="00D94D7B"/>
    <w:rsid w:val="00D94DBB"/>
    <w:rsid w:val="00D951EA"/>
    <w:rsid w:val="00D952DD"/>
    <w:rsid w:val="00D953B7"/>
    <w:rsid w:val="00D9571E"/>
    <w:rsid w:val="00D959E8"/>
    <w:rsid w:val="00D95BB0"/>
    <w:rsid w:val="00D95C35"/>
    <w:rsid w:val="00D95F6C"/>
    <w:rsid w:val="00D960DF"/>
    <w:rsid w:val="00D96696"/>
    <w:rsid w:val="00D96D31"/>
    <w:rsid w:val="00D96DD3"/>
    <w:rsid w:val="00D96DEA"/>
    <w:rsid w:val="00D96EB4"/>
    <w:rsid w:val="00D96F04"/>
    <w:rsid w:val="00D96FB3"/>
    <w:rsid w:val="00D97436"/>
    <w:rsid w:val="00D9775D"/>
    <w:rsid w:val="00D97BE9"/>
    <w:rsid w:val="00D97CDC"/>
    <w:rsid w:val="00D97D31"/>
    <w:rsid w:val="00D97E58"/>
    <w:rsid w:val="00D97FFB"/>
    <w:rsid w:val="00DA012E"/>
    <w:rsid w:val="00DA01E1"/>
    <w:rsid w:val="00DA0423"/>
    <w:rsid w:val="00DA081C"/>
    <w:rsid w:val="00DA0846"/>
    <w:rsid w:val="00DA096A"/>
    <w:rsid w:val="00DA0CD7"/>
    <w:rsid w:val="00DA0F1E"/>
    <w:rsid w:val="00DA1256"/>
    <w:rsid w:val="00DA12C6"/>
    <w:rsid w:val="00DA16D1"/>
    <w:rsid w:val="00DA180E"/>
    <w:rsid w:val="00DA18B6"/>
    <w:rsid w:val="00DA1993"/>
    <w:rsid w:val="00DA1A35"/>
    <w:rsid w:val="00DA1F78"/>
    <w:rsid w:val="00DA2137"/>
    <w:rsid w:val="00DA249E"/>
    <w:rsid w:val="00DA25C7"/>
    <w:rsid w:val="00DA2A48"/>
    <w:rsid w:val="00DA2B38"/>
    <w:rsid w:val="00DA2CCB"/>
    <w:rsid w:val="00DA2D69"/>
    <w:rsid w:val="00DA3440"/>
    <w:rsid w:val="00DA3490"/>
    <w:rsid w:val="00DA3683"/>
    <w:rsid w:val="00DA3A94"/>
    <w:rsid w:val="00DA3B33"/>
    <w:rsid w:val="00DA3BFC"/>
    <w:rsid w:val="00DA4066"/>
    <w:rsid w:val="00DA4256"/>
    <w:rsid w:val="00DA42D7"/>
    <w:rsid w:val="00DA447F"/>
    <w:rsid w:val="00DA47AB"/>
    <w:rsid w:val="00DA481C"/>
    <w:rsid w:val="00DA4C47"/>
    <w:rsid w:val="00DA4E41"/>
    <w:rsid w:val="00DA4F24"/>
    <w:rsid w:val="00DA4F91"/>
    <w:rsid w:val="00DA53E7"/>
    <w:rsid w:val="00DA59BA"/>
    <w:rsid w:val="00DA5A29"/>
    <w:rsid w:val="00DA5BB7"/>
    <w:rsid w:val="00DA5D2E"/>
    <w:rsid w:val="00DA5E53"/>
    <w:rsid w:val="00DA600D"/>
    <w:rsid w:val="00DA65B3"/>
    <w:rsid w:val="00DA6667"/>
    <w:rsid w:val="00DA66E9"/>
    <w:rsid w:val="00DA6B26"/>
    <w:rsid w:val="00DA6CA5"/>
    <w:rsid w:val="00DA6CC1"/>
    <w:rsid w:val="00DA6EC8"/>
    <w:rsid w:val="00DA6F6B"/>
    <w:rsid w:val="00DA719E"/>
    <w:rsid w:val="00DA74AC"/>
    <w:rsid w:val="00DA7597"/>
    <w:rsid w:val="00DA76B9"/>
    <w:rsid w:val="00DA77F0"/>
    <w:rsid w:val="00DA7AD6"/>
    <w:rsid w:val="00DA7AE7"/>
    <w:rsid w:val="00DA7D7C"/>
    <w:rsid w:val="00DA7E04"/>
    <w:rsid w:val="00DA7F83"/>
    <w:rsid w:val="00DB003A"/>
    <w:rsid w:val="00DB003F"/>
    <w:rsid w:val="00DB0274"/>
    <w:rsid w:val="00DB06D7"/>
    <w:rsid w:val="00DB09E5"/>
    <w:rsid w:val="00DB0B7E"/>
    <w:rsid w:val="00DB0CC8"/>
    <w:rsid w:val="00DB0D43"/>
    <w:rsid w:val="00DB0D61"/>
    <w:rsid w:val="00DB0E81"/>
    <w:rsid w:val="00DB1075"/>
    <w:rsid w:val="00DB1098"/>
    <w:rsid w:val="00DB117A"/>
    <w:rsid w:val="00DB1450"/>
    <w:rsid w:val="00DB14C0"/>
    <w:rsid w:val="00DB14D0"/>
    <w:rsid w:val="00DB1757"/>
    <w:rsid w:val="00DB1A64"/>
    <w:rsid w:val="00DB1B0E"/>
    <w:rsid w:val="00DB1C7D"/>
    <w:rsid w:val="00DB21F4"/>
    <w:rsid w:val="00DB222A"/>
    <w:rsid w:val="00DB2448"/>
    <w:rsid w:val="00DB25F2"/>
    <w:rsid w:val="00DB2719"/>
    <w:rsid w:val="00DB2918"/>
    <w:rsid w:val="00DB292E"/>
    <w:rsid w:val="00DB2AB0"/>
    <w:rsid w:val="00DB2AD2"/>
    <w:rsid w:val="00DB306C"/>
    <w:rsid w:val="00DB34EA"/>
    <w:rsid w:val="00DB3518"/>
    <w:rsid w:val="00DB3544"/>
    <w:rsid w:val="00DB3661"/>
    <w:rsid w:val="00DB376F"/>
    <w:rsid w:val="00DB3859"/>
    <w:rsid w:val="00DB38DB"/>
    <w:rsid w:val="00DB38FE"/>
    <w:rsid w:val="00DB391F"/>
    <w:rsid w:val="00DB3DA7"/>
    <w:rsid w:val="00DB3E95"/>
    <w:rsid w:val="00DB4039"/>
    <w:rsid w:val="00DB4070"/>
    <w:rsid w:val="00DB4076"/>
    <w:rsid w:val="00DB43B1"/>
    <w:rsid w:val="00DB45E8"/>
    <w:rsid w:val="00DB462B"/>
    <w:rsid w:val="00DB478C"/>
    <w:rsid w:val="00DB4C06"/>
    <w:rsid w:val="00DB4CDA"/>
    <w:rsid w:val="00DB4D88"/>
    <w:rsid w:val="00DB4EB6"/>
    <w:rsid w:val="00DB4FEB"/>
    <w:rsid w:val="00DB5173"/>
    <w:rsid w:val="00DB57E3"/>
    <w:rsid w:val="00DB5B5F"/>
    <w:rsid w:val="00DB5E86"/>
    <w:rsid w:val="00DB5F75"/>
    <w:rsid w:val="00DB61AB"/>
    <w:rsid w:val="00DB643F"/>
    <w:rsid w:val="00DB657D"/>
    <w:rsid w:val="00DB65DD"/>
    <w:rsid w:val="00DB6843"/>
    <w:rsid w:val="00DB686A"/>
    <w:rsid w:val="00DB68CA"/>
    <w:rsid w:val="00DB6BF1"/>
    <w:rsid w:val="00DB6C75"/>
    <w:rsid w:val="00DB6CAF"/>
    <w:rsid w:val="00DB6F22"/>
    <w:rsid w:val="00DB7873"/>
    <w:rsid w:val="00DB7C21"/>
    <w:rsid w:val="00DB7CB3"/>
    <w:rsid w:val="00DB7D04"/>
    <w:rsid w:val="00DC03A8"/>
    <w:rsid w:val="00DC067C"/>
    <w:rsid w:val="00DC0709"/>
    <w:rsid w:val="00DC0CE1"/>
    <w:rsid w:val="00DC0E36"/>
    <w:rsid w:val="00DC136A"/>
    <w:rsid w:val="00DC1385"/>
    <w:rsid w:val="00DC14FE"/>
    <w:rsid w:val="00DC187B"/>
    <w:rsid w:val="00DC1AB1"/>
    <w:rsid w:val="00DC1C4C"/>
    <w:rsid w:val="00DC1CDE"/>
    <w:rsid w:val="00DC1FE6"/>
    <w:rsid w:val="00DC22A5"/>
    <w:rsid w:val="00DC2335"/>
    <w:rsid w:val="00DC25EE"/>
    <w:rsid w:val="00DC2758"/>
    <w:rsid w:val="00DC2B11"/>
    <w:rsid w:val="00DC2CD3"/>
    <w:rsid w:val="00DC339E"/>
    <w:rsid w:val="00DC3858"/>
    <w:rsid w:val="00DC38C7"/>
    <w:rsid w:val="00DC3948"/>
    <w:rsid w:val="00DC3E78"/>
    <w:rsid w:val="00DC3EC2"/>
    <w:rsid w:val="00DC4047"/>
    <w:rsid w:val="00DC41B3"/>
    <w:rsid w:val="00DC422D"/>
    <w:rsid w:val="00DC43E7"/>
    <w:rsid w:val="00DC45C0"/>
    <w:rsid w:val="00DC4730"/>
    <w:rsid w:val="00DC48BB"/>
    <w:rsid w:val="00DC48FE"/>
    <w:rsid w:val="00DC4BDE"/>
    <w:rsid w:val="00DC4D02"/>
    <w:rsid w:val="00DC4D5A"/>
    <w:rsid w:val="00DC4E45"/>
    <w:rsid w:val="00DC51C1"/>
    <w:rsid w:val="00DC5527"/>
    <w:rsid w:val="00DC5833"/>
    <w:rsid w:val="00DC59F9"/>
    <w:rsid w:val="00DC5A4E"/>
    <w:rsid w:val="00DC5B3E"/>
    <w:rsid w:val="00DC5C22"/>
    <w:rsid w:val="00DC5F62"/>
    <w:rsid w:val="00DC6364"/>
    <w:rsid w:val="00DC650B"/>
    <w:rsid w:val="00DC657E"/>
    <w:rsid w:val="00DC69B3"/>
    <w:rsid w:val="00DC6B1D"/>
    <w:rsid w:val="00DC6C50"/>
    <w:rsid w:val="00DC6E40"/>
    <w:rsid w:val="00DC6E9F"/>
    <w:rsid w:val="00DC7039"/>
    <w:rsid w:val="00DC7044"/>
    <w:rsid w:val="00DC712B"/>
    <w:rsid w:val="00DC7369"/>
    <w:rsid w:val="00DC7A33"/>
    <w:rsid w:val="00DC7EC1"/>
    <w:rsid w:val="00DD0004"/>
    <w:rsid w:val="00DD010A"/>
    <w:rsid w:val="00DD0334"/>
    <w:rsid w:val="00DD04DE"/>
    <w:rsid w:val="00DD0736"/>
    <w:rsid w:val="00DD073C"/>
    <w:rsid w:val="00DD0A1A"/>
    <w:rsid w:val="00DD0A53"/>
    <w:rsid w:val="00DD0B96"/>
    <w:rsid w:val="00DD0C38"/>
    <w:rsid w:val="00DD0C9D"/>
    <w:rsid w:val="00DD0CC7"/>
    <w:rsid w:val="00DD1084"/>
    <w:rsid w:val="00DD11C9"/>
    <w:rsid w:val="00DD120B"/>
    <w:rsid w:val="00DD1298"/>
    <w:rsid w:val="00DD1702"/>
    <w:rsid w:val="00DD1762"/>
    <w:rsid w:val="00DD18F7"/>
    <w:rsid w:val="00DD1A43"/>
    <w:rsid w:val="00DD1D75"/>
    <w:rsid w:val="00DD203C"/>
    <w:rsid w:val="00DD20A7"/>
    <w:rsid w:val="00DD2278"/>
    <w:rsid w:val="00DD27F4"/>
    <w:rsid w:val="00DD2A2F"/>
    <w:rsid w:val="00DD2A65"/>
    <w:rsid w:val="00DD2A87"/>
    <w:rsid w:val="00DD2AC4"/>
    <w:rsid w:val="00DD2B5D"/>
    <w:rsid w:val="00DD2C41"/>
    <w:rsid w:val="00DD2E45"/>
    <w:rsid w:val="00DD31F0"/>
    <w:rsid w:val="00DD3504"/>
    <w:rsid w:val="00DD36CC"/>
    <w:rsid w:val="00DD379D"/>
    <w:rsid w:val="00DD39EE"/>
    <w:rsid w:val="00DD3A72"/>
    <w:rsid w:val="00DD3A88"/>
    <w:rsid w:val="00DD3B7F"/>
    <w:rsid w:val="00DD4072"/>
    <w:rsid w:val="00DD40B7"/>
    <w:rsid w:val="00DD436A"/>
    <w:rsid w:val="00DD4506"/>
    <w:rsid w:val="00DD4ACF"/>
    <w:rsid w:val="00DD5241"/>
    <w:rsid w:val="00DD5381"/>
    <w:rsid w:val="00DD544F"/>
    <w:rsid w:val="00DD54C3"/>
    <w:rsid w:val="00DD5BE5"/>
    <w:rsid w:val="00DD5C79"/>
    <w:rsid w:val="00DD5D9B"/>
    <w:rsid w:val="00DD5EAF"/>
    <w:rsid w:val="00DD63A9"/>
    <w:rsid w:val="00DD63BC"/>
    <w:rsid w:val="00DD64E3"/>
    <w:rsid w:val="00DD6580"/>
    <w:rsid w:val="00DD65E6"/>
    <w:rsid w:val="00DD6621"/>
    <w:rsid w:val="00DD6634"/>
    <w:rsid w:val="00DD6E15"/>
    <w:rsid w:val="00DD6F61"/>
    <w:rsid w:val="00DD6FD5"/>
    <w:rsid w:val="00DD7303"/>
    <w:rsid w:val="00DD73C2"/>
    <w:rsid w:val="00DD758D"/>
    <w:rsid w:val="00DD7AF0"/>
    <w:rsid w:val="00DD7B85"/>
    <w:rsid w:val="00DD7CDA"/>
    <w:rsid w:val="00DE012D"/>
    <w:rsid w:val="00DE045D"/>
    <w:rsid w:val="00DE0A92"/>
    <w:rsid w:val="00DE0D0F"/>
    <w:rsid w:val="00DE0ED3"/>
    <w:rsid w:val="00DE0FCC"/>
    <w:rsid w:val="00DE11A4"/>
    <w:rsid w:val="00DE1346"/>
    <w:rsid w:val="00DE1662"/>
    <w:rsid w:val="00DE17F9"/>
    <w:rsid w:val="00DE1944"/>
    <w:rsid w:val="00DE20E5"/>
    <w:rsid w:val="00DE21F1"/>
    <w:rsid w:val="00DE2243"/>
    <w:rsid w:val="00DE2245"/>
    <w:rsid w:val="00DE2246"/>
    <w:rsid w:val="00DE28AA"/>
    <w:rsid w:val="00DE2CBA"/>
    <w:rsid w:val="00DE2CF4"/>
    <w:rsid w:val="00DE2FBF"/>
    <w:rsid w:val="00DE319B"/>
    <w:rsid w:val="00DE3245"/>
    <w:rsid w:val="00DE3693"/>
    <w:rsid w:val="00DE3E21"/>
    <w:rsid w:val="00DE3F9D"/>
    <w:rsid w:val="00DE421E"/>
    <w:rsid w:val="00DE4468"/>
    <w:rsid w:val="00DE4532"/>
    <w:rsid w:val="00DE462C"/>
    <w:rsid w:val="00DE470A"/>
    <w:rsid w:val="00DE4716"/>
    <w:rsid w:val="00DE4880"/>
    <w:rsid w:val="00DE4C96"/>
    <w:rsid w:val="00DE5052"/>
    <w:rsid w:val="00DE513D"/>
    <w:rsid w:val="00DE5244"/>
    <w:rsid w:val="00DE5253"/>
    <w:rsid w:val="00DE5A7E"/>
    <w:rsid w:val="00DE5BC0"/>
    <w:rsid w:val="00DE5BF8"/>
    <w:rsid w:val="00DE5C35"/>
    <w:rsid w:val="00DE60A6"/>
    <w:rsid w:val="00DE60EC"/>
    <w:rsid w:val="00DE6181"/>
    <w:rsid w:val="00DE6309"/>
    <w:rsid w:val="00DE633C"/>
    <w:rsid w:val="00DE6441"/>
    <w:rsid w:val="00DE64FE"/>
    <w:rsid w:val="00DE6550"/>
    <w:rsid w:val="00DE67C8"/>
    <w:rsid w:val="00DE69A9"/>
    <w:rsid w:val="00DE6B0D"/>
    <w:rsid w:val="00DE6E16"/>
    <w:rsid w:val="00DE7138"/>
    <w:rsid w:val="00DE7540"/>
    <w:rsid w:val="00DE78C0"/>
    <w:rsid w:val="00DE7960"/>
    <w:rsid w:val="00DF00D5"/>
    <w:rsid w:val="00DF05EC"/>
    <w:rsid w:val="00DF0824"/>
    <w:rsid w:val="00DF0D1A"/>
    <w:rsid w:val="00DF1022"/>
    <w:rsid w:val="00DF1162"/>
    <w:rsid w:val="00DF1268"/>
    <w:rsid w:val="00DF12BF"/>
    <w:rsid w:val="00DF1404"/>
    <w:rsid w:val="00DF1694"/>
    <w:rsid w:val="00DF199C"/>
    <w:rsid w:val="00DF1A9F"/>
    <w:rsid w:val="00DF1B18"/>
    <w:rsid w:val="00DF1BAB"/>
    <w:rsid w:val="00DF1CC5"/>
    <w:rsid w:val="00DF1CD5"/>
    <w:rsid w:val="00DF1D6D"/>
    <w:rsid w:val="00DF1ECF"/>
    <w:rsid w:val="00DF1FD2"/>
    <w:rsid w:val="00DF2069"/>
    <w:rsid w:val="00DF22DB"/>
    <w:rsid w:val="00DF2398"/>
    <w:rsid w:val="00DF243D"/>
    <w:rsid w:val="00DF25BA"/>
    <w:rsid w:val="00DF2718"/>
    <w:rsid w:val="00DF2752"/>
    <w:rsid w:val="00DF2801"/>
    <w:rsid w:val="00DF2FD3"/>
    <w:rsid w:val="00DF3198"/>
    <w:rsid w:val="00DF3290"/>
    <w:rsid w:val="00DF34FE"/>
    <w:rsid w:val="00DF3591"/>
    <w:rsid w:val="00DF37C4"/>
    <w:rsid w:val="00DF3AD7"/>
    <w:rsid w:val="00DF3BF7"/>
    <w:rsid w:val="00DF3DCC"/>
    <w:rsid w:val="00DF3E1F"/>
    <w:rsid w:val="00DF4272"/>
    <w:rsid w:val="00DF446C"/>
    <w:rsid w:val="00DF44E2"/>
    <w:rsid w:val="00DF44F8"/>
    <w:rsid w:val="00DF46EB"/>
    <w:rsid w:val="00DF476B"/>
    <w:rsid w:val="00DF4994"/>
    <w:rsid w:val="00DF4A38"/>
    <w:rsid w:val="00DF4C0C"/>
    <w:rsid w:val="00DF51F5"/>
    <w:rsid w:val="00DF5314"/>
    <w:rsid w:val="00DF5382"/>
    <w:rsid w:val="00DF5456"/>
    <w:rsid w:val="00DF5523"/>
    <w:rsid w:val="00DF56AA"/>
    <w:rsid w:val="00DF56AF"/>
    <w:rsid w:val="00DF5841"/>
    <w:rsid w:val="00DF586D"/>
    <w:rsid w:val="00DF5C6D"/>
    <w:rsid w:val="00DF5CA2"/>
    <w:rsid w:val="00DF5F93"/>
    <w:rsid w:val="00DF5FE9"/>
    <w:rsid w:val="00DF6128"/>
    <w:rsid w:val="00DF63D2"/>
    <w:rsid w:val="00DF6432"/>
    <w:rsid w:val="00DF64C9"/>
    <w:rsid w:val="00DF65DC"/>
    <w:rsid w:val="00DF66DE"/>
    <w:rsid w:val="00DF6854"/>
    <w:rsid w:val="00DF6A7E"/>
    <w:rsid w:val="00DF6D1F"/>
    <w:rsid w:val="00DF6E4D"/>
    <w:rsid w:val="00DF6EBC"/>
    <w:rsid w:val="00DF715D"/>
    <w:rsid w:val="00DF71A6"/>
    <w:rsid w:val="00DF77FD"/>
    <w:rsid w:val="00DF78E7"/>
    <w:rsid w:val="00E000FD"/>
    <w:rsid w:val="00E00207"/>
    <w:rsid w:val="00E002A7"/>
    <w:rsid w:val="00E00315"/>
    <w:rsid w:val="00E00979"/>
    <w:rsid w:val="00E00AC9"/>
    <w:rsid w:val="00E00B7E"/>
    <w:rsid w:val="00E00B80"/>
    <w:rsid w:val="00E01237"/>
    <w:rsid w:val="00E01277"/>
    <w:rsid w:val="00E0142B"/>
    <w:rsid w:val="00E014FF"/>
    <w:rsid w:val="00E016F9"/>
    <w:rsid w:val="00E01D1F"/>
    <w:rsid w:val="00E01D3E"/>
    <w:rsid w:val="00E01E0E"/>
    <w:rsid w:val="00E01E9B"/>
    <w:rsid w:val="00E0212C"/>
    <w:rsid w:val="00E02141"/>
    <w:rsid w:val="00E02A93"/>
    <w:rsid w:val="00E03037"/>
    <w:rsid w:val="00E03092"/>
    <w:rsid w:val="00E0315D"/>
    <w:rsid w:val="00E03363"/>
    <w:rsid w:val="00E034BE"/>
    <w:rsid w:val="00E0371C"/>
    <w:rsid w:val="00E03B7E"/>
    <w:rsid w:val="00E03BDF"/>
    <w:rsid w:val="00E03CCD"/>
    <w:rsid w:val="00E03E45"/>
    <w:rsid w:val="00E042A1"/>
    <w:rsid w:val="00E0480B"/>
    <w:rsid w:val="00E04890"/>
    <w:rsid w:val="00E048C1"/>
    <w:rsid w:val="00E0495B"/>
    <w:rsid w:val="00E04B74"/>
    <w:rsid w:val="00E04CD7"/>
    <w:rsid w:val="00E04DB5"/>
    <w:rsid w:val="00E0505E"/>
    <w:rsid w:val="00E05266"/>
    <w:rsid w:val="00E05425"/>
    <w:rsid w:val="00E055BE"/>
    <w:rsid w:val="00E05750"/>
    <w:rsid w:val="00E05951"/>
    <w:rsid w:val="00E05A27"/>
    <w:rsid w:val="00E05FB6"/>
    <w:rsid w:val="00E060AE"/>
    <w:rsid w:val="00E063EF"/>
    <w:rsid w:val="00E065DA"/>
    <w:rsid w:val="00E06DDB"/>
    <w:rsid w:val="00E07015"/>
    <w:rsid w:val="00E0719C"/>
    <w:rsid w:val="00E07253"/>
    <w:rsid w:val="00E079AE"/>
    <w:rsid w:val="00E100C2"/>
    <w:rsid w:val="00E10419"/>
    <w:rsid w:val="00E10723"/>
    <w:rsid w:val="00E10996"/>
    <w:rsid w:val="00E109CF"/>
    <w:rsid w:val="00E10AF2"/>
    <w:rsid w:val="00E10E74"/>
    <w:rsid w:val="00E1102E"/>
    <w:rsid w:val="00E110C3"/>
    <w:rsid w:val="00E110E0"/>
    <w:rsid w:val="00E116C0"/>
    <w:rsid w:val="00E11E1D"/>
    <w:rsid w:val="00E11F43"/>
    <w:rsid w:val="00E125CE"/>
    <w:rsid w:val="00E1263F"/>
    <w:rsid w:val="00E12838"/>
    <w:rsid w:val="00E1284C"/>
    <w:rsid w:val="00E12931"/>
    <w:rsid w:val="00E1294C"/>
    <w:rsid w:val="00E12A96"/>
    <w:rsid w:val="00E12D04"/>
    <w:rsid w:val="00E12E66"/>
    <w:rsid w:val="00E13434"/>
    <w:rsid w:val="00E13551"/>
    <w:rsid w:val="00E13589"/>
    <w:rsid w:val="00E13633"/>
    <w:rsid w:val="00E1379F"/>
    <w:rsid w:val="00E13B32"/>
    <w:rsid w:val="00E13C8B"/>
    <w:rsid w:val="00E14264"/>
    <w:rsid w:val="00E14475"/>
    <w:rsid w:val="00E147C5"/>
    <w:rsid w:val="00E15088"/>
    <w:rsid w:val="00E15361"/>
    <w:rsid w:val="00E15371"/>
    <w:rsid w:val="00E155F5"/>
    <w:rsid w:val="00E1571F"/>
    <w:rsid w:val="00E157FA"/>
    <w:rsid w:val="00E15979"/>
    <w:rsid w:val="00E159D9"/>
    <w:rsid w:val="00E15C60"/>
    <w:rsid w:val="00E15D78"/>
    <w:rsid w:val="00E15E72"/>
    <w:rsid w:val="00E15FE0"/>
    <w:rsid w:val="00E160F7"/>
    <w:rsid w:val="00E16113"/>
    <w:rsid w:val="00E16172"/>
    <w:rsid w:val="00E16173"/>
    <w:rsid w:val="00E162C4"/>
    <w:rsid w:val="00E164EF"/>
    <w:rsid w:val="00E16801"/>
    <w:rsid w:val="00E168EB"/>
    <w:rsid w:val="00E16AE0"/>
    <w:rsid w:val="00E16B4E"/>
    <w:rsid w:val="00E16BB6"/>
    <w:rsid w:val="00E16C99"/>
    <w:rsid w:val="00E16DFE"/>
    <w:rsid w:val="00E16FD3"/>
    <w:rsid w:val="00E17882"/>
    <w:rsid w:val="00E200CA"/>
    <w:rsid w:val="00E2021C"/>
    <w:rsid w:val="00E20321"/>
    <w:rsid w:val="00E20401"/>
    <w:rsid w:val="00E20661"/>
    <w:rsid w:val="00E206CD"/>
    <w:rsid w:val="00E208C6"/>
    <w:rsid w:val="00E20BA9"/>
    <w:rsid w:val="00E20C21"/>
    <w:rsid w:val="00E20DCB"/>
    <w:rsid w:val="00E20F19"/>
    <w:rsid w:val="00E21056"/>
    <w:rsid w:val="00E2106B"/>
    <w:rsid w:val="00E21113"/>
    <w:rsid w:val="00E211CC"/>
    <w:rsid w:val="00E2158A"/>
    <w:rsid w:val="00E2179E"/>
    <w:rsid w:val="00E21D3B"/>
    <w:rsid w:val="00E21E4C"/>
    <w:rsid w:val="00E21F7B"/>
    <w:rsid w:val="00E21F83"/>
    <w:rsid w:val="00E21F9F"/>
    <w:rsid w:val="00E21FC7"/>
    <w:rsid w:val="00E220BC"/>
    <w:rsid w:val="00E22387"/>
    <w:rsid w:val="00E223B6"/>
    <w:rsid w:val="00E225F3"/>
    <w:rsid w:val="00E22871"/>
    <w:rsid w:val="00E22920"/>
    <w:rsid w:val="00E22F20"/>
    <w:rsid w:val="00E23183"/>
    <w:rsid w:val="00E2322C"/>
    <w:rsid w:val="00E235DC"/>
    <w:rsid w:val="00E2366B"/>
    <w:rsid w:val="00E2370E"/>
    <w:rsid w:val="00E23741"/>
    <w:rsid w:val="00E23857"/>
    <w:rsid w:val="00E23B1B"/>
    <w:rsid w:val="00E23F46"/>
    <w:rsid w:val="00E24104"/>
    <w:rsid w:val="00E24224"/>
    <w:rsid w:val="00E2430B"/>
    <w:rsid w:val="00E2451D"/>
    <w:rsid w:val="00E246F6"/>
    <w:rsid w:val="00E248E4"/>
    <w:rsid w:val="00E24921"/>
    <w:rsid w:val="00E24943"/>
    <w:rsid w:val="00E24E29"/>
    <w:rsid w:val="00E24F50"/>
    <w:rsid w:val="00E251D2"/>
    <w:rsid w:val="00E25441"/>
    <w:rsid w:val="00E2584E"/>
    <w:rsid w:val="00E25A85"/>
    <w:rsid w:val="00E25B77"/>
    <w:rsid w:val="00E25E1D"/>
    <w:rsid w:val="00E25E78"/>
    <w:rsid w:val="00E25EA0"/>
    <w:rsid w:val="00E26183"/>
    <w:rsid w:val="00E266CA"/>
    <w:rsid w:val="00E26770"/>
    <w:rsid w:val="00E26AC8"/>
    <w:rsid w:val="00E26B26"/>
    <w:rsid w:val="00E26E0F"/>
    <w:rsid w:val="00E26E7B"/>
    <w:rsid w:val="00E272B9"/>
    <w:rsid w:val="00E272F4"/>
    <w:rsid w:val="00E274E2"/>
    <w:rsid w:val="00E2750C"/>
    <w:rsid w:val="00E275E4"/>
    <w:rsid w:val="00E27693"/>
    <w:rsid w:val="00E276B5"/>
    <w:rsid w:val="00E277C3"/>
    <w:rsid w:val="00E277F8"/>
    <w:rsid w:val="00E278A9"/>
    <w:rsid w:val="00E27F0E"/>
    <w:rsid w:val="00E3011B"/>
    <w:rsid w:val="00E3017F"/>
    <w:rsid w:val="00E302D0"/>
    <w:rsid w:val="00E30509"/>
    <w:rsid w:val="00E3064D"/>
    <w:rsid w:val="00E308B7"/>
    <w:rsid w:val="00E30CE2"/>
    <w:rsid w:val="00E310A1"/>
    <w:rsid w:val="00E31268"/>
    <w:rsid w:val="00E31297"/>
    <w:rsid w:val="00E312BC"/>
    <w:rsid w:val="00E31362"/>
    <w:rsid w:val="00E316BA"/>
    <w:rsid w:val="00E31923"/>
    <w:rsid w:val="00E319AE"/>
    <w:rsid w:val="00E31C78"/>
    <w:rsid w:val="00E31D59"/>
    <w:rsid w:val="00E323EF"/>
    <w:rsid w:val="00E3256D"/>
    <w:rsid w:val="00E32C68"/>
    <w:rsid w:val="00E32D29"/>
    <w:rsid w:val="00E32E3F"/>
    <w:rsid w:val="00E32E6F"/>
    <w:rsid w:val="00E32F5C"/>
    <w:rsid w:val="00E32F75"/>
    <w:rsid w:val="00E33473"/>
    <w:rsid w:val="00E33641"/>
    <w:rsid w:val="00E337BB"/>
    <w:rsid w:val="00E33974"/>
    <w:rsid w:val="00E34006"/>
    <w:rsid w:val="00E34085"/>
    <w:rsid w:val="00E341DE"/>
    <w:rsid w:val="00E34293"/>
    <w:rsid w:val="00E342CB"/>
    <w:rsid w:val="00E343C9"/>
    <w:rsid w:val="00E3465F"/>
    <w:rsid w:val="00E346C3"/>
    <w:rsid w:val="00E34840"/>
    <w:rsid w:val="00E34998"/>
    <w:rsid w:val="00E349B2"/>
    <w:rsid w:val="00E34B65"/>
    <w:rsid w:val="00E34C2A"/>
    <w:rsid w:val="00E34CE3"/>
    <w:rsid w:val="00E3530B"/>
    <w:rsid w:val="00E353F4"/>
    <w:rsid w:val="00E356BD"/>
    <w:rsid w:val="00E356CD"/>
    <w:rsid w:val="00E35707"/>
    <w:rsid w:val="00E359C0"/>
    <w:rsid w:val="00E35A14"/>
    <w:rsid w:val="00E35A82"/>
    <w:rsid w:val="00E35CAA"/>
    <w:rsid w:val="00E35FE0"/>
    <w:rsid w:val="00E36406"/>
    <w:rsid w:val="00E364C9"/>
    <w:rsid w:val="00E3668C"/>
    <w:rsid w:val="00E367F4"/>
    <w:rsid w:val="00E368DE"/>
    <w:rsid w:val="00E36A54"/>
    <w:rsid w:val="00E36AA1"/>
    <w:rsid w:val="00E36C46"/>
    <w:rsid w:val="00E36C8F"/>
    <w:rsid w:val="00E36D58"/>
    <w:rsid w:val="00E36F87"/>
    <w:rsid w:val="00E371F5"/>
    <w:rsid w:val="00E373C4"/>
    <w:rsid w:val="00E37A9B"/>
    <w:rsid w:val="00E37BC4"/>
    <w:rsid w:val="00E40045"/>
    <w:rsid w:val="00E400A9"/>
    <w:rsid w:val="00E401AC"/>
    <w:rsid w:val="00E402D5"/>
    <w:rsid w:val="00E403F2"/>
    <w:rsid w:val="00E40436"/>
    <w:rsid w:val="00E404C9"/>
    <w:rsid w:val="00E409A9"/>
    <w:rsid w:val="00E40C68"/>
    <w:rsid w:val="00E40D18"/>
    <w:rsid w:val="00E411FA"/>
    <w:rsid w:val="00E41350"/>
    <w:rsid w:val="00E41ECB"/>
    <w:rsid w:val="00E41FDF"/>
    <w:rsid w:val="00E42179"/>
    <w:rsid w:val="00E42676"/>
    <w:rsid w:val="00E42749"/>
    <w:rsid w:val="00E42862"/>
    <w:rsid w:val="00E428A4"/>
    <w:rsid w:val="00E4290A"/>
    <w:rsid w:val="00E42B08"/>
    <w:rsid w:val="00E42E0C"/>
    <w:rsid w:val="00E4310F"/>
    <w:rsid w:val="00E43A7F"/>
    <w:rsid w:val="00E43DA2"/>
    <w:rsid w:val="00E441AD"/>
    <w:rsid w:val="00E4423F"/>
    <w:rsid w:val="00E448AD"/>
    <w:rsid w:val="00E44AAD"/>
    <w:rsid w:val="00E44B52"/>
    <w:rsid w:val="00E45159"/>
    <w:rsid w:val="00E452EA"/>
    <w:rsid w:val="00E453B3"/>
    <w:rsid w:val="00E453FE"/>
    <w:rsid w:val="00E45806"/>
    <w:rsid w:val="00E45A14"/>
    <w:rsid w:val="00E46331"/>
    <w:rsid w:val="00E46487"/>
    <w:rsid w:val="00E46564"/>
    <w:rsid w:val="00E46AE5"/>
    <w:rsid w:val="00E46BFD"/>
    <w:rsid w:val="00E46C5D"/>
    <w:rsid w:val="00E4720B"/>
    <w:rsid w:val="00E473D7"/>
    <w:rsid w:val="00E475EB"/>
    <w:rsid w:val="00E47662"/>
    <w:rsid w:val="00E47677"/>
    <w:rsid w:val="00E47713"/>
    <w:rsid w:val="00E4780A"/>
    <w:rsid w:val="00E479A4"/>
    <w:rsid w:val="00E47BFE"/>
    <w:rsid w:val="00E500F7"/>
    <w:rsid w:val="00E50196"/>
    <w:rsid w:val="00E50231"/>
    <w:rsid w:val="00E504B0"/>
    <w:rsid w:val="00E50500"/>
    <w:rsid w:val="00E505CC"/>
    <w:rsid w:val="00E506BD"/>
    <w:rsid w:val="00E508D8"/>
    <w:rsid w:val="00E5090E"/>
    <w:rsid w:val="00E50A31"/>
    <w:rsid w:val="00E50B2B"/>
    <w:rsid w:val="00E50E68"/>
    <w:rsid w:val="00E50F2A"/>
    <w:rsid w:val="00E5117C"/>
    <w:rsid w:val="00E511A3"/>
    <w:rsid w:val="00E51251"/>
    <w:rsid w:val="00E514CE"/>
    <w:rsid w:val="00E51739"/>
    <w:rsid w:val="00E51AE0"/>
    <w:rsid w:val="00E51CFB"/>
    <w:rsid w:val="00E51DF0"/>
    <w:rsid w:val="00E51E5E"/>
    <w:rsid w:val="00E52066"/>
    <w:rsid w:val="00E52661"/>
    <w:rsid w:val="00E526A7"/>
    <w:rsid w:val="00E526C0"/>
    <w:rsid w:val="00E527D6"/>
    <w:rsid w:val="00E5298D"/>
    <w:rsid w:val="00E52A84"/>
    <w:rsid w:val="00E52D15"/>
    <w:rsid w:val="00E53096"/>
    <w:rsid w:val="00E53312"/>
    <w:rsid w:val="00E534D0"/>
    <w:rsid w:val="00E53589"/>
    <w:rsid w:val="00E53A98"/>
    <w:rsid w:val="00E53ABB"/>
    <w:rsid w:val="00E53BFA"/>
    <w:rsid w:val="00E53ECC"/>
    <w:rsid w:val="00E54020"/>
    <w:rsid w:val="00E5413A"/>
    <w:rsid w:val="00E5426D"/>
    <w:rsid w:val="00E542DB"/>
    <w:rsid w:val="00E5431C"/>
    <w:rsid w:val="00E54399"/>
    <w:rsid w:val="00E5468A"/>
    <w:rsid w:val="00E546EB"/>
    <w:rsid w:val="00E547F6"/>
    <w:rsid w:val="00E549EA"/>
    <w:rsid w:val="00E54A4F"/>
    <w:rsid w:val="00E54D76"/>
    <w:rsid w:val="00E54F78"/>
    <w:rsid w:val="00E54FDB"/>
    <w:rsid w:val="00E55108"/>
    <w:rsid w:val="00E552C0"/>
    <w:rsid w:val="00E552C7"/>
    <w:rsid w:val="00E553C5"/>
    <w:rsid w:val="00E5575F"/>
    <w:rsid w:val="00E55B5E"/>
    <w:rsid w:val="00E55C96"/>
    <w:rsid w:val="00E55C9C"/>
    <w:rsid w:val="00E55E93"/>
    <w:rsid w:val="00E5607A"/>
    <w:rsid w:val="00E5617D"/>
    <w:rsid w:val="00E5628F"/>
    <w:rsid w:val="00E56327"/>
    <w:rsid w:val="00E563D7"/>
    <w:rsid w:val="00E566BA"/>
    <w:rsid w:val="00E56752"/>
    <w:rsid w:val="00E56758"/>
    <w:rsid w:val="00E568E6"/>
    <w:rsid w:val="00E56E84"/>
    <w:rsid w:val="00E5765D"/>
    <w:rsid w:val="00E57A55"/>
    <w:rsid w:val="00E57B43"/>
    <w:rsid w:val="00E57BB7"/>
    <w:rsid w:val="00E60078"/>
    <w:rsid w:val="00E600D8"/>
    <w:rsid w:val="00E60174"/>
    <w:rsid w:val="00E601B5"/>
    <w:rsid w:val="00E60322"/>
    <w:rsid w:val="00E604CF"/>
    <w:rsid w:val="00E6055B"/>
    <w:rsid w:val="00E60A0B"/>
    <w:rsid w:val="00E6105B"/>
    <w:rsid w:val="00E61228"/>
    <w:rsid w:val="00E6135A"/>
    <w:rsid w:val="00E61393"/>
    <w:rsid w:val="00E619E6"/>
    <w:rsid w:val="00E61AD7"/>
    <w:rsid w:val="00E61B38"/>
    <w:rsid w:val="00E61BA9"/>
    <w:rsid w:val="00E61BF2"/>
    <w:rsid w:val="00E61CA2"/>
    <w:rsid w:val="00E61E65"/>
    <w:rsid w:val="00E61F9D"/>
    <w:rsid w:val="00E6212C"/>
    <w:rsid w:val="00E622C8"/>
    <w:rsid w:val="00E62336"/>
    <w:rsid w:val="00E624E5"/>
    <w:rsid w:val="00E62588"/>
    <w:rsid w:val="00E6268C"/>
    <w:rsid w:val="00E626C5"/>
    <w:rsid w:val="00E62ED2"/>
    <w:rsid w:val="00E62EF9"/>
    <w:rsid w:val="00E62F8C"/>
    <w:rsid w:val="00E631ED"/>
    <w:rsid w:val="00E632D5"/>
    <w:rsid w:val="00E633E0"/>
    <w:rsid w:val="00E6351A"/>
    <w:rsid w:val="00E636F7"/>
    <w:rsid w:val="00E63B5F"/>
    <w:rsid w:val="00E63D8D"/>
    <w:rsid w:val="00E64551"/>
    <w:rsid w:val="00E6459F"/>
    <w:rsid w:val="00E6465C"/>
    <w:rsid w:val="00E64A40"/>
    <w:rsid w:val="00E64AE9"/>
    <w:rsid w:val="00E64B14"/>
    <w:rsid w:val="00E64BF1"/>
    <w:rsid w:val="00E64E1E"/>
    <w:rsid w:val="00E64FBF"/>
    <w:rsid w:val="00E6523D"/>
    <w:rsid w:val="00E657FA"/>
    <w:rsid w:val="00E65C68"/>
    <w:rsid w:val="00E65DE8"/>
    <w:rsid w:val="00E660A8"/>
    <w:rsid w:val="00E660FA"/>
    <w:rsid w:val="00E66328"/>
    <w:rsid w:val="00E663F4"/>
    <w:rsid w:val="00E6655A"/>
    <w:rsid w:val="00E666F2"/>
    <w:rsid w:val="00E667A5"/>
    <w:rsid w:val="00E66804"/>
    <w:rsid w:val="00E66838"/>
    <w:rsid w:val="00E669D0"/>
    <w:rsid w:val="00E66B57"/>
    <w:rsid w:val="00E66DD4"/>
    <w:rsid w:val="00E66E25"/>
    <w:rsid w:val="00E66E82"/>
    <w:rsid w:val="00E66FA1"/>
    <w:rsid w:val="00E66FB0"/>
    <w:rsid w:val="00E676A9"/>
    <w:rsid w:val="00E67759"/>
    <w:rsid w:val="00E6786E"/>
    <w:rsid w:val="00E678EC"/>
    <w:rsid w:val="00E67930"/>
    <w:rsid w:val="00E67B72"/>
    <w:rsid w:val="00E67B89"/>
    <w:rsid w:val="00E7000A"/>
    <w:rsid w:val="00E703B1"/>
    <w:rsid w:val="00E70765"/>
    <w:rsid w:val="00E7080C"/>
    <w:rsid w:val="00E70A12"/>
    <w:rsid w:val="00E70AAD"/>
    <w:rsid w:val="00E70BB2"/>
    <w:rsid w:val="00E70C91"/>
    <w:rsid w:val="00E70DE7"/>
    <w:rsid w:val="00E7107F"/>
    <w:rsid w:val="00E71108"/>
    <w:rsid w:val="00E71216"/>
    <w:rsid w:val="00E714D2"/>
    <w:rsid w:val="00E7169B"/>
    <w:rsid w:val="00E71872"/>
    <w:rsid w:val="00E71A00"/>
    <w:rsid w:val="00E71C0C"/>
    <w:rsid w:val="00E71C91"/>
    <w:rsid w:val="00E71CDC"/>
    <w:rsid w:val="00E71CEE"/>
    <w:rsid w:val="00E71D43"/>
    <w:rsid w:val="00E71D90"/>
    <w:rsid w:val="00E7202E"/>
    <w:rsid w:val="00E7204A"/>
    <w:rsid w:val="00E72338"/>
    <w:rsid w:val="00E72A37"/>
    <w:rsid w:val="00E72A3E"/>
    <w:rsid w:val="00E72B36"/>
    <w:rsid w:val="00E72CAD"/>
    <w:rsid w:val="00E732DB"/>
    <w:rsid w:val="00E73348"/>
    <w:rsid w:val="00E73433"/>
    <w:rsid w:val="00E7364C"/>
    <w:rsid w:val="00E73915"/>
    <w:rsid w:val="00E7403C"/>
    <w:rsid w:val="00E74670"/>
    <w:rsid w:val="00E74700"/>
    <w:rsid w:val="00E7477E"/>
    <w:rsid w:val="00E748B6"/>
    <w:rsid w:val="00E748CC"/>
    <w:rsid w:val="00E74C8F"/>
    <w:rsid w:val="00E74CF3"/>
    <w:rsid w:val="00E74D76"/>
    <w:rsid w:val="00E74DD2"/>
    <w:rsid w:val="00E74E04"/>
    <w:rsid w:val="00E74E72"/>
    <w:rsid w:val="00E74F15"/>
    <w:rsid w:val="00E74F2F"/>
    <w:rsid w:val="00E750A5"/>
    <w:rsid w:val="00E750FA"/>
    <w:rsid w:val="00E75178"/>
    <w:rsid w:val="00E75383"/>
    <w:rsid w:val="00E753B1"/>
    <w:rsid w:val="00E75415"/>
    <w:rsid w:val="00E7567F"/>
    <w:rsid w:val="00E756CD"/>
    <w:rsid w:val="00E75829"/>
    <w:rsid w:val="00E7599E"/>
    <w:rsid w:val="00E75C4A"/>
    <w:rsid w:val="00E75EBF"/>
    <w:rsid w:val="00E76065"/>
    <w:rsid w:val="00E766C2"/>
    <w:rsid w:val="00E766C7"/>
    <w:rsid w:val="00E7675E"/>
    <w:rsid w:val="00E768C3"/>
    <w:rsid w:val="00E76B16"/>
    <w:rsid w:val="00E770BA"/>
    <w:rsid w:val="00E7711E"/>
    <w:rsid w:val="00E775B1"/>
    <w:rsid w:val="00E77682"/>
    <w:rsid w:val="00E77B25"/>
    <w:rsid w:val="00E801E0"/>
    <w:rsid w:val="00E80495"/>
    <w:rsid w:val="00E8060E"/>
    <w:rsid w:val="00E80615"/>
    <w:rsid w:val="00E80716"/>
    <w:rsid w:val="00E80949"/>
    <w:rsid w:val="00E80F5D"/>
    <w:rsid w:val="00E810A7"/>
    <w:rsid w:val="00E813AA"/>
    <w:rsid w:val="00E814B4"/>
    <w:rsid w:val="00E8152A"/>
    <w:rsid w:val="00E81BCF"/>
    <w:rsid w:val="00E81C8C"/>
    <w:rsid w:val="00E81CB9"/>
    <w:rsid w:val="00E81DC2"/>
    <w:rsid w:val="00E8211A"/>
    <w:rsid w:val="00E824C8"/>
    <w:rsid w:val="00E82516"/>
    <w:rsid w:val="00E82538"/>
    <w:rsid w:val="00E82660"/>
    <w:rsid w:val="00E82828"/>
    <w:rsid w:val="00E82A16"/>
    <w:rsid w:val="00E82D19"/>
    <w:rsid w:val="00E83338"/>
    <w:rsid w:val="00E83530"/>
    <w:rsid w:val="00E835B8"/>
    <w:rsid w:val="00E835ED"/>
    <w:rsid w:val="00E83715"/>
    <w:rsid w:val="00E83A6B"/>
    <w:rsid w:val="00E83BA4"/>
    <w:rsid w:val="00E84318"/>
    <w:rsid w:val="00E843CA"/>
    <w:rsid w:val="00E84627"/>
    <w:rsid w:val="00E847A9"/>
    <w:rsid w:val="00E8485E"/>
    <w:rsid w:val="00E849CB"/>
    <w:rsid w:val="00E8501B"/>
    <w:rsid w:val="00E8503A"/>
    <w:rsid w:val="00E853B0"/>
    <w:rsid w:val="00E85519"/>
    <w:rsid w:val="00E8589E"/>
    <w:rsid w:val="00E85BC5"/>
    <w:rsid w:val="00E860CC"/>
    <w:rsid w:val="00E86204"/>
    <w:rsid w:val="00E86423"/>
    <w:rsid w:val="00E865B7"/>
    <w:rsid w:val="00E8664C"/>
    <w:rsid w:val="00E86671"/>
    <w:rsid w:val="00E867B7"/>
    <w:rsid w:val="00E8702B"/>
    <w:rsid w:val="00E87491"/>
    <w:rsid w:val="00E87504"/>
    <w:rsid w:val="00E87AD3"/>
    <w:rsid w:val="00E87C63"/>
    <w:rsid w:val="00E87D89"/>
    <w:rsid w:val="00E87DAE"/>
    <w:rsid w:val="00E9021C"/>
    <w:rsid w:val="00E90225"/>
    <w:rsid w:val="00E906E6"/>
    <w:rsid w:val="00E90711"/>
    <w:rsid w:val="00E908E4"/>
    <w:rsid w:val="00E9098F"/>
    <w:rsid w:val="00E90CB0"/>
    <w:rsid w:val="00E90DD5"/>
    <w:rsid w:val="00E90ECB"/>
    <w:rsid w:val="00E90FDA"/>
    <w:rsid w:val="00E9119F"/>
    <w:rsid w:val="00E91627"/>
    <w:rsid w:val="00E91A98"/>
    <w:rsid w:val="00E91BED"/>
    <w:rsid w:val="00E91CD8"/>
    <w:rsid w:val="00E91D5E"/>
    <w:rsid w:val="00E91DB0"/>
    <w:rsid w:val="00E91F3A"/>
    <w:rsid w:val="00E921B8"/>
    <w:rsid w:val="00E92399"/>
    <w:rsid w:val="00E924AE"/>
    <w:rsid w:val="00E9253F"/>
    <w:rsid w:val="00E92575"/>
    <w:rsid w:val="00E9296A"/>
    <w:rsid w:val="00E92977"/>
    <w:rsid w:val="00E92CB9"/>
    <w:rsid w:val="00E92D78"/>
    <w:rsid w:val="00E92EA1"/>
    <w:rsid w:val="00E93241"/>
    <w:rsid w:val="00E9347A"/>
    <w:rsid w:val="00E93513"/>
    <w:rsid w:val="00E93629"/>
    <w:rsid w:val="00E93875"/>
    <w:rsid w:val="00E93B5C"/>
    <w:rsid w:val="00E93E0F"/>
    <w:rsid w:val="00E94268"/>
    <w:rsid w:val="00E944EF"/>
    <w:rsid w:val="00E946A4"/>
    <w:rsid w:val="00E948DC"/>
    <w:rsid w:val="00E94CEC"/>
    <w:rsid w:val="00E94D32"/>
    <w:rsid w:val="00E94EF9"/>
    <w:rsid w:val="00E94FBD"/>
    <w:rsid w:val="00E951FA"/>
    <w:rsid w:val="00E95BDD"/>
    <w:rsid w:val="00E95DE0"/>
    <w:rsid w:val="00E960D4"/>
    <w:rsid w:val="00E961F8"/>
    <w:rsid w:val="00E962FD"/>
    <w:rsid w:val="00E96364"/>
    <w:rsid w:val="00E964BC"/>
    <w:rsid w:val="00E9650F"/>
    <w:rsid w:val="00E96537"/>
    <w:rsid w:val="00E96721"/>
    <w:rsid w:val="00E96A21"/>
    <w:rsid w:val="00E96CA4"/>
    <w:rsid w:val="00E96D16"/>
    <w:rsid w:val="00E96D6C"/>
    <w:rsid w:val="00E96D70"/>
    <w:rsid w:val="00E96DC5"/>
    <w:rsid w:val="00E97069"/>
    <w:rsid w:val="00E97360"/>
    <w:rsid w:val="00E97763"/>
    <w:rsid w:val="00E97799"/>
    <w:rsid w:val="00E978C3"/>
    <w:rsid w:val="00E97946"/>
    <w:rsid w:val="00E97960"/>
    <w:rsid w:val="00E979EA"/>
    <w:rsid w:val="00E97CD3"/>
    <w:rsid w:val="00E97E13"/>
    <w:rsid w:val="00E97E5C"/>
    <w:rsid w:val="00E97F50"/>
    <w:rsid w:val="00EA04EF"/>
    <w:rsid w:val="00EA05E0"/>
    <w:rsid w:val="00EA0969"/>
    <w:rsid w:val="00EA0B15"/>
    <w:rsid w:val="00EA0C27"/>
    <w:rsid w:val="00EA0DEF"/>
    <w:rsid w:val="00EA124D"/>
    <w:rsid w:val="00EA1323"/>
    <w:rsid w:val="00EA1353"/>
    <w:rsid w:val="00EA15A9"/>
    <w:rsid w:val="00EA180A"/>
    <w:rsid w:val="00EA19B3"/>
    <w:rsid w:val="00EA1C55"/>
    <w:rsid w:val="00EA1CE7"/>
    <w:rsid w:val="00EA1D1B"/>
    <w:rsid w:val="00EA1EA3"/>
    <w:rsid w:val="00EA2058"/>
    <w:rsid w:val="00EA25B1"/>
    <w:rsid w:val="00EA264F"/>
    <w:rsid w:val="00EA2918"/>
    <w:rsid w:val="00EA2CAC"/>
    <w:rsid w:val="00EA30E4"/>
    <w:rsid w:val="00EA383B"/>
    <w:rsid w:val="00EA3A4A"/>
    <w:rsid w:val="00EA3B41"/>
    <w:rsid w:val="00EA3B5A"/>
    <w:rsid w:val="00EA3C83"/>
    <w:rsid w:val="00EA3EB1"/>
    <w:rsid w:val="00EA3FCA"/>
    <w:rsid w:val="00EA439C"/>
    <w:rsid w:val="00EA43B4"/>
    <w:rsid w:val="00EA43FA"/>
    <w:rsid w:val="00EA442C"/>
    <w:rsid w:val="00EA4591"/>
    <w:rsid w:val="00EA4708"/>
    <w:rsid w:val="00EA4860"/>
    <w:rsid w:val="00EA5121"/>
    <w:rsid w:val="00EA521F"/>
    <w:rsid w:val="00EA525D"/>
    <w:rsid w:val="00EA53C3"/>
    <w:rsid w:val="00EA5642"/>
    <w:rsid w:val="00EA5837"/>
    <w:rsid w:val="00EA5A93"/>
    <w:rsid w:val="00EA5ABE"/>
    <w:rsid w:val="00EA5ACC"/>
    <w:rsid w:val="00EA5D76"/>
    <w:rsid w:val="00EA613C"/>
    <w:rsid w:val="00EA6463"/>
    <w:rsid w:val="00EA64C1"/>
    <w:rsid w:val="00EA64FF"/>
    <w:rsid w:val="00EA6814"/>
    <w:rsid w:val="00EA6836"/>
    <w:rsid w:val="00EA69A5"/>
    <w:rsid w:val="00EA69B4"/>
    <w:rsid w:val="00EA6C79"/>
    <w:rsid w:val="00EA6DA3"/>
    <w:rsid w:val="00EA6F19"/>
    <w:rsid w:val="00EA6FE7"/>
    <w:rsid w:val="00EA706E"/>
    <w:rsid w:val="00EA767C"/>
    <w:rsid w:val="00EA769C"/>
    <w:rsid w:val="00EA7871"/>
    <w:rsid w:val="00EA79D5"/>
    <w:rsid w:val="00EA7BD2"/>
    <w:rsid w:val="00EA7C14"/>
    <w:rsid w:val="00EA7C43"/>
    <w:rsid w:val="00EA7E54"/>
    <w:rsid w:val="00EA7EB1"/>
    <w:rsid w:val="00EA7F76"/>
    <w:rsid w:val="00EB015C"/>
    <w:rsid w:val="00EB045B"/>
    <w:rsid w:val="00EB051E"/>
    <w:rsid w:val="00EB067E"/>
    <w:rsid w:val="00EB0870"/>
    <w:rsid w:val="00EB096A"/>
    <w:rsid w:val="00EB0BCE"/>
    <w:rsid w:val="00EB0E48"/>
    <w:rsid w:val="00EB14D1"/>
    <w:rsid w:val="00EB1573"/>
    <w:rsid w:val="00EB15DA"/>
    <w:rsid w:val="00EB1B1F"/>
    <w:rsid w:val="00EB1B37"/>
    <w:rsid w:val="00EB2194"/>
    <w:rsid w:val="00EB26FC"/>
    <w:rsid w:val="00EB2CF4"/>
    <w:rsid w:val="00EB2D9A"/>
    <w:rsid w:val="00EB30C1"/>
    <w:rsid w:val="00EB30F0"/>
    <w:rsid w:val="00EB3374"/>
    <w:rsid w:val="00EB338F"/>
    <w:rsid w:val="00EB370E"/>
    <w:rsid w:val="00EB378A"/>
    <w:rsid w:val="00EB379D"/>
    <w:rsid w:val="00EB3948"/>
    <w:rsid w:val="00EB39E4"/>
    <w:rsid w:val="00EB3C52"/>
    <w:rsid w:val="00EB3FFF"/>
    <w:rsid w:val="00EB445B"/>
    <w:rsid w:val="00EB4555"/>
    <w:rsid w:val="00EB4685"/>
    <w:rsid w:val="00EB4749"/>
    <w:rsid w:val="00EB4A16"/>
    <w:rsid w:val="00EB4A32"/>
    <w:rsid w:val="00EB4AAF"/>
    <w:rsid w:val="00EB4BB4"/>
    <w:rsid w:val="00EB4EB6"/>
    <w:rsid w:val="00EB50AC"/>
    <w:rsid w:val="00EB52B9"/>
    <w:rsid w:val="00EB531F"/>
    <w:rsid w:val="00EB556D"/>
    <w:rsid w:val="00EB5778"/>
    <w:rsid w:val="00EB59AB"/>
    <w:rsid w:val="00EB59F9"/>
    <w:rsid w:val="00EB5F2D"/>
    <w:rsid w:val="00EB6031"/>
    <w:rsid w:val="00EB6144"/>
    <w:rsid w:val="00EB659C"/>
    <w:rsid w:val="00EB665B"/>
    <w:rsid w:val="00EB66A7"/>
    <w:rsid w:val="00EB6791"/>
    <w:rsid w:val="00EB67D9"/>
    <w:rsid w:val="00EB69D6"/>
    <w:rsid w:val="00EB6C4A"/>
    <w:rsid w:val="00EB6D4C"/>
    <w:rsid w:val="00EB6F40"/>
    <w:rsid w:val="00EB7011"/>
    <w:rsid w:val="00EB7090"/>
    <w:rsid w:val="00EB7164"/>
    <w:rsid w:val="00EB721D"/>
    <w:rsid w:val="00EB7267"/>
    <w:rsid w:val="00EB73E5"/>
    <w:rsid w:val="00EB7442"/>
    <w:rsid w:val="00EB7B2D"/>
    <w:rsid w:val="00EB7F76"/>
    <w:rsid w:val="00EC0285"/>
    <w:rsid w:val="00EC04D2"/>
    <w:rsid w:val="00EC062C"/>
    <w:rsid w:val="00EC06AA"/>
    <w:rsid w:val="00EC0B5C"/>
    <w:rsid w:val="00EC0CC8"/>
    <w:rsid w:val="00EC0E47"/>
    <w:rsid w:val="00EC0E99"/>
    <w:rsid w:val="00EC11F0"/>
    <w:rsid w:val="00EC1421"/>
    <w:rsid w:val="00EC1604"/>
    <w:rsid w:val="00EC16BB"/>
    <w:rsid w:val="00EC196D"/>
    <w:rsid w:val="00EC19B1"/>
    <w:rsid w:val="00EC1BBE"/>
    <w:rsid w:val="00EC1C86"/>
    <w:rsid w:val="00EC231B"/>
    <w:rsid w:val="00EC2338"/>
    <w:rsid w:val="00EC247E"/>
    <w:rsid w:val="00EC2539"/>
    <w:rsid w:val="00EC28FE"/>
    <w:rsid w:val="00EC2B68"/>
    <w:rsid w:val="00EC2DCA"/>
    <w:rsid w:val="00EC2E81"/>
    <w:rsid w:val="00EC2F2F"/>
    <w:rsid w:val="00EC3365"/>
    <w:rsid w:val="00EC36E8"/>
    <w:rsid w:val="00EC3A77"/>
    <w:rsid w:val="00EC3AEF"/>
    <w:rsid w:val="00EC3E45"/>
    <w:rsid w:val="00EC411E"/>
    <w:rsid w:val="00EC4129"/>
    <w:rsid w:val="00EC46EA"/>
    <w:rsid w:val="00EC475E"/>
    <w:rsid w:val="00EC478D"/>
    <w:rsid w:val="00EC47A8"/>
    <w:rsid w:val="00EC48A5"/>
    <w:rsid w:val="00EC49A5"/>
    <w:rsid w:val="00EC49A6"/>
    <w:rsid w:val="00EC4B7C"/>
    <w:rsid w:val="00EC4D17"/>
    <w:rsid w:val="00EC519F"/>
    <w:rsid w:val="00EC51B0"/>
    <w:rsid w:val="00EC5278"/>
    <w:rsid w:val="00EC55D0"/>
    <w:rsid w:val="00EC584D"/>
    <w:rsid w:val="00EC5AD3"/>
    <w:rsid w:val="00EC5CD7"/>
    <w:rsid w:val="00EC5F3C"/>
    <w:rsid w:val="00EC5FA6"/>
    <w:rsid w:val="00EC60D3"/>
    <w:rsid w:val="00EC6158"/>
    <w:rsid w:val="00EC6483"/>
    <w:rsid w:val="00EC6581"/>
    <w:rsid w:val="00EC6921"/>
    <w:rsid w:val="00EC6B6D"/>
    <w:rsid w:val="00EC6B84"/>
    <w:rsid w:val="00EC6E48"/>
    <w:rsid w:val="00EC6F38"/>
    <w:rsid w:val="00EC6F59"/>
    <w:rsid w:val="00EC71A6"/>
    <w:rsid w:val="00EC7275"/>
    <w:rsid w:val="00EC754D"/>
    <w:rsid w:val="00EC7808"/>
    <w:rsid w:val="00EC79CE"/>
    <w:rsid w:val="00EC7A57"/>
    <w:rsid w:val="00EC7B41"/>
    <w:rsid w:val="00EC7C1B"/>
    <w:rsid w:val="00EC7C63"/>
    <w:rsid w:val="00EC7CB3"/>
    <w:rsid w:val="00EC7F81"/>
    <w:rsid w:val="00ED008F"/>
    <w:rsid w:val="00ED0309"/>
    <w:rsid w:val="00ED0326"/>
    <w:rsid w:val="00ED034C"/>
    <w:rsid w:val="00ED03C9"/>
    <w:rsid w:val="00ED05A4"/>
    <w:rsid w:val="00ED07E3"/>
    <w:rsid w:val="00ED0961"/>
    <w:rsid w:val="00ED09DC"/>
    <w:rsid w:val="00ED0B7C"/>
    <w:rsid w:val="00ED0E6F"/>
    <w:rsid w:val="00ED0E8C"/>
    <w:rsid w:val="00ED1891"/>
    <w:rsid w:val="00ED1A65"/>
    <w:rsid w:val="00ED1B06"/>
    <w:rsid w:val="00ED1B46"/>
    <w:rsid w:val="00ED2053"/>
    <w:rsid w:val="00ED2085"/>
    <w:rsid w:val="00ED21F9"/>
    <w:rsid w:val="00ED2458"/>
    <w:rsid w:val="00ED263C"/>
    <w:rsid w:val="00ED2669"/>
    <w:rsid w:val="00ED268F"/>
    <w:rsid w:val="00ED2834"/>
    <w:rsid w:val="00ED2B59"/>
    <w:rsid w:val="00ED2C70"/>
    <w:rsid w:val="00ED2CD3"/>
    <w:rsid w:val="00ED2EDC"/>
    <w:rsid w:val="00ED3501"/>
    <w:rsid w:val="00ED3846"/>
    <w:rsid w:val="00ED38CC"/>
    <w:rsid w:val="00ED3B3F"/>
    <w:rsid w:val="00ED3C57"/>
    <w:rsid w:val="00ED40ED"/>
    <w:rsid w:val="00ED456E"/>
    <w:rsid w:val="00ED45AE"/>
    <w:rsid w:val="00ED486E"/>
    <w:rsid w:val="00ED4E92"/>
    <w:rsid w:val="00ED5633"/>
    <w:rsid w:val="00ED583F"/>
    <w:rsid w:val="00ED5970"/>
    <w:rsid w:val="00ED5CC3"/>
    <w:rsid w:val="00ED5DC2"/>
    <w:rsid w:val="00ED6203"/>
    <w:rsid w:val="00ED6372"/>
    <w:rsid w:val="00ED657B"/>
    <w:rsid w:val="00ED6C2B"/>
    <w:rsid w:val="00ED6E0F"/>
    <w:rsid w:val="00ED7A2A"/>
    <w:rsid w:val="00ED7C92"/>
    <w:rsid w:val="00ED7E20"/>
    <w:rsid w:val="00ED7ECC"/>
    <w:rsid w:val="00EE0124"/>
    <w:rsid w:val="00EE01DA"/>
    <w:rsid w:val="00EE061C"/>
    <w:rsid w:val="00EE0D7A"/>
    <w:rsid w:val="00EE10F6"/>
    <w:rsid w:val="00EE133A"/>
    <w:rsid w:val="00EE1387"/>
    <w:rsid w:val="00EE13E8"/>
    <w:rsid w:val="00EE1624"/>
    <w:rsid w:val="00EE182A"/>
    <w:rsid w:val="00EE1DC7"/>
    <w:rsid w:val="00EE1EC2"/>
    <w:rsid w:val="00EE1FEB"/>
    <w:rsid w:val="00EE2012"/>
    <w:rsid w:val="00EE2143"/>
    <w:rsid w:val="00EE23A4"/>
    <w:rsid w:val="00EE2416"/>
    <w:rsid w:val="00EE259E"/>
    <w:rsid w:val="00EE286C"/>
    <w:rsid w:val="00EE2940"/>
    <w:rsid w:val="00EE2AC3"/>
    <w:rsid w:val="00EE2B4E"/>
    <w:rsid w:val="00EE2B94"/>
    <w:rsid w:val="00EE2F86"/>
    <w:rsid w:val="00EE3327"/>
    <w:rsid w:val="00EE3390"/>
    <w:rsid w:val="00EE3534"/>
    <w:rsid w:val="00EE353B"/>
    <w:rsid w:val="00EE36FC"/>
    <w:rsid w:val="00EE39D1"/>
    <w:rsid w:val="00EE3AB5"/>
    <w:rsid w:val="00EE3AC7"/>
    <w:rsid w:val="00EE3C53"/>
    <w:rsid w:val="00EE3CEE"/>
    <w:rsid w:val="00EE3E32"/>
    <w:rsid w:val="00EE3F43"/>
    <w:rsid w:val="00EE41B1"/>
    <w:rsid w:val="00EE4487"/>
    <w:rsid w:val="00EE4585"/>
    <w:rsid w:val="00EE49E7"/>
    <w:rsid w:val="00EE4A4A"/>
    <w:rsid w:val="00EE4B68"/>
    <w:rsid w:val="00EE4C1A"/>
    <w:rsid w:val="00EE5110"/>
    <w:rsid w:val="00EE525F"/>
    <w:rsid w:val="00EE5499"/>
    <w:rsid w:val="00EE5819"/>
    <w:rsid w:val="00EE5CB6"/>
    <w:rsid w:val="00EE5D37"/>
    <w:rsid w:val="00EE5EBC"/>
    <w:rsid w:val="00EE5FB3"/>
    <w:rsid w:val="00EE5FDD"/>
    <w:rsid w:val="00EE652F"/>
    <w:rsid w:val="00EE6A93"/>
    <w:rsid w:val="00EE6ACB"/>
    <w:rsid w:val="00EE6BDB"/>
    <w:rsid w:val="00EE6DCC"/>
    <w:rsid w:val="00EE6F7A"/>
    <w:rsid w:val="00EE713D"/>
    <w:rsid w:val="00EE73A1"/>
    <w:rsid w:val="00EE7507"/>
    <w:rsid w:val="00EE7724"/>
    <w:rsid w:val="00EE77D5"/>
    <w:rsid w:val="00EE7A63"/>
    <w:rsid w:val="00EE7F79"/>
    <w:rsid w:val="00EF00CA"/>
    <w:rsid w:val="00EF00E7"/>
    <w:rsid w:val="00EF015A"/>
    <w:rsid w:val="00EF03DB"/>
    <w:rsid w:val="00EF04C6"/>
    <w:rsid w:val="00EF0834"/>
    <w:rsid w:val="00EF08D5"/>
    <w:rsid w:val="00EF0A0E"/>
    <w:rsid w:val="00EF0FE9"/>
    <w:rsid w:val="00EF1380"/>
    <w:rsid w:val="00EF16A3"/>
    <w:rsid w:val="00EF1733"/>
    <w:rsid w:val="00EF1905"/>
    <w:rsid w:val="00EF1E71"/>
    <w:rsid w:val="00EF22E6"/>
    <w:rsid w:val="00EF24BB"/>
    <w:rsid w:val="00EF2562"/>
    <w:rsid w:val="00EF29D3"/>
    <w:rsid w:val="00EF2F45"/>
    <w:rsid w:val="00EF2FFB"/>
    <w:rsid w:val="00EF315D"/>
    <w:rsid w:val="00EF3391"/>
    <w:rsid w:val="00EF34E7"/>
    <w:rsid w:val="00EF3588"/>
    <w:rsid w:val="00EF359F"/>
    <w:rsid w:val="00EF3667"/>
    <w:rsid w:val="00EF3985"/>
    <w:rsid w:val="00EF3A21"/>
    <w:rsid w:val="00EF3CA7"/>
    <w:rsid w:val="00EF3D6F"/>
    <w:rsid w:val="00EF3DC9"/>
    <w:rsid w:val="00EF3F86"/>
    <w:rsid w:val="00EF3FB5"/>
    <w:rsid w:val="00EF405D"/>
    <w:rsid w:val="00EF43FA"/>
    <w:rsid w:val="00EF4451"/>
    <w:rsid w:val="00EF4674"/>
    <w:rsid w:val="00EF479C"/>
    <w:rsid w:val="00EF4D44"/>
    <w:rsid w:val="00EF4EE3"/>
    <w:rsid w:val="00EF4F9D"/>
    <w:rsid w:val="00EF5017"/>
    <w:rsid w:val="00EF521A"/>
    <w:rsid w:val="00EF523F"/>
    <w:rsid w:val="00EF54F5"/>
    <w:rsid w:val="00EF5820"/>
    <w:rsid w:val="00EF5A4E"/>
    <w:rsid w:val="00EF5A50"/>
    <w:rsid w:val="00EF5A73"/>
    <w:rsid w:val="00EF5B61"/>
    <w:rsid w:val="00EF5CCC"/>
    <w:rsid w:val="00EF60BF"/>
    <w:rsid w:val="00EF61F4"/>
    <w:rsid w:val="00EF62AF"/>
    <w:rsid w:val="00EF66DA"/>
    <w:rsid w:val="00EF66EC"/>
    <w:rsid w:val="00EF6A96"/>
    <w:rsid w:val="00EF6BEE"/>
    <w:rsid w:val="00EF6E1B"/>
    <w:rsid w:val="00EF6F28"/>
    <w:rsid w:val="00EF715A"/>
    <w:rsid w:val="00EF7540"/>
    <w:rsid w:val="00EF75FA"/>
    <w:rsid w:val="00EF7795"/>
    <w:rsid w:val="00EF7C4D"/>
    <w:rsid w:val="00EF7C89"/>
    <w:rsid w:val="00F00072"/>
    <w:rsid w:val="00F000DB"/>
    <w:rsid w:val="00F00733"/>
    <w:rsid w:val="00F00742"/>
    <w:rsid w:val="00F00B07"/>
    <w:rsid w:val="00F00B30"/>
    <w:rsid w:val="00F00D9C"/>
    <w:rsid w:val="00F00F8F"/>
    <w:rsid w:val="00F01055"/>
    <w:rsid w:val="00F01105"/>
    <w:rsid w:val="00F019BB"/>
    <w:rsid w:val="00F01A50"/>
    <w:rsid w:val="00F01DBB"/>
    <w:rsid w:val="00F0212D"/>
    <w:rsid w:val="00F0231C"/>
    <w:rsid w:val="00F02345"/>
    <w:rsid w:val="00F02482"/>
    <w:rsid w:val="00F02515"/>
    <w:rsid w:val="00F02579"/>
    <w:rsid w:val="00F02660"/>
    <w:rsid w:val="00F0284D"/>
    <w:rsid w:val="00F0294C"/>
    <w:rsid w:val="00F02B49"/>
    <w:rsid w:val="00F02CA4"/>
    <w:rsid w:val="00F02E02"/>
    <w:rsid w:val="00F02E7B"/>
    <w:rsid w:val="00F02FE5"/>
    <w:rsid w:val="00F031BB"/>
    <w:rsid w:val="00F03640"/>
    <w:rsid w:val="00F036E5"/>
    <w:rsid w:val="00F037EA"/>
    <w:rsid w:val="00F03B93"/>
    <w:rsid w:val="00F03C04"/>
    <w:rsid w:val="00F03E79"/>
    <w:rsid w:val="00F03F39"/>
    <w:rsid w:val="00F03FB4"/>
    <w:rsid w:val="00F04015"/>
    <w:rsid w:val="00F04141"/>
    <w:rsid w:val="00F04170"/>
    <w:rsid w:val="00F04979"/>
    <w:rsid w:val="00F04A23"/>
    <w:rsid w:val="00F04B3E"/>
    <w:rsid w:val="00F04EC6"/>
    <w:rsid w:val="00F0518F"/>
    <w:rsid w:val="00F05386"/>
    <w:rsid w:val="00F05417"/>
    <w:rsid w:val="00F055EB"/>
    <w:rsid w:val="00F0581E"/>
    <w:rsid w:val="00F05CCF"/>
    <w:rsid w:val="00F05CDB"/>
    <w:rsid w:val="00F06110"/>
    <w:rsid w:val="00F061A6"/>
    <w:rsid w:val="00F0632A"/>
    <w:rsid w:val="00F06549"/>
    <w:rsid w:val="00F0659C"/>
    <w:rsid w:val="00F06661"/>
    <w:rsid w:val="00F06696"/>
    <w:rsid w:val="00F06C8D"/>
    <w:rsid w:val="00F06E14"/>
    <w:rsid w:val="00F0700C"/>
    <w:rsid w:val="00F07162"/>
    <w:rsid w:val="00F0758D"/>
    <w:rsid w:val="00F0782D"/>
    <w:rsid w:val="00F07A47"/>
    <w:rsid w:val="00F07BA1"/>
    <w:rsid w:val="00F07DF3"/>
    <w:rsid w:val="00F1017A"/>
    <w:rsid w:val="00F10392"/>
    <w:rsid w:val="00F103CD"/>
    <w:rsid w:val="00F103FE"/>
    <w:rsid w:val="00F105B1"/>
    <w:rsid w:val="00F10600"/>
    <w:rsid w:val="00F10639"/>
    <w:rsid w:val="00F10C2E"/>
    <w:rsid w:val="00F10F13"/>
    <w:rsid w:val="00F1116E"/>
    <w:rsid w:val="00F11588"/>
    <w:rsid w:val="00F1175D"/>
    <w:rsid w:val="00F11BC3"/>
    <w:rsid w:val="00F11CDB"/>
    <w:rsid w:val="00F11F6D"/>
    <w:rsid w:val="00F120B6"/>
    <w:rsid w:val="00F1233E"/>
    <w:rsid w:val="00F12479"/>
    <w:rsid w:val="00F12637"/>
    <w:rsid w:val="00F126A1"/>
    <w:rsid w:val="00F127D8"/>
    <w:rsid w:val="00F12885"/>
    <w:rsid w:val="00F128EA"/>
    <w:rsid w:val="00F12CA7"/>
    <w:rsid w:val="00F12CCE"/>
    <w:rsid w:val="00F12E41"/>
    <w:rsid w:val="00F1320F"/>
    <w:rsid w:val="00F13341"/>
    <w:rsid w:val="00F13663"/>
    <w:rsid w:val="00F13742"/>
    <w:rsid w:val="00F137EB"/>
    <w:rsid w:val="00F13A82"/>
    <w:rsid w:val="00F13B28"/>
    <w:rsid w:val="00F13C02"/>
    <w:rsid w:val="00F13E24"/>
    <w:rsid w:val="00F13F8D"/>
    <w:rsid w:val="00F1405B"/>
    <w:rsid w:val="00F1443D"/>
    <w:rsid w:val="00F146C4"/>
    <w:rsid w:val="00F14781"/>
    <w:rsid w:val="00F148E1"/>
    <w:rsid w:val="00F148EF"/>
    <w:rsid w:val="00F14C53"/>
    <w:rsid w:val="00F14DB6"/>
    <w:rsid w:val="00F14E46"/>
    <w:rsid w:val="00F14FD7"/>
    <w:rsid w:val="00F150DE"/>
    <w:rsid w:val="00F151C7"/>
    <w:rsid w:val="00F151F0"/>
    <w:rsid w:val="00F1535F"/>
    <w:rsid w:val="00F158BA"/>
    <w:rsid w:val="00F159F2"/>
    <w:rsid w:val="00F159FE"/>
    <w:rsid w:val="00F15C2D"/>
    <w:rsid w:val="00F15C9C"/>
    <w:rsid w:val="00F15D02"/>
    <w:rsid w:val="00F15E64"/>
    <w:rsid w:val="00F1624A"/>
    <w:rsid w:val="00F164B8"/>
    <w:rsid w:val="00F16589"/>
    <w:rsid w:val="00F165A7"/>
    <w:rsid w:val="00F16680"/>
    <w:rsid w:val="00F167E4"/>
    <w:rsid w:val="00F16846"/>
    <w:rsid w:val="00F16D78"/>
    <w:rsid w:val="00F16F61"/>
    <w:rsid w:val="00F17357"/>
    <w:rsid w:val="00F17409"/>
    <w:rsid w:val="00F175A8"/>
    <w:rsid w:val="00F175B4"/>
    <w:rsid w:val="00F17695"/>
    <w:rsid w:val="00F1799F"/>
    <w:rsid w:val="00F179D4"/>
    <w:rsid w:val="00F17E51"/>
    <w:rsid w:val="00F17E85"/>
    <w:rsid w:val="00F201EA"/>
    <w:rsid w:val="00F2043F"/>
    <w:rsid w:val="00F2057E"/>
    <w:rsid w:val="00F2085B"/>
    <w:rsid w:val="00F2092D"/>
    <w:rsid w:val="00F20E15"/>
    <w:rsid w:val="00F20E36"/>
    <w:rsid w:val="00F2102A"/>
    <w:rsid w:val="00F211AD"/>
    <w:rsid w:val="00F2173C"/>
    <w:rsid w:val="00F21A51"/>
    <w:rsid w:val="00F21F4F"/>
    <w:rsid w:val="00F2225E"/>
    <w:rsid w:val="00F22362"/>
    <w:rsid w:val="00F2243F"/>
    <w:rsid w:val="00F224E4"/>
    <w:rsid w:val="00F22591"/>
    <w:rsid w:val="00F227CC"/>
    <w:rsid w:val="00F228F2"/>
    <w:rsid w:val="00F22A23"/>
    <w:rsid w:val="00F22BD8"/>
    <w:rsid w:val="00F22CB6"/>
    <w:rsid w:val="00F22D5F"/>
    <w:rsid w:val="00F22E1B"/>
    <w:rsid w:val="00F22F7A"/>
    <w:rsid w:val="00F23194"/>
    <w:rsid w:val="00F2331D"/>
    <w:rsid w:val="00F2334C"/>
    <w:rsid w:val="00F235E8"/>
    <w:rsid w:val="00F23783"/>
    <w:rsid w:val="00F238C0"/>
    <w:rsid w:val="00F239A1"/>
    <w:rsid w:val="00F23F92"/>
    <w:rsid w:val="00F24162"/>
    <w:rsid w:val="00F24217"/>
    <w:rsid w:val="00F2432C"/>
    <w:rsid w:val="00F243B3"/>
    <w:rsid w:val="00F2443F"/>
    <w:rsid w:val="00F24445"/>
    <w:rsid w:val="00F2444B"/>
    <w:rsid w:val="00F24551"/>
    <w:rsid w:val="00F24840"/>
    <w:rsid w:val="00F24B4A"/>
    <w:rsid w:val="00F24C0B"/>
    <w:rsid w:val="00F24D87"/>
    <w:rsid w:val="00F24F79"/>
    <w:rsid w:val="00F2527F"/>
    <w:rsid w:val="00F253A5"/>
    <w:rsid w:val="00F25426"/>
    <w:rsid w:val="00F25636"/>
    <w:rsid w:val="00F25A17"/>
    <w:rsid w:val="00F25B1D"/>
    <w:rsid w:val="00F25EA2"/>
    <w:rsid w:val="00F25F9D"/>
    <w:rsid w:val="00F26039"/>
    <w:rsid w:val="00F260B9"/>
    <w:rsid w:val="00F265FA"/>
    <w:rsid w:val="00F26668"/>
    <w:rsid w:val="00F269B5"/>
    <w:rsid w:val="00F26F27"/>
    <w:rsid w:val="00F26F9F"/>
    <w:rsid w:val="00F27335"/>
    <w:rsid w:val="00F27354"/>
    <w:rsid w:val="00F273DC"/>
    <w:rsid w:val="00F27414"/>
    <w:rsid w:val="00F277BD"/>
    <w:rsid w:val="00F27C1E"/>
    <w:rsid w:val="00F303D8"/>
    <w:rsid w:val="00F303F7"/>
    <w:rsid w:val="00F307B8"/>
    <w:rsid w:val="00F3096C"/>
    <w:rsid w:val="00F30A3A"/>
    <w:rsid w:val="00F30B51"/>
    <w:rsid w:val="00F31383"/>
    <w:rsid w:val="00F31431"/>
    <w:rsid w:val="00F31658"/>
    <w:rsid w:val="00F31967"/>
    <w:rsid w:val="00F31CBA"/>
    <w:rsid w:val="00F320B7"/>
    <w:rsid w:val="00F32266"/>
    <w:rsid w:val="00F32465"/>
    <w:rsid w:val="00F325A4"/>
    <w:rsid w:val="00F328FC"/>
    <w:rsid w:val="00F3297F"/>
    <w:rsid w:val="00F32A08"/>
    <w:rsid w:val="00F32B80"/>
    <w:rsid w:val="00F32B92"/>
    <w:rsid w:val="00F32BA2"/>
    <w:rsid w:val="00F32BFD"/>
    <w:rsid w:val="00F32C6A"/>
    <w:rsid w:val="00F32DD8"/>
    <w:rsid w:val="00F32FF6"/>
    <w:rsid w:val="00F33067"/>
    <w:rsid w:val="00F331DF"/>
    <w:rsid w:val="00F332BE"/>
    <w:rsid w:val="00F33672"/>
    <w:rsid w:val="00F33835"/>
    <w:rsid w:val="00F33AD1"/>
    <w:rsid w:val="00F33C56"/>
    <w:rsid w:val="00F346B9"/>
    <w:rsid w:val="00F347C7"/>
    <w:rsid w:val="00F34848"/>
    <w:rsid w:val="00F34854"/>
    <w:rsid w:val="00F34869"/>
    <w:rsid w:val="00F34C66"/>
    <w:rsid w:val="00F351EC"/>
    <w:rsid w:val="00F354FC"/>
    <w:rsid w:val="00F35967"/>
    <w:rsid w:val="00F35C30"/>
    <w:rsid w:val="00F35CCB"/>
    <w:rsid w:val="00F35E98"/>
    <w:rsid w:val="00F35ECC"/>
    <w:rsid w:val="00F361D7"/>
    <w:rsid w:val="00F36361"/>
    <w:rsid w:val="00F365E2"/>
    <w:rsid w:val="00F36AF9"/>
    <w:rsid w:val="00F3775C"/>
    <w:rsid w:val="00F37DAC"/>
    <w:rsid w:val="00F37F9F"/>
    <w:rsid w:val="00F4029A"/>
    <w:rsid w:val="00F40363"/>
    <w:rsid w:val="00F403FE"/>
    <w:rsid w:val="00F40407"/>
    <w:rsid w:val="00F40BC2"/>
    <w:rsid w:val="00F40D4E"/>
    <w:rsid w:val="00F40E86"/>
    <w:rsid w:val="00F41071"/>
    <w:rsid w:val="00F4112F"/>
    <w:rsid w:val="00F41268"/>
    <w:rsid w:val="00F415D8"/>
    <w:rsid w:val="00F416B1"/>
    <w:rsid w:val="00F41736"/>
    <w:rsid w:val="00F419C0"/>
    <w:rsid w:val="00F41EE1"/>
    <w:rsid w:val="00F41FE2"/>
    <w:rsid w:val="00F42239"/>
    <w:rsid w:val="00F42271"/>
    <w:rsid w:val="00F426FF"/>
    <w:rsid w:val="00F42B7B"/>
    <w:rsid w:val="00F42D46"/>
    <w:rsid w:val="00F431AB"/>
    <w:rsid w:val="00F43474"/>
    <w:rsid w:val="00F43522"/>
    <w:rsid w:val="00F435E8"/>
    <w:rsid w:val="00F43638"/>
    <w:rsid w:val="00F43764"/>
    <w:rsid w:val="00F4383C"/>
    <w:rsid w:val="00F43A25"/>
    <w:rsid w:val="00F43B67"/>
    <w:rsid w:val="00F440C4"/>
    <w:rsid w:val="00F44819"/>
    <w:rsid w:val="00F4496C"/>
    <w:rsid w:val="00F44F3A"/>
    <w:rsid w:val="00F45118"/>
    <w:rsid w:val="00F45198"/>
    <w:rsid w:val="00F45271"/>
    <w:rsid w:val="00F4530A"/>
    <w:rsid w:val="00F45A87"/>
    <w:rsid w:val="00F45B2F"/>
    <w:rsid w:val="00F45CAE"/>
    <w:rsid w:val="00F45CDA"/>
    <w:rsid w:val="00F45D1B"/>
    <w:rsid w:val="00F45E0A"/>
    <w:rsid w:val="00F45E91"/>
    <w:rsid w:val="00F46345"/>
    <w:rsid w:val="00F4649E"/>
    <w:rsid w:val="00F46875"/>
    <w:rsid w:val="00F46DBE"/>
    <w:rsid w:val="00F46E6E"/>
    <w:rsid w:val="00F4713F"/>
    <w:rsid w:val="00F47734"/>
    <w:rsid w:val="00F4790D"/>
    <w:rsid w:val="00F479E7"/>
    <w:rsid w:val="00F47DFA"/>
    <w:rsid w:val="00F5027C"/>
    <w:rsid w:val="00F503D4"/>
    <w:rsid w:val="00F5063C"/>
    <w:rsid w:val="00F507D0"/>
    <w:rsid w:val="00F5080F"/>
    <w:rsid w:val="00F50E33"/>
    <w:rsid w:val="00F512F8"/>
    <w:rsid w:val="00F5171B"/>
    <w:rsid w:val="00F51738"/>
    <w:rsid w:val="00F5189B"/>
    <w:rsid w:val="00F519B7"/>
    <w:rsid w:val="00F51C3A"/>
    <w:rsid w:val="00F51DB5"/>
    <w:rsid w:val="00F51F10"/>
    <w:rsid w:val="00F529A5"/>
    <w:rsid w:val="00F52AD0"/>
    <w:rsid w:val="00F52EDA"/>
    <w:rsid w:val="00F530C6"/>
    <w:rsid w:val="00F5310D"/>
    <w:rsid w:val="00F53B86"/>
    <w:rsid w:val="00F53C4E"/>
    <w:rsid w:val="00F53C51"/>
    <w:rsid w:val="00F53F95"/>
    <w:rsid w:val="00F5401E"/>
    <w:rsid w:val="00F54093"/>
    <w:rsid w:val="00F54A36"/>
    <w:rsid w:val="00F54CFC"/>
    <w:rsid w:val="00F54D85"/>
    <w:rsid w:val="00F54DBA"/>
    <w:rsid w:val="00F54EE0"/>
    <w:rsid w:val="00F55591"/>
    <w:rsid w:val="00F55602"/>
    <w:rsid w:val="00F55B9C"/>
    <w:rsid w:val="00F55DE7"/>
    <w:rsid w:val="00F56174"/>
    <w:rsid w:val="00F565CF"/>
    <w:rsid w:val="00F5664A"/>
    <w:rsid w:val="00F56C22"/>
    <w:rsid w:val="00F56CD0"/>
    <w:rsid w:val="00F56FE3"/>
    <w:rsid w:val="00F571E3"/>
    <w:rsid w:val="00F57426"/>
    <w:rsid w:val="00F5747B"/>
    <w:rsid w:val="00F57674"/>
    <w:rsid w:val="00F57692"/>
    <w:rsid w:val="00F57989"/>
    <w:rsid w:val="00F60048"/>
    <w:rsid w:val="00F60130"/>
    <w:rsid w:val="00F602E3"/>
    <w:rsid w:val="00F60374"/>
    <w:rsid w:val="00F603B9"/>
    <w:rsid w:val="00F606FB"/>
    <w:rsid w:val="00F60839"/>
    <w:rsid w:val="00F60894"/>
    <w:rsid w:val="00F60926"/>
    <w:rsid w:val="00F60931"/>
    <w:rsid w:val="00F60AB2"/>
    <w:rsid w:val="00F60C0A"/>
    <w:rsid w:val="00F60C92"/>
    <w:rsid w:val="00F60D78"/>
    <w:rsid w:val="00F60D81"/>
    <w:rsid w:val="00F60F00"/>
    <w:rsid w:val="00F60F85"/>
    <w:rsid w:val="00F60F87"/>
    <w:rsid w:val="00F6100A"/>
    <w:rsid w:val="00F613AE"/>
    <w:rsid w:val="00F614C0"/>
    <w:rsid w:val="00F61696"/>
    <w:rsid w:val="00F61855"/>
    <w:rsid w:val="00F61984"/>
    <w:rsid w:val="00F61FD5"/>
    <w:rsid w:val="00F620A2"/>
    <w:rsid w:val="00F621A0"/>
    <w:rsid w:val="00F622B9"/>
    <w:rsid w:val="00F62719"/>
    <w:rsid w:val="00F628F8"/>
    <w:rsid w:val="00F629A3"/>
    <w:rsid w:val="00F62D1C"/>
    <w:rsid w:val="00F630B8"/>
    <w:rsid w:val="00F63501"/>
    <w:rsid w:val="00F6352C"/>
    <w:rsid w:val="00F636CB"/>
    <w:rsid w:val="00F63BAB"/>
    <w:rsid w:val="00F63CC1"/>
    <w:rsid w:val="00F63F00"/>
    <w:rsid w:val="00F640DC"/>
    <w:rsid w:val="00F64301"/>
    <w:rsid w:val="00F645DD"/>
    <w:rsid w:val="00F6473C"/>
    <w:rsid w:val="00F64A54"/>
    <w:rsid w:val="00F64AA5"/>
    <w:rsid w:val="00F64D14"/>
    <w:rsid w:val="00F64E17"/>
    <w:rsid w:val="00F657FE"/>
    <w:rsid w:val="00F65A30"/>
    <w:rsid w:val="00F65D93"/>
    <w:rsid w:val="00F65E75"/>
    <w:rsid w:val="00F66309"/>
    <w:rsid w:val="00F663D0"/>
    <w:rsid w:val="00F66719"/>
    <w:rsid w:val="00F66A96"/>
    <w:rsid w:val="00F66D7E"/>
    <w:rsid w:val="00F66FCE"/>
    <w:rsid w:val="00F670BA"/>
    <w:rsid w:val="00F67573"/>
    <w:rsid w:val="00F67925"/>
    <w:rsid w:val="00F67C6E"/>
    <w:rsid w:val="00F67D69"/>
    <w:rsid w:val="00F67E3A"/>
    <w:rsid w:val="00F67F68"/>
    <w:rsid w:val="00F67FA4"/>
    <w:rsid w:val="00F70241"/>
    <w:rsid w:val="00F70916"/>
    <w:rsid w:val="00F70925"/>
    <w:rsid w:val="00F7093F"/>
    <w:rsid w:val="00F70A96"/>
    <w:rsid w:val="00F71199"/>
    <w:rsid w:val="00F71425"/>
    <w:rsid w:val="00F71945"/>
    <w:rsid w:val="00F71A82"/>
    <w:rsid w:val="00F71A91"/>
    <w:rsid w:val="00F71B54"/>
    <w:rsid w:val="00F71EA0"/>
    <w:rsid w:val="00F71F07"/>
    <w:rsid w:val="00F71F79"/>
    <w:rsid w:val="00F7205D"/>
    <w:rsid w:val="00F72123"/>
    <w:rsid w:val="00F724E8"/>
    <w:rsid w:val="00F7251E"/>
    <w:rsid w:val="00F727BC"/>
    <w:rsid w:val="00F72A06"/>
    <w:rsid w:val="00F72D07"/>
    <w:rsid w:val="00F72DE4"/>
    <w:rsid w:val="00F72E1E"/>
    <w:rsid w:val="00F72F8B"/>
    <w:rsid w:val="00F733D0"/>
    <w:rsid w:val="00F734FA"/>
    <w:rsid w:val="00F7352A"/>
    <w:rsid w:val="00F7382C"/>
    <w:rsid w:val="00F73A9D"/>
    <w:rsid w:val="00F73BAB"/>
    <w:rsid w:val="00F73C2C"/>
    <w:rsid w:val="00F73EDE"/>
    <w:rsid w:val="00F74317"/>
    <w:rsid w:val="00F7437D"/>
    <w:rsid w:val="00F74569"/>
    <w:rsid w:val="00F74740"/>
    <w:rsid w:val="00F74E1B"/>
    <w:rsid w:val="00F7510E"/>
    <w:rsid w:val="00F75509"/>
    <w:rsid w:val="00F7553D"/>
    <w:rsid w:val="00F75565"/>
    <w:rsid w:val="00F7564B"/>
    <w:rsid w:val="00F759B2"/>
    <w:rsid w:val="00F75A97"/>
    <w:rsid w:val="00F75F1A"/>
    <w:rsid w:val="00F75F90"/>
    <w:rsid w:val="00F7601A"/>
    <w:rsid w:val="00F76049"/>
    <w:rsid w:val="00F760C8"/>
    <w:rsid w:val="00F761AD"/>
    <w:rsid w:val="00F762B7"/>
    <w:rsid w:val="00F7649A"/>
    <w:rsid w:val="00F765D5"/>
    <w:rsid w:val="00F765F5"/>
    <w:rsid w:val="00F766FC"/>
    <w:rsid w:val="00F767BC"/>
    <w:rsid w:val="00F768B2"/>
    <w:rsid w:val="00F769B6"/>
    <w:rsid w:val="00F76A3B"/>
    <w:rsid w:val="00F76B3D"/>
    <w:rsid w:val="00F76F01"/>
    <w:rsid w:val="00F76FA6"/>
    <w:rsid w:val="00F77323"/>
    <w:rsid w:val="00F77425"/>
    <w:rsid w:val="00F77859"/>
    <w:rsid w:val="00F77895"/>
    <w:rsid w:val="00F77ABC"/>
    <w:rsid w:val="00F77E2D"/>
    <w:rsid w:val="00F800BE"/>
    <w:rsid w:val="00F803F8"/>
    <w:rsid w:val="00F80548"/>
    <w:rsid w:val="00F807A8"/>
    <w:rsid w:val="00F80AA2"/>
    <w:rsid w:val="00F80D9F"/>
    <w:rsid w:val="00F80FC7"/>
    <w:rsid w:val="00F81265"/>
    <w:rsid w:val="00F81450"/>
    <w:rsid w:val="00F81463"/>
    <w:rsid w:val="00F81581"/>
    <w:rsid w:val="00F81A97"/>
    <w:rsid w:val="00F81B1E"/>
    <w:rsid w:val="00F81BE3"/>
    <w:rsid w:val="00F81CC7"/>
    <w:rsid w:val="00F82169"/>
    <w:rsid w:val="00F8286A"/>
    <w:rsid w:val="00F82874"/>
    <w:rsid w:val="00F82903"/>
    <w:rsid w:val="00F82AAA"/>
    <w:rsid w:val="00F82B4A"/>
    <w:rsid w:val="00F82CBF"/>
    <w:rsid w:val="00F8333F"/>
    <w:rsid w:val="00F83417"/>
    <w:rsid w:val="00F83523"/>
    <w:rsid w:val="00F83535"/>
    <w:rsid w:val="00F83848"/>
    <w:rsid w:val="00F8385A"/>
    <w:rsid w:val="00F83A6D"/>
    <w:rsid w:val="00F83B0E"/>
    <w:rsid w:val="00F83B4F"/>
    <w:rsid w:val="00F83CA3"/>
    <w:rsid w:val="00F83D4E"/>
    <w:rsid w:val="00F83E57"/>
    <w:rsid w:val="00F83F9D"/>
    <w:rsid w:val="00F841C2"/>
    <w:rsid w:val="00F84790"/>
    <w:rsid w:val="00F84DC9"/>
    <w:rsid w:val="00F851C9"/>
    <w:rsid w:val="00F85658"/>
    <w:rsid w:val="00F8569E"/>
    <w:rsid w:val="00F859CC"/>
    <w:rsid w:val="00F859D1"/>
    <w:rsid w:val="00F85A24"/>
    <w:rsid w:val="00F85A53"/>
    <w:rsid w:val="00F85A99"/>
    <w:rsid w:val="00F85D68"/>
    <w:rsid w:val="00F85D6E"/>
    <w:rsid w:val="00F85E66"/>
    <w:rsid w:val="00F85F6C"/>
    <w:rsid w:val="00F86059"/>
    <w:rsid w:val="00F860E6"/>
    <w:rsid w:val="00F8623F"/>
    <w:rsid w:val="00F86305"/>
    <w:rsid w:val="00F86B32"/>
    <w:rsid w:val="00F86BD8"/>
    <w:rsid w:val="00F86C2D"/>
    <w:rsid w:val="00F86F09"/>
    <w:rsid w:val="00F87420"/>
    <w:rsid w:val="00F87593"/>
    <w:rsid w:val="00F8781C"/>
    <w:rsid w:val="00F87854"/>
    <w:rsid w:val="00F87979"/>
    <w:rsid w:val="00F87AAF"/>
    <w:rsid w:val="00F87C13"/>
    <w:rsid w:val="00F87EC5"/>
    <w:rsid w:val="00F903B3"/>
    <w:rsid w:val="00F903CA"/>
    <w:rsid w:val="00F9064F"/>
    <w:rsid w:val="00F90657"/>
    <w:rsid w:val="00F9081F"/>
    <w:rsid w:val="00F909E5"/>
    <w:rsid w:val="00F90B4E"/>
    <w:rsid w:val="00F90F13"/>
    <w:rsid w:val="00F9118C"/>
    <w:rsid w:val="00F91889"/>
    <w:rsid w:val="00F91DA6"/>
    <w:rsid w:val="00F91F56"/>
    <w:rsid w:val="00F92522"/>
    <w:rsid w:val="00F92A77"/>
    <w:rsid w:val="00F9305A"/>
    <w:rsid w:val="00F932D6"/>
    <w:rsid w:val="00F932FE"/>
    <w:rsid w:val="00F933BB"/>
    <w:rsid w:val="00F9377A"/>
    <w:rsid w:val="00F93800"/>
    <w:rsid w:val="00F93814"/>
    <w:rsid w:val="00F938DC"/>
    <w:rsid w:val="00F9395C"/>
    <w:rsid w:val="00F93B87"/>
    <w:rsid w:val="00F93CFA"/>
    <w:rsid w:val="00F93F4A"/>
    <w:rsid w:val="00F9400E"/>
    <w:rsid w:val="00F941C5"/>
    <w:rsid w:val="00F94323"/>
    <w:rsid w:val="00F94554"/>
    <w:rsid w:val="00F94668"/>
    <w:rsid w:val="00F946D7"/>
    <w:rsid w:val="00F94776"/>
    <w:rsid w:val="00F94A23"/>
    <w:rsid w:val="00F95119"/>
    <w:rsid w:val="00F95193"/>
    <w:rsid w:val="00F9575D"/>
    <w:rsid w:val="00F95CA9"/>
    <w:rsid w:val="00F95CC0"/>
    <w:rsid w:val="00F95CD0"/>
    <w:rsid w:val="00F9606C"/>
    <w:rsid w:val="00F96361"/>
    <w:rsid w:val="00F963A9"/>
    <w:rsid w:val="00F9661F"/>
    <w:rsid w:val="00F96DE9"/>
    <w:rsid w:val="00F96DF9"/>
    <w:rsid w:val="00F96EC2"/>
    <w:rsid w:val="00F97052"/>
    <w:rsid w:val="00F9742F"/>
    <w:rsid w:val="00F974AC"/>
    <w:rsid w:val="00F975E9"/>
    <w:rsid w:val="00F976DA"/>
    <w:rsid w:val="00F978DC"/>
    <w:rsid w:val="00F97DB4"/>
    <w:rsid w:val="00FA0708"/>
    <w:rsid w:val="00FA0B46"/>
    <w:rsid w:val="00FA0C31"/>
    <w:rsid w:val="00FA0E06"/>
    <w:rsid w:val="00FA0FA8"/>
    <w:rsid w:val="00FA1086"/>
    <w:rsid w:val="00FA13D1"/>
    <w:rsid w:val="00FA14F1"/>
    <w:rsid w:val="00FA15DD"/>
    <w:rsid w:val="00FA1684"/>
    <w:rsid w:val="00FA1A28"/>
    <w:rsid w:val="00FA1B7D"/>
    <w:rsid w:val="00FA1D7E"/>
    <w:rsid w:val="00FA1E2F"/>
    <w:rsid w:val="00FA1EBE"/>
    <w:rsid w:val="00FA22B3"/>
    <w:rsid w:val="00FA22B9"/>
    <w:rsid w:val="00FA288D"/>
    <w:rsid w:val="00FA2A5F"/>
    <w:rsid w:val="00FA2DBA"/>
    <w:rsid w:val="00FA308A"/>
    <w:rsid w:val="00FA391E"/>
    <w:rsid w:val="00FA3FD7"/>
    <w:rsid w:val="00FA4397"/>
    <w:rsid w:val="00FA4657"/>
    <w:rsid w:val="00FA48A1"/>
    <w:rsid w:val="00FA490A"/>
    <w:rsid w:val="00FA4A92"/>
    <w:rsid w:val="00FA4C5F"/>
    <w:rsid w:val="00FA4D5B"/>
    <w:rsid w:val="00FA4F28"/>
    <w:rsid w:val="00FA50B1"/>
    <w:rsid w:val="00FA5355"/>
    <w:rsid w:val="00FA57FD"/>
    <w:rsid w:val="00FA5865"/>
    <w:rsid w:val="00FA5BC5"/>
    <w:rsid w:val="00FA5D5D"/>
    <w:rsid w:val="00FA5DBB"/>
    <w:rsid w:val="00FA60FE"/>
    <w:rsid w:val="00FA6158"/>
    <w:rsid w:val="00FA6396"/>
    <w:rsid w:val="00FA640B"/>
    <w:rsid w:val="00FA65A7"/>
    <w:rsid w:val="00FA6B23"/>
    <w:rsid w:val="00FA6B71"/>
    <w:rsid w:val="00FA6BD7"/>
    <w:rsid w:val="00FA6BEC"/>
    <w:rsid w:val="00FA71B2"/>
    <w:rsid w:val="00FA722A"/>
    <w:rsid w:val="00FA74C5"/>
    <w:rsid w:val="00FA7F28"/>
    <w:rsid w:val="00FB0369"/>
    <w:rsid w:val="00FB07F9"/>
    <w:rsid w:val="00FB0A1A"/>
    <w:rsid w:val="00FB0B78"/>
    <w:rsid w:val="00FB0C03"/>
    <w:rsid w:val="00FB0C35"/>
    <w:rsid w:val="00FB0C88"/>
    <w:rsid w:val="00FB0DB6"/>
    <w:rsid w:val="00FB11F9"/>
    <w:rsid w:val="00FB136F"/>
    <w:rsid w:val="00FB14FA"/>
    <w:rsid w:val="00FB15D1"/>
    <w:rsid w:val="00FB17AB"/>
    <w:rsid w:val="00FB1856"/>
    <w:rsid w:val="00FB19CB"/>
    <w:rsid w:val="00FB1A3D"/>
    <w:rsid w:val="00FB1BA6"/>
    <w:rsid w:val="00FB2161"/>
    <w:rsid w:val="00FB2297"/>
    <w:rsid w:val="00FB2578"/>
    <w:rsid w:val="00FB291E"/>
    <w:rsid w:val="00FB29D0"/>
    <w:rsid w:val="00FB2AB1"/>
    <w:rsid w:val="00FB2BA8"/>
    <w:rsid w:val="00FB2C4D"/>
    <w:rsid w:val="00FB2D69"/>
    <w:rsid w:val="00FB2F9E"/>
    <w:rsid w:val="00FB304A"/>
    <w:rsid w:val="00FB30EF"/>
    <w:rsid w:val="00FB322C"/>
    <w:rsid w:val="00FB329C"/>
    <w:rsid w:val="00FB3931"/>
    <w:rsid w:val="00FB39EA"/>
    <w:rsid w:val="00FB3ADF"/>
    <w:rsid w:val="00FB3B08"/>
    <w:rsid w:val="00FB3B9C"/>
    <w:rsid w:val="00FB3CCA"/>
    <w:rsid w:val="00FB3D31"/>
    <w:rsid w:val="00FB429A"/>
    <w:rsid w:val="00FB43CC"/>
    <w:rsid w:val="00FB4440"/>
    <w:rsid w:val="00FB456F"/>
    <w:rsid w:val="00FB48A9"/>
    <w:rsid w:val="00FB54A0"/>
    <w:rsid w:val="00FB5938"/>
    <w:rsid w:val="00FB5E42"/>
    <w:rsid w:val="00FB5E5A"/>
    <w:rsid w:val="00FB6611"/>
    <w:rsid w:val="00FB676C"/>
    <w:rsid w:val="00FB677C"/>
    <w:rsid w:val="00FB69EC"/>
    <w:rsid w:val="00FB6A39"/>
    <w:rsid w:val="00FB6B80"/>
    <w:rsid w:val="00FB6C46"/>
    <w:rsid w:val="00FB6CAA"/>
    <w:rsid w:val="00FB6D2E"/>
    <w:rsid w:val="00FB6D31"/>
    <w:rsid w:val="00FB6FA6"/>
    <w:rsid w:val="00FB70B0"/>
    <w:rsid w:val="00FB7248"/>
    <w:rsid w:val="00FB7380"/>
    <w:rsid w:val="00FB7459"/>
    <w:rsid w:val="00FB7704"/>
    <w:rsid w:val="00FB771E"/>
    <w:rsid w:val="00FB7917"/>
    <w:rsid w:val="00FB7B91"/>
    <w:rsid w:val="00FC01FE"/>
    <w:rsid w:val="00FC0260"/>
    <w:rsid w:val="00FC0454"/>
    <w:rsid w:val="00FC0475"/>
    <w:rsid w:val="00FC0504"/>
    <w:rsid w:val="00FC0603"/>
    <w:rsid w:val="00FC07B9"/>
    <w:rsid w:val="00FC0FBF"/>
    <w:rsid w:val="00FC1363"/>
    <w:rsid w:val="00FC15B6"/>
    <w:rsid w:val="00FC18DA"/>
    <w:rsid w:val="00FC19F5"/>
    <w:rsid w:val="00FC201B"/>
    <w:rsid w:val="00FC22E3"/>
    <w:rsid w:val="00FC2646"/>
    <w:rsid w:val="00FC2799"/>
    <w:rsid w:val="00FC27A4"/>
    <w:rsid w:val="00FC2999"/>
    <w:rsid w:val="00FC2A42"/>
    <w:rsid w:val="00FC2E6A"/>
    <w:rsid w:val="00FC325C"/>
    <w:rsid w:val="00FC3276"/>
    <w:rsid w:val="00FC34B5"/>
    <w:rsid w:val="00FC3E29"/>
    <w:rsid w:val="00FC499C"/>
    <w:rsid w:val="00FC4A1F"/>
    <w:rsid w:val="00FC4A5C"/>
    <w:rsid w:val="00FC4E21"/>
    <w:rsid w:val="00FC4E38"/>
    <w:rsid w:val="00FC4F44"/>
    <w:rsid w:val="00FC5228"/>
    <w:rsid w:val="00FC52BE"/>
    <w:rsid w:val="00FC53ED"/>
    <w:rsid w:val="00FC5556"/>
    <w:rsid w:val="00FC56DA"/>
    <w:rsid w:val="00FC5EBD"/>
    <w:rsid w:val="00FC5F6D"/>
    <w:rsid w:val="00FC6180"/>
    <w:rsid w:val="00FC6338"/>
    <w:rsid w:val="00FC6388"/>
    <w:rsid w:val="00FC661D"/>
    <w:rsid w:val="00FC66DF"/>
    <w:rsid w:val="00FC6791"/>
    <w:rsid w:val="00FC6857"/>
    <w:rsid w:val="00FC6A92"/>
    <w:rsid w:val="00FC6D23"/>
    <w:rsid w:val="00FC6E30"/>
    <w:rsid w:val="00FC6EDD"/>
    <w:rsid w:val="00FC6F6C"/>
    <w:rsid w:val="00FC7076"/>
    <w:rsid w:val="00FC70C4"/>
    <w:rsid w:val="00FC7208"/>
    <w:rsid w:val="00FC7746"/>
    <w:rsid w:val="00FC77D7"/>
    <w:rsid w:val="00FC7936"/>
    <w:rsid w:val="00FC7B68"/>
    <w:rsid w:val="00FC7C05"/>
    <w:rsid w:val="00FC7CA2"/>
    <w:rsid w:val="00FC7F4F"/>
    <w:rsid w:val="00FD0006"/>
    <w:rsid w:val="00FD0093"/>
    <w:rsid w:val="00FD0107"/>
    <w:rsid w:val="00FD035B"/>
    <w:rsid w:val="00FD053A"/>
    <w:rsid w:val="00FD058D"/>
    <w:rsid w:val="00FD06A8"/>
    <w:rsid w:val="00FD092B"/>
    <w:rsid w:val="00FD0C75"/>
    <w:rsid w:val="00FD0D0B"/>
    <w:rsid w:val="00FD0EDB"/>
    <w:rsid w:val="00FD1236"/>
    <w:rsid w:val="00FD13B6"/>
    <w:rsid w:val="00FD1A19"/>
    <w:rsid w:val="00FD1BD7"/>
    <w:rsid w:val="00FD2038"/>
    <w:rsid w:val="00FD210D"/>
    <w:rsid w:val="00FD2462"/>
    <w:rsid w:val="00FD251C"/>
    <w:rsid w:val="00FD291D"/>
    <w:rsid w:val="00FD2A06"/>
    <w:rsid w:val="00FD2A22"/>
    <w:rsid w:val="00FD2C2F"/>
    <w:rsid w:val="00FD2C4A"/>
    <w:rsid w:val="00FD2E39"/>
    <w:rsid w:val="00FD350F"/>
    <w:rsid w:val="00FD3600"/>
    <w:rsid w:val="00FD3793"/>
    <w:rsid w:val="00FD38A2"/>
    <w:rsid w:val="00FD394F"/>
    <w:rsid w:val="00FD3B31"/>
    <w:rsid w:val="00FD3C85"/>
    <w:rsid w:val="00FD3F02"/>
    <w:rsid w:val="00FD3F5A"/>
    <w:rsid w:val="00FD4162"/>
    <w:rsid w:val="00FD44A3"/>
    <w:rsid w:val="00FD450E"/>
    <w:rsid w:val="00FD4528"/>
    <w:rsid w:val="00FD46F6"/>
    <w:rsid w:val="00FD4891"/>
    <w:rsid w:val="00FD4B3F"/>
    <w:rsid w:val="00FD50DC"/>
    <w:rsid w:val="00FD524C"/>
    <w:rsid w:val="00FD52E0"/>
    <w:rsid w:val="00FD54E6"/>
    <w:rsid w:val="00FD5647"/>
    <w:rsid w:val="00FD5693"/>
    <w:rsid w:val="00FD5705"/>
    <w:rsid w:val="00FD5A71"/>
    <w:rsid w:val="00FD5B7F"/>
    <w:rsid w:val="00FD5DD9"/>
    <w:rsid w:val="00FD5E0B"/>
    <w:rsid w:val="00FD630A"/>
    <w:rsid w:val="00FD64BB"/>
    <w:rsid w:val="00FD658B"/>
    <w:rsid w:val="00FD67AD"/>
    <w:rsid w:val="00FD6851"/>
    <w:rsid w:val="00FD6CF2"/>
    <w:rsid w:val="00FD6CF9"/>
    <w:rsid w:val="00FD6DD6"/>
    <w:rsid w:val="00FD711F"/>
    <w:rsid w:val="00FD73B0"/>
    <w:rsid w:val="00FD7A21"/>
    <w:rsid w:val="00FD7BD3"/>
    <w:rsid w:val="00FD7EBE"/>
    <w:rsid w:val="00FE002A"/>
    <w:rsid w:val="00FE002E"/>
    <w:rsid w:val="00FE04E5"/>
    <w:rsid w:val="00FE0631"/>
    <w:rsid w:val="00FE06C9"/>
    <w:rsid w:val="00FE08BE"/>
    <w:rsid w:val="00FE0B02"/>
    <w:rsid w:val="00FE0D0A"/>
    <w:rsid w:val="00FE0D4A"/>
    <w:rsid w:val="00FE1044"/>
    <w:rsid w:val="00FE114C"/>
    <w:rsid w:val="00FE15B4"/>
    <w:rsid w:val="00FE1701"/>
    <w:rsid w:val="00FE1714"/>
    <w:rsid w:val="00FE1823"/>
    <w:rsid w:val="00FE1AB1"/>
    <w:rsid w:val="00FE1E1B"/>
    <w:rsid w:val="00FE1E84"/>
    <w:rsid w:val="00FE1F5B"/>
    <w:rsid w:val="00FE2077"/>
    <w:rsid w:val="00FE21F5"/>
    <w:rsid w:val="00FE2417"/>
    <w:rsid w:val="00FE25B6"/>
    <w:rsid w:val="00FE2752"/>
    <w:rsid w:val="00FE2876"/>
    <w:rsid w:val="00FE2A8C"/>
    <w:rsid w:val="00FE2B00"/>
    <w:rsid w:val="00FE2D53"/>
    <w:rsid w:val="00FE2D9F"/>
    <w:rsid w:val="00FE2F66"/>
    <w:rsid w:val="00FE3049"/>
    <w:rsid w:val="00FE30FC"/>
    <w:rsid w:val="00FE3335"/>
    <w:rsid w:val="00FE3576"/>
    <w:rsid w:val="00FE39C7"/>
    <w:rsid w:val="00FE3A46"/>
    <w:rsid w:val="00FE3A53"/>
    <w:rsid w:val="00FE3DBA"/>
    <w:rsid w:val="00FE3E18"/>
    <w:rsid w:val="00FE4038"/>
    <w:rsid w:val="00FE411D"/>
    <w:rsid w:val="00FE41D5"/>
    <w:rsid w:val="00FE487A"/>
    <w:rsid w:val="00FE494C"/>
    <w:rsid w:val="00FE4A26"/>
    <w:rsid w:val="00FE4B52"/>
    <w:rsid w:val="00FE4C91"/>
    <w:rsid w:val="00FE4CB7"/>
    <w:rsid w:val="00FE4D16"/>
    <w:rsid w:val="00FE4FD1"/>
    <w:rsid w:val="00FE50B7"/>
    <w:rsid w:val="00FE5169"/>
    <w:rsid w:val="00FE536E"/>
    <w:rsid w:val="00FE549F"/>
    <w:rsid w:val="00FE586C"/>
    <w:rsid w:val="00FE599D"/>
    <w:rsid w:val="00FE5AA6"/>
    <w:rsid w:val="00FE5C5B"/>
    <w:rsid w:val="00FE6683"/>
    <w:rsid w:val="00FE6765"/>
    <w:rsid w:val="00FE6858"/>
    <w:rsid w:val="00FE685C"/>
    <w:rsid w:val="00FE6862"/>
    <w:rsid w:val="00FE6902"/>
    <w:rsid w:val="00FE69DD"/>
    <w:rsid w:val="00FE6A01"/>
    <w:rsid w:val="00FE6A11"/>
    <w:rsid w:val="00FE6CF9"/>
    <w:rsid w:val="00FE6E06"/>
    <w:rsid w:val="00FE6E41"/>
    <w:rsid w:val="00FE7356"/>
    <w:rsid w:val="00FE741A"/>
    <w:rsid w:val="00FE748C"/>
    <w:rsid w:val="00FE7523"/>
    <w:rsid w:val="00FE755C"/>
    <w:rsid w:val="00FE76D2"/>
    <w:rsid w:val="00FE7A9F"/>
    <w:rsid w:val="00FE7B83"/>
    <w:rsid w:val="00FE7F76"/>
    <w:rsid w:val="00FF0201"/>
    <w:rsid w:val="00FF0293"/>
    <w:rsid w:val="00FF040F"/>
    <w:rsid w:val="00FF0533"/>
    <w:rsid w:val="00FF0569"/>
    <w:rsid w:val="00FF0581"/>
    <w:rsid w:val="00FF066C"/>
    <w:rsid w:val="00FF07E5"/>
    <w:rsid w:val="00FF082B"/>
    <w:rsid w:val="00FF0CE0"/>
    <w:rsid w:val="00FF0E9A"/>
    <w:rsid w:val="00FF0EED"/>
    <w:rsid w:val="00FF103D"/>
    <w:rsid w:val="00FF108E"/>
    <w:rsid w:val="00FF13FF"/>
    <w:rsid w:val="00FF159A"/>
    <w:rsid w:val="00FF1643"/>
    <w:rsid w:val="00FF1807"/>
    <w:rsid w:val="00FF1887"/>
    <w:rsid w:val="00FF1AF0"/>
    <w:rsid w:val="00FF206E"/>
    <w:rsid w:val="00FF26EB"/>
    <w:rsid w:val="00FF270E"/>
    <w:rsid w:val="00FF2910"/>
    <w:rsid w:val="00FF2D04"/>
    <w:rsid w:val="00FF348C"/>
    <w:rsid w:val="00FF3C69"/>
    <w:rsid w:val="00FF41D5"/>
    <w:rsid w:val="00FF42B9"/>
    <w:rsid w:val="00FF4461"/>
    <w:rsid w:val="00FF4658"/>
    <w:rsid w:val="00FF47B2"/>
    <w:rsid w:val="00FF4D6C"/>
    <w:rsid w:val="00FF4E1D"/>
    <w:rsid w:val="00FF51E4"/>
    <w:rsid w:val="00FF54C9"/>
    <w:rsid w:val="00FF54E0"/>
    <w:rsid w:val="00FF5525"/>
    <w:rsid w:val="00FF5893"/>
    <w:rsid w:val="00FF5B2B"/>
    <w:rsid w:val="00FF5B3F"/>
    <w:rsid w:val="00FF5B5E"/>
    <w:rsid w:val="00FF5D29"/>
    <w:rsid w:val="00FF63F0"/>
    <w:rsid w:val="00FF6A3D"/>
    <w:rsid w:val="00FF6A64"/>
    <w:rsid w:val="00FF6C15"/>
    <w:rsid w:val="00FF6E0A"/>
    <w:rsid w:val="00FF72B8"/>
    <w:rsid w:val="00FF73E9"/>
    <w:rsid w:val="00FF763F"/>
    <w:rsid w:val="00FF785E"/>
    <w:rsid w:val="00FF78A5"/>
    <w:rsid w:val="00FF7B87"/>
    <w:rsid w:val="00FF7C78"/>
    <w:rsid w:val="00FF7D10"/>
    <w:rsid w:val="010C22EA"/>
    <w:rsid w:val="010CDBEF"/>
    <w:rsid w:val="01267255"/>
    <w:rsid w:val="015B35F8"/>
    <w:rsid w:val="018C607F"/>
    <w:rsid w:val="01A33FED"/>
    <w:rsid w:val="01A525D0"/>
    <w:rsid w:val="01BAB891"/>
    <w:rsid w:val="01BAF75B"/>
    <w:rsid w:val="01CAE277"/>
    <w:rsid w:val="01EE5C59"/>
    <w:rsid w:val="01F28DC1"/>
    <w:rsid w:val="01F357F4"/>
    <w:rsid w:val="01FB73E3"/>
    <w:rsid w:val="022C3BA2"/>
    <w:rsid w:val="022EF292"/>
    <w:rsid w:val="022FD8CF"/>
    <w:rsid w:val="023959EC"/>
    <w:rsid w:val="02BAA867"/>
    <w:rsid w:val="02DB97ED"/>
    <w:rsid w:val="02E81399"/>
    <w:rsid w:val="0318F40A"/>
    <w:rsid w:val="033A20DC"/>
    <w:rsid w:val="0384BB3B"/>
    <w:rsid w:val="039182C8"/>
    <w:rsid w:val="03EE72E7"/>
    <w:rsid w:val="048CC9D0"/>
    <w:rsid w:val="04AEF2A0"/>
    <w:rsid w:val="04C40704"/>
    <w:rsid w:val="04D72AC5"/>
    <w:rsid w:val="04E41873"/>
    <w:rsid w:val="0503F576"/>
    <w:rsid w:val="05451E2B"/>
    <w:rsid w:val="0547FA8E"/>
    <w:rsid w:val="054A1B55"/>
    <w:rsid w:val="05560FAB"/>
    <w:rsid w:val="0562593F"/>
    <w:rsid w:val="057E7146"/>
    <w:rsid w:val="05C47FCF"/>
    <w:rsid w:val="061F6110"/>
    <w:rsid w:val="0624DF5A"/>
    <w:rsid w:val="0639CA4F"/>
    <w:rsid w:val="06816A14"/>
    <w:rsid w:val="06A41BF5"/>
    <w:rsid w:val="070C9044"/>
    <w:rsid w:val="074C4D90"/>
    <w:rsid w:val="0758B26A"/>
    <w:rsid w:val="0766EFEF"/>
    <w:rsid w:val="0788601C"/>
    <w:rsid w:val="078E5AEB"/>
    <w:rsid w:val="07A81DA0"/>
    <w:rsid w:val="07B2C7C8"/>
    <w:rsid w:val="07C2B15B"/>
    <w:rsid w:val="07D3F0AD"/>
    <w:rsid w:val="07F7F7A8"/>
    <w:rsid w:val="080099B3"/>
    <w:rsid w:val="08357015"/>
    <w:rsid w:val="085DD0AE"/>
    <w:rsid w:val="08BDE838"/>
    <w:rsid w:val="08C546AD"/>
    <w:rsid w:val="08D2FD28"/>
    <w:rsid w:val="08EC5A09"/>
    <w:rsid w:val="09462BA2"/>
    <w:rsid w:val="098A46CB"/>
    <w:rsid w:val="09AFCC02"/>
    <w:rsid w:val="09CB3344"/>
    <w:rsid w:val="09D1AD17"/>
    <w:rsid w:val="09DEB345"/>
    <w:rsid w:val="09EB7784"/>
    <w:rsid w:val="0A5316F2"/>
    <w:rsid w:val="0A5EDA38"/>
    <w:rsid w:val="0A7FAB45"/>
    <w:rsid w:val="0A87F905"/>
    <w:rsid w:val="0A98C5D3"/>
    <w:rsid w:val="0ACB298C"/>
    <w:rsid w:val="0AF919CB"/>
    <w:rsid w:val="0B682B3B"/>
    <w:rsid w:val="0B9E5B15"/>
    <w:rsid w:val="0BACC4DD"/>
    <w:rsid w:val="0BADB0E5"/>
    <w:rsid w:val="0BAE82F6"/>
    <w:rsid w:val="0BF98D70"/>
    <w:rsid w:val="0C0F853D"/>
    <w:rsid w:val="0C58EE3E"/>
    <w:rsid w:val="0C5A2C20"/>
    <w:rsid w:val="0C9EE8A6"/>
    <w:rsid w:val="0CC67FD9"/>
    <w:rsid w:val="0CE0BDBB"/>
    <w:rsid w:val="0CEBE63B"/>
    <w:rsid w:val="0D05E2B3"/>
    <w:rsid w:val="0D176182"/>
    <w:rsid w:val="0D1E181E"/>
    <w:rsid w:val="0D3B959E"/>
    <w:rsid w:val="0D44E721"/>
    <w:rsid w:val="0D67C070"/>
    <w:rsid w:val="0D89E571"/>
    <w:rsid w:val="0DCEFBBD"/>
    <w:rsid w:val="0E185171"/>
    <w:rsid w:val="0E1DE187"/>
    <w:rsid w:val="0E27F864"/>
    <w:rsid w:val="0E2932A9"/>
    <w:rsid w:val="0E317A3E"/>
    <w:rsid w:val="0E3821F7"/>
    <w:rsid w:val="0ECD9B22"/>
    <w:rsid w:val="0F08DB48"/>
    <w:rsid w:val="0F7F7E05"/>
    <w:rsid w:val="0F83B7D9"/>
    <w:rsid w:val="0F95E3DB"/>
    <w:rsid w:val="0FC48AE8"/>
    <w:rsid w:val="105B01BB"/>
    <w:rsid w:val="10775AE3"/>
    <w:rsid w:val="10917F5F"/>
    <w:rsid w:val="1099E586"/>
    <w:rsid w:val="10B2766B"/>
    <w:rsid w:val="10B661EB"/>
    <w:rsid w:val="10CD4C4B"/>
    <w:rsid w:val="10F95C36"/>
    <w:rsid w:val="110EA478"/>
    <w:rsid w:val="111DC632"/>
    <w:rsid w:val="11752BE4"/>
    <w:rsid w:val="11E9CE8C"/>
    <w:rsid w:val="11EB6A1D"/>
    <w:rsid w:val="11EC289F"/>
    <w:rsid w:val="1227DD09"/>
    <w:rsid w:val="1235E8B8"/>
    <w:rsid w:val="124F90DF"/>
    <w:rsid w:val="125DF7CF"/>
    <w:rsid w:val="127C4867"/>
    <w:rsid w:val="13183270"/>
    <w:rsid w:val="134FA3CC"/>
    <w:rsid w:val="13B6AFFA"/>
    <w:rsid w:val="13E39362"/>
    <w:rsid w:val="13F47C92"/>
    <w:rsid w:val="1415E5BF"/>
    <w:rsid w:val="1418D0BA"/>
    <w:rsid w:val="143657FB"/>
    <w:rsid w:val="14B17FB6"/>
    <w:rsid w:val="14BFD381"/>
    <w:rsid w:val="14DFC8FC"/>
    <w:rsid w:val="150BBF4B"/>
    <w:rsid w:val="15351F8F"/>
    <w:rsid w:val="1535258B"/>
    <w:rsid w:val="153A91B4"/>
    <w:rsid w:val="153ED0D7"/>
    <w:rsid w:val="1549A4E8"/>
    <w:rsid w:val="15ED9151"/>
    <w:rsid w:val="1603E275"/>
    <w:rsid w:val="160F0B97"/>
    <w:rsid w:val="1655C283"/>
    <w:rsid w:val="166058F5"/>
    <w:rsid w:val="166224B8"/>
    <w:rsid w:val="166AD489"/>
    <w:rsid w:val="167DBE1B"/>
    <w:rsid w:val="1686AD16"/>
    <w:rsid w:val="16C78219"/>
    <w:rsid w:val="16D6C351"/>
    <w:rsid w:val="16EFEAB3"/>
    <w:rsid w:val="17142A88"/>
    <w:rsid w:val="1716CCAA"/>
    <w:rsid w:val="173D47C9"/>
    <w:rsid w:val="1746474A"/>
    <w:rsid w:val="17C055AB"/>
    <w:rsid w:val="1826263B"/>
    <w:rsid w:val="18475B9D"/>
    <w:rsid w:val="18572D3F"/>
    <w:rsid w:val="188A30DF"/>
    <w:rsid w:val="18B4260A"/>
    <w:rsid w:val="18D57760"/>
    <w:rsid w:val="19011D7E"/>
    <w:rsid w:val="191E919C"/>
    <w:rsid w:val="194EE9A0"/>
    <w:rsid w:val="198A8DD0"/>
    <w:rsid w:val="19C21716"/>
    <w:rsid w:val="19DD4BAB"/>
    <w:rsid w:val="19EF8B96"/>
    <w:rsid w:val="1A20BB1E"/>
    <w:rsid w:val="1A35C367"/>
    <w:rsid w:val="1A4B4D02"/>
    <w:rsid w:val="1A683650"/>
    <w:rsid w:val="1A74A608"/>
    <w:rsid w:val="1AC2FAF5"/>
    <w:rsid w:val="1ACBAEB0"/>
    <w:rsid w:val="1AEB45AC"/>
    <w:rsid w:val="1AFFC926"/>
    <w:rsid w:val="1B0525FB"/>
    <w:rsid w:val="1B2EAF98"/>
    <w:rsid w:val="1B34815D"/>
    <w:rsid w:val="1BAFF7B9"/>
    <w:rsid w:val="1BC1B97B"/>
    <w:rsid w:val="1BC982F4"/>
    <w:rsid w:val="1C042B1B"/>
    <w:rsid w:val="1C076120"/>
    <w:rsid w:val="1C41106D"/>
    <w:rsid w:val="1CAD8711"/>
    <w:rsid w:val="1CB4CA4B"/>
    <w:rsid w:val="1CE97D86"/>
    <w:rsid w:val="1D2B31DB"/>
    <w:rsid w:val="1D3DB2A8"/>
    <w:rsid w:val="1D49FEB3"/>
    <w:rsid w:val="1D6A4B5B"/>
    <w:rsid w:val="1D730257"/>
    <w:rsid w:val="1D7D4CC2"/>
    <w:rsid w:val="1D9A32FC"/>
    <w:rsid w:val="1DB02964"/>
    <w:rsid w:val="1DB21CBC"/>
    <w:rsid w:val="1DD5F91A"/>
    <w:rsid w:val="1DDD2B90"/>
    <w:rsid w:val="1DF5E8EC"/>
    <w:rsid w:val="1DF60830"/>
    <w:rsid w:val="1E305866"/>
    <w:rsid w:val="1E663F2E"/>
    <w:rsid w:val="1E76DE51"/>
    <w:rsid w:val="1E8A5F72"/>
    <w:rsid w:val="1E97BCAA"/>
    <w:rsid w:val="1EA51A5F"/>
    <w:rsid w:val="1EAB9AC4"/>
    <w:rsid w:val="1EB18717"/>
    <w:rsid w:val="1EBD601D"/>
    <w:rsid w:val="1EC0AEFC"/>
    <w:rsid w:val="1ED6BFDF"/>
    <w:rsid w:val="1EF57568"/>
    <w:rsid w:val="1F9BC9D5"/>
    <w:rsid w:val="1FD9F6AE"/>
    <w:rsid w:val="1FED7293"/>
    <w:rsid w:val="20033E7F"/>
    <w:rsid w:val="2011B78B"/>
    <w:rsid w:val="202726E5"/>
    <w:rsid w:val="203554A9"/>
    <w:rsid w:val="203AD9B7"/>
    <w:rsid w:val="2098776C"/>
    <w:rsid w:val="20A3FE5E"/>
    <w:rsid w:val="20AB5DDF"/>
    <w:rsid w:val="20F09627"/>
    <w:rsid w:val="2101441E"/>
    <w:rsid w:val="211A07D4"/>
    <w:rsid w:val="214A5BEA"/>
    <w:rsid w:val="214B1B56"/>
    <w:rsid w:val="21615A72"/>
    <w:rsid w:val="21623EA7"/>
    <w:rsid w:val="21655403"/>
    <w:rsid w:val="216B7CA4"/>
    <w:rsid w:val="21A1E158"/>
    <w:rsid w:val="223600BB"/>
    <w:rsid w:val="225F7D89"/>
    <w:rsid w:val="22874F83"/>
    <w:rsid w:val="22E4908C"/>
    <w:rsid w:val="22FF8CA1"/>
    <w:rsid w:val="2330926D"/>
    <w:rsid w:val="233403B7"/>
    <w:rsid w:val="233CA74C"/>
    <w:rsid w:val="235E9AEB"/>
    <w:rsid w:val="236AF918"/>
    <w:rsid w:val="238460C2"/>
    <w:rsid w:val="23E6DDC9"/>
    <w:rsid w:val="24072201"/>
    <w:rsid w:val="24508308"/>
    <w:rsid w:val="245D2A58"/>
    <w:rsid w:val="247D06EE"/>
    <w:rsid w:val="248D314B"/>
    <w:rsid w:val="24B7C5C9"/>
    <w:rsid w:val="24F927EE"/>
    <w:rsid w:val="24FBEF6A"/>
    <w:rsid w:val="25219858"/>
    <w:rsid w:val="25262570"/>
    <w:rsid w:val="25796A00"/>
    <w:rsid w:val="258DACF4"/>
    <w:rsid w:val="25B36874"/>
    <w:rsid w:val="25F92EC0"/>
    <w:rsid w:val="2602BD18"/>
    <w:rsid w:val="2627C93B"/>
    <w:rsid w:val="2669E873"/>
    <w:rsid w:val="2676A5EE"/>
    <w:rsid w:val="267D1B57"/>
    <w:rsid w:val="2697701B"/>
    <w:rsid w:val="2708216B"/>
    <w:rsid w:val="27322CCF"/>
    <w:rsid w:val="274F6A88"/>
    <w:rsid w:val="2781B5E1"/>
    <w:rsid w:val="279FEE0E"/>
    <w:rsid w:val="27B78726"/>
    <w:rsid w:val="27B9B5E8"/>
    <w:rsid w:val="27BD848C"/>
    <w:rsid w:val="28467DEC"/>
    <w:rsid w:val="28C3C8A7"/>
    <w:rsid w:val="28DC2B21"/>
    <w:rsid w:val="28DD1300"/>
    <w:rsid w:val="292D4277"/>
    <w:rsid w:val="29665D5A"/>
    <w:rsid w:val="29DB6DA1"/>
    <w:rsid w:val="29EC72B9"/>
    <w:rsid w:val="29ED0967"/>
    <w:rsid w:val="2A7545F1"/>
    <w:rsid w:val="2B0CA18A"/>
    <w:rsid w:val="2B804FD8"/>
    <w:rsid w:val="2BA007F4"/>
    <w:rsid w:val="2BA31481"/>
    <w:rsid w:val="2BBADC92"/>
    <w:rsid w:val="2BD74C48"/>
    <w:rsid w:val="2BE45D93"/>
    <w:rsid w:val="2BEFF242"/>
    <w:rsid w:val="2C2D35AA"/>
    <w:rsid w:val="2C51A5C7"/>
    <w:rsid w:val="2C7CF412"/>
    <w:rsid w:val="2C959CE2"/>
    <w:rsid w:val="2CAD84D3"/>
    <w:rsid w:val="2D19671F"/>
    <w:rsid w:val="2D2D235C"/>
    <w:rsid w:val="2D9B994A"/>
    <w:rsid w:val="2DD719B4"/>
    <w:rsid w:val="2ED2F221"/>
    <w:rsid w:val="2F22E0B7"/>
    <w:rsid w:val="2F3A50B6"/>
    <w:rsid w:val="2F53F5A4"/>
    <w:rsid w:val="2F678E92"/>
    <w:rsid w:val="2F78B61E"/>
    <w:rsid w:val="2F9FA62D"/>
    <w:rsid w:val="2FD9CFA4"/>
    <w:rsid w:val="3025152D"/>
    <w:rsid w:val="3025CECE"/>
    <w:rsid w:val="3051FE27"/>
    <w:rsid w:val="30FD10F1"/>
    <w:rsid w:val="311B1806"/>
    <w:rsid w:val="312EE42E"/>
    <w:rsid w:val="313FA00D"/>
    <w:rsid w:val="3152B0F9"/>
    <w:rsid w:val="3185E562"/>
    <w:rsid w:val="31905650"/>
    <w:rsid w:val="321A6C3E"/>
    <w:rsid w:val="323E9B02"/>
    <w:rsid w:val="325C55EB"/>
    <w:rsid w:val="32C906A7"/>
    <w:rsid w:val="32CA3736"/>
    <w:rsid w:val="32CF308A"/>
    <w:rsid w:val="32F10BFB"/>
    <w:rsid w:val="3304A4BB"/>
    <w:rsid w:val="3322C298"/>
    <w:rsid w:val="332C9385"/>
    <w:rsid w:val="33633207"/>
    <w:rsid w:val="337112DF"/>
    <w:rsid w:val="33F867A5"/>
    <w:rsid w:val="34018EF7"/>
    <w:rsid w:val="342274AA"/>
    <w:rsid w:val="34685455"/>
    <w:rsid w:val="34959330"/>
    <w:rsid w:val="34A7FC75"/>
    <w:rsid w:val="34AC0268"/>
    <w:rsid w:val="34B3F7E8"/>
    <w:rsid w:val="34C3205D"/>
    <w:rsid w:val="34EE90DF"/>
    <w:rsid w:val="34FF5BB4"/>
    <w:rsid w:val="350C9BC4"/>
    <w:rsid w:val="3516E909"/>
    <w:rsid w:val="3517066D"/>
    <w:rsid w:val="35288E01"/>
    <w:rsid w:val="352AD80C"/>
    <w:rsid w:val="35B8F5B2"/>
    <w:rsid w:val="35D61923"/>
    <w:rsid w:val="35E5F2D6"/>
    <w:rsid w:val="35FA1BA4"/>
    <w:rsid w:val="361118F2"/>
    <w:rsid w:val="36175BDB"/>
    <w:rsid w:val="36482376"/>
    <w:rsid w:val="368720AC"/>
    <w:rsid w:val="36944DE8"/>
    <w:rsid w:val="36B11066"/>
    <w:rsid w:val="36C6DCF6"/>
    <w:rsid w:val="36D9A29A"/>
    <w:rsid w:val="36F5F5C8"/>
    <w:rsid w:val="3744E2AF"/>
    <w:rsid w:val="375A878F"/>
    <w:rsid w:val="37671D83"/>
    <w:rsid w:val="3772FE60"/>
    <w:rsid w:val="379480A7"/>
    <w:rsid w:val="37B3A3E2"/>
    <w:rsid w:val="37D29DF4"/>
    <w:rsid w:val="37D653D3"/>
    <w:rsid w:val="37E24264"/>
    <w:rsid w:val="37FD8B73"/>
    <w:rsid w:val="38060FE2"/>
    <w:rsid w:val="3811E988"/>
    <w:rsid w:val="38496446"/>
    <w:rsid w:val="384AAB3B"/>
    <w:rsid w:val="3869FE1A"/>
    <w:rsid w:val="387AF93F"/>
    <w:rsid w:val="388AE74A"/>
    <w:rsid w:val="38963F0E"/>
    <w:rsid w:val="390A0712"/>
    <w:rsid w:val="391EE360"/>
    <w:rsid w:val="392B1027"/>
    <w:rsid w:val="393F6B68"/>
    <w:rsid w:val="395A30BE"/>
    <w:rsid w:val="396DFA31"/>
    <w:rsid w:val="39C47274"/>
    <w:rsid w:val="39CFC232"/>
    <w:rsid w:val="39FFD3B9"/>
    <w:rsid w:val="3A016B30"/>
    <w:rsid w:val="3A097908"/>
    <w:rsid w:val="3A0A5426"/>
    <w:rsid w:val="3A2F0A2E"/>
    <w:rsid w:val="3A30B75B"/>
    <w:rsid w:val="3A311C02"/>
    <w:rsid w:val="3A34A055"/>
    <w:rsid w:val="3A37233D"/>
    <w:rsid w:val="3A383F3F"/>
    <w:rsid w:val="3B158A6A"/>
    <w:rsid w:val="3B6A2D11"/>
    <w:rsid w:val="3B700125"/>
    <w:rsid w:val="3B783C42"/>
    <w:rsid w:val="3B85E024"/>
    <w:rsid w:val="3BBCEF04"/>
    <w:rsid w:val="3BD87EDE"/>
    <w:rsid w:val="3C0E6F06"/>
    <w:rsid w:val="3C52ECBA"/>
    <w:rsid w:val="3C54AAF8"/>
    <w:rsid w:val="3C818213"/>
    <w:rsid w:val="3C8E20DF"/>
    <w:rsid w:val="3CB70AEB"/>
    <w:rsid w:val="3CB9CE53"/>
    <w:rsid w:val="3CEFB39E"/>
    <w:rsid w:val="3CF800FE"/>
    <w:rsid w:val="3D192EAD"/>
    <w:rsid w:val="3D23743A"/>
    <w:rsid w:val="3D29A66A"/>
    <w:rsid w:val="3DDD52EE"/>
    <w:rsid w:val="3DF2B92A"/>
    <w:rsid w:val="3E2A1A46"/>
    <w:rsid w:val="3E314019"/>
    <w:rsid w:val="3E4BCBE2"/>
    <w:rsid w:val="3EA57F0C"/>
    <w:rsid w:val="3ED4BB2A"/>
    <w:rsid w:val="3EEF0AB8"/>
    <w:rsid w:val="3EF52F51"/>
    <w:rsid w:val="3F2C6DC9"/>
    <w:rsid w:val="3F5349ED"/>
    <w:rsid w:val="3FAD0035"/>
    <w:rsid w:val="3FE7FF6E"/>
    <w:rsid w:val="404A3F7C"/>
    <w:rsid w:val="405468D7"/>
    <w:rsid w:val="405B0DEE"/>
    <w:rsid w:val="40B8053A"/>
    <w:rsid w:val="40D588DE"/>
    <w:rsid w:val="4122DCA0"/>
    <w:rsid w:val="414BDF0E"/>
    <w:rsid w:val="4196273F"/>
    <w:rsid w:val="41E2C5C4"/>
    <w:rsid w:val="41F9A10D"/>
    <w:rsid w:val="428540C9"/>
    <w:rsid w:val="429C1632"/>
    <w:rsid w:val="42A0BE11"/>
    <w:rsid w:val="42AE2E3E"/>
    <w:rsid w:val="42C73A66"/>
    <w:rsid w:val="42D212E7"/>
    <w:rsid w:val="42F3FB7A"/>
    <w:rsid w:val="42F9ED09"/>
    <w:rsid w:val="4316F14F"/>
    <w:rsid w:val="4325F098"/>
    <w:rsid w:val="43449D9A"/>
    <w:rsid w:val="43C74002"/>
    <w:rsid w:val="43C91C38"/>
    <w:rsid w:val="43D83119"/>
    <w:rsid w:val="441607BD"/>
    <w:rsid w:val="44756DA7"/>
    <w:rsid w:val="44B454AE"/>
    <w:rsid w:val="44CB27A5"/>
    <w:rsid w:val="44DA4813"/>
    <w:rsid w:val="44EEF9D8"/>
    <w:rsid w:val="44FC9FE5"/>
    <w:rsid w:val="45439862"/>
    <w:rsid w:val="4561131E"/>
    <w:rsid w:val="45649CAF"/>
    <w:rsid w:val="456E3773"/>
    <w:rsid w:val="46060A4A"/>
    <w:rsid w:val="460A7339"/>
    <w:rsid w:val="46296981"/>
    <w:rsid w:val="4650DA0D"/>
    <w:rsid w:val="4657F8E4"/>
    <w:rsid w:val="467B9D82"/>
    <w:rsid w:val="468CD469"/>
    <w:rsid w:val="46EB717C"/>
    <w:rsid w:val="47B35F84"/>
    <w:rsid w:val="47B46B5E"/>
    <w:rsid w:val="47B9D02D"/>
    <w:rsid w:val="47D9A393"/>
    <w:rsid w:val="4807388D"/>
    <w:rsid w:val="480968A1"/>
    <w:rsid w:val="480E6662"/>
    <w:rsid w:val="4817B884"/>
    <w:rsid w:val="484729FC"/>
    <w:rsid w:val="4854500E"/>
    <w:rsid w:val="48738550"/>
    <w:rsid w:val="48D3B618"/>
    <w:rsid w:val="49196073"/>
    <w:rsid w:val="4964064C"/>
    <w:rsid w:val="4968EA82"/>
    <w:rsid w:val="49A58DA6"/>
    <w:rsid w:val="49BFC7B8"/>
    <w:rsid w:val="49FF07C3"/>
    <w:rsid w:val="4A090773"/>
    <w:rsid w:val="4A159F6F"/>
    <w:rsid w:val="4A22F7AB"/>
    <w:rsid w:val="4A351BE5"/>
    <w:rsid w:val="4A6687ED"/>
    <w:rsid w:val="4A6A7818"/>
    <w:rsid w:val="4A8C9CA7"/>
    <w:rsid w:val="4A971144"/>
    <w:rsid w:val="4AF425CD"/>
    <w:rsid w:val="4B5249CD"/>
    <w:rsid w:val="4BA3622F"/>
    <w:rsid w:val="4BCE2402"/>
    <w:rsid w:val="4BD73F7D"/>
    <w:rsid w:val="4BDB23A2"/>
    <w:rsid w:val="4C08CB8A"/>
    <w:rsid w:val="4C12296A"/>
    <w:rsid w:val="4C5666FF"/>
    <w:rsid w:val="4C62A1AE"/>
    <w:rsid w:val="4C97DF06"/>
    <w:rsid w:val="4C9E0624"/>
    <w:rsid w:val="4CF9A716"/>
    <w:rsid w:val="4CFEFDD0"/>
    <w:rsid w:val="4D6D4D6B"/>
    <w:rsid w:val="4D8A17C4"/>
    <w:rsid w:val="4D8BC547"/>
    <w:rsid w:val="4DC225FA"/>
    <w:rsid w:val="4DD9A124"/>
    <w:rsid w:val="4DEF4168"/>
    <w:rsid w:val="4DF45180"/>
    <w:rsid w:val="4E4D495E"/>
    <w:rsid w:val="4F085DC3"/>
    <w:rsid w:val="4F26436A"/>
    <w:rsid w:val="4FC4D0B6"/>
    <w:rsid w:val="50931936"/>
    <w:rsid w:val="50F8926A"/>
    <w:rsid w:val="510BFEB7"/>
    <w:rsid w:val="51256F72"/>
    <w:rsid w:val="51374EEA"/>
    <w:rsid w:val="5156874C"/>
    <w:rsid w:val="515AC39C"/>
    <w:rsid w:val="5163966F"/>
    <w:rsid w:val="517C628C"/>
    <w:rsid w:val="5205B3F6"/>
    <w:rsid w:val="5267933F"/>
    <w:rsid w:val="527C0E19"/>
    <w:rsid w:val="5292BC27"/>
    <w:rsid w:val="52CBDC8E"/>
    <w:rsid w:val="52E8BFA1"/>
    <w:rsid w:val="52F58009"/>
    <w:rsid w:val="5360F31A"/>
    <w:rsid w:val="5361A47E"/>
    <w:rsid w:val="536894EA"/>
    <w:rsid w:val="538BF73D"/>
    <w:rsid w:val="538C8443"/>
    <w:rsid w:val="53B75789"/>
    <w:rsid w:val="542DFC57"/>
    <w:rsid w:val="5437D01B"/>
    <w:rsid w:val="543CE62B"/>
    <w:rsid w:val="5481C55A"/>
    <w:rsid w:val="548412A9"/>
    <w:rsid w:val="54F9188F"/>
    <w:rsid w:val="55223B0F"/>
    <w:rsid w:val="553D317B"/>
    <w:rsid w:val="553EC36A"/>
    <w:rsid w:val="5555EBCF"/>
    <w:rsid w:val="55AE074B"/>
    <w:rsid w:val="561A15F7"/>
    <w:rsid w:val="56221B64"/>
    <w:rsid w:val="566C5646"/>
    <w:rsid w:val="56A29D30"/>
    <w:rsid w:val="56CBACE9"/>
    <w:rsid w:val="56CE0BFF"/>
    <w:rsid w:val="56F084E6"/>
    <w:rsid w:val="57205EA5"/>
    <w:rsid w:val="573371D6"/>
    <w:rsid w:val="5786380A"/>
    <w:rsid w:val="57A0CB66"/>
    <w:rsid w:val="57BDA10D"/>
    <w:rsid w:val="57C7CCA1"/>
    <w:rsid w:val="57E780C3"/>
    <w:rsid w:val="5811A7C4"/>
    <w:rsid w:val="5816E41F"/>
    <w:rsid w:val="584F48A5"/>
    <w:rsid w:val="58691C74"/>
    <w:rsid w:val="587934AA"/>
    <w:rsid w:val="5891C283"/>
    <w:rsid w:val="5892E334"/>
    <w:rsid w:val="58C89324"/>
    <w:rsid w:val="58F6FACE"/>
    <w:rsid w:val="58F99E11"/>
    <w:rsid w:val="590B720B"/>
    <w:rsid w:val="593D54B4"/>
    <w:rsid w:val="596B57B7"/>
    <w:rsid w:val="59C52D59"/>
    <w:rsid w:val="59E87AC8"/>
    <w:rsid w:val="5A305F5C"/>
    <w:rsid w:val="5A676F89"/>
    <w:rsid w:val="5AF20A83"/>
    <w:rsid w:val="5B432168"/>
    <w:rsid w:val="5B4DED69"/>
    <w:rsid w:val="5B7848DE"/>
    <w:rsid w:val="5B792021"/>
    <w:rsid w:val="5B94CB3A"/>
    <w:rsid w:val="5BB0270D"/>
    <w:rsid w:val="5BE361AA"/>
    <w:rsid w:val="5C0A924B"/>
    <w:rsid w:val="5C36577B"/>
    <w:rsid w:val="5C5092A3"/>
    <w:rsid w:val="5CCDE8C8"/>
    <w:rsid w:val="5CE9EDB9"/>
    <w:rsid w:val="5D35064C"/>
    <w:rsid w:val="5D64EE30"/>
    <w:rsid w:val="5D685B4F"/>
    <w:rsid w:val="5D700B4B"/>
    <w:rsid w:val="5D79E3BD"/>
    <w:rsid w:val="5D8E907D"/>
    <w:rsid w:val="5DA55198"/>
    <w:rsid w:val="5DC7FF54"/>
    <w:rsid w:val="5DCCF84F"/>
    <w:rsid w:val="5DF8409E"/>
    <w:rsid w:val="5E41033D"/>
    <w:rsid w:val="5E56755D"/>
    <w:rsid w:val="5E99F063"/>
    <w:rsid w:val="5EE99B4D"/>
    <w:rsid w:val="5F0F625A"/>
    <w:rsid w:val="5F20EB54"/>
    <w:rsid w:val="5F52A24C"/>
    <w:rsid w:val="5F79D09D"/>
    <w:rsid w:val="5FA502C1"/>
    <w:rsid w:val="5FB5239D"/>
    <w:rsid w:val="5FF45319"/>
    <w:rsid w:val="5FF7A432"/>
    <w:rsid w:val="6013D30B"/>
    <w:rsid w:val="601F4D13"/>
    <w:rsid w:val="60389FA2"/>
    <w:rsid w:val="605853C4"/>
    <w:rsid w:val="607C6632"/>
    <w:rsid w:val="6085C475"/>
    <w:rsid w:val="60B4B289"/>
    <w:rsid w:val="60CD24CA"/>
    <w:rsid w:val="60EBB8CC"/>
    <w:rsid w:val="614C1659"/>
    <w:rsid w:val="6163B82C"/>
    <w:rsid w:val="616915DF"/>
    <w:rsid w:val="616A2755"/>
    <w:rsid w:val="61759E3F"/>
    <w:rsid w:val="61FD3789"/>
    <w:rsid w:val="6207B487"/>
    <w:rsid w:val="62114796"/>
    <w:rsid w:val="622331CF"/>
    <w:rsid w:val="624575A7"/>
    <w:rsid w:val="626F4D31"/>
    <w:rsid w:val="62AA3DE2"/>
    <w:rsid w:val="62B63DD2"/>
    <w:rsid w:val="62C768AD"/>
    <w:rsid w:val="62CC3378"/>
    <w:rsid w:val="63012D5A"/>
    <w:rsid w:val="6317F217"/>
    <w:rsid w:val="631E0E9D"/>
    <w:rsid w:val="6340C07E"/>
    <w:rsid w:val="6351333D"/>
    <w:rsid w:val="635CB730"/>
    <w:rsid w:val="63782452"/>
    <w:rsid w:val="63819FA4"/>
    <w:rsid w:val="63B6EA41"/>
    <w:rsid w:val="6435F54B"/>
    <w:rsid w:val="643AA032"/>
    <w:rsid w:val="643FBCA9"/>
    <w:rsid w:val="64880542"/>
    <w:rsid w:val="6489EC24"/>
    <w:rsid w:val="6495D388"/>
    <w:rsid w:val="64C36AB3"/>
    <w:rsid w:val="65093452"/>
    <w:rsid w:val="6552B335"/>
    <w:rsid w:val="65678078"/>
    <w:rsid w:val="6572F56D"/>
    <w:rsid w:val="657C3ECE"/>
    <w:rsid w:val="6594E2A1"/>
    <w:rsid w:val="65A35786"/>
    <w:rsid w:val="65AE7F39"/>
    <w:rsid w:val="65DF5A38"/>
    <w:rsid w:val="65DFDDBA"/>
    <w:rsid w:val="65E39A06"/>
    <w:rsid w:val="66112A26"/>
    <w:rsid w:val="6663FE40"/>
    <w:rsid w:val="6670DEE9"/>
    <w:rsid w:val="6672288B"/>
    <w:rsid w:val="669DE176"/>
    <w:rsid w:val="66A6E507"/>
    <w:rsid w:val="66DB1801"/>
    <w:rsid w:val="66EA7A35"/>
    <w:rsid w:val="66FED55D"/>
    <w:rsid w:val="6713AD6C"/>
    <w:rsid w:val="671E439F"/>
    <w:rsid w:val="677C9A5D"/>
    <w:rsid w:val="6787813C"/>
    <w:rsid w:val="67D5C807"/>
    <w:rsid w:val="67F7D8B4"/>
    <w:rsid w:val="67F9075A"/>
    <w:rsid w:val="6806754D"/>
    <w:rsid w:val="680A1637"/>
    <w:rsid w:val="681443FC"/>
    <w:rsid w:val="681B359A"/>
    <w:rsid w:val="682398BE"/>
    <w:rsid w:val="6863E370"/>
    <w:rsid w:val="68824828"/>
    <w:rsid w:val="68903653"/>
    <w:rsid w:val="68B1C404"/>
    <w:rsid w:val="68B23F82"/>
    <w:rsid w:val="68B7ED26"/>
    <w:rsid w:val="68F611B6"/>
    <w:rsid w:val="691195E1"/>
    <w:rsid w:val="692C80A5"/>
    <w:rsid w:val="6942D424"/>
    <w:rsid w:val="69448FF4"/>
    <w:rsid w:val="69835BD5"/>
    <w:rsid w:val="69BAB24A"/>
    <w:rsid w:val="69C5942D"/>
    <w:rsid w:val="69CB2FC6"/>
    <w:rsid w:val="69D3606B"/>
    <w:rsid w:val="69D9B01D"/>
    <w:rsid w:val="69DA90E8"/>
    <w:rsid w:val="69DEB6E9"/>
    <w:rsid w:val="6A04EFAD"/>
    <w:rsid w:val="6A0E3060"/>
    <w:rsid w:val="6A10E410"/>
    <w:rsid w:val="6A40863D"/>
    <w:rsid w:val="6A40E182"/>
    <w:rsid w:val="6A454B9A"/>
    <w:rsid w:val="6A4E99E6"/>
    <w:rsid w:val="6A4F3958"/>
    <w:rsid w:val="6A53AFF0"/>
    <w:rsid w:val="6A5CC81A"/>
    <w:rsid w:val="6A690B46"/>
    <w:rsid w:val="6A78FEB1"/>
    <w:rsid w:val="6A7F0B53"/>
    <w:rsid w:val="6A81DC62"/>
    <w:rsid w:val="6A974C64"/>
    <w:rsid w:val="6AD426A6"/>
    <w:rsid w:val="6B6FF6AD"/>
    <w:rsid w:val="6BA8CC01"/>
    <w:rsid w:val="6C0585E6"/>
    <w:rsid w:val="6C2FB51C"/>
    <w:rsid w:val="6C3AAD2A"/>
    <w:rsid w:val="6C5A8DB8"/>
    <w:rsid w:val="6C647E14"/>
    <w:rsid w:val="6CA84613"/>
    <w:rsid w:val="6D0F1C15"/>
    <w:rsid w:val="6D1B57F1"/>
    <w:rsid w:val="6D379F3F"/>
    <w:rsid w:val="6D6F9769"/>
    <w:rsid w:val="6D908550"/>
    <w:rsid w:val="6D9168B7"/>
    <w:rsid w:val="6D95526A"/>
    <w:rsid w:val="6DE3B81F"/>
    <w:rsid w:val="6DFE1A04"/>
    <w:rsid w:val="6E4C7AE1"/>
    <w:rsid w:val="6E68ADCF"/>
    <w:rsid w:val="6E97B884"/>
    <w:rsid w:val="6EA45FD4"/>
    <w:rsid w:val="6F133A57"/>
    <w:rsid w:val="6F40E9B7"/>
    <w:rsid w:val="6F779A81"/>
    <w:rsid w:val="6FB2E953"/>
    <w:rsid w:val="6FD8F994"/>
    <w:rsid w:val="700605D8"/>
    <w:rsid w:val="7024464C"/>
    <w:rsid w:val="702CDB7B"/>
    <w:rsid w:val="7038D1C0"/>
    <w:rsid w:val="7092A355"/>
    <w:rsid w:val="70BA816B"/>
    <w:rsid w:val="70DA8DFD"/>
    <w:rsid w:val="70E6045F"/>
    <w:rsid w:val="70E6D37B"/>
    <w:rsid w:val="710CEB29"/>
    <w:rsid w:val="7172CD91"/>
    <w:rsid w:val="7179E804"/>
    <w:rsid w:val="71986C9E"/>
    <w:rsid w:val="71AF2556"/>
    <w:rsid w:val="71DB9BEF"/>
    <w:rsid w:val="71F8A4A8"/>
    <w:rsid w:val="721A5CA2"/>
    <w:rsid w:val="721DBC4E"/>
    <w:rsid w:val="723173A6"/>
    <w:rsid w:val="72950F1B"/>
    <w:rsid w:val="72B373FE"/>
    <w:rsid w:val="72BEB221"/>
    <w:rsid w:val="72C1290F"/>
    <w:rsid w:val="72C558FE"/>
    <w:rsid w:val="72C56EEB"/>
    <w:rsid w:val="7388D9F8"/>
    <w:rsid w:val="73A04685"/>
    <w:rsid w:val="73D62C1F"/>
    <w:rsid w:val="73FEF2EC"/>
    <w:rsid w:val="7470F9B4"/>
    <w:rsid w:val="74A5F5B3"/>
    <w:rsid w:val="74A6AE0A"/>
    <w:rsid w:val="74BE8698"/>
    <w:rsid w:val="74E0B76E"/>
    <w:rsid w:val="752CDC47"/>
    <w:rsid w:val="75747893"/>
    <w:rsid w:val="760477E8"/>
    <w:rsid w:val="76264C0B"/>
    <w:rsid w:val="762DD608"/>
    <w:rsid w:val="762FEDE5"/>
    <w:rsid w:val="76808DE1"/>
    <w:rsid w:val="7686258B"/>
    <w:rsid w:val="76A5B7A6"/>
    <w:rsid w:val="76AE34B8"/>
    <w:rsid w:val="76B3CD73"/>
    <w:rsid w:val="7723CEA2"/>
    <w:rsid w:val="7725B1F5"/>
    <w:rsid w:val="77328030"/>
    <w:rsid w:val="776D8F9E"/>
    <w:rsid w:val="7779925F"/>
    <w:rsid w:val="77CC1CEE"/>
    <w:rsid w:val="77D60E91"/>
    <w:rsid w:val="77D69417"/>
    <w:rsid w:val="77F57D32"/>
    <w:rsid w:val="77F874EB"/>
    <w:rsid w:val="77FFE8D5"/>
    <w:rsid w:val="783F64BC"/>
    <w:rsid w:val="78802E58"/>
    <w:rsid w:val="78EBFC3D"/>
    <w:rsid w:val="78F180B9"/>
    <w:rsid w:val="791B606F"/>
    <w:rsid w:val="797F35A4"/>
    <w:rsid w:val="79859A2B"/>
    <w:rsid w:val="7A222E6B"/>
    <w:rsid w:val="7A5E0A7F"/>
    <w:rsid w:val="7B1417CA"/>
    <w:rsid w:val="7B92AF87"/>
    <w:rsid w:val="7B92DDE9"/>
    <w:rsid w:val="7B9E4021"/>
    <w:rsid w:val="7BA714E9"/>
    <w:rsid w:val="7C05E184"/>
    <w:rsid w:val="7C0E3180"/>
    <w:rsid w:val="7C649BB3"/>
    <w:rsid w:val="7C6A2F19"/>
    <w:rsid w:val="7C7CC7F1"/>
    <w:rsid w:val="7D19AE0C"/>
    <w:rsid w:val="7D4FD63D"/>
    <w:rsid w:val="7D57B440"/>
    <w:rsid w:val="7D63A0CA"/>
    <w:rsid w:val="7D7A74A9"/>
    <w:rsid w:val="7D82A085"/>
    <w:rsid w:val="7D92C95B"/>
    <w:rsid w:val="7D986399"/>
    <w:rsid w:val="7DA5B7CB"/>
    <w:rsid w:val="7DE2AC5E"/>
    <w:rsid w:val="7E2FA40E"/>
    <w:rsid w:val="7E4E7A18"/>
    <w:rsid w:val="7E905C30"/>
    <w:rsid w:val="7EDAA6FF"/>
    <w:rsid w:val="7F27699A"/>
    <w:rsid w:val="7F43E49C"/>
    <w:rsid w:val="7FAA64C4"/>
    <w:rsid w:val="7FB3D13B"/>
    <w:rsid w:val="7FDE3009"/>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8A9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uiPriority="2"/>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qFormat/>
    <w:rsid w:val="001C6AEE"/>
    <w:pPr>
      <w:spacing w:after="80"/>
      <w:ind w:left="360" w:hanging="360"/>
    </w:pPr>
  </w:style>
  <w:style w:type="paragraph" w:styleId="ListBullet2">
    <w:name w:val="List Bullet 2"/>
    <w:basedOn w:val="Normal"/>
    <w:rsid w:val="001C6AEE"/>
    <w:pPr>
      <w:numPr>
        <w:numId w:val="2"/>
      </w:numPr>
      <w:spacing w:after="80"/>
    </w:pPr>
  </w:style>
  <w:style w:type="paragraph" w:styleId="ListNumber">
    <w:name w:val="List Number"/>
    <w:basedOn w:val="Normal"/>
    <w:rsid w:val="00C24A53"/>
    <w:pPr>
      <w:numPr>
        <w:numId w:val="17"/>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qForma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99"/>
    <w:qFormat/>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40651D"/>
    <w:pPr>
      <w:numPr>
        <w:numId w:val="54"/>
      </w:numPr>
    </w:pPr>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link w:val="ParagraphChar"/>
    <w:qFormat/>
    <w:rsid w:val="00A824E8"/>
    <w:rPr>
      <w:rFonts w:cs="Arial"/>
    </w:rPr>
  </w:style>
  <w:style w:type="paragraph" w:customStyle="1" w:styleId="Bulletlevel2">
    <w:name w:val="Bullet level 2"/>
    <w:basedOn w:val="ListBullet2"/>
    <w:uiPriority w:val="7"/>
    <w:qFormat/>
    <w:rsid w:val="00D43B47"/>
    <w:rPr>
      <w:rFonts w:cs="Arial"/>
    </w:rPr>
  </w:style>
  <w:style w:type="paragraph" w:customStyle="1" w:styleId="Bulletlevel1last">
    <w:name w:val="Bullet level 1 last"/>
    <w:basedOn w:val="ListBulletLast"/>
    <w:uiPriority w:val="6"/>
    <w:qFormat/>
    <w:rsid w:val="00533DAC"/>
    <w:pPr>
      <w:numPr>
        <w:numId w:val="57"/>
      </w:numPr>
      <w:tabs>
        <w:tab w:val="num" w:pos="360"/>
      </w:tabs>
      <w:ind w:left="357" w:hanging="357"/>
    </w:pPr>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Heading4Char">
    <w:name w:val="Heading 4 Char"/>
    <w:basedOn w:val="DefaultParagraphFont"/>
    <w:link w:val="Heading4"/>
    <w:uiPriority w:val="2"/>
    <w:rsid w:val="00D57398"/>
    <w:rPr>
      <w:rFonts w:ascii="Arial" w:hAnsi="Arial" w:cs="Arial"/>
      <w:b/>
      <w:i/>
      <w:sz w:val="20"/>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qFormat/>
    <w:rsid w:val="00D57398"/>
    <w:rPr>
      <w:rFonts w:ascii="Arial" w:hAnsi="Arial"/>
      <w:sz w:val="16"/>
      <w:szCs w:val="16"/>
    </w:rPr>
  </w:style>
  <w:style w:type="character" w:customStyle="1" w:styleId="ParagraphChar">
    <w:name w:val="Paragraph Char"/>
    <w:basedOn w:val="DefaultParagraphFont"/>
    <w:link w:val="Paragraph"/>
    <w:rsid w:val="00D57398"/>
    <w:rPr>
      <w:rFonts w:ascii="Arial" w:hAnsi="Arial" w:cs="Arial"/>
      <w:sz w:val="20"/>
    </w:rPr>
  </w:style>
  <w:style w:type="character" w:customStyle="1" w:styleId="normaltextrun">
    <w:name w:val="normaltextrun"/>
    <w:basedOn w:val="DefaultParagraphFont"/>
    <w:rsid w:val="00D57398"/>
  </w:style>
  <w:style w:type="character" w:customStyle="1" w:styleId="eop">
    <w:name w:val="eop"/>
    <w:basedOn w:val="DefaultParagraphFont"/>
    <w:rsid w:val="00D57398"/>
  </w:style>
  <w:style w:type="character" w:styleId="Mention">
    <w:name w:val="Mention"/>
    <w:basedOn w:val="DefaultParagraphFont"/>
    <w:uiPriority w:val="99"/>
    <w:unhideWhenUsed/>
    <w:rsid w:val="00D57398"/>
    <w:rPr>
      <w:color w:val="2B579A"/>
      <w:shd w:val="clear" w:color="auto" w:fill="E1DFDD"/>
    </w:rPr>
  </w:style>
  <w:style w:type="character" w:customStyle="1" w:styleId="scxw139911110">
    <w:name w:val="scxw139911110"/>
    <w:basedOn w:val="DefaultParagraphFont"/>
    <w:rsid w:val="00D57398"/>
  </w:style>
  <w:style w:type="paragraph" w:styleId="ListParagraph">
    <w:name w:val="List Paragraph"/>
    <w:basedOn w:val="Normal"/>
    <w:qFormat/>
    <w:rsid w:val="00620FBA"/>
    <w:pPr>
      <w:ind w:left="720"/>
      <w:contextualSpacing/>
    </w:pPr>
  </w:style>
  <w:style w:type="paragraph" w:customStyle="1" w:styleId="pf0">
    <w:name w:val="pf0"/>
    <w:basedOn w:val="Normal"/>
    <w:rsid w:val="00A55C6F"/>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A55C6F"/>
    <w:rPr>
      <w:rFonts w:ascii="Segoe UI" w:hAnsi="Segoe UI" w:cs="Segoe UI" w:hint="default"/>
      <w:sz w:val="18"/>
      <w:szCs w:val="18"/>
    </w:rPr>
  </w:style>
  <w:style w:type="paragraph" w:styleId="NormalWeb">
    <w:name w:val="Normal (Web)"/>
    <w:basedOn w:val="Normal"/>
    <w:uiPriority w:val="99"/>
    <w:semiHidden/>
    <w:unhideWhenUsed/>
    <w:rsid w:val="00CC141F"/>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35">
      <w:bodyDiv w:val="1"/>
      <w:marLeft w:val="0"/>
      <w:marRight w:val="0"/>
      <w:marTop w:val="0"/>
      <w:marBottom w:val="0"/>
      <w:divBdr>
        <w:top w:val="none" w:sz="0" w:space="0" w:color="auto"/>
        <w:left w:val="none" w:sz="0" w:space="0" w:color="auto"/>
        <w:bottom w:val="none" w:sz="0" w:space="0" w:color="auto"/>
        <w:right w:val="none" w:sz="0" w:space="0" w:color="auto"/>
      </w:divBdr>
    </w:div>
    <w:div w:id="117139742">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990448575">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2736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nfrastructure.gov.au/sites/default/files/documents/acma-statement-of-expectations-2022.pdf" TargetMode="External"/><Relationship Id="rId21" Type="http://schemas.openxmlformats.org/officeDocument/2006/relationships/footer" Target="footer5.xml"/><Relationship Id="rId42" Type="http://schemas.openxmlformats.org/officeDocument/2006/relationships/hyperlink" Target="https://www.itu.int/dms_pub/itu-r/opb/rep/R-REP-BT.2069-7-2017-PDF-E.pdf" TargetMode="External"/><Relationship Id="rId47" Type="http://schemas.openxmlformats.org/officeDocument/2006/relationships/hyperlink" Target="https://auc-word-edit.officeapps.live.com/we/wordeditorframe.aspx?ui=en%2DGB&amp;rs=en%2DUS&amp;wopisrc=https%3A%2F%2Facmagovau.sharepoint.com%2Fsites%2FExpiringSpectrumLicences%2F_vti_bin%2Fwopi.ashx%2Ffiles%2F21d4921834dd4b17b361e04ea373d928&amp;wdenableroaming=1&amp;wdfr=1&amp;mscc=1&amp;hid=CBBA04A1-A08D-2000-D77E-87BF18731DD6&amp;wdorigin=ItemsView&amp;wdhostclicktime=1706066698392&amp;jsapi=1&amp;jsapiver=v1&amp;newsession=1&amp;corrid=becd446b-8578-4a64-a26f-b016eb07f640&amp;usid=becd446b-8578-4a64-a26f-b016eb07f640&amp;sftc=1&amp;cac=1&amp;mtf=1&amp;sfp=1&amp;instantedit=1&amp;wopicomplete=1&amp;wdredirectionreason=Unified_SingleFlush&amp;rct=Normal&amp;ctp=LeastProtected" TargetMode="External"/><Relationship Id="rId63" Type="http://schemas.openxmlformats.org/officeDocument/2006/relationships/diagramQuickStyle" Target="diagrams/quickStyle1.xml"/><Relationship Id="rId68" Type="http://schemas.openxmlformats.org/officeDocument/2006/relationships/hyperlink" Target="https://apo.org.au/sites/default/files/resource-files/2023-08/apo-nid324024.pdf" TargetMode="External"/><Relationship Id="rId16" Type="http://schemas.openxmlformats.org/officeDocument/2006/relationships/footer" Target="footer2.xml"/><Relationship Id="rId11" Type="http://schemas.openxmlformats.org/officeDocument/2006/relationships/hyperlink" Target="http://i.creativecommons.org/l/by/3.0/88x31.png" TargetMode="External"/><Relationship Id="rId32" Type="http://schemas.openxmlformats.org/officeDocument/2006/relationships/hyperlink" Target="https://www.infrastructure.gov.au/media-communications-arts/phone/mobile-network-hardening-program" TargetMode="External"/><Relationship Id="rId37" Type="http://schemas.openxmlformats.org/officeDocument/2006/relationships/hyperlink" Target="https://auc-word-edit.officeapps.live.com/we/wordeditorframe.aspx?ui=en%2DGB&amp;rs=en%2DUS&amp;wopisrc=https%3A%2F%2Facmagovau.sharepoint.com%2Fsites%2FExpiringSpectrumLicences%2F_vti_bin%2Fwopi.ashx%2Ffiles%2F21d4921834dd4b17b361e04ea373d928&amp;wdenableroaming=1&amp;wdfr=1&amp;mscc=1&amp;hid=CBBA04A1-A08D-2000-D77E-87BF18731DD6&amp;wdorigin=ItemsView&amp;wdhostclicktime=1706066698392&amp;jsapi=1&amp;jsapiver=v1&amp;newsession=1&amp;corrid=becd446b-8578-4a64-a26f-b016eb07f640&amp;usid=becd446b-8578-4a64-a26f-b016eb07f640&amp;sftc=1&amp;cac=1&amp;mtf=1&amp;sfp=1&amp;instantedit=1&amp;wopicomplete=1&amp;wdredirectionreason=Unified_SingleFlush&amp;rct=Normal&amp;ctp=LeastProtected" TargetMode="External"/><Relationship Id="rId53" Type="http://schemas.openxmlformats.org/officeDocument/2006/relationships/hyperlink" Target="mailto:ESL@acma.gov.au" TargetMode="External"/><Relationship Id="rId58" Type="http://schemas.openxmlformats.org/officeDocument/2006/relationships/hyperlink" Target="https://www.infrastructure.gov.au/department/media/publications/australian-communications-and-media-authority-statement-expectations" TargetMode="External"/><Relationship Id="rId74" Type="http://schemas.openxmlformats.org/officeDocument/2006/relationships/header" Target="header8.xml"/><Relationship Id="rId79"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diagramData" Target="diagrams/data1.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acma.gov.au/privacy-policy" TargetMode="External"/><Relationship Id="rId30" Type="http://schemas.openxmlformats.org/officeDocument/2006/relationships/hyperlink" Target="https://www.infrastructure.gov.au/have-your-say/ministerial-policy-statement-expiring-spectrum-licences" TargetMode="External"/><Relationship Id="rId35" Type="http://schemas.openxmlformats.org/officeDocument/2006/relationships/hyperlink" Target="https://data.gov.au/dataset/ds-dga-4b472a18-d0fa-409c-994a-ab17162bcb90/details?q=ACCC" TargetMode="External"/><Relationship Id="rId43" Type="http://schemas.openxmlformats.org/officeDocument/2006/relationships/hyperlink" Target="https://www.itu.int/dms_pubrec/itu-r/rec/f/R-REC-F.1777-2-201801-S!!PDF-E.pdf" TargetMode="External"/><Relationship Id="rId48" Type="http://schemas.openxmlformats.org/officeDocument/2006/relationships/hyperlink" Target="https://www.acma.gov.au/25-ghz-band-review" TargetMode="External"/><Relationship Id="rId56" Type="http://schemas.openxmlformats.org/officeDocument/2006/relationships/hyperlink" Target="https://www.acma.gov.au/privacy-policy" TargetMode="External"/><Relationship Id="rId64" Type="http://schemas.openxmlformats.org/officeDocument/2006/relationships/diagramColors" Target="diagrams/colors1.xml"/><Relationship Id="rId69" Type="http://schemas.openxmlformats.org/officeDocument/2006/relationships/hyperlink" Target="https://www.acma.gov.au/publications/2023-09/report/market-study-private-wireless-networks-using-4g-or-5g"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accc.gov.au/inquiries-and-consultations/regional-mobile-infrastructure-inquiry-2022-23" TargetMode="External"/><Relationship Id="rId72" Type="http://schemas.openxmlformats.org/officeDocument/2006/relationships/hyperlink" Target="https://www.acma.gov.au/consultations/2023-05/proposed-approach-expiring-spectrum-licences" TargetMode="External"/><Relationship Id="rId80"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infrastructure.gov.au/have-your-say/ministerial-policy-statement-expiring-spectrum-licences" TargetMode="External"/><Relationship Id="rId33" Type="http://schemas.openxmlformats.org/officeDocument/2006/relationships/hyperlink" Target="https://www.infrastructure.gov.au/media-communications-arts/phone/telecommunications-disaster-resilience-innovation-program" TargetMode="External"/><Relationship Id="rId38" Type="http://schemas.openxmlformats.org/officeDocument/2006/relationships/hyperlink" Target="https://auc-word-edit.officeapps.live.com/we/wordeditorframe.aspx?ui=en%2DGB&amp;rs=en%2DUS&amp;wopisrc=https%3A%2F%2Facmagovau.sharepoint.com%2Fsites%2FExpiringSpectrumLicences%2F_vti_bin%2Fwopi.ashx%2Ffiles%2F21d4921834dd4b17b361e04ea373d928&amp;wdenableroaming=1&amp;wdfr=1&amp;mscc=1&amp;hid=CBBA04A1-A08D-2000-D77E-87BF18731DD6&amp;wdorigin=ItemsView&amp;wdhostclicktime=1706066698392&amp;jsapi=1&amp;jsapiver=v1&amp;newsession=1&amp;corrid=becd446b-8578-4a64-a26f-b016eb07f640&amp;usid=becd446b-8578-4a64-a26f-b016eb07f640&amp;sftc=1&amp;cac=1&amp;mtf=1&amp;sfp=1&amp;instantedit=1&amp;wopicomplete=1&amp;wdredirectionreason=Unified_SingleFlush&amp;rct=Normal&amp;ctp=LeastProtected" TargetMode="External"/><Relationship Id="rId46" Type="http://schemas.openxmlformats.org/officeDocument/2006/relationships/hyperlink" Target="https://www.itu.int/dms_pub/itu-r/opb/rep/R-REP-BT.2069-7-2017-PDF-E.pdf" TargetMode="External"/><Relationship Id="rId59" Type="http://schemas.openxmlformats.org/officeDocument/2006/relationships/hyperlink" Target="https://www.acma.gov.au/consultations/2023-05/proposed-approach-expiring-spectrum-licences" TargetMode="External"/><Relationship Id="rId67" Type="http://schemas.openxmlformats.org/officeDocument/2006/relationships/hyperlink" Target="https://www.industry.gov.au/publications/critical-technologies-statement" TargetMode="External"/><Relationship Id="rId20" Type="http://schemas.openxmlformats.org/officeDocument/2006/relationships/footer" Target="footer4.xml"/><Relationship Id="rId41" Type="http://schemas.openxmlformats.org/officeDocument/2006/relationships/hyperlink" Target="https://www.itu.int/dms_pub/itu-r/opb/rep/R-REP-BT.2069-7-2017-PDF-E.pdf" TargetMode="External"/><Relationship Id="rId54" Type="http://schemas.openxmlformats.org/officeDocument/2006/relationships/hyperlink" Target="mailto:ESL@acma.gov.au" TargetMode="External"/><Relationship Id="rId62" Type="http://schemas.openxmlformats.org/officeDocument/2006/relationships/diagramLayout" Target="diagrams/layout1.xml"/><Relationship Id="rId70" Type="http://schemas.openxmlformats.org/officeDocument/2006/relationships/hyperlink" Target="https://www.accc.gov.au/inquiries-and-consultations/regional-mobile-infrastructure-inquiry-2022-23/final-report" TargetMode="External"/><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acma.gov.au/five-year-spectrum-outlook" TargetMode="External"/><Relationship Id="rId28" Type="http://schemas.openxmlformats.org/officeDocument/2006/relationships/hyperlink" Target="https://www.acma.gov.au/consultations/2023-05/proposed-approach-expiring-spectrum-licences" TargetMode="External"/><Relationship Id="rId36" Type="http://schemas.openxmlformats.org/officeDocument/2006/relationships/hyperlink" Target="https://www.accc.gov.au/system/files/Audit%20of%20Telecommunications%20Infrastructure%20RKR%20-%20December%202023.pdf" TargetMode="External"/><Relationship Id="rId49" Type="http://schemas.openxmlformats.org/officeDocument/2006/relationships/hyperlink" Target="https://www.aph.gov.au/Parliamentary_Business/Committees/House/Communications/Mobileco-investment" TargetMode="External"/><Relationship Id="rId57" Type="http://schemas.openxmlformats.org/officeDocument/2006/relationships/hyperlink" Target="https://www.acma.gov.au/consultations/2023-05/proposed-approach-expiring-spectrum-licences" TargetMode="External"/><Relationship Id="rId10" Type="http://schemas.openxmlformats.org/officeDocument/2006/relationships/header" Target="header2.xml"/><Relationship Id="rId31" Type="http://schemas.openxmlformats.org/officeDocument/2006/relationships/hyperlink" Target="https://www.aph.gov.au/Parliamentary_Business/Committees/House/Communications/Mobileco-investment/Report" TargetMode="External"/><Relationship Id="rId44" Type="http://schemas.openxmlformats.org/officeDocument/2006/relationships/hyperlink" Target="https://www.itu.int/dms_pubrec/itu-r/rec/f/R-REC-F.1777-2-201801-S!!PDF-E.pdf" TargetMode="External"/><Relationship Id="rId52" Type="http://schemas.openxmlformats.org/officeDocument/2006/relationships/hyperlink" Target="https://www.acma.gov.au/have-your-say" TargetMode="External"/><Relationship Id="rId60" Type="http://schemas.openxmlformats.org/officeDocument/2006/relationships/hyperlink" Target="https://www.infrastructure.gov.au/have-your-say/ministerial-policy-statement-expiring-spectrum-licences" TargetMode="External"/><Relationship Id="rId65" Type="http://schemas.microsoft.com/office/2007/relationships/diagramDrawing" Target="diagrams/drawing1.xml"/><Relationship Id="rId73" Type="http://schemas.openxmlformats.org/officeDocument/2006/relationships/header" Target="header7.xml"/><Relationship Id="rId78" Type="http://schemas.openxmlformats.org/officeDocument/2006/relationships/theme" Target="theme/theme1.xml"/><Relationship Id="rId8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reativecommons.org/licenses/by/4.0/" TargetMode="External"/><Relationship Id="rId18" Type="http://schemas.openxmlformats.org/officeDocument/2006/relationships/header" Target="header5.xml"/><Relationship Id="rId39" Type="http://schemas.openxmlformats.org/officeDocument/2006/relationships/hyperlink" Target="https://www.itu.int/dms_pubrec/itu-r/rec/f/R-REC-F.1777-2-201801-S!!PDF-E.pdf" TargetMode="External"/><Relationship Id="rId34" Type="http://schemas.openxmlformats.org/officeDocument/2006/relationships/hyperlink" Target="https://www.accc.gov.au/by-industry/telecommunications-and-internet/telecommunications-industry-record-keeping-and-reporting-rules/audit-of-telecommunications-infrastructure-assets-record-keeping-rules/infrastructure-assets-record-keeping-rule" TargetMode="External"/><Relationship Id="rId50" Type="http://schemas.openxmlformats.org/officeDocument/2006/relationships/hyperlink" Target="https://www.infrastructure.gov.au/media-communications-arts/phone/regional-telecommunications-review" TargetMode="External"/><Relationship Id="rId55" Type="http://schemas.openxmlformats.org/officeDocument/2006/relationships/hyperlink" Target="https://www.acma.gov.au/publication-submissions" TargetMode="External"/><Relationship Id="rId76"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https://www.digitalinclusion.gov.au/publications" TargetMode="External"/><Relationship Id="rId2" Type="http://schemas.openxmlformats.org/officeDocument/2006/relationships/numbering" Target="numbering.xml"/><Relationship Id="rId29" Type="http://schemas.openxmlformats.org/officeDocument/2006/relationships/image" Target="media/image4.png"/><Relationship Id="rId24" Type="http://schemas.openxmlformats.org/officeDocument/2006/relationships/hyperlink" Target="https://www.acma.gov.au/consultations/2023-05/proposed-approach-expiring-spectrum-licences" TargetMode="External"/><Relationship Id="rId40" Type="http://schemas.openxmlformats.org/officeDocument/2006/relationships/hyperlink" Target="https://www.itu.int/dms_pubrec/itu-r/rec/f/R-REC-F.1777-2-201801-S!!PDF-E.pdf" TargetMode="External"/><Relationship Id="rId45" Type="http://schemas.openxmlformats.org/officeDocument/2006/relationships/hyperlink" Target="https://www.itu.int/dms_pub/itu-r/opb/rep/R-REP-BT.2069-7-2017-PDF-E.pdf" TargetMode="External"/><Relationship Id="rId66" Type="http://schemas.openxmlformats.org/officeDocument/2006/relationships/hyperlink" Target="https://www.legislation.gov.au/Details/F2022N0001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tirc.gov.au/" TargetMode="External"/><Relationship Id="rId18" Type="http://schemas.openxmlformats.org/officeDocument/2006/relationships/hyperlink" Target="https://www.accc.gov.au/by-industry/telecommunications-and-internet/mobile-services-regulation/mobile-infrastructure-report/mobile-infrastructure-report-2022" TargetMode="External"/><Relationship Id="rId26" Type="http://schemas.openxmlformats.org/officeDocument/2006/relationships/hyperlink" Target="https://www.rsm.govt.nz/projects-and-auctions/auctions/completed-spectrum-auctions-1996-present/auction-12/" TargetMode="External"/><Relationship Id="rId3" Type="http://schemas.openxmlformats.org/officeDocument/2006/relationships/hyperlink" Target="https://www.itu.int/pub/R-REG-RR" TargetMode="External"/><Relationship Id="rId21" Type="http://schemas.openxmlformats.org/officeDocument/2006/relationships/hyperlink" Target="https://www.digitalinclusion.gov.au/publications" TargetMode="External"/><Relationship Id="rId34" Type="http://schemas.openxmlformats.org/officeDocument/2006/relationships/hyperlink" Target="https://www.ofcom.org.uk/manage-your-licence/radiocommunication-licences/local-access-licences" TargetMode="External"/><Relationship Id="rId7" Type="http://schemas.openxmlformats.org/officeDocument/2006/relationships/hyperlink" Target="http://www.uic.org/" TargetMode="External"/><Relationship Id="rId12" Type="http://schemas.openxmlformats.org/officeDocument/2006/relationships/hyperlink" Target="https://www.ventureinsights.com.au/product/report-state-of-the-australian-telecommunications-industry/" TargetMode="External"/><Relationship Id="rId17" Type="http://schemas.openxmlformats.org/officeDocument/2006/relationships/hyperlink" Target="https://www.aph.gov.au/Parliamentary_Business/Committees/House/Communications/Mobileco-investment/Report" TargetMode="External"/><Relationship Id="rId25" Type="http://schemas.openxmlformats.org/officeDocument/2006/relationships/hyperlink" Target="https://www.infrastructure.gov.au/sites/default/files/documents/better-delivery-of-universal-services-discussion-paper.pdf" TargetMode="External"/><Relationship Id="rId33" Type="http://schemas.openxmlformats.org/officeDocument/2006/relationships/hyperlink" Target="https://ised-isde.canada.ca/site/spectrum-management-telecommunications/en/spectrum-allocation/decision-new-access-licensing-framework-changes-subordinate-licensing-and-white-space-support-rural" TargetMode="External"/><Relationship Id="rId2" Type="http://schemas.openxmlformats.org/officeDocument/2006/relationships/hyperlink" Target="https://data.gov.au/dataset/ds-dga-4b472a18-d0fa-409c-994a-ab17162bcb90/distribution/dist-dga-08a78c48-8b7f-42a4-8b4d-50b2dd31abba/details?q=ACCC" TargetMode="External"/><Relationship Id="rId16" Type="http://schemas.openxmlformats.org/officeDocument/2006/relationships/hyperlink" Target="https://www.acma.gov.au/consultations/2021-10/radio-local-area-networks-rlans-6-ghz-band-consultation-372021" TargetMode="External"/><Relationship Id="rId20" Type="http://schemas.openxmlformats.org/officeDocument/2006/relationships/hyperlink" Target="https://www.admscentre.org.au/mapping-the-digital-gap/" TargetMode="External"/><Relationship Id="rId29" Type="http://schemas.openxmlformats.org/officeDocument/2006/relationships/hyperlink" Target="https://hal.science/hal-01892202/document" TargetMode="External"/><Relationship Id="rId1" Type="http://schemas.openxmlformats.org/officeDocument/2006/relationships/hyperlink" Target="https://www.acma.gov.au/sites/default/files/2023-12/Correspondence%20from%20Minister%20Rowland%20to%20the%20ACMA%20Chair%20-%20MS23-004424.pdf" TargetMode="External"/><Relationship Id="rId6" Type="http://schemas.openxmlformats.org/officeDocument/2006/relationships/hyperlink" Target="http://www.uic.org/" TargetMode="External"/><Relationship Id="rId11" Type="http://schemas.openxmlformats.org/officeDocument/2006/relationships/hyperlink" Target="https://ministers.treasury.gov.au/ministers/jim-chalmers-2022/media-releases/more-dynamic-and-competitive-economy" TargetMode="External"/><Relationship Id="rId24" Type="http://schemas.openxmlformats.org/officeDocument/2006/relationships/hyperlink" Target="https://www.aph.gov.au/Parliamentary_Business/Committees/House/Communications/Mobileco-investment/Submissions" TargetMode="External"/><Relationship Id="rId32" Type="http://schemas.openxmlformats.org/officeDocument/2006/relationships/hyperlink" Target="https://docs.fcc.gov/public/attachments/DA-19-77A1.pdf" TargetMode="External"/><Relationship Id="rId5" Type="http://schemas.openxmlformats.org/officeDocument/2006/relationships/hyperlink" Target="https://gsacom.com/gambod/" TargetMode="External"/><Relationship Id="rId15" Type="http://schemas.openxmlformats.org/officeDocument/2006/relationships/hyperlink" Target="https://www.infrastructure.gov.au/department/media/publications/agri-tech-expert-working-group-report" TargetMode="External"/><Relationship Id="rId23" Type="http://schemas.openxmlformats.org/officeDocument/2006/relationships/hyperlink" Target="https://www.closingthegap.gov.au/sites/default/files/2022-09/ctg-national-agreement_apr-21-comm-infra-targets-updated-24-august-2022_0.pdf" TargetMode="External"/><Relationship Id="rId28" Type="http://schemas.openxmlformats.org/officeDocument/2006/relationships/hyperlink" Target="https://ised-isde.canada.ca/site/spectrum-management-telecommunications/sites/default/files/attachments/2022/Licensing_Framework_MBS_700_MHz_Band.pdf" TargetMode="External"/><Relationship Id="rId10" Type="http://schemas.openxmlformats.org/officeDocument/2006/relationships/hyperlink" Target="https://www.acma.gov.au/sites/default/files/2020-09/ACMA%20approach%20to%20introducing%20area-wide%20licences.pdf" TargetMode="External"/><Relationship Id="rId19" Type="http://schemas.openxmlformats.org/officeDocument/2006/relationships/hyperlink" Target="https://www.accc.gov.au/inquiries-and-consultations/regional-mobile-infrastructure-inquiry-2022-23/final-report" TargetMode="External"/><Relationship Id="rId31" Type="http://schemas.openxmlformats.org/officeDocument/2006/relationships/hyperlink" Target="https://www.fcc.gov/document/relicensing-700-mhz-spectrum-unserved-areas" TargetMode="External"/><Relationship Id="rId4" Type="http://schemas.openxmlformats.org/officeDocument/2006/relationships/hyperlink" Target="https://extranet.itu.int/brdocsearch/R-REC/Forms/folders_inforce.aspx" TargetMode="External"/><Relationship Id="rId9" Type="http://schemas.openxmlformats.org/officeDocument/2006/relationships/hyperlink" Target="https://www.acma.gov.au/publications/2023-09/report/market-study-private-wireless-networks-using-4g-or-5g" TargetMode="External"/><Relationship Id="rId14" Type="http://schemas.openxmlformats.org/officeDocument/2006/relationships/hyperlink" Target="https://www.aph.gov.au/Parliamentary_Business/Committees/House/Communications/Mobileco-investment/Submissions" TargetMode="External"/><Relationship Id="rId22" Type="http://schemas.openxmlformats.org/officeDocument/2006/relationships/hyperlink" Target="https://www.coalitionofpeaks.org.au/national-agreement-on-closing-the-gap" TargetMode="External"/><Relationship Id="rId27" Type="http://schemas.openxmlformats.org/officeDocument/2006/relationships/hyperlink" Target="https://ised-isde.canada.ca/site/spectrum-management-telecommunications/sites/default/files/attachments/2022/700MHz-e.pdf" TargetMode="External"/><Relationship Id="rId30" Type="http://schemas.openxmlformats.org/officeDocument/2006/relationships/hyperlink" Target="https://hal.science/hal-01892202/document" TargetMode="External"/><Relationship Id="rId35" Type="http://schemas.openxmlformats.org/officeDocument/2006/relationships/hyperlink" Target="https://www.ofcom.org.uk/__data/assets/pdf_file/0020/276302/Local-Access-Licences-Chart.pdf" TargetMode="External"/><Relationship Id="rId8" Type="http://schemas.openxmlformats.org/officeDocument/2006/relationships/hyperlink" Target="https://www.aph.gov.au/Parliamentary_Business/Committees/House/Communications/Mobileco-investment/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70AFCD-5961-4B19-95FA-F63CBE4EB563}" type="doc">
      <dgm:prSet loTypeId="urn:microsoft.com/office/officeart/2005/8/layout/radial6" loCatId="cycle" qsTypeId="urn:microsoft.com/office/officeart/2005/8/quickstyle/simple1" qsCatId="simple" csTypeId="urn:microsoft.com/office/officeart/2005/8/colors/accent4_2" csCatId="accent4" phldr="1"/>
      <dgm:spPr/>
      <dgm:t>
        <a:bodyPr/>
        <a:lstStyle/>
        <a:p>
          <a:endParaRPr lang="en-AU"/>
        </a:p>
      </dgm:t>
    </dgm:pt>
    <dgm:pt modelId="{8F8CA5D8-E619-49E4-9BB1-D5307E78DFC0}">
      <dgm:prSet phldrT="[Text]"/>
      <dgm:spPr/>
      <dgm:t>
        <a:bodyPr/>
        <a:lstStyle/>
        <a:p>
          <a:r>
            <a:rPr lang="en-AU" dirty="0"/>
            <a:t>Public interest</a:t>
          </a:r>
        </a:p>
      </dgm:t>
      <dgm:extLst>
        <a:ext uri="{E40237B7-FDA0-4F09-8148-C483321AD2D9}">
          <dgm14:cNvPr xmlns:dgm14="http://schemas.microsoft.com/office/drawing/2010/diagram" id="0" name="" descr="Diagram showing public interest criteria: &#10;Public interest&#10;&#10;facilitates efficiency&#10;promotes investment and innovation&#10;enhances competition&#10;balances public benefits and Impacts&#10;supports relevant policy objectives and priorities&#10;"/>
        </a:ext>
      </dgm:extLst>
    </dgm:pt>
    <dgm:pt modelId="{A873957F-96C4-4DB0-94E0-BFFB207BA02E}" type="parTrans" cxnId="{DAEB8A04-9F13-47EF-832C-9D67C6ED93EB}">
      <dgm:prSet/>
      <dgm:spPr/>
      <dgm:t>
        <a:bodyPr/>
        <a:lstStyle/>
        <a:p>
          <a:endParaRPr lang="en-AU"/>
        </a:p>
      </dgm:t>
    </dgm:pt>
    <dgm:pt modelId="{CD5BA44E-5A6B-4B22-AB88-4F4AB82374F4}" type="sibTrans" cxnId="{DAEB8A04-9F13-47EF-832C-9D67C6ED93EB}">
      <dgm:prSet/>
      <dgm:spPr/>
      <dgm:t>
        <a:bodyPr/>
        <a:lstStyle/>
        <a:p>
          <a:endParaRPr lang="en-AU"/>
        </a:p>
      </dgm:t>
    </dgm:pt>
    <dgm:pt modelId="{F6155B5F-5038-4CA0-862E-B0A7218B1B84}">
      <dgm:prSet phldrT="[Text]"/>
      <dgm:spPr/>
      <dgm:t>
        <a:bodyPr/>
        <a:lstStyle/>
        <a:p>
          <a:r>
            <a:rPr lang="en-AU" dirty="0"/>
            <a:t>facilitates efficiency</a:t>
          </a:r>
        </a:p>
      </dgm:t>
      <dgm:extLst>
        <a:ext uri="{E40237B7-FDA0-4F09-8148-C483321AD2D9}">
          <dgm14:cNvPr xmlns:dgm14="http://schemas.microsoft.com/office/drawing/2010/diagram" id="0" name="" descr="Diagram showing public interest criteria: &#10;Public interest&#10;&#10;facilitates efficiency&#10;promotes investment and innovation&#10;enhances competition&#10;balances public benefits and Impacts&#10;supports relevant policy objectives and priorities&#10;"/>
        </a:ext>
      </dgm:extLst>
    </dgm:pt>
    <dgm:pt modelId="{F93D202C-3FE9-45B4-8749-10E8754ECD78}" type="parTrans" cxnId="{8AFA4364-A9AD-4875-B9F9-7797718EE89A}">
      <dgm:prSet/>
      <dgm:spPr/>
      <dgm:t>
        <a:bodyPr/>
        <a:lstStyle/>
        <a:p>
          <a:endParaRPr lang="en-AU"/>
        </a:p>
      </dgm:t>
    </dgm:pt>
    <dgm:pt modelId="{3D4EA851-DA2F-484B-9109-BEC3DBFB4537}" type="sibTrans" cxnId="{8AFA4364-A9AD-4875-B9F9-7797718EE89A}">
      <dgm:prSet/>
      <dgm:spPr/>
      <dgm:t>
        <a:bodyPr/>
        <a:lstStyle/>
        <a:p>
          <a:endParaRPr lang="en-AU"/>
        </a:p>
      </dgm:t>
    </dgm:pt>
    <dgm:pt modelId="{EF290D0C-C0FA-444A-BDD4-37A4724EF120}">
      <dgm:prSet phldrT="[Text]"/>
      <dgm:spPr/>
      <dgm:t>
        <a:bodyPr/>
        <a:lstStyle/>
        <a:p>
          <a:r>
            <a:rPr lang="en-AU" dirty="0"/>
            <a:t>promotes investment and innovation</a:t>
          </a:r>
        </a:p>
      </dgm:t>
      <dgm:extLst>
        <a:ext uri="{E40237B7-FDA0-4F09-8148-C483321AD2D9}">
          <dgm14:cNvPr xmlns:dgm14="http://schemas.microsoft.com/office/drawing/2010/diagram" id="0" name="" descr="Diagram showing public interest criteria: &#10;Public interest&#10;&#10;facilitates efficiency&#10;promotes investment and innovation&#10;enhances competition&#10;balances public benefits and Impacts&#10;supports relevant policy objectives and priorities&#10;"/>
        </a:ext>
      </dgm:extLst>
    </dgm:pt>
    <dgm:pt modelId="{FD9E1BDD-2E30-4DB1-B044-1F5F796FDDAB}" type="parTrans" cxnId="{DFF15157-52DD-4B23-BC12-F72FE3D25774}">
      <dgm:prSet/>
      <dgm:spPr/>
      <dgm:t>
        <a:bodyPr/>
        <a:lstStyle/>
        <a:p>
          <a:endParaRPr lang="en-AU"/>
        </a:p>
      </dgm:t>
    </dgm:pt>
    <dgm:pt modelId="{479E64C1-4375-4AD9-8F26-BEB85ED7C5F5}" type="sibTrans" cxnId="{DFF15157-52DD-4B23-BC12-F72FE3D25774}">
      <dgm:prSet/>
      <dgm:spPr/>
      <dgm:t>
        <a:bodyPr/>
        <a:lstStyle/>
        <a:p>
          <a:endParaRPr lang="en-AU"/>
        </a:p>
      </dgm:t>
    </dgm:pt>
    <dgm:pt modelId="{A2E63B62-0F52-444E-86FD-C0BA62012417}">
      <dgm:prSet phldrT="[Text]"/>
      <dgm:spPr/>
      <dgm:t>
        <a:bodyPr/>
        <a:lstStyle/>
        <a:p>
          <a:r>
            <a:rPr lang="en-AU" dirty="0"/>
            <a:t>enhances competition</a:t>
          </a:r>
        </a:p>
      </dgm:t>
      <dgm:extLst>
        <a:ext uri="{E40237B7-FDA0-4F09-8148-C483321AD2D9}">
          <dgm14:cNvPr xmlns:dgm14="http://schemas.microsoft.com/office/drawing/2010/diagram" id="0" name="" descr="Diagram showing public interest criteria: &#10;Public interest&#10;&#10;facilitates efficiency&#10;promotes investment and innovation&#10;enhances competition&#10;balances public benefits and Impacts&#10;supports relevant policy objectives and priorities&#10;"/>
        </a:ext>
      </dgm:extLst>
    </dgm:pt>
    <dgm:pt modelId="{F515C5A9-E5E9-405B-B8DE-08646EE258F0}" type="parTrans" cxnId="{C5745ECF-66D6-4219-BAD7-213D1DB65E4F}">
      <dgm:prSet/>
      <dgm:spPr/>
      <dgm:t>
        <a:bodyPr/>
        <a:lstStyle/>
        <a:p>
          <a:endParaRPr lang="en-AU"/>
        </a:p>
      </dgm:t>
    </dgm:pt>
    <dgm:pt modelId="{5A77248F-3B27-44FE-99BB-034767F82B5E}" type="sibTrans" cxnId="{C5745ECF-66D6-4219-BAD7-213D1DB65E4F}">
      <dgm:prSet/>
      <dgm:spPr/>
      <dgm:t>
        <a:bodyPr/>
        <a:lstStyle/>
        <a:p>
          <a:endParaRPr lang="en-AU"/>
        </a:p>
      </dgm:t>
    </dgm:pt>
    <dgm:pt modelId="{B889FDB2-69D7-490E-A5CC-9F39DA6D23C6}">
      <dgm:prSet phldrT="[Text]"/>
      <dgm:spPr/>
      <dgm:t>
        <a:bodyPr/>
        <a:lstStyle/>
        <a:p>
          <a:r>
            <a:rPr lang="en-AU" dirty="0"/>
            <a:t>balances public benefits and Impacts</a:t>
          </a:r>
        </a:p>
      </dgm:t>
      <dgm:extLst>
        <a:ext uri="{E40237B7-FDA0-4F09-8148-C483321AD2D9}">
          <dgm14:cNvPr xmlns:dgm14="http://schemas.microsoft.com/office/drawing/2010/diagram" id="0" name="" descr="Diagram showing public interest criteria: &#10;Public interest&#10;&#10;facilitates efficiency&#10;promotes investment and innovation&#10;enhances competition&#10;balances public benefits and Impacts&#10;supports relevant policy objectives and priorities&#10;"/>
        </a:ext>
      </dgm:extLst>
    </dgm:pt>
    <dgm:pt modelId="{31627E38-4346-4A0D-8463-969041C6BB9C}" type="parTrans" cxnId="{094A4BE1-3124-4779-A02E-E588681727A9}">
      <dgm:prSet/>
      <dgm:spPr/>
      <dgm:t>
        <a:bodyPr/>
        <a:lstStyle/>
        <a:p>
          <a:endParaRPr lang="en-AU"/>
        </a:p>
      </dgm:t>
    </dgm:pt>
    <dgm:pt modelId="{F9108A65-3A6C-4111-8F9B-DBCDFDFBFAAD}" type="sibTrans" cxnId="{094A4BE1-3124-4779-A02E-E588681727A9}">
      <dgm:prSet/>
      <dgm:spPr/>
      <dgm:t>
        <a:bodyPr/>
        <a:lstStyle/>
        <a:p>
          <a:endParaRPr lang="en-AU"/>
        </a:p>
      </dgm:t>
    </dgm:pt>
    <dgm:pt modelId="{47345C7F-318A-4EF9-859F-CAC230337531}">
      <dgm:prSet phldrT="[Text]"/>
      <dgm:spPr/>
      <dgm:t>
        <a:bodyPr/>
        <a:lstStyle/>
        <a:p>
          <a:r>
            <a:rPr lang="en-AU" dirty="0"/>
            <a:t>supports relevant policy objectives and priorities</a:t>
          </a:r>
        </a:p>
      </dgm:t>
      <dgm:extLst>
        <a:ext uri="{E40237B7-FDA0-4F09-8148-C483321AD2D9}">
          <dgm14:cNvPr xmlns:dgm14="http://schemas.microsoft.com/office/drawing/2010/diagram" id="0" name="" descr="Diagram showing public interest criteria: &#10;Public interest&#10;&#10;facilitates efficiency&#10;promotes investment and innovation&#10;enhances competition&#10;balances public benefits and Impacts&#10;supports relevant policy objectives and priorities&#10;"/>
        </a:ext>
      </dgm:extLst>
    </dgm:pt>
    <dgm:pt modelId="{EA4E8B61-F8C6-498C-BE37-67C5894CDF1F}" type="parTrans" cxnId="{7C15B342-9D94-4CFF-8F83-B9EAC9920A95}">
      <dgm:prSet/>
      <dgm:spPr/>
      <dgm:t>
        <a:bodyPr/>
        <a:lstStyle/>
        <a:p>
          <a:endParaRPr lang="en-AU"/>
        </a:p>
      </dgm:t>
    </dgm:pt>
    <dgm:pt modelId="{4B2E077F-B290-47FB-8C35-7500126863DF}" type="sibTrans" cxnId="{7C15B342-9D94-4CFF-8F83-B9EAC9920A95}">
      <dgm:prSet/>
      <dgm:spPr/>
      <dgm:t>
        <a:bodyPr/>
        <a:lstStyle/>
        <a:p>
          <a:endParaRPr lang="en-AU"/>
        </a:p>
      </dgm:t>
    </dgm:pt>
    <dgm:pt modelId="{EA26E934-E576-4D98-958D-F623547B0418}" type="pres">
      <dgm:prSet presAssocID="{A470AFCD-5961-4B19-95FA-F63CBE4EB563}" presName="Name0" presStyleCnt="0">
        <dgm:presLayoutVars>
          <dgm:chMax val="1"/>
          <dgm:dir/>
          <dgm:animLvl val="ctr"/>
          <dgm:resizeHandles val="exact"/>
        </dgm:presLayoutVars>
      </dgm:prSet>
      <dgm:spPr/>
    </dgm:pt>
    <dgm:pt modelId="{88E933FA-97C1-445D-B4D6-A2C88B63680A}" type="pres">
      <dgm:prSet presAssocID="{8F8CA5D8-E619-49E4-9BB1-D5307E78DFC0}" presName="centerShape" presStyleLbl="node0" presStyleIdx="0" presStyleCnt="1"/>
      <dgm:spPr/>
    </dgm:pt>
    <dgm:pt modelId="{ACB52BAC-67A5-4CB6-A8FD-A1DDD11DEB0E}" type="pres">
      <dgm:prSet presAssocID="{F6155B5F-5038-4CA0-862E-B0A7218B1B84}" presName="node" presStyleLbl="node1" presStyleIdx="0" presStyleCnt="5">
        <dgm:presLayoutVars>
          <dgm:bulletEnabled val="1"/>
        </dgm:presLayoutVars>
      </dgm:prSet>
      <dgm:spPr/>
    </dgm:pt>
    <dgm:pt modelId="{A3E0BEB9-0E98-47F1-8F69-6EAD165DA6C1}" type="pres">
      <dgm:prSet presAssocID="{F6155B5F-5038-4CA0-862E-B0A7218B1B84}" presName="dummy" presStyleCnt="0"/>
      <dgm:spPr/>
    </dgm:pt>
    <dgm:pt modelId="{658C17EB-2BD2-43C2-A3B9-E286AEE50606}" type="pres">
      <dgm:prSet presAssocID="{3D4EA851-DA2F-484B-9109-BEC3DBFB4537}" presName="sibTrans" presStyleLbl="sibTrans2D1" presStyleIdx="0" presStyleCnt="5"/>
      <dgm:spPr/>
    </dgm:pt>
    <dgm:pt modelId="{84831B9C-813F-4C1F-9641-C26159988985}" type="pres">
      <dgm:prSet presAssocID="{EF290D0C-C0FA-444A-BDD4-37A4724EF120}" presName="node" presStyleLbl="node1" presStyleIdx="1" presStyleCnt="5">
        <dgm:presLayoutVars>
          <dgm:bulletEnabled val="1"/>
        </dgm:presLayoutVars>
      </dgm:prSet>
      <dgm:spPr/>
    </dgm:pt>
    <dgm:pt modelId="{EF40D320-BABF-491F-A866-70E34A2C95C2}" type="pres">
      <dgm:prSet presAssocID="{EF290D0C-C0FA-444A-BDD4-37A4724EF120}" presName="dummy" presStyleCnt="0"/>
      <dgm:spPr/>
    </dgm:pt>
    <dgm:pt modelId="{F3BD38E4-A3FB-48B3-96A3-4ADE807E22C4}" type="pres">
      <dgm:prSet presAssocID="{479E64C1-4375-4AD9-8F26-BEB85ED7C5F5}" presName="sibTrans" presStyleLbl="sibTrans2D1" presStyleIdx="1" presStyleCnt="5"/>
      <dgm:spPr/>
    </dgm:pt>
    <dgm:pt modelId="{8219F95F-13E1-4301-8F9C-1DCEC2218346}" type="pres">
      <dgm:prSet presAssocID="{A2E63B62-0F52-444E-86FD-C0BA62012417}" presName="node" presStyleLbl="node1" presStyleIdx="2" presStyleCnt="5">
        <dgm:presLayoutVars>
          <dgm:bulletEnabled val="1"/>
        </dgm:presLayoutVars>
      </dgm:prSet>
      <dgm:spPr/>
    </dgm:pt>
    <dgm:pt modelId="{40393DDA-3D69-43CD-99BB-C2A3C442F1DF}" type="pres">
      <dgm:prSet presAssocID="{A2E63B62-0F52-444E-86FD-C0BA62012417}" presName="dummy" presStyleCnt="0"/>
      <dgm:spPr/>
    </dgm:pt>
    <dgm:pt modelId="{E89EB4C8-AA37-4605-B62F-F509610B0BE8}" type="pres">
      <dgm:prSet presAssocID="{5A77248F-3B27-44FE-99BB-034767F82B5E}" presName="sibTrans" presStyleLbl="sibTrans2D1" presStyleIdx="2" presStyleCnt="5"/>
      <dgm:spPr/>
    </dgm:pt>
    <dgm:pt modelId="{1B02B729-D479-49C9-A3DD-7A6F8ACE04AE}" type="pres">
      <dgm:prSet presAssocID="{B889FDB2-69D7-490E-A5CC-9F39DA6D23C6}" presName="node" presStyleLbl="node1" presStyleIdx="3" presStyleCnt="5">
        <dgm:presLayoutVars>
          <dgm:bulletEnabled val="1"/>
        </dgm:presLayoutVars>
      </dgm:prSet>
      <dgm:spPr/>
    </dgm:pt>
    <dgm:pt modelId="{E017F94E-4434-4DBF-BF65-39B6EA83476F}" type="pres">
      <dgm:prSet presAssocID="{B889FDB2-69D7-490E-A5CC-9F39DA6D23C6}" presName="dummy" presStyleCnt="0"/>
      <dgm:spPr/>
    </dgm:pt>
    <dgm:pt modelId="{E87198DE-757F-4D62-942D-DF1FCCFA4D2F}" type="pres">
      <dgm:prSet presAssocID="{F9108A65-3A6C-4111-8F9B-DBCDFDFBFAAD}" presName="sibTrans" presStyleLbl="sibTrans2D1" presStyleIdx="3" presStyleCnt="5"/>
      <dgm:spPr/>
    </dgm:pt>
    <dgm:pt modelId="{DA83DE20-C2CD-4283-AF71-EEE1F5A5833D}" type="pres">
      <dgm:prSet presAssocID="{47345C7F-318A-4EF9-859F-CAC230337531}" presName="node" presStyleLbl="node1" presStyleIdx="4" presStyleCnt="5">
        <dgm:presLayoutVars>
          <dgm:bulletEnabled val="1"/>
        </dgm:presLayoutVars>
      </dgm:prSet>
      <dgm:spPr/>
    </dgm:pt>
    <dgm:pt modelId="{D9FE563B-C30C-4C8B-B13D-313F3892366F}" type="pres">
      <dgm:prSet presAssocID="{47345C7F-318A-4EF9-859F-CAC230337531}" presName="dummy" presStyleCnt="0"/>
      <dgm:spPr/>
    </dgm:pt>
    <dgm:pt modelId="{A355CEEC-F19E-40BD-B9CD-44557D2E98AF}" type="pres">
      <dgm:prSet presAssocID="{4B2E077F-B290-47FB-8C35-7500126863DF}" presName="sibTrans" presStyleLbl="sibTrans2D1" presStyleIdx="4" presStyleCnt="5"/>
      <dgm:spPr/>
    </dgm:pt>
  </dgm:ptLst>
  <dgm:cxnLst>
    <dgm:cxn modelId="{DAEB8A04-9F13-47EF-832C-9D67C6ED93EB}" srcId="{A470AFCD-5961-4B19-95FA-F63CBE4EB563}" destId="{8F8CA5D8-E619-49E4-9BB1-D5307E78DFC0}" srcOrd="0" destOrd="0" parTransId="{A873957F-96C4-4DB0-94E0-BFFB207BA02E}" sibTransId="{CD5BA44E-5A6B-4B22-AB88-4F4AB82374F4}"/>
    <dgm:cxn modelId="{E9788027-1651-4C16-BB45-D4AAE84B9F4E}" type="presOf" srcId="{F6155B5F-5038-4CA0-862E-B0A7218B1B84}" destId="{ACB52BAC-67A5-4CB6-A8FD-A1DDD11DEB0E}" srcOrd="0" destOrd="0" presId="urn:microsoft.com/office/officeart/2005/8/layout/radial6"/>
    <dgm:cxn modelId="{8A1DDD3A-B8F5-4E86-887A-9AA612496E4E}" type="presOf" srcId="{479E64C1-4375-4AD9-8F26-BEB85ED7C5F5}" destId="{F3BD38E4-A3FB-48B3-96A3-4ADE807E22C4}" srcOrd="0" destOrd="0" presId="urn:microsoft.com/office/officeart/2005/8/layout/radial6"/>
    <dgm:cxn modelId="{7C15B342-9D94-4CFF-8F83-B9EAC9920A95}" srcId="{8F8CA5D8-E619-49E4-9BB1-D5307E78DFC0}" destId="{47345C7F-318A-4EF9-859F-CAC230337531}" srcOrd="4" destOrd="0" parTransId="{EA4E8B61-F8C6-498C-BE37-67C5894CDF1F}" sibTransId="{4B2E077F-B290-47FB-8C35-7500126863DF}"/>
    <dgm:cxn modelId="{8AFA4364-A9AD-4875-B9F9-7797718EE89A}" srcId="{8F8CA5D8-E619-49E4-9BB1-D5307E78DFC0}" destId="{F6155B5F-5038-4CA0-862E-B0A7218B1B84}" srcOrd="0" destOrd="0" parTransId="{F93D202C-3FE9-45B4-8749-10E8754ECD78}" sibTransId="{3D4EA851-DA2F-484B-9109-BEC3DBFB4537}"/>
    <dgm:cxn modelId="{50C3EF65-3D62-4DFB-A6A3-AC05C22A01E6}" type="presOf" srcId="{3D4EA851-DA2F-484B-9109-BEC3DBFB4537}" destId="{658C17EB-2BD2-43C2-A3B9-E286AEE50606}" srcOrd="0" destOrd="0" presId="urn:microsoft.com/office/officeart/2005/8/layout/radial6"/>
    <dgm:cxn modelId="{3682186A-37F2-4526-8D91-C9B3D32B9696}" type="presOf" srcId="{F9108A65-3A6C-4111-8F9B-DBCDFDFBFAAD}" destId="{E87198DE-757F-4D62-942D-DF1FCCFA4D2F}" srcOrd="0" destOrd="0" presId="urn:microsoft.com/office/officeart/2005/8/layout/radial6"/>
    <dgm:cxn modelId="{C73C4C4C-AAE1-4605-905B-305A583D7AEE}" type="presOf" srcId="{5A77248F-3B27-44FE-99BB-034767F82B5E}" destId="{E89EB4C8-AA37-4605-B62F-F509610B0BE8}" srcOrd="0" destOrd="0" presId="urn:microsoft.com/office/officeart/2005/8/layout/radial6"/>
    <dgm:cxn modelId="{391C3A70-4BB3-492A-98B7-876174ED7B18}" type="presOf" srcId="{A470AFCD-5961-4B19-95FA-F63CBE4EB563}" destId="{EA26E934-E576-4D98-958D-F623547B0418}" srcOrd="0" destOrd="0" presId="urn:microsoft.com/office/officeart/2005/8/layout/radial6"/>
    <dgm:cxn modelId="{DFF15157-52DD-4B23-BC12-F72FE3D25774}" srcId="{8F8CA5D8-E619-49E4-9BB1-D5307E78DFC0}" destId="{EF290D0C-C0FA-444A-BDD4-37A4724EF120}" srcOrd="1" destOrd="0" parTransId="{FD9E1BDD-2E30-4DB1-B044-1F5F796FDDAB}" sibTransId="{479E64C1-4375-4AD9-8F26-BEB85ED7C5F5}"/>
    <dgm:cxn modelId="{AA11EF57-7333-4109-AF9E-B0B4059EFB74}" type="presOf" srcId="{B889FDB2-69D7-490E-A5CC-9F39DA6D23C6}" destId="{1B02B729-D479-49C9-A3DD-7A6F8ACE04AE}" srcOrd="0" destOrd="0" presId="urn:microsoft.com/office/officeart/2005/8/layout/radial6"/>
    <dgm:cxn modelId="{7210638B-D7B3-4EBE-8383-C8729ED75D99}" type="presOf" srcId="{4B2E077F-B290-47FB-8C35-7500126863DF}" destId="{A355CEEC-F19E-40BD-B9CD-44557D2E98AF}" srcOrd="0" destOrd="0" presId="urn:microsoft.com/office/officeart/2005/8/layout/radial6"/>
    <dgm:cxn modelId="{A48CF893-ED79-49BF-84B2-F371B500D388}" type="presOf" srcId="{A2E63B62-0F52-444E-86FD-C0BA62012417}" destId="{8219F95F-13E1-4301-8F9C-1DCEC2218346}" srcOrd="0" destOrd="0" presId="urn:microsoft.com/office/officeart/2005/8/layout/radial6"/>
    <dgm:cxn modelId="{AA2D25A9-2DA7-41EB-B0A3-DF9F4EB0D186}" type="presOf" srcId="{8F8CA5D8-E619-49E4-9BB1-D5307E78DFC0}" destId="{88E933FA-97C1-445D-B4D6-A2C88B63680A}" srcOrd="0" destOrd="0" presId="urn:microsoft.com/office/officeart/2005/8/layout/radial6"/>
    <dgm:cxn modelId="{637E9CAA-C2EF-45BD-AF2D-46528F5841EA}" type="presOf" srcId="{EF290D0C-C0FA-444A-BDD4-37A4724EF120}" destId="{84831B9C-813F-4C1F-9641-C26159988985}" srcOrd="0" destOrd="0" presId="urn:microsoft.com/office/officeart/2005/8/layout/radial6"/>
    <dgm:cxn modelId="{20812CE1-A0B1-4EE5-A0F0-D2F24E43AF71}" type="presOf" srcId="{47345C7F-318A-4EF9-859F-CAC230337531}" destId="{DA83DE20-C2CD-4283-AF71-EEE1F5A5833D}" srcOrd="0" destOrd="0" presId="urn:microsoft.com/office/officeart/2005/8/layout/radial6"/>
    <dgm:cxn modelId="{094A4BE1-3124-4779-A02E-E588681727A9}" srcId="{8F8CA5D8-E619-49E4-9BB1-D5307E78DFC0}" destId="{B889FDB2-69D7-490E-A5CC-9F39DA6D23C6}" srcOrd="3" destOrd="0" parTransId="{31627E38-4346-4A0D-8463-969041C6BB9C}" sibTransId="{F9108A65-3A6C-4111-8F9B-DBCDFDFBFAAD}"/>
    <dgm:cxn modelId="{C5745ECF-66D6-4219-BAD7-213D1DB65E4F}" srcId="{8F8CA5D8-E619-49E4-9BB1-D5307E78DFC0}" destId="{A2E63B62-0F52-444E-86FD-C0BA62012417}" srcOrd="2" destOrd="0" parTransId="{F515C5A9-E5E9-405B-B8DE-08646EE258F0}" sibTransId="{5A77248F-3B27-44FE-99BB-034767F82B5E}"/>
    <dgm:cxn modelId="{CA5833FF-8E0E-410A-B698-FAE570F0A941}" type="presParOf" srcId="{EA26E934-E576-4D98-958D-F623547B0418}" destId="{88E933FA-97C1-445D-B4D6-A2C88B63680A}" srcOrd="0" destOrd="0" presId="urn:microsoft.com/office/officeart/2005/8/layout/radial6"/>
    <dgm:cxn modelId="{099A7212-050D-4EFA-BE30-B18F7FFF76FC}" type="presParOf" srcId="{EA26E934-E576-4D98-958D-F623547B0418}" destId="{ACB52BAC-67A5-4CB6-A8FD-A1DDD11DEB0E}" srcOrd="1" destOrd="0" presId="urn:microsoft.com/office/officeart/2005/8/layout/radial6"/>
    <dgm:cxn modelId="{754DA50D-1975-47F0-B8D7-09027C08B8BA}" type="presParOf" srcId="{EA26E934-E576-4D98-958D-F623547B0418}" destId="{A3E0BEB9-0E98-47F1-8F69-6EAD165DA6C1}" srcOrd="2" destOrd="0" presId="urn:microsoft.com/office/officeart/2005/8/layout/radial6"/>
    <dgm:cxn modelId="{04D7F9EF-7E62-436C-A494-BBACDDC73E45}" type="presParOf" srcId="{EA26E934-E576-4D98-958D-F623547B0418}" destId="{658C17EB-2BD2-43C2-A3B9-E286AEE50606}" srcOrd="3" destOrd="0" presId="urn:microsoft.com/office/officeart/2005/8/layout/radial6"/>
    <dgm:cxn modelId="{B8AFE110-5D80-418A-8126-D5443D74B48A}" type="presParOf" srcId="{EA26E934-E576-4D98-958D-F623547B0418}" destId="{84831B9C-813F-4C1F-9641-C26159988985}" srcOrd="4" destOrd="0" presId="urn:microsoft.com/office/officeart/2005/8/layout/radial6"/>
    <dgm:cxn modelId="{6CB8D063-BE17-4D22-8C8A-0B1DBD1A807E}" type="presParOf" srcId="{EA26E934-E576-4D98-958D-F623547B0418}" destId="{EF40D320-BABF-491F-A866-70E34A2C95C2}" srcOrd="5" destOrd="0" presId="urn:microsoft.com/office/officeart/2005/8/layout/radial6"/>
    <dgm:cxn modelId="{39E5EE01-538D-49C6-9ED9-FD7D1553AEC4}" type="presParOf" srcId="{EA26E934-E576-4D98-958D-F623547B0418}" destId="{F3BD38E4-A3FB-48B3-96A3-4ADE807E22C4}" srcOrd="6" destOrd="0" presId="urn:microsoft.com/office/officeart/2005/8/layout/radial6"/>
    <dgm:cxn modelId="{120D714C-2BAB-40CF-BB91-EE6936BED180}" type="presParOf" srcId="{EA26E934-E576-4D98-958D-F623547B0418}" destId="{8219F95F-13E1-4301-8F9C-1DCEC2218346}" srcOrd="7" destOrd="0" presId="urn:microsoft.com/office/officeart/2005/8/layout/radial6"/>
    <dgm:cxn modelId="{075DA530-B84B-4E88-8261-6A0CE51CD7EC}" type="presParOf" srcId="{EA26E934-E576-4D98-958D-F623547B0418}" destId="{40393DDA-3D69-43CD-99BB-C2A3C442F1DF}" srcOrd="8" destOrd="0" presId="urn:microsoft.com/office/officeart/2005/8/layout/radial6"/>
    <dgm:cxn modelId="{363ED868-5E49-4D99-8AE8-F9A5BF0F5BC8}" type="presParOf" srcId="{EA26E934-E576-4D98-958D-F623547B0418}" destId="{E89EB4C8-AA37-4605-B62F-F509610B0BE8}" srcOrd="9" destOrd="0" presId="urn:microsoft.com/office/officeart/2005/8/layout/radial6"/>
    <dgm:cxn modelId="{5A5A0CFD-DB20-4D0D-877B-4A161080D399}" type="presParOf" srcId="{EA26E934-E576-4D98-958D-F623547B0418}" destId="{1B02B729-D479-49C9-A3DD-7A6F8ACE04AE}" srcOrd="10" destOrd="0" presId="urn:microsoft.com/office/officeart/2005/8/layout/radial6"/>
    <dgm:cxn modelId="{510222A6-C624-4E65-B584-8071A4B80E9F}" type="presParOf" srcId="{EA26E934-E576-4D98-958D-F623547B0418}" destId="{E017F94E-4434-4DBF-BF65-39B6EA83476F}" srcOrd="11" destOrd="0" presId="urn:microsoft.com/office/officeart/2005/8/layout/radial6"/>
    <dgm:cxn modelId="{BC0621A0-EF08-4F8C-9B4B-F1B909783462}" type="presParOf" srcId="{EA26E934-E576-4D98-958D-F623547B0418}" destId="{E87198DE-757F-4D62-942D-DF1FCCFA4D2F}" srcOrd="12" destOrd="0" presId="urn:microsoft.com/office/officeart/2005/8/layout/radial6"/>
    <dgm:cxn modelId="{991C08AE-275B-4C29-BEB8-A016DF1EF9A4}" type="presParOf" srcId="{EA26E934-E576-4D98-958D-F623547B0418}" destId="{DA83DE20-C2CD-4283-AF71-EEE1F5A5833D}" srcOrd="13" destOrd="0" presId="urn:microsoft.com/office/officeart/2005/8/layout/radial6"/>
    <dgm:cxn modelId="{D811E22D-9F97-48C7-81E2-F4E5395A0C62}" type="presParOf" srcId="{EA26E934-E576-4D98-958D-F623547B0418}" destId="{D9FE563B-C30C-4C8B-B13D-313F3892366F}" srcOrd="14" destOrd="0" presId="urn:microsoft.com/office/officeart/2005/8/layout/radial6"/>
    <dgm:cxn modelId="{DA794E3C-C3C7-4677-B496-37D25E24CD35}" type="presParOf" srcId="{EA26E934-E576-4D98-958D-F623547B0418}" destId="{A355CEEC-F19E-40BD-B9CD-44557D2E98AF}" srcOrd="15" destOrd="0" presId="urn:microsoft.com/office/officeart/2005/8/layout/radial6"/>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55CEEC-F19E-40BD-B9CD-44557D2E98AF}">
      <dsp:nvSpPr>
        <dsp:cNvPr id="0" name=""/>
        <dsp:cNvSpPr/>
      </dsp:nvSpPr>
      <dsp:spPr>
        <a:xfrm>
          <a:off x="1237065" y="451205"/>
          <a:ext cx="3010640" cy="3010640"/>
        </a:xfrm>
        <a:prstGeom prst="blockArc">
          <a:avLst>
            <a:gd name="adj1" fmla="val 11880000"/>
            <a:gd name="adj2" fmla="val 1620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7198DE-757F-4D62-942D-DF1FCCFA4D2F}">
      <dsp:nvSpPr>
        <dsp:cNvPr id="0" name=""/>
        <dsp:cNvSpPr/>
      </dsp:nvSpPr>
      <dsp:spPr>
        <a:xfrm>
          <a:off x="1237065" y="451205"/>
          <a:ext cx="3010640" cy="3010640"/>
        </a:xfrm>
        <a:prstGeom prst="blockArc">
          <a:avLst>
            <a:gd name="adj1" fmla="val 7560000"/>
            <a:gd name="adj2" fmla="val 1188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9EB4C8-AA37-4605-B62F-F509610B0BE8}">
      <dsp:nvSpPr>
        <dsp:cNvPr id="0" name=""/>
        <dsp:cNvSpPr/>
      </dsp:nvSpPr>
      <dsp:spPr>
        <a:xfrm>
          <a:off x="1237065" y="451205"/>
          <a:ext cx="3010640" cy="3010640"/>
        </a:xfrm>
        <a:prstGeom prst="blockArc">
          <a:avLst>
            <a:gd name="adj1" fmla="val 3240000"/>
            <a:gd name="adj2" fmla="val 756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BD38E4-A3FB-48B3-96A3-4ADE807E22C4}">
      <dsp:nvSpPr>
        <dsp:cNvPr id="0" name=""/>
        <dsp:cNvSpPr/>
      </dsp:nvSpPr>
      <dsp:spPr>
        <a:xfrm>
          <a:off x="1237065" y="451205"/>
          <a:ext cx="3010640" cy="3010640"/>
        </a:xfrm>
        <a:prstGeom prst="blockArc">
          <a:avLst>
            <a:gd name="adj1" fmla="val 20520000"/>
            <a:gd name="adj2" fmla="val 324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8C17EB-2BD2-43C2-A3B9-E286AEE50606}">
      <dsp:nvSpPr>
        <dsp:cNvPr id="0" name=""/>
        <dsp:cNvSpPr/>
      </dsp:nvSpPr>
      <dsp:spPr>
        <a:xfrm>
          <a:off x="1237065" y="451205"/>
          <a:ext cx="3010640" cy="3010640"/>
        </a:xfrm>
        <a:prstGeom prst="blockArc">
          <a:avLst>
            <a:gd name="adj1" fmla="val 16200000"/>
            <a:gd name="adj2" fmla="val 2052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E933FA-97C1-445D-B4D6-A2C88B63680A}">
      <dsp:nvSpPr>
        <dsp:cNvPr id="0" name=""/>
        <dsp:cNvSpPr/>
      </dsp:nvSpPr>
      <dsp:spPr>
        <a:xfrm>
          <a:off x="2050094" y="1264234"/>
          <a:ext cx="1384583" cy="138458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AU" sz="2300" kern="1200" dirty="0"/>
            <a:t>Public interest</a:t>
          </a:r>
        </a:p>
      </dsp:txBody>
      <dsp:txXfrm>
        <a:off x="2252861" y="1467001"/>
        <a:ext cx="979049" cy="979049"/>
      </dsp:txXfrm>
    </dsp:sp>
    <dsp:sp modelId="{ACB52BAC-67A5-4CB6-A8FD-A1DDD11DEB0E}">
      <dsp:nvSpPr>
        <dsp:cNvPr id="0" name=""/>
        <dsp:cNvSpPr/>
      </dsp:nvSpPr>
      <dsp:spPr>
        <a:xfrm>
          <a:off x="2257781" y="1493"/>
          <a:ext cx="969208" cy="96920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dirty="0"/>
            <a:t>facilitates efficiency</a:t>
          </a:r>
        </a:p>
      </dsp:txBody>
      <dsp:txXfrm>
        <a:off x="2399718" y="143430"/>
        <a:ext cx="685334" cy="685334"/>
      </dsp:txXfrm>
    </dsp:sp>
    <dsp:sp modelId="{84831B9C-813F-4C1F-9641-C26159988985}">
      <dsp:nvSpPr>
        <dsp:cNvPr id="0" name=""/>
        <dsp:cNvSpPr/>
      </dsp:nvSpPr>
      <dsp:spPr>
        <a:xfrm>
          <a:off x="3656242" y="1017534"/>
          <a:ext cx="969208" cy="96920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dirty="0"/>
            <a:t>promotes investment and innovation</a:t>
          </a:r>
        </a:p>
      </dsp:txBody>
      <dsp:txXfrm>
        <a:off x="3798179" y="1159471"/>
        <a:ext cx="685334" cy="685334"/>
      </dsp:txXfrm>
    </dsp:sp>
    <dsp:sp modelId="{8219F95F-13E1-4301-8F9C-1DCEC2218346}">
      <dsp:nvSpPr>
        <dsp:cNvPr id="0" name=""/>
        <dsp:cNvSpPr/>
      </dsp:nvSpPr>
      <dsp:spPr>
        <a:xfrm>
          <a:off x="3122078" y="2661523"/>
          <a:ext cx="969208" cy="96920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dirty="0"/>
            <a:t>enhances competition</a:t>
          </a:r>
        </a:p>
      </dsp:txBody>
      <dsp:txXfrm>
        <a:off x="3264015" y="2803460"/>
        <a:ext cx="685334" cy="685334"/>
      </dsp:txXfrm>
    </dsp:sp>
    <dsp:sp modelId="{1B02B729-D479-49C9-A3DD-7A6F8ACE04AE}">
      <dsp:nvSpPr>
        <dsp:cNvPr id="0" name=""/>
        <dsp:cNvSpPr/>
      </dsp:nvSpPr>
      <dsp:spPr>
        <a:xfrm>
          <a:off x="1393485" y="2661523"/>
          <a:ext cx="969208" cy="96920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dirty="0"/>
            <a:t>balances public benefits and Impacts</a:t>
          </a:r>
        </a:p>
      </dsp:txBody>
      <dsp:txXfrm>
        <a:off x="1535422" y="2803460"/>
        <a:ext cx="685334" cy="685334"/>
      </dsp:txXfrm>
    </dsp:sp>
    <dsp:sp modelId="{DA83DE20-C2CD-4283-AF71-EEE1F5A5833D}">
      <dsp:nvSpPr>
        <dsp:cNvPr id="0" name=""/>
        <dsp:cNvSpPr/>
      </dsp:nvSpPr>
      <dsp:spPr>
        <a:xfrm>
          <a:off x="859321" y="1017534"/>
          <a:ext cx="969208" cy="96920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dirty="0"/>
            <a:t>supports relevant policy objectives and priorities</a:t>
          </a:r>
        </a:p>
      </dsp:txBody>
      <dsp:txXfrm>
        <a:off x="1001258" y="1159471"/>
        <a:ext cx="685334" cy="68533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D1D0E4DF5D74695DA08719C213550" ma:contentTypeVersion="9" ma:contentTypeDescription="Create a new document." ma:contentTypeScope="" ma:versionID="e8b94694b45cbb6b05e2539c3c0a7aa3">
  <xsd:schema xmlns:xsd="http://www.w3.org/2001/XMLSchema" xmlns:xs="http://www.w3.org/2001/XMLSchema" xmlns:p="http://schemas.microsoft.com/office/2006/metadata/properties" xmlns:ns2="a278820e-4a2c-4404-9edd-0c8aa13eaa72" xmlns:ns3="ddc5846d-febe-4364-ba9f-bd483de7e8cf" targetNamespace="http://schemas.microsoft.com/office/2006/metadata/properties" ma:root="true" ma:fieldsID="b4a0fd14768761d43932d807ac32f46d" ns2:_="" ns3:_="">
    <xsd:import namespace="a278820e-4a2c-4404-9edd-0c8aa13eaa72"/>
    <xsd:import namespace="ddc5846d-febe-4364-ba9f-bd483de7e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Assign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8820e-4a2c-4404-9edd-0c8aa13ea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Assignee" ma:index="16" nillable="true" ma:displayName="Assignee" ma:format="Dropdown" ma:internalName="Assign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5846d-febe-4364-ba9f-bd483de7e8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e xmlns="a278820e-4a2c-4404-9edd-0c8aa13eaa72" xsi:nil="true"/>
  </documentManagement>
</p:properties>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customXml/itemProps2.xml><?xml version="1.0" encoding="utf-8"?>
<ds:datastoreItem xmlns:ds="http://schemas.openxmlformats.org/officeDocument/2006/customXml" ds:itemID="{E4206FFF-0F85-4C56-B628-602D6AB5FC33}"/>
</file>

<file path=customXml/itemProps3.xml><?xml version="1.0" encoding="utf-8"?>
<ds:datastoreItem xmlns:ds="http://schemas.openxmlformats.org/officeDocument/2006/customXml" ds:itemID="{B1DEE655-680E-43F2-90E6-0F9BB6F50F2C}"/>
</file>

<file path=customXml/itemProps4.xml><?xml version="1.0" encoding="utf-8"?>
<ds:datastoreItem xmlns:ds="http://schemas.openxmlformats.org/officeDocument/2006/customXml" ds:itemID="{3F5F8D0E-2E8F-47F9-B76F-DB95157C4EAA}"/>
</file>

<file path=docProps/app.xml><?xml version="1.0" encoding="utf-8"?>
<Properties xmlns="http://schemas.openxmlformats.org/officeDocument/2006/extended-properties" xmlns:vt="http://schemas.openxmlformats.org/officeDocument/2006/docPropsVTypes">
  <Template>Normal.dotm</Template>
  <TotalTime>0</TotalTime>
  <Pages>54</Pages>
  <Words>21173</Words>
  <Characters>120692</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141582</CharactersWithSpaces>
  <SharedDoc>false</SharedDoc>
  <HyperlinkBase/>
  <HLinks>
    <vt:vector size="708" baseType="variant">
      <vt:variant>
        <vt:i4>2883637</vt:i4>
      </vt:variant>
      <vt:variant>
        <vt:i4>360</vt:i4>
      </vt:variant>
      <vt:variant>
        <vt:i4>0</vt:i4>
      </vt:variant>
      <vt:variant>
        <vt:i4>5</vt:i4>
      </vt:variant>
      <vt:variant>
        <vt:lpwstr>https://www.acma.gov.au/consultations/2023-05/proposed-approach-expiring-spectrum-licences</vt:lpwstr>
      </vt:variant>
      <vt:variant>
        <vt:lpwstr/>
      </vt:variant>
      <vt:variant>
        <vt:i4>1835074</vt:i4>
      </vt:variant>
      <vt:variant>
        <vt:i4>357</vt:i4>
      </vt:variant>
      <vt:variant>
        <vt:i4>0</vt:i4>
      </vt:variant>
      <vt:variant>
        <vt:i4>5</vt:i4>
      </vt:variant>
      <vt:variant>
        <vt:lpwstr>https://www.digitalinclusion.gov.au/publications</vt:lpwstr>
      </vt:variant>
      <vt:variant>
        <vt:lpwstr/>
      </vt:variant>
      <vt:variant>
        <vt:i4>6291511</vt:i4>
      </vt:variant>
      <vt:variant>
        <vt:i4>354</vt:i4>
      </vt:variant>
      <vt:variant>
        <vt:i4>0</vt:i4>
      </vt:variant>
      <vt:variant>
        <vt:i4>5</vt:i4>
      </vt:variant>
      <vt:variant>
        <vt:lpwstr>https://www.accc.gov.au/inquiries-and-consultations/regional-mobile-infrastructure-inquiry-2022-23/final-report</vt:lpwstr>
      </vt:variant>
      <vt:variant>
        <vt:lpwstr/>
      </vt:variant>
      <vt:variant>
        <vt:i4>5308429</vt:i4>
      </vt:variant>
      <vt:variant>
        <vt:i4>351</vt:i4>
      </vt:variant>
      <vt:variant>
        <vt:i4>0</vt:i4>
      </vt:variant>
      <vt:variant>
        <vt:i4>5</vt:i4>
      </vt:variant>
      <vt:variant>
        <vt:lpwstr>https://www.acma.gov.au/publications/2023-09/report/market-study-private-wireless-networks-using-4g-or-5g</vt:lpwstr>
      </vt:variant>
      <vt:variant>
        <vt:lpwstr/>
      </vt:variant>
      <vt:variant>
        <vt:i4>2490492</vt:i4>
      </vt:variant>
      <vt:variant>
        <vt:i4>348</vt:i4>
      </vt:variant>
      <vt:variant>
        <vt:i4>0</vt:i4>
      </vt:variant>
      <vt:variant>
        <vt:i4>5</vt:i4>
      </vt:variant>
      <vt:variant>
        <vt:lpwstr>https://apo.org.au/sites/default/files/resource-files/2023-08/apo-nid324024.pdf</vt:lpwstr>
      </vt:variant>
      <vt:variant>
        <vt:lpwstr/>
      </vt:variant>
      <vt:variant>
        <vt:i4>5046356</vt:i4>
      </vt:variant>
      <vt:variant>
        <vt:i4>345</vt:i4>
      </vt:variant>
      <vt:variant>
        <vt:i4>0</vt:i4>
      </vt:variant>
      <vt:variant>
        <vt:i4>5</vt:i4>
      </vt:variant>
      <vt:variant>
        <vt:lpwstr>https://www.industry.gov.au/publications/critical-technologies-statement</vt:lpwstr>
      </vt:variant>
      <vt:variant>
        <vt:lpwstr/>
      </vt:variant>
      <vt:variant>
        <vt:i4>7471145</vt:i4>
      </vt:variant>
      <vt:variant>
        <vt:i4>342</vt:i4>
      </vt:variant>
      <vt:variant>
        <vt:i4>0</vt:i4>
      </vt:variant>
      <vt:variant>
        <vt:i4>5</vt:i4>
      </vt:variant>
      <vt:variant>
        <vt:lpwstr>https://www.legislation.gov.au/Details/F2022N00015</vt:lpwstr>
      </vt:variant>
      <vt:variant>
        <vt:lpwstr/>
      </vt:variant>
      <vt:variant>
        <vt:i4>7143473</vt:i4>
      </vt:variant>
      <vt:variant>
        <vt:i4>339</vt:i4>
      </vt:variant>
      <vt:variant>
        <vt:i4>0</vt:i4>
      </vt:variant>
      <vt:variant>
        <vt:i4>5</vt:i4>
      </vt:variant>
      <vt:variant>
        <vt:lpwstr>https://www.infrastructure.gov.au/have-your-say/ministerial-policy-statement-expiring-spectrum-licences</vt:lpwstr>
      </vt:variant>
      <vt:variant>
        <vt:lpwstr/>
      </vt:variant>
      <vt:variant>
        <vt:i4>2883637</vt:i4>
      </vt:variant>
      <vt:variant>
        <vt:i4>336</vt:i4>
      </vt:variant>
      <vt:variant>
        <vt:i4>0</vt:i4>
      </vt:variant>
      <vt:variant>
        <vt:i4>5</vt:i4>
      </vt:variant>
      <vt:variant>
        <vt:lpwstr>https://www.acma.gov.au/consultations/2023-05/proposed-approach-expiring-spectrum-licences</vt:lpwstr>
      </vt:variant>
      <vt:variant>
        <vt:lpwstr/>
      </vt:variant>
      <vt:variant>
        <vt:i4>3145854</vt:i4>
      </vt:variant>
      <vt:variant>
        <vt:i4>333</vt:i4>
      </vt:variant>
      <vt:variant>
        <vt:i4>0</vt:i4>
      </vt:variant>
      <vt:variant>
        <vt:i4>5</vt:i4>
      </vt:variant>
      <vt:variant>
        <vt:lpwstr>https://www.acma.gov.au/publications/2023-03/plan/acma-statement-intent</vt:lpwstr>
      </vt:variant>
      <vt:variant>
        <vt:lpwstr/>
      </vt:variant>
      <vt:variant>
        <vt:i4>458782</vt:i4>
      </vt:variant>
      <vt:variant>
        <vt:i4>330</vt:i4>
      </vt:variant>
      <vt:variant>
        <vt:i4>0</vt:i4>
      </vt:variant>
      <vt:variant>
        <vt:i4>5</vt:i4>
      </vt:variant>
      <vt:variant>
        <vt:lpwstr>https://www.infrastructure.gov.au/department/media/publications/australian-communications-and-media-authority-statement-expectations</vt:lpwstr>
      </vt:variant>
      <vt:variant>
        <vt:lpwstr/>
      </vt:variant>
      <vt:variant>
        <vt:i4>2883637</vt:i4>
      </vt:variant>
      <vt:variant>
        <vt:i4>327</vt:i4>
      </vt:variant>
      <vt:variant>
        <vt:i4>0</vt:i4>
      </vt:variant>
      <vt:variant>
        <vt:i4>5</vt:i4>
      </vt:variant>
      <vt:variant>
        <vt:lpwstr>https://www.acma.gov.au/consultations/2023-05/proposed-approach-expiring-spectrum-licences</vt:lpwstr>
      </vt:variant>
      <vt:variant>
        <vt:lpwstr/>
      </vt:variant>
      <vt:variant>
        <vt:i4>2097192</vt:i4>
      </vt:variant>
      <vt:variant>
        <vt:i4>324</vt:i4>
      </vt:variant>
      <vt:variant>
        <vt:i4>0</vt:i4>
      </vt:variant>
      <vt:variant>
        <vt:i4>5</vt:i4>
      </vt:variant>
      <vt:variant>
        <vt:lpwstr>https://www.acma.gov.au/privacy-policy</vt:lpwstr>
      </vt:variant>
      <vt:variant>
        <vt:lpwstr/>
      </vt:variant>
      <vt:variant>
        <vt:i4>3473455</vt:i4>
      </vt:variant>
      <vt:variant>
        <vt:i4>321</vt:i4>
      </vt:variant>
      <vt:variant>
        <vt:i4>0</vt:i4>
      </vt:variant>
      <vt:variant>
        <vt:i4>5</vt:i4>
      </vt:variant>
      <vt:variant>
        <vt:lpwstr>https://www.acma.gov.au/publication-submissions</vt:lpwstr>
      </vt:variant>
      <vt:variant>
        <vt:lpwstr/>
      </vt:variant>
      <vt:variant>
        <vt:i4>8192011</vt:i4>
      </vt:variant>
      <vt:variant>
        <vt:i4>318</vt:i4>
      </vt:variant>
      <vt:variant>
        <vt:i4>0</vt:i4>
      </vt:variant>
      <vt:variant>
        <vt:i4>5</vt:i4>
      </vt:variant>
      <vt:variant>
        <vt:lpwstr>mailto:ESL@acma.gov.au</vt:lpwstr>
      </vt:variant>
      <vt:variant>
        <vt:lpwstr/>
      </vt:variant>
      <vt:variant>
        <vt:i4>8192011</vt:i4>
      </vt:variant>
      <vt:variant>
        <vt:i4>315</vt:i4>
      </vt:variant>
      <vt:variant>
        <vt:i4>0</vt:i4>
      </vt:variant>
      <vt:variant>
        <vt:i4>5</vt:i4>
      </vt:variant>
      <vt:variant>
        <vt:lpwstr>mailto:ESL@acma.gov.au</vt:lpwstr>
      </vt:variant>
      <vt:variant>
        <vt:lpwstr/>
      </vt:variant>
      <vt:variant>
        <vt:i4>5308427</vt:i4>
      </vt:variant>
      <vt:variant>
        <vt:i4>312</vt:i4>
      </vt:variant>
      <vt:variant>
        <vt:i4>0</vt:i4>
      </vt:variant>
      <vt:variant>
        <vt:i4>5</vt:i4>
      </vt:variant>
      <vt:variant>
        <vt:lpwstr>https://www.acma.gov.au/have-your-say</vt:lpwstr>
      </vt:variant>
      <vt:variant>
        <vt:lpwstr/>
      </vt:variant>
      <vt:variant>
        <vt:i4>7602231</vt:i4>
      </vt:variant>
      <vt:variant>
        <vt:i4>309</vt:i4>
      </vt:variant>
      <vt:variant>
        <vt:i4>0</vt:i4>
      </vt:variant>
      <vt:variant>
        <vt:i4>5</vt:i4>
      </vt:variant>
      <vt:variant>
        <vt:lpwstr>https://www.accc.gov.au/inquiries-and-consultations/regional-mobile-infrastructure-inquiry-2022-23</vt:lpwstr>
      </vt:variant>
      <vt:variant>
        <vt:lpwstr/>
      </vt:variant>
      <vt:variant>
        <vt:i4>1572937</vt:i4>
      </vt:variant>
      <vt:variant>
        <vt:i4>306</vt:i4>
      </vt:variant>
      <vt:variant>
        <vt:i4>0</vt:i4>
      </vt:variant>
      <vt:variant>
        <vt:i4>5</vt:i4>
      </vt:variant>
      <vt:variant>
        <vt:lpwstr>https://www.infrastructure.gov.au/media-communications-arts/phone/regional-telecommunications-review</vt:lpwstr>
      </vt:variant>
      <vt:variant>
        <vt:lpwstr/>
      </vt:variant>
      <vt:variant>
        <vt:i4>5308534</vt:i4>
      </vt:variant>
      <vt:variant>
        <vt:i4>303</vt:i4>
      </vt:variant>
      <vt:variant>
        <vt:i4>0</vt:i4>
      </vt:variant>
      <vt:variant>
        <vt:i4>5</vt:i4>
      </vt:variant>
      <vt:variant>
        <vt:lpwstr>https://www.aph.gov.au/Parliamentary_Business/Committees/House/Communications/Mobileco-investment</vt:lpwstr>
      </vt:variant>
      <vt:variant>
        <vt:lpwstr/>
      </vt:variant>
      <vt:variant>
        <vt:i4>6750312</vt:i4>
      </vt:variant>
      <vt:variant>
        <vt:i4>300</vt:i4>
      </vt:variant>
      <vt:variant>
        <vt:i4>0</vt:i4>
      </vt:variant>
      <vt:variant>
        <vt:i4>5</vt:i4>
      </vt:variant>
      <vt:variant>
        <vt:lpwstr>https://www.acma.gov.au/25-ghz-band-review</vt:lpwstr>
      </vt:variant>
      <vt:variant>
        <vt:lpwstr/>
      </vt:variant>
      <vt:variant>
        <vt:i4>7602202</vt:i4>
      </vt:variant>
      <vt:variant>
        <vt:i4>297</vt:i4>
      </vt:variant>
      <vt:variant>
        <vt:i4>0</vt:i4>
      </vt:variant>
      <vt:variant>
        <vt:i4>5</vt:i4>
      </vt:variant>
      <vt:variant>
        <vt:lpwstr>https://auc-word-edit.officeapps.live.com/we/wordeditorframe.aspx?ui=en%2DGB&amp;rs=en%2DUS&amp;wopisrc=https%3A%2F%2Facmagovau.sharepoint.com%2Fsites%2FExpiringSpectrumLicences%2F_vti_bin%2Fwopi.ashx%2Ffiles%2F21d4921834dd4b17b361e04ea373d928&amp;wdenableroaming=1&amp;wdfr=1&amp;mscc=1&amp;hid=CBBA04A1-A08D-2000-D77E-87BF18731DD6&amp;wdorigin=ItemsView&amp;wdhostclicktime=1706066698392&amp;jsapi=1&amp;jsapiver=v1&amp;newsession=1&amp;corrid=becd446b-8578-4a64-a26f-b016eb07f640&amp;usid=becd446b-8578-4a64-a26f-b016eb07f640&amp;sftc=1&amp;cac=1&amp;mtf=1&amp;sfp=1&amp;instantedit=1&amp;wopicomplete=1&amp;wdredirectionreason=Unified_SingleFlush&amp;rct=Normal&amp;ctp=LeastProtected</vt:lpwstr>
      </vt:variant>
      <vt:variant>
        <vt:lpwstr>_ftn3</vt:lpwstr>
      </vt:variant>
      <vt:variant>
        <vt:i4>3080202</vt:i4>
      </vt:variant>
      <vt:variant>
        <vt:i4>293</vt:i4>
      </vt:variant>
      <vt:variant>
        <vt:i4>0</vt:i4>
      </vt:variant>
      <vt:variant>
        <vt:i4>5</vt:i4>
      </vt:variant>
      <vt:variant>
        <vt:lpwstr>https://www.itu.int/dms_pub/itu-r/opb/rep/R-REP-BT.2069-7-2017-PDF-E.pdf</vt:lpwstr>
      </vt:variant>
      <vt:variant>
        <vt:lpwstr/>
      </vt:variant>
      <vt:variant>
        <vt:i4>3080202</vt:i4>
      </vt:variant>
      <vt:variant>
        <vt:i4>291</vt:i4>
      </vt:variant>
      <vt:variant>
        <vt:i4>0</vt:i4>
      </vt:variant>
      <vt:variant>
        <vt:i4>5</vt:i4>
      </vt:variant>
      <vt:variant>
        <vt:lpwstr>https://www.itu.int/dms_pub/itu-r/opb/rep/R-REP-BT.2069-7-2017-PDF-E.pdf</vt:lpwstr>
      </vt:variant>
      <vt:variant>
        <vt:lpwstr/>
      </vt:variant>
      <vt:variant>
        <vt:i4>7798872</vt:i4>
      </vt:variant>
      <vt:variant>
        <vt:i4>287</vt:i4>
      </vt:variant>
      <vt:variant>
        <vt:i4>0</vt:i4>
      </vt:variant>
      <vt:variant>
        <vt:i4>5</vt:i4>
      </vt:variant>
      <vt:variant>
        <vt:lpwstr>https://www.itu.int/dms_pubrec/itu-r/rec/f/R-REC-F.1777-2-201801-S!!PDF-E.pdf</vt:lpwstr>
      </vt:variant>
      <vt:variant>
        <vt:lpwstr/>
      </vt:variant>
      <vt:variant>
        <vt:i4>7798872</vt:i4>
      </vt:variant>
      <vt:variant>
        <vt:i4>285</vt:i4>
      </vt:variant>
      <vt:variant>
        <vt:i4>0</vt:i4>
      </vt:variant>
      <vt:variant>
        <vt:i4>5</vt:i4>
      </vt:variant>
      <vt:variant>
        <vt:lpwstr>https://www.itu.int/dms_pubrec/itu-r/rec/f/R-REC-F.1777-2-201801-S!!PDF-E.pdf</vt:lpwstr>
      </vt:variant>
      <vt:variant>
        <vt:lpwstr/>
      </vt:variant>
      <vt:variant>
        <vt:i4>3080202</vt:i4>
      </vt:variant>
      <vt:variant>
        <vt:i4>281</vt:i4>
      </vt:variant>
      <vt:variant>
        <vt:i4>0</vt:i4>
      </vt:variant>
      <vt:variant>
        <vt:i4>5</vt:i4>
      </vt:variant>
      <vt:variant>
        <vt:lpwstr>https://www.itu.int/dms_pub/itu-r/opb/rep/R-REP-BT.2069-7-2017-PDF-E.pdf</vt:lpwstr>
      </vt:variant>
      <vt:variant>
        <vt:lpwstr/>
      </vt:variant>
      <vt:variant>
        <vt:i4>3080202</vt:i4>
      </vt:variant>
      <vt:variant>
        <vt:i4>279</vt:i4>
      </vt:variant>
      <vt:variant>
        <vt:i4>0</vt:i4>
      </vt:variant>
      <vt:variant>
        <vt:i4>5</vt:i4>
      </vt:variant>
      <vt:variant>
        <vt:lpwstr>https://www.itu.int/dms_pub/itu-r/opb/rep/R-REP-BT.2069-7-2017-PDF-E.pdf</vt:lpwstr>
      </vt:variant>
      <vt:variant>
        <vt:lpwstr/>
      </vt:variant>
      <vt:variant>
        <vt:i4>7798872</vt:i4>
      </vt:variant>
      <vt:variant>
        <vt:i4>275</vt:i4>
      </vt:variant>
      <vt:variant>
        <vt:i4>0</vt:i4>
      </vt:variant>
      <vt:variant>
        <vt:i4>5</vt:i4>
      </vt:variant>
      <vt:variant>
        <vt:lpwstr>https://www.itu.int/dms_pubrec/itu-r/rec/f/R-REC-F.1777-2-201801-S!!PDF-E.pdf</vt:lpwstr>
      </vt:variant>
      <vt:variant>
        <vt:lpwstr/>
      </vt:variant>
      <vt:variant>
        <vt:i4>7798872</vt:i4>
      </vt:variant>
      <vt:variant>
        <vt:i4>273</vt:i4>
      </vt:variant>
      <vt:variant>
        <vt:i4>0</vt:i4>
      </vt:variant>
      <vt:variant>
        <vt:i4>5</vt:i4>
      </vt:variant>
      <vt:variant>
        <vt:lpwstr>https://www.itu.int/dms_pubrec/itu-r/rec/f/R-REC-F.1777-2-201801-S!!PDF-E.pdf</vt:lpwstr>
      </vt:variant>
      <vt:variant>
        <vt:lpwstr/>
      </vt:variant>
      <vt:variant>
        <vt:i4>7602202</vt:i4>
      </vt:variant>
      <vt:variant>
        <vt:i4>269</vt:i4>
      </vt:variant>
      <vt:variant>
        <vt:i4>0</vt:i4>
      </vt:variant>
      <vt:variant>
        <vt:i4>5</vt:i4>
      </vt:variant>
      <vt:variant>
        <vt:lpwstr>https://auc-word-edit.officeapps.live.com/we/wordeditorframe.aspx?ui=en%2DGB&amp;rs=en%2DUS&amp;wopisrc=https%3A%2F%2Facmagovau.sharepoint.com%2Fsites%2FExpiringSpectrumLicences%2F_vti_bin%2Fwopi.ashx%2Ffiles%2F21d4921834dd4b17b361e04ea373d928&amp;wdenableroaming=1&amp;wdfr=1&amp;mscc=1&amp;hid=CBBA04A1-A08D-2000-D77E-87BF18731DD6&amp;wdorigin=ItemsView&amp;wdhostclicktime=1706066698392&amp;jsapi=1&amp;jsapiver=v1&amp;newsession=1&amp;corrid=becd446b-8578-4a64-a26f-b016eb07f640&amp;usid=becd446b-8578-4a64-a26f-b016eb07f640&amp;sftc=1&amp;cac=1&amp;mtf=1&amp;sfp=1&amp;instantedit=1&amp;wopicomplete=1&amp;wdredirectionreason=Unified_SingleFlush&amp;rct=Normal&amp;ctp=LeastProtected</vt:lpwstr>
      </vt:variant>
      <vt:variant>
        <vt:lpwstr>_ftn2</vt:lpwstr>
      </vt:variant>
      <vt:variant>
        <vt:i4>7602202</vt:i4>
      </vt:variant>
      <vt:variant>
        <vt:i4>267</vt:i4>
      </vt:variant>
      <vt:variant>
        <vt:i4>0</vt:i4>
      </vt:variant>
      <vt:variant>
        <vt:i4>5</vt:i4>
      </vt:variant>
      <vt:variant>
        <vt:lpwstr>https://auc-word-edit.officeapps.live.com/we/wordeditorframe.aspx?ui=en%2DGB&amp;rs=en%2DUS&amp;wopisrc=https%3A%2F%2Facmagovau.sharepoint.com%2Fsites%2FExpiringSpectrumLicences%2F_vti_bin%2Fwopi.ashx%2Ffiles%2F21d4921834dd4b17b361e04ea373d928&amp;wdenableroaming=1&amp;wdfr=1&amp;mscc=1&amp;hid=CBBA04A1-A08D-2000-D77E-87BF18731DD6&amp;wdorigin=ItemsView&amp;wdhostclicktime=1706066698392&amp;jsapi=1&amp;jsapiver=v1&amp;newsession=1&amp;corrid=becd446b-8578-4a64-a26f-b016eb07f640&amp;usid=becd446b-8578-4a64-a26f-b016eb07f640&amp;sftc=1&amp;cac=1&amp;mtf=1&amp;sfp=1&amp;instantedit=1&amp;wopicomplete=1&amp;wdredirectionreason=Unified_SingleFlush&amp;rct=Normal&amp;ctp=LeastProtected</vt:lpwstr>
      </vt:variant>
      <vt:variant>
        <vt:lpwstr>_ftn2</vt:lpwstr>
      </vt:variant>
      <vt:variant>
        <vt:i4>3080248</vt:i4>
      </vt:variant>
      <vt:variant>
        <vt:i4>264</vt:i4>
      </vt:variant>
      <vt:variant>
        <vt:i4>0</vt:i4>
      </vt:variant>
      <vt:variant>
        <vt:i4>5</vt:i4>
      </vt:variant>
      <vt:variant>
        <vt:lpwstr>https://www.accc.gov.au/system/files/Audit of Telecommunications Infrastructure RKR - December 2023.pdf</vt:lpwstr>
      </vt:variant>
      <vt:variant>
        <vt:lpwstr/>
      </vt:variant>
      <vt:variant>
        <vt:i4>3735588</vt:i4>
      </vt:variant>
      <vt:variant>
        <vt:i4>261</vt:i4>
      </vt:variant>
      <vt:variant>
        <vt:i4>0</vt:i4>
      </vt:variant>
      <vt:variant>
        <vt:i4>5</vt:i4>
      </vt:variant>
      <vt:variant>
        <vt:lpwstr>https://data.gov.au/dataset/ds-dga-4b472a18-d0fa-409c-994a-ab17162bcb90/details?q=ACCC</vt:lpwstr>
      </vt:variant>
      <vt:variant>
        <vt:lpwstr/>
      </vt:variant>
      <vt:variant>
        <vt:i4>3342432</vt:i4>
      </vt:variant>
      <vt:variant>
        <vt:i4>258</vt:i4>
      </vt:variant>
      <vt:variant>
        <vt:i4>0</vt:i4>
      </vt:variant>
      <vt:variant>
        <vt:i4>5</vt:i4>
      </vt:variant>
      <vt:variant>
        <vt:lpwstr>https://www.accc.gov.au/by-industry/telecommunications-and-internet/telecommunications-industry-record-keeping-and-reporting-rules/audit-of-telecommunications-infrastructure-assets-record-keeping-rules/infrastructure-assets-record-keeping-rule</vt:lpwstr>
      </vt:variant>
      <vt:variant>
        <vt:lpwstr/>
      </vt:variant>
      <vt:variant>
        <vt:i4>3801210</vt:i4>
      </vt:variant>
      <vt:variant>
        <vt:i4>255</vt:i4>
      </vt:variant>
      <vt:variant>
        <vt:i4>0</vt:i4>
      </vt:variant>
      <vt:variant>
        <vt:i4>5</vt:i4>
      </vt:variant>
      <vt:variant>
        <vt:lpwstr>https://www.infrastructure.gov.au/media-communications-arts/phone/telecommunications-disaster-resilience-innovation-program</vt:lpwstr>
      </vt:variant>
      <vt:variant>
        <vt:lpwstr/>
      </vt:variant>
      <vt:variant>
        <vt:i4>2097190</vt:i4>
      </vt:variant>
      <vt:variant>
        <vt:i4>252</vt:i4>
      </vt:variant>
      <vt:variant>
        <vt:i4>0</vt:i4>
      </vt:variant>
      <vt:variant>
        <vt:i4>5</vt:i4>
      </vt:variant>
      <vt:variant>
        <vt:lpwstr>https://www.infrastructure.gov.au/media-communications-arts/phone/mobile-network-hardening-program</vt:lpwstr>
      </vt:variant>
      <vt:variant>
        <vt:lpwstr/>
      </vt:variant>
      <vt:variant>
        <vt:i4>114</vt:i4>
      </vt:variant>
      <vt:variant>
        <vt:i4>249</vt:i4>
      </vt:variant>
      <vt:variant>
        <vt:i4>0</vt:i4>
      </vt:variant>
      <vt:variant>
        <vt:i4>5</vt:i4>
      </vt:variant>
      <vt:variant>
        <vt:lpwstr>https://www.aph.gov.au/Parliamentary_Business/Committees/House/Communications/Mobileco-investment/Report</vt:lpwstr>
      </vt:variant>
      <vt:variant>
        <vt:lpwstr/>
      </vt:variant>
      <vt:variant>
        <vt:i4>7143473</vt:i4>
      </vt:variant>
      <vt:variant>
        <vt:i4>246</vt:i4>
      </vt:variant>
      <vt:variant>
        <vt:i4>0</vt:i4>
      </vt:variant>
      <vt:variant>
        <vt:i4>5</vt:i4>
      </vt:variant>
      <vt:variant>
        <vt:lpwstr>https://www.infrastructure.gov.au/have-your-say/ministerial-policy-statement-expiring-spectrum-licences</vt:lpwstr>
      </vt:variant>
      <vt:variant>
        <vt:lpwstr/>
      </vt:variant>
      <vt:variant>
        <vt:i4>2883637</vt:i4>
      </vt:variant>
      <vt:variant>
        <vt:i4>243</vt:i4>
      </vt:variant>
      <vt:variant>
        <vt:i4>0</vt:i4>
      </vt:variant>
      <vt:variant>
        <vt:i4>5</vt:i4>
      </vt:variant>
      <vt:variant>
        <vt:lpwstr>https://www.acma.gov.au/consultations/2023-05/proposed-approach-expiring-spectrum-licences</vt:lpwstr>
      </vt:variant>
      <vt:variant>
        <vt:lpwstr/>
      </vt:variant>
      <vt:variant>
        <vt:i4>2097192</vt:i4>
      </vt:variant>
      <vt:variant>
        <vt:i4>240</vt:i4>
      </vt:variant>
      <vt:variant>
        <vt:i4>0</vt:i4>
      </vt:variant>
      <vt:variant>
        <vt:i4>5</vt:i4>
      </vt:variant>
      <vt:variant>
        <vt:lpwstr>https://www.acma.gov.au/privacy-policy</vt:lpwstr>
      </vt:variant>
      <vt:variant>
        <vt:lpwstr/>
      </vt:variant>
      <vt:variant>
        <vt:i4>7798892</vt:i4>
      </vt:variant>
      <vt:variant>
        <vt:i4>237</vt:i4>
      </vt:variant>
      <vt:variant>
        <vt:i4>0</vt:i4>
      </vt:variant>
      <vt:variant>
        <vt:i4>5</vt:i4>
      </vt:variant>
      <vt:variant>
        <vt:lpwstr>https://www.infrastructure.gov.au/sites/default/files/documents/acma-statement-of-expectations-2022.pdf</vt:lpwstr>
      </vt:variant>
      <vt:variant>
        <vt:lpwstr/>
      </vt:variant>
      <vt:variant>
        <vt:i4>7143473</vt:i4>
      </vt:variant>
      <vt:variant>
        <vt:i4>234</vt:i4>
      </vt:variant>
      <vt:variant>
        <vt:i4>0</vt:i4>
      </vt:variant>
      <vt:variant>
        <vt:i4>5</vt:i4>
      </vt:variant>
      <vt:variant>
        <vt:lpwstr>https://www.infrastructure.gov.au/have-your-say/ministerial-policy-statement-expiring-spectrum-licences</vt:lpwstr>
      </vt:variant>
      <vt:variant>
        <vt:lpwstr/>
      </vt:variant>
      <vt:variant>
        <vt:i4>2883637</vt:i4>
      </vt:variant>
      <vt:variant>
        <vt:i4>231</vt:i4>
      </vt:variant>
      <vt:variant>
        <vt:i4>0</vt:i4>
      </vt:variant>
      <vt:variant>
        <vt:i4>5</vt:i4>
      </vt:variant>
      <vt:variant>
        <vt:lpwstr>https://www.acma.gov.au/consultations/2023-05/proposed-approach-expiring-spectrum-licences</vt:lpwstr>
      </vt:variant>
      <vt:variant>
        <vt:lpwstr/>
      </vt:variant>
      <vt:variant>
        <vt:i4>4128816</vt:i4>
      </vt:variant>
      <vt:variant>
        <vt:i4>228</vt:i4>
      </vt:variant>
      <vt:variant>
        <vt:i4>0</vt:i4>
      </vt:variant>
      <vt:variant>
        <vt:i4>5</vt:i4>
      </vt:variant>
      <vt:variant>
        <vt:lpwstr>https://www.acma.gov.au/five-year-spectrum-outlook</vt:lpwstr>
      </vt:variant>
      <vt:variant>
        <vt:lpwstr/>
      </vt:variant>
      <vt:variant>
        <vt:i4>1507378</vt:i4>
      </vt:variant>
      <vt:variant>
        <vt:i4>221</vt:i4>
      </vt:variant>
      <vt:variant>
        <vt:i4>0</vt:i4>
      </vt:variant>
      <vt:variant>
        <vt:i4>5</vt:i4>
      </vt:variant>
      <vt:variant>
        <vt:lpwstr/>
      </vt:variant>
      <vt:variant>
        <vt:lpwstr>_Toc161751707</vt:lpwstr>
      </vt:variant>
      <vt:variant>
        <vt:i4>1507378</vt:i4>
      </vt:variant>
      <vt:variant>
        <vt:i4>215</vt:i4>
      </vt:variant>
      <vt:variant>
        <vt:i4>0</vt:i4>
      </vt:variant>
      <vt:variant>
        <vt:i4>5</vt:i4>
      </vt:variant>
      <vt:variant>
        <vt:lpwstr/>
      </vt:variant>
      <vt:variant>
        <vt:lpwstr>_Toc161751706</vt:lpwstr>
      </vt:variant>
      <vt:variant>
        <vt:i4>1507378</vt:i4>
      </vt:variant>
      <vt:variant>
        <vt:i4>209</vt:i4>
      </vt:variant>
      <vt:variant>
        <vt:i4>0</vt:i4>
      </vt:variant>
      <vt:variant>
        <vt:i4>5</vt:i4>
      </vt:variant>
      <vt:variant>
        <vt:lpwstr/>
      </vt:variant>
      <vt:variant>
        <vt:lpwstr>_Toc161751705</vt:lpwstr>
      </vt:variant>
      <vt:variant>
        <vt:i4>1507378</vt:i4>
      </vt:variant>
      <vt:variant>
        <vt:i4>203</vt:i4>
      </vt:variant>
      <vt:variant>
        <vt:i4>0</vt:i4>
      </vt:variant>
      <vt:variant>
        <vt:i4>5</vt:i4>
      </vt:variant>
      <vt:variant>
        <vt:lpwstr/>
      </vt:variant>
      <vt:variant>
        <vt:lpwstr>_Toc161751704</vt:lpwstr>
      </vt:variant>
      <vt:variant>
        <vt:i4>1507378</vt:i4>
      </vt:variant>
      <vt:variant>
        <vt:i4>197</vt:i4>
      </vt:variant>
      <vt:variant>
        <vt:i4>0</vt:i4>
      </vt:variant>
      <vt:variant>
        <vt:i4>5</vt:i4>
      </vt:variant>
      <vt:variant>
        <vt:lpwstr/>
      </vt:variant>
      <vt:variant>
        <vt:lpwstr>_Toc161751703</vt:lpwstr>
      </vt:variant>
      <vt:variant>
        <vt:i4>1507378</vt:i4>
      </vt:variant>
      <vt:variant>
        <vt:i4>191</vt:i4>
      </vt:variant>
      <vt:variant>
        <vt:i4>0</vt:i4>
      </vt:variant>
      <vt:variant>
        <vt:i4>5</vt:i4>
      </vt:variant>
      <vt:variant>
        <vt:lpwstr/>
      </vt:variant>
      <vt:variant>
        <vt:lpwstr>_Toc161751702</vt:lpwstr>
      </vt:variant>
      <vt:variant>
        <vt:i4>1507378</vt:i4>
      </vt:variant>
      <vt:variant>
        <vt:i4>185</vt:i4>
      </vt:variant>
      <vt:variant>
        <vt:i4>0</vt:i4>
      </vt:variant>
      <vt:variant>
        <vt:i4>5</vt:i4>
      </vt:variant>
      <vt:variant>
        <vt:lpwstr/>
      </vt:variant>
      <vt:variant>
        <vt:lpwstr>_Toc161751701</vt:lpwstr>
      </vt:variant>
      <vt:variant>
        <vt:i4>1507378</vt:i4>
      </vt:variant>
      <vt:variant>
        <vt:i4>179</vt:i4>
      </vt:variant>
      <vt:variant>
        <vt:i4>0</vt:i4>
      </vt:variant>
      <vt:variant>
        <vt:i4>5</vt:i4>
      </vt:variant>
      <vt:variant>
        <vt:lpwstr/>
      </vt:variant>
      <vt:variant>
        <vt:lpwstr>_Toc161751700</vt:lpwstr>
      </vt:variant>
      <vt:variant>
        <vt:i4>1966131</vt:i4>
      </vt:variant>
      <vt:variant>
        <vt:i4>173</vt:i4>
      </vt:variant>
      <vt:variant>
        <vt:i4>0</vt:i4>
      </vt:variant>
      <vt:variant>
        <vt:i4>5</vt:i4>
      </vt:variant>
      <vt:variant>
        <vt:lpwstr/>
      </vt:variant>
      <vt:variant>
        <vt:lpwstr>_Toc161751699</vt:lpwstr>
      </vt:variant>
      <vt:variant>
        <vt:i4>1966131</vt:i4>
      </vt:variant>
      <vt:variant>
        <vt:i4>167</vt:i4>
      </vt:variant>
      <vt:variant>
        <vt:i4>0</vt:i4>
      </vt:variant>
      <vt:variant>
        <vt:i4>5</vt:i4>
      </vt:variant>
      <vt:variant>
        <vt:lpwstr/>
      </vt:variant>
      <vt:variant>
        <vt:lpwstr>_Toc161751698</vt:lpwstr>
      </vt:variant>
      <vt:variant>
        <vt:i4>1966131</vt:i4>
      </vt:variant>
      <vt:variant>
        <vt:i4>161</vt:i4>
      </vt:variant>
      <vt:variant>
        <vt:i4>0</vt:i4>
      </vt:variant>
      <vt:variant>
        <vt:i4>5</vt:i4>
      </vt:variant>
      <vt:variant>
        <vt:lpwstr/>
      </vt:variant>
      <vt:variant>
        <vt:lpwstr>_Toc161751697</vt:lpwstr>
      </vt:variant>
      <vt:variant>
        <vt:i4>1966131</vt:i4>
      </vt:variant>
      <vt:variant>
        <vt:i4>155</vt:i4>
      </vt:variant>
      <vt:variant>
        <vt:i4>0</vt:i4>
      </vt:variant>
      <vt:variant>
        <vt:i4>5</vt:i4>
      </vt:variant>
      <vt:variant>
        <vt:lpwstr/>
      </vt:variant>
      <vt:variant>
        <vt:lpwstr>_Toc161751696</vt:lpwstr>
      </vt:variant>
      <vt:variant>
        <vt:i4>1966131</vt:i4>
      </vt:variant>
      <vt:variant>
        <vt:i4>149</vt:i4>
      </vt:variant>
      <vt:variant>
        <vt:i4>0</vt:i4>
      </vt:variant>
      <vt:variant>
        <vt:i4>5</vt:i4>
      </vt:variant>
      <vt:variant>
        <vt:lpwstr/>
      </vt:variant>
      <vt:variant>
        <vt:lpwstr>_Toc161751695</vt:lpwstr>
      </vt:variant>
      <vt:variant>
        <vt:i4>1966131</vt:i4>
      </vt:variant>
      <vt:variant>
        <vt:i4>143</vt:i4>
      </vt:variant>
      <vt:variant>
        <vt:i4>0</vt:i4>
      </vt:variant>
      <vt:variant>
        <vt:i4>5</vt:i4>
      </vt:variant>
      <vt:variant>
        <vt:lpwstr/>
      </vt:variant>
      <vt:variant>
        <vt:lpwstr>_Toc161751694</vt:lpwstr>
      </vt:variant>
      <vt:variant>
        <vt:i4>1966131</vt:i4>
      </vt:variant>
      <vt:variant>
        <vt:i4>137</vt:i4>
      </vt:variant>
      <vt:variant>
        <vt:i4>0</vt:i4>
      </vt:variant>
      <vt:variant>
        <vt:i4>5</vt:i4>
      </vt:variant>
      <vt:variant>
        <vt:lpwstr/>
      </vt:variant>
      <vt:variant>
        <vt:lpwstr>_Toc161751693</vt:lpwstr>
      </vt:variant>
      <vt:variant>
        <vt:i4>1966131</vt:i4>
      </vt:variant>
      <vt:variant>
        <vt:i4>131</vt:i4>
      </vt:variant>
      <vt:variant>
        <vt:i4>0</vt:i4>
      </vt:variant>
      <vt:variant>
        <vt:i4>5</vt:i4>
      </vt:variant>
      <vt:variant>
        <vt:lpwstr/>
      </vt:variant>
      <vt:variant>
        <vt:lpwstr>_Toc161751692</vt:lpwstr>
      </vt:variant>
      <vt:variant>
        <vt:i4>1966131</vt:i4>
      </vt:variant>
      <vt:variant>
        <vt:i4>125</vt:i4>
      </vt:variant>
      <vt:variant>
        <vt:i4>0</vt:i4>
      </vt:variant>
      <vt:variant>
        <vt:i4>5</vt:i4>
      </vt:variant>
      <vt:variant>
        <vt:lpwstr/>
      </vt:variant>
      <vt:variant>
        <vt:lpwstr>_Toc161751691</vt:lpwstr>
      </vt:variant>
      <vt:variant>
        <vt:i4>1966131</vt:i4>
      </vt:variant>
      <vt:variant>
        <vt:i4>119</vt:i4>
      </vt:variant>
      <vt:variant>
        <vt:i4>0</vt:i4>
      </vt:variant>
      <vt:variant>
        <vt:i4>5</vt:i4>
      </vt:variant>
      <vt:variant>
        <vt:lpwstr/>
      </vt:variant>
      <vt:variant>
        <vt:lpwstr>_Toc161751690</vt:lpwstr>
      </vt:variant>
      <vt:variant>
        <vt:i4>2031667</vt:i4>
      </vt:variant>
      <vt:variant>
        <vt:i4>113</vt:i4>
      </vt:variant>
      <vt:variant>
        <vt:i4>0</vt:i4>
      </vt:variant>
      <vt:variant>
        <vt:i4>5</vt:i4>
      </vt:variant>
      <vt:variant>
        <vt:lpwstr/>
      </vt:variant>
      <vt:variant>
        <vt:lpwstr>_Toc161751689</vt:lpwstr>
      </vt:variant>
      <vt:variant>
        <vt:i4>2031667</vt:i4>
      </vt:variant>
      <vt:variant>
        <vt:i4>107</vt:i4>
      </vt:variant>
      <vt:variant>
        <vt:i4>0</vt:i4>
      </vt:variant>
      <vt:variant>
        <vt:i4>5</vt:i4>
      </vt:variant>
      <vt:variant>
        <vt:lpwstr/>
      </vt:variant>
      <vt:variant>
        <vt:lpwstr>_Toc161751688</vt:lpwstr>
      </vt:variant>
      <vt:variant>
        <vt:i4>2031667</vt:i4>
      </vt:variant>
      <vt:variant>
        <vt:i4>101</vt:i4>
      </vt:variant>
      <vt:variant>
        <vt:i4>0</vt:i4>
      </vt:variant>
      <vt:variant>
        <vt:i4>5</vt:i4>
      </vt:variant>
      <vt:variant>
        <vt:lpwstr/>
      </vt:variant>
      <vt:variant>
        <vt:lpwstr>_Toc161751687</vt:lpwstr>
      </vt:variant>
      <vt:variant>
        <vt:i4>2031667</vt:i4>
      </vt:variant>
      <vt:variant>
        <vt:i4>95</vt:i4>
      </vt:variant>
      <vt:variant>
        <vt:i4>0</vt:i4>
      </vt:variant>
      <vt:variant>
        <vt:i4>5</vt:i4>
      </vt:variant>
      <vt:variant>
        <vt:lpwstr/>
      </vt:variant>
      <vt:variant>
        <vt:lpwstr>_Toc161751686</vt:lpwstr>
      </vt:variant>
      <vt:variant>
        <vt:i4>2031667</vt:i4>
      </vt:variant>
      <vt:variant>
        <vt:i4>89</vt:i4>
      </vt:variant>
      <vt:variant>
        <vt:i4>0</vt:i4>
      </vt:variant>
      <vt:variant>
        <vt:i4>5</vt:i4>
      </vt:variant>
      <vt:variant>
        <vt:lpwstr/>
      </vt:variant>
      <vt:variant>
        <vt:lpwstr>_Toc161751685</vt:lpwstr>
      </vt:variant>
      <vt:variant>
        <vt:i4>2031667</vt:i4>
      </vt:variant>
      <vt:variant>
        <vt:i4>83</vt:i4>
      </vt:variant>
      <vt:variant>
        <vt:i4>0</vt:i4>
      </vt:variant>
      <vt:variant>
        <vt:i4>5</vt:i4>
      </vt:variant>
      <vt:variant>
        <vt:lpwstr/>
      </vt:variant>
      <vt:variant>
        <vt:lpwstr>_Toc161751684</vt:lpwstr>
      </vt:variant>
      <vt:variant>
        <vt:i4>2031667</vt:i4>
      </vt:variant>
      <vt:variant>
        <vt:i4>77</vt:i4>
      </vt:variant>
      <vt:variant>
        <vt:i4>0</vt:i4>
      </vt:variant>
      <vt:variant>
        <vt:i4>5</vt:i4>
      </vt:variant>
      <vt:variant>
        <vt:lpwstr/>
      </vt:variant>
      <vt:variant>
        <vt:lpwstr>_Toc161751683</vt:lpwstr>
      </vt:variant>
      <vt:variant>
        <vt:i4>2031667</vt:i4>
      </vt:variant>
      <vt:variant>
        <vt:i4>71</vt:i4>
      </vt:variant>
      <vt:variant>
        <vt:i4>0</vt:i4>
      </vt:variant>
      <vt:variant>
        <vt:i4>5</vt:i4>
      </vt:variant>
      <vt:variant>
        <vt:lpwstr/>
      </vt:variant>
      <vt:variant>
        <vt:lpwstr>_Toc161751682</vt:lpwstr>
      </vt:variant>
      <vt:variant>
        <vt:i4>2031667</vt:i4>
      </vt:variant>
      <vt:variant>
        <vt:i4>65</vt:i4>
      </vt:variant>
      <vt:variant>
        <vt:i4>0</vt:i4>
      </vt:variant>
      <vt:variant>
        <vt:i4>5</vt:i4>
      </vt:variant>
      <vt:variant>
        <vt:lpwstr/>
      </vt:variant>
      <vt:variant>
        <vt:lpwstr>_Toc161751681</vt:lpwstr>
      </vt:variant>
      <vt:variant>
        <vt:i4>2031667</vt:i4>
      </vt:variant>
      <vt:variant>
        <vt:i4>59</vt:i4>
      </vt:variant>
      <vt:variant>
        <vt:i4>0</vt:i4>
      </vt:variant>
      <vt:variant>
        <vt:i4>5</vt:i4>
      </vt:variant>
      <vt:variant>
        <vt:lpwstr/>
      </vt:variant>
      <vt:variant>
        <vt:lpwstr>_Toc161751680</vt:lpwstr>
      </vt:variant>
      <vt:variant>
        <vt:i4>1048627</vt:i4>
      </vt:variant>
      <vt:variant>
        <vt:i4>53</vt:i4>
      </vt:variant>
      <vt:variant>
        <vt:i4>0</vt:i4>
      </vt:variant>
      <vt:variant>
        <vt:i4>5</vt:i4>
      </vt:variant>
      <vt:variant>
        <vt:lpwstr/>
      </vt:variant>
      <vt:variant>
        <vt:lpwstr>_Toc161751679</vt:lpwstr>
      </vt:variant>
      <vt:variant>
        <vt:i4>1048627</vt:i4>
      </vt:variant>
      <vt:variant>
        <vt:i4>47</vt:i4>
      </vt:variant>
      <vt:variant>
        <vt:i4>0</vt:i4>
      </vt:variant>
      <vt:variant>
        <vt:i4>5</vt:i4>
      </vt:variant>
      <vt:variant>
        <vt:lpwstr/>
      </vt:variant>
      <vt:variant>
        <vt:lpwstr>_Toc161751678</vt:lpwstr>
      </vt:variant>
      <vt:variant>
        <vt:i4>1048627</vt:i4>
      </vt:variant>
      <vt:variant>
        <vt:i4>41</vt:i4>
      </vt:variant>
      <vt:variant>
        <vt:i4>0</vt:i4>
      </vt:variant>
      <vt:variant>
        <vt:i4>5</vt:i4>
      </vt:variant>
      <vt:variant>
        <vt:lpwstr/>
      </vt:variant>
      <vt:variant>
        <vt:lpwstr>_Toc161751677</vt:lpwstr>
      </vt:variant>
      <vt:variant>
        <vt:i4>1048627</vt:i4>
      </vt:variant>
      <vt:variant>
        <vt:i4>35</vt:i4>
      </vt:variant>
      <vt:variant>
        <vt:i4>0</vt:i4>
      </vt:variant>
      <vt:variant>
        <vt:i4>5</vt:i4>
      </vt:variant>
      <vt:variant>
        <vt:lpwstr/>
      </vt:variant>
      <vt:variant>
        <vt:lpwstr>_Toc161751676</vt:lpwstr>
      </vt:variant>
      <vt:variant>
        <vt:i4>1048627</vt:i4>
      </vt:variant>
      <vt:variant>
        <vt:i4>29</vt:i4>
      </vt:variant>
      <vt:variant>
        <vt:i4>0</vt:i4>
      </vt:variant>
      <vt:variant>
        <vt:i4>5</vt:i4>
      </vt:variant>
      <vt:variant>
        <vt:lpwstr/>
      </vt:variant>
      <vt:variant>
        <vt:lpwstr>_Toc161751675</vt:lpwstr>
      </vt:variant>
      <vt:variant>
        <vt:i4>1048627</vt:i4>
      </vt:variant>
      <vt:variant>
        <vt:i4>23</vt:i4>
      </vt:variant>
      <vt:variant>
        <vt:i4>0</vt:i4>
      </vt:variant>
      <vt:variant>
        <vt:i4>5</vt:i4>
      </vt:variant>
      <vt:variant>
        <vt:lpwstr/>
      </vt:variant>
      <vt:variant>
        <vt:lpwstr>_Toc161751674</vt:lpwstr>
      </vt:variant>
      <vt:variant>
        <vt:i4>1048627</vt:i4>
      </vt:variant>
      <vt:variant>
        <vt:i4>17</vt:i4>
      </vt:variant>
      <vt:variant>
        <vt:i4>0</vt:i4>
      </vt:variant>
      <vt:variant>
        <vt:i4>5</vt:i4>
      </vt:variant>
      <vt:variant>
        <vt:lpwstr/>
      </vt:variant>
      <vt:variant>
        <vt:lpwstr>_Toc161751673</vt:lpwstr>
      </vt:variant>
      <vt:variant>
        <vt:i4>1048627</vt:i4>
      </vt:variant>
      <vt:variant>
        <vt:i4>11</vt:i4>
      </vt:variant>
      <vt:variant>
        <vt:i4>0</vt:i4>
      </vt:variant>
      <vt:variant>
        <vt:i4>5</vt:i4>
      </vt:variant>
      <vt:variant>
        <vt:lpwstr/>
      </vt:variant>
      <vt:variant>
        <vt:lpwstr>_Toc161751672</vt:lpwstr>
      </vt:variant>
      <vt:variant>
        <vt:i4>1048627</vt:i4>
      </vt:variant>
      <vt:variant>
        <vt:i4>5</vt:i4>
      </vt:variant>
      <vt:variant>
        <vt:i4>0</vt:i4>
      </vt:variant>
      <vt:variant>
        <vt:i4>5</vt:i4>
      </vt:variant>
      <vt:variant>
        <vt:lpwstr/>
      </vt:variant>
      <vt:variant>
        <vt:lpwstr>_Toc161751671</vt:lpwstr>
      </vt:variant>
      <vt:variant>
        <vt:i4>5308424</vt:i4>
      </vt:variant>
      <vt:variant>
        <vt:i4>0</vt:i4>
      </vt:variant>
      <vt:variant>
        <vt:i4>0</vt:i4>
      </vt:variant>
      <vt:variant>
        <vt:i4>5</vt:i4>
      </vt:variant>
      <vt:variant>
        <vt:lpwstr>https://creativecommons.org/licenses/by/4.0/</vt:lpwstr>
      </vt:variant>
      <vt:variant>
        <vt:lpwstr/>
      </vt:variant>
      <vt:variant>
        <vt:i4>5898348</vt:i4>
      </vt:variant>
      <vt:variant>
        <vt:i4>102</vt:i4>
      </vt:variant>
      <vt:variant>
        <vt:i4>0</vt:i4>
      </vt:variant>
      <vt:variant>
        <vt:i4>5</vt:i4>
      </vt:variant>
      <vt:variant>
        <vt:lpwstr>https://www.ofcom.org.uk/__data/assets/pdf_file/0020/276302/Local-Access-Licences-Chart.pdf</vt:lpwstr>
      </vt:variant>
      <vt:variant>
        <vt:lpwstr/>
      </vt:variant>
      <vt:variant>
        <vt:i4>7798898</vt:i4>
      </vt:variant>
      <vt:variant>
        <vt:i4>99</vt:i4>
      </vt:variant>
      <vt:variant>
        <vt:i4>0</vt:i4>
      </vt:variant>
      <vt:variant>
        <vt:i4>5</vt:i4>
      </vt:variant>
      <vt:variant>
        <vt:lpwstr>https://www.ofcom.org.uk/manage-your-licence/radiocommunication-licences/local-access-licences</vt:lpwstr>
      </vt:variant>
      <vt:variant>
        <vt:lpwstr/>
      </vt:variant>
      <vt:variant>
        <vt:i4>3145784</vt:i4>
      </vt:variant>
      <vt:variant>
        <vt:i4>96</vt:i4>
      </vt:variant>
      <vt:variant>
        <vt:i4>0</vt:i4>
      </vt:variant>
      <vt:variant>
        <vt:i4>5</vt:i4>
      </vt:variant>
      <vt:variant>
        <vt:lpwstr>https://ised-isde.canada.ca/site/spectrum-management-telecommunications/en/spectrum-allocation/decision-new-access-licensing-framework-changes-subordinate-licensing-and-white-space-support-rural</vt:lpwstr>
      </vt:variant>
      <vt:variant>
        <vt:lpwstr/>
      </vt:variant>
      <vt:variant>
        <vt:i4>6488180</vt:i4>
      </vt:variant>
      <vt:variant>
        <vt:i4>93</vt:i4>
      </vt:variant>
      <vt:variant>
        <vt:i4>0</vt:i4>
      </vt:variant>
      <vt:variant>
        <vt:i4>5</vt:i4>
      </vt:variant>
      <vt:variant>
        <vt:lpwstr>https://docs.fcc.gov/public/attachments/DA-19-77A1.pdf</vt:lpwstr>
      </vt:variant>
      <vt:variant>
        <vt:lpwstr/>
      </vt:variant>
      <vt:variant>
        <vt:i4>1507421</vt:i4>
      </vt:variant>
      <vt:variant>
        <vt:i4>90</vt:i4>
      </vt:variant>
      <vt:variant>
        <vt:i4>0</vt:i4>
      </vt:variant>
      <vt:variant>
        <vt:i4>5</vt:i4>
      </vt:variant>
      <vt:variant>
        <vt:lpwstr>https://www.fcc.gov/document/relicensing-700-mhz-spectrum-unserved-areas</vt:lpwstr>
      </vt:variant>
      <vt:variant>
        <vt:lpwstr/>
      </vt:variant>
      <vt:variant>
        <vt:i4>5505035</vt:i4>
      </vt:variant>
      <vt:variant>
        <vt:i4>87</vt:i4>
      </vt:variant>
      <vt:variant>
        <vt:i4>0</vt:i4>
      </vt:variant>
      <vt:variant>
        <vt:i4>5</vt:i4>
      </vt:variant>
      <vt:variant>
        <vt:lpwstr>https://hal.science/hal-01892202/document</vt:lpwstr>
      </vt:variant>
      <vt:variant>
        <vt:lpwstr/>
      </vt:variant>
      <vt:variant>
        <vt:i4>5505035</vt:i4>
      </vt:variant>
      <vt:variant>
        <vt:i4>84</vt:i4>
      </vt:variant>
      <vt:variant>
        <vt:i4>0</vt:i4>
      </vt:variant>
      <vt:variant>
        <vt:i4>5</vt:i4>
      </vt:variant>
      <vt:variant>
        <vt:lpwstr>https://hal.science/hal-01892202/document</vt:lpwstr>
      </vt:variant>
      <vt:variant>
        <vt:lpwstr/>
      </vt:variant>
      <vt:variant>
        <vt:i4>5111908</vt:i4>
      </vt:variant>
      <vt:variant>
        <vt:i4>81</vt:i4>
      </vt:variant>
      <vt:variant>
        <vt:i4>0</vt:i4>
      </vt:variant>
      <vt:variant>
        <vt:i4>5</vt:i4>
      </vt:variant>
      <vt:variant>
        <vt:lpwstr>https://ised-isde.canada.ca/site/spectrum-management-telecommunications/sites/default/files/attachments/2022/Licensing_Framework_MBS_700_MHz_Band.pdf</vt:lpwstr>
      </vt:variant>
      <vt:variant>
        <vt:lpwstr/>
      </vt:variant>
      <vt:variant>
        <vt:i4>458829</vt:i4>
      </vt:variant>
      <vt:variant>
        <vt:i4>78</vt:i4>
      </vt:variant>
      <vt:variant>
        <vt:i4>0</vt:i4>
      </vt:variant>
      <vt:variant>
        <vt:i4>5</vt:i4>
      </vt:variant>
      <vt:variant>
        <vt:lpwstr>https://ised-isde.canada.ca/site/spectrum-management-telecommunications/sites/default/files/attachments/2022/700MHz-e.pdf</vt:lpwstr>
      </vt:variant>
      <vt:variant>
        <vt:lpwstr/>
      </vt:variant>
      <vt:variant>
        <vt:i4>3407972</vt:i4>
      </vt:variant>
      <vt:variant>
        <vt:i4>75</vt:i4>
      </vt:variant>
      <vt:variant>
        <vt:i4>0</vt:i4>
      </vt:variant>
      <vt:variant>
        <vt:i4>5</vt:i4>
      </vt:variant>
      <vt:variant>
        <vt:lpwstr>https://www.rsm.govt.nz/projects-and-auctions/auctions/completed-spectrum-auctions-1996-present/auction-12/</vt:lpwstr>
      </vt:variant>
      <vt:variant>
        <vt:lpwstr/>
      </vt:variant>
      <vt:variant>
        <vt:i4>6422654</vt:i4>
      </vt:variant>
      <vt:variant>
        <vt:i4>72</vt:i4>
      </vt:variant>
      <vt:variant>
        <vt:i4>0</vt:i4>
      </vt:variant>
      <vt:variant>
        <vt:i4>5</vt:i4>
      </vt:variant>
      <vt:variant>
        <vt:lpwstr>https://www.infrastructure.gov.au/sites/default/files/documents/better-delivery-of-universal-services-discussion-paper.pdf</vt:lpwstr>
      </vt:variant>
      <vt:variant>
        <vt:lpwstr/>
      </vt:variant>
      <vt:variant>
        <vt:i4>1179750</vt:i4>
      </vt:variant>
      <vt:variant>
        <vt:i4>69</vt:i4>
      </vt:variant>
      <vt:variant>
        <vt:i4>0</vt:i4>
      </vt:variant>
      <vt:variant>
        <vt:i4>5</vt:i4>
      </vt:variant>
      <vt:variant>
        <vt:lpwstr>https://www.aph.gov.au/Parliamentary_Business/Committees/House/Communications/Mobileco-investment/Submissions</vt:lpwstr>
      </vt:variant>
      <vt:variant>
        <vt:lpwstr/>
      </vt:variant>
      <vt:variant>
        <vt:i4>1703939</vt:i4>
      </vt:variant>
      <vt:variant>
        <vt:i4>66</vt:i4>
      </vt:variant>
      <vt:variant>
        <vt:i4>0</vt:i4>
      </vt:variant>
      <vt:variant>
        <vt:i4>5</vt:i4>
      </vt:variant>
      <vt:variant>
        <vt:lpwstr>https://www.closingthegap.gov.au/sites/default/files/2022-09/ctg-national-agreement_apr-21-comm-infra-targets-updated-24-august-2022_0.pdf</vt:lpwstr>
      </vt:variant>
      <vt:variant>
        <vt:lpwstr/>
      </vt:variant>
      <vt:variant>
        <vt:i4>6881339</vt:i4>
      </vt:variant>
      <vt:variant>
        <vt:i4>63</vt:i4>
      </vt:variant>
      <vt:variant>
        <vt:i4>0</vt:i4>
      </vt:variant>
      <vt:variant>
        <vt:i4>5</vt:i4>
      </vt:variant>
      <vt:variant>
        <vt:lpwstr>https://www.coalitionofpeaks.org.au/national-agreement-on-closing-the-gap</vt:lpwstr>
      </vt:variant>
      <vt:variant>
        <vt:lpwstr>:~:text=Aboriginal%20and%20Torres%20Strait%20Islander%20people%20from%20across%20the%20country,Torres%20Strait%20Islander%20peoples'%20priorities.</vt:lpwstr>
      </vt:variant>
      <vt:variant>
        <vt:i4>1835074</vt:i4>
      </vt:variant>
      <vt:variant>
        <vt:i4>60</vt:i4>
      </vt:variant>
      <vt:variant>
        <vt:i4>0</vt:i4>
      </vt:variant>
      <vt:variant>
        <vt:i4>5</vt:i4>
      </vt:variant>
      <vt:variant>
        <vt:lpwstr>https://www.digitalinclusion.gov.au/publications</vt:lpwstr>
      </vt:variant>
      <vt:variant>
        <vt:lpwstr/>
      </vt:variant>
      <vt:variant>
        <vt:i4>7864378</vt:i4>
      </vt:variant>
      <vt:variant>
        <vt:i4>57</vt:i4>
      </vt:variant>
      <vt:variant>
        <vt:i4>0</vt:i4>
      </vt:variant>
      <vt:variant>
        <vt:i4>5</vt:i4>
      </vt:variant>
      <vt:variant>
        <vt:lpwstr>https://www.admscentre.org.au/mapping-the-digital-gap/</vt:lpwstr>
      </vt:variant>
      <vt:variant>
        <vt:lpwstr/>
      </vt:variant>
      <vt:variant>
        <vt:i4>6291511</vt:i4>
      </vt:variant>
      <vt:variant>
        <vt:i4>54</vt:i4>
      </vt:variant>
      <vt:variant>
        <vt:i4>0</vt:i4>
      </vt:variant>
      <vt:variant>
        <vt:i4>5</vt:i4>
      </vt:variant>
      <vt:variant>
        <vt:lpwstr>https://www.accc.gov.au/inquiries-and-consultations/regional-mobile-infrastructure-inquiry-2022-23/final-report</vt:lpwstr>
      </vt:variant>
      <vt:variant>
        <vt:lpwstr/>
      </vt:variant>
      <vt:variant>
        <vt:i4>1638406</vt:i4>
      </vt:variant>
      <vt:variant>
        <vt:i4>51</vt:i4>
      </vt:variant>
      <vt:variant>
        <vt:i4>0</vt:i4>
      </vt:variant>
      <vt:variant>
        <vt:i4>5</vt:i4>
      </vt:variant>
      <vt:variant>
        <vt:lpwstr>https://www.accc.gov.au/by-industry/telecommunications-and-internet/mobile-services-regulation/mobile-infrastructure-report/mobile-infrastructure-report-2022</vt:lpwstr>
      </vt:variant>
      <vt:variant>
        <vt:lpwstr/>
      </vt:variant>
      <vt:variant>
        <vt:i4>114</vt:i4>
      </vt:variant>
      <vt:variant>
        <vt:i4>48</vt:i4>
      </vt:variant>
      <vt:variant>
        <vt:i4>0</vt:i4>
      </vt:variant>
      <vt:variant>
        <vt:i4>5</vt:i4>
      </vt:variant>
      <vt:variant>
        <vt:lpwstr>https://www.aph.gov.au/Parliamentary_Business/Committees/House/Communications/Mobileco-investment/Report</vt:lpwstr>
      </vt:variant>
      <vt:variant>
        <vt:lpwstr/>
      </vt:variant>
      <vt:variant>
        <vt:i4>5963840</vt:i4>
      </vt:variant>
      <vt:variant>
        <vt:i4>45</vt:i4>
      </vt:variant>
      <vt:variant>
        <vt:i4>0</vt:i4>
      </vt:variant>
      <vt:variant>
        <vt:i4>5</vt:i4>
      </vt:variant>
      <vt:variant>
        <vt:lpwstr>https://www.acma.gov.au/consultations/2021-10/radio-local-area-networks-rlans-6-ghz-band-consultation-372021</vt:lpwstr>
      </vt:variant>
      <vt:variant>
        <vt:lpwstr/>
      </vt:variant>
      <vt:variant>
        <vt:i4>1835094</vt:i4>
      </vt:variant>
      <vt:variant>
        <vt:i4>42</vt:i4>
      </vt:variant>
      <vt:variant>
        <vt:i4>0</vt:i4>
      </vt:variant>
      <vt:variant>
        <vt:i4>5</vt:i4>
      </vt:variant>
      <vt:variant>
        <vt:lpwstr>https://www.infrastructure.gov.au/department/media/publications/agri-tech-expert-working-group-report</vt:lpwstr>
      </vt:variant>
      <vt:variant>
        <vt:lpwstr/>
      </vt:variant>
      <vt:variant>
        <vt:i4>1179750</vt:i4>
      </vt:variant>
      <vt:variant>
        <vt:i4>39</vt:i4>
      </vt:variant>
      <vt:variant>
        <vt:i4>0</vt:i4>
      </vt:variant>
      <vt:variant>
        <vt:i4>5</vt:i4>
      </vt:variant>
      <vt:variant>
        <vt:lpwstr>https://www.aph.gov.au/Parliamentary_Business/Committees/House/Communications/Mobileco-investment/Submissions</vt:lpwstr>
      </vt:variant>
      <vt:variant>
        <vt:lpwstr/>
      </vt:variant>
      <vt:variant>
        <vt:i4>5505096</vt:i4>
      </vt:variant>
      <vt:variant>
        <vt:i4>36</vt:i4>
      </vt:variant>
      <vt:variant>
        <vt:i4>0</vt:i4>
      </vt:variant>
      <vt:variant>
        <vt:i4>5</vt:i4>
      </vt:variant>
      <vt:variant>
        <vt:lpwstr>https://www.rtirc.gov.au/</vt:lpwstr>
      </vt:variant>
      <vt:variant>
        <vt:lpwstr/>
      </vt:variant>
      <vt:variant>
        <vt:i4>2424944</vt:i4>
      </vt:variant>
      <vt:variant>
        <vt:i4>33</vt:i4>
      </vt:variant>
      <vt:variant>
        <vt:i4>0</vt:i4>
      </vt:variant>
      <vt:variant>
        <vt:i4>5</vt:i4>
      </vt:variant>
      <vt:variant>
        <vt:lpwstr>https://www.ventureinsights.com.au/product/report-state-of-the-australian-telecommunications-industry/</vt:lpwstr>
      </vt:variant>
      <vt:variant>
        <vt:lpwstr/>
      </vt:variant>
      <vt:variant>
        <vt:i4>65602</vt:i4>
      </vt:variant>
      <vt:variant>
        <vt:i4>30</vt:i4>
      </vt:variant>
      <vt:variant>
        <vt:i4>0</vt:i4>
      </vt:variant>
      <vt:variant>
        <vt:i4>5</vt:i4>
      </vt:variant>
      <vt:variant>
        <vt:lpwstr>https://ministers.treasury.gov.au/ministers/jim-chalmers-2022/media-releases/more-dynamic-and-competitive-economy</vt:lpwstr>
      </vt:variant>
      <vt:variant>
        <vt:lpwstr/>
      </vt:variant>
      <vt:variant>
        <vt:i4>8323110</vt:i4>
      </vt:variant>
      <vt:variant>
        <vt:i4>27</vt:i4>
      </vt:variant>
      <vt:variant>
        <vt:i4>0</vt:i4>
      </vt:variant>
      <vt:variant>
        <vt:i4>5</vt:i4>
      </vt:variant>
      <vt:variant>
        <vt:lpwstr>https://www.acma.gov.au/sites/default/files/2020-09/ACMA approach to introducing area-wide licences.pdf</vt:lpwstr>
      </vt:variant>
      <vt:variant>
        <vt:lpwstr/>
      </vt:variant>
      <vt:variant>
        <vt:i4>5308429</vt:i4>
      </vt:variant>
      <vt:variant>
        <vt:i4>24</vt:i4>
      </vt:variant>
      <vt:variant>
        <vt:i4>0</vt:i4>
      </vt:variant>
      <vt:variant>
        <vt:i4>5</vt:i4>
      </vt:variant>
      <vt:variant>
        <vt:lpwstr>https://www.acma.gov.au/publications/2023-09/report/market-study-private-wireless-networks-using-4g-or-5g</vt:lpwstr>
      </vt:variant>
      <vt:variant>
        <vt:lpwstr/>
      </vt:variant>
      <vt:variant>
        <vt:i4>1179750</vt:i4>
      </vt:variant>
      <vt:variant>
        <vt:i4>21</vt:i4>
      </vt:variant>
      <vt:variant>
        <vt:i4>0</vt:i4>
      </vt:variant>
      <vt:variant>
        <vt:i4>5</vt:i4>
      </vt:variant>
      <vt:variant>
        <vt:lpwstr>https://www.aph.gov.au/Parliamentary_Business/Committees/House/Communications/Mobileco-investment/Submissions</vt:lpwstr>
      </vt:variant>
      <vt:variant>
        <vt:lpwstr/>
      </vt:variant>
      <vt:variant>
        <vt:i4>3473509</vt:i4>
      </vt:variant>
      <vt:variant>
        <vt:i4>17</vt:i4>
      </vt:variant>
      <vt:variant>
        <vt:i4>0</vt:i4>
      </vt:variant>
      <vt:variant>
        <vt:i4>5</vt:i4>
      </vt:variant>
      <vt:variant>
        <vt:lpwstr>http://www.uic.org/</vt:lpwstr>
      </vt:variant>
      <vt:variant>
        <vt:lpwstr/>
      </vt:variant>
      <vt:variant>
        <vt:i4>3473509</vt:i4>
      </vt:variant>
      <vt:variant>
        <vt:i4>15</vt:i4>
      </vt:variant>
      <vt:variant>
        <vt:i4>0</vt:i4>
      </vt:variant>
      <vt:variant>
        <vt:i4>5</vt:i4>
      </vt:variant>
      <vt:variant>
        <vt:lpwstr>http://www.uic.org/</vt:lpwstr>
      </vt:variant>
      <vt:variant>
        <vt:lpwstr/>
      </vt:variant>
      <vt:variant>
        <vt:i4>2621472</vt:i4>
      </vt:variant>
      <vt:variant>
        <vt:i4>12</vt:i4>
      </vt:variant>
      <vt:variant>
        <vt:i4>0</vt:i4>
      </vt:variant>
      <vt:variant>
        <vt:i4>5</vt:i4>
      </vt:variant>
      <vt:variant>
        <vt:lpwstr>https://gsacom.com/gambod/</vt:lpwstr>
      </vt:variant>
      <vt:variant>
        <vt:lpwstr/>
      </vt:variant>
      <vt:variant>
        <vt:i4>721008</vt:i4>
      </vt:variant>
      <vt:variant>
        <vt:i4>9</vt:i4>
      </vt:variant>
      <vt:variant>
        <vt:i4>0</vt:i4>
      </vt:variant>
      <vt:variant>
        <vt:i4>5</vt:i4>
      </vt:variant>
      <vt:variant>
        <vt:lpwstr>https://extranet.itu.int/brdocsearch/R-REC/Forms/folders_inforce.aspx</vt:lpwstr>
      </vt:variant>
      <vt:variant>
        <vt:lpwstr/>
      </vt:variant>
      <vt:variant>
        <vt:i4>1966150</vt:i4>
      </vt:variant>
      <vt:variant>
        <vt:i4>6</vt:i4>
      </vt:variant>
      <vt:variant>
        <vt:i4>0</vt:i4>
      </vt:variant>
      <vt:variant>
        <vt:i4>5</vt:i4>
      </vt:variant>
      <vt:variant>
        <vt:lpwstr>https://www.itu.int/pub/R-REG-RR</vt:lpwstr>
      </vt:variant>
      <vt:variant>
        <vt:lpwstr/>
      </vt:variant>
      <vt:variant>
        <vt:i4>5832793</vt:i4>
      </vt:variant>
      <vt:variant>
        <vt:i4>3</vt:i4>
      </vt:variant>
      <vt:variant>
        <vt:i4>0</vt:i4>
      </vt:variant>
      <vt:variant>
        <vt:i4>5</vt:i4>
      </vt:variant>
      <vt:variant>
        <vt:lpwstr>https://data.gov.au/dataset/ds-dga-4b472a18-d0fa-409c-994a-ab17162bcb90/distribution/dist-dga-08a78c48-8b7f-42a4-8b4d-50b2dd31abba/details?q=ACCC</vt:lpwstr>
      </vt:variant>
      <vt:variant>
        <vt:lpwstr/>
      </vt:variant>
      <vt:variant>
        <vt:i4>1638403</vt:i4>
      </vt:variant>
      <vt:variant>
        <vt:i4>0</vt:i4>
      </vt:variant>
      <vt:variant>
        <vt:i4>0</vt:i4>
      </vt:variant>
      <vt:variant>
        <vt:i4>5</vt:i4>
      </vt:variant>
      <vt:variant>
        <vt:lpwstr>https://www.acma.gov.au/sites/default/files/2023-12/Correspondence from Minister Rowland to the ACMA Chair - MS23-004424.pdf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2024-03-19T05:07:00Z</dcterms:created>
  <dcterms:modified xsi:type="dcterms:W3CDTF">2024-03-19T05:07:00Z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0x010100FCAD1D0E4DF5D74695DA08719C213550</vt:lpwstr>
  </property>
</Properties>
</file>