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A5F65" w14:textId="0B7CB2C5" w:rsidR="004A13A7" w:rsidRPr="00A51D1A" w:rsidRDefault="007509FB" w:rsidP="004A13A7">
      <w:pPr>
        <w:pStyle w:val="ACMAReportTitle"/>
      </w:pPr>
      <w:bookmarkStart w:id="0" w:name="_Toc6298709"/>
      <w:r>
        <w:t>C</w:t>
      </w:r>
      <w:r w:rsidR="00165C8B">
        <w:t xml:space="preserve">oordination </w:t>
      </w:r>
      <w:r>
        <w:t xml:space="preserve">between earth station transmitters in the fixed-satellite service and other services in the 25.5-30 GHz band </w:t>
      </w:r>
    </w:p>
    <w:p w14:paraId="017A85C1" w14:textId="46584506" w:rsidR="004A13A7" w:rsidRDefault="004A13A7" w:rsidP="004A13A7">
      <w:pPr>
        <w:pStyle w:val="ACMAReportSubTitle"/>
      </w:pPr>
    </w:p>
    <w:p w14:paraId="5469EB58" w14:textId="77777777" w:rsidR="004A13A7" w:rsidRPr="00063A18" w:rsidRDefault="004A13A7" w:rsidP="004A13A7">
      <w:pPr>
        <w:pStyle w:val="ACMAInstructions"/>
      </w:pPr>
      <w:r w:rsidRPr="00063A18">
        <w:t xml:space="preserve">Radiocommunications </w:t>
      </w:r>
      <w:r>
        <w:t>A</w:t>
      </w:r>
      <w:r w:rsidRPr="00063A18">
        <w:t xml:space="preserve">ssignment and </w:t>
      </w:r>
      <w:r>
        <w:t>L</w:t>
      </w:r>
      <w:r w:rsidRPr="00063A18">
        <w:t xml:space="preserve">icensing </w:t>
      </w:r>
      <w:r>
        <w:t>I</w:t>
      </w:r>
      <w:r w:rsidRPr="00063A18">
        <w:t>nstruction</w:t>
      </w:r>
    </w:p>
    <w:p w14:paraId="7E766B94" w14:textId="5AB8C605" w:rsidR="004A13A7" w:rsidRPr="00C87159" w:rsidRDefault="004A13A7" w:rsidP="004A13A7">
      <w:pPr>
        <w:pStyle w:val="ACMAReportDate"/>
        <w:rPr>
          <w:b/>
        </w:rPr>
      </w:pPr>
      <w:r w:rsidRPr="00C87159">
        <w:rPr>
          <w:b/>
        </w:rPr>
        <w:t xml:space="preserve">rali: MS </w:t>
      </w:r>
      <w:r w:rsidR="007509FB">
        <w:rPr>
          <w:b/>
        </w:rPr>
        <w:t>38</w:t>
      </w:r>
    </w:p>
    <w:p w14:paraId="200A058D" w14:textId="355E72E6" w:rsidR="004A13A7" w:rsidRPr="00C87159" w:rsidRDefault="004A13A7" w:rsidP="008F7E36">
      <w:pPr>
        <w:pStyle w:val="ACMAReportDate"/>
        <w:widowControl w:val="0"/>
        <w:rPr>
          <w:b/>
        </w:rPr>
      </w:pPr>
      <w:r w:rsidRPr="00C87159">
        <w:rPr>
          <w:b/>
        </w:rPr>
        <w:t xml:space="preserve">date of effect: </w:t>
      </w:r>
      <w:r w:rsidR="007669ED" w:rsidRPr="00864972">
        <w:rPr>
          <w:b/>
          <w:highlight w:val="yellow"/>
        </w:rPr>
        <w:t>xx xxxx</w:t>
      </w:r>
      <w:r w:rsidR="00C642D0" w:rsidRPr="00864972">
        <w:rPr>
          <w:b/>
          <w:highlight w:val="yellow"/>
        </w:rPr>
        <w:t xml:space="preserve"> </w:t>
      </w:r>
      <w:r w:rsidR="00AC3E00">
        <w:rPr>
          <w:b/>
        </w:rPr>
        <w:t xml:space="preserve"> 20</w:t>
      </w:r>
      <w:r w:rsidR="007669ED">
        <w:rPr>
          <w:b/>
        </w:rPr>
        <w:t>20</w:t>
      </w:r>
    </w:p>
    <w:p w14:paraId="5BA2251D" w14:textId="132A297C" w:rsidR="0040306E" w:rsidRDefault="008D6BD1" w:rsidP="0040306E">
      <w:pPr>
        <w:spacing w:after="0" w:line="240" w:lineRule="auto"/>
      </w:pPr>
      <w:r>
        <w:br w:type="page"/>
      </w:r>
    </w:p>
    <w:p w14:paraId="2121EB81" w14:textId="77777777" w:rsidR="00822B3D" w:rsidRDefault="00822B3D" w:rsidP="00BA5A9D">
      <w:pPr>
        <w:pStyle w:val="Heading1"/>
        <w:rPr>
          <w:szCs w:val="44"/>
        </w:rPr>
        <w:sectPr w:rsidR="00822B3D" w:rsidSect="00A07457">
          <w:footerReference w:type="default" r:id="rId8"/>
          <w:headerReference w:type="first" r:id="rId9"/>
          <w:type w:val="oddPage"/>
          <w:pgSz w:w="11906" w:h="16838"/>
          <w:pgMar w:top="3251" w:right="1440" w:bottom="1440" w:left="1440" w:header="708" w:footer="708" w:gutter="0"/>
          <w:pgNumType w:fmt="lowerRoman" w:start="1"/>
          <w:cols w:space="708"/>
          <w:titlePg/>
          <w:docGrid w:linePitch="360"/>
        </w:sectPr>
      </w:pPr>
    </w:p>
    <w:p w14:paraId="4918E06B" w14:textId="1B9E40A0" w:rsidR="004A13A7" w:rsidRPr="00420CAF" w:rsidRDefault="004A13A7" w:rsidP="00420CAF">
      <w:pPr>
        <w:rPr>
          <w:sz w:val="32"/>
        </w:rPr>
      </w:pPr>
      <w:r w:rsidRPr="00420CAF">
        <w:rPr>
          <w:sz w:val="32"/>
          <w:szCs w:val="32"/>
        </w:rPr>
        <w:lastRenderedPageBreak/>
        <w:t>Amendment history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6350"/>
      </w:tblGrid>
      <w:tr w:rsidR="004A13A7" w:rsidRPr="002E390A" w14:paraId="313436DD" w14:textId="77777777" w:rsidTr="00ED6017">
        <w:trPr>
          <w:cantSplit/>
          <w:tblHeader/>
        </w:trPr>
        <w:tc>
          <w:tcPr>
            <w:tcW w:w="2263" w:type="dxa"/>
            <w:shd w:val="clear" w:color="auto" w:fill="D9D9D9"/>
          </w:tcPr>
          <w:p w14:paraId="5A66385E" w14:textId="77777777" w:rsidR="004A13A7" w:rsidRPr="00AF06C8" w:rsidRDefault="004A13A7" w:rsidP="002A32DD">
            <w:pPr>
              <w:pStyle w:val="TableHeading"/>
              <w:spacing w:line="240" w:lineRule="auto"/>
              <w:rPr>
                <w:rFonts w:eastAsiaTheme="minorHAnsi"/>
                <w:szCs w:val="22"/>
              </w:rPr>
            </w:pPr>
            <w:r w:rsidRPr="00AF06C8">
              <w:rPr>
                <w:rFonts w:eastAsiaTheme="minorHAnsi"/>
                <w:szCs w:val="22"/>
              </w:rPr>
              <w:t>Date</w:t>
            </w:r>
          </w:p>
        </w:tc>
        <w:tc>
          <w:tcPr>
            <w:tcW w:w="6350" w:type="dxa"/>
            <w:shd w:val="clear" w:color="auto" w:fill="D9D9D9"/>
          </w:tcPr>
          <w:p w14:paraId="1E8D63A3" w14:textId="77777777" w:rsidR="004A13A7" w:rsidRPr="00AF06C8" w:rsidRDefault="004A13A7" w:rsidP="002A32DD">
            <w:pPr>
              <w:pStyle w:val="TableHeading"/>
              <w:spacing w:line="240" w:lineRule="auto"/>
              <w:rPr>
                <w:rFonts w:eastAsiaTheme="minorHAnsi"/>
                <w:szCs w:val="22"/>
              </w:rPr>
            </w:pPr>
            <w:r w:rsidRPr="00AF06C8">
              <w:rPr>
                <w:rFonts w:eastAsiaTheme="minorHAnsi"/>
                <w:szCs w:val="22"/>
              </w:rPr>
              <w:t>Comments</w:t>
            </w:r>
          </w:p>
        </w:tc>
      </w:tr>
      <w:tr w:rsidR="00ED6017" w:rsidRPr="002E390A" w14:paraId="2D994E69" w14:textId="77777777" w:rsidTr="00ED6017">
        <w:tc>
          <w:tcPr>
            <w:tcW w:w="2263" w:type="dxa"/>
          </w:tcPr>
          <w:p w14:paraId="3B297D2C" w14:textId="775D3817" w:rsidR="00ED6017" w:rsidRPr="00AF06C8" w:rsidRDefault="00ED6017" w:rsidP="00ED6017">
            <w:pPr>
              <w:pStyle w:val="TableBody"/>
              <w:rPr>
                <w:rFonts w:eastAsiaTheme="minorHAnsi"/>
                <w:szCs w:val="22"/>
              </w:rPr>
            </w:pPr>
            <w:r>
              <w:rPr>
                <w:rFonts w:eastAsiaTheme="minorHAnsi"/>
              </w:rPr>
              <w:t>24 June 2014</w:t>
            </w:r>
          </w:p>
        </w:tc>
        <w:tc>
          <w:tcPr>
            <w:tcW w:w="6350" w:type="dxa"/>
          </w:tcPr>
          <w:p w14:paraId="41B3E65D" w14:textId="300CEA40" w:rsidR="00ED6017" w:rsidRPr="00AF06C8" w:rsidRDefault="00ED6017" w:rsidP="00ED6017">
            <w:pPr>
              <w:pStyle w:val="TableBody"/>
              <w:rPr>
                <w:rFonts w:eastAsiaTheme="minorHAnsi"/>
                <w:szCs w:val="22"/>
              </w:rPr>
            </w:pPr>
            <w:r>
              <w:rPr>
                <w:rFonts w:eastAsiaTheme="minorHAnsi"/>
              </w:rPr>
              <w:t>First release of RALI</w:t>
            </w:r>
          </w:p>
        </w:tc>
      </w:tr>
      <w:tr w:rsidR="00ED6017" w:rsidRPr="002E390A" w14:paraId="29D668F0" w14:textId="77777777" w:rsidTr="00ED6017">
        <w:tc>
          <w:tcPr>
            <w:tcW w:w="2263" w:type="dxa"/>
          </w:tcPr>
          <w:p w14:paraId="6D61D6B4" w14:textId="1FBDACB6" w:rsidR="00ED6017" w:rsidRPr="00AF06C8" w:rsidRDefault="00ED6017" w:rsidP="00ED6017">
            <w:pPr>
              <w:pStyle w:val="TableBody"/>
              <w:rPr>
                <w:rFonts w:eastAsiaTheme="minorHAnsi"/>
                <w:szCs w:val="22"/>
              </w:rPr>
            </w:pPr>
            <w:r>
              <w:rPr>
                <w:rFonts w:eastAsiaTheme="minorHAnsi"/>
              </w:rPr>
              <w:t>18 December 2015</w:t>
            </w:r>
          </w:p>
        </w:tc>
        <w:tc>
          <w:tcPr>
            <w:tcW w:w="6350" w:type="dxa"/>
          </w:tcPr>
          <w:p w14:paraId="5D7698F2" w14:textId="31C04049" w:rsidR="00ED6017" w:rsidRPr="00AF06C8" w:rsidRDefault="00ED6017" w:rsidP="00ED6017">
            <w:pPr>
              <w:pStyle w:val="TableBody"/>
              <w:rPr>
                <w:rFonts w:eastAsiaTheme="minorHAnsi"/>
                <w:szCs w:val="22"/>
              </w:rPr>
            </w:pPr>
            <w:r>
              <w:rPr>
                <w:rFonts w:eastAsiaTheme="minorHAnsi"/>
              </w:rPr>
              <w:t>Increase applicable frequency range to include 26.5-27.5 GHz, include coordination between FSS Earth stations, EESS and SRS below 27.0 GHz, change RALI title, update formatting.</w:t>
            </w:r>
          </w:p>
        </w:tc>
      </w:tr>
      <w:tr w:rsidR="00ED6017" w:rsidRPr="002E390A" w14:paraId="66AB4E3B" w14:textId="77777777" w:rsidTr="00ED6017">
        <w:tc>
          <w:tcPr>
            <w:tcW w:w="2263" w:type="dxa"/>
          </w:tcPr>
          <w:p w14:paraId="4CC55134" w14:textId="376EFF92" w:rsidR="00ED6017" w:rsidRDefault="00ED6017" w:rsidP="00ED6017">
            <w:pPr>
              <w:pStyle w:val="TableBody"/>
              <w:rPr>
                <w:rFonts w:eastAsiaTheme="minorHAnsi"/>
                <w:szCs w:val="22"/>
              </w:rPr>
            </w:pPr>
            <w:r>
              <w:rPr>
                <w:rFonts w:eastAsiaTheme="minorHAnsi"/>
              </w:rPr>
              <w:t>December 2018</w:t>
            </w:r>
          </w:p>
        </w:tc>
        <w:tc>
          <w:tcPr>
            <w:tcW w:w="6350" w:type="dxa"/>
          </w:tcPr>
          <w:p w14:paraId="48C91EB1" w14:textId="384F4FB8" w:rsidR="00ED6017" w:rsidRDefault="00ED6017" w:rsidP="00ED6017">
            <w:pPr>
              <w:pStyle w:val="TableBody"/>
              <w:rPr>
                <w:rFonts w:eastAsiaTheme="minorHAnsi"/>
                <w:szCs w:val="22"/>
              </w:rPr>
            </w:pPr>
            <w:r>
              <w:rPr>
                <w:rFonts w:eastAsiaTheme="minorHAnsi"/>
              </w:rPr>
              <w:t xml:space="preserve">Draft for consultation including updates to coordination zone and protection requirements for SRS; Inclusion of coordination information for Tidbinbilla; and, </w:t>
            </w:r>
            <w:r w:rsidRPr="002B2CE6">
              <w:rPr>
                <w:rFonts w:eastAsiaTheme="minorHAnsi"/>
              </w:rPr>
              <w:t>to remove coordination requirements for body scanners</w:t>
            </w:r>
            <w:r>
              <w:rPr>
                <w:rFonts w:eastAsiaTheme="minorHAnsi"/>
              </w:rPr>
              <w:t>.</w:t>
            </w:r>
          </w:p>
        </w:tc>
      </w:tr>
      <w:tr w:rsidR="00ED6017" w:rsidRPr="002E390A" w14:paraId="0D0A8E3B" w14:textId="77777777" w:rsidTr="00ED6017">
        <w:tc>
          <w:tcPr>
            <w:tcW w:w="2263" w:type="dxa"/>
          </w:tcPr>
          <w:p w14:paraId="0A2F9035" w14:textId="26FF3B14" w:rsidR="00ED6017" w:rsidRDefault="00B243EB" w:rsidP="00ED6017">
            <w:pPr>
              <w:pStyle w:val="TableBody"/>
              <w:rPr>
                <w:rFonts w:eastAsiaTheme="minorHAnsi"/>
                <w:szCs w:val="22"/>
              </w:rPr>
            </w:pPr>
            <w:r>
              <w:rPr>
                <w:rFonts w:eastAsiaTheme="minorHAnsi"/>
              </w:rPr>
              <w:t>6</w:t>
            </w:r>
            <w:r w:rsidR="0032332E">
              <w:rPr>
                <w:rFonts w:eastAsiaTheme="minorHAnsi"/>
              </w:rPr>
              <w:t xml:space="preserve"> </w:t>
            </w:r>
            <w:r w:rsidR="00C642D0">
              <w:rPr>
                <w:rFonts w:eastAsiaTheme="minorHAnsi"/>
              </w:rPr>
              <w:t xml:space="preserve">September </w:t>
            </w:r>
            <w:r w:rsidR="00ED6017">
              <w:rPr>
                <w:rFonts w:eastAsiaTheme="minorHAnsi"/>
              </w:rPr>
              <w:t>2019</w:t>
            </w:r>
          </w:p>
        </w:tc>
        <w:tc>
          <w:tcPr>
            <w:tcW w:w="6350" w:type="dxa"/>
          </w:tcPr>
          <w:p w14:paraId="5DBBE9F0" w14:textId="2A573233" w:rsidR="00ED6017" w:rsidRDefault="00ED6017" w:rsidP="00ED6017">
            <w:pPr>
              <w:pStyle w:val="TableBody"/>
              <w:rPr>
                <w:rFonts w:eastAsiaTheme="minorHAnsi"/>
                <w:szCs w:val="22"/>
              </w:rPr>
            </w:pPr>
            <w:r>
              <w:rPr>
                <w:rFonts w:eastAsiaTheme="minorHAnsi"/>
              </w:rPr>
              <w:t>Update finalised</w:t>
            </w:r>
          </w:p>
        </w:tc>
      </w:tr>
      <w:tr w:rsidR="00F671FD" w:rsidRPr="002E390A" w14:paraId="6C055B37" w14:textId="77777777" w:rsidTr="00ED6017">
        <w:tc>
          <w:tcPr>
            <w:tcW w:w="2263" w:type="dxa"/>
          </w:tcPr>
          <w:p w14:paraId="1BAC48B0" w14:textId="7058E1AC" w:rsidR="00F671FD" w:rsidRDefault="005D0AE3" w:rsidP="00ED6017">
            <w:pPr>
              <w:pStyle w:val="TableBody"/>
              <w:rPr>
                <w:rFonts w:eastAsiaTheme="minorHAnsi"/>
              </w:rPr>
            </w:pPr>
            <w:r>
              <w:rPr>
                <w:rFonts w:eastAsiaTheme="minorHAnsi"/>
              </w:rPr>
              <w:t>19</w:t>
            </w:r>
            <w:r w:rsidR="00F671FD">
              <w:rPr>
                <w:rFonts w:eastAsiaTheme="minorHAnsi"/>
              </w:rPr>
              <w:t xml:space="preserve"> August 2020</w:t>
            </w:r>
          </w:p>
        </w:tc>
        <w:tc>
          <w:tcPr>
            <w:tcW w:w="6350" w:type="dxa"/>
          </w:tcPr>
          <w:p w14:paraId="3B6D5291" w14:textId="296A0D7F" w:rsidR="00F671FD" w:rsidRDefault="00F671FD" w:rsidP="00ED6017">
            <w:pPr>
              <w:pStyle w:val="TableBody"/>
              <w:rPr>
                <w:rFonts w:eastAsiaTheme="minorHAnsi"/>
              </w:rPr>
            </w:pPr>
            <w:r>
              <w:rPr>
                <w:rFonts w:eastAsiaTheme="minorHAnsi"/>
              </w:rPr>
              <w:t>Draft for consultation to detail requirement</w:t>
            </w:r>
            <w:r w:rsidR="00D234A1">
              <w:rPr>
                <w:rFonts w:eastAsiaTheme="minorHAnsi"/>
              </w:rPr>
              <w:t>s which are</w:t>
            </w:r>
            <w:r>
              <w:rPr>
                <w:rFonts w:eastAsiaTheme="minorHAnsi"/>
              </w:rPr>
              <w:t xml:space="preserve"> applicable to earth stations licensed under an area-wide apparatus licence in the range 27-29.5 GHz</w:t>
            </w:r>
            <w:r w:rsidR="00A046B8">
              <w:rPr>
                <w:rFonts w:eastAsiaTheme="minorHAnsi"/>
              </w:rPr>
              <w:t xml:space="preserve"> and to remove the special condition which limited the minimum elevation angle for earth stations in highly-populated areas.</w:t>
            </w:r>
          </w:p>
        </w:tc>
      </w:tr>
    </w:tbl>
    <w:p w14:paraId="564856BA" w14:textId="77777777" w:rsidR="004A13A7" w:rsidRDefault="004A13A7" w:rsidP="004A13A7">
      <w:pPr>
        <w:pStyle w:val="ACMASpaceaftertable"/>
      </w:pPr>
    </w:p>
    <w:p w14:paraId="3033FCBB" w14:textId="4C027F18" w:rsidR="004A13A7" w:rsidRPr="00AF06C8" w:rsidRDefault="004A13A7" w:rsidP="004A13A7">
      <w:pPr>
        <w:rPr>
          <w:szCs w:val="22"/>
        </w:rPr>
      </w:pPr>
      <w:r w:rsidRPr="00AF06C8">
        <w:rPr>
          <w:szCs w:val="22"/>
        </w:rPr>
        <w:t xml:space="preserve">Suggestions for improvements to Radiocommunications Assignment and Licensing </w:t>
      </w:r>
      <w:r w:rsidRPr="00053882">
        <w:rPr>
          <w:szCs w:val="22"/>
        </w:rPr>
        <w:t xml:space="preserve">Instruction MS </w:t>
      </w:r>
      <w:r w:rsidR="00ED6017">
        <w:rPr>
          <w:szCs w:val="22"/>
        </w:rPr>
        <w:t>38</w:t>
      </w:r>
      <w:r w:rsidRPr="00AF06C8">
        <w:rPr>
          <w:szCs w:val="22"/>
        </w:rPr>
        <w:t xml:space="preserve"> may be addressed to:</w:t>
      </w:r>
    </w:p>
    <w:p w14:paraId="55735FA2" w14:textId="1002CE6A" w:rsidR="004A13A7" w:rsidRPr="00AF06C8" w:rsidRDefault="004A13A7" w:rsidP="004A13A7">
      <w:pPr>
        <w:rPr>
          <w:szCs w:val="22"/>
        </w:rPr>
      </w:pPr>
      <w:r w:rsidRPr="00AF06C8">
        <w:rPr>
          <w:szCs w:val="22"/>
        </w:rPr>
        <w:t xml:space="preserve">The Manager, Spectrum </w:t>
      </w:r>
      <w:r w:rsidR="007D5AAB">
        <w:rPr>
          <w:szCs w:val="22"/>
        </w:rPr>
        <w:t>Planning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4628B18D" w14:textId="77777777" w:rsidR="004A13A7" w:rsidRPr="00AF06C8" w:rsidRDefault="004A13A7" w:rsidP="004A13A7">
      <w:pPr>
        <w:rPr>
          <w:rFonts w:cstheme="minorHAnsi"/>
          <w:szCs w:val="22"/>
        </w:rPr>
      </w:pPr>
      <w:r w:rsidRPr="00AF06C8">
        <w:rPr>
          <w:rFonts w:cstheme="minorHAnsi"/>
          <w:szCs w:val="22"/>
        </w:rPr>
        <w:t xml:space="preserve">or by email to: </w:t>
      </w:r>
      <w:hyperlink r:id="rId10" w:history="1">
        <w:r w:rsidRPr="00AF06C8">
          <w:rPr>
            <w:rStyle w:val="Hyperlink"/>
            <w:rFonts w:cstheme="minorHAnsi"/>
            <w:szCs w:val="22"/>
          </w:rPr>
          <w:t>freqplan@acma.gov.au</w:t>
        </w:r>
      </w:hyperlink>
      <w:r w:rsidRPr="00AF06C8">
        <w:rPr>
          <w:rFonts w:cstheme="minorHAnsi"/>
          <w:szCs w:val="22"/>
        </w:rPr>
        <w:t>.</w:t>
      </w:r>
    </w:p>
    <w:p w14:paraId="1A6BDF84" w14:textId="77777777" w:rsidR="00B95DA7" w:rsidRPr="00AF06C8" w:rsidRDefault="004A13A7" w:rsidP="004A13A7">
      <w:pPr>
        <w:rPr>
          <w:szCs w:val="22"/>
        </w:rPr>
      </w:pPr>
      <w:r w:rsidRPr="00AF06C8">
        <w:rPr>
          <w:szCs w:val="22"/>
        </w:rPr>
        <w:t xml:space="preserve">Please notify the ACMA of any inaccuracy or ambiguity found in this RALI, so that it can be </w:t>
      </w:r>
      <w:proofErr w:type="gramStart"/>
      <w:r w:rsidRPr="00AF06C8">
        <w:rPr>
          <w:szCs w:val="22"/>
        </w:rPr>
        <w:t>investigated</w:t>
      </w:r>
      <w:proofErr w:type="gramEnd"/>
      <w:r w:rsidRPr="00AF06C8">
        <w:rPr>
          <w:szCs w:val="22"/>
        </w:rPr>
        <w:t xml:space="preserve"> and appropriate action taken.</w:t>
      </w:r>
    </w:p>
    <w:p w14:paraId="1E1537DA" w14:textId="77777777" w:rsidR="00822B3D" w:rsidRDefault="00822B3D" w:rsidP="004A13A7">
      <w:pPr>
        <w:rPr>
          <w:b/>
          <w:sz w:val="52"/>
          <w:szCs w:val="52"/>
        </w:rPr>
        <w:sectPr w:rsidR="00822B3D" w:rsidSect="002141E9">
          <w:footerReference w:type="even" r:id="rId11"/>
          <w:type w:val="evenPage"/>
          <w:pgSz w:w="11906" w:h="16838"/>
          <w:pgMar w:top="1440" w:right="1440" w:bottom="1440" w:left="1440" w:header="708" w:footer="708" w:gutter="0"/>
          <w:pgNumType w:fmt="lowerRoman" w:start="1"/>
          <w:cols w:space="708"/>
          <w:docGrid w:linePitch="360"/>
        </w:sectPr>
      </w:pPr>
    </w:p>
    <w:sdt>
      <w:sdtPr>
        <w:rPr>
          <w:b w:val="0"/>
          <w:color w:val="auto"/>
          <w:spacing w:val="0"/>
          <w:sz w:val="24"/>
        </w:rPr>
        <w:id w:val="2122026567"/>
        <w:docPartObj>
          <w:docPartGallery w:val="Table of Contents"/>
          <w:docPartUnique/>
        </w:docPartObj>
      </w:sdtPr>
      <w:sdtEndPr>
        <w:rPr>
          <w:bCs/>
          <w:noProof/>
          <w:sz w:val="20"/>
          <w:szCs w:val="22"/>
        </w:rPr>
      </w:sdtEndPr>
      <w:sdtContent>
        <w:p w14:paraId="491F9999" w14:textId="00A2E1CA" w:rsidR="00097D72" w:rsidRDefault="00097D72">
          <w:pPr>
            <w:pStyle w:val="TOCHeading"/>
          </w:pPr>
          <w:r>
            <w:t>Contents</w:t>
          </w:r>
        </w:p>
        <w:p w14:paraId="1D4F5ECC" w14:textId="35D7D59F" w:rsidR="00813701" w:rsidRDefault="00097D72">
          <w:pPr>
            <w:pStyle w:val="TOC1"/>
            <w:tabs>
              <w:tab w:val="left" w:pos="885"/>
            </w:tabs>
            <w:rPr>
              <w:rFonts w:asciiTheme="minorHAnsi" w:eastAsiaTheme="minorEastAsia" w:hAnsiTheme="minorHAnsi" w:cstheme="minorBidi"/>
              <w:b w:val="0"/>
              <w:spacing w:val="0"/>
              <w:sz w:val="22"/>
              <w:szCs w:val="22"/>
            </w:rPr>
          </w:pPr>
          <w:r w:rsidRPr="00C8076C">
            <w:rPr>
              <w:sz w:val="24"/>
              <w:szCs w:val="22"/>
            </w:rPr>
            <w:fldChar w:fldCharType="begin"/>
          </w:r>
          <w:r w:rsidRPr="00C8076C">
            <w:rPr>
              <w:sz w:val="24"/>
              <w:szCs w:val="22"/>
            </w:rPr>
            <w:instrText xml:space="preserve"> TOC \o "1-3" \h \z \u </w:instrText>
          </w:r>
          <w:r w:rsidRPr="00C8076C">
            <w:rPr>
              <w:sz w:val="24"/>
              <w:szCs w:val="22"/>
            </w:rPr>
            <w:fldChar w:fldCharType="separate"/>
          </w:r>
          <w:hyperlink w:anchor="_Toc46492367" w:history="1">
            <w:r w:rsidR="00813701" w:rsidRPr="00F935F6">
              <w:rPr>
                <w:rStyle w:val="Hyperlink"/>
                <w14:scene3d>
                  <w14:camera w14:prst="orthographicFront"/>
                  <w14:lightRig w14:rig="threePt" w14:dir="t">
                    <w14:rot w14:lat="0" w14:lon="0" w14:rev="0"/>
                  </w14:lightRig>
                </w14:scene3d>
              </w:rPr>
              <w:t>1</w:t>
            </w:r>
            <w:r w:rsidR="00813701">
              <w:rPr>
                <w:rFonts w:asciiTheme="minorHAnsi" w:eastAsiaTheme="minorEastAsia" w:hAnsiTheme="minorHAnsi" w:cstheme="minorBidi"/>
                <w:b w:val="0"/>
                <w:spacing w:val="0"/>
                <w:sz w:val="22"/>
                <w:szCs w:val="22"/>
              </w:rPr>
              <w:tab/>
            </w:r>
            <w:r w:rsidR="00813701" w:rsidRPr="00F935F6">
              <w:rPr>
                <w:rStyle w:val="Hyperlink"/>
              </w:rPr>
              <w:t>Introduction</w:t>
            </w:r>
            <w:r w:rsidR="00813701">
              <w:rPr>
                <w:webHidden/>
              </w:rPr>
              <w:tab/>
            </w:r>
            <w:r w:rsidR="00813701">
              <w:rPr>
                <w:webHidden/>
              </w:rPr>
              <w:fldChar w:fldCharType="begin"/>
            </w:r>
            <w:r w:rsidR="00813701">
              <w:rPr>
                <w:webHidden/>
              </w:rPr>
              <w:instrText xml:space="preserve"> PAGEREF _Toc46492367 \h </w:instrText>
            </w:r>
            <w:r w:rsidR="00813701">
              <w:rPr>
                <w:webHidden/>
              </w:rPr>
            </w:r>
            <w:r w:rsidR="00813701">
              <w:rPr>
                <w:webHidden/>
              </w:rPr>
              <w:fldChar w:fldCharType="separate"/>
            </w:r>
            <w:r w:rsidR="001D5C27">
              <w:rPr>
                <w:webHidden/>
              </w:rPr>
              <w:t>1</w:t>
            </w:r>
            <w:r w:rsidR="00813701">
              <w:rPr>
                <w:webHidden/>
              </w:rPr>
              <w:fldChar w:fldCharType="end"/>
            </w:r>
          </w:hyperlink>
        </w:p>
        <w:p w14:paraId="08F47CD3" w14:textId="617202AE" w:rsidR="00813701" w:rsidRDefault="00207455">
          <w:pPr>
            <w:pStyle w:val="TOC2"/>
            <w:rPr>
              <w:rFonts w:asciiTheme="minorHAnsi" w:eastAsiaTheme="minorEastAsia" w:hAnsiTheme="minorHAnsi" w:cstheme="minorBidi"/>
              <w:spacing w:val="0"/>
              <w:sz w:val="22"/>
              <w:szCs w:val="22"/>
            </w:rPr>
          </w:pPr>
          <w:hyperlink w:anchor="_Toc46492368" w:history="1">
            <w:r w:rsidR="00813701" w:rsidRPr="00F935F6">
              <w:rPr>
                <w:rStyle w:val="Hyperlink"/>
              </w:rPr>
              <w:t>1.1</w:t>
            </w:r>
            <w:r w:rsidR="00813701">
              <w:rPr>
                <w:rFonts w:asciiTheme="minorHAnsi" w:eastAsiaTheme="minorEastAsia" w:hAnsiTheme="minorHAnsi" w:cstheme="minorBidi"/>
                <w:spacing w:val="0"/>
                <w:sz w:val="22"/>
                <w:szCs w:val="22"/>
              </w:rPr>
              <w:tab/>
            </w:r>
            <w:r w:rsidR="00813701" w:rsidRPr="00F935F6">
              <w:rPr>
                <w:rStyle w:val="Hyperlink"/>
              </w:rPr>
              <w:t>Purpose</w:t>
            </w:r>
            <w:r w:rsidR="00813701">
              <w:rPr>
                <w:webHidden/>
              </w:rPr>
              <w:tab/>
            </w:r>
            <w:r w:rsidR="00813701">
              <w:rPr>
                <w:webHidden/>
              </w:rPr>
              <w:fldChar w:fldCharType="begin"/>
            </w:r>
            <w:r w:rsidR="00813701">
              <w:rPr>
                <w:webHidden/>
              </w:rPr>
              <w:instrText xml:space="preserve"> PAGEREF _Toc46492368 \h </w:instrText>
            </w:r>
            <w:r w:rsidR="00813701">
              <w:rPr>
                <w:webHidden/>
              </w:rPr>
            </w:r>
            <w:r w:rsidR="00813701">
              <w:rPr>
                <w:webHidden/>
              </w:rPr>
              <w:fldChar w:fldCharType="separate"/>
            </w:r>
            <w:r w:rsidR="001D5C27">
              <w:rPr>
                <w:webHidden/>
              </w:rPr>
              <w:t>1</w:t>
            </w:r>
            <w:r w:rsidR="00813701">
              <w:rPr>
                <w:webHidden/>
              </w:rPr>
              <w:fldChar w:fldCharType="end"/>
            </w:r>
          </w:hyperlink>
        </w:p>
        <w:p w14:paraId="26654D6C" w14:textId="777E3C9B" w:rsidR="00813701" w:rsidRDefault="00207455">
          <w:pPr>
            <w:pStyle w:val="TOC2"/>
            <w:rPr>
              <w:rFonts w:asciiTheme="minorHAnsi" w:eastAsiaTheme="minorEastAsia" w:hAnsiTheme="minorHAnsi" w:cstheme="minorBidi"/>
              <w:spacing w:val="0"/>
              <w:sz w:val="22"/>
              <w:szCs w:val="22"/>
            </w:rPr>
          </w:pPr>
          <w:hyperlink w:anchor="_Toc46492369" w:history="1">
            <w:r w:rsidR="00813701" w:rsidRPr="00F935F6">
              <w:rPr>
                <w:rStyle w:val="Hyperlink"/>
              </w:rPr>
              <w:t>1.2</w:t>
            </w:r>
            <w:r w:rsidR="00813701">
              <w:rPr>
                <w:rFonts w:asciiTheme="minorHAnsi" w:eastAsiaTheme="minorEastAsia" w:hAnsiTheme="minorHAnsi" w:cstheme="minorBidi"/>
                <w:spacing w:val="0"/>
                <w:sz w:val="22"/>
                <w:szCs w:val="22"/>
              </w:rPr>
              <w:tab/>
            </w:r>
            <w:r w:rsidR="00813701" w:rsidRPr="00F935F6">
              <w:rPr>
                <w:rStyle w:val="Hyperlink"/>
              </w:rPr>
              <w:t>Scope</w:t>
            </w:r>
            <w:r w:rsidR="00813701">
              <w:rPr>
                <w:webHidden/>
              </w:rPr>
              <w:tab/>
            </w:r>
            <w:r w:rsidR="00813701">
              <w:rPr>
                <w:webHidden/>
              </w:rPr>
              <w:fldChar w:fldCharType="begin"/>
            </w:r>
            <w:r w:rsidR="00813701">
              <w:rPr>
                <w:webHidden/>
              </w:rPr>
              <w:instrText xml:space="preserve"> PAGEREF _Toc46492369 \h </w:instrText>
            </w:r>
            <w:r w:rsidR="00813701">
              <w:rPr>
                <w:webHidden/>
              </w:rPr>
            </w:r>
            <w:r w:rsidR="00813701">
              <w:rPr>
                <w:webHidden/>
              </w:rPr>
              <w:fldChar w:fldCharType="separate"/>
            </w:r>
            <w:r w:rsidR="001D5C27">
              <w:rPr>
                <w:webHidden/>
              </w:rPr>
              <w:t>1</w:t>
            </w:r>
            <w:r w:rsidR="00813701">
              <w:rPr>
                <w:webHidden/>
              </w:rPr>
              <w:fldChar w:fldCharType="end"/>
            </w:r>
          </w:hyperlink>
        </w:p>
        <w:p w14:paraId="1757E681" w14:textId="708B57F5" w:rsidR="00813701" w:rsidRDefault="00207455">
          <w:pPr>
            <w:pStyle w:val="TOC1"/>
            <w:tabs>
              <w:tab w:val="left" w:pos="885"/>
            </w:tabs>
            <w:rPr>
              <w:rFonts w:asciiTheme="minorHAnsi" w:eastAsiaTheme="minorEastAsia" w:hAnsiTheme="minorHAnsi" w:cstheme="minorBidi"/>
              <w:b w:val="0"/>
              <w:spacing w:val="0"/>
              <w:sz w:val="22"/>
              <w:szCs w:val="22"/>
            </w:rPr>
          </w:pPr>
          <w:hyperlink w:anchor="_Toc46492370" w:history="1">
            <w:r w:rsidR="00813701" w:rsidRPr="00F935F6">
              <w:rPr>
                <w:rStyle w:val="Hyperlink"/>
                <w14:scene3d>
                  <w14:camera w14:prst="orthographicFront"/>
                  <w14:lightRig w14:rig="threePt" w14:dir="t">
                    <w14:rot w14:lat="0" w14:lon="0" w14:rev="0"/>
                  </w14:lightRig>
                </w14:scene3d>
              </w:rPr>
              <w:t>2</w:t>
            </w:r>
            <w:r w:rsidR="00813701">
              <w:rPr>
                <w:rFonts w:asciiTheme="minorHAnsi" w:eastAsiaTheme="minorEastAsia" w:hAnsiTheme="minorHAnsi" w:cstheme="minorBidi"/>
                <w:b w:val="0"/>
                <w:spacing w:val="0"/>
                <w:sz w:val="22"/>
                <w:szCs w:val="22"/>
              </w:rPr>
              <w:tab/>
            </w:r>
            <w:r w:rsidR="00813701" w:rsidRPr="00F935F6">
              <w:rPr>
                <w:rStyle w:val="Hyperlink"/>
              </w:rPr>
              <w:t>Frequency coordination</w:t>
            </w:r>
            <w:r w:rsidR="00813701">
              <w:rPr>
                <w:webHidden/>
              </w:rPr>
              <w:tab/>
            </w:r>
            <w:r w:rsidR="00813701">
              <w:rPr>
                <w:webHidden/>
              </w:rPr>
              <w:fldChar w:fldCharType="begin"/>
            </w:r>
            <w:r w:rsidR="00813701">
              <w:rPr>
                <w:webHidden/>
              </w:rPr>
              <w:instrText xml:space="preserve"> PAGEREF _Toc46492370 \h </w:instrText>
            </w:r>
            <w:r w:rsidR="00813701">
              <w:rPr>
                <w:webHidden/>
              </w:rPr>
            </w:r>
            <w:r w:rsidR="00813701">
              <w:rPr>
                <w:webHidden/>
              </w:rPr>
              <w:fldChar w:fldCharType="separate"/>
            </w:r>
            <w:r w:rsidR="001D5C27">
              <w:rPr>
                <w:webHidden/>
              </w:rPr>
              <w:t>3</w:t>
            </w:r>
            <w:r w:rsidR="00813701">
              <w:rPr>
                <w:webHidden/>
              </w:rPr>
              <w:fldChar w:fldCharType="end"/>
            </w:r>
          </w:hyperlink>
        </w:p>
        <w:p w14:paraId="2232942B" w14:textId="3FD1D134" w:rsidR="00813701" w:rsidRDefault="00207455">
          <w:pPr>
            <w:pStyle w:val="TOC2"/>
            <w:rPr>
              <w:rFonts w:asciiTheme="minorHAnsi" w:eastAsiaTheme="minorEastAsia" w:hAnsiTheme="minorHAnsi" w:cstheme="minorBidi"/>
              <w:spacing w:val="0"/>
              <w:sz w:val="22"/>
              <w:szCs w:val="22"/>
            </w:rPr>
          </w:pPr>
          <w:hyperlink w:anchor="_Toc46492371" w:history="1">
            <w:r w:rsidR="00813701" w:rsidRPr="00F935F6">
              <w:rPr>
                <w:rStyle w:val="Hyperlink"/>
              </w:rPr>
              <w:t>2.1</w:t>
            </w:r>
            <w:r w:rsidR="00813701">
              <w:rPr>
                <w:rFonts w:asciiTheme="minorHAnsi" w:eastAsiaTheme="minorEastAsia" w:hAnsiTheme="minorHAnsi" w:cstheme="minorBidi"/>
                <w:spacing w:val="0"/>
                <w:sz w:val="22"/>
                <w:szCs w:val="22"/>
              </w:rPr>
              <w:tab/>
            </w:r>
            <w:r w:rsidR="00813701" w:rsidRPr="00F935F6">
              <w:rPr>
                <w:rStyle w:val="Hyperlink"/>
              </w:rPr>
              <w:t>Identification of potentially affected licensed stations</w:t>
            </w:r>
            <w:r w:rsidR="00813701">
              <w:rPr>
                <w:webHidden/>
              </w:rPr>
              <w:tab/>
            </w:r>
            <w:r w:rsidR="00813701">
              <w:rPr>
                <w:webHidden/>
              </w:rPr>
              <w:fldChar w:fldCharType="begin"/>
            </w:r>
            <w:r w:rsidR="00813701">
              <w:rPr>
                <w:webHidden/>
              </w:rPr>
              <w:instrText xml:space="preserve"> PAGEREF _Toc46492371 \h </w:instrText>
            </w:r>
            <w:r w:rsidR="00813701">
              <w:rPr>
                <w:webHidden/>
              </w:rPr>
            </w:r>
            <w:r w:rsidR="00813701">
              <w:rPr>
                <w:webHidden/>
              </w:rPr>
              <w:fldChar w:fldCharType="separate"/>
            </w:r>
            <w:r w:rsidR="001D5C27">
              <w:rPr>
                <w:webHidden/>
              </w:rPr>
              <w:t>3</w:t>
            </w:r>
            <w:r w:rsidR="00813701">
              <w:rPr>
                <w:webHidden/>
              </w:rPr>
              <w:fldChar w:fldCharType="end"/>
            </w:r>
          </w:hyperlink>
        </w:p>
        <w:p w14:paraId="096AFD08" w14:textId="350DC209" w:rsidR="00813701" w:rsidRDefault="00207455">
          <w:pPr>
            <w:pStyle w:val="TOC3"/>
            <w:tabs>
              <w:tab w:val="left" w:pos="885"/>
            </w:tabs>
            <w:rPr>
              <w:rFonts w:asciiTheme="minorHAnsi" w:eastAsiaTheme="minorEastAsia" w:hAnsiTheme="minorHAnsi" w:cstheme="minorBidi"/>
            </w:rPr>
          </w:pPr>
          <w:hyperlink w:anchor="_Toc46492372" w:history="1">
            <w:r w:rsidR="00813701" w:rsidRPr="00F935F6">
              <w:rPr>
                <w:rStyle w:val="Hyperlink"/>
              </w:rPr>
              <w:t>2.1.1</w:t>
            </w:r>
            <w:r w:rsidR="00813701">
              <w:rPr>
                <w:rFonts w:asciiTheme="minorHAnsi" w:eastAsiaTheme="minorEastAsia" w:hAnsiTheme="minorHAnsi" w:cstheme="minorBidi"/>
              </w:rPr>
              <w:tab/>
            </w:r>
            <w:r w:rsidR="00813701" w:rsidRPr="00F935F6">
              <w:rPr>
                <w:rStyle w:val="Hyperlink"/>
              </w:rPr>
              <w:t>FSS transmitters into fixed service receivers</w:t>
            </w:r>
            <w:r w:rsidR="00813701">
              <w:rPr>
                <w:webHidden/>
              </w:rPr>
              <w:tab/>
            </w:r>
            <w:r w:rsidR="00813701">
              <w:rPr>
                <w:webHidden/>
              </w:rPr>
              <w:fldChar w:fldCharType="begin"/>
            </w:r>
            <w:r w:rsidR="00813701">
              <w:rPr>
                <w:webHidden/>
              </w:rPr>
              <w:instrText xml:space="preserve"> PAGEREF _Toc46492372 \h </w:instrText>
            </w:r>
            <w:r w:rsidR="00813701">
              <w:rPr>
                <w:webHidden/>
              </w:rPr>
            </w:r>
            <w:r w:rsidR="00813701">
              <w:rPr>
                <w:webHidden/>
              </w:rPr>
              <w:fldChar w:fldCharType="separate"/>
            </w:r>
            <w:r w:rsidR="001D5C27">
              <w:rPr>
                <w:webHidden/>
              </w:rPr>
              <w:t>3</w:t>
            </w:r>
            <w:r w:rsidR="00813701">
              <w:rPr>
                <w:webHidden/>
              </w:rPr>
              <w:fldChar w:fldCharType="end"/>
            </w:r>
          </w:hyperlink>
        </w:p>
        <w:p w14:paraId="6879D35A" w14:textId="21BB0372" w:rsidR="00813701" w:rsidRDefault="00207455">
          <w:pPr>
            <w:pStyle w:val="TOC3"/>
            <w:tabs>
              <w:tab w:val="left" w:pos="885"/>
            </w:tabs>
            <w:rPr>
              <w:rFonts w:asciiTheme="minorHAnsi" w:eastAsiaTheme="minorEastAsia" w:hAnsiTheme="minorHAnsi" w:cstheme="minorBidi"/>
            </w:rPr>
          </w:pPr>
          <w:hyperlink w:anchor="_Toc46492373" w:history="1">
            <w:r w:rsidR="00813701" w:rsidRPr="00F935F6">
              <w:rPr>
                <w:rStyle w:val="Hyperlink"/>
              </w:rPr>
              <w:t>2.1.2</w:t>
            </w:r>
            <w:r w:rsidR="00813701">
              <w:rPr>
                <w:rFonts w:asciiTheme="minorHAnsi" w:eastAsiaTheme="minorEastAsia" w:hAnsiTheme="minorHAnsi" w:cstheme="minorBidi"/>
              </w:rPr>
              <w:tab/>
            </w:r>
            <w:r w:rsidR="00813701" w:rsidRPr="00F935F6">
              <w:rPr>
                <w:rStyle w:val="Hyperlink"/>
              </w:rPr>
              <w:t>FSS transmitters into EESS and SRS receivers</w:t>
            </w:r>
            <w:r w:rsidR="00813701">
              <w:rPr>
                <w:webHidden/>
              </w:rPr>
              <w:tab/>
            </w:r>
            <w:r w:rsidR="00813701">
              <w:rPr>
                <w:webHidden/>
              </w:rPr>
              <w:fldChar w:fldCharType="begin"/>
            </w:r>
            <w:r w:rsidR="00813701">
              <w:rPr>
                <w:webHidden/>
              </w:rPr>
              <w:instrText xml:space="preserve"> PAGEREF _Toc46492373 \h </w:instrText>
            </w:r>
            <w:r w:rsidR="00813701">
              <w:rPr>
                <w:webHidden/>
              </w:rPr>
            </w:r>
            <w:r w:rsidR="00813701">
              <w:rPr>
                <w:webHidden/>
              </w:rPr>
              <w:fldChar w:fldCharType="separate"/>
            </w:r>
            <w:r w:rsidR="001D5C27">
              <w:rPr>
                <w:webHidden/>
              </w:rPr>
              <w:t>4</w:t>
            </w:r>
            <w:r w:rsidR="00813701">
              <w:rPr>
                <w:webHidden/>
              </w:rPr>
              <w:fldChar w:fldCharType="end"/>
            </w:r>
          </w:hyperlink>
        </w:p>
        <w:p w14:paraId="24AE0D6C" w14:textId="2178A2B2" w:rsidR="00813701" w:rsidRDefault="00207455">
          <w:pPr>
            <w:pStyle w:val="TOC2"/>
            <w:rPr>
              <w:rFonts w:asciiTheme="minorHAnsi" w:eastAsiaTheme="minorEastAsia" w:hAnsiTheme="minorHAnsi" w:cstheme="minorBidi"/>
              <w:spacing w:val="0"/>
              <w:sz w:val="22"/>
              <w:szCs w:val="22"/>
            </w:rPr>
          </w:pPr>
          <w:hyperlink w:anchor="_Toc46492374" w:history="1">
            <w:r w:rsidR="00813701" w:rsidRPr="00F935F6">
              <w:rPr>
                <w:rStyle w:val="Hyperlink"/>
              </w:rPr>
              <w:t>2.2</w:t>
            </w:r>
            <w:r w:rsidR="00813701">
              <w:rPr>
                <w:rFonts w:asciiTheme="minorHAnsi" w:eastAsiaTheme="minorEastAsia" w:hAnsiTheme="minorHAnsi" w:cstheme="minorBidi"/>
                <w:spacing w:val="0"/>
                <w:sz w:val="22"/>
                <w:szCs w:val="22"/>
              </w:rPr>
              <w:tab/>
            </w:r>
            <w:r w:rsidR="00813701" w:rsidRPr="00F935F6">
              <w:rPr>
                <w:rStyle w:val="Hyperlink"/>
              </w:rPr>
              <w:t>Coordination</w:t>
            </w:r>
            <w:r w:rsidR="00813701">
              <w:rPr>
                <w:webHidden/>
              </w:rPr>
              <w:tab/>
            </w:r>
            <w:r w:rsidR="00813701">
              <w:rPr>
                <w:webHidden/>
              </w:rPr>
              <w:fldChar w:fldCharType="begin"/>
            </w:r>
            <w:r w:rsidR="00813701">
              <w:rPr>
                <w:webHidden/>
              </w:rPr>
              <w:instrText xml:space="preserve"> PAGEREF _Toc46492374 \h </w:instrText>
            </w:r>
            <w:r w:rsidR="00813701">
              <w:rPr>
                <w:webHidden/>
              </w:rPr>
            </w:r>
            <w:r w:rsidR="00813701">
              <w:rPr>
                <w:webHidden/>
              </w:rPr>
              <w:fldChar w:fldCharType="separate"/>
            </w:r>
            <w:r w:rsidR="001D5C27">
              <w:rPr>
                <w:webHidden/>
              </w:rPr>
              <w:t>4</w:t>
            </w:r>
            <w:r w:rsidR="00813701">
              <w:rPr>
                <w:webHidden/>
              </w:rPr>
              <w:fldChar w:fldCharType="end"/>
            </w:r>
          </w:hyperlink>
        </w:p>
        <w:p w14:paraId="4445A706" w14:textId="7C38B916" w:rsidR="00813701" w:rsidRDefault="00207455">
          <w:pPr>
            <w:pStyle w:val="TOC3"/>
            <w:tabs>
              <w:tab w:val="left" w:pos="885"/>
            </w:tabs>
            <w:rPr>
              <w:rFonts w:asciiTheme="minorHAnsi" w:eastAsiaTheme="minorEastAsia" w:hAnsiTheme="minorHAnsi" w:cstheme="minorBidi"/>
            </w:rPr>
          </w:pPr>
          <w:hyperlink w:anchor="_Toc46492375" w:history="1">
            <w:r w:rsidR="00813701" w:rsidRPr="00F935F6">
              <w:rPr>
                <w:rStyle w:val="Hyperlink"/>
              </w:rPr>
              <w:t>2.2.1</w:t>
            </w:r>
            <w:r w:rsidR="00813701">
              <w:rPr>
                <w:rFonts w:asciiTheme="minorHAnsi" w:eastAsiaTheme="minorEastAsia" w:hAnsiTheme="minorHAnsi" w:cstheme="minorBidi"/>
              </w:rPr>
              <w:tab/>
            </w:r>
            <w:r w:rsidR="00813701" w:rsidRPr="00F935F6">
              <w:rPr>
                <w:rStyle w:val="Hyperlink"/>
              </w:rPr>
              <w:t>FSS transmitters into fixed service receivers</w:t>
            </w:r>
            <w:r w:rsidR="00813701">
              <w:rPr>
                <w:webHidden/>
              </w:rPr>
              <w:tab/>
            </w:r>
            <w:r w:rsidR="00813701">
              <w:rPr>
                <w:webHidden/>
              </w:rPr>
              <w:fldChar w:fldCharType="begin"/>
            </w:r>
            <w:r w:rsidR="00813701">
              <w:rPr>
                <w:webHidden/>
              </w:rPr>
              <w:instrText xml:space="preserve"> PAGEREF _Toc46492375 \h </w:instrText>
            </w:r>
            <w:r w:rsidR="00813701">
              <w:rPr>
                <w:webHidden/>
              </w:rPr>
            </w:r>
            <w:r w:rsidR="00813701">
              <w:rPr>
                <w:webHidden/>
              </w:rPr>
              <w:fldChar w:fldCharType="separate"/>
            </w:r>
            <w:r w:rsidR="001D5C27">
              <w:rPr>
                <w:webHidden/>
              </w:rPr>
              <w:t>4</w:t>
            </w:r>
            <w:r w:rsidR="00813701">
              <w:rPr>
                <w:webHidden/>
              </w:rPr>
              <w:fldChar w:fldCharType="end"/>
            </w:r>
          </w:hyperlink>
        </w:p>
        <w:p w14:paraId="3F257343" w14:textId="454D2BC6" w:rsidR="00813701" w:rsidRDefault="00207455">
          <w:pPr>
            <w:pStyle w:val="TOC3"/>
            <w:tabs>
              <w:tab w:val="left" w:pos="885"/>
            </w:tabs>
            <w:rPr>
              <w:rFonts w:asciiTheme="minorHAnsi" w:eastAsiaTheme="minorEastAsia" w:hAnsiTheme="minorHAnsi" w:cstheme="minorBidi"/>
            </w:rPr>
          </w:pPr>
          <w:hyperlink w:anchor="_Toc46492376" w:history="1">
            <w:r w:rsidR="00813701" w:rsidRPr="00F935F6">
              <w:rPr>
                <w:rStyle w:val="Hyperlink"/>
              </w:rPr>
              <w:t>2.2.2</w:t>
            </w:r>
            <w:r w:rsidR="00813701">
              <w:rPr>
                <w:rFonts w:asciiTheme="minorHAnsi" w:eastAsiaTheme="minorEastAsia" w:hAnsiTheme="minorHAnsi" w:cstheme="minorBidi"/>
              </w:rPr>
              <w:tab/>
            </w:r>
            <w:r w:rsidR="00813701" w:rsidRPr="00F935F6">
              <w:rPr>
                <w:rStyle w:val="Hyperlink"/>
              </w:rPr>
              <w:t>FSS transmitters into EESS and SRS receivers</w:t>
            </w:r>
            <w:r w:rsidR="00813701">
              <w:rPr>
                <w:webHidden/>
              </w:rPr>
              <w:tab/>
            </w:r>
            <w:r w:rsidR="00813701">
              <w:rPr>
                <w:webHidden/>
              </w:rPr>
              <w:fldChar w:fldCharType="begin"/>
            </w:r>
            <w:r w:rsidR="00813701">
              <w:rPr>
                <w:webHidden/>
              </w:rPr>
              <w:instrText xml:space="preserve"> PAGEREF _Toc46492376 \h </w:instrText>
            </w:r>
            <w:r w:rsidR="00813701">
              <w:rPr>
                <w:webHidden/>
              </w:rPr>
            </w:r>
            <w:r w:rsidR="00813701">
              <w:rPr>
                <w:webHidden/>
              </w:rPr>
              <w:fldChar w:fldCharType="separate"/>
            </w:r>
            <w:r w:rsidR="001D5C27">
              <w:rPr>
                <w:webHidden/>
              </w:rPr>
              <w:t>6</w:t>
            </w:r>
            <w:r w:rsidR="00813701">
              <w:rPr>
                <w:webHidden/>
              </w:rPr>
              <w:fldChar w:fldCharType="end"/>
            </w:r>
          </w:hyperlink>
        </w:p>
        <w:p w14:paraId="1AC3A244" w14:textId="0FD016B6" w:rsidR="00813701" w:rsidRDefault="00207455">
          <w:pPr>
            <w:pStyle w:val="TOC1"/>
            <w:tabs>
              <w:tab w:val="left" w:pos="885"/>
            </w:tabs>
            <w:rPr>
              <w:rFonts w:asciiTheme="minorHAnsi" w:eastAsiaTheme="minorEastAsia" w:hAnsiTheme="minorHAnsi" w:cstheme="minorBidi"/>
              <w:b w:val="0"/>
              <w:spacing w:val="0"/>
              <w:sz w:val="22"/>
              <w:szCs w:val="22"/>
            </w:rPr>
          </w:pPr>
          <w:hyperlink w:anchor="_Toc46492377" w:history="1">
            <w:r w:rsidR="00813701" w:rsidRPr="00F935F6">
              <w:rPr>
                <w:rStyle w:val="Hyperlink"/>
                <w14:scene3d>
                  <w14:camera w14:prst="orthographicFront"/>
                  <w14:lightRig w14:rig="threePt" w14:dir="t">
                    <w14:rot w14:lat="0" w14:lon="0" w14:rev="0"/>
                  </w14:lightRig>
                </w14:scene3d>
              </w:rPr>
              <w:t>3</w:t>
            </w:r>
            <w:r w:rsidR="00813701">
              <w:rPr>
                <w:rFonts w:asciiTheme="minorHAnsi" w:eastAsiaTheme="minorEastAsia" w:hAnsiTheme="minorHAnsi" w:cstheme="minorBidi"/>
                <w:b w:val="0"/>
                <w:spacing w:val="0"/>
                <w:sz w:val="22"/>
                <w:szCs w:val="22"/>
              </w:rPr>
              <w:tab/>
            </w:r>
            <w:r w:rsidR="00813701" w:rsidRPr="00F935F6">
              <w:rPr>
                <w:rStyle w:val="Hyperlink"/>
              </w:rPr>
              <w:t>Assignment instructions</w:t>
            </w:r>
            <w:r w:rsidR="00813701">
              <w:rPr>
                <w:webHidden/>
              </w:rPr>
              <w:tab/>
            </w:r>
            <w:r w:rsidR="00813701">
              <w:rPr>
                <w:webHidden/>
              </w:rPr>
              <w:fldChar w:fldCharType="begin"/>
            </w:r>
            <w:r w:rsidR="00813701">
              <w:rPr>
                <w:webHidden/>
              </w:rPr>
              <w:instrText xml:space="preserve"> PAGEREF _Toc46492377 \h </w:instrText>
            </w:r>
            <w:r w:rsidR="00813701">
              <w:rPr>
                <w:webHidden/>
              </w:rPr>
            </w:r>
            <w:r w:rsidR="00813701">
              <w:rPr>
                <w:webHidden/>
              </w:rPr>
              <w:fldChar w:fldCharType="separate"/>
            </w:r>
            <w:r w:rsidR="001D5C27">
              <w:rPr>
                <w:webHidden/>
              </w:rPr>
              <w:t>8</w:t>
            </w:r>
            <w:r w:rsidR="00813701">
              <w:rPr>
                <w:webHidden/>
              </w:rPr>
              <w:fldChar w:fldCharType="end"/>
            </w:r>
          </w:hyperlink>
        </w:p>
        <w:p w14:paraId="5E34C4C5" w14:textId="714930F6" w:rsidR="00813701" w:rsidRDefault="00207455">
          <w:pPr>
            <w:pStyle w:val="TOC2"/>
            <w:rPr>
              <w:rFonts w:asciiTheme="minorHAnsi" w:eastAsiaTheme="minorEastAsia" w:hAnsiTheme="minorHAnsi" w:cstheme="minorBidi"/>
              <w:spacing w:val="0"/>
              <w:sz w:val="22"/>
              <w:szCs w:val="22"/>
            </w:rPr>
          </w:pPr>
          <w:hyperlink w:anchor="_Toc46492378" w:history="1">
            <w:r w:rsidR="00813701" w:rsidRPr="00F935F6">
              <w:rPr>
                <w:rStyle w:val="Hyperlink"/>
              </w:rPr>
              <w:t>3.1</w:t>
            </w:r>
            <w:r w:rsidR="00813701">
              <w:rPr>
                <w:rFonts w:asciiTheme="minorHAnsi" w:eastAsiaTheme="minorEastAsia" w:hAnsiTheme="minorHAnsi" w:cstheme="minorBidi"/>
                <w:spacing w:val="0"/>
                <w:sz w:val="22"/>
                <w:szCs w:val="22"/>
              </w:rPr>
              <w:tab/>
            </w:r>
            <w:r w:rsidR="00813701" w:rsidRPr="00F935F6">
              <w:rPr>
                <w:rStyle w:val="Hyperlink"/>
              </w:rPr>
              <w:t>Antennas</w:t>
            </w:r>
            <w:r w:rsidR="00813701">
              <w:rPr>
                <w:webHidden/>
              </w:rPr>
              <w:tab/>
            </w:r>
            <w:r w:rsidR="00813701">
              <w:rPr>
                <w:webHidden/>
              </w:rPr>
              <w:fldChar w:fldCharType="begin"/>
            </w:r>
            <w:r w:rsidR="00813701">
              <w:rPr>
                <w:webHidden/>
              </w:rPr>
              <w:instrText xml:space="preserve"> PAGEREF _Toc46492378 \h </w:instrText>
            </w:r>
            <w:r w:rsidR="00813701">
              <w:rPr>
                <w:webHidden/>
              </w:rPr>
            </w:r>
            <w:r w:rsidR="00813701">
              <w:rPr>
                <w:webHidden/>
              </w:rPr>
              <w:fldChar w:fldCharType="separate"/>
            </w:r>
            <w:r w:rsidR="001D5C27">
              <w:rPr>
                <w:webHidden/>
              </w:rPr>
              <w:t>8</w:t>
            </w:r>
            <w:r w:rsidR="00813701">
              <w:rPr>
                <w:webHidden/>
              </w:rPr>
              <w:fldChar w:fldCharType="end"/>
            </w:r>
          </w:hyperlink>
        </w:p>
        <w:p w14:paraId="296DB101" w14:textId="1305C5FF" w:rsidR="00813701" w:rsidRDefault="00207455">
          <w:pPr>
            <w:pStyle w:val="TOC2"/>
            <w:rPr>
              <w:rFonts w:asciiTheme="minorHAnsi" w:eastAsiaTheme="minorEastAsia" w:hAnsiTheme="minorHAnsi" w:cstheme="minorBidi"/>
              <w:spacing w:val="0"/>
              <w:sz w:val="22"/>
              <w:szCs w:val="22"/>
            </w:rPr>
          </w:pPr>
          <w:hyperlink w:anchor="_Toc46492379" w:history="1">
            <w:r w:rsidR="00813701" w:rsidRPr="00F935F6">
              <w:rPr>
                <w:rStyle w:val="Hyperlink"/>
              </w:rPr>
              <w:t>3.2</w:t>
            </w:r>
            <w:r w:rsidR="00813701">
              <w:rPr>
                <w:rFonts w:asciiTheme="minorHAnsi" w:eastAsiaTheme="minorEastAsia" w:hAnsiTheme="minorHAnsi" w:cstheme="minorBidi"/>
                <w:spacing w:val="0"/>
                <w:sz w:val="22"/>
                <w:szCs w:val="22"/>
              </w:rPr>
              <w:tab/>
            </w:r>
            <w:r w:rsidR="00813701" w:rsidRPr="00F935F6">
              <w:rPr>
                <w:rStyle w:val="Hyperlink"/>
              </w:rPr>
              <w:t>Emission limits</w:t>
            </w:r>
            <w:r w:rsidR="00813701">
              <w:rPr>
                <w:webHidden/>
              </w:rPr>
              <w:tab/>
            </w:r>
            <w:r w:rsidR="00813701">
              <w:rPr>
                <w:webHidden/>
              </w:rPr>
              <w:fldChar w:fldCharType="begin"/>
            </w:r>
            <w:r w:rsidR="00813701">
              <w:rPr>
                <w:webHidden/>
              </w:rPr>
              <w:instrText xml:space="preserve"> PAGEREF _Toc46492379 \h </w:instrText>
            </w:r>
            <w:r w:rsidR="00813701">
              <w:rPr>
                <w:webHidden/>
              </w:rPr>
            </w:r>
            <w:r w:rsidR="00813701">
              <w:rPr>
                <w:webHidden/>
              </w:rPr>
              <w:fldChar w:fldCharType="separate"/>
            </w:r>
            <w:r w:rsidR="001D5C27">
              <w:rPr>
                <w:webHidden/>
              </w:rPr>
              <w:t>8</w:t>
            </w:r>
            <w:r w:rsidR="00813701">
              <w:rPr>
                <w:webHidden/>
              </w:rPr>
              <w:fldChar w:fldCharType="end"/>
            </w:r>
          </w:hyperlink>
        </w:p>
        <w:p w14:paraId="702C3B5E" w14:textId="3BF760BF" w:rsidR="00813701" w:rsidRDefault="00207455">
          <w:pPr>
            <w:pStyle w:val="TOC1"/>
            <w:tabs>
              <w:tab w:val="left" w:pos="885"/>
            </w:tabs>
            <w:rPr>
              <w:rFonts w:asciiTheme="minorHAnsi" w:eastAsiaTheme="minorEastAsia" w:hAnsiTheme="minorHAnsi" w:cstheme="minorBidi"/>
              <w:b w:val="0"/>
              <w:spacing w:val="0"/>
              <w:sz w:val="22"/>
              <w:szCs w:val="22"/>
            </w:rPr>
          </w:pPr>
          <w:hyperlink w:anchor="_Toc46492383" w:history="1">
            <w:r w:rsidR="00813701" w:rsidRPr="00F935F6">
              <w:rPr>
                <w:rStyle w:val="Hyperlink"/>
                <w14:scene3d>
                  <w14:camera w14:prst="orthographicFront"/>
                  <w14:lightRig w14:rig="threePt" w14:dir="t">
                    <w14:rot w14:lat="0" w14:lon="0" w14:rev="0"/>
                  </w14:lightRig>
                </w14:scene3d>
              </w:rPr>
              <w:t>4</w:t>
            </w:r>
            <w:r w:rsidR="00813701">
              <w:rPr>
                <w:rFonts w:asciiTheme="minorHAnsi" w:eastAsiaTheme="minorEastAsia" w:hAnsiTheme="minorHAnsi" w:cstheme="minorBidi"/>
                <w:b w:val="0"/>
                <w:spacing w:val="0"/>
                <w:sz w:val="22"/>
                <w:szCs w:val="22"/>
              </w:rPr>
              <w:tab/>
            </w:r>
            <w:r w:rsidR="00813701" w:rsidRPr="00F935F6">
              <w:rPr>
                <w:rStyle w:val="Hyperlink"/>
              </w:rPr>
              <w:t>Exceptions</w:t>
            </w:r>
            <w:r w:rsidR="00813701">
              <w:rPr>
                <w:webHidden/>
              </w:rPr>
              <w:tab/>
            </w:r>
            <w:r w:rsidR="00813701">
              <w:rPr>
                <w:webHidden/>
              </w:rPr>
              <w:fldChar w:fldCharType="begin"/>
            </w:r>
            <w:r w:rsidR="00813701">
              <w:rPr>
                <w:webHidden/>
              </w:rPr>
              <w:instrText xml:space="preserve"> PAGEREF _Toc46492383 \h </w:instrText>
            </w:r>
            <w:r w:rsidR="00813701">
              <w:rPr>
                <w:webHidden/>
              </w:rPr>
            </w:r>
            <w:r w:rsidR="00813701">
              <w:rPr>
                <w:webHidden/>
              </w:rPr>
              <w:fldChar w:fldCharType="separate"/>
            </w:r>
            <w:r w:rsidR="001D5C27">
              <w:rPr>
                <w:webHidden/>
              </w:rPr>
              <w:t>9</w:t>
            </w:r>
            <w:r w:rsidR="00813701">
              <w:rPr>
                <w:webHidden/>
              </w:rPr>
              <w:fldChar w:fldCharType="end"/>
            </w:r>
          </w:hyperlink>
        </w:p>
        <w:p w14:paraId="6BEE7457" w14:textId="630685D6" w:rsidR="00813701" w:rsidRDefault="00207455">
          <w:pPr>
            <w:pStyle w:val="TOC1"/>
            <w:tabs>
              <w:tab w:val="left" w:pos="885"/>
            </w:tabs>
            <w:rPr>
              <w:rFonts w:asciiTheme="minorHAnsi" w:eastAsiaTheme="minorEastAsia" w:hAnsiTheme="minorHAnsi" w:cstheme="minorBidi"/>
              <w:b w:val="0"/>
              <w:spacing w:val="0"/>
              <w:sz w:val="22"/>
              <w:szCs w:val="22"/>
            </w:rPr>
          </w:pPr>
          <w:hyperlink w:anchor="_Toc46492384" w:history="1">
            <w:r w:rsidR="00813701" w:rsidRPr="00F935F6">
              <w:rPr>
                <w:rStyle w:val="Hyperlink"/>
                <w14:scene3d>
                  <w14:camera w14:prst="orthographicFront"/>
                  <w14:lightRig w14:rig="threePt" w14:dir="t">
                    <w14:rot w14:lat="0" w14:lon="0" w14:rev="0"/>
                  </w14:lightRig>
                </w14:scene3d>
              </w:rPr>
              <w:t>5</w:t>
            </w:r>
            <w:r w:rsidR="00813701">
              <w:rPr>
                <w:rFonts w:asciiTheme="minorHAnsi" w:eastAsiaTheme="minorEastAsia" w:hAnsiTheme="minorHAnsi" w:cstheme="minorBidi"/>
                <w:b w:val="0"/>
                <w:spacing w:val="0"/>
                <w:sz w:val="22"/>
                <w:szCs w:val="22"/>
              </w:rPr>
              <w:tab/>
            </w:r>
            <w:r w:rsidR="00813701" w:rsidRPr="00F935F6">
              <w:rPr>
                <w:rStyle w:val="Hyperlink"/>
              </w:rPr>
              <w:t>RALI Authorisation</w:t>
            </w:r>
            <w:r w:rsidR="00813701">
              <w:rPr>
                <w:webHidden/>
              </w:rPr>
              <w:tab/>
            </w:r>
            <w:r w:rsidR="00813701">
              <w:rPr>
                <w:webHidden/>
              </w:rPr>
              <w:fldChar w:fldCharType="begin"/>
            </w:r>
            <w:r w:rsidR="00813701">
              <w:rPr>
                <w:webHidden/>
              </w:rPr>
              <w:instrText xml:space="preserve"> PAGEREF _Toc46492384 \h </w:instrText>
            </w:r>
            <w:r w:rsidR="00813701">
              <w:rPr>
                <w:webHidden/>
              </w:rPr>
            </w:r>
            <w:r w:rsidR="00813701">
              <w:rPr>
                <w:webHidden/>
              </w:rPr>
              <w:fldChar w:fldCharType="separate"/>
            </w:r>
            <w:r w:rsidR="001D5C27">
              <w:rPr>
                <w:webHidden/>
              </w:rPr>
              <w:t>10</w:t>
            </w:r>
            <w:r w:rsidR="00813701">
              <w:rPr>
                <w:webHidden/>
              </w:rPr>
              <w:fldChar w:fldCharType="end"/>
            </w:r>
          </w:hyperlink>
        </w:p>
        <w:p w14:paraId="35F21CBA" w14:textId="3CBB7BEE" w:rsidR="00813701" w:rsidRDefault="00207455">
          <w:pPr>
            <w:pStyle w:val="TOC1"/>
            <w:tabs>
              <w:tab w:val="left" w:pos="885"/>
            </w:tabs>
            <w:rPr>
              <w:rFonts w:asciiTheme="minorHAnsi" w:eastAsiaTheme="minorEastAsia" w:hAnsiTheme="minorHAnsi" w:cstheme="minorBidi"/>
              <w:b w:val="0"/>
              <w:spacing w:val="0"/>
              <w:sz w:val="22"/>
              <w:szCs w:val="22"/>
            </w:rPr>
          </w:pPr>
          <w:hyperlink w:anchor="_Toc46492385" w:history="1">
            <w:r w:rsidR="00813701" w:rsidRPr="00F935F6">
              <w:rPr>
                <w:rStyle w:val="Hyperlink"/>
                <w14:scene3d>
                  <w14:camera w14:prst="orthographicFront"/>
                  <w14:lightRig w14:rig="threePt" w14:dir="t">
                    <w14:rot w14:lat="0" w14:lon="0" w14:rev="0"/>
                  </w14:lightRig>
                </w14:scene3d>
              </w:rPr>
              <w:t>6</w:t>
            </w:r>
            <w:r w:rsidR="00813701">
              <w:rPr>
                <w:rFonts w:asciiTheme="minorHAnsi" w:eastAsiaTheme="minorEastAsia" w:hAnsiTheme="minorHAnsi" w:cstheme="minorBidi"/>
                <w:b w:val="0"/>
                <w:spacing w:val="0"/>
                <w:sz w:val="22"/>
                <w:szCs w:val="22"/>
              </w:rPr>
              <w:tab/>
            </w:r>
            <w:r w:rsidR="00813701" w:rsidRPr="00F935F6">
              <w:rPr>
                <w:rStyle w:val="Hyperlink"/>
              </w:rPr>
              <w:t>References</w:t>
            </w:r>
            <w:r w:rsidR="00813701">
              <w:rPr>
                <w:webHidden/>
              </w:rPr>
              <w:tab/>
            </w:r>
            <w:r w:rsidR="00813701">
              <w:rPr>
                <w:webHidden/>
              </w:rPr>
              <w:fldChar w:fldCharType="begin"/>
            </w:r>
            <w:r w:rsidR="00813701">
              <w:rPr>
                <w:webHidden/>
              </w:rPr>
              <w:instrText xml:space="preserve"> PAGEREF _Toc46492385 \h </w:instrText>
            </w:r>
            <w:r w:rsidR="00813701">
              <w:rPr>
                <w:webHidden/>
              </w:rPr>
            </w:r>
            <w:r w:rsidR="00813701">
              <w:rPr>
                <w:webHidden/>
              </w:rPr>
              <w:fldChar w:fldCharType="separate"/>
            </w:r>
            <w:r w:rsidR="001D5C27">
              <w:rPr>
                <w:webHidden/>
              </w:rPr>
              <w:t>11</w:t>
            </w:r>
            <w:r w:rsidR="00813701">
              <w:rPr>
                <w:webHidden/>
              </w:rPr>
              <w:fldChar w:fldCharType="end"/>
            </w:r>
          </w:hyperlink>
        </w:p>
        <w:p w14:paraId="2444CD6F" w14:textId="3E25037B" w:rsidR="00813701" w:rsidRDefault="00207455">
          <w:pPr>
            <w:pStyle w:val="TOC2"/>
            <w:rPr>
              <w:rFonts w:asciiTheme="minorHAnsi" w:eastAsiaTheme="minorEastAsia" w:hAnsiTheme="minorHAnsi" w:cstheme="minorBidi"/>
              <w:spacing w:val="0"/>
              <w:sz w:val="22"/>
              <w:szCs w:val="22"/>
            </w:rPr>
          </w:pPr>
          <w:hyperlink w:anchor="_Toc46492386" w:history="1">
            <w:r w:rsidR="00813701" w:rsidRPr="00F935F6">
              <w:rPr>
                <w:rStyle w:val="Hyperlink"/>
              </w:rPr>
              <w:t>6.1</w:t>
            </w:r>
            <w:r w:rsidR="00813701">
              <w:rPr>
                <w:rFonts w:asciiTheme="minorHAnsi" w:eastAsiaTheme="minorEastAsia" w:hAnsiTheme="minorHAnsi" w:cstheme="minorBidi"/>
                <w:spacing w:val="0"/>
                <w:sz w:val="22"/>
                <w:szCs w:val="22"/>
              </w:rPr>
              <w:tab/>
            </w:r>
            <w:r w:rsidR="00813701" w:rsidRPr="00F935F6">
              <w:rPr>
                <w:rStyle w:val="Hyperlink"/>
              </w:rPr>
              <w:t>ACMA</w:t>
            </w:r>
            <w:r w:rsidR="00813701">
              <w:rPr>
                <w:webHidden/>
              </w:rPr>
              <w:tab/>
            </w:r>
            <w:r w:rsidR="00813701">
              <w:rPr>
                <w:webHidden/>
              </w:rPr>
              <w:fldChar w:fldCharType="begin"/>
            </w:r>
            <w:r w:rsidR="00813701">
              <w:rPr>
                <w:webHidden/>
              </w:rPr>
              <w:instrText xml:space="preserve"> PAGEREF _Toc46492386 \h </w:instrText>
            </w:r>
            <w:r w:rsidR="00813701">
              <w:rPr>
                <w:webHidden/>
              </w:rPr>
            </w:r>
            <w:r w:rsidR="00813701">
              <w:rPr>
                <w:webHidden/>
              </w:rPr>
              <w:fldChar w:fldCharType="separate"/>
            </w:r>
            <w:r w:rsidR="001D5C27">
              <w:rPr>
                <w:webHidden/>
              </w:rPr>
              <w:t>11</w:t>
            </w:r>
            <w:r w:rsidR="00813701">
              <w:rPr>
                <w:webHidden/>
              </w:rPr>
              <w:fldChar w:fldCharType="end"/>
            </w:r>
          </w:hyperlink>
        </w:p>
        <w:p w14:paraId="7E89E832" w14:textId="5AB49CD2" w:rsidR="00813701" w:rsidRDefault="00207455">
          <w:pPr>
            <w:pStyle w:val="TOC2"/>
            <w:rPr>
              <w:rFonts w:asciiTheme="minorHAnsi" w:eastAsiaTheme="minorEastAsia" w:hAnsiTheme="minorHAnsi" w:cstheme="minorBidi"/>
              <w:spacing w:val="0"/>
              <w:sz w:val="22"/>
              <w:szCs w:val="22"/>
            </w:rPr>
          </w:pPr>
          <w:hyperlink w:anchor="_Toc46492387" w:history="1">
            <w:r w:rsidR="00813701" w:rsidRPr="00F935F6">
              <w:rPr>
                <w:rStyle w:val="Hyperlink"/>
              </w:rPr>
              <w:t>6.2</w:t>
            </w:r>
            <w:r w:rsidR="00813701">
              <w:rPr>
                <w:rFonts w:asciiTheme="minorHAnsi" w:eastAsiaTheme="minorEastAsia" w:hAnsiTheme="minorHAnsi" w:cstheme="minorBidi"/>
                <w:spacing w:val="0"/>
                <w:sz w:val="22"/>
                <w:szCs w:val="22"/>
              </w:rPr>
              <w:tab/>
            </w:r>
            <w:r w:rsidR="00813701" w:rsidRPr="00F935F6">
              <w:rPr>
                <w:rStyle w:val="Hyperlink"/>
              </w:rPr>
              <w:t>International Telecommunications Union</w:t>
            </w:r>
            <w:r w:rsidR="00813701">
              <w:rPr>
                <w:webHidden/>
              </w:rPr>
              <w:tab/>
            </w:r>
            <w:r w:rsidR="00813701">
              <w:rPr>
                <w:webHidden/>
              </w:rPr>
              <w:fldChar w:fldCharType="begin"/>
            </w:r>
            <w:r w:rsidR="00813701">
              <w:rPr>
                <w:webHidden/>
              </w:rPr>
              <w:instrText xml:space="preserve"> PAGEREF _Toc46492387 \h </w:instrText>
            </w:r>
            <w:r w:rsidR="00813701">
              <w:rPr>
                <w:webHidden/>
              </w:rPr>
            </w:r>
            <w:r w:rsidR="00813701">
              <w:rPr>
                <w:webHidden/>
              </w:rPr>
              <w:fldChar w:fldCharType="separate"/>
            </w:r>
            <w:r w:rsidR="001D5C27">
              <w:rPr>
                <w:webHidden/>
              </w:rPr>
              <w:t>11</w:t>
            </w:r>
            <w:r w:rsidR="00813701">
              <w:rPr>
                <w:webHidden/>
              </w:rPr>
              <w:fldChar w:fldCharType="end"/>
            </w:r>
          </w:hyperlink>
        </w:p>
        <w:p w14:paraId="0B9DD44E" w14:textId="7E49FD68" w:rsidR="00813701" w:rsidRDefault="00207455">
          <w:pPr>
            <w:pStyle w:val="TOC1"/>
            <w:rPr>
              <w:rFonts w:asciiTheme="minorHAnsi" w:eastAsiaTheme="minorEastAsia" w:hAnsiTheme="minorHAnsi" w:cstheme="minorBidi"/>
              <w:b w:val="0"/>
              <w:spacing w:val="0"/>
              <w:sz w:val="22"/>
              <w:szCs w:val="22"/>
            </w:rPr>
          </w:pPr>
          <w:hyperlink w:anchor="_Toc46492388" w:history="1">
            <w:r w:rsidR="00813701" w:rsidRPr="00F935F6">
              <w:rPr>
                <w:rStyle w:val="Hyperlink"/>
              </w:rPr>
              <w:t>Appendix 1: Calculating antenna off-axis angle in two dimensions</w:t>
            </w:r>
            <w:r w:rsidR="00813701">
              <w:rPr>
                <w:webHidden/>
              </w:rPr>
              <w:tab/>
            </w:r>
            <w:r w:rsidR="00813701">
              <w:rPr>
                <w:webHidden/>
              </w:rPr>
              <w:fldChar w:fldCharType="begin"/>
            </w:r>
            <w:r w:rsidR="00813701">
              <w:rPr>
                <w:webHidden/>
              </w:rPr>
              <w:instrText xml:space="preserve"> PAGEREF _Toc46492388 \h </w:instrText>
            </w:r>
            <w:r w:rsidR="00813701">
              <w:rPr>
                <w:webHidden/>
              </w:rPr>
            </w:r>
            <w:r w:rsidR="00813701">
              <w:rPr>
                <w:webHidden/>
              </w:rPr>
              <w:fldChar w:fldCharType="separate"/>
            </w:r>
            <w:r w:rsidR="001D5C27">
              <w:rPr>
                <w:webHidden/>
              </w:rPr>
              <w:t>12</w:t>
            </w:r>
            <w:r w:rsidR="00813701">
              <w:rPr>
                <w:webHidden/>
              </w:rPr>
              <w:fldChar w:fldCharType="end"/>
            </w:r>
          </w:hyperlink>
        </w:p>
        <w:p w14:paraId="40E67DD7" w14:textId="3EF5420E" w:rsidR="00813701" w:rsidRDefault="00207455">
          <w:pPr>
            <w:pStyle w:val="TOC1"/>
            <w:rPr>
              <w:rFonts w:asciiTheme="minorHAnsi" w:eastAsiaTheme="minorEastAsia" w:hAnsiTheme="minorHAnsi" w:cstheme="minorBidi"/>
              <w:b w:val="0"/>
              <w:spacing w:val="0"/>
              <w:sz w:val="22"/>
              <w:szCs w:val="22"/>
            </w:rPr>
          </w:pPr>
          <w:hyperlink w:anchor="_Toc46492389" w:history="1">
            <w:r w:rsidR="00813701" w:rsidRPr="00F935F6">
              <w:rPr>
                <w:rStyle w:val="Hyperlink"/>
              </w:rPr>
              <w:t>Appendix 2: Calculating antenna off-axis angle in three dimensions</w:t>
            </w:r>
            <w:r w:rsidR="00813701">
              <w:rPr>
                <w:webHidden/>
              </w:rPr>
              <w:tab/>
            </w:r>
            <w:r w:rsidR="00813701">
              <w:rPr>
                <w:webHidden/>
              </w:rPr>
              <w:fldChar w:fldCharType="begin"/>
            </w:r>
            <w:r w:rsidR="00813701">
              <w:rPr>
                <w:webHidden/>
              </w:rPr>
              <w:instrText xml:space="preserve"> PAGEREF _Toc46492389 \h </w:instrText>
            </w:r>
            <w:r w:rsidR="00813701">
              <w:rPr>
                <w:webHidden/>
              </w:rPr>
            </w:r>
            <w:r w:rsidR="00813701">
              <w:rPr>
                <w:webHidden/>
              </w:rPr>
              <w:fldChar w:fldCharType="separate"/>
            </w:r>
            <w:r w:rsidR="001D5C27">
              <w:rPr>
                <w:webHidden/>
              </w:rPr>
              <w:t>15</w:t>
            </w:r>
            <w:r w:rsidR="00813701">
              <w:rPr>
                <w:webHidden/>
              </w:rPr>
              <w:fldChar w:fldCharType="end"/>
            </w:r>
          </w:hyperlink>
        </w:p>
        <w:p w14:paraId="65768236" w14:textId="7CD2C4F1" w:rsidR="00813701" w:rsidRDefault="00207455">
          <w:pPr>
            <w:pStyle w:val="TOC1"/>
            <w:rPr>
              <w:rFonts w:asciiTheme="minorHAnsi" w:eastAsiaTheme="minorEastAsia" w:hAnsiTheme="minorHAnsi" w:cstheme="minorBidi"/>
              <w:b w:val="0"/>
              <w:spacing w:val="0"/>
              <w:sz w:val="22"/>
              <w:szCs w:val="22"/>
            </w:rPr>
          </w:pPr>
          <w:hyperlink w:anchor="_Toc46492390" w:history="1">
            <w:r w:rsidR="00813701" w:rsidRPr="00F935F6">
              <w:rPr>
                <w:rStyle w:val="Hyperlink"/>
              </w:rPr>
              <w:t>Appendix 3: On-tune rejection</w:t>
            </w:r>
            <w:r w:rsidR="00813701">
              <w:rPr>
                <w:webHidden/>
              </w:rPr>
              <w:tab/>
            </w:r>
            <w:r w:rsidR="00813701">
              <w:rPr>
                <w:webHidden/>
              </w:rPr>
              <w:fldChar w:fldCharType="begin"/>
            </w:r>
            <w:r w:rsidR="00813701">
              <w:rPr>
                <w:webHidden/>
              </w:rPr>
              <w:instrText xml:space="preserve"> PAGEREF _Toc46492390 \h </w:instrText>
            </w:r>
            <w:r w:rsidR="00813701">
              <w:rPr>
                <w:webHidden/>
              </w:rPr>
            </w:r>
            <w:r w:rsidR="00813701">
              <w:rPr>
                <w:webHidden/>
              </w:rPr>
              <w:fldChar w:fldCharType="separate"/>
            </w:r>
            <w:r w:rsidR="001D5C27">
              <w:rPr>
                <w:webHidden/>
              </w:rPr>
              <w:t>16</w:t>
            </w:r>
            <w:r w:rsidR="00813701">
              <w:rPr>
                <w:webHidden/>
              </w:rPr>
              <w:fldChar w:fldCharType="end"/>
            </w:r>
          </w:hyperlink>
        </w:p>
        <w:p w14:paraId="0E6E3B0B" w14:textId="0BCE5228" w:rsidR="00813701" w:rsidRDefault="00207455">
          <w:pPr>
            <w:pStyle w:val="TOC1"/>
            <w:rPr>
              <w:rFonts w:asciiTheme="minorHAnsi" w:eastAsiaTheme="minorEastAsia" w:hAnsiTheme="minorHAnsi" w:cstheme="minorBidi"/>
              <w:b w:val="0"/>
              <w:spacing w:val="0"/>
              <w:sz w:val="22"/>
              <w:szCs w:val="22"/>
            </w:rPr>
          </w:pPr>
          <w:hyperlink w:anchor="_Toc46492391" w:history="1">
            <w:r w:rsidR="00813701" w:rsidRPr="00F935F6">
              <w:rPr>
                <w:rStyle w:val="Hyperlink"/>
              </w:rPr>
              <w:t>Appendix 4: Highly-populated areas</w:t>
            </w:r>
            <w:r w:rsidR="00813701">
              <w:rPr>
                <w:webHidden/>
              </w:rPr>
              <w:tab/>
            </w:r>
            <w:r w:rsidR="00813701">
              <w:rPr>
                <w:webHidden/>
              </w:rPr>
              <w:fldChar w:fldCharType="begin"/>
            </w:r>
            <w:r w:rsidR="00813701">
              <w:rPr>
                <w:webHidden/>
              </w:rPr>
              <w:instrText xml:space="preserve"> PAGEREF _Toc46492391 \h </w:instrText>
            </w:r>
            <w:r w:rsidR="00813701">
              <w:rPr>
                <w:webHidden/>
              </w:rPr>
            </w:r>
            <w:r w:rsidR="00813701">
              <w:rPr>
                <w:webHidden/>
              </w:rPr>
              <w:fldChar w:fldCharType="separate"/>
            </w:r>
            <w:r w:rsidR="001D5C27">
              <w:rPr>
                <w:webHidden/>
              </w:rPr>
              <w:t>17</w:t>
            </w:r>
            <w:r w:rsidR="00813701">
              <w:rPr>
                <w:webHidden/>
              </w:rPr>
              <w:fldChar w:fldCharType="end"/>
            </w:r>
          </w:hyperlink>
        </w:p>
        <w:p w14:paraId="35DBDE47" w14:textId="438F66C9" w:rsidR="00813701" w:rsidRDefault="00207455">
          <w:pPr>
            <w:pStyle w:val="TOC1"/>
            <w:rPr>
              <w:rFonts w:asciiTheme="minorHAnsi" w:eastAsiaTheme="minorEastAsia" w:hAnsiTheme="minorHAnsi" w:cstheme="minorBidi"/>
              <w:b w:val="0"/>
              <w:spacing w:val="0"/>
              <w:sz w:val="22"/>
              <w:szCs w:val="22"/>
            </w:rPr>
          </w:pPr>
          <w:hyperlink w:anchor="_Toc46492392" w:history="1">
            <w:r w:rsidR="00813701" w:rsidRPr="00F935F6">
              <w:rPr>
                <w:rStyle w:val="Hyperlink"/>
              </w:rPr>
              <w:t>Appendix 5: SRS Coordination Zone</w:t>
            </w:r>
            <w:r w:rsidR="00813701">
              <w:rPr>
                <w:webHidden/>
              </w:rPr>
              <w:tab/>
            </w:r>
            <w:r w:rsidR="00813701">
              <w:rPr>
                <w:webHidden/>
              </w:rPr>
              <w:fldChar w:fldCharType="begin"/>
            </w:r>
            <w:r w:rsidR="00813701">
              <w:rPr>
                <w:webHidden/>
              </w:rPr>
              <w:instrText xml:space="preserve"> PAGEREF _Toc46492392 \h </w:instrText>
            </w:r>
            <w:r w:rsidR="00813701">
              <w:rPr>
                <w:webHidden/>
              </w:rPr>
            </w:r>
            <w:r w:rsidR="00813701">
              <w:rPr>
                <w:webHidden/>
              </w:rPr>
              <w:fldChar w:fldCharType="separate"/>
            </w:r>
            <w:r w:rsidR="001D5C27">
              <w:rPr>
                <w:webHidden/>
              </w:rPr>
              <w:t>20</w:t>
            </w:r>
            <w:r w:rsidR="00813701">
              <w:rPr>
                <w:webHidden/>
              </w:rPr>
              <w:fldChar w:fldCharType="end"/>
            </w:r>
          </w:hyperlink>
        </w:p>
        <w:p w14:paraId="507D6111" w14:textId="7C08434C" w:rsidR="001F0E76" w:rsidRPr="00C8076C" w:rsidRDefault="00097D72" w:rsidP="00420CAF">
          <w:pPr>
            <w:rPr>
              <w:sz w:val="20"/>
              <w:szCs w:val="22"/>
            </w:rPr>
            <w:sectPr w:rsidR="001F0E76" w:rsidRPr="00C8076C" w:rsidSect="00822B3D">
              <w:type w:val="oddPage"/>
              <w:pgSz w:w="11906" w:h="16838"/>
              <w:pgMar w:top="1440" w:right="1440" w:bottom="1440" w:left="1440" w:header="708" w:footer="708" w:gutter="0"/>
              <w:pgNumType w:fmt="lowerRoman" w:start="2"/>
              <w:cols w:space="708"/>
              <w:docGrid w:linePitch="360"/>
            </w:sectPr>
          </w:pPr>
          <w:r w:rsidRPr="00C8076C">
            <w:rPr>
              <w:b/>
              <w:bCs/>
              <w:noProof/>
              <w:sz w:val="20"/>
              <w:szCs w:val="22"/>
            </w:rPr>
            <w:fldChar w:fldCharType="end"/>
          </w:r>
        </w:p>
      </w:sdtContent>
    </w:sdt>
    <w:bookmarkStart w:id="1" w:name="_Toc8986370" w:displacedByCustomXml="prev"/>
    <w:bookmarkStart w:id="2" w:name="_Toc8983846" w:displacedByCustomXml="prev"/>
    <w:p w14:paraId="0898CE3A" w14:textId="73EFC59F" w:rsidR="004A13A7" w:rsidRPr="00923D7A" w:rsidRDefault="004A13A7" w:rsidP="000B27C0">
      <w:pPr>
        <w:pStyle w:val="Heading1"/>
      </w:pPr>
      <w:bookmarkStart w:id="3" w:name="_Toc46492367"/>
      <w:r w:rsidRPr="000B27C0">
        <w:lastRenderedPageBreak/>
        <w:t>Introduction</w:t>
      </w:r>
      <w:bookmarkEnd w:id="0"/>
      <w:bookmarkEnd w:id="3"/>
      <w:bookmarkEnd w:id="2"/>
      <w:bookmarkEnd w:id="1"/>
    </w:p>
    <w:p w14:paraId="692C4DBA" w14:textId="77777777" w:rsidR="004A13A7" w:rsidRPr="00DE7566" w:rsidRDefault="004A13A7" w:rsidP="00E72710">
      <w:pPr>
        <w:pStyle w:val="Heading2"/>
        <w:ind w:left="709" w:hanging="709"/>
      </w:pPr>
      <w:bookmarkStart w:id="4" w:name="_Toc6298710"/>
      <w:bookmarkStart w:id="5" w:name="_Toc8983847"/>
      <w:bookmarkStart w:id="6" w:name="_Toc8986371"/>
      <w:bookmarkStart w:id="7" w:name="_Toc46492368"/>
      <w:r w:rsidRPr="00DE7566">
        <w:t>Purpose</w:t>
      </w:r>
      <w:bookmarkEnd w:id="4"/>
      <w:bookmarkEnd w:id="5"/>
      <w:bookmarkEnd w:id="6"/>
      <w:bookmarkEnd w:id="7"/>
    </w:p>
    <w:p w14:paraId="765DC294" w14:textId="038136F2" w:rsidR="00C146F3" w:rsidRPr="00C146F3" w:rsidRDefault="00C146F3" w:rsidP="00116ED4">
      <w:pPr>
        <w:rPr>
          <w:szCs w:val="22"/>
        </w:rPr>
      </w:pPr>
      <w:r w:rsidRPr="00C146F3">
        <w:rPr>
          <w:szCs w:val="22"/>
        </w:rPr>
        <w:t>The purpose of this Radiocommunications Assignment and Licensing Instruction (RALI) document is to describe procedures for the frequency coordination of fixed-satellite service (FSS) Earth station transmitters with:</w:t>
      </w:r>
    </w:p>
    <w:p w14:paraId="47CA13DB" w14:textId="2F7D51F7" w:rsidR="00CD7D84" w:rsidRPr="00C146F3" w:rsidRDefault="00C146F3" w:rsidP="00CD7D84">
      <w:pPr>
        <w:pStyle w:val="ListBullet"/>
      </w:pPr>
      <w:r w:rsidRPr="00C146F3">
        <w:t xml:space="preserve">terrestrial fixed service </w:t>
      </w:r>
      <w:proofErr w:type="gramStart"/>
      <w:r w:rsidRPr="00C146F3">
        <w:t>receivers;</w:t>
      </w:r>
      <w:proofErr w:type="gramEnd"/>
    </w:p>
    <w:p w14:paraId="123FEC4B" w14:textId="0ED383B9" w:rsidR="00C146F3" w:rsidRPr="00C146F3" w:rsidRDefault="00C146F3" w:rsidP="00C146F3">
      <w:pPr>
        <w:pStyle w:val="ListBullet"/>
      </w:pPr>
      <w:r w:rsidRPr="00C146F3">
        <w:t>Earth exploration-satellite service (EESS) (space-to-Earth) receivers; and</w:t>
      </w:r>
    </w:p>
    <w:p w14:paraId="3958BBEF" w14:textId="0930F927" w:rsidR="00C146F3" w:rsidRPr="00C146F3" w:rsidRDefault="00C146F3" w:rsidP="00551D8E">
      <w:pPr>
        <w:pStyle w:val="ListBulletLast"/>
      </w:pPr>
      <w:r w:rsidRPr="00C146F3">
        <w:t xml:space="preserve">space research service (SRS) (space-to-Earth) receivers. </w:t>
      </w:r>
    </w:p>
    <w:p w14:paraId="22E399E7" w14:textId="46829468" w:rsidR="00AC5485" w:rsidRDefault="00AC5485" w:rsidP="00C146F3">
      <w:pPr>
        <w:rPr>
          <w:szCs w:val="22"/>
        </w:rPr>
      </w:pPr>
      <w:r>
        <w:rPr>
          <w:szCs w:val="22"/>
        </w:rPr>
        <w:t xml:space="preserve">The provisions in this RALI, </w:t>
      </w:r>
      <w:proofErr w:type="gramStart"/>
      <w:r>
        <w:rPr>
          <w:szCs w:val="22"/>
        </w:rPr>
        <w:t>with the exception of</w:t>
      </w:r>
      <w:proofErr w:type="gramEnd"/>
      <w:r>
        <w:rPr>
          <w:szCs w:val="22"/>
        </w:rPr>
        <w:t xml:space="preserve"> </w:t>
      </w:r>
      <w:r w:rsidR="00813701">
        <w:rPr>
          <w:szCs w:val="22"/>
        </w:rPr>
        <w:t xml:space="preserve">the requirements for </w:t>
      </w:r>
      <w:r>
        <w:rPr>
          <w:szCs w:val="22"/>
        </w:rPr>
        <w:t>coordination with terrestrial fixed service receivers, do not apply for FSS earth stations licensed under an area-wide apparatus licence.</w:t>
      </w:r>
      <w:r>
        <w:rPr>
          <w:rStyle w:val="FootnoteReference"/>
          <w:szCs w:val="22"/>
        </w:rPr>
        <w:footnoteReference w:id="2"/>
      </w:r>
    </w:p>
    <w:p w14:paraId="2EE141B6" w14:textId="7E97DC19" w:rsidR="008574C6" w:rsidRPr="00AF06C8" w:rsidRDefault="00C146F3" w:rsidP="00C146F3">
      <w:pPr>
        <w:rPr>
          <w:rFonts w:cs="Arial"/>
          <w:szCs w:val="22"/>
        </w:rPr>
      </w:pPr>
      <w:r w:rsidRPr="00C146F3">
        <w:rPr>
          <w:szCs w:val="22"/>
        </w:rPr>
        <w:t>The document is primarily intended for use by the Australian Communications and Media Authority (ACMA) and accredited frequency assigners.</w:t>
      </w:r>
    </w:p>
    <w:p w14:paraId="41A5C4CE" w14:textId="7FD12531" w:rsidR="004A13A7" w:rsidRPr="00AF06C8" w:rsidRDefault="004A13A7" w:rsidP="00AF06C8">
      <w:pPr>
        <w:rPr>
          <w:szCs w:val="22"/>
        </w:rPr>
      </w:pPr>
      <w:r w:rsidRPr="00AF06C8">
        <w:rPr>
          <w:szCs w:val="22"/>
        </w:rPr>
        <w:t>The information in this document reflects the ACMA’s statement of current policy in relation to</w:t>
      </w:r>
      <w:r w:rsidR="00CE6759">
        <w:rPr>
          <w:szCs w:val="22"/>
        </w:rPr>
        <w:t xml:space="preserve"> the </w:t>
      </w:r>
      <w:r w:rsidR="006064C9" w:rsidRPr="006064C9">
        <w:rPr>
          <w:szCs w:val="22"/>
        </w:rPr>
        <w:t>frequency coordination of FSS Earth station transmitters operating in the 27.0-30.0 GHz band</w:t>
      </w:r>
      <w:r w:rsidR="00CE6759">
        <w:rPr>
          <w:szCs w:val="22"/>
        </w:rPr>
        <w:t>.</w:t>
      </w:r>
      <w:r w:rsidRPr="00AF06C8">
        <w:rPr>
          <w:szCs w:val="22"/>
        </w:rPr>
        <w:t xml:space="preserve"> </w:t>
      </w:r>
      <w:r w:rsidRPr="00AF06C8">
        <w:rPr>
          <w:rFonts w:cs="Calibri"/>
          <w:szCs w:val="22"/>
        </w:rPr>
        <w:t xml:space="preserve">In making decisions, </w:t>
      </w:r>
      <w:r w:rsidRPr="00AF06C8">
        <w:rPr>
          <w:rFonts w:cstheme="minorHAnsi"/>
          <w:szCs w:val="22"/>
        </w:rPr>
        <w:t xml:space="preserve">accredited frequency assigners and the ACMA’s officers </w:t>
      </w:r>
      <w:r w:rsidRPr="00AF06C8">
        <w:rPr>
          <w:rFonts w:cs="Calibri"/>
          <w:szCs w:val="22"/>
        </w:rPr>
        <w:t xml:space="preserve">should take all relevant factors into account and decide each case on its merits. Issues relating to this document that appear to fall outside the enunciated </w:t>
      </w:r>
      <w:r w:rsidRPr="00AF06C8">
        <w:rPr>
          <w:rFonts w:cstheme="minorHAnsi"/>
          <w:szCs w:val="22"/>
        </w:rPr>
        <w:t xml:space="preserve">policy should be referred </w:t>
      </w:r>
      <w:r w:rsidRPr="00AF06C8">
        <w:rPr>
          <w:szCs w:val="22"/>
        </w:rPr>
        <w:t>to:</w:t>
      </w:r>
    </w:p>
    <w:p w14:paraId="0F7BF43F" w14:textId="131B9F48" w:rsidR="004A13A7" w:rsidRPr="00AF06C8" w:rsidRDefault="004A13A7" w:rsidP="00AF06C8">
      <w:pPr>
        <w:rPr>
          <w:szCs w:val="22"/>
        </w:rPr>
      </w:pPr>
      <w:r w:rsidRPr="00AF06C8">
        <w:rPr>
          <w:szCs w:val="22"/>
        </w:rPr>
        <w:t xml:space="preserve">The Manager, Spectrum </w:t>
      </w:r>
      <w:r w:rsidR="002141E9">
        <w:rPr>
          <w:szCs w:val="22"/>
        </w:rPr>
        <w:t>Planning</w:t>
      </w:r>
      <w:r w:rsidR="00057041">
        <w:rPr>
          <w:szCs w:val="22"/>
        </w:rPr>
        <w:t xml:space="preserve">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2155CD76" w14:textId="77777777" w:rsidR="004A13A7" w:rsidRPr="00AF06C8" w:rsidRDefault="004A13A7" w:rsidP="00AF06C8">
      <w:pPr>
        <w:rPr>
          <w:rFonts w:cstheme="minorHAnsi"/>
          <w:szCs w:val="22"/>
        </w:rPr>
      </w:pPr>
      <w:r w:rsidRPr="00AF06C8">
        <w:rPr>
          <w:rFonts w:cstheme="minorHAnsi"/>
          <w:szCs w:val="22"/>
        </w:rPr>
        <w:t xml:space="preserve">or by email to: </w:t>
      </w:r>
      <w:hyperlink r:id="rId12" w:history="1">
        <w:r w:rsidRPr="00AF06C8">
          <w:rPr>
            <w:rStyle w:val="Hyperlink"/>
            <w:rFonts w:cstheme="minorHAnsi"/>
            <w:szCs w:val="22"/>
          </w:rPr>
          <w:t>freqplan@acma.gov.au</w:t>
        </w:r>
      </w:hyperlink>
      <w:r w:rsidRPr="00AF06C8">
        <w:rPr>
          <w:rFonts w:cstheme="minorHAnsi"/>
          <w:szCs w:val="22"/>
        </w:rPr>
        <w:t>.</w:t>
      </w:r>
    </w:p>
    <w:p w14:paraId="73B7E0A9" w14:textId="77777777" w:rsidR="004A13A7" w:rsidRPr="00FD1033" w:rsidRDefault="004A13A7" w:rsidP="00E72710">
      <w:pPr>
        <w:pStyle w:val="Heading2"/>
        <w:ind w:left="709" w:hanging="709"/>
      </w:pPr>
      <w:bookmarkStart w:id="8" w:name="_Toc6298711"/>
      <w:bookmarkStart w:id="9" w:name="_Toc8983848"/>
      <w:bookmarkStart w:id="10" w:name="_Toc8986372"/>
      <w:bookmarkStart w:id="11" w:name="_Toc46492369"/>
      <w:r>
        <w:t>Scope</w:t>
      </w:r>
      <w:bookmarkEnd w:id="8"/>
      <w:bookmarkEnd w:id="9"/>
      <w:bookmarkEnd w:id="10"/>
      <w:bookmarkEnd w:id="11"/>
    </w:p>
    <w:p w14:paraId="2E660875" w14:textId="44053585" w:rsidR="0049129A" w:rsidRPr="0049129A" w:rsidRDefault="0049129A" w:rsidP="006D7BC6">
      <w:pPr>
        <w:rPr>
          <w:szCs w:val="22"/>
        </w:rPr>
      </w:pPr>
      <w:r w:rsidRPr="0049129A">
        <w:rPr>
          <w:szCs w:val="22"/>
        </w:rPr>
        <w:t xml:space="preserve">The scope of the RALI is limited to: </w:t>
      </w:r>
    </w:p>
    <w:p w14:paraId="1B5F3DE8" w14:textId="2043CE26" w:rsidR="0049129A" w:rsidRPr="0049129A" w:rsidRDefault="0049129A" w:rsidP="000E545C">
      <w:pPr>
        <w:pStyle w:val="ListBullet"/>
      </w:pPr>
      <w:r w:rsidRPr="0049129A">
        <w:t>the coordination of FSS Earth station transmitters and fixed service receivers operating in the frequency range 27.5–30 GHz, and only considers the protection of the latter from potential interference from the former; and</w:t>
      </w:r>
    </w:p>
    <w:p w14:paraId="2FD6B91C" w14:textId="77F59CFB" w:rsidR="0049129A" w:rsidRPr="0049129A" w:rsidRDefault="0049129A" w:rsidP="00831128">
      <w:pPr>
        <w:pStyle w:val="ListBullet"/>
      </w:pPr>
      <w:r w:rsidRPr="0049129A">
        <w:t>the coordination of FSS Earth station transmitters and EESS (space-to-Earth) receivers, and only considers the protection of the latter from potential interference from the former; and</w:t>
      </w:r>
    </w:p>
    <w:p w14:paraId="5B883A1E" w14:textId="68AD82AD" w:rsidR="0049129A" w:rsidRPr="0049129A" w:rsidRDefault="0049129A" w:rsidP="00831128">
      <w:pPr>
        <w:pStyle w:val="ListBulletLast"/>
      </w:pPr>
      <w:r w:rsidRPr="0049129A">
        <w:lastRenderedPageBreak/>
        <w:t>the coordination of FSS Earth station transmitters and SRS (space-to-Earth) receivers, and only considers the protection of the latter from potential interference from the former.</w:t>
      </w:r>
    </w:p>
    <w:p w14:paraId="142A6DAA" w14:textId="16065044" w:rsidR="0049129A" w:rsidRPr="0049129A" w:rsidRDefault="0049129A" w:rsidP="0049129A">
      <w:pPr>
        <w:rPr>
          <w:szCs w:val="22"/>
        </w:rPr>
      </w:pPr>
      <w:r w:rsidRPr="0049129A">
        <w:rPr>
          <w:szCs w:val="22"/>
        </w:rPr>
        <w:t xml:space="preserve">Coordination between microwave fixed point-to-point links in the 28 GHz band (27.5–29.5 GHz) is detailed in </w:t>
      </w:r>
      <w:hyperlink r:id="rId13" w:history="1">
        <w:r w:rsidR="00831128" w:rsidRPr="00E8378A">
          <w:rPr>
            <w:rStyle w:val="Hyperlink"/>
          </w:rPr>
          <w:t xml:space="preserve">RALI FX 3 Microwave </w:t>
        </w:r>
        <w:r w:rsidR="00831128">
          <w:rPr>
            <w:rStyle w:val="Hyperlink"/>
          </w:rPr>
          <w:t>f</w:t>
        </w:r>
        <w:r w:rsidR="00831128" w:rsidRPr="00E8378A">
          <w:rPr>
            <w:rStyle w:val="Hyperlink"/>
          </w:rPr>
          <w:t xml:space="preserve">ixed </w:t>
        </w:r>
        <w:r w:rsidR="00831128">
          <w:rPr>
            <w:rStyle w:val="Hyperlink"/>
          </w:rPr>
          <w:t>s</w:t>
        </w:r>
        <w:r w:rsidR="00831128" w:rsidRPr="00E8378A">
          <w:rPr>
            <w:rStyle w:val="Hyperlink"/>
          </w:rPr>
          <w:t xml:space="preserve">ervices </w:t>
        </w:r>
        <w:r w:rsidR="00831128">
          <w:rPr>
            <w:rStyle w:val="Hyperlink"/>
          </w:rPr>
          <w:t>f</w:t>
        </w:r>
        <w:r w:rsidR="00831128" w:rsidRPr="00E8378A">
          <w:rPr>
            <w:rStyle w:val="Hyperlink"/>
          </w:rPr>
          <w:t xml:space="preserve">requency </w:t>
        </w:r>
        <w:r w:rsidR="00831128">
          <w:rPr>
            <w:rStyle w:val="Hyperlink"/>
          </w:rPr>
          <w:t>c</w:t>
        </w:r>
        <w:r w:rsidR="00831128" w:rsidRPr="00E8378A">
          <w:rPr>
            <w:rStyle w:val="Hyperlink"/>
          </w:rPr>
          <w:t>oordination</w:t>
        </w:r>
      </w:hyperlink>
      <w:r w:rsidRPr="0049129A">
        <w:rPr>
          <w:szCs w:val="22"/>
        </w:rPr>
        <w:t xml:space="preserve">. </w:t>
      </w:r>
      <w:r w:rsidR="00116ED4">
        <w:rPr>
          <w:szCs w:val="22"/>
        </w:rPr>
        <w:t>As of 23 September 2019, no new fixed point-to-point fixed link assignments may be made in the 28 GHz band.</w:t>
      </w:r>
    </w:p>
    <w:p w14:paraId="3ABDC14A" w14:textId="77777777" w:rsidR="0049129A" w:rsidRPr="0049129A" w:rsidRDefault="0049129A" w:rsidP="0049129A">
      <w:pPr>
        <w:rPr>
          <w:szCs w:val="22"/>
        </w:rPr>
      </w:pPr>
      <w:r w:rsidRPr="0049129A">
        <w:rPr>
          <w:szCs w:val="22"/>
        </w:rPr>
        <w:t>Fixed-service receivers shall not claim protection from FSS Earth station transmitters that are already recorded in the Register of Radiocommunications Licences.</w:t>
      </w:r>
    </w:p>
    <w:p w14:paraId="0186450D" w14:textId="77777777" w:rsidR="00831128" w:rsidRDefault="0049129A" w:rsidP="00831128">
      <w:r w:rsidRPr="0049129A">
        <w:rPr>
          <w:szCs w:val="22"/>
        </w:rPr>
        <w:t>Matters concerning international coordination of satellite networks are conducted within frameworks specified in the International Telecommunication Union (ITU) Radio Regulations and are not addressed in this RALI. Coordination of intra-Australian satellite networks is also outside the scope of this RALI.</w:t>
      </w:r>
      <w:r w:rsidR="00831128">
        <w:t xml:space="preserve"> </w:t>
      </w:r>
      <w:bookmarkStart w:id="12" w:name="_Toc6298713"/>
      <w:bookmarkStart w:id="13" w:name="_Toc8983850"/>
      <w:bookmarkStart w:id="14" w:name="_Toc8986374"/>
    </w:p>
    <w:p w14:paraId="1C656661" w14:textId="049D3363" w:rsidR="004A13A7" w:rsidRPr="000B27C0" w:rsidRDefault="004A13A7" w:rsidP="00EA577C">
      <w:pPr>
        <w:pStyle w:val="Heading1"/>
      </w:pPr>
      <w:bookmarkStart w:id="15" w:name="_Toc46492370"/>
      <w:r w:rsidRPr="000B27C0">
        <w:lastRenderedPageBreak/>
        <w:t>Frequency coordination</w:t>
      </w:r>
      <w:bookmarkEnd w:id="12"/>
      <w:bookmarkEnd w:id="13"/>
      <w:bookmarkEnd w:id="14"/>
      <w:bookmarkEnd w:id="15"/>
    </w:p>
    <w:p w14:paraId="79156396" w14:textId="1E6183FC" w:rsidR="004A13A7" w:rsidRPr="002A32DD" w:rsidRDefault="004A13A7" w:rsidP="00C6560D">
      <w:pPr>
        <w:pStyle w:val="Heading2"/>
      </w:pPr>
      <w:bookmarkStart w:id="16" w:name="_Toc8983851"/>
      <w:bookmarkStart w:id="17" w:name="_Toc8986375"/>
      <w:bookmarkStart w:id="18" w:name="_Toc46492371"/>
      <w:r w:rsidRPr="002A32DD">
        <w:t xml:space="preserve">Identification of potentially affected </w:t>
      </w:r>
      <w:bookmarkEnd w:id="16"/>
      <w:bookmarkEnd w:id="17"/>
      <w:r w:rsidR="00836796" w:rsidRPr="002A32DD">
        <w:t>licensed stations</w:t>
      </w:r>
      <w:bookmarkEnd w:id="18"/>
    </w:p>
    <w:p w14:paraId="35872C54" w14:textId="2CE4A2D9" w:rsidR="00286B5E" w:rsidRDefault="00836796" w:rsidP="002A32DD">
      <w:pPr>
        <w:pStyle w:val="Heading3"/>
      </w:pPr>
      <w:bookmarkStart w:id="19" w:name="_Toc46492372"/>
      <w:r>
        <w:t xml:space="preserve">FSS transmitters into fixed </w:t>
      </w:r>
      <w:r w:rsidRPr="002A32DD">
        <w:t>service</w:t>
      </w:r>
      <w:r>
        <w:t xml:space="preserve"> receivers</w:t>
      </w:r>
      <w:bookmarkEnd w:id="19"/>
    </w:p>
    <w:p w14:paraId="5A483586" w14:textId="2006AEE6" w:rsidR="001760C5" w:rsidRPr="0098155C" w:rsidRDefault="0099096D" w:rsidP="00C6560D">
      <w:pPr>
        <w:pStyle w:val="Heading4"/>
      </w:pPr>
      <w:r w:rsidRPr="0098155C">
        <w:t xml:space="preserve">Potentially </w:t>
      </w:r>
      <w:r w:rsidRPr="00C6560D">
        <w:t>affected</w:t>
      </w:r>
      <w:r w:rsidRPr="0098155C">
        <w:t xml:space="preserve"> licences</w:t>
      </w:r>
    </w:p>
    <w:p w14:paraId="43A5B30C" w14:textId="77777777" w:rsidR="00490FF6" w:rsidRDefault="00490FF6" w:rsidP="00490FF6">
      <w:r>
        <w:t>In order to identify potentially affected fixed service receivers where more coordination, as defined in Section 2.2, is required, an area and frequency cull are performed on all licences in the Register of Radiocommunications Licences as follows:</w:t>
      </w:r>
    </w:p>
    <w:p w14:paraId="46D29B5E" w14:textId="59BA2124" w:rsidR="00490FF6" w:rsidRDefault="00490FF6" w:rsidP="00C55467">
      <w:pPr>
        <w:pStyle w:val="ListNumber2"/>
      </w:pPr>
      <w:r>
        <w:tab/>
        <w:t>Area Cull: Identify any licensed fixed service stations within a 300 km radius of the FSS transmitter station’s location.</w:t>
      </w:r>
    </w:p>
    <w:p w14:paraId="5590E63C" w14:textId="6CADDD9E" w:rsidR="00C55467" w:rsidRDefault="00490FF6" w:rsidP="00C55467">
      <w:pPr>
        <w:pStyle w:val="ListNumber2"/>
      </w:pPr>
      <w:r>
        <w:tab/>
        <w:t xml:space="preserve">Frequency Cull: Limit the selection of fixed service stations in (1) to those operating within 224 MHz of the upper or lower band edge of the FSS transmitter station’s channel bandwidth </w:t>
      </w:r>
    </w:p>
    <w:p w14:paraId="03B023A6" w14:textId="1A7D51F0" w:rsidR="00D162F2" w:rsidRDefault="00490FF6" w:rsidP="00C55467">
      <w:pPr>
        <w:pStyle w:val="ListNumber2"/>
        <w:numPr>
          <w:ilvl w:val="0"/>
          <w:numId w:val="0"/>
        </w:numPr>
        <w:ind w:left="845"/>
      </w:pPr>
      <w:r>
        <w:t>(i.e. ∆f – BW</w:t>
      </w:r>
      <w:r w:rsidRPr="00DF46F9">
        <w:rPr>
          <w:vertAlign w:val="subscript"/>
        </w:rPr>
        <w:t>ES</w:t>
      </w:r>
      <w:r>
        <w:t>/2 – BW</w:t>
      </w:r>
      <w:r w:rsidRPr="00DF46F9">
        <w:rPr>
          <w:vertAlign w:val="subscript"/>
        </w:rPr>
        <w:t>FS</w:t>
      </w:r>
      <w:r>
        <w:t xml:space="preserve">/2 &lt; 224 MHz—more guidance on this is provided below). </w:t>
      </w:r>
    </w:p>
    <w:p w14:paraId="5E54097D" w14:textId="6A2B0102" w:rsidR="0098155C" w:rsidRPr="00015C3F" w:rsidRDefault="000E5D93" w:rsidP="000E5D93">
      <w:pPr>
        <w:pStyle w:val="Heading4"/>
      </w:pPr>
      <w:r w:rsidRPr="000E5D93">
        <w:t>Determination of co-channel or adjacent-channel configuration</w:t>
      </w:r>
    </w:p>
    <w:p w14:paraId="75F07E1F" w14:textId="77777777" w:rsidR="00BE165F" w:rsidRDefault="00BE165F" w:rsidP="00BE165F">
      <w:r>
        <w:t>This section specifies whether the FSS Earth station transmitter and the fixed service receiver being coordinated are co-channel or adjacent-channel.</w:t>
      </w:r>
    </w:p>
    <w:p w14:paraId="26236A1E" w14:textId="77777777" w:rsidR="00BE165F" w:rsidRDefault="00BE165F" w:rsidP="00BE165F">
      <w:r>
        <w:t>Frequency offset (∆</w:t>
      </w:r>
      <w:r w:rsidRPr="00EF48F7">
        <w:rPr>
          <w:i/>
        </w:rPr>
        <w:t>f</w:t>
      </w:r>
      <w:r>
        <w:t>) is the absolute value of the difference between the centre frequencies of the FSS Earth station transmitter and the fixed service receiver being coordinated.</w:t>
      </w:r>
    </w:p>
    <w:p w14:paraId="37AAC84E" w14:textId="77777777" w:rsidR="00BE165F" w:rsidRDefault="00BE165F" w:rsidP="00BE165F">
      <w:pPr>
        <w:ind w:left="720"/>
      </w:pPr>
      <w:r>
        <w:t>Co-channel:</w:t>
      </w:r>
    </w:p>
    <w:p w14:paraId="2DD33626" w14:textId="77777777" w:rsidR="00BE165F" w:rsidRDefault="00BE165F" w:rsidP="00BE165F">
      <w:pPr>
        <w:ind w:left="720" w:firstLine="720"/>
      </w:pPr>
      <w:r>
        <w:t>0 ≤ ∆</w:t>
      </w:r>
      <w:r w:rsidRPr="00C47E1C">
        <w:rPr>
          <w:i/>
        </w:rPr>
        <w:t>f</w:t>
      </w:r>
      <w:r>
        <w:t xml:space="preserve"> &lt; (</w:t>
      </w:r>
      <w:r w:rsidRPr="00C47E1C">
        <w:rPr>
          <w:i/>
        </w:rPr>
        <w:t>BW</w:t>
      </w:r>
      <w:r w:rsidRPr="00C47E1C">
        <w:rPr>
          <w:i/>
          <w:vertAlign w:val="subscript"/>
        </w:rPr>
        <w:t>ES</w:t>
      </w:r>
      <w:r w:rsidRPr="00C47E1C">
        <w:rPr>
          <w:i/>
        </w:rPr>
        <w:t xml:space="preserve"> </w:t>
      </w:r>
      <w:r w:rsidRPr="00C47E1C">
        <w:t>+</w:t>
      </w:r>
      <w:r w:rsidRPr="00C47E1C">
        <w:rPr>
          <w:i/>
        </w:rPr>
        <w:t xml:space="preserve"> BW</w:t>
      </w:r>
      <w:r w:rsidRPr="00C47E1C">
        <w:rPr>
          <w:i/>
          <w:vertAlign w:val="subscript"/>
        </w:rPr>
        <w:t>FS</w:t>
      </w:r>
      <w:r>
        <w:t>)/2</w:t>
      </w:r>
    </w:p>
    <w:p w14:paraId="1AD1132B" w14:textId="77777777" w:rsidR="00BE165F" w:rsidRDefault="00BE165F" w:rsidP="00BE165F">
      <w:pPr>
        <w:ind w:left="720"/>
      </w:pPr>
      <w:r>
        <w:t xml:space="preserve">First adjacent-channel: </w:t>
      </w:r>
      <w:r>
        <w:tab/>
      </w:r>
    </w:p>
    <w:p w14:paraId="61D91769" w14:textId="77777777" w:rsidR="00BE165F" w:rsidRDefault="00BE165F" w:rsidP="00BE165F">
      <w:pPr>
        <w:ind w:left="720" w:firstLine="720"/>
      </w:pPr>
      <w:r>
        <w:t>(</w:t>
      </w:r>
      <w:r w:rsidRPr="00C47E1C">
        <w:rPr>
          <w:i/>
        </w:rPr>
        <w:t>BW</w:t>
      </w:r>
      <w:r w:rsidRPr="00C47E1C">
        <w:rPr>
          <w:i/>
          <w:vertAlign w:val="subscript"/>
        </w:rPr>
        <w:t>ES</w:t>
      </w:r>
      <w:r>
        <w:t xml:space="preserve"> + </w:t>
      </w:r>
      <w:r w:rsidRPr="00C47E1C">
        <w:rPr>
          <w:i/>
        </w:rPr>
        <w:t>BW</w:t>
      </w:r>
      <w:r w:rsidRPr="00C47E1C">
        <w:rPr>
          <w:i/>
          <w:vertAlign w:val="subscript"/>
        </w:rPr>
        <w:t>FS</w:t>
      </w:r>
      <w:r>
        <w:t>)/2 ≤ ∆</w:t>
      </w:r>
      <w:r w:rsidRPr="00B27DE4">
        <w:rPr>
          <w:i/>
        </w:rPr>
        <w:t>f</w:t>
      </w:r>
      <w:r>
        <w:t xml:space="preserve"> &lt; [</w:t>
      </w:r>
      <w:proofErr w:type="gramStart"/>
      <w:r w:rsidRPr="009A17AA">
        <w:rPr>
          <w:i/>
        </w:rPr>
        <w:t>max</w:t>
      </w:r>
      <w:r>
        <w:t>(</w:t>
      </w:r>
      <w:proofErr w:type="gramEnd"/>
      <w:r w:rsidRPr="00C47E1C">
        <w:rPr>
          <w:i/>
        </w:rPr>
        <w:t>BW</w:t>
      </w:r>
      <w:r w:rsidRPr="00C47E1C">
        <w:rPr>
          <w:i/>
          <w:vertAlign w:val="subscript"/>
        </w:rPr>
        <w:t>ES</w:t>
      </w:r>
      <w:r>
        <w:t xml:space="preserve">, </w:t>
      </w:r>
      <w:r w:rsidRPr="00C47E1C">
        <w:rPr>
          <w:i/>
        </w:rPr>
        <w:t>BW</w:t>
      </w:r>
      <w:r w:rsidRPr="00C47E1C">
        <w:rPr>
          <w:i/>
          <w:vertAlign w:val="subscript"/>
        </w:rPr>
        <w:t>FS</w:t>
      </w:r>
      <w:r>
        <w:t>) + (</w:t>
      </w:r>
      <w:r w:rsidRPr="00C47E1C">
        <w:rPr>
          <w:i/>
        </w:rPr>
        <w:t>BW</w:t>
      </w:r>
      <w:r w:rsidRPr="00C47E1C">
        <w:rPr>
          <w:i/>
          <w:vertAlign w:val="subscript"/>
        </w:rPr>
        <w:t>ES</w:t>
      </w:r>
      <w:r>
        <w:t xml:space="preserve"> + </w:t>
      </w:r>
      <w:r w:rsidRPr="00C47E1C">
        <w:rPr>
          <w:i/>
        </w:rPr>
        <w:t>BW</w:t>
      </w:r>
      <w:r w:rsidRPr="00C47E1C">
        <w:rPr>
          <w:i/>
          <w:vertAlign w:val="subscript"/>
        </w:rPr>
        <w:t>FS</w:t>
      </w:r>
      <w:r>
        <w:t xml:space="preserve">)/2] </w:t>
      </w:r>
    </w:p>
    <w:p w14:paraId="6063F939" w14:textId="77777777" w:rsidR="00BE165F" w:rsidRDefault="00BE165F" w:rsidP="00BE165F">
      <w:pPr>
        <w:ind w:left="720"/>
      </w:pPr>
      <w:r>
        <w:t xml:space="preserve">Second adjacent-channel: </w:t>
      </w:r>
    </w:p>
    <w:p w14:paraId="1E745861" w14:textId="77777777" w:rsidR="00854282" w:rsidRDefault="00BE165F" w:rsidP="00854282">
      <w:pPr>
        <w:spacing w:after="0"/>
        <w:ind w:left="720" w:firstLine="720"/>
      </w:pPr>
      <w:r>
        <w:t>[</w:t>
      </w:r>
      <w:r w:rsidRPr="009A17AA">
        <w:rPr>
          <w:i/>
        </w:rPr>
        <w:t>max</w:t>
      </w:r>
      <w:r>
        <w:t xml:space="preserve"> (</w:t>
      </w:r>
      <w:r w:rsidRPr="00C47E1C">
        <w:rPr>
          <w:i/>
        </w:rPr>
        <w:t>BW</w:t>
      </w:r>
      <w:r w:rsidRPr="00C47E1C">
        <w:rPr>
          <w:i/>
          <w:vertAlign w:val="subscript"/>
        </w:rPr>
        <w:t>ES</w:t>
      </w:r>
      <w:r>
        <w:t xml:space="preserve">, </w:t>
      </w:r>
      <w:r w:rsidRPr="00C47E1C">
        <w:rPr>
          <w:i/>
        </w:rPr>
        <w:t>BW</w:t>
      </w:r>
      <w:r w:rsidRPr="00C47E1C">
        <w:rPr>
          <w:i/>
          <w:vertAlign w:val="subscript"/>
        </w:rPr>
        <w:t>FS</w:t>
      </w:r>
      <w:r>
        <w:t>) + (</w:t>
      </w:r>
      <w:r w:rsidRPr="00C47E1C">
        <w:rPr>
          <w:i/>
        </w:rPr>
        <w:t>BW</w:t>
      </w:r>
      <w:r w:rsidRPr="00C47E1C">
        <w:rPr>
          <w:i/>
          <w:vertAlign w:val="subscript"/>
        </w:rPr>
        <w:t>ES</w:t>
      </w:r>
      <w:r>
        <w:t xml:space="preserve"> + </w:t>
      </w:r>
      <w:r w:rsidRPr="00C47E1C">
        <w:rPr>
          <w:i/>
        </w:rPr>
        <w:t>BW</w:t>
      </w:r>
      <w:r w:rsidRPr="00C47E1C">
        <w:rPr>
          <w:i/>
          <w:vertAlign w:val="subscript"/>
        </w:rPr>
        <w:t>FS</w:t>
      </w:r>
      <w:r>
        <w:t>)/2] ≤ ∆</w:t>
      </w:r>
      <w:r w:rsidRPr="009A17AA">
        <w:rPr>
          <w:i/>
        </w:rPr>
        <w:t>f</w:t>
      </w:r>
      <w:r>
        <w:t xml:space="preserve"> &lt; </w:t>
      </w:r>
    </w:p>
    <w:p w14:paraId="765CF6FD" w14:textId="07889978" w:rsidR="00BE165F" w:rsidRDefault="00BE165F" w:rsidP="00854282">
      <w:pPr>
        <w:ind w:left="720" w:firstLine="720"/>
        <w:jc w:val="right"/>
      </w:pPr>
      <w:r>
        <w:t>[2∙</w:t>
      </w:r>
      <w:r w:rsidRPr="009A17AA">
        <w:rPr>
          <w:i/>
        </w:rPr>
        <w:t xml:space="preserve"> max</w:t>
      </w:r>
      <w:r>
        <w:t xml:space="preserve"> (</w:t>
      </w:r>
      <w:r w:rsidRPr="00C47E1C">
        <w:rPr>
          <w:i/>
        </w:rPr>
        <w:t>BW</w:t>
      </w:r>
      <w:r w:rsidRPr="00C47E1C">
        <w:rPr>
          <w:i/>
          <w:vertAlign w:val="subscript"/>
        </w:rPr>
        <w:t>ES</w:t>
      </w:r>
      <w:r>
        <w:t xml:space="preserve">, </w:t>
      </w:r>
      <w:r w:rsidRPr="00C47E1C">
        <w:rPr>
          <w:i/>
        </w:rPr>
        <w:t>BW</w:t>
      </w:r>
      <w:r w:rsidRPr="00C47E1C">
        <w:rPr>
          <w:i/>
          <w:vertAlign w:val="subscript"/>
        </w:rPr>
        <w:t>FS</w:t>
      </w:r>
      <w:r>
        <w:t>) + (</w:t>
      </w:r>
      <w:r w:rsidRPr="00C47E1C">
        <w:rPr>
          <w:i/>
        </w:rPr>
        <w:t>BW</w:t>
      </w:r>
      <w:r w:rsidRPr="00C47E1C">
        <w:rPr>
          <w:i/>
          <w:vertAlign w:val="subscript"/>
        </w:rPr>
        <w:t>ES</w:t>
      </w:r>
      <w:r>
        <w:t xml:space="preserve"> + </w:t>
      </w:r>
      <w:r w:rsidRPr="00C47E1C">
        <w:rPr>
          <w:i/>
        </w:rPr>
        <w:t>BW</w:t>
      </w:r>
      <w:r w:rsidRPr="00C47E1C">
        <w:rPr>
          <w:i/>
          <w:vertAlign w:val="subscript"/>
        </w:rPr>
        <w:t>FS</w:t>
      </w:r>
      <w:r>
        <w:t>)/2]</w:t>
      </w:r>
    </w:p>
    <w:p w14:paraId="677C4EB4" w14:textId="77777777" w:rsidR="00BE165F" w:rsidRDefault="00BE165F" w:rsidP="00BE165F">
      <w:pPr>
        <w:ind w:left="720"/>
      </w:pPr>
      <w:r>
        <w:t>Third adjacent-channel and beyond:</w:t>
      </w:r>
    </w:p>
    <w:p w14:paraId="26E446E7" w14:textId="7A29CE8A" w:rsidR="00BE165F" w:rsidRDefault="00BE165F" w:rsidP="00283975">
      <w:pPr>
        <w:ind w:left="720" w:firstLine="720"/>
      </w:pPr>
      <w:r>
        <w:t>∆</w:t>
      </w:r>
      <w:r w:rsidRPr="009A17AA">
        <w:rPr>
          <w:i/>
        </w:rPr>
        <w:t>f</w:t>
      </w:r>
      <w:r>
        <w:t xml:space="preserve"> ≥ [2∙</w:t>
      </w:r>
      <w:r w:rsidRPr="009A17AA">
        <w:rPr>
          <w:i/>
        </w:rPr>
        <w:t xml:space="preserve"> max</w:t>
      </w:r>
      <w:r>
        <w:t xml:space="preserve"> (</w:t>
      </w:r>
      <w:r w:rsidRPr="00C47E1C">
        <w:rPr>
          <w:i/>
        </w:rPr>
        <w:t>BW</w:t>
      </w:r>
      <w:r w:rsidRPr="00C47E1C">
        <w:rPr>
          <w:i/>
          <w:vertAlign w:val="subscript"/>
        </w:rPr>
        <w:t>ES</w:t>
      </w:r>
      <w:r>
        <w:t xml:space="preserve">, </w:t>
      </w:r>
      <w:r w:rsidRPr="00C47E1C">
        <w:rPr>
          <w:i/>
        </w:rPr>
        <w:t>BW</w:t>
      </w:r>
      <w:r w:rsidRPr="00C47E1C">
        <w:rPr>
          <w:i/>
          <w:vertAlign w:val="subscript"/>
        </w:rPr>
        <w:t>FS</w:t>
      </w:r>
      <w:r>
        <w:t>) + (</w:t>
      </w:r>
      <w:r w:rsidRPr="00C47E1C">
        <w:rPr>
          <w:i/>
        </w:rPr>
        <w:t>BW</w:t>
      </w:r>
      <w:r w:rsidRPr="00C47E1C">
        <w:rPr>
          <w:i/>
          <w:vertAlign w:val="subscript"/>
        </w:rPr>
        <w:t>ES</w:t>
      </w:r>
      <w:r>
        <w:t xml:space="preserve"> + </w:t>
      </w:r>
      <w:r w:rsidRPr="00C47E1C">
        <w:rPr>
          <w:i/>
        </w:rPr>
        <w:t>BW</w:t>
      </w:r>
      <w:r w:rsidRPr="00C47E1C">
        <w:rPr>
          <w:i/>
          <w:vertAlign w:val="subscript"/>
        </w:rPr>
        <w:t>FS</w:t>
      </w:r>
      <w:r>
        <w:t>)/2]</w:t>
      </w:r>
    </w:p>
    <w:p w14:paraId="1E80DAE5" w14:textId="77777777" w:rsidR="00BE165F" w:rsidRDefault="00BE165F" w:rsidP="00BE165F">
      <w:pPr>
        <w:ind w:left="720"/>
      </w:pPr>
      <w:r>
        <w:t xml:space="preserve">where </w:t>
      </w:r>
      <w:r w:rsidRPr="004F009D">
        <w:rPr>
          <w:i/>
        </w:rPr>
        <w:t>BW</w:t>
      </w:r>
      <w:r w:rsidRPr="004F009D">
        <w:rPr>
          <w:i/>
          <w:vertAlign w:val="subscript"/>
        </w:rPr>
        <w:t>ES</w:t>
      </w:r>
      <w:r>
        <w:t xml:space="preserve"> is the channel (transponder) bandwidth of the earth station transmitter and </w:t>
      </w:r>
      <w:r w:rsidRPr="004F009D">
        <w:rPr>
          <w:i/>
        </w:rPr>
        <w:t>BW</w:t>
      </w:r>
      <w:r w:rsidRPr="004F009D">
        <w:rPr>
          <w:i/>
          <w:vertAlign w:val="subscript"/>
        </w:rPr>
        <w:t>FS</w:t>
      </w:r>
      <w:r>
        <w:t xml:space="preserve"> is the channel bandwidth of the fixed service receiver.</w:t>
      </w:r>
    </w:p>
    <w:p w14:paraId="6C26F393" w14:textId="77777777" w:rsidR="00BE165F" w:rsidRDefault="00BE165F" w:rsidP="000E5D93"/>
    <w:p w14:paraId="030912E7" w14:textId="4BDB0F7A" w:rsidR="0058621A" w:rsidRDefault="0058621A" w:rsidP="0058621A">
      <w:pPr>
        <w:pStyle w:val="Heading3"/>
        <w:ind w:left="680" w:hanging="680"/>
      </w:pPr>
      <w:bookmarkStart w:id="20" w:name="_Ref434242707"/>
      <w:bookmarkStart w:id="21" w:name="_Toc457205657"/>
      <w:bookmarkStart w:id="22" w:name="_Toc438128030"/>
      <w:bookmarkStart w:id="23" w:name="_Toc46492373"/>
      <w:r>
        <w:lastRenderedPageBreak/>
        <w:t>FSS transmitters into EESS and SRS receivers</w:t>
      </w:r>
      <w:bookmarkEnd w:id="20"/>
      <w:bookmarkEnd w:id="21"/>
      <w:bookmarkEnd w:id="22"/>
      <w:bookmarkEnd w:id="23"/>
    </w:p>
    <w:p w14:paraId="0E26CF09" w14:textId="550A03FA" w:rsidR="0058621A" w:rsidRDefault="0058621A" w:rsidP="0058621A">
      <w:r>
        <w:t>An FSS Earth station transmitter, operating in the 27.0-27.5 GHz frequency range, located within:</w:t>
      </w:r>
    </w:p>
    <w:p w14:paraId="01E138B5" w14:textId="5AA2AD17" w:rsidR="0058621A" w:rsidRDefault="0058621A" w:rsidP="0058621A">
      <w:pPr>
        <w:pStyle w:val="ListBullet"/>
      </w:pPr>
      <w:r>
        <w:t>any of the areas described in Appendix 5; or</w:t>
      </w:r>
    </w:p>
    <w:p w14:paraId="38493738" w14:textId="34B75E70" w:rsidR="0058621A" w:rsidRDefault="0058621A" w:rsidP="0058621A">
      <w:pPr>
        <w:pStyle w:val="ListBulletLast"/>
      </w:pPr>
      <w:r>
        <w:t xml:space="preserve">50 km of a potentially affected licensed EESS receiver operating in the 25.5-27.0 GHz frequency </w:t>
      </w:r>
      <w:proofErr w:type="gramStart"/>
      <w:r>
        <w:t>range;</w:t>
      </w:r>
      <w:proofErr w:type="gramEnd"/>
    </w:p>
    <w:p w14:paraId="6BD8336A" w14:textId="3DF15B83" w:rsidR="0058621A" w:rsidRDefault="0058621A" w:rsidP="0058621A">
      <w:r>
        <w:t xml:space="preserve">is subject to further coordination in Section 2.2.2. </w:t>
      </w:r>
    </w:p>
    <w:p w14:paraId="603952B5" w14:textId="0072AD14" w:rsidR="0058621A" w:rsidRDefault="0058621A" w:rsidP="0058621A">
      <w:r>
        <w:t>Section</w:t>
      </w:r>
      <w:r w:rsidR="00D20112">
        <w:t xml:space="preserve"> 2.1.3</w:t>
      </w:r>
      <w:r>
        <w:t xml:space="preserve"> applies only to FSS Earth station transmitter licences issued after 18 January 2016. Services that operated under a 27 GHz spectrum licence that were subsequently converted to apparatus licences are not subject to the requirements of this section. </w:t>
      </w:r>
    </w:p>
    <w:p w14:paraId="7AF9BB74" w14:textId="77777777" w:rsidR="00F7377D" w:rsidRPr="00F7377D" w:rsidRDefault="00F7377D" w:rsidP="002A32DD">
      <w:pPr>
        <w:pStyle w:val="Heading2"/>
      </w:pPr>
      <w:bookmarkStart w:id="24" w:name="_Ref434240583"/>
      <w:bookmarkStart w:id="25" w:name="_Toc457205658"/>
      <w:bookmarkStart w:id="26" w:name="_Toc438128032"/>
      <w:bookmarkStart w:id="27" w:name="_Toc46492374"/>
      <w:r w:rsidRPr="002A32DD">
        <w:t>Coordination</w:t>
      </w:r>
      <w:bookmarkEnd w:id="24"/>
      <w:bookmarkEnd w:id="25"/>
      <w:bookmarkEnd w:id="26"/>
      <w:bookmarkEnd w:id="27"/>
    </w:p>
    <w:p w14:paraId="59994DF8" w14:textId="77777777" w:rsidR="00F7377D" w:rsidRPr="002A32DD" w:rsidRDefault="00F7377D" w:rsidP="002A32DD">
      <w:pPr>
        <w:pStyle w:val="Heading3"/>
      </w:pPr>
      <w:bookmarkStart w:id="28" w:name="_Toc457205659"/>
      <w:bookmarkStart w:id="29" w:name="_Toc438128033"/>
      <w:bookmarkStart w:id="30" w:name="_Toc46492375"/>
      <w:r w:rsidRPr="002A32DD">
        <w:t>FSS transmitters into fixed service receivers</w:t>
      </w:r>
      <w:bookmarkEnd w:id="28"/>
      <w:bookmarkEnd w:id="29"/>
      <w:bookmarkEnd w:id="30"/>
    </w:p>
    <w:p w14:paraId="6951149C" w14:textId="1D7043C5" w:rsidR="00F7377D" w:rsidRDefault="00F7377D" w:rsidP="00F7377D">
      <w:pPr>
        <w:spacing w:after="120"/>
      </w:pPr>
      <w:r>
        <w:t xml:space="preserve">This section covers the processes involved for coordination between an FSS Earth station transmitter and a fixed service receiver identified in Section </w:t>
      </w:r>
      <w:r w:rsidR="00C333A0">
        <w:t>2.1.2</w:t>
      </w:r>
      <w:r>
        <w:t>.</w:t>
      </w:r>
    </w:p>
    <w:p w14:paraId="669085A1" w14:textId="77777777" w:rsidR="00F7377D" w:rsidRDefault="00F7377D" w:rsidP="00F7377D">
      <w:pPr>
        <w:spacing w:after="120"/>
      </w:pPr>
      <w:r w:rsidRPr="0067126E">
        <w:rPr>
          <w:b/>
        </w:rPr>
        <w:t>Step 1</w:t>
      </w:r>
      <w:r>
        <w:t>: Calculate the unwanted power received from the transmitting Earth station, at the fixed service receiver as follows:</w:t>
      </w:r>
    </w:p>
    <w:p w14:paraId="51634CFA" w14:textId="110A452B" w:rsidR="00F7377D" w:rsidRDefault="00F7377D" w:rsidP="00A3419B">
      <w:pPr>
        <w:tabs>
          <w:tab w:val="left" w:pos="284"/>
          <w:tab w:val="left" w:pos="7088"/>
        </w:tabs>
        <w:spacing w:after="120"/>
      </w:pPr>
      <w:r>
        <w:tab/>
      </w:r>
      <w:r w:rsidRPr="00BE6874">
        <w:rPr>
          <w:i/>
        </w:rPr>
        <w:t>P</w:t>
      </w:r>
      <w:r w:rsidRPr="00BE6874">
        <w:rPr>
          <w:i/>
          <w:vertAlign w:val="subscript"/>
        </w:rPr>
        <w:t>rx_I</w:t>
      </w:r>
      <w:r>
        <w:t xml:space="preserve"> = </w:t>
      </w:r>
      <w:r w:rsidRPr="00BE6874">
        <w:rPr>
          <w:i/>
        </w:rPr>
        <w:t>P</w:t>
      </w:r>
      <w:r w:rsidRPr="00BE6874">
        <w:rPr>
          <w:i/>
          <w:vertAlign w:val="subscript"/>
        </w:rPr>
        <w:t>tx_I</w:t>
      </w:r>
      <w:r>
        <w:t xml:space="preserve"> + </w:t>
      </w:r>
      <w:r w:rsidRPr="00BE6874">
        <w:rPr>
          <w:i/>
        </w:rPr>
        <w:t>G</w:t>
      </w:r>
      <w:r w:rsidRPr="00BE6874">
        <w:rPr>
          <w:i/>
          <w:vertAlign w:val="subscript"/>
        </w:rPr>
        <w:t>tx_I</w:t>
      </w:r>
      <w:r>
        <w:t xml:space="preserve"> – </w:t>
      </w:r>
      <w:r w:rsidRPr="00BE6874">
        <w:rPr>
          <w:i/>
        </w:rPr>
        <w:t>L(p)</w:t>
      </w:r>
      <w:r>
        <w:t xml:space="preserve"> + </w:t>
      </w:r>
      <w:r w:rsidRPr="00BE6874">
        <w:rPr>
          <w:i/>
        </w:rPr>
        <w:t>G</w:t>
      </w:r>
      <w:r w:rsidRPr="00BE6874">
        <w:rPr>
          <w:i/>
          <w:vertAlign w:val="subscript"/>
        </w:rPr>
        <w:t>rx</w:t>
      </w:r>
      <w:r>
        <w:t xml:space="preserve"> </w:t>
      </w:r>
      <w:r>
        <w:tab/>
      </w:r>
      <w:r>
        <w:tab/>
      </w:r>
      <w:r w:rsidRPr="0067126E">
        <w:rPr>
          <w:b/>
        </w:rPr>
        <w:t>(</w:t>
      </w:r>
      <w:r>
        <w:rPr>
          <w:b/>
        </w:rPr>
        <w:t>1</w:t>
      </w:r>
      <w:r w:rsidRPr="0067126E">
        <w:rPr>
          <w:b/>
        </w:rPr>
        <w:t>)</w:t>
      </w:r>
    </w:p>
    <w:p w14:paraId="698CE457" w14:textId="0DBF1E05" w:rsidR="00F7377D" w:rsidRDefault="00F7377D" w:rsidP="00F7377D">
      <w:pPr>
        <w:spacing w:after="120"/>
      </w:pPr>
      <w:r>
        <w:tab/>
        <w:t>where</w:t>
      </w:r>
      <w:r>
        <w:tab/>
      </w:r>
      <w:r w:rsidRPr="00BE6874">
        <w:rPr>
          <w:i/>
        </w:rPr>
        <w:t>P</w:t>
      </w:r>
      <w:r w:rsidRPr="00BE6874">
        <w:rPr>
          <w:i/>
          <w:vertAlign w:val="subscript"/>
        </w:rPr>
        <w:t>tx_</w:t>
      </w:r>
      <w:proofErr w:type="gramStart"/>
      <w:r w:rsidRPr="00BE6874">
        <w:rPr>
          <w:i/>
          <w:vertAlign w:val="subscript"/>
        </w:rPr>
        <w:t>I</w:t>
      </w:r>
      <w:r>
        <w:t xml:space="preserve"> :</w:t>
      </w:r>
      <w:proofErr w:type="gramEnd"/>
      <w:r>
        <w:t xml:space="preserve"> Earth station transmit power (see Section </w:t>
      </w:r>
      <w:r w:rsidR="00C333A0">
        <w:t>2.2.1.1</w:t>
      </w:r>
      <w:r>
        <w:t>)</w:t>
      </w:r>
      <w:r>
        <w:rPr>
          <w:rStyle w:val="FootnoteReference"/>
        </w:rPr>
        <w:footnoteReference w:id="3"/>
      </w:r>
      <w:r>
        <w:t>.</w:t>
      </w:r>
    </w:p>
    <w:p w14:paraId="5D20CF6C" w14:textId="1A2E77AE" w:rsidR="00F7377D" w:rsidRDefault="00F7377D" w:rsidP="002B1B05">
      <w:pPr>
        <w:spacing w:after="120"/>
        <w:ind w:left="1134"/>
      </w:pPr>
      <w:r w:rsidRPr="00BE6874">
        <w:rPr>
          <w:i/>
        </w:rPr>
        <w:t>G</w:t>
      </w:r>
      <w:r w:rsidRPr="00BE6874">
        <w:rPr>
          <w:i/>
          <w:vertAlign w:val="subscript"/>
        </w:rPr>
        <w:t>tx_</w:t>
      </w:r>
      <w:proofErr w:type="gramStart"/>
      <w:r w:rsidRPr="00BE6874">
        <w:rPr>
          <w:i/>
          <w:vertAlign w:val="subscript"/>
        </w:rPr>
        <w:t>I</w:t>
      </w:r>
      <w:r>
        <w:t xml:space="preserve"> :</w:t>
      </w:r>
      <w:proofErr w:type="gramEnd"/>
      <w:r>
        <w:t xml:space="preserve"> Earth station antenna gain (dBi) towards the horizon on the azimuth in the direction of the terrestrial station (see Section </w:t>
      </w:r>
      <w:r w:rsidR="00C333A0">
        <w:t>2.2.1.2</w:t>
      </w:r>
      <w:r>
        <w:t>).</w:t>
      </w:r>
    </w:p>
    <w:p w14:paraId="4EC238B3" w14:textId="77777777" w:rsidR="00F7377D" w:rsidRDefault="00F7377D" w:rsidP="002B1B05">
      <w:pPr>
        <w:spacing w:after="120"/>
        <w:ind w:left="1134"/>
      </w:pPr>
      <w:r w:rsidRPr="00BE6874">
        <w:rPr>
          <w:i/>
        </w:rPr>
        <w:t>L(p</w:t>
      </w:r>
      <w:proofErr w:type="gramStart"/>
      <w:r w:rsidRPr="00BE6874">
        <w:rPr>
          <w:i/>
        </w:rPr>
        <w:t>)</w:t>
      </w:r>
      <w:r>
        <w:t xml:space="preserve"> :</w:t>
      </w:r>
      <w:proofErr w:type="gramEnd"/>
      <w:r>
        <w:t xml:space="preserve"> transmission path loss (dB) not exceeded for </w:t>
      </w:r>
      <w:r w:rsidRPr="00C76719">
        <w:rPr>
          <w:i/>
        </w:rPr>
        <w:t>p</w:t>
      </w:r>
      <w:r>
        <w:t>% time, calculated according to Recommendation ITU-R P.452 (as in force from time-to-time)</w:t>
      </w:r>
      <w:r w:rsidRPr="00E15C39">
        <w:rPr>
          <w:rStyle w:val="FootnoteReference"/>
        </w:rPr>
        <w:footnoteReference w:id="4"/>
      </w:r>
      <w:r>
        <w:t xml:space="preserve">. </w:t>
      </w:r>
    </w:p>
    <w:p w14:paraId="0C061C66" w14:textId="77777777" w:rsidR="00F7377D" w:rsidRDefault="00F7377D" w:rsidP="002B1B05">
      <w:pPr>
        <w:spacing w:after="120"/>
        <w:ind w:left="1134"/>
      </w:pPr>
      <w:proofErr w:type="gramStart"/>
      <w:r w:rsidRPr="00BE6874">
        <w:rPr>
          <w:i/>
        </w:rPr>
        <w:t>G</w:t>
      </w:r>
      <w:r w:rsidRPr="00BE6874">
        <w:rPr>
          <w:i/>
          <w:vertAlign w:val="subscript"/>
        </w:rPr>
        <w:t>rx</w:t>
      </w:r>
      <w:r>
        <w:t xml:space="preserve"> :</w:t>
      </w:r>
      <w:proofErr w:type="gramEnd"/>
      <w:r>
        <w:t xml:space="preserve"> terrestrial station antenna gain (dBi) on the azimuth in the direction of the Earth station.</w:t>
      </w:r>
    </w:p>
    <w:p w14:paraId="617C21B6" w14:textId="77777777" w:rsidR="00F7377D" w:rsidRDefault="00F7377D" w:rsidP="00F7377D">
      <w:pPr>
        <w:spacing w:after="120"/>
      </w:pPr>
      <w:r w:rsidRPr="0067126E">
        <w:rPr>
          <w:b/>
        </w:rPr>
        <w:t>Step 2</w:t>
      </w:r>
      <w:r>
        <w:t xml:space="preserve">: Use the calculated unwanted power level determined in Step 1 to determine if the relevant maximum permissible interference power, </w:t>
      </w:r>
      <w:r w:rsidRPr="0067126E">
        <w:rPr>
          <w:i/>
        </w:rPr>
        <w:t>P</w:t>
      </w:r>
      <w:r w:rsidRPr="0067126E">
        <w:rPr>
          <w:i/>
          <w:vertAlign w:val="subscript"/>
        </w:rPr>
        <w:t>intmax</w:t>
      </w:r>
      <w:r>
        <w:t xml:space="preserve">, has been exceeded. Coordination is successful, and the frequency could be assigned to the proposed station, only if: </w:t>
      </w:r>
    </w:p>
    <w:p w14:paraId="722626D8" w14:textId="21EFABBC" w:rsidR="00F7377D" w:rsidRDefault="00F37425" w:rsidP="00F37425">
      <w:pPr>
        <w:tabs>
          <w:tab w:val="left" w:pos="284"/>
          <w:tab w:val="left" w:pos="7088"/>
        </w:tabs>
        <w:spacing w:after="120"/>
      </w:pPr>
      <w:r>
        <w:rPr>
          <w:i/>
        </w:rPr>
        <w:tab/>
      </w:r>
      <w:r w:rsidR="00F7377D" w:rsidRPr="00491B64">
        <w:rPr>
          <w:i/>
        </w:rPr>
        <w:t>P</w:t>
      </w:r>
      <w:r w:rsidR="00F7377D" w:rsidRPr="00491B64">
        <w:rPr>
          <w:i/>
          <w:vertAlign w:val="subscript"/>
        </w:rPr>
        <w:t>rx_I</w:t>
      </w:r>
      <w:r w:rsidR="00F7377D">
        <w:t xml:space="preserve"> ≤ </w:t>
      </w:r>
      <w:r w:rsidR="00F7377D" w:rsidRPr="00491B64">
        <w:rPr>
          <w:i/>
        </w:rPr>
        <w:t>P</w:t>
      </w:r>
      <w:r w:rsidR="00F7377D" w:rsidRPr="00491B64">
        <w:rPr>
          <w:i/>
          <w:vertAlign w:val="subscript"/>
        </w:rPr>
        <w:t>intmax</w:t>
      </w:r>
      <w:r w:rsidR="00F7377D">
        <w:t xml:space="preserve"> </w:t>
      </w:r>
      <w:r w:rsidR="00F7377D">
        <w:tab/>
      </w:r>
      <w:r w:rsidR="00F7377D">
        <w:tab/>
      </w:r>
      <w:r w:rsidR="00F7377D" w:rsidRPr="0067126E">
        <w:rPr>
          <w:b/>
        </w:rPr>
        <w:t>(</w:t>
      </w:r>
      <w:r w:rsidR="00F7377D">
        <w:rPr>
          <w:b/>
        </w:rPr>
        <w:t>2</w:t>
      </w:r>
      <w:r w:rsidR="00F7377D" w:rsidRPr="0067126E">
        <w:rPr>
          <w:b/>
        </w:rPr>
        <w:t>)</w:t>
      </w:r>
    </w:p>
    <w:p w14:paraId="3CAD239B" w14:textId="65C086A2" w:rsidR="00F7377D" w:rsidRDefault="00F7377D" w:rsidP="00F7377D">
      <w:pPr>
        <w:spacing w:after="120"/>
      </w:pPr>
      <w:r>
        <w:t xml:space="preserve">If the fixed service receiver is a receiver in a microwave fixed point-to-point link, the relevant maximum permissible interference power, </w:t>
      </w:r>
      <w:r w:rsidRPr="00491B64">
        <w:rPr>
          <w:i/>
        </w:rPr>
        <w:t>P</w:t>
      </w:r>
      <w:r w:rsidRPr="00491B64">
        <w:rPr>
          <w:i/>
          <w:vertAlign w:val="subscript"/>
        </w:rPr>
        <w:t>intmax</w:t>
      </w:r>
      <w:r>
        <w:t>, is defined in Section</w:t>
      </w:r>
      <w:r w:rsidR="0075305C">
        <w:t xml:space="preserve"> 2.2.1.3</w:t>
      </w:r>
      <w:r>
        <w:t>.</w:t>
      </w:r>
    </w:p>
    <w:p w14:paraId="593BC3F4" w14:textId="77777777" w:rsidR="00F7377D" w:rsidRPr="0075305C" w:rsidRDefault="00F7377D" w:rsidP="0075305C">
      <w:pPr>
        <w:pStyle w:val="Heading4"/>
      </w:pPr>
      <w:bookmarkStart w:id="31" w:name="_Ref434241415"/>
      <w:r w:rsidRPr="0075305C">
        <w:lastRenderedPageBreak/>
        <w:t>Earth station transmit power</w:t>
      </w:r>
      <w:bookmarkEnd w:id="31"/>
    </w:p>
    <w:p w14:paraId="64D94EE4" w14:textId="7A550585" w:rsidR="00F7377D" w:rsidRDefault="00F7377D" w:rsidP="00F7377D">
      <w:r w:rsidRPr="003C2E7B">
        <w:t>The value of Earth station transmit power (</w:t>
      </w:r>
      <w:r w:rsidRPr="003C2E7B">
        <w:rPr>
          <w:i/>
        </w:rPr>
        <w:t>P</w:t>
      </w:r>
      <w:r w:rsidRPr="003C2E7B">
        <w:rPr>
          <w:i/>
          <w:vertAlign w:val="subscript"/>
        </w:rPr>
        <w:t>tx_I</w:t>
      </w:r>
      <w:r w:rsidRPr="003C2E7B">
        <w:t>) to be used when calculating the unwanted received power at the fixed service receiver should be assumed to be the total power transmitted by the Earth station. In co-channel scenarios (as determined in Section</w:t>
      </w:r>
      <w:r w:rsidR="00F05670">
        <w:t xml:space="preserve"> 2.1.2.2</w:t>
      </w:r>
      <w:r w:rsidRPr="003C2E7B">
        <w:t xml:space="preserve">), </w:t>
      </w:r>
      <w:r w:rsidRPr="003C2E7B">
        <w:rPr>
          <w:i/>
        </w:rPr>
        <w:t>P</w:t>
      </w:r>
      <w:r w:rsidRPr="003C2E7B">
        <w:rPr>
          <w:i/>
          <w:vertAlign w:val="subscript"/>
        </w:rPr>
        <w:t>tx_I</w:t>
      </w:r>
      <w:r w:rsidRPr="003C2E7B">
        <w:t xml:space="preserve"> can be reduced by the on-tune rejection (</w:t>
      </w:r>
      <w:r w:rsidRPr="003C2E7B">
        <w:rPr>
          <w:i/>
        </w:rPr>
        <w:t>OTR</w:t>
      </w:r>
      <w:r w:rsidRPr="003C2E7B">
        <w:t xml:space="preserve">) calculated as in Appendix </w:t>
      </w:r>
      <w:r w:rsidR="00F05670">
        <w:t>3</w:t>
      </w:r>
      <w:r w:rsidRPr="003C2E7B">
        <w:t>.</w:t>
      </w:r>
    </w:p>
    <w:p w14:paraId="7FB46634" w14:textId="77777777" w:rsidR="00F7377D" w:rsidRPr="0075305C" w:rsidRDefault="00F7377D" w:rsidP="0075305C">
      <w:pPr>
        <w:pStyle w:val="Heading4"/>
      </w:pPr>
      <w:bookmarkStart w:id="32" w:name="_Ref434241427"/>
      <w:r w:rsidRPr="0075305C">
        <w:t>Earth station antenna gain</w:t>
      </w:r>
      <w:bookmarkEnd w:id="32"/>
    </w:p>
    <w:p w14:paraId="46C1CFE0" w14:textId="7B50AF8E" w:rsidR="00F7377D" w:rsidRDefault="00F7377D" w:rsidP="00F7377D">
      <w:r>
        <w:t xml:space="preserve">In order to calculate the gain of an Earth station in the direction of a fixed service receiver, the information in Table </w:t>
      </w:r>
      <w:r w:rsidR="00F05670">
        <w:t>1</w:t>
      </w:r>
      <w:r>
        <w:t xml:space="preserve"> below and the procedures defined in Appendi</w:t>
      </w:r>
      <w:r w:rsidR="00F05670">
        <w:t>ces</w:t>
      </w:r>
      <w:r>
        <w:t xml:space="preserve"> 1 and 2 of this </w:t>
      </w:r>
      <w:proofErr w:type="gramStart"/>
      <w:r>
        <w:t>document</w:t>
      </w:r>
      <w:proofErr w:type="gramEnd"/>
      <w:r>
        <w:t xml:space="preserve"> should be used. Appendices 1 and 2 provide details on calculating the antenna off-axis angle in two and three dimensions respectively.</w:t>
      </w:r>
    </w:p>
    <w:tbl>
      <w:tblPr>
        <w:tblStyle w:val="TableGrid"/>
        <w:tblW w:w="0" w:type="auto"/>
        <w:tblLook w:val="04A0" w:firstRow="1" w:lastRow="0" w:firstColumn="1" w:lastColumn="0" w:noHBand="0" w:noVBand="1"/>
      </w:tblPr>
      <w:tblGrid>
        <w:gridCol w:w="1105"/>
        <w:gridCol w:w="1941"/>
        <w:gridCol w:w="1485"/>
        <w:gridCol w:w="3130"/>
      </w:tblGrid>
      <w:tr w:rsidR="00BC40CC" w14:paraId="0E298B7C" w14:textId="77777777" w:rsidTr="009C5F16">
        <w:tc>
          <w:tcPr>
            <w:tcW w:w="1105" w:type="dxa"/>
            <w:vMerge w:val="restart"/>
          </w:tcPr>
          <w:p w14:paraId="619122F5" w14:textId="095220A7" w:rsidR="00BC40CC" w:rsidRPr="00696AB7" w:rsidRDefault="003F53CF" w:rsidP="002A32DD">
            <w:pPr>
              <w:rPr>
                <w:b/>
              </w:rPr>
            </w:pPr>
            <w:r>
              <w:rPr>
                <w:b/>
              </w:rPr>
              <w:t>Satellite type</w:t>
            </w:r>
          </w:p>
        </w:tc>
        <w:tc>
          <w:tcPr>
            <w:tcW w:w="1941" w:type="dxa"/>
            <w:vMerge w:val="restart"/>
          </w:tcPr>
          <w:p w14:paraId="17F70020" w14:textId="43D7CFAC" w:rsidR="00BC40CC" w:rsidRPr="00696AB7" w:rsidRDefault="003F53CF" w:rsidP="002A32DD">
            <w:pPr>
              <w:rPr>
                <w:b/>
              </w:rPr>
            </w:pPr>
            <w:r>
              <w:rPr>
                <w:b/>
              </w:rPr>
              <w:t>Radiation pattern envelope</w:t>
            </w:r>
          </w:p>
        </w:tc>
        <w:tc>
          <w:tcPr>
            <w:tcW w:w="4615" w:type="dxa"/>
            <w:gridSpan w:val="2"/>
          </w:tcPr>
          <w:p w14:paraId="3759E16B" w14:textId="771BCBC5" w:rsidR="00BC40CC" w:rsidRPr="00696AB7" w:rsidRDefault="003F53CF" w:rsidP="002A32DD">
            <w:pPr>
              <w:rPr>
                <w:b/>
              </w:rPr>
            </w:pPr>
            <w:r>
              <w:rPr>
                <w:b/>
              </w:rPr>
              <w:t>Off-axis angle (Appendix 2)</w:t>
            </w:r>
          </w:p>
        </w:tc>
      </w:tr>
      <w:tr w:rsidR="00BC40CC" w14:paraId="7AFCA1A3" w14:textId="4DE59DED" w:rsidTr="009C5F16">
        <w:tc>
          <w:tcPr>
            <w:tcW w:w="1105" w:type="dxa"/>
            <w:vMerge/>
          </w:tcPr>
          <w:p w14:paraId="519749F9" w14:textId="149F2785" w:rsidR="00BC40CC" w:rsidRPr="00696AB7" w:rsidRDefault="00BC40CC" w:rsidP="002A32DD">
            <w:pPr>
              <w:rPr>
                <w:b/>
              </w:rPr>
            </w:pPr>
          </w:p>
        </w:tc>
        <w:tc>
          <w:tcPr>
            <w:tcW w:w="1941" w:type="dxa"/>
            <w:vMerge/>
          </w:tcPr>
          <w:p w14:paraId="33FDB358" w14:textId="5149E2A3" w:rsidR="00BC40CC" w:rsidRPr="00696AB7" w:rsidRDefault="00BC40CC" w:rsidP="002A32DD">
            <w:pPr>
              <w:rPr>
                <w:b/>
              </w:rPr>
            </w:pPr>
          </w:p>
        </w:tc>
        <w:tc>
          <w:tcPr>
            <w:tcW w:w="1485" w:type="dxa"/>
          </w:tcPr>
          <w:p w14:paraId="26D6014D" w14:textId="00DBC927" w:rsidR="00BC40CC" w:rsidRPr="00696AB7" w:rsidRDefault="003F53CF" w:rsidP="002A32DD">
            <w:pPr>
              <w:rPr>
                <w:b/>
              </w:rPr>
            </w:pPr>
            <w:r>
              <w:rPr>
                <w:b/>
              </w:rPr>
              <w:t xml:space="preserve">Horizontal component, </w:t>
            </w:r>
            <w:r w:rsidR="00E135BD" w:rsidRPr="003C2E7B">
              <w:rPr>
                <w:b/>
                <w:i/>
              </w:rPr>
              <w:t>θ</w:t>
            </w:r>
            <w:r w:rsidR="00E135BD" w:rsidRPr="003C2E7B">
              <w:rPr>
                <w:b/>
                <w:i/>
                <w:vertAlign w:val="subscript"/>
              </w:rPr>
              <w:t>h</w:t>
            </w:r>
          </w:p>
        </w:tc>
        <w:tc>
          <w:tcPr>
            <w:tcW w:w="3130" w:type="dxa"/>
          </w:tcPr>
          <w:p w14:paraId="7CE8600A" w14:textId="7240AD1B" w:rsidR="00BC40CC" w:rsidRPr="00696AB7" w:rsidRDefault="00A0240E" w:rsidP="002A32DD">
            <w:pPr>
              <w:rPr>
                <w:b/>
              </w:rPr>
            </w:pPr>
            <w:r>
              <w:rPr>
                <w:b/>
              </w:rPr>
              <w:t xml:space="preserve">Vertical component, </w:t>
            </w:r>
            <w:r w:rsidRPr="003C2E7B">
              <w:rPr>
                <w:b/>
                <w:i/>
              </w:rPr>
              <w:t>ε</w:t>
            </w:r>
            <w:r w:rsidRPr="003C2E7B">
              <w:rPr>
                <w:b/>
                <w:i/>
                <w:vertAlign w:val="subscript"/>
              </w:rPr>
              <w:t>s</w:t>
            </w:r>
          </w:p>
        </w:tc>
      </w:tr>
      <w:tr w:rsidR="00BC40CC" w14:paraId="537042CA" w14:textId="3F8BAB73" w:rsidTr="009C5F16">
        <w:tc>
          <w:tcPr>
            <w:tcW w:w="1105" w:type="dxa"/>
          </w:tcPr>
          <w:p w14:paraId="48D1F309" w14:textId="068E7EBA" w:rsidR="00BC40CC" w:rsidRDefault="00A0240E" w:rsidP="002A32DD">
            <w:r>
              <w:t>GSO</w:t>
            </w:r>
          </w:p>
        </w:tc>
        <w:tc>
          <w:tcPr>
            <w:tcW w:w="1941" w:type="dxa"/>
          </w:tcPr>
          <w:p w14:paraId="39656DD2" w14:textId="28CBA58F" w:rsidR="00BC40CC" w:rsidRDefault="00241406" w:rsidP="002A32DD">
            <w:r w:rsidRPr="003C2E7B">
              <w:t xml:space="preserve">Actual if known, otherwise use </w:t>
            </w:r>
            <w:r w:rsidRPr="009E723E">
              <w:t>Recommendation ITU</w:t>
            </w:r>
            <w:r w:rsidRPr="009E723E">
              <w:noBreakHyphen/>
              <w:t>R S.1855</w:t>
            </w:r>
          </w:p>
        </w:tc>
        <w:tc>
          <w:tcPr>
            <w:tcW w:w="1485" w:type="dxa"/>
          </w:tcPr>
          <w:p w14:paraId="0332EB0F" w14:textId="6D83AFDE" w:rsidR="00BC40CC" w:rsidRDefault="00501FDF" w:rsidP="002A32DD">
            <w:r w:rsidRPr="0070431F">
              <w:t>As defined for the Earth station</w:t>
            </w:r>
            <w:r w:rsidRPr="0070431F">
              <w:br/>
            </w:r>
            <w:r w:rsidRPr="00C76719">
              <w:rPr>
                <w:sz w:val="20"/>
              </w:rPr>
              <w:t>[Notes 1, 2]</w:t>
            </w:r>
          </w:p>
        </w:tc>
        <w:tc>
          <w:tcPr>
            <w:tcW w:w="3130" w:type="dxa"/>
          </w:tcPr>
          <w:p w14:paraId="6C3D3656" w14:textId="5B17CE88" w:rsidR="00BC40CC" w:rsidRDefault="006E5E61" w:rsidP="002A32DD">
            <w:r w:rsidRPr="0070431F">
              <w:t>As defined for the Earth station</w:t>
            </w:r>
            <w:r w:rsidRPr="0070431F">
              <w:br/>
            </w:r>
            <w:r w:rsidRPr="00C76719">
              <w:rPr>
                <w:sz w:val="20"/>
              </w:rPr>
              <w:t>[Notes 1, 2]</w:t>
            </w:r>
          </w:p>
        </w:tc>
      </w:tr>
      <w:tr w:rsidR="00BC40CC" w14:paraId="5FA49815" w14:textId="5692C738" w:rsidTr="009C5F16">
        <w:tc>
          <w:tcPr>
            <w:tcW w:w="1105" w:type="dxa"/>
          </w:tcPr>
          <w:p w14:paraId="14BF1CE6" w14:textId="67CB19CD" w:rsidR="00BC40CC" w:rsidRDefault="00A0240E" w:rsidP="002A32DD">
            <w:r>
              <w:t>NGSO</w:t>
            </w:r>
          </w:p>
        </w:tc>
        <w:tc>
          <w:tcPr>
            <w:tcW w:w="1941" w:type="dxa"/>
          </w:tcPr>
          <w:p w14:paraId="02C4620D" w14:textId="087CB750" w:rsidR="00BC40CC" w:rsidRDefault="00941D1A" w:rsidP="002A32DD">
            <w:r w:rsidRPr="003C2E7B">
              <w:t xml:space="preserve">Actual if known, otherwise use </w:t>
            </w:r>
            <w:r w:rsidRPr="009E723E">
              <w:t>Recommendation ITU</w:t>
            </w:r>
            <w:r w:rsidRPr="009E723E">
              <w:noBreakHyphen/>
              <w:t>R S.</w:t>
            </w:r>
            <w:r>
              <w:t>1428</w:t>
            </w:r>
            <w:r w:rsidR="00BC40CC">
              <w:t xml:space="preserve"> </w:t>
            </w:r>
          </w:p>
        </w:tc>
        <w:tc>
          <w:tcPr>
            <w:tcW w:w="1485" w:type="dxa"/>
          </w:tcPr>
          <w:p w14:paraId="42F22C91" w14:textId="5F7B32D0" w:rsidR="00BC40CC" w:rsidRDefault="007512AD" w:rsidP="002A32DD">
            <w:r w:rsidRPr="0070431F">
              <w:rPr>
                <w:i/>
              </w:rPr>
              <w:t>θ</w:t>
            </w:r>
            <w:r w:rsidRPr="0070431F">
              <w:rPr>
                <w:i/>
                <w:vertAlign w:val="subscript"/>
              </w:rPr>
              <w:t>h</w:t>
            </w:r>
            <w:r w:rsidRPr="0070431F">
              <w:t xml:space="preserve"> = 0</w:t>
            </w:r>
            <w:r>
              <w:t>°</w:t>
            </w:r>
          </w:p>
        </w:tc>
        <w:tc>
          <w:tcPr>
            <w:tcW w:w="3130" w:type="dxa"/>
          </w:tcPr>
          <w:p w14:paraId="57F19911" w14:textId="33AB7C3C" w:rsidR="00BC40CC" w:rsidRDefault="00EF14C4" w:rsidP="002A32DD">
            <w:r w:rsidRPr="0070431F">
              <w:rPr>
                <w:rFonts w:cs="Calibri"/>
                <w:i/>
              </w:rPr>
              <w:t>ε</w:t>
            </w:r>
            <w:r w:rsidRPr="0070431F">
              <w:rPr>
                <w:i/>
                <w:vertAlign w:val="subscript"/>
              </w:rPr>
              <w:t>s</w:t>
            </w:r>
            <w:r w:rsidRPr="0070431F">
              <w:t xml:space="preserve"> = </w:t>
            </w:r>
            <w:proofErr w:type="gramStart"/>
            <w:r w:rsidRPr="0070431F">
              <w:t>max(</w:t>
            </w:r>
            <w:proofErr w:type="gramEnd"/>
            <w:r w:rsidRPr="0070431F">
              <w:t>0, [</w:t>
            </w:r>
            <w:r w:rsidRPr="0070431F">
              <w:rPr>
                <w:rFonts w:cs="Calibri"/>
                <w:i/>
              </w:rPr>
              <w:t>ε</w:t>
            </w:r>
            <w:r w:rsidRPr="0070431F">
              <w:rPr>
                <w:i/>
                <w:vertAlign w:val="subscript"/>
              </w:rPr>
              <w:t>min</w:t>
            </w:r>
            <w:r w:rsidRPr="0070431F">
              <w:t xml:space="preserve"> –</w:t>
            </w:r>
            <w:r>
              <w:t xml:space="preserve"> </w:t>
            </w:r>
            <w:r w:rsidRPr="0070431F">
              <w:rPr>
                <w:rFonts w:cs="Calibri"/>
                <w:i/>
              </w:rPr>
              <w:t>ε</w:t>
            </w:r>
            <w:r w:rsidRPr="0070431F">
              <w:rPr>
                <w:i/>
                <w:vertAlign w:val="subscript"/>
              </w:rPr>
              <w:t>h</w:t>
            </w:r>
            <w:r w:rsidRPr="0070431F">
              <w:t>(</w:t>
            </w:r>
            <w:r w:rsidRPr="0070431F">
              <w:rPr>
                <w:rFonts w:cs="Calibri"/>
              </w:rPr>
              <w:t>Θ</w:t>
            </w:r>
            <w:r w:rsidRPr="0070431F">
              <w:rPr>
                <w:i/>
                <w:vertAlign w:val="subscript"/>
              </w:rPr>
              <w:t>S</w:t>
            </w:r>
            <w:r w:rsidRPr="0070431F">
              <w:rPr>
                <w:vertAlign w:val="subscript"/>
              </w:rPr>
              <w:t>1,</w:t>
            </w:r>
            <w:r w:rsidRPr="0070431F">
              <w:rPr>
                <w:i/>
                <w:vertAlign w:val="subscript"/>
              </w:rPr>
              <w:t>S</w:t>
            </w:r>
            <w:r w:rsidRPr="0070431F">
              <w:rPr>
                <w:vertAlign w:val="subscript"/>
              </w:rPr>
              <w:t>2</w:t>
            </w:r>
            <w:r w:rsidRPr="0070431F">
              <w:t>)])</w:t>
            </w:r>
            <w:r>
              <w:t>°</w:t>
            </w:r>
            <w:r w:rsidRPr="0070431F">
              <w:br/>
            </w:r>
            <w:r w:rsidRPr="00C76719">
              <w:rPr>
                <w:sz w:val="20"/>
              </w:rPr>
              <w:t>[Note 3]</w:t>
            </w:r>
          </w:p>
        </w:tc>
      </w:tr>
    </w:tbl>
    <w:p w14:paraId="4F52E68C" w14:textId="2ED34D5F" w:rsidR="00881625" w:rsidRDefault="00C37202" w:rsidP="0054568E">
      <w:pPr>
        <w:pStyle w:val="ACMATableHeader"/>
      </w:pPr>
      <w:r w:rsidRPr="00C37202">
        <w:t>Earth Station antenna parameters to be used for coordination</w:t>
      </w:r>
    </w:p>
    <w:p w14:paraId="2D973CA8" w14:textId="77777777" w:rsidR="000A7C15" w:rsidRPr="000A7C15" w:rsidRDefault="000A7C15" w:rsidP="000A7C15">
      <w:pPr>
        <w:rPr>
          <w:sz w:val="20"/>
          <w:szCs w:val="20"/>
        </w:rPr>
      </w:pPr>
      <w:r w:rsidRPr="000A7C15">
        <w:rPr>
          <w:sz w:val="20"/>
          <w:szCs w:val="20"/>
        </w:rPr>
        <w:t>Note 1: If the longitude of the GSO satellite’s orbital position is known, the azimuth and elevation angle, as seen from the Earth station (i.e. the off-axis horizontal and vertical components), can be calculated according to Annex 3 to Appendix 7 of the ITU-R Radio Regulations. Note that the GSO satellite’s orbital position can be determined from ITU information on the satellite network.</w:t>
      </w:r>
    </w:p>
    <w:p w14:paraId="1DFEC5AF" w14:textId="77777777" w:rsidR="000A7C15" w:rsidRPr="000A7C15" w:rsidRDefault="000A7C15" w:rsidP="000A7C15">
      <w:pPr>
        <w:rPr>
          <w:sz w:val="20"/>
          <w:szCs w:val="20"/>
        </w:rPr>
      </w:pPr>
      <w:r w:rsidRPr="000A7C15">
        <w:rPr>
          <w:sz w:val="20"/>
          <w:szCs w:val="20"/>
        </w:rPr>
        <w:t xml:space="preserve">Note 2: If neither the azimuth and elevation angle, nor the longitude of the GSO satellite’s orbital location are known, then coordination should be performed as if the earth station is communicating with an NGSO. </w:t>
      </w:r>
    </w:p>
    <w:p w14:paraId="51F29D72" w14:textId="77777777" w:rsidR="000A7C15" w:rsidRPr="000A7C15" w:rsidRDefault="000A7C15" w:rsidP="000A7C15">
      <w:pPr>
        <w:rPr>
          <w:sz w:val="20"/>
          <w:szCs w:val="20"/>
        </w:rPr>
      </w:pPr>
      <w:r w:rsidRPr="000A7C15">
        <w:rPr>
          <w:sz w:val="20"/>
          <w:szCs w:val="20"/>
        </w:rPr>
        <w:t xml:space="preserve">Note 3: </w:t>
      </w:r>
      <w:r w:rsidRPr="000A7C15">
        <w:rPr>
          <w:i/>
          <w:sz w:val="20"/>
          <w:szCs w:val="20"/>
        </w:rPr>
        <w:t>ε</w:t>
      </w:r>
      <w:r w:rsidRPr="000A7C15">
        <w:rPr>
          <w:i/>
          <w:sz w:val="20"/>
          <w:szCs w:val="20"/>
          <w:vertAlign w:val="subscript"/>
        </w:rPr>
        <w:t>min</w:t>
      </w:r>
      <w:r w:rsidRPr="000A7C15">
        <w:rPr>
          <w:sz w:val="20"/>
          <w:szCs w:val="20"/>
        </w:rPr>
        <w:t xml:space="preserve"> is the minimum elevation angle permitted for an Earth station. Article 21.14 of the ITU-R Radio Regulations defines a minimum elevation angle of 3° for transmitting earth stations. The exception is within highly-populated areas specified in Appendix 4, where </w:t>
      </w:r>
      <w:r w:rsidRPr="000A7C15">
        <w:rPr>
          <w:i/>
          <w:sz w:val="20"/>
          <w:szCs w:val="20"/>
        </w:rPr>
        <w:t>ε</w:t>
      </w:r>
      <w:r w:rsidRPr="000A7C15">
        <w:rPr>
          <w:i/>
          <w:sz w:val="20"/>
          <w:szCs w:val="20"/>
          <w:vertAlign w:val="subscript"/>
        </w:rPr>
        <w:t>min</w:t>
      </w:r>
      <w:r w:rsidRPr="000A7C15">
        <w:rPr>
          <w:sz w:val="20"/>
          <w:szCs w:val="20"/>
        </w:rPr>
        <w:t xml:space="preserve"> = 10° (see Section 3.3). </w:t>
      </w:r>
      <w:r w:rsidRPr="000A7C15">
        <w:rPr>
          <w:i/>
          <w:sz w:val="20"/>
          <w:szCs w:val="20"/>
        </w:rPr>
        <w:t>ε</w:t>
      </w:r>
      <w:r w:rsidRPr="000A7C15">
        <w:rPr>
          <w:i/>
          <w:sz w:val="20"/>
          <w:szCs w:val="20"/>
          <w:vertAlign w:val="subscript"/>
        </w:rPr>
        <w:t>s</w:t>
      </w:r>
      <w:r w:rsidRPr="000A7C15">
        <w:rPr>
          <w:sz w:val="20"/>
          <w:szCs w:val="20"/>
        </w:rPr>
        <w:t xml:space="preserve">, </w:t>
      </w:r>
      <w:r w:rsidRPr="000A7C15">
        <w:rPr>
          <w:i/>
          <w:sz w:val="20"/>
          <w:szCs w:val="20"/>
        </w:rPr>
        <w:t>ε</w:t>
      </w:r>
      <w:r w:rsidRPr="000A7C15">
        <w:rPr>
          <w:i/>
          <w:sz w:val="20"/>
          <w:szCs w:val="20"/>
          <w:vertAlign w:val="subscript"/>
        </w:rPr>
        <w:t>h</w:t>
      </w:r>
      <w:r w:rsidRPr="000A7C15">
        <w:rPr>
          <w:sz w:val="20"/>
          <w:szCs w:val="20"/>
        </w:rPr>
        <w:t xml:space="preserve"> and Θ</w:t>
      </w:r>
      <w:r w:rsidRPr="000A7C15">
        <w:rPr>
          <w:sz w:val="20"/>
          <w:szCs w:val="20"/>
          <w:vertAlign w:val="subscript"/>
        </w:rPr>
        <w:t>S</w:t>
      </w:r>
      <w:proofErr w:type="gramStart"/>
      <w:r w:rsidRPr="000A7C15">
        <w:rPr>
          <w:sz w:val="20"/>
          <w:szCs w:val="20"/>
          <w:vertAlign w:val="subscript"/>
        </w:rPr>
        <w:t>1,S</w:t>
      </w:r>
      <w:proofErr w:type="gramEnd"/>
      <w:r w:rsidRPr="000A7C15">
        <w:rPr>
          <w:sz w:val="20"/>
          <w:szCs w:val="20"/>
          <w:vertAlign w:val="subscript"/>
        </w:rPr>
        <w:t>2</w:t>
      </w:r>
      <w:r w:rsidRPr="000A7C15">
        <w:rPr>
          <w:sz w:val="20"/>
          <w:szCs w:val="20"/>
        </w:rPr>
        <w:t xml:space="preserve"> are all defined in Appendix 2.</w:t>
      </w:r>
    </w:p>
    <w:p w14:paraId="50FC9271" w14:textId="77777777" w:rsidR="00D32C16" w:rsidRPr="00D32C16" w:rsidRDefault="00D32C16" w:rsidP="00D32C16">
      <w:pPr>
        <w:pStyle w:val="Heading4"/>
      </w:pPr>
      <w:bookmarkStart w:id="33" w:name="_Ref434241388"/>
      <w:r w:rsidRPr="00D32C16">
        <w:t>Protection criteria for microwave fixed point-to-point links</w:t>
      </w:r>
      <w:bookmarkEnd w:id="33"/>
    </w:p>
    <w:p w14:paraId="048ADD9C" w14:textId="77777777" w:rsidR="00D32C16" w:rsidRDefault="00D32C16" w:rsidP="00D32C16">
      <w:r>
        <w:t>For microwave fixed point-to-point links, the maximum permissible interference power is:</w:t>
      </w:r>
    </w:p>
    <w:p w14:paraId="5E645401" w14:textId="235A9217" w:rsidR="00D32C16" w:rsidRDefault="00D32C16" w:rsidP="00D32C16">
      <w:pPr>
        <w:tabs>
          <w:tab w:val="left" w:pos="284"/>
          <w:tab w:val="left" w:pos="7088"/>
        </w:tabs>
        <w:spacing w:after="120"/>
      </w:pPr>
      <w:r>
        <w:tab/>
      </w:r>
      <w:r w:rsidRPr="00D32C16">
        <w:t>Pintmax</w:t>
      </w:r>
      <w:r>
        <w:t xml:space="preserve"> = </w:t>
      </w:r>
      <w:r w:rsidRPr="00D32C16">
        <w:t>Prx_W</w:t>
      </w:r>
      <w:r>
        <w:t xml:space="preserve"> – </w:t>
      </w:r>
      <w:r w:rsidRPr="00D32C16">
        <w:t>PR</w:t>
      </w:r>
      <w:r>
        <w:tab/>
      </w:r>
      <w:r>
        <w:tab/>
      </w:r>
      <w:r w:rsidRPr="00D32C16">
        <w:rPr>
          <w:b/>
          <w:bCs/>
        </w:rPr>
        <w:t>(3)</w:t>
      </w:r>
    </w:p>
    <w:p w14:paraId="49F79C41" w14:textId="1244E296" w:rsidR="00D32C16" w:rsidRDefault="00D32C16" w:rsidP="00BC6887">
      <w:pPr>
        <w:tabs>
          <w:tab w:val="left" w:pos="284"/>
          <w:tab w:val="left" w:pos="7088"/>
        </w:tabs>
        <w:spacing w:after="120"/>
        <w:ind w:left="1134" w:hanging="850"/>
      </w:pPr>
      <w:r>
        <w:lastRenderedPageBreak/>
        <w:t xml:space="preserve">Where </w:t>
      </w:r>
      <w:r w:rsidR="00BC6887">
        <w:tab/>
      </w:r>
      <w:r>
        <w:t>P</w:t>
      </w:r>
      <w:r w:rsidRPr="00EF3233">
        <w:rPr>
          <w:vertAlign w:val="subscript"/>
        </w:rPr>
        <w:t>rx_</w:t>
      </w:r>
      <w:proofErr w:type="gramStart"/>
      <w:r w:rsidRPr="00EF3233">
        <w:rPr>
          <w:vertAlign w:val="subscript"/>
        </w:rPr>
        <w:t>W</w:t>
      </w:r>
      <w:r>
        <w:t xml:space="preserve"> :</w:t>
      </w:r>
      <w:proofErr w:type="gramEnd"/>
      <w:r>
        <w:t xml:space="preserve"> wanted received power from the fixed link’s related terrestrial station transmitter</w:t>
      </w:r>
      <w:r w:rsidRPr="00735416">
        <w:rPr>
          <w:vertAlign w:val="superscript"/>
        </w:rPr>
        <w:footnoteReference w:id="5"/>
      </w:r>
      <w:r>
        <w:t>. This should be calculated according to RALI FX 3.</w:t>
      </w:r>
    </w:p>
    <w:p w14:paraId="3B32470D" w14:textId="77777777" w:rsidR="00D32C16" w:rsidRDefault="00D32C16" w:rsidP="00BC6887">
      <w:pPr>
        <w:keepNext/>
        <w:keepLines/>
        <w:ind w:left="1134"/>
      </w:pPr>
      <w:proofErr w:type="gramStart"/>
      <w:r w:rsidRPr="00EF3233">
        <w:rPr>
          <w:i/>
        </w:rPr>
        <w:t>PR</w:t>
      </w:r>
      <w:r>
        <w:t xml:space="preserve"> :</w:t>
      </w:r>
      <w:proofErr w:type="gramEnd"/>
      <w:r>
        <w:t xml:space="preserve"> protection ratio (dB).</w:t>
      </w:r>
    </w:p>
    <w:p w14:paraId="12DC849C" w14:textId="60BD2B57" w:rsidR="00D32C16" w:rsidRDefault="00D32C16" w:rsidP="00D32C16">
      <w:r>
        <w:t xml:space="preserve">The relevant protection ratios to use when coordinating with fixed links are defined in Table 2. When calculating </w:t>
      </w:r>
      <w:r w:rsidRPr="00EF3233">
        <w:rPr>
          <w:i/>
        </w:rPr>
        <w:t>P</w:t>
      </w:r>
      <w:r w:rsidRPr="00EF3233">
        <w:rPr>
          <w:i/>
          <w:vertAlign w:val="subscript"/>
        </w:rPr>
        <w:t>rx_I</w:t>
      </w:r>
      <w:r>
        <w:t xml:space="preserve"> for microwave fixed point-to-point links, </w:t>
      </w:r>
      <w:r w:rsidRPr="00EF3233">
        <w:rPr>
          <w:i/>
        </w:rPr>
        <w:t>p</w:t>
      </w:r>
      <w:r>
        <w:t xml:space="preserve"> = 20% when calculating path loss </w:t>
      </w:r>
      <w:r w:rsidRPr="00EF3233">
        <w:rPr>
          <w:i/>
        </w:rPr>
        <w:t>L(p)</w:t>
      </w:r>
      <w:r>
        <w:t xml:space="preserve"> using Recommendation ITU-R P.452 (as in force from time-to-time).</w:t>
      </w:r>
    </w:p>
    <w:tbl>
      <w:tblPr>
        <w:tblStyle w:val="TableGrid"/>
        <w:tblW w:w="0" w:type="auto"/>
        <w:tblLook w:val="04A0" w:firstRow="1" w:lastRow="0" w:firstColumn="1" w:lastColumn="0" w:noHBand="0" w:noVBand="1"/>
      </w:tblPr>
      <w:tblGrid>
        <w:gridCol w:w="3823"/>
        <w:gridCol w:w="2835"/>
      </w:tblGrid>
      <w:tr w:rsidR="00C67D4F" w14:paraId="2294A636" w14:textId="77777777" w:rsidTr="00C67D4F">
        <w:tc>
          <w:tcPr>
            <w:tcW w:w="3823" w:type="dxa"/>
            <w:vAlign w:val="center"/>
          </w:tcPr>
          <w:p w14:paraId="20D4CE37" w14:textId="6EC6E4D3" w:rsidR="00C67D4F" w:rsidRPr="007350D6" w:rsidRDefault="00C67D4F" w:rsidP="00C67D4F">
            <w:pPr>
              <w:keepNext/>
              <w:keepLines/>
              <w:jc w:val="center"/>
              <w:rPr>
                <w:b/>
              </w:rPr>
            </w:pPr>
            <w:r w:rsidRPr="00F12403">
              <w:rPr>
                <w:b/>
              </w:rPr>
              <w:t>Description</w:t>
            </w:r>
          </w:p>
        </w:tc>
        <w:tc>
          <w:tcPr>
            <w:tcW w:w="2835" w:type="dxa"/>
            <w:vAlign w:val="center"/>
          </w:tcPr>
          <w:p w14:paraId="1EF7C6DC" w14:textId="04C19F6A" w:rsidR="00C67D4F" w:rsidRPr="007350D6" w:rsidRDefault="00C67D4F" w:rsidP="00C67D4F">
            <w:pPr>
              <w:keepNext/>
              <w:keepLines/>
              <w:jc w:val="center"/>
              <w:rPr>
                <w:b/>
              </w:rPr>
            </w:pPr>
            <w:r w:rsidRPr="00F12403">
              <w:rPr>
                <w:b/>
              </w:rPr>
              <w:t>Protection ratio (dB)</w:t>
            </w:r>
          </w:p>
        </w:tc>
      </w:tr>
      <w:tr w:rsidR="00852585" w14:paraId="05F77D45" w14:textId="77777777" w:rsidTr="00C67D4F">
        <w:tc>
          <w:tcPr>
            <w:tcW w:w="3823" w:type="dxa"/>
            <w:vAlign w:val="center"/>
          </w:tcPr>
          <w:p w14:paraId="3BB9399D" w14:textId="1AEE52BF" w:rsidR="00852585" w:rsidRDefault="00852585" w:rsidP="00852585">
            <w:pPr>
              <w:keepNext/>
              <w:keepLines/>
              <w:jc w:val="center"/>
            </w:pPr>
            <w:r>
              <w:t>Co-channel overlap</w:t>
            </w:r>
          </w:p>
        </w:tc>
        <w:tc>
          <w:tcPr>
            <w:tcW w:w="2835" w:type="dxa"/>
            <w:vAlign w:val="center"/>
          </w:tcPr>
          <w:p w14:paraId="4BE40743" w14:textId="3D159B80" w:rsidR="00852585" w:rsidRDefault="00852585" w:rsidP="00852585">
            <w:pPr>
              <w:keepNext/>
              <w:keepLines/>
              <w:jc w:val="center"/>
            </w:pPr>
            <w:r>
              <w:t>65</w:t>
            </w:r>
          </w:p>
        </w:tc>
      </w:tr>
      <w:tr w:rsidR="00852585" w14:paraId="73513B9F" w14:textId="77777777" w:rsidTr="00C67D4F">
        <w:tc>
          <w:tcPr>
            <w:tcW w:w="3823" w:type="dxa"/>
            <w:vAlign w:val="center"/>
          </w:tcPr>
          <w:p w14:paraId="55EA8FA9" w14:textId="43E92B8C" w:rsidR="00852585" w:rsidRDefault="00852585" w:rsidP="00852585">
            <w:pPr>
              <w:keepNext/>
              <w:keepLines/>
              <w:jc w:val="center"/>
            </w:pPr>
            <w:r>
              <w:t>First Adjacent-channel overlap</w:t>
            </w:r>
          </w:p>
        </w:tc>
        <w:tc>
          <w:tcPr>
            <w:tcW w:w="2835" w:type="dxa"/>
            <w:vAlign w:val="center"/>
          </w:tcPr>
          <w:p w14:paraId="22961931" w14:textId="00FB4B21" w:rsidR="00852585" w:rsidRDefault="00852585" w:rsidP="00852585">
            <w:pPr>
              <w:keepNext/>
              <w:keepLines/>
              <w:jc w:val="center"/>
            </w:pPr>
            <w:r>
              <w:t>35</w:t>
            </w:r>
          </w:p>
        </w:tc>
      </w:tr>
      <w:tr w:rsidR="00852585" w14:paraId="678C6F87" w14:textId="77777777" w:rsidTr="00C67D4F">
        <w:tc>
          <w:tcPr>
            <w:tcW w:w="3823" w:type="dxa"/>
            <w:vAlign w:val="center"/>
          </w:tcPr>
          <w:p w14:paraId="1A508EDF" w14:textId="6338829B" w:rsidR="00852585" w:rsidRDefault="00852585" w:rsidP="00852585">
            <w:pPr>
              <w:keepNext/>
              <w:keepLines/>
              <w:jc w:val="center"/>
            </w:pPr>
            <w:r>
              <w:t>Second Adjacent-channel overlap</w:t>
            </w:r>
          </w:p>
        </w:tc>
        <w:tc>
          <w:tcPr>
            <w:tcW w:w="2835" w:type="dxa"/>
            <w:vAlign w:val="center"/>
          </w:tcPr>
          <w:p w14:paraId="1F85B564" w14:textId="437DEB5C" w:rsidR="00852585" w:rsidRDefault="00852585" w:rsidP="00852585">
            <w:pPr>
              <w:keepNext/>
              <w:keepLines/>
              <w:jc w:val="center"/>
            </w:pPr>
            <w:r>
              <w:t>15</w:t>
            </w:r>
          </w:p>
        </w:tc>
      </w:tr>
      <w:tr w:rsidR="00852585" w14:paraId="79D33D9E" w14:textId="77777777" w:rsidTr="00C67D4F">
        <w:tc>
          <w:tcPr>
            <w:tcW w:w="3823" w:type="dxa"/>
            <w:vAlign w:val="center"/>
          </w:tcPr>
          <w:p w14:paraId="028D7113" w14:textId="74DBDBA8" w:rsidR="00852585" w:rsidRDefault="00852585" w:rsidP="00852585">
            <w:pPr>
              <w:keepNext/>
              <w:keepLines/>
              <w:jc w:val="center"/>
            </w:pPr>
            <w:r>
              <w:t>Third Adjacent-channel and beyond</w:t>
            </w:r>
          </w:p>
        </w:tc>
        <w:tc>
          <w:tcPr>
            <w:tcW w:w="2835" w:type="dxa"/>
            <w:vAlign w:val="center"/>
          </w:tcPr>
          <w:p w14:paraId="07379171" w14:textId="2E6FE2B7" w:rsidR="00852585" w:rsidRDefault="00852585" w:rsidP="00852585">
            <w:pPr>
              <w:keepNext/>
              <w:keepLines/>
              <w:jc w:val="center"/>
            </w:pPr>
            <w:r>
              <w:t>No coordination required</w:t>
            </w:r>
          </w:p>
        </w:tc>
      </w:tr>
    </w:tbl>
    <w:p w14:paraId="176DDD7D" w14:textId="1622B109" w:rsidR="00E24101" w:rsidRDefault="00C655CC" w:rsidP="009F2309">
      <w:pPr>
        <w:pStyle w:val="ACMATableHeader"/>
      </w:pPr>
      <w:r w:rsidRPr="00C655CC">
        <w:t>Protection ratios for victim fixed links and interfering Earth stations</w:t>
      </w:r>
    </w:p>
    <w:p w14:paraId="3FF5863C" w14:textId="513E90EA" w:rsidR="00365CB7" w:rsidRPr="00365CB7" w:rsidRDefault="00365CB7" w:rsidP="00365CB7">
      <w:pPr>
        <w:rPr>
          <w:sz w:val="20"/>
          <w:szCs w:val="22"/>
        </w:rPr>
      </w:pPr>
      <w:r w:rsidRPr="00365CB7">
        <w:rPr>
          <w:sz w:val="20"/>
          <w:szCs w:val="22"/>
        </w:rPr>
        <w:t>* The channel configuration is determined to be co-channel, first adjacent-channel or second-adjacent channel in Section 2.1.2.2.</w:t>
      </w:r>
    </w:p>
    <w:p w14:paraId="492B7740" w14:textId="77777777" w:rsidR="00365CB7" w:rsidRDefault="00365CB7" w:rsidP="00365CB7">
      <w:r>
        <w:t xml:space="preserve">These protection ratio values have been normalised for a </w:t>
      </w:r>
      <w:proofErr w:type="gramStart"/>
      <w:r>
        <w:t>particular path</w:t>
      </w:r>
      <w:proofErr w:type="gramEnd"/>
      <w:r>
        <w:t xml:space="preserve"> length, rainfall rate and time percentage.  Accordingly, appropriate corrections must be applied to the tabulated protection ratio values to account for the victim system’s actual path length, geoclimatic zone and time availability in accordance with the relevant protection ratio correction factor curves in </w:t>
      </w:r>
      <w:r w:rsidRPr="009734F2">
        <w:t>Appendix 1 of RALI FX3, or the guidance in Appendix 4 of RALI FX3</w:t>
      </w:r>
      <w:r>
        <w:t>.</w:t>
      </w:r>
    </w:p>
    <w:p w14:paraId="2F9C30ED" w14:textId="5665797C" w:rsidR="00CA4CD4" w:rsidRPr="00556BE4" w:rsidRDefault="00CA4CD4" w:rsidP="00CA4CD4">
      <w:pPr>
        <w:pStyle w:val="Heading3"/>
      </w:pPr>
      <w:bookmarkStart w:id="34" w:name="_Ref434242162"/>
      <w:bookmarkStart w:id="35" w:name="_Ref434321667"/>
      <w:bookmarkStart w:id="36" w:name="_Toc457205660"/>
      <w:bookmarkStart w:id="37" w:name="_Toc438128034"/>
      <w:bookmarkStart w:id="38" w:name="_Toc46492376"/>
      <w:r w:rsidRPr="00556BE4">
        <w:t xml:space="preserve">FSS transmitters </w:t>
      </w:r>
      <w:bookmarkEnd w:id="34"/>
      <w:r w:rsidRPr="00556BE4">
        <w:t>into EESS and SRS receivers</w:t>
      </w:r>
      <w:bookmarkEnd w:id="35"/>
      <w:bookmarkEnd w:id="36"/>
      <w:bookmarkEnd w:id="37"/>
      <w:bookmarkEnd w:id="38"/>
    </w:p>
    <w:p w14:paraId="160DB1B1" w14:textId="27A1BD12" w:rsidR="00CA4CD4" w:rsidRPr="00556BE4" w:rsidRDefault="00CA4CD4" w:rsidP="00CA4CD4">
      <w:r w:rsidRPr="00556BE4">
        <w:t>This section covers the processes involved for coordination between an FSS Earth station transmitter and an EESS or SRS receiver identified in Section 2.1.3.</w:t>
      </w:r>
    </w:p>
    <w:p w14:paraId="2666929E" w14:textId="689CC83E" w:rsidR="00CA4CD4" w:rsidRPr="00556BE4" w:rsidRDefault="00CA4CD4" w:rsidP="00CA4CD4">
      <w:r w:rsidRPr="00556BE4">
        <w:t xml:space="preserve">The following resources provides information on </w:t>
      </w:r>
      <w:r w:rsidR="00F14645" w:rsidRPr="00556BE4">
        <w:t xml:space="preserve">in-band </w:t>
      </w:r>
      <w:r w:rsidRPr="00556BE4">
        <w:t>protection requirements SRS and EESS earth station receivers:</w:t>
      </w:r>
    </w:p>
    <w:p w14:paraId="2297D587" w14:textId="15008AEF" w:rsidR="00CA4CD4" w:rsidRPr="00556BE4" w:rsidRDefault="00CA4CD4" w:rsidP="00F14645">
      <w:pPr>
        <w:pStyle w:val="ListBullet"/>
      </w:pPr>
      <w:r w:rsidRPr="00556BE4">
        <w:t xml:space="preserve">SRS earth stations: </w:t>
      </w:r>
      <w:r w:rsidR="00F14645" w:rsidRPr="00556BE4">
        <w:t>ITU-R Recommendation SA.609</w:t>
      </w:r>
      <w:r w:rsidR="00F14645" w:rsidRPr="00556BE4">
        <w:rPr>
          <w:rStyle w:val="FootnoteReference"/>
        </w:rPr>
        <w:footnoteReference w:id="6"/>
      </w:r>
      <w:r w:rsidR="00F14645" w:rsidRPr="00556BE4">
        <w:t xml:space="preserve"> “Protection criteria for radiocommunication links for manned and unmanned near-Earth research satellites”. (Note for details of parameters to be used for coordination with earth station receivers at New Norcia refer to RALI MS 43</w:t>
      </w:r>
      <w:r w:rsidR="00F14645" w:rsidRPr="00556BE4">
        <w:rPr>
          <w:rStyle w:val="FootnoteReference"/>
        </w:rPr>
        <w:footnoteReference w:id="7"/>
      </w:r>
      <w:proofErr w:type="gramStart"/>
      <w:r w:rsidR="00F14645" w:rsidRPr="00556BE4">
        <w:t>);</w:t>
      </w:r>
      <w:proofErr w:type="gramEnd"/>
    </w:p>
    <w:p w14:paraId="35E75477" w14:textId="0130D8F1" w:rsidR="00CA4CD4" w:rsidRPr="00556BE4" w:rsidRDefault="00CA4CD4" w:rsidP="00CA4CD4">
      <w:pPr>
        <w:pStyle w:val="ListBulletLast"/>
      </w:pPr>
      <w:r w:rsidRPr="00556BE4">
        <w:t xml:space="preserve">EESS earth stations: Table 8d of Annex 7 to Appendix 7 of Radio Regulations. </w:t>
      </w:r>
    </w:p>
    <w:p w14:paraId="1E62938E" w14:textId="603173C5" w:rsidR="002A3322" w:rsidRPr="00556BE4" w:rsidRDefault="002A3322" w:rsidP="00EB7654">
      <w:r w:rsidRPr="00556BE4">
        <w:lastRenderedPageBreak/>
        <w:t>ITU-R Recommendation SA.509 should be used to model antenna radiation patterns.</w:t>
      </w:r>
    </w:p>
    <w:p w14:paraId="60B94A46" w14:textId="242A5874" w:rsidR="00595422" w:rsidRPr="00AB38B4" w:rsidRDefault="00CA4CD4" w:rsidP="00EB7654">
      <w:r w:rsidRPr="00556BE4">
        <w:t>Operators and licensees of FSS Earth station transmitters must not exceed the requirements for spurious emissions provided in Appendix 3 of the ITU Radio Regulations.</w:t>
      </w:r>
    </w:p>
    <w:p w14:paraId="438FA982" w14:textId="00A1F674" w:rsidR="004A13A7" w:rsidRPr="000B27C0" w:rsidRDefault="00EB7654" w:rsidP="000B27C0">
      <w:pPr>
        <w:pStyle w:val="Heading1"/>
      </w:pPr>
      <w:bookmarkStart w:id="39" w:name="_Toc46492377"/>
      <w:r>
        <w:lastRenderedPageBreak/>
        <w:t>Assignment instructions</w:t>
      </w:r>
      <w:bookmarkEnd w:id="39"/>
    </w:p>
    <w:p w14:paraId="6DC080EE" w14:textId="6C4418A5" w:rsidR="0004494C" w:rsidRDefault="00EB7654" w:rsidP="0026197A">
      <w:pPr>
        <w:pStyle w:val="Heading2"/>
        <w:spacing w:before="0" w:after="240"/>
        <w:ind w:left="680" w:hanging="680"/>
      </w:pPr>
      <w:bookmarkStart w:id="40" w:name="_Toc46492378"/>
      <w:r>
        <w:t>Antennas</w:t>
      </w:r>
      <w:bookmarkEnd w:id="40"/>
    </w:p>
    <w:p w14:paraId="6407B964" w14:textId="536A8D92" w:rsidR="00BD642F" w:rsidRDefault="00BD642F" w:rsidP="00BD642F">
      <w:r>
        <w:t xml:space="preserve">For any FSS Earth station being assigned, its antenna must have an off-axis gain (for all off-axis angles between </w:t>
      </w:r>
      <w:r w:rsidRPr="00E72550">
        <w:rPr>
          <w:i/>
        </w:rPr>
        <w:t>φ</w:t>
      </w:r>
      <w:r w:rsidRPr="00E72550">
        <w:rPr>
          <w:i/>
          <w:vertAlign w:val="subscript"/>
        </w:rPr>
        <w:t>min</w:t>
      </w:r>
      <w:r w:rsidRPr="006C06C5">
        <w:rPr>
          <w:i/>
        </w:rPr>
        <w:t xml:space="preserve"> </w:t>
      </w:r>
      <w:r>
        <w:t>and 180°) that is less than the off-axis gain that would be calculated using Recommendation ITU-R S.1855 for a circular antenna (</w:t>
      </w:r>
      <w:r w:rsidRPr="006C06C5">
        <w:rPr>
          <w:i/>
        </w:rPr>
        <w:t>θ</w:t>
      </w:r>
      <w:r>
        <w:t xml:space="preserve"> = 0°) with the same </w:t>
      </w:r>
      <w:r>
        <w:rPr>
          <w:i/>
        </w:rPr>
        <w:t>D</w:t>
      </w:r>
      <w:r>
        <w:t>/</w:t>
      </w:r>
      <w:r>
        <w:rPr>
          <w:i/>
        </w:rPr>
        <w:t>λ</w:t>
      </w:r>
      <w:r>
        <w:t xml:space="preserve"> ratio.</w:t>
      </w:r>
    </w:p>
    <w:p w14:paraId="17602A91" w14:textId="450EB594" w:rsidR="00BD642F" w:rsidRDefault="00BD642F" w:rsidP="00BD642F">
      <w:r>
        <w:t xml:space="preserve">For all terrestrial stations and FSS Earth stations, </w:t>
      </w:r>
      <w:r>
        <w:rPr>
          <w:u w:val="single"/>
        </w:rPr>
        <w:t>it is essential that licensees advise the ACMA and furnish detailed radiated power envelope (RPE) data for its (discrete and equipment integral) antenna products that are to be used in proposed assignments</w:t>
      </w:r>
      <w:r>
        <w:t>.  Parameters should include an antenna’s physical diameter and on-axis gain as well as the antenna 360</w:t>
      </w:r>
      <w:r>
        <w:sym w:font="Symbol" w:char="F0B0"/>
      </w:r>
      <w:r>
        <w:t xml:space="preserve"> radiation pattern envelope, in order to facilitate its use in frequency coordination and sharing studies.  </w:t>
      </w:r>
    </w:p>
    <w:p w14:paraId="5F4DAC1B" w14:textId="2FEA4F52" w:rsidR="00BD642F" w:rsidRDefault="00BD642F" w:rsidP="00BD642F">
      <w:r>
        <w:t>In order to promote standardisation and electronic working methods (and in the absence of relevant ITU criteria), the “</w:t>
      </w:r>
      <w:r>
        <w:rPr>
          <w:i/>
        </w:rPr>
        <w:t>Standard Format for Electronic Transfer of Terrestrial Antenna Pattern Data</w:t>
      </w:r>
      <w:r>
        <w:t>” file data format developed by the National Spectrum Managers Association (NSMA</w:t>
      </w:r>
      <w:r>
        <w:rPr>
          <w:rStyle w:val="FootnoteReference"/>
        </w:rPr>
        <w:footnoteReference w:id="8"/>
      </w:r>
      <w:r>
        <w:t xml:space="preserve">) may be utilised, with a view to facilitating simple, accurate and expedient transfer of coordination data between manufacturers, frequency assigners and users.  Although not a formal standard, the format is </w:t>
      </w:r>
      <w:r w:rsidRPr="002F3923">
        <w:t>recognised and supported by most major antenna manufacturers.</w:t>
      </w:r>
      <w:r w:rsidRPr="00E72550">
        <w:t xml:space="preserve"> </w:t>
      </w:r>
    </w:p>
    <w:p w14:paraId="552BA9AE" w14:textId="332ED92E" w:rsidR="0004494C" w:rsidRDefault="00D50FA5" w:rsidP="0026197A">
      <w:pPr>
        <w:pStyle w:val="Heading2"/>
        <w:spacing w:before="0" w:after="240"/>
        <w:ind w:left="680" w:hanging="680"/>
      </w:pPr>
      <w:bookmarkStart w:id="41" w:name="_Toc46492379"/>
      <w:r>
        <w:t>Emission limits</w:t>
      </w:r>
      <w:bookmarkEnd w:id="41"/>
    </w:p>
    <w:p w14:paraId="422F5EE2" w14:textId="5F5587B8" w:rsidR="003C17FF" w:rsidRDefault="003C17FF" w:rsidP="003C17FF">
      <w:r>
        <w:t>An apparatus licence issued to an FSS Earth station operating in the 27.0-30.0 GHz frequency band, within the areas specified in Appendix 4 (“highly-populated areas”), is subject to an emission limit towards the horizon to minimise spectrum denial to terrestrial services. As such, it must carry the following Special Condition:</w:t>
      </w:r>
    </w:p>
    <w:p w14:paraId="2E57EAFB" w14:textId="2A7546AB" w:rsidR="003C17FF" w:rsidRDefault="003C17FF" w:rsidP="007623DE">
      <w:pPr>
        <w:ind w:left="567"/>
        <w:rPr>
          <w:i/>
        </w:rPr>
      </w:pPr>
      <w:r>
        <w:rPr>
          <w:i/>
        </w:rPr>
        <w:t>The Earth station authorised by this licence shall not exceed an effective isotropic radiated power (EIRP) power spectral density (PSD) of –60</w:t>
      </w:r>
      <w:r w:rsidR="0020356F">
        <w:rPr>
          <w:i/>
        </w:rPr>
        <w:t> </w:t>
      </w:r>
      <w:r>
        <w:rPr>
          <w:i/>
        </w:rPr>
        <w:t>dBW/Hz in the direction of the horizontal plane, along any azimuth.</w:t>
      </w:r>
    </w:p>
    <w:p w14:paraId="2C28692C" w14:textId="7D85247C" w:rsidR="00D10FB5" w:rsidRPr="005E2683" w:rsidRDefault="005E2683" w:rsidP="002A32DD">
      <w:pPr>
        <w:pStyle w:val="Heading1"/>
        <w:rPr>
          <w:szCs w:val="22"/>
        </w:rPr>
      </w:pPr>
      <w:bookmarkStart w:id="42" w:name="_Toc46492380"/>
      <w:bookmarkStart w:id="43" w:name="_Toc46492381"/>
      <w:bookmarkStart w:id="44" w:name="_Toc46492382"/>
      <w:bookmarkStart w:id="45" w:name="_Toc46492383"/>
      <w:bookmarkEnd w:id="42"/>
      <w:bookmarkEnd w:id="43"/>
      <w:bookmarkEnd w:id="44"/>
      <w:r>
        <w:lastRenderedPageBreak/>
        <w:t>Exceptions</w:t>
      </w:r>
      <w:bookmarkEnd w:id="45"/>
    </w:p>
    <w:p w14:paraId="3BBB8858" w14:textId="34AD46E0" w:rsidR="004A13A7" w:rsidRPr="00AF06C8" w:rsidRDefault="004A13A7" w:rsidP="004A13A7">
      <w:pPr>
        <w:rPr>
          <w:rFonts w:cstheme="minorBidi"/>
          <w:szCs w:val="22"/>
        </w:rPr>
      </w:pPr>
      <w:r w:rsidRPr="00AF06C8">
        <w:rPr>
          <w:szCs w:val="22"/>
        </w:rPr>
        <w:t xml:space="preserve">Exceptions to the requirements of this RALI for prospective assignments require case-by-case consideration by the Manager, Spectrum </w:t>
      </w:r>
      <w:r w:rsidR="006E0553">
        <w:rPr>
          <w:szCs w:val="22"/>
        </w:rPr>
        <w:t xml:space="preserve">Planning </w:t>
      </w:r>
      <w:r w:rsidRPr="00AF06C8">
        <w:rPr>
          <w:szCs w:val="22"/>
        </w:rPr>
        <w:t>Section.</w:t>
      </w:r>
    </w:p>
    <w:p w14:paraId="246A7D46" w14:textId="77777777" w:rsidR="004A13A7" w:rsidRPr="00AF06C8" w:rsidRDefault="004A13A7" w:rsidP="004A13A7">
      <w:pPr>
        <w:rPr>
          <w:szCs w:val="22"/>
        </w:rPr>
      </w:pPr>
      <w:r w:rsidRPr="00AF06C8">
        <w:rPr>
          <w:szCs w:val="22"/>
        </w:rPr>
        <w:t>A request for exemption from the requirements of this RALI would need to be accompanied by evidence to support the request.</w:t>
      </w:r>
    </w:p>
    <w:p w14:paraId="1CBFA1D5" w14:textId="62AD0AC2" w:rsidR="000B27C0" w:rsidRPr="000B27C0" w:rsidRDefault="004A13A7" w:rsidP="000B27C0">
      <w:pPr>
        <w:rPr>
          <w:rFonts w:cs="Arial"/>
          <w:szCs w:val="22"/>
        </w:rPr>
      </w:pPr>
      <w:r w:rsidRPr="00AF06C8">
        <w:rPr>
          <w:rFonts w:cs="Arial"/>
          <w:szCs w:val="22"/>
        </w:rPr>
        <w:t xml:space="preserve">All requests for exemptions should be submitted to </w:t>
      </w:r>
      <w:hyperlink r:id="rId14" w:history="1">
        <w:r w:rsidR="0032332E" w:rsidRPr="000226EA">
          <w:rPr>
            <w:rStyle w:val="Hyperlink"/>
            <w:rFonts w:cs="Arial"/>
            <w:szCs w:val="22"/>
          </w:rPr>
          <w:t>freqplan@acma.gov.au</w:t>
        </w:r>
      </w:hyperlink>
      <w:r w:rsidR="0032332E">
        <w:rPr>
          <w:rFonts w:cs="Arial"/>
          <w:szCs w:val="22"/>
        </w:rPr>
        <w:t xml:space="preserve">. </w:t>
      </w:r>
    </w:p>
    <w:p w14:paraId="21CF559C" w14:textId="3A4323A0" w:rsidR="004A13A7" w:rsidRPr="008C3D36" w:rsidRDefault="004A13A7" w:rsidP="00923D7A">
      <w:pPr>
        <w:pStyle w:val="Heading1"/>
      </w:pPr>
      <w:bookmarkStart w:id="46" w:name="_Toc8983860"/>
      <w:bookmarkStart w:id="47" w:name="_Toc8986384"/>
      <w:bookmarkStart w:id="48" w:name="_Toc46492384"/>
      <w:r w:rsidRPr="008C3D36">
        <w:lastRenderedPageBreak/>
        <w:t>RALI Authorisation</w:t>
      </w:r>
      <w:bookmarkEnd w:id="46"/>
      <w:bookmarkEnd w:id="47"/>
      <w:bookmarkEnd w:id="48"/>
    </w:p>
    <w:p w14:paraId="2A13FCCB" w14:textId="076E0CEB" w:rsidR="004A13A7" w:rsidRPr="00AF06C8" w:rsidRDefault="004A13A7" w:rsidP="004A13A7">
      <w:pPr>
        <w:rPr>
          <w:szCs w:val="22"/>
        </w:rPr>
      </w:pPr>
      <w:r w:rsidRPr="00AF06C8">
        <w:rPr>
          <w:szCs w:val="22"/>
        </w:rPr>
        <w:t>[</w:t>
      </w:r>
      <w:r w:rsidR="00BF62F1">
        <w:rPr>
          <w:szCs w:val="22"/>
        </w:rPr>
        <w:t>Not a</w:t>
      </w:r>
      <w:r w:rsidR="00132ED8">
        <w:rPr>
          <w:szCs w:val="22"/>
        </w:rPr>
        <w:t>pproved</w:t>
      </w:r>
      <w:r w:rsidRPr="00AF06C8">
        <w:rPr>
          <w:szCs w:val="22"/>
        </w:rPr>
        <w:t xml:space="preserve">]     </w:t>
      </w:r>
      <w:r w:rsidRPr="00AF06C8">
        <w:rPr>
          <w:szCs w:val="22"/>
        </w:rPr>
        <w:tab/>
      </w:r>
    </w:p>
    <w:p w14:paraId="5BD5B749" w14:textId="77777777" w:rsidR="004A13A7" w:rsidRPr="00AF06C8" w:rsidRDefault="004A13A7" w:rsidP="004A13A7">
      <w:pPr>
        <w:rPr>
          <w:szCs w:val="22"/>
        </w:rPr>
      </w:pPr>
    </w:p>
    <w:p w14:paraId="30E5468F" w14:textId="77777777" w:rsidR="004A13A7" w:rsidRPr="00AF06C8" w:rsidRDefault="004A13A7" w:rsidP="004A13A7">
      <w:pPr>
        <w:rPr>
          <w:szCs w:val="22"/>
        </w:rPr>
      </w:pPr>
    </w:p>
    <w:p w14:paraId="66D0AA06" w14:textId="708CBFDD" w:rsidR="004A13A7" w:rsidRPr="00AF06C8" w:rsidRDefault="004A13A7" w:rsidP="004A13A7">
      <w:pPr>
        <w:rPr>
          <w:szCs w:val="22"/>
        </w:rPr>
      </w:pPr>
      <w:r w:rsidRPr="00AF06C8">
        <w:rPr>
          <w:szCs w:val="22"/>
        </w:rPr>
        <w:br/>
        <w:t>Manager</w:t>
      </w:r>
      <w:r w:rsidRPr="00AF06C8">
        <w:rPr>
          <w:szCs w:val="22"/>
        </w:rPr>
        <w:br/>
      </w:r>
      <w:r w:rsidR="006E0553">
        <w:rPr>
          <w:szCs w:val="22"/>
        </w:rPr>
        <w:t xml:space="preserve">Space </w:t>
      </w:r>
      <w:r w:rsidR="0032332E">
        <w:rPr>
          <w:szCs w:val="22"/>
        </w:rPr>
        <w:t>Planning</w:t>
      </w:r>
      <w:r w:rsidRPr="00AF06C8">
        <w:rPr>
          <w:szCs w:val="22"/>
        </w:rPr>
        <w:t xml:space="preserve"> Section</w:t>
      </w:r>
      <w:r w:rsidRPr="00AF06C8">
        <w:rPr>
          <w:szCs w:val="22"/>
        </w:rPr>
        <w:br/>
        <w:t>Spectrum Planning and Engineering Branch</w:t>
      </w:r>
    </w:p>
    <w:p w14:paraId="29F6E7D9" w14:textId="6D4142C0" w:rsidR="004A13A7" w:rsidRDefault="004A13A7" w:rsidP="004A13A7">
      <w:pPr>
        <w:rPr>
          <w:szCs w:val="22"/>
        </w:rPr>
      </w:pPr>
      <w:r w:rsidRPr="00AF06C8">
        <w:rPr>
          <w:szCs w:val="22"/>
        </w:rPr>
        <w:t>Communications Infrastructure Division</w:t>
      </w:r>
      <w:r w:rsidRPr="00AF06C8">
        <w:rPr>
          <w:szCs w:val="22"/>
        </w:rPr>
        <w:br/>
        <w:t>Australian Communications and Media Authority</w:t>
      </w:r>
    </w:p>
    <w:p w14:paraId="255965D4" w14:textId="77777777" w:rsidR="00207455" w:rsidRPr="008C3D36" w:rsidRDefault="00207455" w:rsidP="00207455">
      <w:pPr>
        <w:pStyle w:val="Heading1"/>
      </w:pPr>
      <w:bookmarkStart w:id="49" w:name="_Toc46492385"/>
      <w:r w:rsidRPr="008C3D36">
        <w:lastRenderedPageBreak/>
        <w:t>R</w:t>
      </w:r>
      <w:r>
        <w:t>eferences</w:t>
      </w:r>
      <w:bookmarkEnd w:id="49"/>
    </w:p>
    <w:p w14:paraId="71A435C7" w14:textId="77777777" w:rsidR="00207455" w:rsidRDefault="00207455" w:rsidP="00207455">
      <w:r>
        <w:t>The following documents were used in the development of this RALI.</w:t>
      </w:r>
    </w:p>
    <w:p w14:paraId="43B0033C" w14:textId="77777777" w:rsidR="00207455" w:rsidRPr="00530EA4" w:rsidRDefault="00207455" w:rsidP="00207455">
      <w:pPr>
        <w:pStyle w:val="Heading2"/>
      </w:pPr>
      <w:bookmarkStart w:id="50" w:name="_Toc390181573"/>
      <w:bookmarkStart w:id="51" w:name="_Toc457205667"/>
      <w:bookmarkStart w:id="52" w:name="_Toc438128041"/>
      <w:bookmarkStart w:id="53" w:name="_Toc46492386"/>
      <w:r w:rsidRPr="00530EA4">
        <w:t>ACMA</w:t>
      </w:r>
      <w:bookmarkEnd w:id="50"/>
      <w:bookmarkEnd w:id="51"/>
      <w:bookmarkEnd w:id="52"/>
      <w:bookmarkEnd w:id="53"/>
      <w:r w:rsidRPr="00530EA4">
        <w:t xml:space="preserve"> </w:t>
      </w:r>
    </w:p>
    <w:p w14:paraId="5278FD05" w14:textId="77777777" w:rsidR="00207455" w:rsidRPr="00C44061" w:rsidRDefault="00207455" w:rsidP="00207455">
      <w:pPr>
        <w:pStyle w:val="ListBullet"/>
      </w:pPr>
      <w:r w:rsidRPr="00C44061">
        <w:t>Radiocommunications Act 1992</w:t>
      </w:r>
    </w:p>
    <w:p w14:paraId="068F9C0F" w14:textId="77777777" w:rsidR="00207455" w:rsidRPr="00C44061" w:rsidRDefault="00207455" w:rsidP="00207455">
      <w:pPr>
        <w:pStyle w:val="ListBullet"/>
      </w:pPr>
      <w:r w:rsidRPr="00C44061">
        <w:t xml:space="preserve">Australian Radiofrequency Spectrum Plan, </w:t>
      </w:r>
      <w:r w:rsidRPr="005230F1">
        <w:t>January</w:t>
      </w:r>
      <w:r w:rsidRPr="00C44061">
        <w:t xml:space="preserve"> </w:t>
      </w:r>
      <w:r>
        <w:t>2013</w:t>
      </w:r>
      <w:r w:rsidRPr="00C44061">
        <w:t>.</w:t>
      </w:r>
      <w:r w:rsidRPr="00C44061" w:rsidDel="008F0214">
        <w:t xml:space="preserve"> </w:t>
      </w:r>
      <w:bookmarkStart w:id="54" w:name="_Toc323214034"/>
      <w:bookmarkEnd w:id="54"/>
    </w:p>
    <w:p w14:paraId="4E62ACDC" w14:textId="77777777" w:rsidR="00207455" w:rsidRPr="00C44061" w:rsidRDefault="00207455" w:rsidP="00207455">
      <w:pPr>
        <w:pStyle w:val="ListBullet"/>
      </w:pPr>
      <w:r w:rsidRPr="00C44061">
        <w:t>RALI MS 03 - Embargoes</w:t>
      </w:r>
    </w:p>
    <w:p w14:paraId="3A8E63B7" w14:textId="77777777" w:rsidR="00207455" w:rsidRPr="00C44061" w:rsidRDefault="00207455" w:rsidP="00207455">
      <w:pPr>
        <w:pStyle w:val="ListBullet"/>
      </w:pPr>
      <w:r w:rsidRPr="00C44061">
        <w:t>RALI FX3 – Microwave Fixed Services Frequency Coordination</w:t>
      </w:r>
    </w:p>
    <w:p w14:paraId="03943DA0" w14:textId="77777777" w:rsidR="00207455" w:rsidRPr="00C44061" w:rsidRDefault="00207455" w:rsidP="00207455">
      <w:pPr>
        <w:pStyle w:val="Heading2"/>
      </w:pPr>
      <w:bookmarkStart w:id="55" w:name="_Toc390181574"/>
      <w:bookmarkStart w:id="56" w:name="_Toc457205668"/>
      <w:bookmarkStart w:id="57" w:name="_Toc438128042"/>
      <w:bookmarkStart w:id="58" w:name="_Toc46492387"/>
      <w:r w:rsidRPr="00C44061">
        <w:t>I</w:t>
      </w:r>
      <w:r>
        <w:t xml:space="preserve">nternational </w:t>
      </w:r>
      <w:r w:rsidRPr="00530EA4">
        <w:t>Telecommunications</w:t>
      </w:r>
      <w:r>
        <w:t xml:space="preserve"> </w:t>
      </w:r>
      <w:r w:rsidRPr="00C44061">
        <w:t>U</w:t>
      </w:r>
      <w:bookmarkEnd w:id="55"/>
      <w:r>
        <w:t>nion</w:t>
      </w:r>
      <w:bookmarkEnd w:id="56"/>
      <w:bookmarkEnd w:id="57"/>
      <w:bookmarkEnd w:id="58"/>
      <w:r w:rsidRPr="00C44061">
        <w:t xml:space="preserve"> </w:t>
      </w:r>
    </w:p>
    <w:p w14:paraId="690CC3F1" w14:textId="77777777" w:rsidR="00207455" w:rsidRPr="00C44061" w:rsidRDefault="00207455" w:rsidP="00207455">
      <w:pPr>
        <w:pStyle w:val="ListBullet"/>
      </w:pPr>
      <w:r w:rsidRPr="00C44061">
        <w:t>ITU Radio Regulations, Appendix 7</w:t>
      </w:r>
    </w:p>
    <w:p w14:paraId="29C5E3D2" w14:textId="77777777" w:rsidR="00207455" w:rsidRPr="00C44061" w:rsidRDefault="00207455" w:rsidP="00207455">
      <w:pPr>
        <w:pStyle w:val="ListBullet"/>
      </w:pPr>
      <w:r w:rsidRPr="00C44061">
        <w:t>ITU Radio Regulations, Article 21</w:t>
      </w:r>
    </w:p>
    <w:p w14:paraId="27C1BF04" w14:textId="77777777" w:rsidR="00207455" w:rsidRPr="005230F1" w:rsidRDefault="00207455" w:rsidP="00207455">
      <w:pPr>
        <w:pStyle w:val="ListBullet"/>
      </w:pPr>
      <w:r w:rsidRPr="005230F1">
        <w:t xml:space="preserve">Recommendation ITU-R </w:t>
      </w:r>
      <w:proofErr w:type="gramStart"/>
      <w:r w:rsidRPr="005230F1">
        <w:t xml:space="preserve">P.452 </w:t>
      </w:r>
      <w:r>
        <w:t xml:space="preserve"> (</w:t>
      </w:r>
      <w:proofErr w:type="gramEnd"/>
      <w:r>
        <w:t>as in force from time-to-time)</w:t>
      </w:r>
    </w:p>
    <w:p w14:paraId="4EC9BA1E" w14:textId="77777777" w:rsidR="00207455" w:rsidRPr="005230F1" w:rsidRDefault="00207455" w:rsidP="00207455">
      <w:pPr>
        <w:pStyle w:val="ListBullet"/>
      </w:pPr>
      <w:r w:rsidRPr="005230F1">
        <w:t>Recommendation ITU-R P.525</w:t>
      </w:r>
    </w:p>
    <w:p w14:paraId="2BF5FD8C" w14:textId="77777777" w:rsidR="00207455" w:rsidRPr="005230F1" w:rsidRDefault="00207455" w:rsidP="00207455">
      <w:pPr>
        <w:pStyle w:val="ListBullet"/>
      </w:pPr>
      <w:r w:rsidRPr="005230F1">
        <w:t>Recommendation ITU-R P.526-11</w:t>
      </w:r>
    </w:p>
    <w:p w14:paraId="170CA5E0" w14:textId="77777777" w:rsidR="00207455" w:rsidRPr="005230F1" w:rsidRDefault="00207455" w:rsidP="00207455">
      <w:pPr>
        <w:pStyle w:val="ListBullet"/>
      </w:pPr>
      <w:r w:rsidRPr="005230F1">
        <w:t>Recommendation ITU-R S.465-6</w:t>
      </w:r>
    </w:p>
    <w:p w14:paraId="5B4436D3" w14:textId="77777777" w:rsidR="00207455" w:rsidRPr="005230F1" w:rsidRDefault="00207455" w:rsidP="00207455">
      <w:pPr>
        <w:pStyle w:val="ListBullet"/>
      </w:pPr>
      <w:r w:rsidRPr="005230F1">
        <w:t>Recommendation ITU-R S.735-1</w:t>
      </w:r>
    </w:p>
    <w:p w14:paraId="62F81C2F" w14:textId="77777777" w:rsidR="00207455" w:rsidRPr="005230F1" w:rsidRDefault="00207455" w:rsidP="00207455">
      <w:pPr>
        <w:pStyle w:val="ListBullet"/>
      </w:pPr>
      <w:r w:rsidRPr="005230F1">
        <w:t>Recommendation ITU-R S.758-5</w:t>
      </w:r>
    </w:p>
    <w:p w14:paraId="635E279D" w14:textId="77777777" w:rsidR="00207455" w:rsidRPr="005230F1" w:rsidRDefault="00207455" w:rsidP="00207455">
      <w:pPr>
        <w:pStyle w:val="ListBullet"/>
      </w:pPr>
      <w:r w:rsidRPr="005230F1">
        <w:t>Recommendation ITU-R S.1432-1</w:t>
      </w:r>
    </w:p>
    <w:p w14:paraId="2E22AB7F" w14:textId="77777777" w:rsidR="00207455" w:rsidRPr="005230F1" w:rsidRDefault="00207455" w:rsidP="00207455">
      <w:pPr>
        <w:pStyle w:val="ListBullet"/>
      </w:pPr>
      <w:r w:rsidRPr="005230F1">
        <w:t>Recommendation ITU-R SF.1006</w:t>
      </w:r>
    </w:p>
    <w:p w14:paraId="6619CDBB" w14:textId="719EEDF3" w:rsidR="00ED402D" w:rsidRPr="00207455" w:rsidRDefault="00207455" w:rsidP="00ED402D">
      <w:pPr>
        <w:pStyle w:val="ListBullet"/>
      </w:pPr>
      <w:r w:rsidRPr="005230F1">
        <w:t>Recommendation ITU-R SM.337-6</w:t>
      </w:r>
    </w:p>
    <w:p w14:paraId="1A3F4B99" w14:textId="77777777" w:rsidR="003D61E6" w:rsidRPr="00701ADF" w:rsidRDefault="003D61E6" w:rsidP="00701ADF">
      <w:pPr>
        <w:pStyle w:val="Heading1"/>
        <w:numPr>
          <w:ilvl w:val="0"/>
          <w:numId w:val="0"/>
        </w:numPr>
      </w:pPr>
      <w:bookmarkStart w:id="59" w:name="_Toc368045570"/>
      <w:bookmarkStart w:id="60" w:name="_Toc457205669"/>
      <w:bookmarkStart w:id="61" w:name="_Toc438128043"/>
      <w:bookmarkStart w:id="62" w:name="_Toc46492388"/>
      <w:bookmarkStart w:id="63" w:name="_Toc355509357"/>
      <w:bookmarkStart w:id="64" w:name="_Toc355509439"/>
      <w:bookmarkStart w:id="65" w:name="_Toc355509468"/>
      <w:bookmarkStart w:id="66" w:name="_Toc356902080"/>
      <w:bookmarkStart w:id="67" w:name="_Toc356902230"/>
      <w:bookmarkStart w:id="68" w:name="_Toc356966868"/>
      <w:r w:rsidRPr="00701ADF">
        <w:lastRenderedPageBreak/>
        <w:t xml:space="preserve">Appendix 1: </w:t>
      </w:r>
      <w:bookmarkEnd w:id="59"/>
      <w:r w:rsidRPr="00701ADF">
        <w:t>Calculating antenna off-axis angle in two dimensions</w:t>
      </w:r>
      <w:bookmarkEnd w:id="60"/>
      <w:bookmarkEnd w:id="61"/>
      <w:bookmarkEnd w:id="62"/>
    </w:p>
    <w:bookmarkEnd w:id="63"/>
    <w:bookmarkEnd w:id="64"/>
    <w:bookmarkEnd w:id="65"/>
    <w:bookmarkEnd w:id="66"/>
    <w:bookmarkEnd w:id="67"/>
    <w:bookmarkEnd w:id="68"/>
    <w:p w14:paraId="0943E861" w14:textId="77777777" w:rsidR="003D61E6" w:rsidRPr="004D595E" w:rsidRDefault="003D61E6" w:rsidP="003D61E6">
      <w:r w:rsidRPr="004D595E">
        <w:t>The off-axis angle from a station’s antenna boresight can be separated into its horizontal and vertical components. This appendix deals with the horizontal component only, i.e. the off-axis angle in 2-dimensions. For calculations in 3-dimensions involving the vertical component of a station’s off-axis angle, also see Appendix 3.</w:t>
      </w:r>
    </w:p>
    <w:p w14:paraId="0D3682C5" w14:textId="25226AC1" w:rsidR="003D61E6" w:rsidRPr="004D595E" w:rsidRDefault="003D61E6" w:rsidP="003D61E6">
      <w:r w:rsidRPr="004D595E">
        <w:t>The horizontal component of the off-axis angle from Station 1 is related to the location of Station 2 relative to Station 1’s antenna boresight direction (</w:t>
      </w:r>
      <w:r w:rsidR="00785EEE">
        <w:t>Table 3</w:t>
      </w:r>
      <w:r w:rsidRPr="004D595E">
        <w:t xml:space="preserve"> provides definition of Station 1 and 2). The off-axis angle of Station 2 from Station 1’s antenna boresight in 2-dimensions is given by the equation:</w:t>
      </w:r>
    </w:p>
    <w:tbl>
      <w:tblPr>
        <w:tblW w:w="0" w:type="auto"/>
        <w:tblLook w:val="04A0" w:firstRow="1" w:lastRow="0" w:firstColumn="1" w:lastColumn="0" w:noHBand="0" w:noVBand="1"/>
      </w:tblPr>
      <w:tblGrid>
        <w:gridCol w:w="6843"/>
        <w:gridCol w:w="828"/>
      </w:tblGrid>
      <w:tr w:rsidR="003D61E6" w:rsidRPr="004D595E" w14:paraId="5101A5FA" w14:textId="77777777" w:rsidTr="00C8076C">
        <w:tc>
          <w:tcPr>
            <w:tcW w:w="7763" w:type="dxa"/>
          </w:tcPr>
          <w:p w14:paraId="7F437583" w14:textId="0A9FD376" w:rsidR="003D61E6" w:rsidRPr="008972B6" w:rsidRDefault="00207455" w:rsidP="002264D7">
            <w:pPr>
              <w:ind w:left="1171" w:hanging="1171"/>
              <w:jc w:val="center"/>
            </w:pPr>
            <m:oMathPara>
              <m:oMathParaPr>
                <m:jc m:val="left"/>
              </m:oMathParaPr>
              <m:oMath>
                <m:sSub>
                  <m:sSubPr>
                    <m:ctrlPr>
                      <w:rPr>
                        <w:rFonts w:ascii="Cambria Math" w:hAnsi="Cambria Math"/>
                        <w:i/>
                      </w:rPr>
                    </m:ctrlPr>
                  </m:sSubPr>
                  <m:e>
                    <m:r>
                      <w:rPr>
                        <w:rFonts w:ascii="Cambria Math"/>
                      </w:rPr>
                      <m:t>θ</m:t>
                    </m:r>
                  </m:e>
                  <m:sub>
                    <m:r>
                      <w:rPr>
                        <w:rFonts w:ascii="Cambria Math" w:hAnsi="Cambria Math" w:cs="Cambria Math"/>
                      </w:rPr>
                      <m:t>h</m:t>
                    </m:r>
                  </m:sub>
                </m:sSub>
                <m:r>
                  <w:rPr>
                    <w:rFonts w:asci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S1</m:t>
                        </m:r>
                      </m:sub>
                    </m:sSub>
                    <m:r>
                      <w:rPr>
                        <w:rFonts w:ascii="Cambria Math"/>
                      </w:rPr>
                      <m:t>-</m:t>
                    </m:r>
                    <m:sSub>
                      <m:sSubPr>
                        <m:ctrlPr>
                          <w:rPr>
                            <w:rFonts w:ascii="Cambria Math" w:hAnsi="Cambria Math"/>
                            <w:i/>
                          </w:rPr>
                        </m:ctrlPr>
                      </m:sSubPr>
                      <m:e>
                        <m:r>
                          <w:rPr>
                            <w:rFonts w:ascii="Cambria Math"/>
                          </w:rPr>
                          <m:t>Θ</m:t>
                        </m:r>
                      </m:e>
                      <m:sub>
                        <m:r>
                          <w:rPr>
                            <w:rFonts w:ascii="Cambria Math"/>
                          </w:rPr>
                          <m:t>S1,S2</m:t>
                        </m:r>
                      </m:sub>
                    </m:sSub>
                  </m:e>
                </m:d>
              </m:oMath>
            </m:oMathPara>
          </w:p>
        </w:tc>
        <w:tc>
          <w:tcPr>
            <w:tcW w:w="766" w:type="dxa"/>
          </w:tcPr>
          <w:p w14:paraId="5A001A66" w14:textId="77777777" w:rsidR="003D61E6" w:rsidRPr="004D595E" w:rsidRDefault="003D61E6" w:rsidP="00C8076C">
            <w:pPr>
              <w:ind w:left="851" w:hanging="851"/>
              <w:rPr>
                <w:b/>
                <w:bCs/>
                <w:i/>
              </w:rPr>
            </w:pPr>
            <w:r w:rsidRPr="004D595E">
              <w:rPr>
                <w:b/>
                <w:bCs/>
              </w:rPr>
              <w:t>(A1.1)</w:t>
            </w:r>
          </w:p>
        </w:tc>
      </w:tr>
    </w:tbl>
    <w:p w14:paraId="47494960" w14:textId="77777777" w:rsidR="003D61E6" w:rsidRPr="004D595E" w:rsidRDefault="003D61E6" w:rsidP="003D61E6">
      <w:pPr>
        <w:ind w:left="1571" w:hanging="851"/>
      </w:pPr>
      <w:r w:rsidRPr="004D595E">
        <w:t>where:</w:t>
      </w:r>
    </w:p>
    <w:p w14:paraId="6190D4BE" w14:textId="1AE388D7" w:rsidR="003D61E6" w:rsidRPr="004D595E" w:rsidRDefault="003D61E6" w:rsidP="00AB1912">
      <w:pPr>
        <w:tabs>
          <w:tab w:val="left" w:pos="1985"/>
        </w:tabs>
        <w:ind w:left="2127" w:hanging="851"/>
      </w:pPr>
      <w:r w:rsidRPr="004D595E">
        <w:rPr>
          <w:i/>
        </w:rPr>
        <w:t>θ</w:t>
      </w:r>
      <w:r w:rsidRPr="004D595E">
        <w:rPr>
          <w:i/>
          <w:vertAlign w:val="subscript"/>
        </w:rPr>
        <w:t>h</w:t>
      </w:r>
      <w:r w:rsidRPr="004D595E">
        <w:t xml:space="preserve"> </w:t>
      </w:r>
      <w:r w:rsidR="00AB1912">
        <w:tab/>
      </w:r>
      <w:r w:rsidRPr="004D595E">
        <w:t xml:space="preserve">: </w:t>
      </w:r>
      <w:r w:rsidR="00AB1912">
        <w:tab/>
      </w:r>
      <w:r w:rsidRPr="004D595E">
        <w:t>Horizontal component of antenna’s off-axis angle</w:t>
      </w:r>
    </w:p>
    <w:p w14:paraId="0C3E7A4F" w14:textId="5EF08F6B" w:rsidR="003D61E6" w:rsidRPr="004D595E" w:rsidRDefault="003D61E6" w:rsidP="00AB1912">
      <w:pPr>
        <w:tabs>
          <w:tab w:val="left" w:pos="1985"/>
        </w:tabs>
        <w:ind w:left="2127" w:hanging="851"/>
      </w:pPr>
      <w:r w:rsidRPr="004D595E">
        <w:t>Θ</w:t>
      </w:r>
      <w:r w:rsidRPr="004D595E">
        <w:rPr>
          <w:i/>
          <w:vertAlign w:val="subscript"/>
        </w:rPr>
        <w:t>S1</w:t>
      </w:r>
      <w:r w:rsidRPr="004D595E">
        <w:t xml:space="preserve"> </w:t>
      </w:r>
      <w:r w:rsidR="00AB1912">
        <w:tab/>
      </w:r>
      <w:r w:rsidRPr="004D595E">
        <w:t xml:space="preserve">: </w:t>
      </w:r>
      <w:r w:rsidR="00AB1912">
        <w:tab/>
      </w:r>
      <w:r w:rsidRPr="004D595E">
        <w:t xml:space="preserve">Station 1 azimuth (direction of Station 1’s antenna relative to north, in degrees, where 0 ≤ </w:t>
      </w:r>
      <w:r w:rsidRPr="004D595E">
        <w:rPr>
          <w:iCs/>
        </w:rPr>
        <w:t>Θ</w:t>
      </w:r>
      <w:r w:rsidRPr="004D595E">
        <w:rPr>
          <w:i/>
          <w:vertAlign w:val="subscript"/>
        </w:rPr>
        <w:t>S1</w:t>
      </w:r>
      <w:r w:rsidRPr="004D595E">
        <w:t xml:space="preserve"> &lt; 360)</w:t>
      </w:r>
    </w:p>
    <w:p w14:paraId="53E6D0C9" w14:textId="059BBE43" w:rsidR="003D61E6" w:rsidRPr="004D595E" w:rsidRDefault="003D61E6" w:rsidP="00AB1912">
      <w:pPr>
        <w:tabs>
          <w:tab w:val="left" w:pos="1985"/>
        </w:tabs>
        <w:ind w:left="2127" w:hanging="851"/>
      </w:pPr>
      <w:r w:rsidRPr="004D595E">
        <w:t>Θ</w:t>
      </w:r>
      <w:r w:rsidRPr="004D595E">
        <w:rPr>
          <w:i/>
          <w:vertAlign w:val="subscript"/>
        </w:rPr>
        <w:t>S</w:t>
      </w:r>
      <w:proofErr w:type="gramStart"/>
      <w:r w:rsidRPr="004D595E">
        <w:rPr>
          <w:i/>
          <w:vertAlign w:val="subscript"/>
        </w:rPr>
        <w:t>1,S</w:t>
      </w:r>
      <w:proofErr w:type="gramEnd"/>
      <w:r w:rsidRPr="004D595E">
        <w:rPr>
          <w:i/>
          <w:vertAlign w:val="subscript"/>
        </w:rPr>
        <w:t>2</w:t>
      </w:r>
      <w:r w:rsidR="0091594D">
        <w:rPr>
          <w:i/>
          <w:vertAlign w:val="subscript"/>
        </w:rPr>
        <w:tab/>
      </w:r>
      <w:r w:rsidRPr="004D595E">
        <w:t>:</w:t>
      </w:r>
      <w:r w:rsidR="00AB1912">
        <w:tab/>
      </w:r>
      <w:r w:rsidRPr="004D595E">
        <w:t>Azimuth of Station 2 relative to Station 1 (direction of Station 2’s location from the location of Station 1, relative to north in a clockwise direction, in degrees, where 0 ≤ Θ</w:t>
      </w:r>
      <w:r w:rsidRPr="004D595E">
        <w:rPr>
          <w:i/>
          <w:vertAlign w:val="subscript"/>
        </w:rPr>
        <w:t>S1,S2</w:t>
      </w:r>
      <w:r w:rsidRPr="004D595E">
        <w:t xml:space="preserve"> &lt; 360)</w:t>
      </w:r>
    </w:p>
    <w:tbl>
      <w:tblPr>
        <w:tblStyle w:val="TableGrid"/>
        <w:tblW w:w="0" w:type="auto"/>
        <w:tblLook w:val="04A0" w:firstRow="1" w:lastRow="0" w:firstColumn="1" w:lastColumn="0" w:noHBand="0" w:noVBand="1"/>
      </w:tblPr>
      <w:tblGrid>
        <w:gridCol w:w="1744"/>
        <w:gridCol w:w="2915"/>
        <w:gridCol w:w="3002"/>
      </w:tblGrid>
      <w:tr w:rsidR="00452F8B" w14:paraId="2366A521" w14:textId="77777777" w:rsidTr="00194B30">
        <w:tc>
          <w:tcPr>
            <w:tcW w:w="1838" w:type="dxa"/>
            <w:vMerge w:val="restart"/>
          </w:tcPr>
          <w:p w14:paraId="7B49CFFD" w14:textId="30AF3726" w:rsidR="00452F8B" w:rsidRPr="00194B30" w:rsidRDefault="00452F8B" w:rsidP="003D61E6">
            <w:pPr>
              <w:rPr>
                <w:b/>
              </w:rPr>
            </w:pPr>
            <w:r w:rsidRPr="00194B30">
              <w:rPr>
                <w:b/>
              </w:rPr>
              <w:t>Interference scenario</w:t>
            </w:r>
          </w:p>
        </w:tc>
        <w:tc>
          <w:tcPr>
            <w:tcW w:w="7202" w:type="dxa"/>
            <w:gridSpan w:val="2"/>
          </w:tcPr>
          <w:p w14:paraId="48F2BDC2" w14:textId="25BC6DD8" w:rsidR="00452F8B" w:rsidRPr="00194B30" w:rsidRDefault="00F910C0" w:rsidP="00194B30">
            <w:pPr>
              <w:jc w:val="center"/>
              <w:rPr>
                <w:b/>
              </w:rPr>
            </w:pPr>
            <w:r w:rsidRPr="004D595E">
              <w:rPr>
                <w:b/>
              </w:rPr>
              <w:t>Off-axis angle to be calculated</w:t>
            </w:r>
          </w:p>
        </w:tc>
      </w:tr>
      <w:tr w:rsidR="00452F8B" w14:paraId="2E594FB0" w14:textId="77777777" w:rsidTr="00194B30">
        <w:tc>
          <w:tcPr>
            <w:tcW w:w="1838" w:type="dxa"/>
            <w:vMerge/>
          </w:tcPr>
          <w:p w14:paraId="33D99AD0" w14:textId="77777777" w:rsidR="00452F8B" w:rsidRPr="00194B30" w:rsidRDefault="00452F8B" w:rsidP="003D61E6">
            <w:pPr>
              <w:rPr>
                <w:b/>
              </w:rPr>
            </w:pPr>
          </w:p>
        </w:tc>
        <w:tc>
          <w:tcPr>
            <w:tcW w:w="3544" w:type="dxa"/>
          </w:tcPr>
          <w:p w14:paraId="3E14DD67" w14:textId="0C0BB825" w:rsidR="00452F8B" w:rsidRPr="00194B30" w:rsidRDefault="00454DBF" w:rsidP="003D61E6">
            <w:pPr>
              <w:rPr>
                <w:b/>
              </w:rPr>
            </w:pPr>
            <w:r w:rsidRPr="004D595E">
              <w:rPr>
                <w:b/>
              </w:rPr>
              <w:t>Receive antenna off-axis angle</w:t>
            </w:r>
          </w:p>
        </w:tc>
        <w:tc>
          <w:tcPr>
            <w:tcW w:w="3658" w:type="dxa"/>
          </w:tcPr>
          <w:p w14:paraId="417E88F7" w14:textId="32FD52F1" w:rsidR="00452F8B" w:rsidRPr="00194B30" w:rsidRDefault="005169D0" w:rsidP="003D61E6">
            <w:pPr>
              <w:rPr>
                <w:b/>
              </w:rPr>
            </w:pPr>
            <w:r w:rsidRPr="004D595E">
              <w:rPr>
                <w:b/>
              </w:rPr>
              <w:t>Transmit antenna off-axis angle</w:t>
            </w:r>
          </w:p>
        </w:tc>
      </w:tr>
      <w:tr w:rsidR="001975AF" w14:paraId="0C456BB6" w14:textId="77777777" w:rsidTr="00194B30">
        <w:tc>
          <w:tcPr>
            <w:tcW w:w="1838" w:type="dxa"/>
          </w:tcPr>
          <w:p w14:paraId="3352D241" w14:textId="63166421" w:rsidR="001975AF" w:rsidRDefault="001975AF" w:rsidP="00806FBD">
            <w:pPr>
              <w:keepNext/>
              <w:keepLines/>
            </w:pPr>
            <w:r w:rsidRPr="004D595E">
              <w:t>Earth station receive,</w:t>
            </w:r>
            <w:r w:rsidR="00806FBD">
              <w:t xml:space="preserve"> </w:t>
            </w:r>
            <w:r w:rsidRPr="004D595E">
              <w:t>Terrestrial station transmit</w:t>
            </w:r>
          </w:p>
        </w:tc>
        <w:tc>
          <w:tcPr>
            <w:tcW w:w="3544" w:type="dxa"/>
          </w:tcPr>
          <w:p w14:paraId="2D3D4936" w14:textId="77777777" w:rsidR="001975AF" w:rsidRPr="004D595E" w:rsidRDefault="001975AF" w:rsidP="00194B30">
            <w:pPr>
              <w:keepNext/>
              <w:keepLines/>
            </w:pPr>
            <w:r w:rsidRPr="004D595E">
              <w:t>Station 1 = Earth station</w:t>
            </w:r>
          </w:p>
          <w:p w14:paraId="232E6FCA" w14:textId="77777777" w:rsidR="001975AF" w:rsidRPr="004D595E" w:rsidRDefault="001975AF" w:rsidP="00194B30">
            <w:pPr>
              <w:keepNext/>
              <w:keepLines/>
            </w:pPr>
            <w:r w:rsidRPr="004D595E">
              <w:t>Station 2 = terrestrial station</w:t>
            </w:r>
          </w:p>
          <w:p w14:paraId="0B58CDC0" w14:textId="478363B0" w:rsidR="001975AF" w:rsidRDefault="001975AF" w:rsidP="00194B30">
            <w:pPr>
              <w:keepNext/>
              <w:keepLines/>
            </w:pPr>
            <w:r w:rsidRPr="004D595E">
              <w:t>Also see Appendix 3</w:t>
            </w:r>
          </w:p>
        </w:tc>
        <w:tc>
          <w:tcPr>
            <w:tcW w:w="3658" w:type="dxa"/>
          </w:tcPr>
          <w:p w14:paraId="16941F79" w14:textId="77777777" w:rsidR="001975AF" w:rsidRPr="004D595E" w:rsidRDefault="001975AF" w:rsidP="00194B30">
            <w:pPr>
              <w:keepNext/>
              <w:keepLines/>
            </w:pPr>
            <w:r w:rsidRPr="004D595E">
              <w:t>Station 1 = terrestrial station</w:t>
            </w:r>
          </w:p>
          <w:p w14:paraId="68D9F2D3" w14:textId="4B8811D7" w:rsidR="001975AF" w:rsidRDefault="001975AF" w:rsidP="00194B30">
            <w:pPr>
              <w:keepNext/>
              <w:keepLines/>
            </w:pPr>
            <w:r w:rsidRPr="004D595E">
              <w:t>Station 2 = Earth station</w:t>
            </w:r>
          </w:p>
        </w:tc>
      </w:tr>
      <w:tr w:rsidR="001975AF" w14:paraId="1DA1E3F4" w14:textId="77777777" w:rsidTr="00194B30">
        <w:tc>
          <w:tcPr>
            <w:tcW w:w="1838" w:type="dxa"/>
          </w:tcPr>
          <w:p w14:paraId="5E41DD89" w14:textId="0EA70145" w:rsidR="001975AF" w:rsidRDefault="001975AF" w:rsidP="00806FBD">
            <w:pPr>
              <w:keepNext/>
              <w:keepLines/>
            </w:pPr>
            <w:r w:rsidRPr="004D595E">
              <w:t>Earth station transmit,</w:t>
            </w:r>
            <w:r w:rsidR="00806FBD">
              <w:t xml:space="preserve"> </w:t>
            </w:r>
            <w:r w:rsidRPr="004D595E">
              <w:t>Terrestrial station receive</w:t>
            </w:r>
          </w:p>
        </w:tc>
        <w:tc>
          <w:tcPr>
            <w:tcW w:w="3544" w:type="dxa"/>
          </w:tcPr>
          <w:p w14:paraId="582DDBEC" w14:textId="77777777" w:rsidR="001975AF" w:rsidRPr="004D595E" w:rsidRDefault="001975AF" w:rsidP="00194B30">
            <w:pPr>
              <w:keepNext/>
              <w:keepLines/>
            </w:pPr>
            <w:r w:rsidRPr="004D595E">
              <w:t>Station 1 = terrestrial station</w:t>
            </w:r>
          </w:p>
          <w:p w14:paraId="1FDCC85B" w14:textId="725AE1D8" w:rsidR="001975AF" w:rsidRDefault="001975AF" w:rsidP="00194B30">
            <w:pPr>
              <w:keepNext/>
              <w:keepLines/>
            </w:pPr>
            <w:r w:rsidRPr="004D595E">
              <w:t>Station 2 = Earth station</w:t>
            </w:r>
          </w:p>
        </w:tc>
        <w:tc>
          <w:tcPr>
            <w:tcW w:w="3658" w:type="dxa"/>
          </w:tcPr>
          <w:p w14:paraId="23971800" w14:textId="77777777" w:rsidR="001975AF" w:rsidRPr="004D595E" w:rsidRDefault="001975AF" w:rsidP="00194B30">
            <w:pPr>
              <w:keepNext/>
              <w:keepLines/>
            </w:pPr>
            <w:r w:rsidRPr="004D595E">
              <w:t>Station 1 = Earth station</w:t>
            </w:r>
          </w:p>
          <w:p w14:paraId="76808DA4" w14:textId="77777777" w:rsidR="001975AF" w:rsidRPr="004D595E" w:rsidRDefault="001975AF" w:rsidP="00194B30">
            <w:pPr>
              <w:keepNext/>
              <w:keepLines/>
            </w:pPr>
            <w:r w:rsidRPr="004D595E">
              <w:t>Station 2 = terrestrial station</w:t>
            </w:r>
          </w:p>
          <w:p w14:paraId="73FF2100" w14:textId="3CC6BE05" w:rsidR="001975AF" w:rsidRDefault="001975AF" w:rsidP="00194B30">
            <w:pPr>
              <w:keepNext/>
              <w:keepLines/>
            </w:pPr>
            <w:r w:rsidRPr="004D595E">
              <w:t>Also see Appendix 3</w:t>
            </w:r>
          </w:p>
        </w:tc>
      </w:tr>
    </w:tbl>
    <w:p w14:paraId="665E158B" w14:textId="428D8110" w:rsidR="00954909" w:rsidRDefault="00EA7811" w:rsidP="00EA7811">
      <w:pPr>
        <w:pStyle w:val="ACMATableHeader"/>
      </w:pPr>
      <w:r w:rsidRPr="00EA7811">
        <w:t>Definitions of Station 1 and Station 2 to be used in calculating θ</w:t>
      </w:r>
      <w:r w:rsidRPr="00B01984">
        <w:rPr>
          <w:vertAlign w:val="subscript"/>
        </w:rPr>
        <w:t>h</w:t>
      </w:r>
      <w:r w:rsidRPr="00EA7811">
        <w:t>.</w:t>
      </w:r>
    </w:p>
    <w:p w14:paraId="7807B6B6" w14:textId="77777777" w:rsidR="00954909" w:rsidRDefault="00954909" w:rsidP="005046EB">
      <w:pPr>
        <w:tabs>
          <w:tab w:val="left" w:pos="851"/>
        </w:tabs>
      </w:pPr>
    </w:p>
    <w:p w14:paraId="01DB09FD" w14:textId="426D594D" w:rsidR="003D61E6" w:rsidRPr="004D595E" w:rsidRDefault="003D61E6" w:rsidP="00785EEE">
      <w:pPr>
        <w:keepNext/>
        <w:keepLines/>
      </w:pPr>
      <w:r w:rsidRPr="004D595E">
        <w:lastRenderedPageBreak/>
        <w:t xml:space="preserve">The resulting value of </w:t>
      </w:r>
      <w:r w:rsidRPr="004D595E">
        <w:rPr>
          <w:i/>
        </w:rPr>
        <w:t>θ</w:t>
      </w:r>
      <w:r w:rsidRPr="004D595E">
        <w:rPr>
          <w:i/>
          <w:vertAlign w:val="subscript"/>
        </w:rPr>
        <w:t>h</w:t>
      </w:r>
      <w:r w:rsidRPr="004D595E">
        <w:t xml:space="preserve"> must be less than or equal to 180°. If </w:t>
      </w:r>
      <w:r w:rsidRPr="004D595E">
        <w:rPr>
          <w:i/>
        </w:rPr>
        <w:t>θ</w:t>
      </w:r>
      <w:r w:rsidRPr="004D595E">
        <w:rPr>
          <w:i/>
          <w:vertAlign w:val="subscript"/>
        </w:rPr>
        <w:t>h</w:t>
      </w:r>
      <w:r w:rsidRPr="004D595E">
        <w:t xml:space="preserve"> &gt; 180°, then </w:t>
      </w:r>
      <w:r w:rsidRPr="004D595E">
        <w:rPr>
          <w:i/>
        </w:rPr>
        <w:t>θ</w:t>
      </w:r>
      <w:r w:rsidRPr="004D595E">
        <w:rPr>
          <w:i/>
          <w:vertAlign w:val="subscript"/>
        </w:rPr>
        <w:t>h</w:t>
      </w:r>
      <w:r w:rsidRPr="004D595E">
        <w:t xml:space="preserve"> must be adjusted by the following equation:</w:t>
      </w:r>
    </w:p>
    <w:tbl>
      <w:tblPr>
        <w:tblW w:w="0" w:type="auto"/>
        <w:tblLook w:val="04A0" w:firstRow="1" w:lastRow="0" w:firstColumn="1" w:lastColumn="0" w:noHBand="0" w:noVBand="1"/>
      </w:tblPr>
      <w:tblGrid>
        <w:gridCol w:w="6697"/>
        <w:gridCol w:w="974"/>
      </w:tblGrid>
      <w:tr w:rsidR="003D61E6" w:rsidRPr="004D595E" w14:paraId="2F3057B4" w14:textId="77777777" w:rsidTr="00C8076C">
        <w:tc>
          <w:tcPr>
            <w:tcW w:w="7479" w:type="dxa"/>
          </w:tcPr>
          <w:p w14:paraId="4B1AE1A3" w14:textId="20674B7D" w:rsidR="003D61E6" w:rsidRPr="008972B6" w:rsidRDefault="00207455" w:rsidP="005046EB">
            <w:pPr>
              <w:keepNext/>
              <w:keepLines/>
              <w:ind w:left="851" w:hanging="105"/>
              <w:jc w:val="center"/>
            </w:pPr>
            <m:oMathPara>
              <m:oMathParaPr>
                <m:jc m:val="left"/>
              </m:oMathParaPr>
              <m:oMath>
                <m:sSub>
                  <m:sSubPr>
                    <m:ctrlPr>
                      <w:rPr>
                        <w:rFonts w:ascii="Cambria Math" w:hAnsi="Cambria Math"/>
                        <w:i/>
                      </w:rPr>
                    </m:ctrlPr>
                  </m:sSubPr>
                  <m:e>
                    <m:r>
                      <w:rPr>
                        <w:rFonts w:ascii="Cambria Math"/>
                      </w:rPr>
                      <m:t>θ</m:t>
                    </m:r>
                  </m:e>
                  <m:sub>
                    <m:r>
                      <w:rPr>
                        <w:rFonts w:ascii="Cambria Math" w:hAnsi="Cambria Math" w:cs="Cambria Math"/>
                      </w:rPr>
                      <m:t>h</m:t>
                    </m:r>
                  </m:sub>
                </m:sSub>
                <m:r>
                  <w:rPr>
                    <w:rFonts w:ascii="Cambria Math"/>
                  </w:rPr>
                  <m:t>=360</m:t>
                </m:r>
                <m:r>
                  <w:rPr>
                    <w:rFonts w:ascii="Cambria Math"/>
                  </w:rPr>
                  <m:t>-</m:t>
                </m:r>
                <m:sSub>
                  <m:sSubPr>
                    <m:ctrlPr>
                      <w:rPr>
                        <w:rFonts w:ascii="Cambria Math" w:hAnsi="Cambria Math"/>
                        <w:i/>
                      </w:rPr>
                    </m:ctrlPr>
                  </m:sSubPr>
                  <m:e>
                    <m:r>
                      <w:rPr>
                        <w:rFonts w:ascii="Cambria Math"/>
                      </w:rPr>
                      <m:t>θ</m:t>
                    </m:r>
                  </m:e>
                  <m:sub>
                    <m:r>
                      <w:rPr>
                        <w:rFonts w:ascii="Cambria Math" w:hAnsi="Cambria Math" w:cs="Cambria Math"/>
                      </w:rPr>
                      <m:t>h</m:t>
                    </m:r>
                  </m:sub>
                </m:sSub>
              </m:oMath>
            </m:oMathPara>
          </w:p>
        </w:tc>
        <w:tc>
          <w:tcPr>
            <w:tcW w:w="993" w:type="dxa"/>
          </w:tcPr>
          <w:p w14:paraId="614F02EE" w14:textId="77777777" w:rsidR="003D61E6" w:rsidRPr="004D595E" w:rsidRDefault="003D61E6" w:rsidP="00785EEE">
            <w:pPr>
              <w:keepNext/>
              <w:keepLines/>
              <w:ind w:left="851" w:hanging="851"/>
              <w:rPr>
                <w:b/>
                <w:bCs/>
                <w:i/>
              </w:rPr>
            </w:pPr>
            <w:r w:rsidRPr="004D595E">
              <w:rPr>
                <w:b/>
                <w:bCs/>
              </w:rPr>
              <w:t>(A1.2)</w:t>
            </w:r>
          </w:p>
        </w:tc>
      </w:tr>
    </w:tbl>
    <w:p w14:paraId="6CA155CD" w14:textId="77777777" w:rsidR="003D61E6" w:rsidRPr="004D595E" w:rsidRDefault="003D61E6" w:rsidP="003D61E6">
      <w:pPr>
        <w:keepNext/>
      </w:pPr>
      <w:r w:rsidRPr="004D595E">
        <w:t>The direction of Station 2 as viewed from Station 1 (great circle azimuth bearing) is given by the equation:</w:t>
      </w:r>
    </w:p>
    <w:tbl>
      <w:tblPr>
        <w:tblW w:w="0" w:type="auto"/>
        <w:tblLook w:val="04A0" w:firstRow="1" w:lastRow="0" w:firstColumn="1" w:lastColumn="0" w:noHBand="0" w:noVBand="1"/>
      </w:tblPr>
      <w:tblGrid>
        <w:gridCol w:w="6652"/>
        <w:gridCol w:w="1019"/>
      </w:tblGrid>
      <w:tr w:rsidR="003D61E6" w:rsidRPr="004D595E" w14:paraId="7EE558A6" w14:textId="77777777" w:rsidTr="00C8076C">
        <w:tc>
          <w:tcPr>
            <w:tcW w:w="7479" w:type="dxa"/>
          </w:tcPr>
          <w:p w14:paraId="04658945" w14:textId="1AA5D903" w:rsidR="003D61E6" w:rsidRPr="008972B6" w:rsidRDefault="00207455" w:rsidP="008972B6">
            <w:pPr>
              <w:keepNext/>
              <w:ind w:left="851" w:hanging="851"/>
              <w:jc w:val="center"/>
            </w:pPr>
            <m:oMathPara>
              <m:oMathParaPr>
                <m:jc m:val="left"/>
              </m:oMathParaPr>
              <m:oMath>
                <m:sSub>
                  <m:sSubPr>
                    <m:ctrlPr>
                      <w:rPr>
                        <w:rFonts w:ascii="Cambria Math" w:hAnsi="Cambria Math"/>
                        <w:i/>
                      </w:rPr>
                    </m:ctrlPr>
                  </m:sSubPr>
                  <m:e>
                    <m:r>
                      <w:rPr>
                        <w:rFonts w:ascii="Cambria Math"/>
                      </w:rPr>
                      <m:t>Θ</m:t>
                    </m:r>
                  </m:e>
                  <m:sub>
                    <m:r>
                      <w:rPr>
                        <w:rFonts w:ascii="Cambria Math"/>
                      </w:rPr>
                      <m:t>S1,S2</m:t>
                    </m:r>
                  </m:sub>
                </m:sSub>
                <m:r>
                  <w:rPr>
                    <w:rFonts w:ascii="Cambria Math"/>
                  </w:rPr>
                  <m:t>=</m:t>
                </m:r>
                <m:r>
                  <m:rPr>
                    <m:nor/>
                  </m:rPr>
                  <w:rPr>
                    <w:rFonts w:ascii="Cambria Math"/>
                  </w:rPr>
                  <m:t>atan</m:t>
                </m:r>
                <m:r>
                  <m:rPr>
                    <m:sty m:val="p"/>
                  </m:rPr>
                  <w:rPr>
                    <w:rFonts w:ascii="Cambria Math"/>
                  </w:rPr>
                  <m:t>2</m:t>
                </m:r>
                <m:d>
                  <m:dPr>
                    <m:ctrlPr>
                      <w:rPr>
                        <w:rFonts w:ascii="Cambria Math" w:hAnsi="Cambria Math"/>
                        <w:i/>
                      </w:rPr>
                    </m:ctrlPr>
                  </m:dPr>
                  <m:e>
                    <m:r>
                      <w:rPr>
                        <w:rFonts w:ascii="Cambria Math"/>
                      </w:rPr>
                      <m:t>y,x</m:t>
                    </m:r>
                  </m:e>
                </m:d>
              </m:oMath>
            </m:oMathPara>
          </w:p>
        </w:tc>
        <w:tc>
          <w:tcPr>
            <w:tcW w:w="1050" w:type="dxa"/>
            <w:vAlign w:val="center"/>
          </w:tcPr>
          <w:p w14:paraId="464FCFD8" w14:textId="77777777" w:rsidR="003D61E6" w:rsidRPr="004D595E" w:rsidRDefault="003D61E6" w:rsidP="00C8076C">
            <w:pPr>
              <w:keepNext/>
              <w:ind w:left="851" w:hanging="851"/>
              <w:rPr>
                <w:b/>
                <w:bCs/>
                <w:i/>
              </w:rPr>
            </w:pPr>
            <w:r w:rsidRPr="004D595E">
              <w:rPr>
                <w:b/>
                <w:bCs/>
              </w:rPr>
              <w:t>(A1.3)</w:t>
            </w:r>
          </w:p>
        </w:tc>
      </w:tr>
    </w:tbl>
    <w:p w14:paraId="3F86C793" w14:textId="77777777" w:rsidR="003D61E6" w:rsidRPr="004D595E" w:rsidRDefault="003D61E6" w:rsidP="003D61E6">
      <w:pPr>
        <w:keepNext/>
      </w:pPr>
      <w:r w:rsidRPr="004D595E">
        <w:t>atan2(</w:t>
      </w:r>
      <w:proofErr w:type="gramStart"/>
      <w:r w:rsidRPr="004D595E">
        <w:rPr>
          <w:i/>
        </w:rPr>
        <w:t>y,x</w:t>
      </w:r>
      <w:proofErr w:type="gramEnd"/>
      <w:r w:rsidRPr="004D595E">
        <w:t>) is the two argument variation of the arctangent function, and is given by the equation:</w:t>
      </w:r>
    </w:p>
    <w:tbl>
      <w:tblPr>
        <w:tblW w:w="0" w:type="auto"/>
        <w:tblLook w:val="04A0" w:firstRow="1" w:lastRow="0" w:firstColumn="1" w:lastColumn="0" w:noHBand="0" w:noVBand="1"/>
      </w:tblPr>
      <w:tblGrid>
        <w:gridCol w:w="6667"/>
        <w:gridCol w:w="1004"/>
      </w:tblGrid>
      <w:tr w:rsidR="003D61E6" w:rsidRPr="004D595E" w14:paraId="7D02A234" w14:textId="77777777" w:rsidTr="00C8076C">
        <w:tc>
          <w:tcPr>
            <w:tcW w:w="7479" w:type="dxa"/>
            <w:vAlign w:val="center"/>
          </w:tcPr>
          <w:p w14:paraId="30A32234" w14:textId="3156BB3A" w:rsidR="003D61E6" w:rsidRPr="002264D7" w:rsidRDefault="002264D7" w:rsidP="002264D7">
            <w:pPr>
              <w:ind w:left="851" w:hanging="851"/>
              <w:jc w:val="center"/>
            </w:pPr>
            <m:oMathPara>
              <m:oMathParaPr>
                <m:jc m:val="left"/>
              </m:oMathParaPr>
              <m:oMath>
                <m:r>
                  <m:rPr>
                    <m:nor/>
                  </m:rPr>
                  <w:rPr>
                    <w:rFonts w:ascii="Cambria Math"/>
                  </w:rPr>
                  <m:t>atan</m:t>
                </m:r>
                <m:r>
                  <m:rPr>
                    <m:sty m:val="p"/>
                  </m:rPr>
                  <w:rPr>
                    <w:rFonts w:ascii="Cambria Math"/>
                  </w:rPr>
                  <m:t>2</m:t>
                </m:r>
                <m:d>
                  <m:dPr>
                    <m:ctrlPr>
                      <w:rPr>
                        <w:rFonts w:ascii="Cambria Math" w:hAnsi="Cambria Math"/>
                        <w:i/>
                      </w:rPr>
                    </m:ctrlPr>
                  </m:dPr>
                  <m:e>
                    <m:r>
                      <w:rPr>
                        <w:rFonts w:ascii="Cambria Math"/>
                      </w:rPr>
                      <m:t>y,x</m:t>
                    </m:r>
                  </m:e>
                </m:d>
                <m:r>
                  <w:rPr>
                    <w:rFonts w:asci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func>
                            <m:funcPr>
                              <m:ctrlPr>
                                <w:rPr>
                                  <w:rFonts w:ascii="Cambria Math" w:hAnsi="Cambria Math"/>
                                  <w:i/>
                                </w:rPr>
                              </m:ctrlPr>
                            </m:funcPr>
                            <m:fName>
                              <m:r>
                                <w:rPr>
                                  <w:rFonts w:ascii="Cambria Math"/>
                                </w:rPr>
                                <m:t>arctan</m:t>
                              </m:r>
                            </m:fName>
                            <m:e>
                              <m:d>
                                <m:dPr>
                                  <m:ctrlPr>
                                    <w:rPr>
                                      <w:rFonts w:ascii="Cambria Math" w:hAnsi="Cambria Math"/>
                                      <w:i/>
                                    </w:rPr>
                                  </m:ctrlPr>
                                </m:dPr>
                                <m:e>
                                  <m:f>
                                    <m:fPr>
                                      <m:ctrlPr>
                                        <w:rPr>
                                          <w:rFonts w:ascii="Cambria Math" w:hAnsi="Cambria Math"/>
                                          <w:i/>
                                        </w:rPr>
                                      </m:ctrlPr>
                                    </m:fPr>
                                    <m:num>
                                      <m:r>
                                        <w:rPr>
                                          <w:rFonts w:ascii="Cambria Math"/>
                                        </w:rPr>
                                        <m:t>y</m:t>
                                      </m:r>
                                    </m:num>
                                    <m:den>
                                      <m:r>
                                        <w:rPr>
                                          <w:rFonts w:ascii="Cambria Math"/>
                                        </w:rPr>
                                        <m:t>x</m:t>
                                      </m:r>
                                    </m:den>
                                  </m:f>
                                </m:e>
                              </m:d>
                            </m:e>
                          </m:func>
                        </m:e>
                        <m:e>
                          <m:r>
                            <w:rPr>
                              <w:rFonts w:ascii="Cambria Math"/>
                            </w:rPr>
                            <m:t>x&gt;0</m:t>
                          </m:r>
                        </m:e>
                      </m:mr>
                      <m:mr>
                        <m:e>
                          <m:r>
                            <w:rPr>
                              <w:rFonts w:ascii="Cambria Math"/>
                            </w:rPr>
                            <m:t>π+</m:t>
                          </m:r>
                          <m:func>
                            <m:funcPr>
                              <m:ctrlPr>
                                <w:rPr>
                                  <w:rFonts w:ascii="Cambria Math" w:hAnsi="Cambria Math"/>
                                  <w:i/>
                                </w:rPr>
                              </m:ctrlPr>
                            </m:funcPr>
                            <m:fName>
                              <m:r>
                                <w:rPr>
                                  <w:rFonts w:ascii="Cambria Math"/>
                                </w:rPr>
                                <m:t>arctan</m:t>
                              </m:r>
                            </m:fName>
                            <m:e>
                              <m:d>
                                <m:dPr>
                                  <m:ctrlPr>
                                    <w:rPr>
                                      <w:rFonts w:ascii="Cambria Math" w:hAnsi="Cambria Math"/>
                                      <w:i/>
                                    </w:rPr>
                                  </m:ctrlPr>
                                </m:dPr>
                                <m:e>
                                  <m:f>
                                    <m:fPr>
                                      <m:ctrlPr>
                                        <w:rPr>
                                          <w:rFonts w:ascii="Cambria Math" w:hAnsi="Cambria Math"/>
                                          <w:i/>
                                        </w:rPr>
                                      </m:ctrlPr>
                                    </m:fPr>
                                    <m:num>
                                      <m:r>
                                        <w:rPr>
                                          <w:rFonts w:ascii="Cambria Math"/>
                                        </w:rPr>
                                        <m:t>y</m:t>
                                      </m:r>
                                    </m:num>
                                    <m:den>
                                      <m:r>
                                        <w:rPr>
                                          <w:rFonts w:ascii="Cambria Math"/>
                                        </w:rPr>
                                        <m:t>x</m:t>
                                      </m:r>
                                    </m:den>
                                  </m:f>
                                </m:e>
                              </m:d>
                            </m:e>
                          </m:func>
                        </m:e>
                        <m:e>
                          <m:r>
                            <w:rPr>
                              <w:rFonts w:ascii="Cambria Math"/>
                            </w:rPr>
                            <m:t>y</m:t>
                          </m:r>
                          <m:r>
                            <w:rPr>
                              <w:rFonts w:ascii="Cambria Math"/>
                            </w:rPr>
                            <m:t>≥</m:t>
                          </m:r>
                          <m:r>
                            <w:rPr>
                              <w:rFonts w:ascii="Cambria Math"/>
                            </w:rPr>
                            <m:t>0,x&lt;0</m:t>
                          </m:r>
                        </m:e>
                      </m:mr>
                      <m:mr>
                        <m:e>
                          <m:r>
                            <w:rPr>
                              <w:rFonts w:ascii="Cambria Math"/>
                            </w:rPr>
                            <m:t>-</m:t>
                          </m:r>
                          <m:r>
                            <w:rPr>
                              <w:rFonts w:ascii="Cambria Math"/>
                            </w:rPr>
                            <m:t>π+</m:t>
                          </m:r>
                          <m:func>
                            <m:funcPr>
                              <m:ctrlPr>
                                <w:rPr>
                                  <w:rFonts w:ascii="Cambria Math" w:hAnsi="Cambria Math"/>
                                  <w:i/>
                                </w:rPr>
                              </m:ctrlPr>
                            </m:funcPr>
                            <m:fName>
                              <m:r>
                                <w:rPr>
                                  <w:rFonts w:ascii="Cambria Math"/>
                                </w:rPr>
                                <m:t>arctan</m:t>
                              </m:r>
                            </m:fName>
                            <m:e>
                              <m:d>
                                <m:dPr>
                                  <m:ctrlPr>
                                    <w:rPr>
                                      <w:rFonts w:ascii="Cambria Math" w:hAnsi="Cambria Math"/>
                                      <w:i/>
                                    </w:rPr>
                                  </m:ctrlPr>
                                </m:dPr>
                                <m:e>
                                  <m:f>
                                    <m:fPr>
                                      <m:ctrlPr>
                                        <w:rPr>
                                          <w:rFonts w:ascii="Cambria Math" w:hAnsi="Cambria Math"/>
                                          <w:i/>
                                        </w:rPr>
                                      </m:ctrlPr>
                                    </m:fPr>
                                    <m:num>
                                      <m:r>
                                        <w:rPr>
                                          <w:rFonts w:ascii="Cambria Math"/>
                                        </w:rPr>
                                        <m:t>y</m:t>
                                      </m:r>
                                    </m:num>
                                    <m:den>
                                      <m:r>
                                        <w:rPr>
                                          <w:rFonts w:ascii="Cambria Math"/>
                                        </w:rPr>
                                        <m:t>x</m:t>
                                      </m:r>
                                    </m:den>
                                  </m:f>
                                </m:e>
                              </m:d>
                            </m:e>
                          </m:func>
                        </m:e>
                        <m:e>
                          <m:r>
                            <w:rPr>
                              <w:rFonts w:ascii="Cambria Math"/>
                            </w:rPr>
                            <m:t>y&lt;0,x&lt;0</m:t>
                          </m:r>
                        </m:e>
                      </m:mr>
                      <m:mr>
                        <m:e>
                          <m:f>
                            <m:fPr>
                              <m:ctrlPr>
                                <w:rPr>
                                  <w:rFonts w:ascii="Cambria Math" w:hAnsi="Cambria Math"/>
                                  <w:i/>
                                </w:rPr>
                              </m:ctrlPr>
                            </m:fPr>
                            <m:num>
                              <m:r>
                                <w:rPr>
                                  <w:rFonts w:ascii="Cambria Math"/>
                                </w:rPr>
                                <m:t>π</m:t>
                              </m:r>
                            </m:num>
                            <m:den>
                              <m:r>
                                <w:rPr>
                                  <w:rFonts w:ascii="Cambria Math"/>
                                </w:rPr>
                                <m:t>2</m:t>
                              </m:r>
                            </m:den>
                          </m:f>
                        </m:e>
                        <m:e>
                          <m:r>
                            <w:rPr>
                              <w:rFonts w:ascii="Cambria Math"/>
                            </w:rPr>
                            <m:t>y&gt;0,x=0</m:t>
                          </m:r>
                        </m:e>
                      </m:mr>
                      <m:mr>
                        <m:e>
                          <m:r>
                            <w:rPr>
                              <w:rFonts w:ascii="Cambria Math"/>
                            </w:rPr>
                            <m:t>-</m:t>
                          </m:r>
                          <m:f>
                            <m:fPr>
                              <m:ctrlPr>
                                <w:rPr>
                                  <w:rFonts w:ascii="Cambria Math" w:hAnsi="Cambria Math"/>
                                  <w:i/>
                                </w:rPr>
                              </m:ctrlPr>
                            </m:fPr>
                            <m:num>
                              <m:r>
                                <w:rPr>
                                  <w:rFonts w:ascii="Cambria Math"/>
                                </w:rPr>
                                <m:t>π</m:t>
                              </m:r>
                            </m:num>
                            <m:den>
                              <m:r>
                                <w:rPr>
                                  <w:rFonts w:ascii="Cambria Math"/>
                                </w:rPr>
                                <m:t>2</m:t>
                              </m:r>
                            </m:den>
                          </m:f>
                        </m:e>
                        <m:e>
                          <m:r>
                            <w:rPr>
                              <w:rFonts w:ascii="Cambria Math"/>
                            </w:rPr>
                            <m:t>y&lt;0,x=0</m:t>
                          </m:r>
                        </m:e>
                      </m:mr>
                      <m:mr>
                        <m:e>
                          <m:r>
                            <m:rPr>
                              <m:nor/>
                            </m:rPr>
                            <w:rPr>
                              <w:rFonts w:ascii="Cambria Math"/>
                            </w:rPr>
                            <m:t>undefined</m:t>
                          </m:r>
                          <m:ctrlPr>
                            <w:rPr>
                              <w:rFonts w:ascii="Cambria Math" w:hAnsi="Cambria Math"/>
                            </w:rPr>
                          </m:ctrlPr>
                        </m:e>
                        <m:e>
                          <m:r>
                            <w:rPr>
                              <w:rFonts w:ascii="Cambria Math"/>
                            </w:rPr>
                            <m:t>y=0,x=0</m:t>
                          </m:r>
                        </m:e>
                      </m:mr>
                    </m:m>
                  </m:e>
                </m:d>
              </m:oMath>
            </m:oMathPara>
          </w:p>
        </w:tc>
        <w:tc>
          <w:tcPr>
            <w:tcW w:w="1050" w:type="dxa"/>
            <w:vAlign w:val="center"/>
          </w:tcPr>
          <w:p w14:paraId="7D63E986" w14:textId="77777777" w:rsidR="003D61E6" w:rsidRPr="004D595E" w:rsidRDefault="003D61E6" w:rsidP="00C8076C">
            <w:pPr>
              <w:ind w:left="851" w:hanging="851"/>
              <w:rPr>
                <w:b/>
                <w:bCs/>
                <w:i/>
              </w:rPr>
            </w:pPr>
            <w:r w:rsidRPr="004D595E">
              <w:rPr>
                <w:b/>
                <w:bCs/>
              </w:rPr>
              <w:t>(A1.4)</w:t>
            </w:r>
          </w:p>
        </w:tc>
      </w:tr>
    </w:tbl>
    <w:p w14:paraId="69158DB7" w14:textId="77777777" w:rsidR="003D61E6" w:rsidRPr="004D595E" w:rsidRDefault="003D61E6" w:rsidP="00E5717E">
      <w:r w:rsidRPr="004D595E">
        <w:t>with:</w:t>
      </w:r>
    </w:p>
    <w:tbl>
      <w:tblPr>
        <w:tblW w:w="0" w:type="auto"/>
        <w:tblLook w:val="04A0" w:firstRow="1" w:lastRow="0" w:firstColumn="1" w:lastColumn="0" w:noHBand="0" w:noVBand="1"/>
      </w:tblPr>
      <w:tblGrid>
        <w:gridCol w:w="6659"/>
        <w:gridCol w:w="1012"/>
      </w:tblGrid>
      <w:tr w:rsidR="003D61E6" w:rsidRPr="004D595E" w14:paraId="68A0DFD8" w14:textId="77777777" w:rsidTr="00C8076C">
        <w:tc>
          <w:tcPr>
            <w:tcW w:w="7479" w:type="dxa"/>
            <w:vAlign w:val="center"/>
          </w:tcPr>
          <w:p w14:paraId="7AEA83D0" w14:textId="45A032E0" w:rsidR="003D61E6" w:rsidRPr="00E5717E" w:rsidRDefault="00E5717E" w:rsidP="00E5717E">
            <w:pPr>
              <w:ind w:left="851" w:hanging="851"/>
              <w:jc w:val="center"/>
            </w:pPr>
            <m:oMathPara>
              <m:oMathParaPr>
                <m:jc m:val="left"/>
              </m:oMathParaPr>
              <m:oMath>
                <m:r>
                  <w:rPr>
                    <w:rFonts w:ascii="Cambria Math"/>
                  </w:rPr>
                  <m:t>y=</m:t>
                </m:r>
                <m:func>
                  <m:funcPr>
                    <m:ctrlPr>
                      <w:rPr>
                        <w:rFonts w:ascii="Cambria Math" w:hAnsi="Cambria Math"/>
                        <w:i/>
                      </w:rPr>
                    </m:ctrlPr>
                  </m:funcPr>
                  <m:fName>
                    <m:r>
                      <w:rPr>
                        <w:rFonts w:ascii="Cambria Math"/>
                      </w:rPr>
                      <m:t>cos</m:t>
                    </m:r>
                  </m:fName>
                  <m:e>
                    <m:r>
                      <w:rPr>
                        <w:rFonts w:ascii="Cambria Math"/>
                      </w:rPr>
                      <m:t>(</m:t>
                    </m:r>
                  </m:e>
                </m:func>
                <m:sSub>
                  <m:sSubPr>
                    <m:ctrlPr>
                      <w:rPr>
                        <w:rFonts w:ascii="Cambria Math" w:hAnsi="Cambria Math"/>
                        <w:i/>
                      </w:rPr>
                    </m:ctrlPr>
                  </m:sSubPr>
                  <m:e>
                    <m:r>
                      <w:rPr>
                        <w:rFonts w:ascii="Cambria Math"/>
                      </w:rPr>
                      <m:t>φ</m:t>
                    </m:r>
                  </m:e>
                  <m:sub>
                    <m:r>
                      <w:rPr>
                        <w:rFonts w:ascii="Cambria Math"/>
                      </w:rPr>
                      <m:t>2</m:t>
                    </m:r>
                  </m:sub>
                </m:sSub>
                <m:r>
                  <w:rPr>
                    <w:rFonts w:ascii="Cambria Math"/>
                  </w:rPr>
                  <m:t>)</m:t>
                </m:r>
                <m:func>
                  <m:funcPr>
                    <m:ctrlPr>
                      <w:rPr>
                        <w:rFonts w:ascii="Cambria Math" w:hAnsi="Cambria Math"/>
                        <w:i/>
                      </w:rPr>
                    </m:ctrlPr>
                  </m:funcPr>
                  <m:fName>
                    <m:r>
                      <w:rPr>
                        <w:rFonts w:ascii="Cambria Math"/>
                      </w:rPr>
                      <m:t>sin</m:t>
                    </m:r>
                  </m:fName>
                  <m:e>
                    <m:r>
                      <w:rPr>
                        <w:rFonts w:ascii="Cambria Math"/>
                      </w:rPr>
                      <m:t>(</m:t>
                    </m:r>
                  </m:e>
                </m:func>
                <m:sSub>
                  <m:sSubPr>
                    <m:ctrlPr>
                      <w:rPr>
                        <w:rFonts w:ascii="Cambria Math" w:hAnsi="Cambria Math"/>
                        <w:i/>
                      </w:rPr>
                    </m:ctrlPr>
                  </m:sSubPr>
                  <m:e>
                    <m:r>
                      <w:rPr>
                        <w:rFonts w:ascii="Cambria Math"/>
                      </w:rPr>
                      <m:t>λ</m:t>
                    </m:r>
                  </m:e>
                  <m:sub>
                    <m:r>
                      <w:rPr>
                        <w:rFonts w:ascii="Cambria Math"/>
                      </w:rPr>
                      <m:t>2</m:t>
                    </m:r>
                  </m:sub>
                </m:sSub>
                <m:r>
                  <w:rPr>
                    <w:rFonts w:ascii="Cambria Math"/>
                  </w:rPr>
                  <m:t>-</m:t>
                </m:r>
                <m:sSub>
                  <m:sSubPr>
                    <m:ctrlPr>
                      <w:rPr>
                        <w:rFonts w:ascii="Cambria Math" w:hAnsi="Cambria Math"/>
                        <w:i/>
                      </w:rPr>
                    </m:ctrlPr>
                  </m:sSubPr>
                  <m:e>
                    <m:r>
                      <w:rPr>
                        <w:rFonts w:ascii="Cambria Math"/>
                      </w:rPr>
                      <m:t>λ</m:t>
                    </m:r>
                  </m:e>
                  <m:sub>
                    <m:r>
                      <w:rPr>
                        <w:rFonts w:ascii="Cambria Math"/>
                      </w:rPr>
                      <m:t>1</m:t>
                    </m:r>
                  </m:sub>
                </m:sSub>
                <m:r>
                  <w:rPr>
                    <w:rFonts w:ascii="Cambria Math"/>
                  </w:rPr>
                  <m:t>)</m:t>
                </m:r>
                <m:r>
                  <m:rPr>
                    <m:sty m:val="p"/>
                  </m:rPr>
                  <w:rPr>
                    <w:rFonts w:ascii="Cambria Math"/>
                  </w:rPr>
                  <w:br/>
                </m:r>
              </m:oMath>
              <m:oMath>
                <m:r>
                  <w:rPr>
                    <w:rFonts w:ascii="Cambria Math"/>
                  </w:rPr>
                  <m:t>x=</m:t>
                </m:r>
                <m:func>
                  <m:funcPr>
                    <m:ctrlPr>
                      <w:rPr>
                        <w:rFonts w:ascii="Cambria Math" w:hAnsi="Cambria Math"/>
                        <w:i/>
                      </w:rPr>
                    </m:ctrlPr>
                  </m:funcPr>
                  <m:fName>
                    <m:r>
                      <w:rPr>
                        <w:rFonts w:ascii="Cambria Math"/>
                      </w:rPr>
                      <m:t>cos</m:t>
                    </m:r>
                  </m:fName>
                  <m:e>
                    <m:r>
                      <w:rPr>
                        <w:rFonts w:ascii="Cambria Math"/>
                      </w:rPr>
                      <m:t>(</m:t>
                    </m:r>
                  </m:e>
                </m:func>
                <m:sSub>
                  <m:sSubPr>
                    <m:ctrlPr>
                      <w:rPr>
                        <w:rFonts w:ascii="Cambria Math" w:hAnsi="Cambria Math"/>
                        <w:i/>
                      </w:rPr>
                    </m:ctrlPr>
                  </m:sSubPr>
                  <m:e>
                    <m:r>
                      <w:rPr>
                        <w:rFonts w:ascii="Cambria Math"/>
                      </w:rPr>
                      <m:t>φ</m:t>
                    </m:r>
                  </m:e>
                  <m:sub>
                    <m:r>
                      <w:rPr>
                        <w:rFonts w:ascii="Cambria Math"/>
                      </w:rPr>
                      <m:t>1</m:t>
                    </m:r>
                  </m:sub>
                </m:sSub>
                <m:r>
                  <w:rPr>
                    <w:rFonts w:ascii="Cambria Math"/>
                  </w:rPr>
                  <m:t>)</m:t>
                </m:r>
                <m:func>
                  <m:funcPr>
                    <m:ctrlPr>
                      <w:rPr>
                        <w:rFonts w:ascii="Cambria Math" w:hAnsi="Cambria Math"/>
                        <w:i/>
                      </w:rPr>
                    </m:ctrlPr>
                  </m:funcPr>
                  <m:fName>
                    <m:r>
                      <w:rPr>
                        <w:rFonts w:ascii="Cambria Math"/>
                      </w:rPr>
                      <m:t>sin</m:t>
                    </m:r>
                  </m:fName>
                  <m:e>
                    <m:r>
                      <w:rPr>
                        <w:rFonts w:ascii="Cambria Math"/>
                      </w:rPr>
                      <m:t>(</m:t>
                    </m:r>
                  </m:e>
                </m:func>
                <m:sSub>
                  <m:sSubPr>
                    <m:ctrlPr>
                      <w:rPr>
                        <w:rFonts w:ascii="Cambria Math" w:hAnsi="Cambria Math"/>
                        <w:i/>
                      </w:rPr>
                    </m:ctrlPr>
                  </m:sSubPr>
                  <m:e>
                    <m:r>
                      <w:rPr>
                        <w:rFonts w:ascii="Cambria Math"/>
                      </w:rPr>
                      <m:t>φ</m:t>
                    </m:r>
                  </m:e>
                  <m:sub>
                    <m:r>
                      <w:rPr>
                        <w:rFonts w:ascii="Cambria Math"/>
                      </w:rPr>
                      <m:t>2</m:t>
                    </m:r>
                  </m:sub>
                </m:sSub>
                <m:r>
                  <w:rPr>
                    <w:rFonts w:ascii="Cambria Math"/>
                  </w:rPr>
                  <m:t>)</m:t>
                </m:r>
                <m:r>
                  <w:rPr>
                    <w:rFonts w:ascii="Cambria Math"/>
                  </w:rPr>
                  <m:t>-</m:t>
                </m:r>
                <m:func>
                  <m:funcPr>
                    <m:ctrlPr>
                      <w:rPr>
                        <w:rFonts w:ascii="Cambria Math" w:hAnsi="Cambria Math"/>
                        <w:i/>
                      </w:rPr>
                    </m:ctrlPr>
                  </m:funcPr>
                  <m:fName>
                    <m:r>
                      <w:rPr>
                        <w:rFonts w:ascii="Cambria Math"/>
                      </w:rPr>
                      <m:t>sin</m:t>
                    </m:r>
                  </m:fName>
                  <m:e>
                    <m:r>
                      <w:rPr>
                        <w:rFonts w:ascii="Cambria Math"/>
                      </w:rPr>
                      <m:t>(</m:t>
                    </m:r>
                  </m:e>
                </m:func>
                <m:sSub>
                  <m:sSubPr>
                    <m:ctrlPr>
                      <w:rPr>
                        <w:rFonts w:ascii="Cambria Math" w:hAnsi="Cambria Math"/>
                        <w:i/>
                      </w:rPr>
                    </m:ctrlPr>
                  </m:sSubPr>
                  <m:e>
                    <m:r>
                      <w:rPr>
                        <w:rFonts w:ascii="Cambria Math"/>
                      </w:rPr>
                      <m:t>φ</m:t>
                    </m:r>
                  </m:e>
                  <m:sub>
                    <m:r>
                      <w:rPr>
                        <w:rFonts w:ascii="Cambria Math"/>
                      </w:rPr>
                      <m:t>1</m:t>
                    </m:r>
                  </m:sub>
                </m:sSub>
                <m:r>
                  <w:rPr>
                    <w:rFonts w:ascii="Cambria Math"/>
                  </w:rPr>
                  <m:t>)</m:t>
                </m:r>
                <m:func>
                  <m:funcPr>
                    <m:ctrlPr>
                      <w:rPr>
                        <w:rFonts w:ascii="Cambria Math" w:hAnsi="Cambria Math"/>
                        <w:i/>
                      </w:rPr>
                    </m:ctrlPr>
                  </m:funcPr>
                  <m:fName>
                    <m:r>
                      <w:rPr>
                        <w:rFonts w:ascii="Cambria Math"/>
                      </w:rPr>
                      <m:t>cos</m:t>
                    </m:r>
                  </m:fName>
                  <m:e>
                    <m:r>
                      <w:rPr>
                        <w:rFonts w:ascii="Cambria Math"/>
                      </w:rPr>
                      <m:t>(</m:t>
                    </m:r>
                  </m:e>
                </m:func>
                <m:sSub>
                  <m:sSubPr>
                    <m:ctrlPr>
                      <w:rPr>
                        <w:rFonts w:ascii="Cambria Math" w:hAnsi="Cambria Math"/>
                        <w:i/>
                      </w:rPr>
                    </m:ctrlPr>
                  </m:sSubPr>
                  <m:e>
                    <m:r>
                      <w:rPr>
                        <w:rFonts w:ascii="Cambria Math"/>
                      </w:rPr>
                      <m:t>φ</m:t>
                    </m:r>
                  </m:e>
                  <m:sub>
                    <m:r>
                      <w:rPr>
                        <w:rFonts w:ascii="Cambria Math"/>
                      </w:rPr>
                      <m:t>2</m:t>
                    </m:r>
                  </m:sub>
                </m:sSub>
                <m:r>
                  <w:rPr>
                    <w:rFonts w:ascii="Cambria Math"/>
                  </w:rPr>
                  <m:t>)</m:t>
                </m:r>
                <m:func>
                  <m:funcPr>
                    <m:ctrlPr>
                      <w:rPr>
                        <w:rFonts w:ascii="Cambria Math" w:hAnsi="Cambria Math"/>
                        <w:i/>
                      </w:rPr>
                    </m:ctrlPr>
                  </m:funcPr>
                  <m:fName>
                    <m:r>
                      <w:rPr>
                        <w:rFonts w:ascii="Cambria Math"/>
                      </w:rPr>
                      <m:t>cos</m:t>
                    </m:r>
                  </m:fName>
                  <m:e>
                    <m:r>
                      <w:rPr>
                        <w:rFonts w:ascii="Cambria Math"/>
                      </w:rPr>
                      <m:t>(</m:t>
                    </m:r>
                  </m:e>
                </m:func>
                <m:sSub>
                  <m:sSubPr>
                    <m:ctrlPr>
                      <w:rPr>
                        <w:rFonts w:ascii="Cambria Math" w:hAnsi="Cambria Math"/>
                        <w:i/>
                      </w:rPr>
                    </m:ctrlPr>
                  </m:sSubPr>
                  <m:e>
                    <m:r>
                      <w:rPr>
                        <w:rFonts w:ascii="Cambria Math"/>
                      </w:rPr>
                      <m:t>λ</m:t>
                    </m:r>
                  </m:e>
                  <m:sub>
                    <m:r>
                      <w:rPr>
                        <w:rFonts w:ascii="Cambria Math"/>
                      </w:rPr>
                      <m:t>2</m:t>
                    </m:r>
                  </m:sub>
                </m:sSub>
                <m:r>
                  <w:rPr>
                    <w:rFonts w:ascii="Cambria Math"/>
                  </w:rPr>
                  <m:t>-</m:t>
                </m:r>
                <m:sSub>
                  <m:sSubPr>
                    <m:ctrlPr>
                      <w:rPr>
                        <w:rFonts w:ascii="Cambria Math" w:hAnsi="Cambria Math"/>
                        <w:i/>
                      </w:rPr>
                    </m:ctrlPr>
                  </m:sSubPr>
                  <m:e>
                    <m:r>
                      <w:rPr>
                        <w:rFonts w:ascii="Cambria Math"/>
                      </w:rPr>
                      <m:t>λ</m:t>
                    </m:r>
                  </m:e>
                  <m:sub>
                    <m:r>
                      <w:rPr>
                        <w:rFonts w:ascii="Cambria Math"/>
                      </w:rPr>
                      <m:t>1</m:t>
                    </m:r>
                  </m:sub>
                </m:sSub>
                <m:r>
                  <w:rPr>
                    <w:rFonts w:ascii="Cambria Math"/>
                  </w:rPr>
                  <m:t>)</m:t>
                </m:r>
              </m:oMath>
            </m:oMathPara>
          </w:p>
        </w:tc>
        <w:tc>
          <w:tcPr>
            <w:tcW w:w="1050" w:type="dxa"/>
            <w:vAlign w:val="center"/>
          </w:tcPr>
          <w:p w14:paraId="11CFB6B4" w14:textId="77777777" w:rsidR="003D61E6" w:rsidRPr="004D595E" w:rsidRDefault="003D61E6" w:rsidP="00C8076C">
            <w:pPr>
              <w:ind w:left="851" w:hanging="851"/>
              <w:rPr>
                <w:b/>
                <w:bCs/>
                <w:i/>
              </w:rPr>
            </w:pPr>
            <w:r w:rsidRPr="004D595E">
              <w:rPr>
                <w:b/>
                <w:bCs/>
              </w:rPr>
              <w:t>(A1.5)</w:t>
            </w:r>
          </w:p>
        </w:tc>
      </w:tr>
    </w:tbl>
    <w:p w14:paraId="7EB8541B" w14:textId="77777777" w:rsidR="003D61E6" w:rsidRPr="004D595E" w:rsidRDefault="003D61E6" w:rsidP="00E5717E">
      <w:r w:rsidRPr="004D595E">
        <w:t>where:</w:t>
      </w:r>
    </w:p>
    <w:p w14:paraId="007F8C92" w14:textId="77777777" w:rsidR="003D61E6" w:rsidRPr="004D595E" w:rsidRDefault="003D61E6" w:rsidP="00E5717E">
      <w:pPr>
        <w:ind w:left="851"/>
      </w:pPr>
      <w:r w:rsidRPr="004D595E">
        <w:rPr>
          <w:i/>
        </w:rPr>
        <w:t>φ</w:t>
      </w:r>
      <w:r w:rsidRPr="004D595E">
        <w:rPr>
          <w:i/>
          <w:vertAlign w:val="subscript"/>
        </w:rPr>
        <w:t>1</w:t>
      </w:r>
      <w:r w:rsidRPr="004D595E">
        <w:t xml:space="preserve"> = latitude of Station 1</w:t>
      </w:r>
    </w:p>
    <w:p w14:paraId="38405AC9" w14:textId="77777777" w:rsidR="003D61E6" w:rsidRPr="004D595E" w:rsidRDefault="003D61E6" w:rsidP="00E5717E">
      <w:pPr>
        <w:ind w:left="851"/>
      </w:pPr>
      <w:r w:rsidRPr="004D595E">
        <w:rPr>
          <w:i/>
        </w:rPr>
        <w:t>λ</w:t>
      </w:r>
      <w:r w:rsidRPr="004D595E">
        <w:rPr>
          <w:i/>
          <w:vertAlign w:val="subscript"/>
        </w:rPr>
        <w:t>1</w:t>
      </w:r>
      <w:r w:rsidRPr="004D595E">
        <w:t xml:space="preserve"> = longitude of Station 1</w:t>
      </w:r>
    </w:p>
    <w:p w14:paraId="17E7AF22" w14:textId="77777777" w:rsidR="003D61E6" w:rsidRPr="004D595E" w:rsidRDefault="003D61E6" w:rsidP="00E5717E">
      <w:pPr>
        <w:ind w:left="851"/>
      </w:pPr>
      <w:r w:rsidRPr="004D595E">
        <w:rPr>
          <w:i/>
        </w:rPr>
        <w:t>φ</w:t>
      </w:r>
      <w:r w:rsidRPr="004D595E">
        <w:rPr>
          <w:i/>
          <w:vertAlign w:val="subscript"/>
        </w:rPr>
        <w:t>2</w:t>
      </w:r>
      <w:r w:rsidRPr="004D595E">
        <w:t xml:space="preserve"> = latitude of Station 2</w:t>
      </w:r>
    </w:p>
    <w:p w14:paraId="2E366FB0" w14:textId="77777777" w:rsidR="003D61E6" w:rsidRPr="004D595E" w:rsidRDefault="003D61E6" w:rsidP="00E5717E">
      <w:pPr>
        <w:ind w:left="851"/>
      </w:pPr>
      <w:r w:rsidRPr="004D595E">
        <w:rPr>
          <w:i/>
        </w:rPr>
        <w:t>λ</w:t>
      </w:r>
      <w:r w:rsidRPr="004D595E">
        <w:rPr>
          <w:i/>
          <w:vertAlign w:val="subscript"/>
        </w:rPr>
        <w:t>2</w:t>
      </w:r>
      <w:r w:rsidRPr="004D595E">
        <w:t xml:space="preserve"> = longitude of Station 2</w:t>
      </w:r>
    </w:p>
    <w:p w14:paraId="79677F96" w14:textId="77777777" w:rsidR="003D61E6" w:rsidRPr="004D595E" w:rsidRDefault="003D61E6" w:rsidP="003D61E6">
      <w:pPr>
        <w:ind w:left="851" w:hanging="851"/>
        <w:rPr>
          <w:b/>
        </w:rPr>
      </w:pPr>
    </w:p>
    <w:p w14:paraId="129696BB" w14:textId="77777777" w:rsidR="003D61E6" w:rsidRPr="004D595E" w:rsidRDefault="003D61E6" w:rsidP="003D61E6">
      <w:pPr>
        <w:ind w:left="851" w:hanging="851"/>
        <w:jc w:val="center"/>
        <w:rPr>
          <w:b/>
        </w:rPr>
      </w:pPr>
      <w:r w:rsidRPr="004D595E">
        <w:rPr>
          <w:b/>
          <w:noProof/>
        </w:rPr>
        <w:lastRenderedPageBreak/>
        <w:drawing>
          <wp:inline distT="0" distB="0" distL="0" distR="0" wp14:anchorId="68202917" wp14:editId="34D54E91">
            <wp:extent cx="4099560" cy="2705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9560" cy="2705100"/>
                    </a:xfrm>
                    <a:prstGeom prst="rect">
                      <a:avLst/>
                    </a:prstGeom>
                    <a:noFill/>
                    <a:ln>
                      <a:noFill/>
                    </a:ln>
                  </pic:spPr>
                </pic:pic>
              </a:graphicData>
            </a:graphic>
          </wp:inline>
        </w:drawing>
      </w:r>
    </w:p>
    <w:p w14:paraId="36213384" w14:textId="7FF14954" w:rsidR="003D61E6" w:rsidRPr="00947E08" w:rsidRDefault="003D61E6" w:rsidP="00613290">
      <w:pPr>
        <w:pStyle w:val="Captionfigure"/>
      </w:pPr>
      <w:r w:rsidRPr="004D595E">
        <w:t>Diagram of azimuth angles of Station 1 and Station 2 with reference to Station 1 (denoted by Θ</w:t>
      </w:r>
      <w:r w:rsidRPr="004D595E">
        <w:rPr>
          <w:i/>
          <w:vertAlign w:val="subscript"/>
        </w:rPr>
        <w:t>S1</w:t>
      </w:r>
      <w:r w:rsidRPr="004D595E">
        <w:t xml:space="preserve"> and Θ</w:t>
      </w:r>
      <w:r w:rsidRPr="004D595E">
        <w:rPr>
          <w:i/>
          <w:vertAlign w:val="subscript"/>
        </w:rPr>
        <w:t>S</w:t>
      </w:r>
      <w:proofErr w:type="gramStart"/>
      <w:r w:rsidRPr="004D595E">
        <w:rPr>
          <w:i/>
          <w:vertAlign w:val="subscript"/>
        </w:rPr>
        <w:t>1,S</w:t>
      </w:r>
      <w:proofErr w:type="gramEnd"/>
      <w:r w:rsidRPr="004D595E">
        <w:rPr>
          <w:i/>
          <w:vertAlign w:val="subscript"/>
        </w:rPr>
        <w:t>2</w:t>
      </w:r>
      <w:r w:rsidRPr="004D595E">
        <w:t xml:space="preserve"> respectively), and the horizontal off-axis angle of Station 2 from Station 1’s antenna boresight (denoted </w:t>
      </w:r>
      <w:r w:rsidRPr="004D595E">
        <w:rPr>
          <w:i/>
        </w:rPr>
        <w:t>θ</w:t>
      </w:r>
      <w:r w:rsidRPr="004D595E">
        <w:rPr>
          <w:i/>
          <w:vertAlign w:val="subscript"/>
        </w:rPr>
        <w:t>h</w:t>
      </w:r>
      <w:r w:rsidRPr="004D595E">
        <w:t>). Note that both angles Θ</w:t>
      </w:r>
      <w:r w:rsidRPr="004D595E">
        <w:rPr>
          <w:i/>
          <w:vertAlign w:val="subscript"/>
        </w:rPr>
        <w:t>S1</w:t>
      </w:r>
      <w:r w:rsidRPr="004D595E">
        <w:t xml:space="preserve"> and Θ</w:t>
      </w:r>
      <w:r w:rsidRPr="004D595E">
        <w:rPr>
          <w:i/>
          <w:vertAlign w:val="subscript"/>
        </w:rPr>
        <w:t>S</w:t>
      </w:r>
      <w:proofErr w:type="gramStart"/>
      <w:r w:rsidRPr="004D595E">
        <w:rPr>
          <w:i/>
          <w:vertAlign w:val="subscript"/>
        </w:rPr>
        <w:t>1,S</w:t>
      </w:r>
      <w:proofErr w:type="gramEnd"/>
      <w:r w:rsidRPr="004D595E">
        <w:rPr>
          <w:i/>
          <w:vertAlign w:val="subscript"/>
        </w:rPr>
        <w:t>2</w:t>
      </w:r>
      <w:r w:rsidRPr="004D595E">
        <w:t xml:space="preserve"> can range anywhere between 0° to 360°, this figure is just an example.</w:t>
      </w:r>
    </w:p>
    <w:p w14:paraId="59DB1100" w14:textId="77777777" w:rsidR="003D61E6" w:rsidRDefault="003D61E6" w:rsidP="00A909F0">
      <w:pPr>
        <w:pStyle w:val="Heading1"/>
        <w:numPr>
          <w:ilvl w:val="0"/>
          <w:numId w:val="0"/>
        </w:numPr>
      </w:pPr>
      <w:bookmarkStart w:id="69" w:name="_Toc457205670"/>
      <w:bookmarkStart w:id="70" w:name="_Toc438128044"/>
      <w:bookmarkStart w:id="71" w:name="_Toc46492389"/>
      <w:r>
        <w:lastRenderedPageBreak/>
        <w:t>Appendix 2: Calculating antenna off-axis angle in three dimensions</w:t>
      </w:r>
      <w:bookmarkEnd w:id="69"/>
      <w:bookmarkEnd w:id="70"/>
      <w:bookmarkEnd w:id="71"/>
    </w:p>
    <w:p w14:paraId="44280E1B" w14:textId="77777777" w:rsidR="003D61E6" w:rsidRPr="00A129DA" w:rsidRDefault="003D61E6" w:rsidP="003D61E6">
      <w:r w:rsidRPr="00A129DA">
        <w:t xml:space="preserve">Once the horizontal component of an antenna off-axis angle is calculated (see Appendix 1), it can be combined with the vertical component to produce the off-axis angle in 3-dimensions. </w:t>
      </w:r>
    </w:p>
    <w:p w14:paraId="71D69070" w14:textId="6782F1C0" w:rsidR="003B18C1" w:rsidRDefault="005D7B1B" w:rsidP="004E6836">
      <w:pPr>
        <w:ind w:left="567"/>
      </w:pPr>
      <m:oMathPara>
        <m:oMath>
          <m: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S1,S2</m:t>
                  </m:r>
                </m:sub>
              </m:sSub>
            </m:e>
          </m:d>
          <m:r>
            <w:rPr>
              <w:rFonts w:ascii="Cambria Math" w:hAnsi="Cambria Math"/>
            </w:rPr>
            <m:t>=</m:t>
          </m:r>
          <m:func>
            <m:funcPr>
              <m:ctrlPr>
                <w:rPr>
                  <w:rFonts w:ascii="Cambria Math" w:hAnsi="Cambria Math"/>
                  <w:i/>
                </w:rPr>
              </m:ctrlPr>
            </m:funcPr>
            <m:fName>
              <m:r>
                <m:rPr>
                  <m:sty m:val="p"/>
                </m:rPr>
                <w:rPr>
                  <w:rFonts w:ascii="Cambria Math" w:hAnsi="Cambria Math"/>
                </w:rPr>
                <m:t>arccos</m:t>
              </m:r>
            </m:fName>
            <m:e>
              <m:d>
                <m:dPr>
                  <m:begChr m:val="["/>
                  <m:endChr m:val="]"/>
                  <m:ctrlPr>
                    <w:rPr>
                      <w:rFonts w:ascii="Cambria Math" w:hAnsi="Cambria Math"/>
                      <w:i/>
                    </w:rPr>
                  </m:ctrlPr>
                </m:dP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ε</m:t>
                          </m:r>
                        </m:e>
                        <m:sub>
                          <m:r>
                            <w:rPr>
                              <w:rFonts w:ascii="Cambria Math" w:hAnsi="Cambria Math"/>
                            </w:rPr>
                            <m:t>h</m:t>
                          </m:r>
                        </m:sub>
                      </m:sSub>
                    </m:e>
                  </m:func>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S1,S2</m:t>
                          </m:r>
                        </m:sub>
                      </m:sSub>
                    </m:e>
                  </m:d>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ε</m:t>
                          </m:r>
                        </m:e>
                        <m:sub>
                          <m:r>
                            <w:rPr>
                              <w:rFonts w:ascii="Cambria Math" w:hAnsi="Cambria Math"/>
                            </w:rPr>
                            <m:t>S</m:t>
                          </m:r>
                        </m:sub>
                      </m:sSub>
                    </m:e>
                  </m:func>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h</m:t>
                              </m:r>
                            </m:sub>
                          </m:sSub>
                        </m:e>
                      </m:d>
                    </m:e>
                  </m:func>
                  <m:r>
                    <w:rPr>
                      <w:rFonts w:ascii="Cambria Math" w:hAnsi="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ε</m:t>
                          </m:r>
                        </m:e>
                        <m:sub>
                          <m:r>
                            <w:rPr>
                              <w:rFonts w:ascii="Cambria Math" w:hAnsi="Cambria Math"/>
                            </w:rPr>
                            <m:t>h</m:t>
                          </m:r>
                        </m:sub>
                      </m:sSub>
                    </m:e>
                  </m:func>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S1,S2</m:t>
                          </m:r>
                        </m:sub>
                      </m:sSub>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ε</m:t>
                          </m:r>
                        </m:e>
                        <m:sub>
                          <m:r>
                            <w:rPr>
                              <w:rFonts w:ascii="Cambria Math" w:hAnsi="Cambria Math"/>
                            </w:rPr>
                            <m:t>S</m:t>
                          </m:r>
                        </m:sub>
                      </m:sSub>
                    </m:e>
                  </m:func>
                </m:e>
              </m:d>
            </m:e>
          </m:func>
        </m:oMath>
      </m:oMathPara>
    </w:p>
    <w:p w14:paraId="7C65C613" w14:textId="77777777" w:rsidR="003D61E6" w:rsidRPr="00A129DA" w:rsidRDefault="003D61E6" w:rsidP="004E6836">
      <w:r w:rsidRPr="00A129DA">
        <w:t>where:</w:t>
      </w:r>
    </w:p>
    <w:p w14:paraId="676CB977" w14:textId="579FF3B5" w:rsidR="003D61E6" w:rsidRPr="00A129DA" w:rsidRDefault="00207455" w:rsidP="004E6836">
      <w:pPr>
        <w:ind w:left="567"/>
      </w:pPr>
      <m:oMath>
        <m:sSub>
          <m:sSubPr>
            <m:ctrlPr>
              <w:rPr>
                <w:rFonts w:ascii="Cambria Math" w:hAnsi="Cambria Math"/>
                <w:i/>
              </w:rPr>
            </m:ctrlPr>
          </m:sSubPr>
          <m:e>
            <m:r>
              <w:rPr>
                <w:rFonts w:ascii="Cambria Math"/>
              </w:rPr>
              <m:t>Θ</m:t>
            </m:r>
          </m:e>
          <m:sub>
            <m:r>
              <w:rPr>
                <w:rFonts w:ascii="Cambria Math"/>
              </w:rPr>
              <m:t>S1,S2</m:t>
            </m:r>
          </m:sub>
        </m:sSub>
      </m:oMath>
      <w:r w:rsidR="003D61E6" w:rsidRPr="00A129DA">
        <w:t xml:space="preserve"> is the azimuth of the interference path, relative to the Station 1’s </w:t>
      </w:r>
      <w:proofErr w:type="gramStart"/>
      <w:r w:rsidR="003D61E6" w:rsidRPr="00A129DA">
        <w:t>location</w:t>
      </w:r>
      <w:proofErr w:type="gramEnd"/>
    </w:p>
    <w:p w14:paraId="51140018" w14:textId="35876063" w:rsidR="003D61E6" w:rsidRPr="00A129DA" w:rsidRDefault="00207455" w:rsidP="004E6836">
      <w:pPr>
        <w:ind w:left="567"/>
      </w:pPr>
      <m:oMath>
        <m:sSub>
          <m:sSubPr>
            <m:ctrlPr>
              <w:rPr>
                <w:rFonts w:ascii="Cambria Math" w:hAnsi="Cambria Math"/>
                <w:i/>
              </w:rPr>
            </m:ctrlPr>
          </m:sSubPr>
          <m:e>
            <m:r>
              <w:rPr>
                <w:rFonts w:ascii="Cambria Math"/>
              </w:rPr>
              <m:t>θ</m:t>
            </m:r>
          </m:e>
          <m:sub>
            <m:r>
              <w:rPr>
                <w:rFonts w:ascii="Cambria Math" w:hAnsi="Cambria Math" w:cs="Cambria Math"/>
              </w:rPr>
              <m:t xml:space="preserve">h </m:t>
            </m:r>
          </m:sub>
        </m:sSub>
      </m:oMath>
      <w:r w:rsidR="003D61E6" w:rsidRPr="00A129DA">
        <w:t>is the horizontal component of the antenna off-axis angle, i.e. the</w:t>
      </w:r>
      <w:r w:rsidR="004E6836">
        <w:t xml:space="preserve"> </w:t>
      </w:r>
      <w:r w:rsidR="003D61E6" w:rsidRPr="00A129DA">
        <w:t xml:space="preserve">difference between the pointing azimuth of the Station 1, </w:t>
      </w:r>
      <w:r w:rsidR="00A64841" w:rsidRPr="004D595E">
        <w:t>Θ</w:t>
      </w:r>
      <w:r w:rsidR="00A64841" w:rsidRPr="004D595E">
        <w:rPr>
          <w:i/>
          <w:vertAlign w:val="subscript"/>
        </w:rPr>
        <w:t>S1</w:t>
      </w:r>
      <w:r w:rsidR="003D61E6" w:rsidRPr="00A129DA">
        <w:t xml:space="preserve">, and </w:t>
      </w:r>
      <w:r w:rsidR="00A64841" w:rsidRPr="004D595E">
        <w:t>Θ</w:t>
      </w:r>
      <w:r w:rsidR="00A64841" w:rsidRPr="004D595E">
        <w:rPr>
          <w:i/>
          <w:vertAlign w:val="subscript"/>
        </w:rPr>
        <w:t>S</w:t>
      </w:r>
      <w:proofErr w:type="gramStart"/>
      <w:r w:rsidR="00A64841" w:rsidRPr="004D595E">
        <w:rPr>
          <w:i/>
          <w:vertAlign w:val="subscript"/>
        </w:rPr>
        <w:t>1,S</w:t>
      </w:r>
      <w:proofErr w:type="gramEnd"/>
      <w:r w:rsidR="00A64841" w:rsidRPr="004D595E">
        <w:rPr>
          <w:i/>
          <w:vertAlign w:val="subscript"/>
        </w:rPr>
        <w:t>2</w:t>
      </w:r>
    </w:p>
    <w:p w14:paraId="075467D9" w14:textId="3A0D912E" w:rsidR="003D61E6" w:rsidRPr="00A129DA" w:rsidRDefault="00207455" w:rsidP="004E6836">
      <w:pPr>
        <w:ind w:left="567"/>
      </w:pPr>
      <m:oMath>
        <m:sSub>
          <m:sSubPr>
            <m:ctrlPr>
              <w:rPr>
                <w:rFonts w:ascii="Cambria Math" w:hAnsi="Cambria Math"/>
                <w:i/>
              </w:rPr>
            </m:ctrlPr>
          </m:sSubPr>
          <m:e>
            <m:r>
              <w:rPr>
                <w:rFonts w:ascii="Cambria Math" w:hAnsi="Cambria Math"/>
              </w:rPr>
              <m:t>ε</m:t>
            </m:r>
          </m:e>
          <m:sub>
            <m:r>
              <w:rPr>
                <w:rFonts w:ascii="Cambria Math" w:hAnsi="Cambria Math"/>
              </w:rPr>
              <m:t>S</m:t>
            </m:r>
          </m:sub>
        </m:sSub>
      </m:oMath>
      <w:r w:rsidR="003572C9">
        <w:t xml:space="preserve"> </w:t>
      </w:r>
      <w:r w:rsidR="003D61E6" w:rsidRPr="00A129DA">
        <w:t>is the vertical component of the antenna off-axis angle, or the elevation angle of Station 1</w:t>
      </w:r>
    </w:p>
    <w:p w14:paraId="4C209C1D" w14:textId="59A56B8B" w:rsidR="003D61E6" w:rsidRPr="00A129DA" w:rsidRDefault="00207455" w:rsidP="004E6836">
      <w:pPr>
        <w:ind w:left="567"/>
        <w:rPr>
          <w:i/>
        </w:rPr>
      </w:pPr>
      <m:oMath>
        <m:sSub>
          <m:sSubPr>
            <m:ctrlPr>
              <w:rPr>
                <w:rFonts w:ascii="Cambria Math" w:hAnsi="Cambria Math"/>
                <w:i/>
              </w:rPr>
            </m:ctrlPr>
          </m:sSubPr>
          <m:e>
            <m:r>
              <w:rPr>
                <w:rFonts w:ascii="Cambria Math" w:hAnsi="Cambria Math"/>
              </w:rPr>
              <m:t>ε</m:t>
            </m:r>
          </m:e>
          <m:sub>
            <m:r>
              <w:rPr>
                <w:rFonts w:ascii="Cambria Math" w:hAnsi="Cambria Math"/>
              </w:rPr>
              <m:t>h</m:t>
            </m:r>
          </m:sub>
        </m:sSub>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S1,S2</m:t>
                </m:r>
              </m:sub>
            </m:sSub>
          </m:e>
        </m:d>
      </m:oMath>
      <w:r w:rsidR="003D61E6" w:rsidRPr="00A129DA">
        <w:rPr>
          <w:i/>
        </w:rPr>
        <w:t xml:space="preserve">, </w:t>
      </w:r>
      <w:r w:rsidR="003D61E6" w:rsidRPr="00A129DA">
        <w:t>if available, is the elevation angle of the horizon at azimuth</w:t>
      </w:r>
      <m:oMath>
        <m:r>
          <w:rPr>
            <w:rFonts w:ascii="Cambria Math" w:hAnsi="Cambria Math"/>
          </w:rPr>
          <m:t xml:space="preserve"> </m:t>
        </m:r>
        <m:sSub>
          <m:sSubPr>
            <m:ctrlPr>
              <w:rPr>
                <w:rFonts w:ascii="Cambria Math" w:hAnsi="Cambria Math"/>
                <w:i/>
              </w:rPr>
            </m:ctrlPr>
          </m:sSubPr>
          <m:e>
            <m:r>
              <w:rPr>
                <w:rFonts w:ascii="Cambria Math"/>
              </w:rPr>
              <m:t>Θ</m:t>
            </m:r>
          </m:e>
          <m:sub>
            <m:r>
              <w:rPr>
                <w:rFonts w:ascii="Cambria Math"/>
              </w:rPr>
              <m:t>S1,S2</m:t>
            </m:r>
          </m:sub>
        </m:sSub>
      </m:oMath>
      <w:r w:rsidR="003D61E6" w:rsidRPr="00A129DA">
        <w:t xml:space="preserve">, as seen from Station 1. This potentially reduces the total 3D off-axis angle. </w:t>
      </w:r>
    </w:p>
    <w:p w14:paraId="1A11EBCA" w14:textId="77777777" w:rsidR="003D61E6" w:rsidRPr="00A129DA" w:rsidRDefault="003D61E6" w:rsidP="003D61E6">
      <w:r w:rsidRPr="00A129DA">
        <w:t xml:space="preserve">This formula can be used for any station that has horizontal and vertical components of an off-axis angle. </w:t>
      </w:r>
      <w:proofErr w:type="gramStart"/>
      <w:r w:rsidRPr="00A129DA">
        <w:t>Typically</w:t>
      </w:r>
      <w:proofErr w:type="gramEnd"/>
      <w:r w:rsidRPr="00A129DA">
        <w:t xml:space="preserve"> this is only relevant to Earth stations for purposes within this document.</w:t>
      </w:r>
    </w:p>
    <w:p w14:paraId="3C8F6366" w14:textId="763C6FF3" w:rsidR="003D61E6" w:rsidRPr="00A129DA" w:rsidRDefault="003D61E6" w:rsidP="003D61E6">
      <w:r w:rsidRPr="00A129DA">
        <w:t>The horizon elevation angle should be calculated using the methods in Attachment 2 to Annex 1 to Rec. ITU-R P.452-15. If Station 1 is the transmitting station, use</w:t>
      </w:r>
      <w:r w:rsidR="00053970">
        <w:t xml:space="preserve"> </w:t>
      </w:r>
      <w:r w:rsidR="00053970" w:rsidRPr="004D595E">
        <w:t>Θ</w:t>
      </w:r>
      <w:r w:rsidR="00053970">
        <w:rPr>
          <w:i/>
          <w:vertAlign w:val="subscript"/>
        </w:rPr>
        <w:t>td</w:t>
      </w:r>
      <w:r w:rsidRPr="00A129DA">
        <w:t xml:space="preserve"> for line-of-sight paths and </w:t>
      </w:r>
      <w:r w:rsidR="00053970" w:rsidRPr="004D595E">
        <w:t>Θ</w:t>
      </w:r>
      <w:r w:rsidR="00053970">
        <w:rPr>
          <w:i/>
          <w:vertAlign w:val="subscript"/>
        </w:rPr>
        <w:t>max</w:t>
      </w:r>
      <w:r w:rsidRPr="00B20A6B">
        <w:rPr>
          <w:iCs/>
        </w:rPr>
        <w:t xml:space="preserve"> = max(</w:t>
      </w:r>
      <w:r w:rsidR="00053970" w:rsidRPr="004D595E">
        <w:t>Θ</w:t>
      </w:r>
      <w:r w:rsidR="00053970">
        <w:rPr>
          <w:i/>
          <w:vertAlign w:val="subscript"/>
        </w:rPr>
        <w:t>i</w:t>
      </w:r>
      <w:r w:rsidRPr="00B20A6B">
        <w:rPr>
          <w:iCs/>
        </w:rPr>
        <w:t xml:space="preserve">) </w:t>
      </w:r>
      <w:r w:rsidRPr="00A129DA">
        <w:t xml:space="preserve">for trans-horizon paths. If Station 1 is the receiving station, use </w:t>
      </w:r>
      <w:r w:rsidR="00053970" w:rsidRPr="004D595E">
        <w:t>Θ</w:t>
      </w:r>
      <w:r w:rsidR="00053970">
        <w:rPr>
          <w:i/>
          <w:vertAlign w:val="subscript"/>
        </w:rPr>
        <w:t>rd</w:t>
      </w:r>
      <w:r w:rsidRPr="00AA6A55">
        <w:rPr>
          <w:iCs/>
        </w:rPr>
        <w:t xml:space="preserve"> = –</w:t>
      </w:r>
      <w:r w:rsidR="00AA6A55">
        <w:rPr>
          <w:iCs/>
        </w:rPr>
        <w:t xml:space="preserve"> </w:t>
      </w:r>
      <w:r w:rsidR="00053970" w:rsidRPr="004D595E">
        <w:t>Θ</w:t>
      </w:r>
      <w:r w:rsidR="00053970">
        <w:rPr>
          <w:i/>
          <w:vertAlign w:val="subscript"/>
        </w:rPr>
        <w:t>td</w:t>
      </w:r>
      <w:r w:rsidRPr="00A129DA">
        <w:t xml:space="preserve"> for line-of-sight paths and </w:t>
      </w:r>
      <w:r w:rsidR="00053970" w:rsidRPr="004D595E">
        <w:t>Θ</w:t>
      </w:r>
      <w:r w:rsidR="00053970">
        <w:rPr>
          <w:i/>
          <w:vertAlign w:val="subscript"/>
        </w:rPr>
        <w:t>r</w:t>
      </w:r>
      <w:r w:rsidRPr="00AA6A55">
        <w:rPr>
          <w:iCs/>
        </w:rPr>
        <w:t xml:space="preserve"> = max(</w:t>
      </w:r>
      <w:r w:rsidR="00053970" w:rsidRPr="004D595E">
        <w:t>Θ</w:t>
      </w:r>
      <w:r w:rsidR="005F0F28">
        <w:rPr>
          <w:i/>
          <w:vertAlign w:val="subscript"/>
        </w:rPr>
        <w:t>j</w:t>
      </w:r>
      <w:r w:rsidRPr="00AA6A55">
        <w:rPr>
          <w:iCs/>
        </w:rPr>
        <w:t>)</w:t>
      </w:r>
      <w:r w:rsidRPr="00A129DA">
        <w:t xml:space="preserve"> for trans-horizon paths.  </w:t>
      </w:r>
    </w:p>
    <w:p w14:paraId="63E510AD" w14:textId="77777777" w:rsidR="003D61E6" w:rsidRDefault="003D61E6" w:rsidP="003D61E6">
      <w:pPr>
        <w:spacing w:after="0" w:line="240" w:lineRule="auto"/>
        <w:rPr>
          <w:b/>
          <w:kern w:val="28"/>
          <w:sz w:val="32"/>
        </w:rPr>
      </w:pPr>
      <w:r>
        <w:br w:type="page"/>
      </w:r>
    </w:p>
    <w:p w14:paraId="65BDA7C5" w14:textId="77777777" w:rsidR="003D61E6" w:rsidRDefault="003D61E6" w:rsidP="00A909F0">
      <w:pPr>
        <w:pStyle w:val="Heading1"/>
        <w:numPr>
          <w:ilvl w:val="0"/>
          <w:numId w:val="0"/>
        </w:numPr>
      </w:pPr>
      <w:bookmarkStart w:id="72" w:name="_Toc457205671"/>
      <w:bookmarkStart w:id="73" w:name="_Toc438128045"/>
      <w:bookmarkStart w:id="74" w:name="_Toc46492390"/>
      <w:r>
        <w:lastRenderedPageBreak/>
        <w:t>Appendix 3: On-tune rejection</w:t>
      </w:r>
      <w:bookmarkEnd w:id="72"/>
      <w:bookmarkEnd w:id="73"/>
      <w:bookmarkEnd w:id="74"/>
    </w:p>
    <w:p w14:paraId="37DA1220" w14:textId="2045F150" w:rsidR="003D61E6" w:rsidRPr="00BB4F57" w:rsidRDefault="003D61E6" w:rsidP="003D61E6">
      <w:r w:rsidRPr="00BB4F57">
        <w:t xml:space="preserve">This section provides information on helping achieve successful coordination by including on-tune rejection (OTR) in </w:t>
      </w:r>
      <w:r w:rsidRPr="00BB4F57">
        <w:rPr>
          <w:b/>
        </w:rPr>
        <w:t>co-channel</w:t>
      </w:r>
      <w:r w:rsidRPr="00BB4F57">
        <w:t xml:space="preserve"> scenarios (as determined in Section</w:t>
      </w:r>
      <w:r w:rsidR="008C40D6">
        <w:t xml:space="preserve"> 2.1.1</w:t>
      </w:r>
      <w:r w:rsidRPr="00BB4F57">
        <w:t>). It may be possible to reduce the power at the receiver by accounting for cases in which there is only a partial overlap of the transmitter and receiver bandwidths, which may help achieve coordination.</w:t>
      </w:r>
    </w:p>
    <w:p w14:paraId="43F61C22" w14:textId="77777777" w:rsidR="003D61E6" w:rsidRPr="00BB4F57" w:rsidRDefault="003D61E6" w:rsidP="003D61E6">
      <w:r w:rsidRPr="00BB4F57">
        <w:t xml:space="preserve">This means the greater the value of OTR, the lesser the value of received interference power, and improved likelihood of successful coordination. </w:t>
      </w:r>
    </w:p>
    <w:tbl>
      <w:tblPr>
        <w:tblW w:w="0" w:type="auto"/>
        <w:tblLook w:val="04A0" w:firstRow="1" w:lastRow="0" w:firstColumn="1" w:lastColumn="0" w:noHBand="0" w:noVBand="1"/>
      </w:tblPr>
      <w:tblGrid>
        <w:gridCol w:w="6661"/>
        <w:gridCol w:w="1010"/>
      </w:tblGrid>
      <w:tr w:rsidR="003D61E6" w:rsidRPr="00BB4F57" w14:paraId="5F3D4C9C" w14:textId="77777777" w:rsidTr="00C8076C">
        <w:tc>
          <w:tcPr>
            <w:tcW w:w="7479" w:type="dxa"/>
          </w:tcPr>
          <w:p w14:paraId="53A21B44" w14:textId="0B54C280" w:rsidR="003D61E6" w:rsidRPr="00CC20C9" w:rsidRDefault="00CC20C9" w:rsidP="00CC20C9">
            <w:pPr>
              <w:keepNext/>
              <w:keepLines/>
              <w:ind w:left="851" w:hanging="851"/>
              <w:jc w:val="center"/>
              <w:rPr>
                <w:rFonts w:ascii="Cambria Math"/>
                <w:i/>
              </w:rPr>
            </w:pPr>
            <m:oMath>
              <m:r>
                <w:rPr>
                  <w:rFonts w:ascii="Cambria Math"/>
                </w:rPr>
                <m:t>OTR</m:t>
              </m:r>
              <m:r>
                <w:rPr>
                  <w:rFonts w:ascii="Cambria Math"/>
                </w:rPr>
                <m:t>≈-</m:t>
              </m:r>
              <m:r>
                <w:rPr>
                  <w:rFonts w:ascii="Cambria Math"/>
                </w:rPr>
                <m:t>10</m:t>
              </m:r>
              <m:func>
                <m:funcPr>
                  <m:ctrlPr>
                    <w:rPr>
                      <w:rFonts w:ascii="Cambria Math" w:hAnsi="Cambria Math"/>
                      <w:i/>
                    </w:rPr>
                  </m:ctrlPr>
                </m:funcPr>
                <m:fName>
                  <m:sSub>
                    <m:sSubPr>
                      <m:ctrlPr>
                        <w:rPr>
                          <w:rFonts w:ascii="Cambria Math" w:hAnsi="Cambria Math"/>
                          <w:i/>
                        </w:rPr>
                      </m:ctrlPr>
                    </m:sSubPr>
                    <m:e>
                      <m:r>
                        <w:rPr>
                          <w:rFonts w:ascii="Cambria Math"/>
                        </w:rPr>
                        <m:t>log</m:t>
                      </m:r>
                    </m:e>
                    <m:sub>
                      <m:r>
                        <w:rPr>
                          <w:rFonts w:ascii="Cambria Math"/>
                        </w:rPr>
                        <m:t>10</m:t>
                      </m:r>
                    </m:sub>
                  </m:sSub>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f</m:t>
                              </m:r>
                            </m:e>
                            <m:sub>
                              <m:r>
                                <w:rPr>
                                  <w:rFonts w:ascii="Cambria Math"/>
                                </w:rPr>
                                <m:t>overlap</m:t>
                              </m:r>
                            </m:sub>
                          </m:sSub>
                        </m:num>
                        <m:den>
                          <m:r>
                            <w:rPr>
                              <w:rFonts w:ascii="Cambria Math"/>
                            </w:rPr>
                            <m:t>B</m:t>
                          </m:r>
                          <m:sSub>
                            <m:sSubPr>
                              <m:ctrlPr>
                                <w:rPr>
                                  <w:rFonts w:ascii="Cambria Math" w:hAnsi="Cambria Math"/>
                                  <w:i/>
                                </w:rPr>
                              </m:ctrlPr>
                            </m:sSubPr>
                            <m:e>
                              <m:r>
                                <w:rPr>
                                  <w:rFonts w:ascii="Cambria Math"/>
                                </w:rPr>
                                <m:t>W</m:t>
                              </m:r>
                            </m:e>
                            <m:sub>
                              <m:r>
                                <w:rPr>
                                  <w:rFonts w:ascii="Cambria Math"/>
                                </w:rPr>
                                <m:t>ES</m:t>
                              </m:r>
                            </m:sub>
                          </m:sSub>
                        </m:den>
                      </m:f>
                    </m:e>
                  </m:d>
                </m:e>
              </m:func>
            </m:oMath>
            <w:r w:rsidR="003D61E6" w:rsidRPr="00CC20C9">
              <w:rPr>
                <w:rFonts w:ascii="Cambria Math"/>
                <w:i/>
              </w:rPr>
              <w:t xml:space="preserve">    for f</w:t>
            </w:r>
            <w:r w:rsidR="003D61E6" w:rsidRPr="008C40D6">
              <w:rPr>
                <w:rFonts w:ascii="Cambria Math"/>
                <w:i/>
                <w:vertAlign w:val="subscript"/>
              </w:rPr>
              <w:t>overlap</w:t>
            </w:r>
            <w:r w:rsidR="003D61E6" w:rsidRPr="00CC20C9">
              <w:rPr>
                <w:rFonts w:ascii="Cambria Math"/>
                <w:i/>
              </w:rPr>
              <w:t xml:space="preserve"> &gt; 0 MHz</w:t>
            </w:r>
          </w:p>
        </w:tc>
        <w:tc>
          <w:tcPr>
            <w:tcW w:w="1050" w:type="dxa"/>
          </w:tcPr>
          <w:p w14:paraId="0CFCF485" w14:textId="77777777" w:rsidR="003D61E6" w:rsidRPr="00BB4F57" w:rsidRDefault="003D61E6" w:rsidP="00C8076C">
            <w:pPr>
              <w:rPr>
                <w:b/>
                <w:bCs/>
                <w:i/>
              </w:rPr>
            </w:pPr>
            <w:bookmarkStart w:id="75" w:name="_Ref302988085"/>
            <w:r w:rsidRPr="00BB4F57">
              <w:rPr>
                <w:b/>
                <w:bCs/>
              </w:rPr>
              <w:t>(A3.</w:t>
            </w:r>
            <w:r>
              <w:rPr>
                <w:b/>
                <w:bCs/>
              </w:rPr>
              <w:t>1</w:t>
            </w:r>
            <w:r w:rsidRPr="00BB4F57">
              <w:rPr>
                <w:b/>
                <w:bCs/>
              </w:rPr>
              <w:t>)</w:t>
            </w:r>
            <w:bookmarkEnd w:id="75"/>
          </w:p>
        </w:tc>
      </w:tr>
    </w:tbl>
    <w:p w14:paraId="4DB0E2A6" w14:textId="77777777" w:rsidR="003D61E6" w:rsidRPr="00BB4F57" w:rsidRDefault="003D61E6" w:rsidP="003D61E6">
      <w:pPr>
        <w:ind w:left="720"/>
      </w:pPr>
      <w:r w:rsidRPr="00BB4F57">
        <w:t>where:</w:t>
      </w:r>
    </w:p>
    <w:p w14:paraId="15F3DC50" w14:textId="1351DF3F" w:rsidR="003D61E6" w:rsidRPr="00BB4F57" w:rsidRDefault="003D61E6" w:rsidP="005046EB">
      <w:pPr>
        <w:tabs>
          <w:tab w:val="left" w:pos="1276"/>
          <w:tab w:val="left" w:pos="1560"/>
        </w:tabs>
        <w:ind w:left="1560" w:hanging="993"/>
        <w:rPr>
          <w:i/>
        </w:rPr>
      </w:pPr>
      <w:r w:rsidRPr="00BB4F57">
        <w:rPr>
          <w:i/>
        </w:rPr>
        <w:t>BW</w:t>
      </w:r>
      <w:r w:rsidRPr="00BB4F57">
        <w:rPr>
          <w:i/>
          <w:vertAlign w:val="subscript"/>
        </w:rPr>
        <w:t>ES</w:t>
      </w:r>
      <w:r w:rsidR="005046EB">
        <w:rPr>
          <w:i/>
          <w:vertAlign w:val="subscript"/>
        </w:rPr>
        <w:tab/>
      </w:r>
      <w:r w:rsidRPr="00BB4F57">
        <w:t>:</w:t>
      </w:r>
      <w:r w:rsidR="005046EB">
        <w:tab/>
      </w:r>
      <w:r w:rsidRPr="00BB4F57">
        <w:t>Earth station transmitter channel bandwidth (MHz)</w:t>
      </w:r>
    </w:p>
    <w:p w14:paraId="4757B304" w14:textId="0BCBB70E" w:rsidR="003D61E6" w:rsidRPr="00BB4F57" w:rsidRDefault="003D61E6" w:rsidP="005046EB">
      <w:pPr>
        <w:tabs>
          <w:tab w:val="left" w:pos="1276"/>
          <w:tab w:val="left" w:pos="1560"/>
        </w:tabs>
        <w:ind w:left="1560" w:hanging="993"/>
      </w:pPr>
      <w:r w:rsidRPr="00BB4F57">
        <w:rPr>
          <w:i/>
        </w:rPr>
        <w:t>f</w:t>
      </w:r>
      <w:r w:rsidRPr="00BB4F57">
        <w:rPr>
          <w:i/>
          <w:vertAlign w:val="subscript"/>
        </w:rPr>
        <w:t>overlap</w:t>
      </w:r>
      <w:r w:rsidR="005046EB">
        <w:rPr>
          <w:i/>
          <w:vertAlign w:val="subscript"/>
        </w:rPr>
        <w:tab/>
      </w:r>
      <w:r w:rsidRPr="00BB4F57">
        <w:t>:</w:t>
      </w:r>
      <w:r w:rsidR="005046EB">
        <w:tab/>
      </w:r>
      <w:r w:rsidRPr="00BB4F57">
        <w:t>frequency overlap between the transmitter and receiver channel bandwidths</w:t>
      </w:r>
    </w:p>
    <w:p w14:paraId="0A7B8503" w14:textId="77777777" w:rsidR="003D61E6" w:rsidRPr="00BB4F57" w:rsidRDefault="003D61E6" w:rsidP="005046EB">
      <w:pPr>
        <w:ind w:left="1560"/>
      </w:pPr>
      <w:r w:rsidRPr="00BB4F57">
        <w:t>If there is partial channel overlap in the frequency domain:</w:t>
      </w:r>
    </w:p>
    <w:p w14:paraId="3FAA6E6D" w14:textId="77777777" w:rsidR="003D61E6" w:rsidRPr="00BB4F57" w:rsidRDefault="003D61E6" w:rsidP="00D122AF">
      <w:pPr>
        <w:ind w:left="1985"/>
        <w:rPr>
          <w:i/>
        </w:rPr>
      </w:pPr>
      <w:r w:rsidRPr="00BB4F57">
        <w:rPr>
          <w:i/>
        </w:rPr>
        <w:t>f</w:t>
      </w:r>
      <w:r w:rsidRPr="00BB4F57">
        <w:rPr>
          <w:i/>
          <w:vertAlign w:val="subscript"/>
        </w:rPr>
        <w:t>overlap</w:t>
      </w:r>
      <w:r w:rsidRPr="00BB4F57">
        <w:t xml:space="preserve"> = </w:t>
      </w:r>
      <w:r w:rsidRPr="00BB4F57">
        <w:rPr>
          <w:i/>
        </w:rPr>
        <w:t>BW</w:t>
      </w:r>
      <w:r w:rsidRPr="00BB4F57">
        <w:rPr>
          <w:i/>
          <w:vertAlign w:val="subscript"/>
        </w:rPr>
        <w:t>FS</w:t>
      </w:r>
      <w:r w:rsidRPr="00BB4F57">
        <w:t xml:space="preserve">/2 + </w:t>
      </w:r>
      <w:r w:rsidRPr="00BB4F57">
        <w:rPr>
          <w:i/>
        </w:rPr>
        <w:t>BW</w:t>
      </w:r>
      <w:r w:rsidRPr="00BB4F57">
        <w:rPr>
          <w:i/>
          <w:vertAlign w:val="subscript"/>
        </w:rPr>
        <w:t>ES</w:t>
      </w:r>
      <w:r w:rsidRPr="00BB4F57">
        <w:t>/2 – ∆</w:t>
      </w:r>
      <w:r w:rsidRPr="00BB4F57">
        <w:rPr>
          <w:i/>
        </w:rPr>
        <w:t>f</w:t>
      </w:r>
    </w:p>
    <w:p w14:paraId="085B1721" w14:textId="77777777" w:rsidR="003D61E6" w:rsidRPr="00BB4F57" w:rsidRDefault="003D61E6" w:rsidP="005046EB">
      <w:pPr>
        <w:ind w:left="1560"/>
      </w:pPr>
      <w:r w:rsidRPr="00BB4F57">
        <w:t xml:space="preserve">otherwise, if one channel completely overlaps the other: </w:t>
      </w:r>
    </w:p>
    <w:p w14:paraId="29930410" w14:textId="77777777" w:rsidR="003D61E6" w:rsidRPr="00BB4F57" w:rsidRDefault="003D61E6" w:rsidP="00D122AF">
      <w:pPr>
        <w:ind w:left="1985"/>
      </w:pPr>
      <w:r w:rsidRPr="00BB4F57">
        <w:rPr>
          <w:i/>
        </w:rPr>
        <w:t>f</w:t>
      </w:r>
      <w:r w:rsidRPr="00BB4F57">
        <w:rPr>
          <w:i/>
          <w:vertAlign w:val="subscript"/>
        </w:rPr>
        <w:t>overlap</w:t>
      </w:r>
      <w:r w:rsidRPr="00BB4F57">
        <w:t xml:space="preserve"> = </w:t>
      </w:r>
      <w:proofErr w:type="gramStart"/>
      <w:r w:rsidRPr="005230F1">
        <w:rPr>
          <w:i/>
        </w:rPr>
        <w:t>min</w:t>
      </w:r>
      <w:r w:rsidRPr="00BB4F57">
        <w:t>(</w:t>
      </w:r>
      <w:proofErr w:type="gramEnd"/>
      <w:r w:rsidRPr="00BB4F57">
        <w:rPr>
          <w:i/>
        </w:rPr>
        <w:t>BW</w:t>
      </w:r>
      <w:r w:rsidRPr="00BB4F57">
        <w:rPr>
          <w:i/>
          <w:vertAlign w:val="subscript"/>
        </w:rPr>
        <w:t>FS</w:t>
      </w:r>
      <w:r w:rsidRPr="00BB4F57">
        <w:t xml:space="preserve">, </w:t>
      </w:r>
      <w:r w:rsidRPr="00BB4F57">
        <w:rPr>
          <w:i/>
        </w:rPr>
        <w:t>BW</w:t>
      </w:r>
      <w:r w:rsidRPr="00BB4F57">
        <w:rPr>
          <w:i/>
          <w:vertAlign w:val="subscript"/>
        </w:rPr>
        <w:t>ES</w:t>
      </w:r>
      <w:r w:rsidRPr="00BB4F57">
        <w:t>)</w:t>
      </w:r>
    </w:p>
    <w:p w14:paraId="080FA0B3" w14:textId="77777777" w:rsidR="003D61E6" w:rsidRDefault="003D61E6" w:rsidP="003D61E6">
      <w:r w:rsidRPr="00BB4F57">
        <w:t xml:space="preserve">Note: </w:t>
      </w:r>
      <w:r w:rsidRPr="00BB4F57">
        <w:rPr>
          <w:i/>
        </w:rPr>
        <w:t>OTR</w:t>
      </w:r>
      <w:r w:rsidRPr="00BB4F57">
        <w:t xml:space="preserve"> should be limited to be no greater than the first adjacent-channel protection ratio in Table 2, i.e. </w:t>
      </w:r>
      <w:r w:rsidRPr="00BB4F57">
        <w:rPr>
          <w:i/>
        </w:rPr>
        <w:t>OTR</w:t>
      </w:r>
      <w:r w:rsidRPr="00BB4F57">
        <w:t xml:space="preserve"> ≤ 35 dB.</w:t>
      </w:r>
    </w:p>
    <w:p w14:paraId="5A94A00F" w14:textId="77777777" w:rsidR="003D61E6" w:rsidRDefault="003D61E6" w:rsidP="003D61E6">
      <w:pPr>
        <w:spacing w:after="0" w:line="240" w:lineRule="auto"/>
      </w:pPr>
      <w:r>
        <w:br w:type="page"/>
      </w:r>
    </w:p>
    <w:p w14:paraId="12CD3FA9" w14:textId="77777777" w:rsidR="003D61E6" w:rsidRDefault="003D61E6" w:rsidP="00A909F0">
      <w:pPr>
        <w:pStyle w:val="Heading1"/>
        <w:numPr>
          <w:ilvl w:val="0"/>
          <w:numId w:val="0"/>
        </w:numPr>
      </w:pPr>
      <w:bookmarkStart w:id="76" w:name="_Toc457205672"/>
      <w:bookmarkStart w:id="77" w:name="_Toc438128046"/>
      <w:bookmarkStart w:id="78" w:name="_Toc46492391"/>
      <w:r>
        <w:lastRenderedPageBreak/>
        <w:t>Appendix 4: Highly-populated areas</w:t>
      </w:r>
      <w:bookmarkEnd w:id="76"/>
      <w:bookmarkEnd w:id="77"/>
      <w:bookmarkEnd w:id="78"/>
    </w:p>
    <w:p w14:paraId="670FF28F" w14:textId="77777777" w:rsidR="003D61E6" w:rsidRPr="0095215B" w:rsidRDefault="003D61E6" w:rsidP="003D61E6">
      <w:r w:rsidRPr="0095215B">
        <w:t>The EIRP PSD limit towards the horizontal plane of –60 dBW/Hz (equivalent to 0 dBW/MHz) applies to Earth stations in highly populated areas. “Highly populated areas” means cities with populations greater than 150,000:</w:t>
      </w:r>
    </w:p>
    <w:p w14:paraId="69D952AE" w14:textId="77777777" w:rsidR="003D61E6" w:rsidRPr="0095215B" w:rsidRDefault="003D61E6" w:rsidP="00B10CF5">
      <w:pPr>
        <w:pStyle w:val="ListBullet"/>
      </w:pPr>
      <w:r w:rsidRPr="0095215B">
        <w:t xml:space="preserve">Sydney, Newcastle-Maitland and </w:t>
      </w:r>
      <w:proofErr w:type="gramStart"/>
      <w:r w:rsidRPr="0095215B">
        <w:t>Wollongong;</w:t>
      </w:r>
      <w:proofErr w:type="gramEnd"/>
    </w:p>
    <w:p w14:paraId="5145CB48" w14:textId="77777777" w:rsidR="003D61E6" w:rsidRPr="0095215B" w:rsidRDefault="003D61E6" w:rsidP="00B10CF5">
      <w:pPr>
        <w:pStyle w:val="ListBullet"/>
      </w:pPr>
      <w:r w:rsidRPr="0095215B">
        <w:t xml:space="preserve">Melbourne and </w:t>
      </w:r>
      <w:proofErr w:type="gramStart"/>
      <w:r w:rsidRPr="0095215B">
        <w:t>Geelong;</w:t>
      </w:r>
      <w:proofErr w:type="gramEnd"/>
    </w:p>
    <w:p w14:paraId="7D945C79" w14:textId="77777777" w:rsidR="003D61E6" w:rsidRPr="0095215B" w:rsidRDefault="003D61E6" w:rsidP="00B10CF5">
      <w:pPr>
        <w:pStyle w:val="ListBullet"/>
      </w:pPr>
      <w:r w:rsidRPr="0095215B">
        <w:t xml:space="preserve">Brisbane, Gold Coast-Tweed and Sunshine </w:t>
      </w:r>
      <w:proofErr w:type="gramStart"/>
      <w:r w:rsidRPr="0095215B">
        <w:t>Coast;</w:t>
      </w:r>
      <w:proofErr w:type="gramEnd"/>
    </w:p>
    <w:p w14:paraId="3FAC8D8F" w14:textId="77777777" w:rsidR="003D61E6" w:rsidRPr="0095215B" w:rsidRDefault="003D61E6" w:rsidP="00B10CF5">
      <w:pPr>
        <w:pStyle w:val="ListBullet"/>
      </w:pPr>
      <w:proofErr w:type="gramStart"/>
      <w:r w:rsidRPr="0095215B">
        <w:t>Perth;</w:t>
      </w:r>
      <w:proofErr w:type="gramEnd"/>
    </w:p>
    <w:p w14:paraId="59BF8DAD" w14:textId="77777777" w:rsidR="003D61E6" w:rsidRPr="0095215B" w:rsidRDefault="003D61E6" w:rsidP="00B10CF5">
      <w:pPr>
        <w:pStyle w:val="ListBullet"/>
      </w:pPr>
      <w:proofErr w:type="gramStart"/>
      <w:r w:rsidRPr="0095215B">
        <w:t>Adelaide;</w:t>
      </w:r>
      <w:proofErr w:type="gramEnd"/>
    </w:p>
    <w:p w14:paraId="24AB00D0" w14:textId="77777777" w:rsidR="003D61E6" w:rsidRPr="0095215B" w:rsidRDefault="003D61E6" w:rsidP="00B10CF5">
      <w:pPr>
        <w:pStyle w:val="ListBullet"/>
      </w:pPr>
      <w:r w:rsidRPr="0095215B">
        <w:t>Canberra-</w:t>
      </w:r>
      <w:proofErr w:type="gramStart"/>
      <w:r w:rsidRPr="0095215B">
        <w:t>Queanbeyan;</w:t>
      </w:r>
      <w:proofErr w:type="gramEnd"/>
    </w:p>
    <w:p w14:paraId="4F4AF2AB" w14:textId="77777777" w:rsidR="003D61E6" w:rsidRPr="0095215B" w:rsidRDefault="003D61E6" w:rsidP="00B10CF5">
      <w:pPr>
        <w:pStyle w:val="ListBullet"/>
      </w:pPr>
      <w:r w:rsidRPr="0095215B">
        <w:t>Hobart; and</w:t>
      </w:r>
    </w:p>
    <w:p w14:paraId="094C726D" w14:textId="77777777" w:rsidR="003D61E6" w:rsidRPr="0095215B" w:rsidRDefault="003D61E6" w:rsidP="00B10CF5">
      <w:pPr>
        <w:pStyle w:val="ListBulletLast"/>
      </w:pPr>
      <w:r w:rsidRPr="0095215B">
        <w:t>Townsville.</w:t>
      </w:r>
    </w:p>
    <w:p w14:paraId="54CE6D14" w14:textId="77777777" w:rsidR="003D61E6" w:rsidRPr="0095215B" w:rsidRDefault="003D61E6" w:rsidP="003D61E6">
      <w:r w:rsidRPr="0095215B">
        <w:t>The EIRP PSD limit for FSS earth stations also applies in the cities of:</w:t>
      </w:r>
    </w:p>
    <w:p w14:paraId="0E3B7BEC" w14:textId="77777777" w:rsidR="003D61E6" w:rsidRPr="0095215B" w:rsidRDefault="003D61E6" w:rsidP="00A84DFD">
      <w:pPr>
        <w:pStyle w:val="ListBullet"/>
      </w:pPr>
      <w:r w:rsidRPr="0095215B">
        <w:t>Darwin; and</w:t>
      </w:r>
    </w:p>
    <w:p w14:paraId="1B0DD68B" w14:textId="77777777" w:rsidR="003D61E6" w:rsidRPr="0095215B" w:rsidRDefault="003D61E6" w:rsidP="00A84DFD">
      <w:pPr>
        <w:pStyle w:val="ListBulletLast"/>
      </w:pPr>
      <w:r w:rsidRPr="0095215B">
        <w:t>Cairns.</w:t>
      </w:r>
    </w:p>
    <w:p w14:paraId="7CEC42BF" w14:textId="333009D3" w:rsidR="003D61E6" w:rsidRPr="0095215B" w:rsidRDefault="003D61E6" w:rsidP="003D61E6">
      <w:r w:rsidRPr="0095215B">
        <w:t>The “highly populated areas” corresponding to these cities for the purpose of applying the EIRP PSD limit towards the horizontal plane to Earth stations, are defined by the Hierarchical Cell Identification Scheme (HCIS) identifiers listed below</w:t>
      </w:r>
      <w:r w:rsidRPr="0095215B">
        <w:rPr>
          <w:vertAlign w:val="superscript"/>
        </w:rPr>
        <w:footnoteReference w:id="9"/>
      </w:r>
      <w:r w:rsidRPr="0095215B">
        <w:t xml:space="preserve">. HCIS identifiers are a new way of describing geographic areas aligned with the </w:t>
      </w:r>
      <w:hyperlink r:id="rId16" w:history="1">
        <w:r w:rsidRPr="0095215B">
          <w:rPr>
            <w:rStyle w:val="Hyperlink"/>
          </w:rPr>
          <w:t>Australian Spectrum Map Grid (ASMG)</w:t>
        </w:r>
      </w:hyperlink>
      <w:r w:rsidRPr="0095215B">
        <w:t xml:space="preserve">. </w:t>
      </w:r>
    </w:p>
    <w:p w14:paraId="0EC998B1" w14:textId="5156D15E" w:rsidR="003D61E6" w:rsidRDefault="003D61E6" w:rsidP="003D61E6">
      <w:pPr>
        <w:spacing w:after="0" w:line="240" w:lineRule="auto"/>
        <w:rPr>
          <w:b/>
        </w:rPr>
      </w:pPr>
      <w:r w:rsidRPr="0095215B">
        <w:t xml:space="preserve">The HCIS identifiers below can be converted to a placemark </w:t>
      </w:r>
      <w:hyperlink r:id="rId17" w:history="1">
        <w:r w:rsidRPr="0095215B">
          <w:rPr>
            <w:rStyle w:val="Hyperlink"/>
          </w:rPr>
          <w:t>here</w:t>
        </w:r>
      </w:hyperlink>
      <w:r w:rsidRPr="0095215B">
        <w:t>. The areas are also included in the accompanying KMZ file.</w:t>
      </w:r>
      <w:r>
        <w:rPr>
          <w:b/>
        </w:rPr>
        <w:br w:type="page"/>
      </w:r>
    </w:p>
    <w:p w14:paraId="66F38927" w14:textId="77777777" w:rsidR="003D61E6" w:rsidRDefault="003D61E6" w:rsidP="003D61E6">
      <w:pPr>
        <w:rPr>
          <w:b/>
        </w:rPr>
      </w:pPr>
      <w:r w:rsidRPr="00113F67">
        <w:rPr>
          <w:b/>
        </w:rPr>
        <w:lastRenderedPageBreak/>
        <w:t>SYDNEY, NEWCASTLE-MAITLAND, WOLLONGONG</w:t>
      </w:r>
    </w:p>
    <w:p w14:paraId="27E1889E" w14:textId="77777777" w:rsidR="003D61E6" w:rsidRDefault="003D61E6" w:rsidP="003D61E6">
      <w:r w:rsidRPr="00113F67">
        <w:t>NW1, MV9I, MV9J, MV9K, MV9L, MV9M, MV9N, MV9O, MV9P, MW3C, MW3D, MW3G, MW3H, MW3K, MW3L, MW3O, MW3P, NV4N, NV4O, NV4P, NV5M, NV5N, NV5O, NV5P, NV7B, NV7C, NV7D, NV7E, NV7F, NV7G, NV7H, NV7I, NV7J, NV7K, NV7L, NV7M, NV7N, NV7O, NV7P, MV9D6, MV9D9, MV9E4, MV9E5, MV9E6, MV9E7, MV9E8, MV9E9, MV9F4, MV9F5, MV9F6, MV9F7, MV9F8, MV9F9, MV9G4, MV9G5, MV9G6, MV9G7, MV9G8, MV9G9, MV9H3, MV9H4, MV9H5, MV9H6, MV9H7, MV9H8, MV9H9, MW3B2, MW3B3, MW3B5, MW3B6, MW3B8, MW3B9, MW3F2, MW3F3, MW3F5, MW3F6, MW3F8, MW3F9, MW3J2, MW3J3, NV4I5, NV4I6, NV4I8, NV4I9, NV4J4, NV4J5, NV4J6, NV4J7, NV4J8, NV4J9, NV4K4, NV4K5, NV4K6, NV4K7, NV4K8, NV4K9, NV4L4, NV4L5, NV4L6, NV4L7, NV4L8, NV4L9, NV4M2, NV4M3, NV4M5, NV4M6, NV4M8, NV4M9, NV5I4, NV5I5, NV5I6, NV5I7, NV5I8, NV5I9, NV5J4, NV5J5, NV5J6, NV5J7, NV5J8, NV5J9, NV5K4, NV5K5, NV5K6, NV5K7, NV5K8, NV5K9, NV5L4, NV5L5, NV5L6, NV5L7, NV5L8, NV5L9, NV7A2, NV7A3, NV7A4, NV7A5, NV7A6, NV7A7, NV7A8, NV7A9</w:t>
      </w:r>
    </w:p>
    <w:p w14:paraId="1242DB03" w14:textId="77777777" w:rsidR="003D61E6" w:rsidRDefault="003D61E6" w:rsidP="003D61E6">
      <w:r w:rsidRPr="00113F67">
        <w:rPr>
          <w:b/>
        </w:rPr>
        <w:t>MELBOURNE, GEELONG</w:t>
      </w:r>
      <w:r w:rsidRPr="0022279B">
        <w:t xml:space="preserve"> </w:t>
      </w:r>
    </w:p>
    <w:p w14:paraId="29D8ABC0" w14:textId="77777777" w:rsidR="003D61E6" w:rsidRDefault="003D61E6" w:rsidP="003D61E6">
      <w:r w:rsidRPr="00113F67">
        <w:t>KX3J, KX3K, KX3L, KX3N, KX3O, KX3P, KX6B, KX6C, KX6D, KX6F, KX6G, KX6H, KX6J, KX6K, KX6L, LX1I, LX1M, LX1N, LX1O, LX4A, LX4B, LX4C, LX4E, LX4I, KX3F7, KX3F8, KX3F9, KX3G7, KX3G8, KX3G9, KX3H4, KX3H5, KX3H6, KX3H7, KX3H8, KX3H9, KX3M6, KX3M8, KX3M9, KX6A2, KX6A3, KX6A5, KX6A6, KX6A8, KX6A9, KX6E2, KX6E3, KX6E5, KX6E6, KX6E8, KX6E9, KX6I2, KX6I3, KX6I5, KX6I6, KX6I8, KX6I9, LX1E4, LX1E7, LX1E8, LX1E9, LX1J1, LX1J4, LX1J5, LX1J6, LX1J7, LX1J8, LX1J9, LX1K4, LX1K7, LX4F1, LX4F2, LX4F4, LX4F5, LX4F7, LX4F8, LX4J1, LX4J2, LX4J4, LX4J5, LX4J7, LX4J8</w:t>
      </w:r>
    </w:p>
    <w:p w14:paraId="7841BE49" w14:textId="77777777" w:rsidR="003D61E6" w:rsidRDefault="003D61E6" w:rsidP="003D61E6">
      <w:r w:rsidRPr="00113F67">
        <w:rPr>
          <w:b/>
        </w:rPr>
        <w:t>BRISBANE, GOLD COAST-TWEED, SUNSHINE COAST</w:t>
      </w:r>
    </w:p>
    <w:p w14:paraId="0D2DF90C" w14:textId="77777777" w:rsidR="003D61E6" w:rsidRDefault="003D61E6" w:rsidP="003D61E6">
      <w:r w:rsidRPr="00113F67">
        <w:t>NT9, NT5G, NT5H, NT5K, NT5L, NT5O, NT5P, NT6E, NT6F, NT6G, NT6H, NT6I, NT6J, NT6K, NT6L, NT6M, NT6N, NT6O, NT6P, NT8C, NT8D, NT8G, NT8H, NT8K, NT8L, NT8O, NT8P, NU3A, NU3B, NU3C, NU3D, NU3F, NU3G, NU3H, NT5C4, NT5C5, NT5C6, NT5C7, NT5C8, NT5C9, NT5D4, NT5D5, NT5D6, NT5D7, NT5D8, NT5D9, NT6A4, NT6A5, NT6A6, NT6A7, NT6A8, NT6A9, NT6B4, NT6B5, NT6B6, NT6B7, NT6B8, NT6B9, NT6C4, NT6C5, NT6C6, NT6C7, NT6C8, NT6C9, NT6D4, NT6D5, NT6D6, NT6D7, NT6D8, NT6D9, NU2C1, NU2C2, NU2C3, NU2D1, NU2D2, NU2D3, NU2D5, NU2D6, NU2D8, NU2D9, NU2H2, NU2H3, NU3E1, NU3E2, NU3E3, NU3E5, NU3E6, NU3E8, NU3E9, NU3I2, NU3I3, NU3J1, NU3J2, NU3J3, NU3K1, NU3K2, NU3K3, NU3L1, NU3L2, NU3L3</w:t>
      </w:r>
    </w:p>
    <w:p w14:paraId="37B80505" w14:textId="77777777" w:rsidR="003D61E6" w:rsidRPr="00113F67" w:rsidRDefault="003D61E6" w:rsidP="003D61E6">
      <w:pPr>
        <w:rPr>
          <w:b/>
        </w:rPr>
      </w:pPr>
      <w:r w:rsidRPr="00113F67">
        <w:rPr>
          <w:b/>
        </w:rPr>
        <w:t>PERTH</w:t>
      </w:r>
    </w:p>
    <w:p w14:paraId="29A56B7B" w14:textId="77777777" w:rsidR="003D61E6" w:rsidRDefault="003D61E6" w:rsidP="003D61E6">
      <w:r w:rsidRPr="00113F67">
        <w:t>BV1I, BV1J, BV1K, BV1L, BV1M, BV1N, BV1O, BV1P, BV2I, BV2J, BV2M, BV2N, BV4A, BV4B, BV4C, BV4D, BV4E, BV4F, BV4G, BV4H, BV4I, BV4J, BV4K, BV4L, BV5A, BV5B, BV5E, BV5F, BV5I, BV5J, BV1E7, BV1E8, BV1E9, BV1F7, BV1F8, BV1F9, BV1G7, BV1G8, BV1G9, BV1H7, BV1H8, BV1H9, BV2E7, BV2E8, BV2E9, BV2F7, BV2F8, BV2F9, BV4M1, BV4M2, BV4M3, BV4N1, BV4N2, BV4N3, BV4O1, BV4O2, BV4O3, BV4P1, BV4P2, BV4P3, BV5M1, BV5M2, BV5M3, BV5N1, BV5N2, BV5N3</w:t>
      </w:r>
    </w:p>
    <w:p w14:paraId="4A191F48" w14:textId="77777777" w:rsidR="003D61E6" w:rsidRDefault="003D61E6" w:rsidP="003D61E6">
      <w:r w:rsidRPr="00113F67">
        <w:rPr>
          <w:b/>
        </w:rPr>
        <w:lastRenderedPageBreak/>
        <w:t>ADELAIDE</w:t>
      </w:r>
    </w:p>
    <w:p w14:paraId="40D1DF94" w14:textId="77777777" w:rsidR="003D61E6" w:rsidRDefault="003D61E6" w:rsidP="003D61E6">
      <w:r w:rsidRPr="00113F67">
        <w:t>IW3J, IW3K, IW3L, IW3N, IW3O, IW3P, IW6B, IW6C, IW6D, IW6F, IW6G, IW6H, IW3E5, IW3E6, IW3E8, IW3E9, IW3F4, IW3F5, IW3F6, IW3F7, IW3F8, IW3F9, IW3G4, IW3G5, IW3G6, IW3G7, IW3G8, IW3G9, IW3H4, IW3H5, IW3H6, IW3H7, IW3H8, IW3H9, IW3I2, IW3I3, IW3I5, IW3I6, IW3I8, IW3I9, IW3M2, IW3M3, IW3M5, IW3M6, IW3M8, IW3M9, IW6A2, IW6A3, IW6A5, IW6A6, IW6A8, IW6A9, IW6E2, IW6E3, IW6E5, IW6E6, IW6E8, IW6E9, JW1E4, JW1E7, JW1I1, JW1I4, JW1I7, JW1M1, JW1M4</w:t>
      </w:r>
    </w:p>
    <w:p w14:paraId="60333AE9" w14:textId="77777777" w:rsidR="003D61E6" w:rsidRPr="00113F67" w:rsidRDefault="003D61E6" w:rsidP="003D61E6">
      <w:pPr>
        <w:rPr>
          <w:b/>
        </w:rPr>
      </w:pPr>
      <w:r w:rsidRPr="00113F67">
        <w:rPr>
          <w:b/>
        </w:rPr>
        <w:t>CANBERRA-QUEANBEYAN</w:t>
      </w:r>
    </w:p>
    <w:p w14:paraId="2867F282" w14:textId="77777777" w:rsidR="003D61E6" w:rsidRDefault="003D61E6" w:rsidP="003D61E6">
      <w:r w:rsidRPr="00113F67">
        <w:t>MW4D, MW4H, MW4L, MW5A, MW5B, MW5E, MW5F, MW5I, MW5J, MW1P4, MW1P5, MW1P6, MW1P7, MW1P8, MW1P9, MW2M4, MW2M5, MW2M6, MW2M7, MW2M8, MW2M9, MW2N4, MW2N5, MW2N6, MW2N7, MW2N8, MW2N9, MW4P1, MW4P2, MW4P3, MW5M1, MW5M2, MW5M3, MW5N1, MW5N2, MW5N3</w:t>
      </w:r>
    </w:p>
    <w:p w14:paraId="36CF345A" w14:textId="77777777" w:rsidR="003D61E6" w:rsidRDefault="003D61E6" w:rsidP="003D61E6">
      <w:pPr>
        <w:rPr>
          <w:b/>
        </w:rPr>
      </w:pPr>
      <w:r w:rsidRPr="00113F67">
        <w:rPr>
          <w:b/>
        </w:rPr>
        <w:t>HOBART</w:t>
      </w:r>
    </w:p>
    <w:p w14:paraId="46183357" w14:textId="77777777" w:rsidR="003D61E6" w:rsidRDefault="003D61E6" w:rsidP="003D61E6">
      <w:r w:rsidRPr="00113F67">
        <w:t>LY8L, LY8P, LY9I, LY9J, LY9K, LY9L, LY9M, LY9N, LY9O, LY9P, LZ2D, LZ2H, LZ3A, LZ3B, LZ3C, LZ3D, LZ3E, LZ3F, LZ3G, LZ3H, LY8H4, LY8H5, LY8H6, LY8H7, LY8H8, LY8H9, LY9E4, LY9E5, LY9E6, LY9E7, LY9E8, LY9E9, LY9F4, LY9F5, LY9F6, LY9F7, LY9F8, LY9F9, LY9G4, LY9G5, LY9G6, LY9G7, LY9G8, LY9G9, LY9H4, LY9H5, LY9H6, LY9H7, LY9H8, LY9H9, LZ2L1, LZ2L2, LZ2L3, LZ3I1, LZ3I2, LZ3I3, LZ3J1, LZ3J2, LZ3J3, LZ3K1, LZ3K2, LZ3K3, LZ3L1, LZ3L2, LZ3L3</w:t>
      </w:r>
    </w:p>
    <w:p w14:paraId="297677DC" w14:textId="77777777" w:rsidR="003D61E6" w:rsidRPr="00113F67" w:rsidRDefault="003D61E6" w:rsidP="003D61E6">
      <w:pPr>
        <w:rPr>
          <w:b/>
        </w:rPr>
      </w:pPr>
      <w:r w:rsidRPr="00113F67">
        <w:rPr>
          <w:b/>
        </w:rPr>
        <w:t>TOWNSVILLE</w:t>
      </w:r>
    </w:p>
    <w:p w14:paraId="40E0F1F0" w14:textId="77777777" w:rsidR="003D61E6" w:rsidRDefault="003D61E6" w:rsidP="003D61E6">
      <w:r w:rsidRPr="00113F67">
        <w:t>LR2C, LR2D, LR2G, LR2H, LQ8N8, LQ8N9, LQ8O7, LQ8O8, LQ8O9, LQ8P7, LQ8P8, LQ8P9, LR2B2, LR2B3, LR2B5, LR2B6, LR2B8, LR2B9, LR2F2, LR2F3, LR2F5, LR2F6, LR2F8, LR2F9, LR2J2, LR2J3, LR2J5, LR2J6, LR2K1, LR2K2, LR2K3, LR2K4, LR2K5, LR2K6, LR2L1, LR2L2, LR2L3, LR2L4, LR2L5, LR2L6, LR3A1, LR3A2, LR3A4, LR3A5, LR3A7, LR3A8, LR3E1, LR3E2, LR3E4, LR3E5, LR3E7, LR3E8, LR3I1, LR3I2, LR3I4, LR3I5</w:t>
      </w:r>
    </w:p>
    <w:p w14:paraId="10AE54D0" w14:textId="77777777" w:rsidR="003D61E6" w:rsidRPr="00113F67" w:rsidRDefault="003D61E6" w:rsidP="003D61E6">
      <w:pPr>
        <w:rPr>
          <w:b/>
        </w:rPr>
      </w:pPr>
      <w:r w:rsidRPr="00113F67">
        <w:rPr>
          <w:b/>
        </w:rPr>
        <w:t>DARWIN</w:t>
      </w:r>
    </w:p>
    <w:p w14:paraId="0AF87420" w14:textId="77777777" w:rsidR="003D61E6" w:rsidRDefault="003D61E6" w:rsidP="003D61E6">
      <w:r w:rsidRPr="00113F67">
        <w:t>GO7C, GO7D, GO7G, GO7H, GO7K, GO7L, GO8A, GO8E, GO8I</w:t>
      </w:r>
    </w:p>
    <w:p w14:paraId="788BAAD1" w14:textId="77777777" w:rsidR="003D61E6" w:rsidRPr="00113F67" w:rsidRDefault="003D61E6" w:rsidP="003D61E6">
      <w:pPr>
        <w:rPr>
          <w:b/>
        </w:rPr>
      </w:pPr>
      <w:r w:rsidRPr="00113F67">
        <w:rPr>
          <w:b/>
        </w:rPr>
        <w:t>CAIRNS</w:t>
      </w:r>
    </w:p>
    <w:p w14:paraId="212500CC" w14:textId="77777777" w:rsidR="003D61E6" w:rsidRDefault="003D61E6" w:rsidP="003D61E6">
      <w:r w:rsidRPr="00113F67">
        <w:t>LQ1K, LQ1L, LQ1O, LQ1P, LQ1J2, LQ1J3, LQ1J5, LQ1J6, LQ1J8, LQ1J9, LQ1N2, LQ1N3, LQ1N5, LQ1N6, LQ1N8, LQ1N9, LQ4B2, LQ4B3, LQ4B5, LQ4B6, LQ4C1, LQ4C2, LQ4C3, LQ4C4, LQ4C5, LQ4C6, LQ4D1, LQ4D2, LQ4D3, LQ4D4, LQ4D5, LQ4D6</w:t>
      </w:r>
    </w:p>
    <w:p w14:paraId="239C691A" w14:textId="77777777" w:rsidR="003D61E6" w:rsidRDefault="003D61E6" w:rsidP="003D61E6">
      <w:pPr>
        <w:spacing w:after="0" w:line="240" w:lineRule="auto"/>
        <w:rPr>
          <w:b/>
        </w:rPr>
      </w:pPr>
    </w:p>
    <w:p w14:paraId="4278DFDD" w14:textId="77777777" w:rsidR="003D61E6" w:rsidRDefault="003D61E6" w:rsidP="003D61E6">
      <w:pPr>
        <w:spacing w:after="0" w:line="240" w:lineRule="auto"/>
        <w:rPr>
          <w:b/>
          <w:kern w:val="28"/>
          <w:sz w:val="32"/>
        </w:rPr>
      </w:pPr>
      <w:r>
        <w:br w:type="page"/>
      </w:r>
    </w:p>
    <w:p w14:paraId="3230FDD3" w14:textId="6DD570A7" w:rsidR="003D61E6" w:rsidRPr="003D61E6" w:rsidRDefault="003D61E6">
      <w:pPr>
        <w:pStyle w:val="Heading1"/>
        <w:numPr>
          <w:ilvl w:val="0"/>
          <w:numId w:val="0"/>
        </w:numPr>
      </w:pPr>
      <w:bookmarkStart w:id="79" w:name="_Toc457205673"/>
      <w:bookmarkStart w:id="80" w:name="_Toc438128047"/>
      <w:bookmarkStart w:id="81" w:name="_Toc46492392"/>
      <w:r w:rsidRPr="003D61E6">
        <w:lastRenderedPageBreak/>
        <w:t>Appendix 5: SRS Coordination Zone</w:t>
      </w:r>
      <w:bookmarkEnd w:id="79"/>
      <w:bookmarkEnd w:id="80"/>
      <w:bookmarkEnd w:id="81"/>
    </w:p>
    <w:p w14:paraId="66773D10" w14:textId="0DA5083F" w:rsidR="003D61E6" w:rsidRDefault="003D61E6" w:rsidP="00D74F45">
      <w:r>
        <w:t>SRS coordination zones are defined in the table below.</w:t>
      </w:r>
    </w:p>
    <w:tbl>
      <w:tblPr>
        <w:tblStyle w:val="TableGrid"/>
        <w:tblW w:w="0" w:type="auto"/>
        <w:tblLook w:val="04A0" w:firstRow="1" w:lastRow="0" w:firstColumn="1" w:lastColumn="0" w:noHBand="0" w:noVBand="1"/>
      </w:tblPr>
      <w:tblGrid>
        <w:gridCol w:w="1555"/>
        <w:gridCol w:w="6106"/>
      </w:tblGrid>
      <w:tr w:rsidR="00AA79C3" w14:paraId="7FA4CC43" w14:textId="50C41BE5" w:rsidTr="00D656E9">
        <w:tc>
          <w:tcPr>
            <w:tcW w:w="1555" w:type="dxa"/>
          </w:tcPr>
          <w:p w14:paraId="7369B940" w14:textId="4434F836" w:rsidR="00AA79C3" w:rsidRPr="00D656E9" w:rsidRDefault="00AA79C3" w:rsidP="00D74F45">
            <w:pPr>
              <w:rPr>
                <w:b/>
              </w:rPr>
            </w:pPr>
            <w:r w:rsidRPr="00D656E9">
              <w:rPr>
                <w:b/>
              </w:rPr>
              <w:t>Area Name</w:t>
            </w:r>
          </w:p>
        </w:tc>
        <w:tc>
          <w:tcPr>
            <w:tcW w:w="6106" w:type="dxa"/>
          </w:tcPr>
          <w:p w14:paraId="39F4CE8D" w14:textId="3E795BD0" w:rsidR="00AA79C3" w:rsidRPr="00D656E9" w:rsidRDefault="00AA79C3" w:rsidP="00D74F45">
            <w:pPr>
              <w:rPr>
                <w:b/>
              </w:rPr>
            </w:pPr>
            <w:r w:rsidRPr="00D656E9">
              <w:rPr>
                <w:b/>
              </w:rPr>
              <w:t>HCIS</w:t>
            </w:r>
          </w:p>
        </w:tc>
      </w:tr>
      <w:tr w:rsidR="00AA79C3" w14:paraId="44E0880F" w14:textId="212AC5E7" w:rsidTr="00D656E9">
        <w:tc>
          <w:tcPr>
            <w:tcW w:w="1555" w:type="dxa"/>
          </w:tcPr>
          <w:p w14:paraId="653732AD" w14:textId="5232F9CF" w:rsidR="00AA79C3" w:rsidRPr="00D656E9" w:rsidRDefault="00AA79C3" w:rsidP="00D74F45">
            <w:pPr>
              <w:rPr>
                <w:b/>
                <w:bCs/>
              </w:rPr>
            </w:pPr>
            <w:r w:rsidRPr="00D656E9">
              <w:rPr>
                <w:b/>
                <w:bCs/>
              </w:rPr>
              <w:t>New Norcia</w:t>
            </w:r>
          </w:p>
        </w:tc>
        <w:tc>
          <w:tcPr>
            <w:tcW w:w="6106" w:type="dxa"/>
          </w:tcPr>
          <w:p w14:paraId="11A01208" w14:textId="6ED29F00" w:rsidR="00AA79C3" w:rsidRPr="00D656E9" w:rsidRDefault="00AA79C3" w:rsidP="00D74F45">
            <w:r w:rsidRPr="00D656E9">
              <w:t>BU7, BU8, BU9, BV3, BU4K, BU4L, BU4O, BU4P, BU5I, BU5J, BU5K, BU5L, BU5M, BU5N, BU5O, BU5P, BU6I, BU6M, BU6N, BV1A, BV1B, BV1C, BV1D, BV1E, BV1F, BV1G, BV1H, BV2A, BV2B, BV2C, BV2D, BV2E, BV2F, BV2G, BV2H, BV2K, BV2L, CU7E</w:t>
            </w:r>
          </w:p>
        </w:tc>
      </w:tr>
      <w:tr w:rsidR="00D656E9" w14:paraId="54DB83C0" w14:textId="763BD51D" w:rsidTr="00D656E9">
        <w:tc>
          <w:tcPr>
            <w:tcW w:w="1555" w:type="dxa"/>
            <w:vAlign w:val="center"/>
          </w:tcPr>
          <w:p w14:paraId="2468FE00" w14:textId="00F6EEFC" w:rsidR="00D656E9" w:rsidRPr="00D656E9" w:rsidRDefault="00D656E9" w:rsidP="00D74F45">
            <w:pPr>
              <w:rPr>
                <w:b/>
                <w:bCs/>
              </w:rPr>
            </w:pPr>
          </w:p>
          <w:p w14:paraId="6AE51BCA" w14:textId="1D615CCF" w:rsidR="00D656E9" w:rsidRPr="00D656E9" w:rsidRDefault="00D656E9" w:rsidP="00D74F45">
            <w:pPr>
              <w:rPr>
                <w:b/>
                <w:bCs/>
              </w:rPr>
            </w:pPr>
            <w:r w:rsidRPr="00D656E9">
              <w:rPr>
                <w:b/>
                <w:bCs/>
              </w:rPr>
              <w:t>Tidbinbilla</w:t>
            </w:r>
          </w:p>
          <w:p w14:paraId="703D2CC2" w14:textId="3B323D24" w:rsidR="00D656E9" w:rsidRPr="00D656E9" w:rsidRDefault="00D656E9" w:rsidP="00D74F45">
            <w:pPr>
              <w:rPr>
                <w:b/>
                <w:bCs/>
              </w:rPr>
            </w:pPr>
          </w:p>
        </w:tc>
        <w:tc>
          <w:tcPr>
            <w:tcW w:w="6106" w:type="dxa"/>
          </w:tcPr>
          <w:p w14:paraId="75EB0995" w14:textId="38281F0C" w:rsidR="00D656E9" w:rsidRPr="00D656E9" w:rsidRDefault="00D656E9" w:rsidP="00D74F45">
            <w:r w:rsidRPr="00D656E9">
              <w:t>MW5, MW1F, MW1G, MW1H, MW1J, MW1K, MW1L, MW1N, MW1O, MW1P, MW2I, MW2J, MW2K, MW2M, MW2N, MW2O, MW4B, MW4C, MW4D, MW4F, MW4G, MW4H, MW4J, MW4K, MW4L, MW4N, MW4O, MW4P</w:t>
            </w:r>
          </w:p>
        </w:tc>
      </w:tr>
    </w:tbl>
    <w:p w14:paraId="2BD6E95D" w14:textId="26B3412C" w:rsidR="00A771E3" w:rsidRPr="00AF06C8" w:rsidRDefault="00A771E3" w:rsidP="00D74F45">
      <w:pPr>
        <w:rPr>
          <w:szCs w:val="22"/>
        </w:rPr>
      </w:pPr>
    </w:p>
    <w:sectPr w:rsidR="00A771E3" w:rsidRPr="00AF06C8" w:rsidSect="0032332E">
      <w:headerReference w:type="default" r:id="rId18"/>
      <w:footerReference w:type="even" r:id="rId19"/>
      <w:footerReference w:type="default" r:id="rId20"/>
      <w:type w:val="oddPage"/>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753B3" w14:textId="77777777" w:rsidR="002E233D" w:rsidRDefault="002E233D">
      <w:r>
        <w:separator/>
      </w:r>
    </w:p>
  </w:endnote>
  <w:endnote w:type="continuationSeparator" w:id="0">
    <w:p w14:paraId="4596C192" w14:textId="77777777" w:rsidR="002E233D" w:rsidRDefault="002E233D">
      <w:r>
        <w:continuationSeparator/>
      </w:r>
    </w:p>
  </w:endnote>
  <w:endnote w:type="continuationNotice" w:id="1">
    <w:p w14:paraId="0F538C9E" w14:textId="77777777" w:rsidR="002E233D" w:rsidRDefault="002E2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36BFB" w14:textId="56BBAF95" w:rsidR="002E233D" w:rsidRPr="00F012AE" w:rsidRDefault="002E233D" w:rsidP="00A07457">
    <w:pPr>
      <w:pStyle w:val="Footer"/>
      <w:framePr w:w="1334" w:h="357" w:hRule="exact" w:vSpace="425" w:wrap="around" w:vAnchor="page" w:hAnchor="page" w:x="1220" w:y="15984"/>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MS</w:t>
    </w:r>
    <w:r w:rsidRPr="00F012AE">
      <w:rPr>
        <w:rFonts w:cs="Arial"/>
        <w:noProof/>
        <w:spacing w:val="-16"/>
        <w:sz w:val="20"/>
        <w:szCs w:val="20"/>
      </w:rPr>
      <w:t xml:space="preserve"> </w:t>
    </w:r>
    <w:r>
      <w:rPr>
        <w:rFonts w:cs="Arial"/>
        <w:noProof/>
        <w:spacing w:val="-16"/>
        <w:sz w:val="20"/>
        <w:szCs w:val="20"/>
      </w:rPr>
      <w:t xml:space="preserve"> 38</w:t>
    </w:r>
  </w:p>
  <w:p w14:paraId="6E193A3F" w14:textId="77777777" w:rsidR="002E233D" w:rsidRPr="00822B3D" w:rsidRDefault="002E233D" w:rsidP="00A07457">
    <w:pPr>
      <w:pStyle w:val="Footer"/>
      <w:tabs>
        <w:tab w:val="left" w:pos="1070"/>
      </w:tabs>
    </w:pPr>
    <w:r>
      <w:tab/>
    </w:r>
    <w:r>
      <w:tab/>
    </w:r>
    <w:r>
      <w:tab/>
    </w:r>
    <w:r>
      <w:tab/>
    </w:r>
    <w:r>
      <w:tab/>
    </w:r>
    <w:r>
      <w:tab/>
    </w:r>
    <w:r>
      <w:tab/>
    </w:r>
    <w:r>
      <w:tab/>
    </w:r>
    <w:r>
      <w:tab/>
    </w:r>
    <w:r>
      <w:tab/>
    </w:r>
    <w:r>
      <w:tab/>
    </w:r>
    <w:r>
      <w:tab/>
    </w:r>
    <w:r>
      <w:tab/>
    </w:r>
    <w:r>
      <w:tab/>
    </w:r>
    <w:r>
      <w:tab/>
    </w:r>
    <w:r>
      <w:tab/>
    </w:r>
    <w:r>
      <w:tab/>
    </w:r>
    <w:r>
      <w:tab/>
    </w:r>
  </w:p>
  <w:p w14:paraId="58DC754D" w14:textId="77777777" w:rsidR="002E233D" w:rsidRPr="006A18C6" w:rsidRDefault="002E233D" w:rsidP="00A07457">
    <w:pPr>
      <w:pStyle w:val="Footer"/>
    </w:pPr>
  </w:p>
  <w:p w14:paraId="0F58A977" w14:textId="77777777" w:rsidR="002E233D" w:rsidRPr="00622A3B" w:rsidRDefault="002E233D" w:rsidP="008D77CC">
    <w:pPr>
      <w:pStyle w:val="Footer"/>
      <w:framePr w:w="1334" w:h="357" w:hRule="exact" w:vSpace="425" w:wrap="around" w:vAnchor="page" w:hAnchor="page" w:x="7831" w:y="15991"/>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iii</w:t>
    </w:r>
    <w:r>
      <w:rPr>
        <w:noProof/>
      </w:rPr>
      <w:fldChar w:fldCharType="end"/>
    </w:r>
  </w:p>
  <w:p w14:paraId="180FDAE2" w14:textId="7BA69588" w:rsidR="002E233D" w:rsidRPr="00A07457" w:rsidRDefault="002E233D" w:rsidP="00A07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55E76" w14:textId="77777777" w:rsidR="002E233D" w:rsidRPr="00622A3B" w:rsidRDefault="002E233D" w:rsidP="008D77CC">
    <w:pPr>
      <w:pStyle w:val="Footer"/>
      <w:framePr w:w="1334" w:h="357" w:hRule="exact" w:vSpace="425" w:wrap="around" w:vAnchor="page" w:hAnchor="page" w:x="1156" w:y="1612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w:t>
    </w:r>
    <w:r>
      <w:rPr>
        <w:noProof/>
      </w:rPr>
      <w:fldChar w:fldCharType="end"/>
    </w:r>
  </w:p>
  <w:p w14:paraId="3D1B3F85" w14:textId="77777777" w:rsidR="002E233D" w:rsidRDefault="002E233D" w:rsidP="00A07457">
    <w:pPr>
      <w:pStyle w:val="Footer"/>
      <w:tabs>
        <w:tab w:val="clear" w:pos="113"/>
        <w:tab w:val="left" w:pos="2550"/>
      </w:tabs>
    </w:pPr>
    <w:r>
      <w:tab/>
    </w:r>
  </w:p>
  <w:p w14:paraId="6DE43770" w14:textId="7042271A" w:rsidR="002E233D" w:rsidRPr="00F012AE" w:rsidRDefault="002E233D" w:rsidP="002E233D">
    <w:pPr>
      <w:pStyle w:val="Footer"/>
      <w:framePr w:w="5626" w:h="357" w:hRule="exact" w:vSpace="425" w:wrap="around" w:vAnchor="page" w:hAnchor="page" w:x="3706" w:y="16081"/>
      <w:tabs>
        <w:tab w:val="clear" w:pos="113"/>
        <w:tab w:val="left" w:pos="284"/>
      </w:tabs>
      <w:jc w:val="right"/>
      <w:rPr>
        <w:rFonts w:cs="Arial"/>
      </w:rPr>
    </w:pPr>
    <w:r>
      <w:rPr>
        <w:rFonts w:cs="Arial"/>
        <w:noProof/>
        <w:spacing w:val="-16"/>
        <w:sz w:val="20"/>
        <w:szCs w:val="20"/>
      </w:rPr>
      <w:t>CONSULTATION DRAFT</w:t>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sidRPr="00F012AE">
      <w:rPr>
        <w:rFonts w:cs="Arial"/>
        <w:noProof/>
        <w:spacing w:val="-16"/>
        <w:sz w:val="20"/>
        <w:szCs w:val="20"/>
      </w:rPr>
      <w:t xml:space="preserve">RALI </w:t>
    </w:r>
    <w:r>
      <w:rPr>
        <w:rFonts w:cs="Arial"/>
        <w:noProof/>
        <w:spacing w:val="-16"/>
        <w:sz w:val="20"/>
        <w:szCs w:val="20"/>
      </w:rPr>
      <w:t xml:space="preserve"> MS 38</w:t>
    </w:r>
  </w:p>
  <w:p w14:paraId="33A3526F" w14:textId="41B7C070" w:rsidR="002E233D" w:rsidRPr="00A07457" w:rsidRDefault="002E233D" w:rsidP="00A07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8BA94" w14:textId="40711E65" w:rsidR="002E233D" w:rsidRPr="00622A3B" w:rsidRDefault="002E233D" w:rsidP="002141E9">
    <w:pPr>
      <w:pStyle w:val="Footer"/>
      <w:framePr w:w="1440" w:h="357" w:hRule="exact" w:vSpace="425" w:wrap="around" w:vAnchor="page" w:hAnchor="page" w:x="957" w:y="16145"/>
      <w:pBdr>
        <w:top w:val="single" w:sz="4" w:space="1" w:color="auto"/>
      </w:pBdr>
      <w:tabs>
        <w:tab w:val="clear" w:pos="113"/>
        <w:tab w:val="left" w:pos="284"/>
        <w:tab w:val="left" w:pos="567"/>
      </w:tabs>
      <w:rPr>
        <w:rFonts w:cs="Arial"/>
      </w:rPr>
    </w:pP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color w:val="505050"/>
      </w:rPr>
      <w:t>6</w:t>
    </w:r>
    <w:r w:rsidRPr="00575AC5">
      <w:rPr>
        <w:color w:val="505050"/>
      </w:rPr>
      <w:fldChar w:fldCharType="end"/>
    </w:r>
    <w:r>
      <w:rPr>
        <w:color w:val="505050"/>
      </w:rPr>
      <w:tab/>
    </w:r>
    <w:r>
      <w:rPr>
        <w:rFonts w:cs="Arial"/>
      </w:rPr>
      <w:t xml:space="preserve"> </w:t>
    </w:r>
    <w:r w:rsidRPr="00622A3B">
      <w:rPr>
        <w:rFonts w:cs="Arial"/>
      </w:rPr>
      <w:t>|</w:t>
    </w:r>
    <w:r>
      <w:tab/>
    </w:r>
    <w:r>
      <w:tab/>
    </w: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p>
  <w:p w14:paraId="0A15889A" w14:textId="70D09204" w:rsidR="002E233D" w:rsidRPr="00F012AE" w:rsidRDefault="002E233D" w:rsidP="002E233D">
    <w:pPr>
      <w:pStyle w:val="Footer"/>
      <w:framePr w:w="4966" w:h="357" w:hRule="exact" w:vSpace="425" w:wrap="around" w:vAnchor="page" w:hAnchor="page" w:x="3796" w:y="16126"/>
      <w:tabs>
        <w:tab w:val="clear" w:pos="113"/>
        <w:tab w:val="left" w:pos="284"/>
      </w:tabs>
      <w:jc w:val="right"/>
      <w:rPr>
        <w:rFonts w:cs="Arial"/>
      </w:rPr>
    </w:pPr>
    <w:r>
      <w:rPr>
        <w:rFonts w:cs="Arial"/>
        <w:noProof/>
        <w:spacing w:val="-16"/>
        <w:sz w:val="20"/>
        <w:szCs w:val="20"/>
      </w:rPr>
      <w:t>CONSULTATION DRAFT</w:t>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sidRPr="00F012AE">
      <w:rPr>
        <w:rFonts w:cs="Arial"/>
        <w:noProof/>
        <w:spacing w:val="-16"/>
        <w:sz w:val="20"/>
        <w:szCs w:val="20"/>
      </w:rPr>
      <w:t xml:space="preserve">RALI </w:t>
    </w:r>
    <w:r>
      <w:rPr>
        <w:rFonts w:cs="Arial"/>
        <w:noProof/>
        <w:spacing w:val="-16"/>
        <w:sz w:val="20"/>
        <w:szCs w:val="20"/>
      </w:rPr>
      <w:t xml:space="preserve"> MS 38</w:t>
    </w:r>
  </w:p>
  <w:p w14:paraId="7D089574" w14:textId="77777777" w:rsidR="002E233D" w:rsidRPr="00A5474E" w:rsidRDefault="002E233D" w:rsidP="00A547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C63D2" w14:textId="77777777" w:rsidR="002E233D" w:rsidRPr="00622A3B" w:rsidRDefault="002E233D"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7</w:t>
    </w:r>
    <w:r w:rsidRPr="00575AC5">
      <w:rPr>
        <w:color w:val="505050"/>
      </w:rPr>
      <w:fldChar w:fldCharType="end"/>
    </w:r>
  </w:p>
  <w:p w14:paraId="00B77760" w14:textId="49B00F2F" w:rsidR="002E233D" w:rsidRPr="00F012AE" w:rsidRDefault="002E233D" w:rsidP="002E233D">
    <w:pPr>
      <w:pStyle w:val="Footer"/>
      <w:framePr w:w="5731" w:h="357" w:hRule="exact" w:vSpace="425" w:wrap="around" w:vAnchor="page" w:hAnchor="page" w:x="1141" w:y="16201"/>
      <w:tabs>
        <w:tab w:val="clear" w:pos="113"/>
        <w:tab w:val="left" w:pos="0"/>
      </w:tabs>
      <w:rPr>
        <w:rFonts w:cs="Arial"/>
      </w:rPr>
    </w:pPr>
    <w:r w:rsidRPr="00F012AE">
      <w:rPr>
        <w:rFonts w:cs="Arial"/>
        <w:noProof/>
        <w:spacing w:val="-16"/>
        <w:sz w:val="20"/>
        <w:szCs w:val="20"/>
      </w:rPr>
      <w:t xml:space="preserve">RALI </w:t>
    </w:r>
    <w:r>
      <w:rPr>
        <w:rFonts w:cs="Arial"/>
        <w:noProof/>
        <w:spacing w:val="-16"/>
        <w:sz w:val="20"/>
        <w:szCs w:val="20"/>
      </w:rPr>
      <w:t xml:space="preserve"> MS</w:t>
    </w:r>
    <w:r w:rsidRPr="00F012AE">
      <w:rPr>
        <w:rFonts w:cs="Arial"/>
        <w:noProof/>
        <w:spacing w:val="-16"/>
        <w:sz w:val="20"/>
        <w:szCs w:val="20"/>
      </w:rPr>
      <w:t xml:space="preserve"> </w:t>
    </w:r>
    <w:r>
      <w:rPr>
        <w:rFonts w:cs="Arial"/>
        <w:noProof/>
        <w:spacing w:val="-16"/>
        <w:sz w:val="20"/>
        <w:szCs w:val="20"/>
      </w:rPr>
      <w:t>38</w:t>
    </w:r>
    <w:r w:rsidRPr="002E233D">
      <w:rPr>
        <w:rFonts w:cs="Arial"/>
        <w:noProof/>
        <w:spacing w:val="-16"/>
        <w:sz w:val="20"/>
        <w:szCs w:val="20"/>
      </w:rPr>
      <w:t xml:space="preserve"> </w:t>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r>
    <w:r>
      <w:rPr>
        <w:rFonts w:cs="Arial"/>
        <w:noProof/>
        <w:spacing w:val="-16"/>
        <w:sz w:val="20"/>
        <w:szCs w:val="20"/>
      </w:rPr>
      <w:tab/>
      <w:t>CONSULTATION DRAFT</w:t>
    </w:r>
  </w:p>
  <w:p w14:paraId="75CE3D5D" w14:textId="77777777" w:rsidR="002E233D" w:rsidRPr="00A5474E" w:rsidRDefault="002E233D"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30EF1" w14:textId="77777777" w:rsidR="002E233D" w:rsidRDefault="002E233D">
      <w:r>
        <w:separator/>
      </w:r>
    </w:p>
  </w:footnote>
  <w:footnote w:type="continuationSeparator" w:id="0">
    <w:p w14:paraId="7D5327B3" w14:textId="77777777" w:rsidR="002E233D" w:rsidRDefault="002E233D">
      <w:r>
        <w:continuationSeparator/>
      </w:r>
    </w:p>
  </w:footnote>
  <w:footnote w:type="continuationNotice" w:id="1">
    <w:p w14:paraId="44E86FB3" w14:textId="77777777" w:rsidR="002E233D" w:rsidRDefault="002E233D">
      <w:pPr>
        <w:spacing w:after="0" w:line="240" w:lineRule="auto"/>
      </w:pPr>
    </w:p>
  </w:footnote>
  <w:footnote w:id="2">
    <w:p w14:paraId="34AAC84B" w14:textId="0ED7520F" w:rsidR="002E233D" w:rsidRDefault="002E233D">
      <w:pPr>
        <w:pStyle w:val="FootnoteText"/>
      </w:pPr>
      <w:r>
        <w:rPr>
          <w:rStyle w:val="FootnoteReference"/>
        </w:rPr>
        <w:footnoteRef/>
      </w:r>
      <w:r>
        <w:t xml:space="preserve"> </w:t>
      </w:r>
      <w:proofErr w:type="gramStart"/>
      <w:r>
        <w:t>RALI[</w:t>
      </w:r>
      <w:proofErr w:type="gramEnd"/>
      <w:r>
        <w:t>new] contain licensing and coordination requirements for area-wide apparatus licensed services (including FSS earth stations) in the frequency range 24.7-29.5 GHz.</w:t>
      </w:r>
    </w:p>
  </w:footnote>
  <w:footnote w:id="3">
    <w:p w14:paraId="1450AF4D" w14:textId="77777777" w:rsidR="002E233D" w:rsidRPr="00E77D3B" w:rsidRDefault="002E233D" w:rsidP="00F37425">
      <w:pPr>
        <w:pStyle w:val="FootnoteText"/>
        <w:spacing w:after="0"/>
      </w:pPr>
      <w:r>
        <w:rPr>
          <w:rStyle w:val="FootnoteReference"/>
        </w:rPr>
        <w:footnoteRef/>
      </w:r>
      <w:r>
        <w:t xml:space="preserve"> </w:t>
      </w:r>
      <w:r>
        <w:rPr>
          <w:i/>
        </w:rPr>
        <w:t>P</w:t>
      </w:r>
      <w:r w:rsidRPr="00E77D3B">
        <w:rPr>
          <w:i/>
          <w:vertAlign w:val="subscript"/>
        </w:rPr>
        <w:t>rx_I</w:t>
      </w:r>
      <w:r>
        <w:t xml:space="preserve"> and </w:t>
      </w:r>
      <w:r>
        <w:rPr>
          <w:i/>
        </w:rPr>
        <w:t>P</w:t>
      </w:r>
      <w:r w:rsidRPr="00E77D3B">
        <w:rPr>
          <w:i/>
          <w:vertAlign w:val="subscript"/>
        </w:rPr>
        <w:t>tx_I</w:t>
      </w:r>
      <w:r>
        <w:t xml:space="preserve"> should be in self-consistent logarithmic units of total power (e.g. dBW). </w:t>
      </w:r>
    </w:p>
  </w:footnote>
  <w:footnote w:id="4">
    <w:p w14:paraId="7661D82A" w14:textId="77777777" w:rsidR="002E233D" w:rsidRPr="00E66B94" w:rsidRDefault="002E233D" w:rsidP="00F37425">
      <w:pPr>
        <w:pStyle w:val="FootnoteText"/>
        <w:spacing w:after="0"/>
      </w:pPr>
      <w:r>
        <w:rPr>
          <w:rStyle w:val="FootnoteReference"/>
        </w:rPr>
        <w:footnoteRef/>
      </w:r>
      <w:r>
        <w:t xml:space="preserve"> Terrain height data is required to create a path profile between transmitter and receiver for path loss calculations. A 9 second digital elevation model or better should be used. </w:t>
      </w:r>
    </w:p>
  </w:footnote>
  <w:footnote w:id="5">
    <w:p w14:paraId="30D801B4" w14:textId="77777777" w:rsidR="002E233D" w:rsidRPr="00531002" w:rsidRDefault="002E233D" w:rsidP="00A36615">
      <w:pPr>
        <w:pStyle w:val="FootnoteText"/>
        <w:spacing w:after="0"/>
      </w:pPr>
      <w:r>
        <w:rPr>
          <w:rStyle w:val="FootnoteReference"/>
        </w:rPr>
        <w:footnoteRef/>
      </w:r>
      <w:r>
        <w:t xml:space="preserve"> To be calculated as total power in the same units as </w:t>
      </w:r>
      <w:r w:rsidRPr="00531002">
        <w:rPr>
          <w:i/>
        </w:rPr>
        <w:t>P</w:t>
      </w:r>
      <w:r w:rsidRPr="00531002">
        <w:rPr>
          <w:i/>
          <w:vertAlign w:val="subscript"/>
        </w:rPr>
        <w:t>rx_I</w:t>
      </w:r>
      <w:r>
        <w:t>.</w:t>
      </w:r>
    </w:p>
  </w:footnote>
  <w:footnote w:id="6">
    <w:p w14:paraId="0B5F011C" w14:textId="176A663E" w:rsidR="002E233D" w:rsidRDefault="002E233D" w:rsidP="00A36615">
      <w:pPr>
        <w:pStyle w:val="FootnoteText"/>
        <w:spacing w:after="0"/>
      </w:pPr>
      <w:r>
        <w:rPr>
          <w:rStyle w:val="FootnoteReference"/>
        </w:rPr>
        <w:footnoteRef/>
      </w:r>
      <w:r>
        <w:t xml:space="preserve"> As in force from time to time. </w:t>
      </w:r>
    </w:p>
  </w:footnote>
  <w:footnote w:id="7">
    <w:p w14:paraId="401D4798" w14:textId="2A63ACCA" w:rsidR="002E233D" w:rsidRDefault="002E233D" w:rsidP="00A36615">
      <w:pPr>
        <w:pStyle w:val="FootnoteText"/>
        <w:spacing w:after="0"/>
      </w:pPr>
      <w:r>
        <w:rPr>
          <w:rStyle w:val="FootnoteReference"/>
        </w:rPr>
        <w:footnoteRef/>
      </w:r>
      <w:r>
        <w:t xml:space="preserve"> RALI MS 43 Coordination procedures between New Norcia Earth Station and other services. </w:t>
      </w:r>
    </w:p>
  </w:footnote>
  <w:footnote w:id="8">
    <w:p w14:paraId="41D060D3" w14:textId="313919AB" w:rsidR="002E233D" w:rsidRDefault="002E233D" w:rsidP="007623DE">
      <w:pPr>
        <w:pStyle w:val="FootnoteText"/>
        <w:spacing w:after="0" w:line="240" w:lineRule="auto"/>
      </w:pPr>
      <w:r>
        <w:rPr>
          <w:rStyle w:val="FootnoteReference"/>
        </w:rPr>
        <w:footnoteRef/>
      </w:r>
      <w:r>
        <w:t xml:space="preserve"> NSMA (USA) Working Group 16, refer to </w:t>
      </w:r>
      <w:hyperlink r:id="rId1" w:history="1">
        <w:r w:rsidRPr="006318CF">
          <w:rPr>
            <w:rStyle w:val="Hyperlink"/>
          </w:rPr>
          <w:t>http://www.nsma.org</w:t>
        </w:r>
      </w:hyperlink>
      <w:r>
        <w:t xml:space="preserve">. </w:t>
      </w:r>
    </w:p>
  </w:footnote>
  <w:footnote w:id="9">
    <w:p w14:paraId="7633EA23" w14:textId="77777777" w:rsidR="002E233D" w:rsidRPr="0089549A" w:rsidRDefault="002E233D" w:rsidP="00A84DFD">
      <w:pPr>
        <w:pStyle w:val="FootnoteText"/>
        <w:spacing w:after="0"/>
      </w:pPr>
      <w:r w:rsidRPr="009E1611">
        <w:rPr>
          <w:rStyle w:val="FootnoteReference"/>
        </w:rPr>
        <w:footnoteRef/>
      </w:r>
      <w:r w:rsidRPr="009E1611">
        <w:t xml:space="preserve"> From the designated areas in </w:t>
      </w:r>
      <w:r w:rsidRPr="009E1611">
        <w:rPr>
          <w:i/>
        </w:rPr>
        <w:t>Radiocommunications (Spectrum Re-allocation) Declaration 2000</w:t>
      </w:r>
      <w:r w:rsidRPr="009E1611">
        <w:t xml:space="preserve"> (3.4</w:t>
      </w:r>
      <w:r>
        <w:t xml:space="preserve"> GHz</w:t>
      </w:r>
      <w:r w:rsidRPr="009E1611">
        <w:t xml:space="preserve"> band) and </w:t>
      </w:r>
      <w:r w:rsidRPr="009E1611">
        <w:rPr>
          <w:i/>
        </w:rPr>
        <w:t>Radiocommunications (Spectrum Re-allocation) Declaration No. 2 of 2000</w:t>
      </w:r>
      <w:r w:rsidRPr="009E1611">
        <w:t xml:space="preserve"> (2 GHz bands).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7A230" w14:textId="77777777" w:rsidR="002E233D" w:rsidRDefault="002E233D" w:rsidP="00A07457">
    <w:pPr>
      <w:pStyle w:val="Header"/>
      <w:tabs>
        <w:tab w:val="left" w:pos="1560"/>
      </w:tabs>
    </w:pPr>
    <w:r w:rsidRPr="0049305D">
      <w:rPr>
        <w:noProof/>
      </w:rPr>
      <w:drawing>
        <wp:anchor distT="0" distB="0" distL="114300" distR="114300" simplePos="0" relativeHeight="251658240" behindDoc="1" locked="0" layoutInCell="1" allowOverlap="1" wp14:anchorId="1565F16B" wp14:editId="02EB5185">
          <wp:simplePos x="0" y="0"/>
          <wp:positionH relativeFrom="page">
            <wp:align>right</wp:align>
          </wp:positionH>
          <wp:positionV relativeFrom="paragraph">
            <wp:posOffset>-10160</wp:posOffset>
          </wp:positionV>
          <wp:extent cx="7556500" cy="647700"/>
          <wp:effectExtent l="0" t="0" r="0" b="0"/>
          <wp:wrapNone/>
          <wp:docPr id="2" name="Picture 2"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77F551C" w14:textId="77777777" w:rsidR="002E233D" w:rsidRDefault="002E2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07505" w14:textId="7A215FF5" w:rsidR="002E233D" w:rsidRDefault="002E2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1542718"/>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13EE495C"/>
    <w:multiLevelType w:val="hybridMultilevel"/>
    <w:tmpl w:val="1D8498B0"/>
    <w:lvl w:ilvl="0" w:tplc="A332420E">
      <w:start w:val="1"/>
      <w:numFmt w:val="lowerLetter"/>
      <w:pStyle w:val="ACMAletteredlist"/>
      <w:lvlText w:val="%1."/>
      <w:lvlJc w:val="left"/>
      <w:pPr>
        <w:tabs>
          <w:tab w:val="num" w:pos="360"/>
        </w:tabs>
        <w:ind w:left="360" w:hanging="360"/>
      </w:pPr>
      <w:rPr>
        <w:rFonts w:cs="Times New Roman"/>
      </w:rPr>
    </w:lvl>
    <w:lvl w:ilvl="1" w:tplc="8EDAE56E">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58257ED"/>
    <w:multiLevelType w:val="hybridMultilevel"/>
    <w:tmpl w:val="21423AF0"/>
    <w:lvl w:ilvl="0" w:tplc="0C090001">
      <w:start w:val="1"/>
      <w:numFmt w:val="bullet"/>
      <w:lvlText w:val=""/>
      <w:lvlJc w:val="left"/>
      <w:pPr>
        <w:ind w:left="1860" w:hanging="360"/>
      </w:pPr>
      <w:rPr>
        <w:rFonts w:ascii="Symbol" w:hAnsi="Symbol" w:hint="default"/>
      </w:rPr>
    </w:lvl>
    <w:lvl w:ilvl="1" w:tplc="0C090003" w:tentative="1">
      <w:start w:val="1"/>
      <w:numFmt w:val="bullet"/>
      <w:lvlText w:val="o"/>
      <w:lvlJc w:val="left"/>
      <w:pPr>
        <w:ind w:left="2580" w:hanging="360"/>
      </w:pPr>
      <w:rPr>
        <w:rFonts w:ascii="Courier New" w:hAnsi="Courier New" w:cs="Courier New" w:hint="default"/>
      </w:rPr>
    </w:lvl>
    <w:lvl w:ilvl="2" w:tplc="0C090005" w:tentative="1">
      <w:start w:val="1"/>
      <w:numFmt w:val="bullet"/>
      <w:lvlText w:val=""/>
      <w:lvlJc w:val="left"/>
      <w:pPr>
        <w:ind w:left="3300" w:hanging="360"/>
      </w:pPr>
      <w:rPr>
        <w:rFonts w:ascii="Wingdings" w:hAnsi="Wingdings" w:hint="default"/>
      </w:rPr>
    </w:lvl>
    <w:lvl w:ilvl="3" w:tplc="0C090001" w:tentative="1">
      <w:start w:val="1"/>
      <w:numFmt w:val="bullet"/>
      <w:lvlText w:val=""/>
      <w:lvlJc w:val="left"/>
      <w:pPr>
        <w:ind w:left="4020" w:hanging="360"/>
      </w:pPr>
      <w:rPr>
        <w:rFonts w:ascii="Symbol" w:hAnsi="Symbol" w:hint="default"/>
      </w:rPr>
    </w:lvl>
    <w:lvl w:ilvl="4" w:tplc="0C090003" w:tentative="1">
      <w:start w:val="1"/>
      <w:numFmt w:val="bullet"/>
      <w:lvlText w:val="o"/>
      <w:lvlJc w:val="left"/>
      <w:pPr>
        <w:ind w:left="4740" w:hanging="360"/>
      </w:pPr>
      <w:rPr>
        <w:rFonts w:ascii="Courier New" w:hAnsi="Courier New" w:cs="Courier New" w:hint="default"/>
      </w:rPr>
    </w:lvl>
    <w:lvl w:ilvl="5" w:tplc="0C090005" w:tentative="1">
      <w:start w:val="1"/>
      <w:numFmt w:val="bullet"/>
      <w:lvlText w:val=""/>
      <w:lvlJc w:val="left"/>
      <w:pPr>
        <w:ind w:left="5460" w:hanging="360"/>
      </w:pPr>
      <w:rPr>
        <w:rFonts w:ascii="Wingdings" w:hAnsi="Wingdings" w:hint="default"/>
      </w:rPr>
    </w:lvl>
    <w:lvl w:ilvl="6" w:tplc="0C090001" w:tentative="1">
      <w:start w:val="1"/>
      <w:numFmt w:val="bullet"/>
      <w:lvlText w:val=""/>
      <w:lvlJc w:val="left"/>
      <w:pPr>
        <w:ind w:left="6180" w:hanging="360"/>
      </w:pPr>
      <w:rPr>
        <w:rFonts w:ascii="Symbol" w:hAnsi="Symbol" w:hint="default"/>
      </w:rPr>
    </w:lvl>
    <w:lvl w:ilvl="7" w:tplc="0C090003" w:tentative="1">
      <w:start w:val="1"/>
      <w:numFmt w:val="bullet"/>
      <w:lvlText w:val="o"/>
      <w:lvlJc w:val="left"/>
      <w:pPr>
        <w:ind w:left="6900" w:hanging="360"/>
      </w:pPr>
      <w:rPr>
        <w:rFonts w:ascii="Courier New" w:hAnsi="Courier New" w:cs="Courier New" w:hint="default"/>
      </w:rPr>
    </w:lvl>
    <w:lvl w:ilvl="8" w:tplc="0C090005" w:tentative="1">
      <w:start w:val="1"/>
      <w:numFmt w:val="bullet"/>
      <w:lvlText w:val=""/>
      <w:lvlJc w:val="left"/>
      <w:pPr>
        <w:ind w:left="7620" w:hanging="360"/>
      </w:pPr>
      <w:rPr>
        <w:rFonts w:ascii="Wingdings" w:hAnsi="Wingdings" w:hint="default"/>
      </w:rPr>
    </w:lvl>
  </w:abstractNum>
  <w:abstractNum w:abstractNumId="7" w15:restartNumberingAfterBreak="0">
    <w:nsid w:val="16BB2C53"/>
    <w:multiLevelType w:val="hybridMultilevel"/>
    <w:tmpl w:val="405A5006"/>
    <w:lvl w:ilvl="0" w:tplc="E75E7D02">
      <w:start w:val="1"/>
      <w:numFmt w:val="decimal"/>
      <w:lvlText w:val="2.%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88F6C7B"/>
    <w:multiLevelType w:val="hybridMultilevel"/>
    <w:tmpl w:val="D6785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1B915F4"/>
    <w:multiLevelType w:val="multilevel"/>
    <w:tmpl w:val="795891DC"/>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31" w:hanging="431"/>
      </w:pPr>
      <w:rPr>
        <w:rFonts w:hint="default"/>
      </w:rPr>
    </w:lvl>
    <w:lvl w:ilvl="2">
      <w:start w:val="1"/>
      <w:numFmt w:val="decimal"/>
      <w:pStyle w:val="Heading3"/>
      <w:lvlText w:val="%1.%2.%3"/>
      <w:lvlJc w:val="left"/>
      <w:pPr>
        <w:ind w:left="431" w:hanging="431"/>
      </w:pPr>
      <w:rPr>
        <w:rFonts w:hint="default"/>
      </w:rPr>
    </w:lvl>
    <w:lvl w:ilvl="3">
      <w:start w:val="1"/>
      <w:numFmt w:val="decimal"/>
      <w:pStyle w:val="Heading4"/>
      <w:lvlText w:val="%1.%2.%3.%4"/>
      <w:lvlJc w:val="left"/>
      <w:pPr>
        <w:ind w:left="431" w:hanging="431"/>
      </w:pPr>
      <w:rPr>
        <w:rFonts w:hint="default"/>
      </w:rPr>
    </w:lvl>
    <w:lvl w:ilvl="4">
      <w:start w:val="1"/>
      <w:numFmt w:val="decimal"/>
      <w:pStyle w:val="Heading5"/>
      <w:lvlText w:val="%1.%2.%3.%4"/>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1" w15:restartNumberingAfterBreak="0">
    <w:nsid w:val="49F63382"/>
    <w:multiLevelType w:val="hybridMultilevel"/>
    <w:tmpl w:val="A1AE3E0C"/>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E57C2A"/>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B6034"/>
    <w:multiLevelType w:val="hybridMultilevel"/>
    <w:tmpl w:val="06A8C4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A5D699D"/>
    <w:multiLevelType w:val="hybridMultilevel"/>
    <w:tmpl w:val="117E7A86"/>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6" w15:restartNumberingAfterBreak="0">
    <w:nsid w:val="61DC0FAC"/>
    <w:multiLevelType w:val="hybridMultilevel"/>
    <w:tmpl w:val="E43086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3A1385"/>
    <w:multiLevelType w:val="hybridMultilevel"/>
    <w:tmpl w:val="F306BCFE"/>
    <w:lvl w:ilvl="0" w:tplc="DC76228C">
      <w:start w:val="1"/>
      <w:numFmt w:val="bullet"/>
      <w:lvlText w:val="&gt;"/>
      <w:lvlJc w:val="left"/>
      <w:pPr>
        <w:ind w:left="360" w:hanging="360"/>
      </w:pPr>
      <w:rPr>
        <w:rFonts w:ascii="Arial" w:hAnsi="Aria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1" w15:restartNumberingAfterBreak="0">
    <w:nsid w:val="77DA4B02"/>
    <w:multiLevelType w:val="hybridMultilevel"/>
    <w:tmpl w:val="9A321C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18"/>
  </w:num>
  <w:num w:numId="6">
    <w:abstractNumId w:val="13"/>
  </w:num>
  <w:num w:numId="7">
    <w:abstractNumId w:val="17"/>
  </w:num>
  <w:num w:numId="8">
    <w:abstractNumId w:val="19"/>
  </w:num>
  <w:num w:numId="9">
    <w:abstractNumId w:val="9"/>
  </w:num>
  <w:num w:numId="10">
    <w:abstractNumId w:val="7"/>
  </w:num>
  <w:num w:numId="11">
    <w:abstractNumId w:val="20"/>
  </w:num>
  <w:num w:numId="12">
    <w:abstractNumId w:val="10"/>
  </w:num>
  <w:num w:numId="13">
    <w:abstractNumId w:val="14"/>
  </w:num>
  <w:num w:numId="14">
    <w:abstractNumId w:val="10"/>
  </w:num>
  <w:num w:numId="15">
    <w:abstractNumId w:val="10"/>
  </w:num>
  <w:num w:numId="16">
    <w:abstractNumId w:val="10"/>
  </w:num>
  <w:num w:numId="17">
    <w:abstractNumId w:val="10"/>
  </w:num>
  <w:num w:numId="18">
    <w:abstractNumId w:val="4"/>
  </w:num>
  <w:num w:numId="19">
    <w:abstractNumId w:val="4"/>
  </w:num>
  <w:num w:numId="20">
    <w:abstractNumId w:val="10"/>
  </w:num>
  <w:num w:numId="21">
    <w:abstractNumId w:val="12"/>
  </w:num>
  <w:num w:numId="22">
    <w:abstractNumId w:val="5"/>
  </w:num>
  <w:num w:numId="23">
    <w:abstractNumId w:val="6"/>
  </w:num>
  <w:num w:numId="24">
    <w:abstractNumId w:val="10"/>
  </w:num>
  <w:num w:numId="25">
    <w:abstractNumId w:val="10"/>
  </w:num>
  <w:num w:numId="26">
    <w:abstractNumId w:val="10"/>
  </w:num>
  <w:num w:numId="27">
    <w:abstractNumId w:val="10"/>
  </w:num>
  <w:num w:numId="28">
    <w:abstractNumId w:val="4"/>
  </w:num>
  <w:num w:numId="29">
    <w:abstractNumId w:val="4"/>
  </w:num>
  <w:num w:numId="30">
    <w:abstractNumId w:val="10"/>
  </w:num>
  <w:num w:numId="31">
    <w:abstractNumId w:val="10"/>
  </w:num>
  <w:num w:numId="32">
    <w:abstractNumId w:val="0"/>
  </w:num>
  <w:num w:numId="33">
    <w:abstractNumId w:val="10"/>
  </w:num>
  <w:num w:numId="34">
    <w:abstractNumId w:val="8"/>
  </w:num>
  <w:num w:numId="35">
    <w:abstractNumId w:val="15"/>
  </w:num>
  <w:num w:numId="36">
    <w:abstractNumId w:val="10"/>
  </w:num>
  <w:num w:numId="37">
    <w:abstractNumId w:val="10"/>
  </w:num>
  <w:num w:numId="38">
    <w:abstractNumId w:val="10"/>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6"/>
  </w:num>
  <w:num w:numId="42">
    <w:abstractNumId w:val="21"/>
  </w:num>
  <w:num w:numId="43">
    <w:abstractNumId w:val="11"/>
  </w:num>
  <w:num w:numId="44">
    <w:abstractNumId w:val="10"/>
  </w:num>
  <w:num w:numId="45">
    <w:abstractNumId w:val="10"/>
  </w:num>
  <w:num w:numId="46">
    <w:abstractNumId w:val="10"/>
  </w:num>
  <w:num w:numId="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BF"/>
    <w:rsid w:val="00007EFC"/>
    <w:rsid w:val="00010667"/>
    <w:rsid w:val="000129D5"/>
    <w:rsid w:val="00015AE7"/>
    <w:rsid w:val="00015C3F"/>
    <w:rsid w:val="00016E21"/>
    <w:rsid w:val="0001719C"/>
    <w:rsid w:val="0002224E"/>
    <w:rsid w:val="00023D84"/>
    <w:rsid w:val="000245E5"/>
    <w:rsid w:val="00026F91"/>
    <w:rsid w:val="00031ED9"/>
    <w:rsid w:val="0004494C"/>
    <w:rsid w:val="0004764C"/>
    <w:rsid w:val="0005011A"/>
    <w:rsid w:val="0005045A"/>
    <w:rsid w:val="00051C1E"/>
    <w:rsid w:val="00053882"/>
    <w:rsid w:val="00053970"/>
    <w:rsid w:val="000539F9"/>
    <w:rsid w:val="00054C27"/>
    <w:rsid w:val="00055EC3"/>
    <w:rsid w:val="000563CE"/>
    <w:rsid w:val="00057041"/>
    <w:rsid w:val="000572FE"/>
    <w:rsid w:val="00063A18"/>
    <w:rsid w:val="000659B6"/>
    <w:rsid w:val="0006686F"/>
    <w:rsid w:val="0006722A"/>
    <w:rsid w:val="00072B02"/>
    <w:rsid w:val="000732CF"/>
    <w:rsid w:val="00075B96"/>
    <w:rsid w:val="0008196A"/>
    <w:rsid w:val="00085DF5"/>
    <w:rsid w:val="000915ED"/>
    <w:rsid w:val="0009209D"/>
    <w:rsid w:val="000930AE"/>
    <w:rsid w:val="000969BD"/>
    <w:rsid w:val="000969BF"/>
    <w:rsid w:val="00097D72"/>
    <w:rsid w:val="000A0C22"/>
    <w:rsid w:val="000A1400"/>
    <w:rsid w:val="000A3C43"/>
    <w:rsid w:val="000A4A51"/>
    <w:rsid w:val="000A5D2B"/>
    <w:rsid w:val="000A7C15"/>
    <w:rsid w:val="000B2746"/>
    <w:rsid w:val="000B27C0"/>
    <w:rsid w:val="000B418E"/>
    <w:rsid w:val="000B5DE3"/>
    <w:rsid w:val="000B652B"/>
    <w:rsid w:val="000C0A57"/>
    <w:rsid w:val="000C1A48"/>
    <w:rsid w:val="000C230C"/>
    <w:rsid w:val="000C6AB4"/>
    <w:rsid w:val="000D5895"/>
    <w:rsid w:val="000D71D9"/>
    <w:rsid w:val="000D76E0"/>
    <w:rsid w:val="000D7E8B"/>
    <w:rsid w:val="000E4449"/>
    <w:rsid w:val="000E545C"/>
    <w:rsid w:val="000E5D93"/>
    <w:rsid w:val="000E6097"/>
    <w:rsid w:val="00103829"/>
    <w:rsid w:val="00107A01"/>
    <w:rsid w:val="00111FCE"/>
    <w:rsid w:val="00116ED4"/>
    <w:rsid w:val="001229A5"/>
    <w:rsid w:val="0012489B"/>
    <w:rsid w:val="00130017"/>
    <w:rsid w:val="00130F91"/>
    <w:rsid w:val="00132ED8"/>
    <w:rsid w:val="001349ED"/>
    <w:rsid w:val="00137424"/>
    <w:rsid w:val="00140318"/>
    <w:rsid w:val="001405BF"/>
    <w:rsid w:val="00141AD9"/>
    <w:rsid w:val="00146CE6"/>
    <w:rsid w:val="00152903"/>
    <w:rsid w:val="00153FD5"/>
    <w:rsid w:val="0015614F"/>
    <w:rsid w:val="001577C2"/>
    <w:rsid w:val="001633C4"/>
    <w:rsid w:val="00165C8B"/>
    <w:rsid w:val="001704D5"/>
    <w:rsid w:val="00171591"/>
    <w:rsid w:val="00173981"/>
    <w:rsid w:val="001760C5"/>
    <w:rsid w:val="00176D28"/>
    <w:rsid w:val="0017719D"/>
    <w:rsid w:val="00183FD7"/>
    <w:rsid w:val="00185CAB"/>
    <w:rsid w:val="001875B7"/>
    <w:rsid w:val="00187CB3"/>
    <w:rsid w:val="0019050A"/>
    <w:rsid w:val="001910D4"/>
    <w:rsid w:val="001936C2"/>
    <w:rsid w:val="00194B30"/>
    <w:rsid w:val="001975AF"/>
    <w:rsid w:val="001976E3"/>
    <w:rsid w:val="00197A33"/>
    <w:rsid w:val="001A44EC"/>
    <w:rsid w:val="001B58AA"/>
    <w:rsid w:val="001B7E48"/>
    <w:rsid w:val="001C17CE"/>
    <w:rsid w:val="001C36CA"/>
    <w:rsid w:val="001C44D1"/>
    <w:rsid w:val="001C6AEE"/>
    <w:rsid w:val="001C7630"/>
    <w:rsid w:val="001D5C27"/>
    <w:rsid w:val="001D6D15"/>
    <w:rsid w:val="001D77A5"/>
    <w:rsid w:val="001E3729"/>
    <w:rsid w:val="001E6386"/>
    <w:rsid w:val="001F0E76"/>
    <w:rsid w:val="001F2E82"/>
    <w:rsid w:val="001F352E"/>
    <w:rsid w:val="001F7558"/>
    <w:rsid w:val="00201903"/>
    <w:rsid w:val="0020356F"/>
    <w:rsid w:val="00205B57"/>
    <w:rsid w:val="00207455"/>
    <w:rsid w:val="0021287F"/>
    <w:rsid w:val="002141E9"/>
    <w:rsid w:val="002157E0"/>
    <w:rsid w:val="002169E9"/>
    <w:rsid w:val="00216A57"/>
    <w:rsid w:val="0022334F"/>
    <w:rsid w:val="002264D7"/>
    <w:rsid w:val="00226819"/>
    <w:rsid w:val="00233101"/>
    <w:rsid w:val="00233817"/>
    <w:rsid w:val="002367FF"/>
    <w:rsid w:val="00240CE9"/>
    <w:rsid w:val="00241406"/>
    <w:rsid w:val="002434BA"/>
    <w:rsid w:val="00246089"/>
    <w:rsid w:val="00246093"/>
    <w:rsid w:val="00246702"/>
    <w:rsid w:val="00247C59"/>
    <w:rsid w:val="00247F2E"/>
    <w:rsid w:val="00250ADC"/>
    <w:rsid w:val="00250B07"/>
    <w:rsid w:val="00254146"/>
    <w:rsid w:val="00257553"/>
    <w:rsid w:val="00260FB2"/>
    <w:rsid w:val="0026197A"/>
    <w:rsid w:val="00262128"/>
    <w:rsid w:val="0027165D"/>
    <w:rsid w:val="00273CEB"/>
    <w:rsid w:val="00281C89"/>
    <w:rsid w:val="0028282F"/>
    <w:rsid w:val="00283975"/>
    <w:rsid w:val="00286B5E"/>
    <w:rsid w:val="0028717C"/>
    <w:rsid w:val="0029593B"/>
    <w:rsid w:val="00297FC5"/>
    <w:rsid w:val="002A0417"/>
    <w:rsid w:val="002A16D8"/>
    <w:rsid w:val="002A1BC8"/>
    <w:rsid w:val="002A32DD"/>
    <w:rsid w:val="002A3322"/>
    <w:rsid w:val="002A3EF2"/>
    <w:rsid w:val="002A79AD"/>
    <w:rsid w:val="002B0DED"/>
    <w:rsid w:val="002B19A2"/>
    <w:rsid w:val="002B1B05"/>
    <w:rsid w:val="002B32B1"/>
    <w:rsid w:val="002B381A"/>
    <w:rsid w:val="002B4228"/>
    <w:rsid w:val="002B4FCC"/>
    <w:rsid w:val="002B6EA8"/>
    <w:rsid w:val="002B7408"/>
    <w:rsid w:val="002B742B"/>
    <w:rsid w:val="002B7CFD"/>
    <w:rsid w:val="002C1B55"/>
    <w:rsid w:val="002C210F"/>
    <w:rsid w:val="002C2367"/>
    <w:rsid w:val="002D34CD"/>
    <w:rsid w:val="002D3600"/>
    <w:rsid w:val="002D3AC5"/>
    <w:rsid w:val="002D6EDE"/>
    <w:rsid w:val="002D7F52"/>
    <w:rsid w:val="002E233D"/>
    <w:rsid w:val="002E4DDC"/>
    <w:rsid w:val="002E5BBB"/>
    <w:rsid w:val="002E6D36"/>
    <w:rsid w:val="002F45ED"/>
    <w:rsid w:val="00302480"/>
    <w:rsid w:val="003165E6"/>
    <w:rsid w:val="00317CE5"/>
    <w:rsid w:val="003215B5"/>
    <w:rsid w:val="003221CF"/>
    <w:rsid w:val="0032332E"/>
    <w:rsid w:val="003233ED"/>
    <w:rsid w:val="00324D9F"/>
    <w:rsid w:val="00324E12"/>
    <w:rsid w:val="00327948"/>
    <w:rsid w:val="0033000F"/>
    <w:rsid w:val="00330733"/>
    <w:rsid w:val="00332011"/>
    <w:rsid w:val="00332518"/>
    <w:rsid w:val="00332925"/>
    <w:rsid w:val="003332ED"/>
    <w:rsid w:val="00335BCC"/>
    <w:rsid w:val="003368DC"/>
    <w:rsid w:val="00345927"/>
    <w:rsid w:val="00350584"/>
    <w:rsid w:val="00351857"/>
    <w:rsid w:val="003545E8"/>
    <w:rsid w:val="00357270"/>
    <w:rsid w:val="003572C9"/>
    <w:rsid w:val="003610E1"/>
    <w:rsid w:val="003617C8"/>
    <w:rsid w:val="00365CB7"/>
    <w:rsid w:val="00366071"/>
    <w:rsid w:val="003666AD"/>
    <w:rsid w:val="003671BE"/>
    <w:rsid w:val="00371C83"/>
    <w:rsid w:val="00372485"/>
    <w:rsid w:val="00373200"/>
    <w:rsid w:val="00375EF5"/>
    <w:rsid w:val="003767A5"/>
    <w:rsid w:val="00381D15"/>
    <w:rsid w:val="00385254"/>
    <w:rsid w:val="003A04DB"/>
    <w:rsid w:val="003A5F5B"/>
    <w:rsid w:val="003A789A"/>
    <w:rsid w:val="003B12EC"/>
    <w:rsid w:val="003B18C1"/>
    <w:rsid w:val="003C17FF"/>
    <w:rsid w:val="003C39BE"/>
    <w:rsid w:val="003C646D"/>
    <w:rsid w:val="003C77E0"/>
    <w:rsid w:val="003D17D7"/>
    <w:rsid w:val="003D2678"/>
    <w:rsid w:val="003D61E6"/>
    <w:rsid w:val="003D71A3"/>
    <w:rsid w:val="003E2B8A"/>
    <w:rsid w:val="003F10EE"/>
    <w:rsid w:val="003F16F6"/>
    <w:rsid w:val="003F2D09"/>
    <w:rsid w:val="003F4DC7"/>
    <w:rsid w:val="003F5235"/>
    <w:rsid w:val="003F53CF"/>
    <w:rsid w:val="00400A67"/>
    <w:rsid w:val="004027E4"/>
    <w:rsid w:val="0040306E"/>
    <w:rsid w:val="0041071D"/>
    <w:rsid w:val="0041423B"/>
    <w:rsid w:val="00414AFC"/>
    <w:rsid w:val="004151A7"/>
    <w:rsid w:val="00415310"/>
    <w:rsid w:val="0041773B"/>
    <w:rsid w:val="00420CAF"/>
    <w:rsid w:val="00421709"/>
    <w:rsid w:val="00423763"/>
    <w:rsid w:val="0042762F"/>
    <w:rsid w:val="00427829"/>
    <w:rsid w:val="00427DC7"/>
    <w:rsid w:val="00431613"/>
    <w:rsid w:val="00431792"/>
    <w:rsid w:val="0043297A"/>
    <w:rsid w:val="00432EB2"/>
    <w:rsid w:val="00436F2B"/>
    <w:rsid w:val="0043714F"/>
    <w:rsid w:val="00442F15"/>
    <w:rsid w:val="004438B5"/>
    <w:rsid w:val="00447037"/>
    <w:rsid w:val="0045124D"/>
    <w:rsid w:val="00452F8B"/>
    <w:rsid w:val="00454596"/>
    <w:rsid w:val="00454DBF"/>
    <w:rsid w:val="0045605D"/>
    <w:rsid w:val="0046135B"/>
    <w:rsid w:val="00461D47"/>
    <w:rsid w:val="0046423A"/>
    <w:rsid w:val="0047066D"/>
    <w:rsid w:val="004718CC"/>
    <w:rsid w:val="0048042F"/>
    <w:rsid w:val="00481695"/>
    <w:rsid w:val="00484CC8"/>
    <w:rsid w:val="004906A9"/>
    <w:rsid w:val="00490FF6"/>
    <w:rsid w:val="0049129A"/>
    <w:rsid w:val="00491C32"/>
    <w:rsid w:val="00495A63"/>
    <w:rsid w:val="00495A96"/>
    <w:rsid w:val="00495BB3"/>
    <w:rsid w:val="004A084D"/>
    <w:rsid w:val="004A13A7"/>
    <w:rsid w:val="004A56BB"/>
    <w:rsid w:val="004B1751"/>
    <w:rsid w:val="004C0253"/>
    <w:rsid w:val="004D56FF"/>
    <w:rsid w:val="004E012E"/>
    <w:rsid w:val="004E39D3"/>
    <w:rsid w:val="004E508A"/>
    <w:rsid w:val="004E616D"/>
    <w:rsid w:val="004E6836"/>
    <w:rsid w:val="004F1BDE"/>
    <w:rsid w:val="004F2CEE"/>
    <w:rsid w:val="004F2FE3"/>
    <w:rsid w:val="004F556E"/>
    <w:rsid w:val="004F591C"/>
    <w:rsid w:val="004F7F44"/>
    <w:rsid w:val="00501FDF"/>
    <w:rsid w:val="005037B4"/>
    <w:rsid w:val="005046EB"/>
    <w:rsid w:val="005079BF"/>
    <w:rsid w:val="0051269A"/>
    <w:rsid w:val="00514068"/>
    <w:rsid w:val="005169D0"/>
    <w:rsid w:val="005219E7"/>
    <w:rsid w:val="00530EA4"/>
    <w:rsid w:val="00531B9A"/>
    <w:rsid w:val="00531D15"/>
    <w:rsid w:val="00533FD4"/>
    <w:rsid w:val="00537604"/>
    <w:rsid w:val="00542377"/>
    <w:rsid w:val="0054568E"/>
    <w:rsid w:val="005476EB"/>
    <w:rsid w:val="00551782"/>
    <w:rsid w:val="00551D8E"/>
    <w:rsid w:val="00556BE4"/>
    <w:rsid w:val="0056303C"/>
    <w:rsid w:val="00563EF1"/>
    <w:rsid w:val="00566AB4"/>
    <w:rsid w:val="00566F84"/>
    <w:rsid w:val="00575AC5"/>
    <w:rsid w:val="0057605D"/>
    <w:rsid w:val="00581347"/>
    <w:rsid w:val="00581AC9"/>
    <w:rsid w:val="005849F8"/>
    <w:rsid w:val="0058621A"/>
    <w:rsid w:val="005875E5"/>
    <w:rsid w:val="0059044B"/>
    <w:rsid w:val="005938DF"/>
    <w:rsid w:val="00594E9C"/>
    <w:rsid w:val="00595422"/>
    <w:rsid w:val="005A099B"/>
    <w:rsid w:val="005A2D9C"/>
    <w:rsid w:val="005A55FE"/>
    <w:rsid w:val="005A6A11"/>
    <w:rsid w:val="005C4F4F"/>
    <w:rsid w:val="005D0AE3"/>
    <w:rsid w:val="005D13D1"/>
    <w:rsid w:val="005D2502"/>
    <w:rsid w:val="005D40BB"/>
    <w:rsid w:val="005D47F3"/>
    <w:rsid w:val="005D49BF"/>
    <w:rsid w:val="005D4AA5"/>
    <w:rsid w:val="005D6F4E"/>
    <w:rsid w:val="005D7B1B"/>
    <w:rsid w:val="005D7C73"/>
    <w:rsid w:val="005E2683"/>
    <w:rsid w:val="005E3ACD"/>
    <w:rsid w:val="005E7226"/>
    <w:rsid w:val="005E7A57"/>
    <w:rsid w:val="005F0F28"/>
    <w:rsid w:val="005F24B0"/>
    <w:rsid w:val="00604315"/>
    <w:rsid w:val="00604E26"/>
    <w:rsid w:val="006052CF"/>
    <w:rsid w:val="006064C9"/>
    <w:rsid w:val="00607B8D"/>
    <w:rsid w:val="006115A3"/>
    <w:rsid w:val="00611F5C"/>
    <w:rsid w:val="00613290"/>
    <w:rsid w:val="00616E09"/>
    <w:rsid w:val="00622A3B"/>
    <w:rsid w:val="00622EEA"/>
    <w:rsid w:val="0062396C"/>
    <w:rsid w:val="00623FF9"/>
    <w:rsid w:val="00627D4E"/>
    <w:rsid w:val="00632B89"/>
    <w:rsid w:val="00634478"/>
    <w:rsid w:val="00644373"/>
    <w:rsid w:val="00645915"/>
    <w:rsid w:val="006519C3"/>
    <w:rsid w:val="00652B30"/>
    <w:rsid w:val="00656345"/>
    <w:rsid w:val="00656D0B"/>
    <w:rsid w:val="00656DC6"/>
    <w:rsid w:val="00660EC6"/>
    <w:rsid w:val="00664110"/>
    <w:rsid w:val="00664D17"/>
    <w:rsid w:val="00666520"/>
    <w:rsid w:val="006673A3"/>
    <w:rsid w:val="00667C5B"/>
    <w:rsid w:val="00667D65"/>
    <w:rsid w:val="00673DE1"/>
    <w:rsid w:val="00691EB8"/>
    <w:rsid w:val="00692CDE"/>
    <w:rsid w:val="00693073"/>
    <w:rsid w:val="006974D6"/>
    <w:rsid w:val="006977FF"/>
    <w:rsid w:val="006A01FA"/>
    <w:rsid w:val="006A0E9E"/>
    <w:rsid w:val="006A25C7"/>
    <w:rsid w:val="006A37A2"/>
    <w:rsid w:val="006A4AAD"/>
    <w:rsid w:val="006A6DA2"/>
    <w:rsid w:val="006A7AB2"/>
    <w:rsid w:val="006B5717"/>
    <w:rsid w:val="006B5774"/>
    <w:rsid w:val="006B582F"/>
    <w:rsid w:val="006B5EB2"/>
    <w:rsid w:val="006C0CEB"/>
    <w:rsid w:val="006C3B1E"/>
    <w:rsid w:val="006C47FD"/>
    <w:rsid w:val="006C5C19"/>
    <w:rsid w:val="006C70A0"/>
    <w:rsid w:val="006D27CB"/>
    <w:rsid w:val="006D2F08"/>
    <w:rsid w:val="006D576C"/>
    <w:rsid w:val="006D5865"/>
    <w:rsid w:val="006D7BC6"/>
    <w:rsid w:val="006E0553"/>
    <w:rsid w:val="006E3164"/>
    <w:rsid w:val="006E4694"/>
    <w:rsid w:val="006E4B1B"/>
    <w:rsid w:val="006E4F73"/>
    <w:rsid w:val="006E5445"/>
    <w:rsid w:val="006E5E61"/>
    <w:rsid w:val="006E7D93"/>
    <w:rsid w:val="006F0B64"/>
    <w:rsid w:val="006F6AC2"/>
    <w:rsid w:val="007011F6"/>
    <w:rsid w:val="00701ADF"/>
    <w:rsid w:val="007029A3"/>
    <w:rsid w:val="00705D45"/>
    <w:rsid w:val="00706E4E"/>
    <w:rsid w:val="0070791C"/>
    <w:rsid w:val="0071383C"/>
    <w:rsid w:val="007141A7"/>
    <w:rsid w:val="0071490B"/>
    <w:rsid w:val="00715722"/>
    <w:rsid w:val="00721032"/>
    <w:rsid w:val="007219D3"/>
    <w:rsid w:val="00721B55"/>
    <w:rsid w:val="00726CE4"/>
    <w:rsid w:val="00734143"/>
    <w:rsid w:val="0073602E"/>
    <w:rsid w:val="00737E47"/>
    <w:rsid w:val="00740EAC"/>
    <w:rsid w:val="00744956"/>
    <w:rsid w:val="00745A5C"/>
    <w:rsid w:val="0074605F"/>
    <w:rsid w:val="007474F6"/>
    <w:rsid w:val="00747E94"/>
    <w:rsid w:val="007509FB"/>
    <w:rsid w:val="007512AD"/>
    <w:rsid w:val="0075305C"/>
    <w:rsid w:val="00754C83"/>
    <w:rsid w:val="007623DE"/>
    <w:rsid w:val="00765DF8"/>
    <w:rsid w:val="00766749"/>
    <w:rsid w:val="007669ED"/>
    <w:rsid w:val="00767C1B"/>
    <w:rsid w:val="00767E79"/>
    <w:rsid w:val="007714A9"/>
    <w:rsid w:val="00774F88"/>
    <w:rsid w:val="00774FDB"/>
    <w:rsid w:val="00777BA2"/>
    <w:rsid w:val="00781408"/>
    <w:rsid w:val="00782E8C"/>
    <w:rsid w:val="00784F7F"/>
    <w:rsid w:val="00785E0F"/>
    <w:rsid w:val="00785EEE"/>
    <w:rsid w:val="007878BD"/>
    <w:rsid w:val="00796F25"/>
    <w:rsid w:val="007A2E98"/>
    <w:rsid w:val="007A3BA3"/>
    <w:rsid w:val="007A3F93"/>
    <w:rsid w:val="007A6CC0"/>
    <w:rsid w:val="007A7FEC"/>
    <w:rsid w:val="007B1499"/>
    <w:rsid w:val="007B1BBF"/>
    <w:rsid w:val="007B2960"/>
    <w:rsid w:val="007B355D"/>
    <w:rsid w:val="007B7980"/>
    <w:rsid w:val="007C0DEF"/>
    <w:rsid w:val="007C3F30"/>
    <w:rsid w:val="007C5D5A"/>
    <w:rsid w:val="007C607F"/>
    <w:rsid w:val="007C79DD"/>
    <w:rsid w:val="007D1A97"/>
    <w:rsid w:val="007D1D21"/>
    <w:rsid w:val="007D2CD6"/>
    <w:rsid w:val="007D3063"/>
    <w:rsid w:val="007D3CEB"/>
    <w:rsid w:val="007D3DD3"/>
    <w:rsid w:val="007D5AAB"/>
    <w:rsid w:val="007E7683"/>
    <w:rsid w:val="007F49FA"/>
    <w:rsid w:val="007F54C4"/>
    <w:rsid w:val="007F5F75"/>
    <w:rsid w:val="007F69B3"/>
    <w:rsid w:val="007F6E9A"/>
    <w:rsid w:val="008044D4"/>
    <w:rsid w:val="00806FBD"/>
    <w:rsid w:val="00810AB4"/>
    <w:rsid w:val="00813701"/>
    <w:rsid w:val="00817B56"/>
    <w:rsid w:val="00820252"/>
    <w:rsid w:val="00820A2C"/>
    <w:rsid w:val="00821A88"/>
    <w:rsid w:val="00822B3D"/>
    <w:rsid w:val="0082495D"/>
    <w:rsid w:val="00825F44"/>
    <w:rsid w:val="00831128"/>
    <w:rsid w:val="00831AC3"/>
    <w:rsid w:val="00835ED2"/>
    <w:rsid w:val="00836796"/>
    <w:rsid w:val="008408FF"/>
    <w:rsid w:val="00842CBD"/>
    <w:rsid w:val="00846FA6"/>
    <w:rsid w:val="00851646"/>
    <w:rsid w:val="00851F3F"/>
    <w:rsid w:val="00852585"/>
    <w:rsid w:val="00854282"/>
    <w:rsid w:val="00856EDC"/>
    <w:rsid w:val="008574C6"/>
    <w:rsid w:val="008623B5"/>
    <w:rsid w:val="0086402B"/>
    <w:rsid w:val="00864972"/>
    <w:rsid w:val="00870ABA"/>
    <w:rsid w:val="008710E1"/>
    <w:rsid w:val="008716E5"/>
    <w:rsid w:val="008801A8"/>
    <w:rsid w:val="00881625"/>
    <w:rsid w:val="00881CA9"/>
    <w:rsid w:val="00883628"/>
    <w:rsid w:val="00885544"/>
    <w:rsid w:val="0088634E"/>
    <w:rsid w:val="00893AB8"/>
    <w:rsid w:val="00895B8D"/>
    <w:rsid w:val="008972B6"/>
    <w:rsid w:val="00897518"/>
    <w:rsid w:val="008A04C8"/>
    <w:rsid w:val="008A0940"/>
    <w:rsid w:val="008A315D"/>
    <w:rsid w:val="008A33DB"/>
    <w:rsid w:val="008A6913"/>
    <w:rsid w:val="008B10EE"/>
    <w:rsid w:val="008B70F3"/>
    <w:rsid w:val="008B71C4"/>
    <w:rsid w:val="008B76DF"/>
    <w:rsid w:val="008C10F4"/>
    <w:rsid w:val="008C3D36"/>
    <w:rsid w:val="008C40D6"/>
    <w:rsid w:val="008C65F7"/>
    <w:rsid w:val="008C7AD1"/>
    <w:rsid w:val="008D6BD1"/>
    <w:rsid w:val="008D77CC"/>
    <w:rsid w:val="008E4636"/>
    <w:rsid w:val="008E4767"/>
    <w:rsid w:val="008E7A8C"/>
    <w:rsid w:val="008F7E36"/>
    <w:rsid w:val="00903285"/>
    <w:rsid w:val="00903F3B"/>
    <w:rsid w:val="00906F40"/>
    <w:rsid w:val="0090731E"/>
    <w:rsid w:val="0091594D"/>
    <w:rsid w:val="00915B1C"/>
    <w:rsid w:val="009174F3"/>
    <w:rsid w:val="0091797D"/>
    <w:rsid w:val="00923CBA"/>
    <w:rsid w:val="00923D7A"/>
    <w:rsid w:val="00926703"/>
    <w:rsid w:val="00927691"/>
    <w:rsid w:val="00927A5F"/>
    <w:rsid w:val="00930AEA"/>
    <w:rsid w:val="00935B63"/>
    <w:rsid w:val="0094078F"/>
    <w:rsid w:val="00940FA3"/>
    <w:rsid w:val="00941D1A"/>
    <w:rsid w:val="00941FB0"/>
    <w:rsid w:val="009426D4"/>
    <w:rsid w:val="00947DFF"/>
    <w:rsid w:val="00947F25"/>
    <w:rsid w:val="00950159"/>
    <w:rsid w:val="0095354A"/>
    <w:rsid w:val="00954909"/>
    <w:rsid w:val="0095490B"/>
    <w:rsid w:val="00957F49"/>
    <w:rsid w:val="00960A33"/>
    <w:rsid w:val="00971914"/>
    <w:rsid w:val="00974363"/>
    <w:rsid w:val="0098155C"/>
    <w:rsid w:val="00981898"/>
    <w:rsid w:val="00981DE3"/>
    <w:rsid w:val="009853CE"/>
    <w:rsid w:val="00985C3F"/>
    <w:rsid w:val="0099096D"/>
    <w:rsid w:val="00992EA4"/>
    <w:rsid w:val="0099577C"/>
    <w:rsid w:val="009A3949"/>
    <w:rsid w:val="009B2601"/>
    <w:rsid w:val="009B47DC"/>
    <w:rsid w:val="009B4C9A"/>
    <w:rsid w:val="009B4E9E"/>
    <w:rsid w:val="009B4F2F"/>
    <w:rsid w:val="009C1690"/>
    <w:rsid w:val="009C41ED"/>
    <w:rsid w:val="009C5F16"/>
    <w:rsid w:val="009C6881"/>
    <w:rsid w:val="009C7759"/>
    <w:rsid w:val="009D043D"/>
    <w:rsid w:val="009D07C8"/>
    <w:rsid w:val="009D69A5"/>
    <w:rsid w:val="009D6C71"/>
    <w:rsid w:val="009D74E2"/>
    <w:rsid w:val="009E0631"/>
    <w:rsid w:val="009E16D0"/>
    <w:rsid w:val="009E370A"/>
    <w:rsid w:val="009E38FD"/>
    <w:rsid w:val="009E6ED1"/>
    <w:rsid w:val="009F13D6"/>
    <w:rsid w:val="009F2309"/>
    <w:rsid w:val="009F4C6B"/>
    <w:rsid w:val="009F5B80"/>
    <w:rsid w:val="009F78A8"/>
    <w:rsid w:val="00A0240E"/>
    <w:rsid w:val="00A02AD6"/>
    <w:rsid w:val="00A046B8"/>
    <w:rsid w:val="00A07096"/>
    <w:rsid w:val="00A07318"/>
    <w:rsid w:val="00A07457"/>
    <w:rsid w:val="00A11370"/>
    <w:rsid w:val="00A220C5"/>
    <w:rsid w:val="00A224CE"/>
    <w:rsid w:val="00A22522"/>
    <w:rsid w:val="00A24AFD"/>
    <w:rsid w:val="00A24F5C"/>
    <w:rsid w:val="00A31BB9"/>
    <w:rsid w:val="00A32F96"/>
    <w:rsid w:val="00A3419B"/>
    <w:rsid w:val="00A35DB1"/>
    <w:rsid w:val="00A36615"/>
    <w:rsid w:val="00A40871"/>
    <w:rsid w:val="00A412AB"/>
    <w:rsid w:val="00A4193E"/>
    <w:rsid w:val="00A440E0"/>
    <w:rsid w:val="00A442EF"/>
    <w:rsid w:val="00A45138"/>
    <w:rsid w:val="00A46BF2"/>
    <w:rsid w:val="00A47355"/>
    <w:rsid w:val="00A47699"/>
    <w:rsid w:val="00A51D1A"/>
    <w:rsid w:val="00A5418D"/>
    <w:rsid w:val="00A5474E"/>
    <w:rsid w:val="00A57337"/>
    <w:rsid w:val="00A64234"/>
    <w:rsid w:val="00A64841"/>
    <w:rsid w:val="00A70ADF"/>
    <w:rsid w:val="00A71466"/>
    <w:rsid w:val="00A74B5E"/>
    <w:rsid w:val="00A771E3"/>
    <w:rsid w:val="00A81BED"/>
    <w:rsid w:val="00A81EC4"/>
    <w:rsid w:val="00A81F83"/>
    <w:rsid w:val="00A845F5"/>
    <w:rsid w:val="00A84DFD"/>
    <w:rsid w:val="00A909F0"/>
    <w:rsid w:val="00A967FD"/>
    <w:rsid w:val="00AA2DE5"/>
    <w:rsid w:val="00AA6A55"/>
    <w:rsid w:val="00AA79C3"/>
    <w:rsid w:val="00AB156C"/>
    <w:rsid w:val="00AB1912"/>
    <w:rsid w:val="00AB38B4"/>
    <w:rsid w:val="00AB44AE"/>
    <w:rsid w:val="00AB6814"/>
    <w:rsid w:val="00AB71CC"/>
    <w:rsid w:val="00AC04BA"/>
    <w:rsid w:val="00AC0E39"/>
    <w:rsid w:val="00AC3565"/>
    <w:rsid w:val="00AC3E00"/>
    <w:rsid w:val="00AC425F"/>
    <w:rsid w:val="00AC5485"/>
    <w:rsid w:val="00AD3082"/>
    <w:rsid w:val="00AD32B4"/>
    <w:rsid w:val="00AD4AD0"/>
    <w:rsid w:val="00AD5436"/>
    <w:rsid w:val="00AD60B8"/>
    <w:rsid w:val="00AD60CD"/>
    <w:rsid w:val="00AD6C8C"/>
    <w:rsid w:val="00AE091D"/>
    <w:rsid w:val="00AE3B60"/>
    <w:rsid w:val="00AE53A1"/>
    <w:rsid w:val="00AF06C8"/>
    <w:rsid w:val="00AF2484"/>
    <w:rsid w:val="00AF63E7"/>
    <w:rsid w:val="00AF6E17"/>
    <w:rsid w:val="00B0165D"/>
    <w:rsid w:val="00B01984"/>
    <w:rsid w:val="00B01B60"/>
    <w:rsid w:val="00B031F3"/>
    <w:rsid w:val="00B052A4"/>
    <w:rsid w:val="00B10CF5"/>
    <w:rsid w:val="00B125DE"/>
    <w:rsid w:val="00B13FDD"/>
    <w:rsid w:val="00B20A6B"/>
    <w:rsid w:val="00B22EB2"/>
    <w:rsid w:val="00B243EB"/>
    <w:rsid w:val="00B27442"/>
    <w:rsid w:val="00B31167"/>
    <w:rsid w:val="00B329D8"/>
    <w:rsid w:val="00B32BB9"/>
    <w:rsid w:val="00B33AE1"/>
    <w:rsid w:val="00B37C38"/>
    <w:rsid w:val="00B4288C"/>
    <w:rsid w:val="00B43262"/>
    <w:rsid w:val="00B44100"/>
    <w:rsid w:val="00B46CBA"/>
    <w:rsid w:val="00B46F94"/>
    <w:rsid w:val="00B50620"/>
    <w:rsid w:val="00B6003C"/>
    <w:rsid w:val="00B61F03"/>
    <w:rsid w:val="00B626E4"/>
    <w:rsid w:val="00B72F4A"/>
    <w:rsid w:val="00B7679D"/>
    <w:rsid w:val="00B83C27"/>
    <w:rsid w:val="00B84BC3"/>
    <w:rsid w:val="00B84BDD"/>
    <w:rsid w:val="00B85B64"/>
    <w:rsid w:val="00B92812"/>
    <w:rsid w:val="00B95DA7"/>
    <w:rsid w:val="00B9742A"/>
    <w:rsid w:val="00BA5250"/>
    <w:rsid w:val="00BA5A9D"/>
    <w:rsid w:val="00BB45A1"/>
    <w:rsid w:val="00BB58F3"/>
    <w:rsid w:val="00BB7686"/>
    <w:rsid w:val="00BC23F9"/>
    <w:rsid w:val="00BC3421"/>
    <w:rsid w:val="00BC40CC"/>
    <w:rsid w:val="00BC6887"/>
    <w:rsid w:val="00BC732C"/>
    <w:rsid w:val="00BD4B1B"/>
    <w:rsid w:val="00BD642F"/>
    <w:rsid w:val="00BE165F"/>
    <w:rsid w:val="00BE2580"/>
    <w:rsid w:val="00BE266D"/>
    <w:rsid w:val="00BE3938"/>
    <w:rsid w:val="00BE4C11"/>
    <w:rsid w:val="00BE71C0"/>
    <w:rsid w:val="00BF610C"/>
    <w:rsid w:val="00BF62F1"/>
    <w:rsid w:val="00C0060B"/>
    <w:rsid w:val="00C024C3"/>
    <w:rsid w:val="00C0277D"/>
    <w:rsid w:val="00C047BD"/>
    <w:rsid w:val="00C053A1"/>
    <w:rsid w:val="00C146F3"/>
    <w:rsid w:val="00C15678"/>
    <w:rsid w:val="00C16198"/>
    <w:rsid w:val="00C2083D"/>
    <w:rsid w:val="00C23E32"/>
    <w:rsid w:val="00C24A53"/>
    <w:rsid w:val="00C27B6A"/>
    <w:rsid w:val="00C333A0"/>
    <w:rsid w:val="00C34A05"/>
    <w:rsid w:val="00C37202"/>
    <w:rsid w:val="00C4032F"/>
    <w:rsid w:val="00C44047"/>
    <w:rsid w:val="00C45155"/>
    <w:rsid w:val="00C5498F"/>
    <w:rsid w:val="00C55235"/>
    <w:rsid w:val="00C55467"/>
    <w:rsid w:val="00C6294F"/>
    <w:rsid w:val="00C642D0"/>
    <w:rsid w:val="00C64CD0"/>
    <w:rsid w:val="00C655CC"/>
    <w:rsid w:val="00C6560D"/>
    <w:rsid w:val="00C6684F"/>
    <w:rsid w:val="00C67D4F"/>
    <w:rsid w:val="00C7017E"/>
    <w:rsid w:val="00C70E70"/>
    <w:rsid w:val="00C75F8D"/>
    <w:rsid w:val="00C77380"/>
    <w:rsid w:val="00C8076C"/>
    <w:rsid w:val="00C87159"/>
    <w:rsid w:val="00C926A0"/>
    <w:rsid w:val="00C97736"/>
    <w:rsid w:val="00CA345A"/>
    <w:rsid w:val="00CA4CD4"/>
    <w:rsid w:val="00CB1E82"/>
    <w:rsid w:val="00CB38A2"/>
    <w:rsid w:val="00CB4BA8"/>
    <w:rsid w:val="00CB52D7"/>
    <w:rsid w:val="00CC20C9"/>
    <w:rsid w:val="00CC6732"/>
    <w:rsid w:val="00CC7CE9"/>
    <w:rsid w:val="00CD7D84"/>
    <w:rsid w:val="00CE3C96"/>
    <w:rsid w:val="00CE513D"/>
    <w:rsid w:val="00CE51A8"/>
    <w:rsid w:val="00CE5A89"/>
    <w:rsid w:val="00CE6759"/>
    <w:rsid w:val="00CE7466"/>
    <w:rsid w:val="00CF369B"/>
    <w:rsid w:val="00D00E28"/>
    <w:rsid w:val="00D0269E"/>
    <w:rsid w:val="00D05D6C"/>
    <w:rsid w:val="00D10FB5"/>
    <w:rsid w:val="00D11F88"/>
    <w:rsid w:val="00D122AF"/>
    <w:rsid w:val="00D15305"/>
    <w:rsid w:val="00D15810"/>
    <w:rsid w:val="00D15EDE"/>
    <w:rsid w:val="00D162F2"/>
    <w:rsid w:val="00D16D4E"/>
    <w:rsid w:val="00D16FE3"/>
    <w:rsid w:val="00D20112"/>
    <w:rsid w:val="00D234A1"/>
    <w:rsid w:val="00D23A79"/>
    <w:rsid w:val="00D27F41"/>
    <w:rsid w:val="00D32C16"/>
    <w:rsid w:val="00D337EE"/>
    <w:rsid w:val="00D36441"/>
    <w:rsid w:val="00D4064E"/>
    <w:rsid w:val="00D44E9B"/>
    <w:rsid w:val="00D47AEB"/>
    <w:rsid w:val="00D50DB9"/>
    <w:rsid w:val="00D50FA5"/>
    <w:rsid w:val="00D51302"/>
    <w:rsid w:val="00D52C43"/>
    <w:rsid w:val="00D6507F"/>
    <w:rsid w:val="00D656E9"/>
    <w:rsid w:val="00D730BC"/>
    <w:rsid w:val="00D73912"/>
    <w:rsid w:val="00D74F45"/>
    <w:rsid w:val="00D85226"/>
    <w:rsid w:val="00D87B94"/>
    <w:rsid w:val="00D92D49"/>
    <w:rsid w:val="00D92EC1"/>
    <w:rsid w:val="00D94F54"/>
    <w:rsid w:val="00D96DEA"/>
    <w:rsid w:val="00D97431"/>
    <w:rsid w:val="00DA4E41"/>
    <w:rsid w:val="00DB117A"/>
    <w:rsid w:val="00DB5173"/>
    <w:rsid w:val="00DB69BA"/>
    <w:rsid w:val="00DB7873"/>
    <w:rsid w:val="00DC187B"/>
    <w:rsid w:val="00DC1A20"/>
    <w:rsid w:val="00DC2175"/>
    <w:rsid w:val="00DD1A43"/>
    <w:rsid w:val="00DD73C2"/>
    <w:rsid w:val="00DE0A5E"/>
    <w:rsid w:val="00DE319B"/>
    <w:rsid w:val="00DF34FE"/>
    <w:rsid w:val="00DF46F9"/>
    <w:rsid w:val="00DF56AA"/>
    <w:rsid w:val="00DF56AF"/>
    <w:rsid w:val="00DF78E7"/>
    <w:rsid w:val="00E03836"/>
    <w:rsid w:val="00E110E0"/>
    <w:rsid w:val="00E135BD"/>
    <w:rsid w:val="00E15371"/>
    <w:rsid w:val="00E21061"/>
    <w:rsid w:val="00E24101"/>
    <w:rsid w:val="00E24104"/>
    <w:rsid w:val="00E302D0"/>
    <w:rsid w:val="00E35707"/>
    <w:rsid w:val="00E36AA1"/>
    <w:rsid w:val="00E36E80"/>
    <w:rsid w:val="00E41ECB"/>
    <w:rsid w:val="00E45ACA"/>
    <w:rsid w:val="00E465C9"/>
    <w:rsid w:val="00E545C3"/>
    <w:rsid w:val="00E54FDB"/>
    <w:rsid w:val="00E55FDA"/>
    <w:rsid w:val="00E5617D"/>
    <w:rsid w:val="00E563D7"/>
    <w:rsid w:val="00E5717E"/>
    <w:rsid w:val="00E663F4"/>
    <w:rsid w:val="00E666F2"/>
    <w:rsid w:val="00E66DD4"/>
    <w:rsid w:val="00E72710"/>
    <w:rsid w:val="00E748CC"/>
    <w:rsid w:val="00E75415"/>
    <w:rsid w:val="00E775B1"/>
    <w:rsid w:val="00E8152A"/>
    <w:rsid w:val="00E900AB"/>
    <w:rsid w:val="00E93629"/>
    <w:rsid w:val="00E93B5C"/>
    <w:rsid w:val="00E94CEC"/>
    <w:rsid w:val="00EA04EF"/>
    <w:rsid w:val="00EA075D"/>
    <w:rsid w:val="00EA499B"/>
    <w:rsid w:val="00EA577C"/>
    <w:rsid w:val="00EA6BE4"/>
    <w:rsid w:val="00EA6F19"/>
    <w:rsid w:val="00EA7811"/>
    <w:rsid w:val="00EB7090"/>
    <w:rsid w:val="00EB7654"/>
    <w:rsid w:val="00EC1BBE"/>
    <w:rsid w:val="00EC32AE"/>
    <w:rsid w:val="00EC5CD7"/>
    <w:rsid w:val="00ED17ED"/>
    <w:rsid w:val="00ED402D"/>
    <w:rsid w:val="00ED6017"/>
    <w:rsid w:val="00ED7668"/>
    <w:rsid w:val="00EE5FB3"/>
    <w:rsid w:val="00EE7F79"/>
    <w:rsid w:val="00EF14C4"/>
    <w:rsid w:val="00EF715A"/>
    <w:rsid w:val="00EF73FF"/>
    <w:rsid w:val="00F0105B"/>
    <w:rsid w:val="00F012AE"/>
    <w:rsid w:val="00F01345"/>
    <w:rsid w:val="00F031E8"/>
    <w:rsid w:val="00F03269"/>
    <w:rsid w:val="00F03606"/>
    <w:rsid w:val="00F05670"/>
    <w:rsid w:val="00F06E14"/>
    <w:rsid w:val="00F14645"/>
    <w:rsid w:val="00F1517E"/>
    <w:rsid w:val="00F179D4"/>
    <w:rsid w:val="00F245FD"/>
    <w:rsid w:val="00F24CFB"/>
    <w:rsid w:val="00F31B4A"/>
    <w:rsid w:val="00F33C56"/>
    <w:rsid w:val="00F347C7"/>
    <w:rsid w:val="00F34848"/>
    <w:rsid w:val="00F3710A"/>
    <w:rsid w:val="00F37425"/>
    <w:rsid w:val="00F42D46"/>
    <w:rsid w:val="00F4496C"/>
    <w:rsid w:val="00F44F3A"/>
    <w:rsid w:val="00F46F02"/>
    <w:rsid w:val="00F51F10"/>
    <w:rsid w:val="00F529A5"/>
    <w:rsid w:val="00F55857"/>
    <w:rsid w:val="00F57373"/>
    <w:rsid w:val="00F60F00"/>
    <w:rsid w:val="00F614C0"/>
    <w:rsid w:val="00F671FD"/>
    <w:rsid w:val="00F70CC0"/>
    <w:rsid w:val="00F7377D"/>
    <w:rsid w:val="00F83848"/>
    <w:rsid w:val="00F86AC8"/>
    <w:rsid w:val="00F910C0"/>
    <w:rsid w:val="00F975E9"/>
    <w:rsid w:val="00FA1B7D"/>
    <w:rsid w:val="00FB281D"/>
    <w:rsid w:val="00FC07B9"/>
    <w:rsid w:val="00FC4E21"/>
    <w:rsid w:val="00FC5F6D"/>
    <w:rsid w:val="00FD0107"/>
    <w:rsid w:val="00FD1033"/>
    <w:rsid w:val="00FD24A0"/>
    <w:rsid w:val="00FD2C12"/>
    <w:rsid w:val="00FD2C2F"/>
    <w:rsid w:val="00FD35F4"/>
    <w:rsid w:val="00FD3B31"/>
    <w:rsid w:val="00FE1823"/>
    <w:rsid w:val="00FE278C"/>
    <w:rsid w:val="00FE487A"/>
    <w:rsid w:val="00FF0569"/>
    <w:rsid w:val="00FF1DB7"/>
    <w:rsid w:val="00FF206E"/>
    <w:rsid w:val="00FF22A6"/>
    <w:rsid w:val="00FF356D"/>
    <w:rsid w:val="00FF3C69"/>
    <w:rsid w:val="00FF59A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1B629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27C0"/>
    <w:pPr>
      <w:spacing w:after="240" w:line="240" w:lineRule="atLeast"/>
    </w:pPr>
    <w:rPr>
      <w:rFonts w:ascii="Arial" w:hAnsi="Arial"/>
      <w:sz w:val="22"/>
    </w:rPr>
  </w:style>
  <w:style w:type="paragraph" w:styleId="Heading1">
    <w:name w:val="heading 1"/>
    <w:basedOn w:val="Normal"/>
    <w:next w:val="Normal"/>
    <w:qFormat/>
    <w:rsid w:val="00923D7A"/>
    <w:pPr>
      <w:keepNext/>
      <w:pageBreakBefore/>
      <w:widowControl w:val="0"/>
      <w:numPr>
        <w:numId w:val="12"/>
      </w:numPr>
      <w:spacing w:after="360" w:line="550" w:lineRule="exact"/>
      <w:outlineLvl w:val="0"/>
    </w:pPr>
    <w:rPr>
      <w:rFonts w:cs="Arial"/>
      <w:bCs/>
      <w:color w:val="323232"/>
      <w:kern w:val="32"/>
      <w:sz w:val="44"/>
      <w:szCs w:val="32"/>
    </w:rPr>
  </w:style>
  <w:style w:type="paragraph" w:styleId="Heading2">
    <w:name w:val="heading 2"/>
    <w:basedOn w:val="Normal"/>
    <w:next w:val="Normal"/>
    <w:qFormat/>
    <w:rsid w:val="00254146"/>
    <w:pPr>
      <w:keepNext/>
      <w:numPr>
        <w:ilvl w:val="1"/>
        <w:numId w:val="12"/>
      </w:numPr>
      <w:spacing w:before="320" w:after="60"/>
      <w:outlineLvl w:val="1"/>
    </w:pPr>
    <w:rPr>
      <w:rFonts w:cs="Arial"/>
      <w:b/>
      <w:bCs/>
      <w:iCs/>
      <w:sz w:val="28"/>
      <w:szCs w:val="28"/>
    </w:rPr>
  </w:style>
  <w:style w:type="paragraph" w:styleId="Heading3">
    <w:name w:val="heading 3"/>
    <w:basedOn w:val="Normal"/>
    <w:next w:val="Normal"/>
    <w:qFormat/>
    <w:rsid w:val="00C6560D"/>
    <w:pPr>
      <w:keepNext/>
      <w:numPr>
        <w:ilvl w:val="2"/>
        <w:numId w:val="12"/>
      </w:numPr>
      <w:spacing w:before="180" w:after="180"/>
      <w:outlineLvl w:val="2"/>
    </w:pPr>
    <w:rPr>
      <w:rFonts w:cs="Arial"/>
      <w:b/>
      <w:bCs/>
      <w:szCs w:val="26"/>
    </w:rPr>
  </w:style>
  <w:style w:type="paragraph" w:styleId="Heading4">
    <w:name w:val="heading 4"/>
    <w:aliases w:val="H4"/>
    <w:basedOn w:val="Normal"/>
    <w:next w:val="Normal"/>
    <w:qFormat/>
    <w:rsid w:val="00015C3F"/>
    <w:pPr>
      <w:keepNext/>
      <w:numPr>
        <w:ilvl w:val="3"/>
        <w:numId w:val="12"/>
      </w:numPr>
      <w:spacing w:before="240" w:after="60"/>
      <w:outlineLvl w:val="3"/>
    </w:pPr>
    <w:rPr>
      <w:b/>
      <w:bCs/>
      <w:szCs w:val="28"/>
    </w:rPr>
  </w:style>
  <w:style w:type="paragraph" w:styleId="Heading5">
    <w:name w:val="heading 5"/>
    <w:basedOn w:val="Normal"/>
    <w:next w:val="Normal"/>
    <w:qFormat/>
    <w:rsid w:val="00AD5436"/>
    <w:pPr>
      <w:numPr>
        <w:ilvl w:val="4"/>
        <w:numId w:val="12"/>
      </w:numPr>
      <w:spacing w:before="240" w:after="60"/>
      <w:outlineLvl w:val="4"/>
    </w:pPr>
    <w:rPr>
      <w:b/>
      <w:bCs/>
      <w:i/>
      <w:iCs/>
      <w:sz w:val="26"/>
      <w:szCs w:val="26"/>
    </w:rPr>
  </w:style>
  <w:style w:type="paragraph" w:styleId="Heading6">
    <w:name w:val="heading 6"/>
    <w:basedOn w:val="Normal"/>
    <w:next w:val="Normal"/>
    <w:qFormat/>
    <w:rsid w:val="00AD5436"/>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AD5436"/>
    <w:pPr>
      <w:numPr>
        <w:ilvl w:val="6"/>
        <w:numId w:val="12"/>
      </w:numPr>
      <w:spacing w:before="240" w:after="60"/>
      <w:outlineLvl w:val="6"/>
    </w:pPr>
    <w:rPr>
      <w:rFonts w:ascii="Times New Roman" w:hAnsi="Times New Roman"/>
    </w:rPr>
  </w:style>
  <w:style w:type="paragraph" w:styleId="Heading8">
    <w:name w:val="heading 8"/>
    <w:basedOn w:val="Normal"/>
    <w:next w:val="Normal"/>
    <w:qFormat/>
    <w:rsid w:val="00AD5436"/>
    <w:pPr>
      <w:numPr>
        <w:ilvl w:val="7"/>
        <w:numId w:val="12"/>
      </w:numPr>
      <w:spacing w:before="240" w:after="60"/>
      <w:outlineLvl w:val="7"/>
    </w:pPr>
    <w:rPr>
      <w:rFonts w:ascii="Times New Roman" w:hAnsi="Times New Roman"/>
      <w:i/>
      <w:iCs/>
    </w:rPr>
  </w:style>
  <w:style w:type="paragraph" w:styleId="Heading9">
    <w:name w:val="heading 9"/>
    <w:basedOn w:val="Normal"/>
    <w:next w:val="Normal"/>
    <w:qFormat/>
    <w:rsid w:val="00AD5436"/>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
    <w:basedOn w:val="DefaultParagraphFont"/>
    <w:uiPriority w:val="99"/>
    <w:rsid w:val="00566AB4"/>
    <w:rPr>
      <w:rFonts w:ascii="Arial" w:hAnsi="Arial"/>
      <w:vertAlign w:val="superscript"/>
    </w:rPr>
  </w:style>
  <w:style w:type="paragraph" w:styleId="FootnoteText">
    <w:name w:val="footnote text"/>
    <w:aliases w:val="ACMA Footnote Text,Footnote Text Char1,Footnote Text Char Char,Footnote Text Char1 Char Char,Footnote Text Char Char Char Char,Footnote Text Char1 Char Char Char Char,Footnote Text Char Char Char Char Char Char,f"/>
    <w:basedOn w:val="Normal"/>
    <w:link w:val="FootnoteTextChar"/>
    <w:uiPriority w:val="99"/>
    <w:semiHidden/>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9"/>
      </w:numPr>
    </w:pPr>
  </w:style>
  <w:style w:type="paragraph" w:customStyle="1" w:styleId="Numberedheading">
    <w:name w:val="Numbered heading"/>
    <w:basedOn w:val="Heading2"/>
    <w:qFormat/>
    <w:rsid w:val="00FD1033"/>
    <w:pPr>
      <w:numPr>
        <w:numId w:val="9"/>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qFormat/>
    <w:rsid w:val="00366071"/>
    <w:pPr>
      <w:ind w:left="720"/>
      <w:contextualSpacing/>
    </w:pPr>
  </w:style>
  <w:style w:type="character" w:customStyle="1" w:styleId="FootnoteTextChar">
    <w:name w:val="Footnote Text Char"/>
    <w:aliases w:val="ACMA Footnote Text Char,Footnote Text Char1 Char,Footnote Text Char Char Char,Footnote Text Char1 Char Char Char,Footnote Text Char Char Char Char Char,Footnote Text Char1 Char Char Char Char Char,f Char"/>
    <w:basedOn w:val="DefaultParagraphFont"/>
    <w:link w:val="FootnoteText"/>
    <w:semiHidden/>
    <w:rsid w:val="00330733"/>
    <w:rPr>
      <w:rFonts w:ascii="Arial" w:hAnsi="Arial"/>
      <w:sz w:val="16"/>
      <w:szCs w:val="16"/>
    </w:rPr>
  </w:style>
  <w:style w:type="paragraph" w:customStyle="1" w:styleId="ACMAletteredlist">
    <w:name w:val="ACMA lettered list"/>
    <w:rsid w:val="00E465C9"/>
    <w:pPr>
      <w:numPr>
        <w:numId w:val="22"/>
      </w:numPr>
      <w:spacing w:before="20" w:after="20"/>
    </w:pPr>
    <w:rPr>
      <w:szCs w:val="20"/>
      <w:lang w:eastAsia="en-US"/>
    </w:rPr>
  </w:style>
  <w:style w:type="character" w:styleId="UnresolvedMention">
    <w:name w:val="Unresolved Mention"/>
    <w:basedOn w:val="DefaultParagraphFont"/>
    <w:uiPriority w:val="99"/>
    <w:semiHidden/>
    <w:unhideWhenUsed/>
    <w:rsid w:val="00762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cma.gov.au/publications/2019-09/publication/rali-fx3-microwave-fixed-service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reqplan@acma.gov.au" TargetMode="External"/><Relationship Id="rId17" Type="http://schemas.openxmlformats.org/officeDocument/2006/relationships/hyperlink" Target="https://www.acma.gov.au/convert-hcis-area-description-placemark" TargetMode="External"/><Relationship Id="rId2" Type="http://schemas.openxmlformats.org/officeDocument/2006/relationships/numbering" Target="numbering.xml"/><Relationship Id="rId16" Type="http://schemas.openxmlformats.org/officeDocument/2006/relationships/hyperlink" Target="https://acma.gov.au/australian-spectrum-map-grid"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freqplan@acma.gov.a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reqplan@acma.gov.a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sm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67E65-AD1A-4274-A85C-AB4E5FAB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4405</Words>
  <Characters>25109</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2020-08-19T02:11:00Z</dcterms:created>
  <dcterms:modified xsi:type="dcterms:W3CDTF">2020-08-19T05:57:00Z</dcterms:modified>
  <cp:category/>
</cp:coreProperties>
</file>