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13DDA" w14:textId="045E47DF" w:rsidR="00F06E14" w:rsidRPr="00A51D1A" w:rsidRDefault="00E046F9" w:rsidP="00A51D1A">
      <w:pPr>
        <w:pStyle w:val="Reporttitle"/>
      </w:pPr>
      <w:r>
        <w:t>A</w:t>
      </w:r>
      <w:r w:rsidR="00AE5A3D">
        <w:t xml:space="preserve">pparatus licences in the 26 </w:t>
      </w:r>
      <w:r w:rsidR="00257B26">
        <w:t xml:space="preserve">GHz </w:t>
      </w:r>
      <w:r w:rsidR="00AE5A3D">
        <w:t>and 28</w:t>
      </w:r>
      <w:r w:rsidR="008754A3">
        <w:t> </w:t>
      </w:r>
      <w:r w:rsidR="00AE5A3D">
        <w:t>GHz bands</w:t>
      </w:r>
    </w:p>
    <w:p w14:paraId="184ED3F3" w14:textId="2C45947D" w:rsidR="00F06E14" w:rsidRDefault="001E701E" w:rsidP="00F06E14">
      <w:pPr>
        <w:pStyle w:val="Reportsubtitle"/>
      </w:pPr>
      <w:r>
        <w:t xml:space="preserve">Licensing, technical framework and </w:t>
      </w:r>
      <w:r w:rsidR="00F7329E">
        <w:t>pricing arrangements</w:t>
      </w:r>
      <w:r w:rsidR="008754A3">
        <w:t xml:space="preserve"> consultation paper</w:t>
      </w:r>
    </w:p>
    <w:p w14:paraId="2325DF81" w14:textId="7B9B8B67" w:rsidR="00C97736" w:rsidRPr="000D76E0" w:rsidRDefault="00FE7C9C"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 xml:space="preserve">August </w:t>
      </w:r>
      <w:r w:rsidR="00BD4421">
        <w:t>20</w:t>
      </w:r>
      <w:r w:rsidR="008E0428">
        <w:t>20</w:t>
      </w:r>
    </w:p>
    <w:p w14:paraId="7EFC239D" w14:textId="77777777" w:rsidR="0005011A" w:rsidRPr="00F44F3A" w:rsidRDefault="0005011A" w:rsidP="00FC07B9">
      <w:pPr>
        <w:pStyle w:val="ACMACorporateAddressHeader"/>
      </w:pPr>
      <w:r w:rsidRPr="00F44F3A">
        <w:lastRenderedPageBreak/>
        <w:t>Canberra</w:t>
      </w:r>
    </w:p>
    <w:p w14:paraId="29EF3061"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581FB3E8" w14:textId="77777777" w:rsidR="0005011A" w:rsidRPr="00FC07B9" w:rsidRDefault="0005011A" w:rsidP="00FC07B9">
      <w:pPr>
        <w:pStyle w:val="ACMACorporateAddresses"/>
      </w:pPr>
      <w:r w:rsidRPr="00FC07B9">
        <w:t>PO Box 78</w:t>
      </w:r>
      <w:r w:rsidRPr="00FC07B9">
        <w:br/>
        <w:t>Belconnen ACT 2616</w:t>
      </w:r>
    </w:p>
    <w:p w14:paraId="5345ADBC"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3326F910" w14:textId="77777777" w:rsidR="0005011A" w:rsidRPr="00F44F3A" w:rsidRDefault="0005011A" w:rsidP="00FC07B9">
      <w:pPr>
        <w:pStyle w:val="ACMACorporateAddressHeader"/>
      </w:pPr>
      <w:r w:rsidRPr="00F44F3A">
        <w:t>Melbourne</w:t>
      </w:r>
    </w:p>
    <w:p w14:paraId="792DA6A3"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675EB486"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7405584"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3A1D84D1" w14:textId="77777777" w:rsidR="0005011A" w:rsidRPr="00F44F3A" w:rsidRDefault="0005011A" w:rsidP="00FC07B9">
      <w:pPr>
        <w:pStyle w:val="ACMACorporateAddressHeader"/>
      </w:pPr>
      <w:r w:rsidRPr="00F44F3A">
        <w:t>Sydney</w:t>
      </w:r>
    </w:p>
    <w:p w14:paraId="197D13EE"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6E72484E"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314CD70A"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6BE27A77" w14:textId="77777777" w:rsidR="00140318" w:rsidRPr="006D46E5" w:rsidRDefault="00140318" w:rsidP="00FC07B9">
      <w:pPr>
        <w:pStyle w:val="ACMACopyrightHeader"/>
      </w:pPr>
      <w:r w:rsidRPr="00140318">
        <w:t>Copyright notice</w:t>
      </w:r>
    </w:p>
    <w:p w14:paraId="6A810D48" w14:textId="77777777" w:rsidR="00140318" w:rsidRPr="006D46E5" w:rsidRDefault="6720E15A" w:rsidP="00623FF9">
      <w:pPr>
        <w:pStyle w:val="ACMACClogo"/>
      </w:pPr>
      <w:r>
        <w:rPr>
          <w:noProof/>
        </w:rPr>
        <w:drawing>
          <wp:inline distT="0" distB="0" distL="0" distR="0" wp14:anchorId="28938A13" wp14:editId="41043ED1">
            <wp:extent cx="838200" cy="295275"/>
            <wp:effectExtent l="0" t="0" r="0" b="0"/>
            <wp:docPr id="880757316"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73E76C47" w14:textId="77777777" w:rsidR="00AA2DE5" w:rsidRDefault="00DE5145" w:rsidP="00AA2DE5">
      <w:pPr>
        <w:pStyle w:val="ACMACorporateAddresses"/>
        <w:rPr>
          <w:rStyle w:val="Hyperlink"/>
        </w:rPr>
      </w:pPr>
      <w:hyperlink r:id="rId13" w:history="1">
        <w:r w:rsidR="00AA2DE5">
          <w:rPr>
            <w:rStyle w:val="Hyperlink"/>
          </w:rPr>
          <w:t>https://creativecommons.org/licenses/by/4.0/</w:t>
        </w:r>
      </w:hyperlink>
    </w:p>
    <w:p w14:paraId="1031D9EE"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638235EF" w14:textId="77777777" w:rsidR="00AA2DE5" w:rsidRDefault="00AA2DE5" w:rsidP="00AA2DE5">
      <w:pPr>
        <w:pStyle w:val="ACMACorporateAddresses"/>
      </w:pPr>
      <w:r>
        <w:t>We request attribution as © Commonwealth of Australia (Australian Communications and Media Authority) 20</w:t>
      </w:r>
      <w:r w:rsidR="00C41F21">
        <w:t>20</w:t>
      </w:r>
      <w:r>
        <w:t>.</w:t>
      </w:r>
    </w:p>
    <w:p w14:paraId="155BEDB0" w14:textId="77777777" w:rsidR="00AA2DE5" w:rsidRDefault="00AA2DE5" w:rsidP="00AA2DE5">
      <w:pPr>
        <w:pStyle w:val="ACMACorporateAddresses"/>
      </w:pPr>
      <w:r>
        <w:t>All other rights are reserved.</w:t>
      </w:r>
    </w:p>
    <w:p w14:paraId="02BA46F1"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F404266" w14:textId="77777777" w:rsidR="00AA2DE5" w:rsidRDefault="00AA2DE5" w:rsidP="00AA2DE5">
      <w:pPr>
        <w:pStyle w:val="ACMACorporateAddresses"/>
      </w:pPr>
      <w:r>
        <w:t>Written enquiries may be sent to:</w:t>
      </w:r>
    </w:p>
    <w:p w14:paraId="1F401B66"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7967E873" w14:textId="77777777" w:rsidR="00D16FE3" w:rsidRDefault="00D16FE3" w:rsidP="00D16FE3">
      <w:pPr>
        <w:pStyle w:val="ACMACorporateAddresses"/>
        <w:rPr>
          <w:rStyle w:val="Hyperlink"/>
        </w:rPr>
      </w:pPr>
    </w:p>
    <w:p w14:paraId="224D8029"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4D949375" w14:textId="27479F8E" w:rsidR="00D611F9"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D611F9">
        <w:t>Introduction</w:t>
      </w:r>
      <w:r w:rsidR="00D611F9">
        <w:tab/>
      </w:r>
      <w:r w:rsidR="00D611F9">
        <w:fldChar w:fldCharType="begin"/>
      </w:r>
      <w:r w:rsidR="00D611F9">
        <w:instrText xml:space="preserve"> PAGEREF _Toc48723200 \h </w:instrText>
      </w:r>
      <w:r w:rsidR="00D611F9">
        <w:fldChar w:fldCharType="separate"/>
      </w:r>
      <w:r w:rsidR="00D611F9">
        <w:t>1</w:t>
      </w:r>
      <w:r w:rsidR="00D611F9">
        <w:fldChar w:fldCharType="end"/>
      </w:r>
    </w:p>
    <w:p w14:paraId="57E9BF60" w14:textId="50B28BAD" w:rsidR="00D611F9" w:rsidRDefault="00D611F9">
      <w:pPr>
        <w:pStyle w:val="TOC1"/>
        <w:rPr>
          <w:rFonts w:asciiTheme="minorHAnsi" w:eastAsiaTheme="minorEastAsia" w:hAnsiTheme="minorHAnsi" w:cstheme="minorBidi"/>
          <w:b w:val="0"/>
          <w:spacing w:val="0"/>
          <w:sz w:val="22"/>
          <w:szCs w:val="22"/>
        </w:rPr>
      </w:pPr>
      <w:r>
        <w:t>Background</w:t>
      </w:r>
      <w:r>
        <w:tab/>
      </w:r>
      <w:r>
        <w:fldChar w:fldCharType="begin"/>
      </w:r>
      <w:r>
        <w:instrText xml:space="preserve"> PAGEREF _Toc48723201 \h </w:instrText>
      </w:r>
      <w:r>
        <w:fldChar w:fldCharType="separate"/>
      </w:r>
      <w:r>
        <w:t>2</w:t>
      </w:r>
      <w:r>
        <w:fldChar w:fldCharType="end"/>
      </w:r>
    </w:p>
    <w:p w14:paraId="3D5FB7D7" w14:textId="4169F089" w:rsidR="00D611F9" w:rsidRDefault="00D611F9">
      <w:pPr>
        <w:pStyle w:val="TOC2"/>
        <w:rPr>
          <w:rFonts w:asciiTheme="minorHAnsi" w:eastAsiaTheme="minorEastAsia" w:hAnsiTheme="minorHAnsi" w:cstheme="minorBidi"/>
          <w:spacing w:val="0"/>
          <w:sz w:val="22"/>
          <w:szCs w:val="22"/>
        </w:rPr>
      </w:pPr>
      <w:r>
        <w:t>Planning decisions</w:t>
      </w:r>
      <w:r>
        <w:tab/>
      </w:r>
      <w:r>
        <w:fldChar w:fldCharType="begin"/>
      </w:r>
      <w:r>
        <w:instrText xml:space="preserve"> PAGEREF _Toc48723202 \h </w:instrText>
      </w:r>
      <w:r>
        <w:fldChar w:fldCharType="separate"/>
      </w:r>
      <w:r>
        <w:t>2</w:t>
      </w:r>
      <w:r>
        <w:fldChar w:fldCharType="end"/>
      </w:r>
    </w:p>
    <w:p w14:paraId="1C1C9783" w14:textId="07E3D5A9" w:rsidR="00D611F9" w:rsidRDefault="00D611F9">
      <w:pPr>
        <w:pStyle w:val="TOC2"/>
        <w:rPr>
          <w:rFonts w:asciiTheme="minorHAnsi" w:eastAsiaTheme="minorEastAsia" w:hAnsiTheme="minorHAnsi" w:cstheme="minorBidi"/>
          <w:spacing w:val="0"/>
          <w:sz w:val="22"/>
          <w:szCs w:val="22"/>
        </w:rPr>
      </w:pPr>
      <w:r>
        <w:t>Technical Liaison Group</w:t>
      </w:r>
      <w:r>
        <w:tab/>
      </w:r>
      <w:r>
        <w:fldChar w:fldCharType="begin"/>
      </w:r>
      <w:r>
        <w:instrText xml:space="preserve"> PAGEREF _Toc48723203 \h </w:instrText>
      </w:r>
      <w:r>
        <w:fldChar w:fldCharType="separate"/>
      </w:r>
      <w:r>
        <w:t>3</w:t>
      </w:r>
      <w:r>
        <w:fldChar w:fldCharType="end"/>
      </w:r>
    </w:p>
    <w:p w14:paraId="0FED3F5B" w14:textId="427F8F67" w:rsidR="00D611F9" w:rsidRDefault="00D611F9">
      <w:pPr>
        <w:pStyle w:val="TOC2"/>
        <w:rPr>
          <w:rFonts w:asciiTheme="minorHAnsi" w:eastAsiaTheme="minorEastAsia" w:hAnsiTheme="minorHAnsi" w:cstheme="minorBidi"/>
          <w:spacing w:val="0"/>
          <w:sz w:val="22"/>
          <w:szCs w:val="22"/>
        </w:rPr>
      </w:pPr>
      <w:r>
        <w:t>Area-wide apparatus licences</w:t>
      </w:r>
      <w:r>
        <w:tab/>
      </w:r>
      <w:r>
        <w:fldChar w:fldCharType="begin"/>
      </w:r>
      <w:r>
        <w:instrText xml:space="preserve"> PAGEREF _Toc48723204 \h </w:instrText>
      </w:r>
      <w:r>
        <w:fldChar w:fldCharType="separate"/>
      </w:r>
      <w:r>
        <w:t>3</w:t>
      </w:r>
      <w:r>
        <w:fldChar w:fldCharType="end"/>
      </w:r>
    </w:p>
    <w:p w14:paraId="1BA43378" w14:textId="28BBFABC" w:rsidR="00D611F9" w:rsidRDefault="00D611F9">
      <w:pPr>
        <w:pStyle w:val="TOC2"/>
        <w:rPr>
          <w:rFonts w:asciiTheme="minorHAnsi" w:eastAsiaTheme="minorEastAsia" w:hAnsiTheme="minorHAnsi" w:cstheme="minorBidi"/>
          <w:spacing w:val="0"/>
          <w:sz w:val="22"/>
          <w:szCs w:val="22"/>
        </w:rPr>
      </w:pPr>
      <w:r>
        <w:t>Related allocation processes</w:t>
      </w:r>
      <w:r>
        <w:tab/>
      </w:r>
      <w:r>
        <w:fldChar w:fldCharType="begin"/>
      </w:r>
      <w:r>
        <w:instrText xml:space="preserve"> PAGEREF _Toc48723205 \h </w:instrText>
      </w:r>
      <w:r>
        <w:fldChar w:fldCharType="separate"/>
      </w:r>
      <w:r>
        <w:t>4</w:t>
      </w:r>
      <w:r>
        <w:fldChar w:fldCharType="end"/>
      </w:r>
    </w:p>
    <w:p w14:paraId="055738EC" w14:textId="012B5E73" w:rsidR="00D611F9" w:rsidRDefault="00D611F9">
      <w:pPr>
        <w:pStyle w:val="TOC1"/>
        <w:rPr>
          <w:rFonts w:asciiTheme="minorHAnsi" w:eastAsiaTheme="minorEastAsia" w:hAnsiTheme="minorHAnsi" w:cstheme="minorBidi"/>
          <w:b w:val="0"/>
          <w:spacing w:val="0"/>
          <w:sz w:val="22"/>
          <w:szCs w:val="22"/>
        </w:rPr>
      </w:pPr>
      <w:r>
        <w:t>Consultation package</w:t>
      </w:r>
      <w:r>
        <w:tab/>
      </w:r>
      <w:r>
        <w:fldChar w:fldCharType="begin"/>
      </w:r>
      <w:r>
        <w:instrText xml:space="preserve"> PAGEREF _Toc48723206 \h </w:instrText>
      </w:r>
      <w:r>
        <w:fldChar w:fldCharType="separate"/>
      </w:r>
      <w:r>
        <w:t>5</w:t>
      </w:r>
      <w:r>
        <w:fldChar w:fldCharType="end"/>
      </w:r>
    </w:p>
    <w:p w14:paraId="7E2F5D4B" w14:textId="4DC273F4" w:rsidR="00D611F9" w:rsidRDefault="00D611F9">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_Toc48723207 \h </w:instrText>
      </w:r>
      <w:r>
        <w:fldChar w:fldCharType="separate"/>
      </w:r>
      <w:r>
        <w:t>6</w:t>
      </w:r>
      <w:r>
        <w:fldChar w:fldCharType="end"/>
      </w:r>
    </w:p>
    <w:p w14:paraId="7A1B02D9" w14:textId="6CA8D853" w:rsidR="00D611F9" w:rsidRDefault="00D611F9">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_Toc48723208 \h </w:instrText>
      </w:r>
      <w:r>
        <w:fldChar w:fldCharType="separate"/>
      </w:r>
      <w:r>
        <w:t>7</w:t>
      </w:r>
      <w:r>
        <w:fldChar w:fldCharType="end"/>
      </w:r>
    </w:p>
    <w:p w14:paraId="794941BB" w14:textId="334474A6" w:rsidR="00D611F9" w:rsidRDefault="00D611F9">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_Toc48723209 \h </w:instrText>
      </w:r>
      <w:r>
        <w:fldChar w:fldCharType="separate"/>
      </w:r>
      <w:r>
        <w:t>7</w:t>
      </w:r>
      <w:r>
        <w:fldChar w:fldCharType="end"/>
      </w:r>
    </w:p>
    <w:p w14:paraId="0A6B895D" w14:textId="2C7F6285" w:rsidR="00D611F9" w:rsidRDefault="00D611F9">
      <w:pPr>
        <w:pStyle w:val="TOC1"/>
        <w:rPr>
          <w:rFonts w:asciiTheme="minorHAnsi" w:eastAsiaTheme="minorEastAsia" w:hAnsiTheme="minorHAnsi" w:cstheme="minorBidi"/>
          <w:b w:val="0"/>
          <w:spacing w:val="0"/>
          <w:sz w:val="22"/>
          <w:szCs w:val="22"/>
        </w:rPr>
      </w:pPr>
      <w:r>
        <w:t>Appendix A—Taxation and charges</w:t>
      </w:r>
      <w:r>
        <w:tab/>
      </w:r>
      <w:r>
        <w:fldChar w:fldCharType="begin"/>
      </w:r>
      <w:r>
        <w:instrText xml:space="preserve"> PAGEREF _Toc48723210 \h </w:instrText>
      </w:r>
      <w:r>
        <w:fldChar w:fldCharType="separate"/>
      </w:r>
      <w:r>
        <w:t>8</w:t>
      </w:r>
      <w:r>
        <w:fldChar w:fldCharType="end"/>
      </w:r>
    </w:p>
    <w:p w14:paraId="5A8173F3" w14:textId="3ADB8933" w:rsidR="00D611F9" w:rsidRDefault="00D611F9">
      <w:pPr>
        <w:pStyle w:val="TOC2"/>
        <w:rPr>
          <w:rFonts w:asciiTheme="minorHAnsi" w:eastAsiaTheme="minorEastAsia" w:hAnsiTheme="minorHAnsi" w:cstheme="minorBidi"/>
          <w:spacing w:val="0"/>
          <w:sz w:val="22"/>
          <w:szCs w:val="22"/>
        </w:rPr>
      </w:pPr>
      <w:r>
        <w:t>Apparatus licence tax arrangements</w:t>
      </w:r>
      <w:r>
        <w:tab/>
      </w:r>
      <w:r>
        <w:fldChar w:fldCharType="begin"/>
      </w:r>
      <w:r>
        <w:instrText xml:space="preserve"> PAGEREF _Toc48723211 \h </w:instrText>
      </w:r>
      <w:r>
        <w:fldChar w:fldCharType="separate"/>
      </w:r>
      <w:r>
        <w:t>8</w:t>
      </w:r>
      <w:r>
        <w:fldChar w:fldCharType="end"/>
      </w:r>
    </w:p>
    <w:p w14:paraId="334A0FD7" w14:textId="48F9713F" w:rsidR="00D611F9" w:rsidRDefault="00D611F9">
      <w:pPr>
        <w:pStyle w:val="TOC2"/>
        <w:rPr>
          <w:rFonts w:asciiTheme="minorHAnsi" w:eastAsiaTheme="minorEastAsia" w:hAnsiTheme="minorHAnsi" w:cstheme="minorBidi"/>
          <w:spacing w:val="0"/>
          <w:sz w:val="22"/>
          <w:szCs w:val="22"/>
        </w:rPr>
      </w:pPr>
      <w:r>
        <w:t>Charging arrangements</w:t>
      </w:r>
      <w:r>
        <w:tab/>
      </w:r>
      <w:r>
        <w:fldChar w:fldCharType="begin"/>
      </w:r>
      <w:r>
        <w:instrText xml:space="preserve"> PAGEREF _Toc48723212 \h </w:instrText>
      </w:r>
      <w:r>
        <w:fldChar w:fldCharType="separate"/>
      </w:r>
      <w:r>
        <w:t>10</w:t>
      </w:r>
      <w:r>
        <w:fldChar w:fldCharType="end"/>
      </w:r>
    </w:p>
    <w:p w14:paraId="3B4E676C" w14:textId="4CC74492" w:rsidR="00D611F9" w:rsidRDefault="00D611F9">
      <w:pPr>
        <w:pStyle w:val="TOC1"/>
        <w:rPr>
          <w:rFonts w:asciiTheme="minorHAnsi" w:eastAsiaTheme="minorEastAsia" w:hAnsiTheme="minorHAnsi" w:cstheme="minorBidi"/>
          <w:b w:val="0"/>
          <w:spacing w:val="0"/>
          <w:sz w:val="22"/>
          <w:szCs w:val="22"/>
        </w:rPr>
      </w:pPr>
      <w:r w:rsidRPr="00416208">
        <w:t>Appendix B—Technical Framework</w:t>
      </w:r>
      <w:r>
        <w:tab/>
      </w:r>
      <w:r>
        <w:fldChar w:fldCharType="begin"/>
      </w:r>
      <w:r>
        <w:instrText xml:space="preserve"> PAGEREF _Toc48723213 \h </w:instrText>
      </w:r>
      <w:r>
        <w:fldChar w:fldCharType="separate"/>
      </w:r>
      <w:r>
        <w:t>11</w:t>
      </w:r>
      <w:r>
        <w:fldChar w:fldCharType="end"/>
      </w:r>
    </w:p>
    <w:p w14:paraId="49E27C8A" w14:textId="231232C3" w:rsidR="00D611F9" w:rsidRDefault="00D611F9">
      <w:pPr>
        <w:pStyle w:val="TOC2"/>
        <w:rPr>
          <w:rFonts w:asciiTheme="minorHAnsi" w:eastAsiaTheme="minorEastAsia" w:hAnsiTheme="minorHAnsi" w:cstheme="minorBidi"/>
          <w:spacing w:val="0"/>
          <w:sz w:val="22"/>
          <w:szCs w:val="22"/>
        </w:rPr>
      </w:pPr>
      <w:r w:rsidRPr="00416208">
        <w:rPr>
          <w:rFonts w:eastAsia="Arial"/>
        </w:rPr>
        <w:t>Overview of proposed arrangements</w:t>
      </w:r>
      <w:r>
        <w:tab/>
      </w:r>
      <w:r>
        <w:fldChar w:fldCharType="begin"/>
      </w:r>
      <w:r>
        <w:instrText xml:space="preserve"> PAGEREF _Toc48723214 \h </w:instrText>
      </w:r>
      <w:r>
        <w:fldChar w:fldCharType="separate"/>
      </w:r>
      <w:r>
        <w:t>11</w:t>
      </w:r>
      <w:r>
        <w:fldChar w:fldCharType="end"/>
      </w:r>
    </w:p>
    <w:p w14:paraId="10D09FF7" w14:textId="0C7D7D9E" w:rsidR="00D611F9" w:rsidRDefault="00D611F9">
      <w:pPr>
        <w:pStyle w:val="TOC1"/>
        <w:rPr>
          <w:rFonts w:asciiTheme="minorHAnsi" w:eastAsiaTheme="minorEastAsia" w:hAnsiTheme="minorHAnsi" w:cstheme="minorBidi"/>
          <w:b w:val="0"/>
          <w:spacing w:val="0"/>
          <w:sz w:val="22"/>
          <w:szCs w:val="22"/>
        </w:rPr>
      </w:pPr>
      <w:r w:rsidRPr="00416208">
        <w:rPr>
          <w:rFonts w:eastAsia="Arial"/>
        </w:rPr>
        <w:t>Draft technical framework for consultation</w:t>
      </w:r>
      <w:r>
        <w:tab/>
      </w:r>
      <w:r>
        <w:fldChar w:fldCharType="begin"/>
      </w:r>
      <w:r>
        <w:instrText xml:space="preserve"> PAGEREF _Toc48723215 \h </w:instrText>
      </w:r>
      <w:r>
        <w:fldChar w:fldCharType="separate"/>
      </w:r>
      <w:r>
        <w:t>16</w:t>
      </w:r>
      <w:r>
        <w:fldChar w:fldCharType="end"/>
      </w:r>
    </w:p>
    <w:p w14:paraId="2E957470" w14:textId="1099B139" w:rsidR="00D611F9" w:rsidRDefault="00D611F9">
      <w:pPr>
        <w:pStyle w:val="TOC1"/>
        <w:rPr>
          <w:rFonts w:asciiTheme="minorHAnsi" w:eastAsiaTheme="minorEastAsia" w:hAnsiTheme="minorHAnsi" w:cstheme="minorBidi"/>
          <w:b w:val="0"/>
          <w:spacing w:val="0"/>
          <w:sz w:val="22"/>
          <w:szCs w:val="22"/>
        </w:rPr>
      </w:pPr>
      <w:r>
        <w:t>Appendix C—International allocations</w:t>
      </w:r>
      <w:r>
        <w:tab/>
      </w:r>
      <w:r>
        <w:fldChar w:fldCharType="begin"/>
      </w:r>
      <w:r>
        <w:instrText xml:space="preserve"> PAGEREF _Toc48723216 \h </w:instrText>
      </w:r>
      <w:r>
        <w:fldChar w:fldCharType="separate"/>
      </w:r>
      <w:r>
        <w:t>26</w:t>
      </w:r>
      <w:r>
        <w:fldChar w:fldCharType="end"/>
      </w:r>
    </w:p>
    <w:p w14:paraId="71D82EAC" w14:textId="36A0BEE2" w:rsidR="004D56FF" w:rsidRPr="000D76E0" w:rsidRDefault="00C65F61">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0D83799E" w14:textId="4C1AE978" w:rsidR="00D116EF" w:rsidRPr="009432F2" w:rsidRDefault="00F23FB5" w:rsidP="00481456">
      <w:pPr>
        <w:pStyle w:val="Heading1"/>
      </w:pPr>
      <w:bookmarkStart w:id="0" w:name="_Toc48723200"/>
      <w:r>
        <w:lastRenderedPageBreak/>
        <w:t>Introduction</w:t>
      </w:r>
      <w:bookmarkEnd w:id="0"/>
      <w:r>
        <w:t xml:space="preserve"> </w:t>
      </w:r>
    </w:p>
    <w:p w14:paraId="1E41BA3F" w14:textId="70BBF931" w:rsidR="007F7FAF" w:rsidRDefault="004E52E7" w:rsidP="009A021C">
      <w:pPr>
        <w:pStyle w:val="Paragraph"/>
      </w:pPr>
      <w:r>
        <w:t xml:space="preserve">The </w:t>
      </w:r>
      <w:r w:rsidR="00764F8A">
        <w:t>Australian Communications and Media Authority (</w:t>
      </w:r>
      <w:r>
        <w:t>ACMA</w:t>
      </w:r>
      <w:r w:rsidR="00764F8A">
        <w:t>)</w:t>
      </w:r>
      <w:r>
        <w:t xml:space="preserve"> is consulting on </w:t>
      </w:r>
      <w:r w:rsidR="00042185">
        <w:t xml:space="preserve">draft </w:t>
      </w:r>
      <w:r>
        <w:t>arrangements for allocating apparatus licences in the 26 GHz and 28 GHz bands</w:t>
      </w:r>
      <w:r w:rsidR="007F67BE">
        <w:t xml:space="preserve"> </w:t>
      </w:r>
      <w:r w:rsidR="00985A02">
        <w:br/>
      </w:r>
      <w:r w:rsidR="007F67BE">
        <w:t>(the bands)</w:t>
      </w:r>
      <w:r>
        <w:t>.</w:t>
      </w:r>
      <w:r w:rsidR="00350C90">
        <w:t xml:space="preserve"> </w:t>
      </w:r>
    </w:p>
    <w:p w14:paraId="7D21E74A" w14:textId="2FF7DBED" w:rsidR="00341585" w:rsidRDefault="001637D1" w:rsidP="00E25D77">
      <w:pPr>
        <w:pStyle w:val="Paragraphbeforelist"/>
      </w:pPr>
      <w:r>
        <w:t>We</w:t>
      </w:r>
      <w:r w:rsidR="00341585">
        <w:t xml:space="preserve"> propose</w:t>
      </w:r>
      <w:r>
        <w:t xml:space="preserve"> </w:t>
      </w:r>
      <w:r w:rsidR="00341585">
        <w:t>introducing new apparatus licensing arrangements in the bands which will</w:t>
      </w:r>
      <w:r w:rsidR="00985A02">
        <w:t> </w:t>
      </w:r>
      <w:r w:rsidR="00341585">
        <w:t>support:</w:t>
      </w:r>
    </w:p>
    <w:p w14:paraId="18B2F859" w14:textId="26BC6288" w:rsidR="00341585" w:rsidRDefault="2EB9F3F0" w:rsidP="00C06016">
      <w:pPr>
        <w:pStyle w:val="ListBullet"/>
        <w:tabs>
          <w:tab w:val="clear" w:pos="295"/>
          <w:tab w:val="num" w:pos="863"/>
        </w:tabs>
      </w:pPr>
      <w:r>
        <w:t xml:space="preserve">the introduction of </w:t>
      </w:r>
      <w:r w:rsidR="6ACF8839">
        <w:t>millimetre wave (</w:t>
      </w:r>
      <w:r>
        <w:t>mmWave</w:t>
      </w:r>
      <w:r w:rsidR="6ACF8839">
        <w:t>)</w:t>
      </w:r>
      <w:r>
        <w:t xml:space="preserve"> band </w:t>
      </w:r>
      <w:r w:rsidR="6ACF8839">
        <w:t>fifth-generation (</w:t>
      </w:r>
      <w:r>
        <w:t>5G</w:t>
      </w:r>
      <w:r w:rsidR="6ACF8839">
        <w:t>)</w:t>
      </w:r>
      <w:r>
        <w:t xml:space="preserve"> wireless broadband </w:t>
      </w:r>
      <w:r w:rsidR="0F65A3E5">
        <w:t>(WBB)</w:t>
      </w:r>
      <w:r>
        <w:t xml:space="preserve"> services in the range 24.7</w:t>
      </w:r>
      <w:r w:rsidR="00C06016">
        <w:t>–</w:t>
      </w:r>
      <w:r>
        <w:t>29.5 GHz</w:t>
      </w:r>
      <w:r w:rsidR="00A36CFC">
        <w:rPr>
          <w:rStyle w:val="FootnoteReference"/>
        </w:rPr>
        <w:footnoteReference w:id="2"/>
      </w:r>
    </w:p>
    <w:p w14:paraId="0027D6DF" w14:textId="4B10535F" w:rsidR="001863B1" w:rsidRDefault="2EB9F3F0" w:rsidP="00C06016">
      <w:pPr>
        <w:pStyle w:val="ListBulletLast"/>
        <w:tabs>
          <w:tab w:val="clear" w:pos="295"/>
          <w:tab w:val="num" w:pos="579"/>
        </w:tabs>
      </w:pPr>
      <w:r>
        <w:t xml:space="preserve">ongoing access to the band by </w:t>
      </w:r>
      <w:r w:rsidR="4B5586BC">
        <w:t xml:space="preserve">apparatus licensed </w:t>
      </w:r>
      <w:r>
        <w:t>fixed-satellite service (FSS) earth stations in the range 27</w:t>
      </w:r>
      <w:r w:rsidR="00C06016">
        <w:t>–</w:t>
      </w:r>
      <w:r w:rsidR="1B82D986">
        <w:t>29.5</w:t>
      </w:r>
      <w:r>
        <w:t xml:space="preserve"> GHz.</w:t>
      </w:r>
    </w:p>
    <w:p w14:paraId="23D13355" w14:textId="65F14E6B" w:rsidR="009A1E16" w:rsidRDefault="00A4704F" w:rsidP="009073C6">
      <w:pPr>
        <w:pStyle w:val="Paragraph"/>
      </w:pPr>
      <w:r>
        <w:t xml:space="preserve">We </w:t>
      </w:r>
      <w:r w:rsidR="001F74C4">
        <w:t>are</w:t>
      </w:r>
      <w:r w:rsidR="000B4065">
        <w:t xml:space="preserve"> proposing to authorise access </w:t>
      </w:r>
      <w:r w:rsidR="005B1B2D">
        <w:t>for</w:t>
      </w:r>
      <w:r w:rsidR="000B4065">
        <w:t xml:space="preserve"> the above services </w:t>
      </w:r>
      <w:r w:rsidR="007B6CF2">
        <w:t>under</w:t>
      </w:r>
      <w:r w:rsidR="000B4065">
        <w:t xml:space="preserve"> area-wide apparatus licences (AWLs)</w:t>
      </w:r>
      <w:r w:rsidR="001E0989">
        <w:t xml:space="preserve"> of up to five years duration</w:t>
      </w:r>
      <w:r w:rsidR="000B4065">
        <w:t xml:space="preserve">. </w:t>
      </w:r>
      <w:r w:rsidR="00115FEE">
        <w:t xml:space="preserve">A key premise of AWLs is that they are scalable in bandwidth and geographic area </w:t>
      </w:r>
      <w:r w:rsidR="00115FEE" w:rsidDel="00984B0F">
        <w:t xml:space="preserve">by aggregating geographic </w:t>
      </w:r>
      <w:r w:rsidR="00984B0F" w:rsidRPr="00984B0F">
        <w:t>cells and/or spectrum blocks authorised by the licence</w:t>
      </w:r>
      <w:r w:rsidR="00516019">
        <w:t>.</w:t>
      </w:r>
    </w:p>
    <w:p w14:paraId="55E3A06D" w14:textId="52BCE97D" w:rsidR="007D3141" w:rsidRDefault="007D3141" w:rsidP="00395F66">
      <w:pPr>
        <w:pStyle w:val="Paragraphbeforelist"/>
      </w:pPr>
      <w:r>
        <w:t>We are proposing that AWLs will be allocated using a</w:t>
      </w:r>
      <w:r w:rsidR="00143D16">
        <w:t xml:space="preserve"> </w:t>
      </w:r>
      <w:r w:rsidR="00511107">
        <w:t>two</w:t>
      </w:r>
      <w:r w:rsidR="00143D16">
        <w:t xml:space="preserve">-stage </w:t>
      </w:r>
      <w:r>
        <w:t xml:space="preserve">administrative </w:t>
      </w:r>
      <w:r w:rsidR="00143D16">
        <w:t xml:space="preserve">allocation </w:t>
      </w:r>
      <w:r>
        <w:t xml:space="preserve">which is described in the accompanying draft </w:t>
      </w:r>
      <w:r w:rsidR="00985A02">
        <w:t>applicant information pack</w:t>
      </w:r>
      <w:r>
        <w:t xml:space="preserve"> (AIP). The </w:t>
      </w:r>
      <w:r w:rsidR="00FC0F76">
        <w:t xml:space="preserve">allocation </w:t>
      </w:r>
      <w:r>
        <w:t xml:space="preserve">will see the first AWLs issued </w:t>
      </w:r>
      <w:r w:rsidR="003C25C3">
        <w:t xml:space="preserve">initially </w:t>
      </w:r>
      <w:r>
        <w:t xml:space="preserve">in two </w:t>
      </w:r>
      <w:r w:rsidR="006D382F">
        <w:t>rounds</w:t>
      </w:r>
      <w:r>
        <w:t>:</w:t>
      </w:r>
    </w:p>
    <w:p w14:paraId="5804290E" w14:textId="1476B44B" w:rsidR="008F716A" w:rsidRPr="008F716A" w:rsidRDefault="003C25C3" w:rsidP="004F3E09">
      <w:pPr>
        <w:pStyle w:val="ListBullet"/>
        <w:tabs>
          <w:tab w:val="clear" w:pos="295"/>
          <w:tab w:val="num" w:pos="579"/>
        </w:tabs>
      </w:pPr>
      <w:r w:rsidRPr="00481456">
        <w:rPr>
          <w:b/>
          <w:bCs/>
        </w:rPr>
        <w:t xml:space="preserve">Round </w:t>
      </w:r>
      <w:r w:rsidR="008F716A" w:rsidRPr="00481456">
        <w:rPr>
          <w:b/>
          <w:bCs/>
        </w:rPr>
        <w:t>1:</w:t>
      </w:r>
      <w:r w:rsidR="008F716A">
        <w:t> 24.7</w:t>
      </w:r>
      <w:r w:rsidR="00395F66">
        <w:t>–</w:t>
      </w:r>
      <w:r w:rsidR="008F716A">
        <w:t>25.1 </w:t>
      </w:r>
      <w:r w:rsidR="00985A02">
        <w:t xml:space="preserve">GHz </w:t>
      </w:r>
      <w:r w:rsidR="008F716A">
        <w:t>and the 27.5</w:t>
      </w:r>
      <w:r w:rsidR="004F3E09">
        <w:t>–</w:t>
      </w:r>
      <w:r w:rsidR="008F716A">
        <w:t>29.5 GHz ranges Australia-wide</w:t>
      </w:r>
      <w:r w:rsidR="00985A02">
        <w:t>. A</w:t>
      </w:r>
      <w:r w:rsidR="008F716A">
        <w:t>pparatus licences via administrative allocation before the spectrum auction</w:t>
      </w:r>
      <w:r w:rsidR="002A6696">
        <w:t xml:space="preserve"> in </w:t>
      </w:r>
      <w:r w:rsidR="00985A02">
        <w:t xml:space="preserve">the first quarter of </w:t>
      </w:r>
      <w:r w:rsidR="002A6696">
        <w:t>2021</w:t>
      </w:r>
      <w:r w:rsidR="00631C96">
        <w:t xml:space="preserve"> (</w:t>
      </w:r>
      <w:r w:rsidR="003A5B4C">
        <w:t>which</w:t>
      </w:r>
      <w:r w:rsidR="001F617F">
        <w:t xml:space="preserve"> is for </w:t>
      </w:r>
      <w:r w:rsidR="00451A52">
        <w:t xml:space="preserve">specified </w:t>
      </w:r>
      <w:r w:rsidR="00B22808">
        <w:t>areas in the 2</w:t>
      </w:r>
      <w:r w:rsidR="00831032">
        <w:t>5</w:t>
      </w:r>
      <w:r w:rsidR="00B22808">
        <w:t>.</w:t>
      </w:r>
      <w:r w:rsidR="00831032">
        <w:t>1</w:t>
      </w:r>
      <w:r w:rsidR="00096C06">
        <w:t>–</w:t>
      </w:r>
      <w:r w:rsidR="00B22808">
        <w:t>2</w:t>
      </w:r>
      <w:r w:rsidR="00831032">
        <w:t>7</w:t>
      </w:r>
      <w:r w:rsidR="00B22808">
        <w:t>.5 GHz range</w:t>
      </w:r>
      <w:r w:rsidR="00631C96">
        <w:t>)</w:t>
      </w:r>
      <w:r w:rsidR="00395F66">
        <w:t>.</w:t>
      </w:r>
      <w:r w:rsidR="008F716A">
        <w:t> We are expecting to open </w:t>
      </w:r>
      <w:r w:rsidR="004C39D6">
        <w:t xml:space="preserve">this round </w:t>
      </w:r>
      <w:r w:rsidR="008F716A">
        <w:t>in late October 2020, with licences issued from December 2020. </w:t>
      </w:r>
    </w:p>
    <w:p w14:paraId="32A7EE41" w14:textId="14FF9BD0" w:rsidR="008F716A" w:rsidRPr="008F716A" w:rsidRDefault="003C25C3" w:rsidP="00395F66">
      <w:pPr>
        <w:pStyle w:val="ListBulletLast"/>
        <w:tabs>
          <w:tab w:val="clear" w:pos="295"/>
          <w:tab w:val="num" w:pos="579"/>
        </w:tabs>
      </w:pPr>
      <w:r w:rsidRPr="00481456">
        <w:rPr>
          <w:b/>
          <w:bCs/>
        </w:rPr>
        <w:t xml:space="preserve">Round </w:t>
      </w:r>
      <w:r w:rsidR="008F716A" w:rsidRPr="00481456">
        <w:rPr>
          <w:b/>
          <w:bCs/>
        </w:rPr>
        <w:t>2:</w:t>
      </w:r>
      <w:r w:rsidR="008F716A">
        <w:t> 25.1</w:t>
      </w:r>
      <w:r w:rsidR="00395F66">
        <w:t>–</w:t>
      </w:r>
      <w:r w:rsidR="008F716A">
        <w:t>27.5 GHz in all areas other than those designated for spectrum licensing</w:t>
      </w:r>
      <w:r w:rsidR="008754A3">
        <w:t>. A</w:t>
      </w:r>
      <w:r w:rsidR="008F716A">
        <w:t xml:space="preserve">pparatus licences via administrative allocation after the spectrum auction. We are expecting to open </w:t>
      </w:r>
      <w:r w:rsidR="004C39D6">
        <w:t xml:space="preserve">this round </w:t>
      </w:r>
      <w:r w:rsidR="008F716A">
        <w:t>in May 2021, and complete licence issue by end of June 2021.  </w:t>
      </w:r>
    </w:p>
    <w:p w14:paraId="6F6C0A3A" w14:textId="39A34BD4" w:rsidR="008F716A" w:rsidRPr="008F716A" w:rsidRDefault="00B440F3" w:rsidP="00481456">
      <w:pPr>
        <w:pStyle w:val="Paragraph"/>
      </w:pPr>
      <w:r>
        <w:t>We</w:t>
      </w:r>
      <w:r w:rsidR="008F716A">
        <w:t xml:space="preserve"> will announce the opening and closing dates for the </w:t>
      </w:r>
      <w:r w:rsidR="00072C7C">
        <w:t xml:space="preserve">round </w:t>
      </w:r>
      <w:r w:rsidR="008F716A">
        <w:t xml:space="preserve">1 and </w:t>
      </w:r>
      <w:r w:rsidR="00072C7C">
        <w:t xml:space="preserve">round </w:t>
      </w:r>
      <w:r w:rsidR="008F716A">
        <w:t xml:space="preserve">2 allocations on </w:t>
      </w:r>
      <w:r w:rsidR="00072C7C">
        <w:t>our</w:t>
      </w:r>
      <w:r w:rsidR="008F716A">
        <w:t xml:space="preserve"> website. </w:t>
      </w:r>
    </w:p>
    <w:p w14:paraId="3C3ADF49" w14:textId="74FA9BAC" w:rsidR="007D3141" w:rsidRDefault="007D3141" w:rsidP="00D47F77">
      <w:pPr>
        <w:pStyle w:val="Paragraphbeforelist"/>
        <w:rPr>
          <w:rFonts w:eastAsia="Arial"/>
          <w:szCs w:val="20"/>
        </w:rPr>
      </w:pPr>
      <w:r>
        <w:t xml:space="preserve">We propose that the annual apparatus licence tax for an AWL be based on the established $/MHz/pop </w:t>
      </w:r>
      <w:r w:rsidR="00E74C16">
        <w:t>con</w:t>
      </w:r>
      <w:r>
        <w:t xml:space="preserve">struct. </w:t>
      </w:r>
    </w:p>
    <w:p w14:paraId="14748A20" w14:textId="77777777" w:rsidR="007D3141" w:rsidRDefault="007D3141" w:rsidP="009073C6">
      <w:pPr>
        <w:pStyle w:val="Paragraph"/>
      </w:pPr>
    </w:p>
    <w:p w14:paraId="1AEFAB5B" w14:textId="56D04F71" w:rsidR="006A400F" w:rsidRDefault="00832BD0" w:rsidP="00715722">
      <w:pPr>
        <w:pStyle w:val="Heading1"/>
      </w:pPr>
      <w:bookmarkStart w:id="1" w:name="_Toc48723201"/>
      <w:bookmarkStart w:id="2" w:name="_Toc433122125"/>
      <w:r>
        <w:lastRenderedPageBreak/>
        <w:t>Background</w:t>
      </w:r>
      <w:bookmarkEnd w:id="1"/>
    </w:p>
    <w:p w14:paraId="404871F7" w14:textId="25EA17B4" w:rsidR="007D3141" w:rsidRDefault="007D3141" w:rsidP="007D3141">
      <w:pPr>
        <w:pStyle w:val="Paragraph"/>
      </w:pPr>
      <w:r>
        <w:t xml:space="preserve">A broad range of large and small (largely 5G) </w:t>
      </w:r>
      <w:r w:rsidR="00BB3B04">
        <w:t xml:space="preserve">wireless broadband </w:t>
      </w:r>
      <w:r w:rsidR="00255083">
        <w:t>(</w:t>
      </w:r>
      <w:r w:rsidR="000713A0">
        <w:t>WBB</w:t>
      </w:r>
      <w:r w:rsidR="00255083">
        <w:t>)</w:t>
      </w:r>
      <w:r>
        <w:t xml:space="preserve"> use cases are emerging in Australia</w:t>
      </w:r>
      <w:r w:rsidR="0005589B">
        <w:t xml:space="preserve"> and internationally</w:t>
      </w:r>
      <w:r>
        <w:t xml:space="preserve">. 5G technologies, along with the unique propagation characteristics of mmWave frequency bands, will accommodate many different existing, emerging and new use cases. This includes the potential for non-traditional </w:t>
      </w:r>
      <w:r w:rsidR="00416B16">
        <w:t xml:space="preserve">spectrum </w:t>
      </w:r>
      <w:r>
        <w:t xml:space="preserve">users to deploy private, enterprise or small-scale commercial 5G networks supporting such applications as healthcare, manufacturing/industrial, transportation and education. </w:t>
      </w:r>
    </w:p>
    <w:p w14:paraId="7F6A6C62" w14:textId="584E583B" w:rsidR="007D3141" w:rsidRPr="00D34236" w:rsidRDefault="000D4CD0" w:rsidP="00D34236">
      <w:pPr>
        <w:pStyle w:val="Paragraph"/>
      </w:pPr>
      <w:r>
        <w:t>We believe that t</w:t>
      </w:r>
      <w:r w:rsidR="007D3141">
        <w:t xml:space="preserve">he proposed allocation process and accompanying technical frameworks balance the needs of both </w:t>
      </w:r>
      <w:r w:rsidR="00721CD3">
        <w:t>WBB</w:t>
      </w:r>
      <w:r w:rsidR="007D3141">
        <w:t xml:space="preserve"> and satellite interests</w:t>
      </w:r>
      <w:r w:rsidR="00EB49F2">
        <w:t xml:space="preserve"> in accessing mmWave frequency bands</w:t>
      </w:r>
      <w:r w:rsidR="007D3141">
        <w:t xml:space="preserve">. </w:t>
      </w:r>
      <w:r w:rsidR="184198FA">
        <w:t>U</w:t>
      </w:r>
      <w:r w:rsidR="161F0D9E">
        <w:t>nder the proposed arrangements for the 28 GHz band, satellite use</w:t>
      </w:r>
      <w:r w:rsidR="00076BF8">
        <w:t>r</w:t>
      </w:r>
      <w:r w:rsidR="161F0D9E">
        <w:t>s will benefit from additional access to spectrum</w:t>
      </w:r>
      <w:r w:rsidR="00D84D32">
        <w:t>,</w:t>
      </w:r>
      <w:r w:rsidR="161F0D9E">
        <w:t xml:space="preserve"> </w:t>
      </w:r>
      <w:r w:rsidR="00917AC0">
        <w:t xml:space="preserve">and there will be </w:t>
      </w:r>
      <w:r w:rsidR="161F0D9E">
        <w:t xml:space="preserve">significant new opportunities for terrestrial fixed wireless broadband uses in the band. </w:t>
      </w:r>
      <w:r w:rsidR="007D3141">
        <w:t>In both cases</w:t>
      </w:r>
      <w:r w:rsidR="00227B75">
        <w:t>,</w:t>
      </w:r>
      <w:r w:rsidR="007D3141">
        <w:t xml:space="preserve"> these opportunities will deliver flow-on benefits to consumers in terms of quality and range of services available at little or no detriment to existing users of the spectrum.</w:t>
      </w:r>
    </w:p>
    <w:p w14:paraId="4E31A36F" w14:textId="62DAD000" w:rsidR="008907F8" w:rsidRPr="00281B72" w:rsidRDefault="008907F8" w:rsidP="00481456">
      <w:pPr>
        <w:pStyle w:val="Heading2"/>
      </w:pPr>
      <w:bookmarkStart w:id="3" w:name="_Toc48723202"/>
      <w:r w:rsidRPr="00281B72">
        <w:t>Planning decisions</w:t>
      </w:r>
      <w:bookmarkEnd w:id="3"/>
      <w:r w:rsidRPr="00281B72">
        <w:t xml:space="preserve"> </w:t>
      </w:r>
    </w:p>
    <w:p w14:paraId="5E7E41DA" w14:textId="394B252D" w:rsidR="008C3FFF" w:rsidRDefault="008C3FFF" w:rsidP="008C3FFF">
      <w:pPr>
        <w:pStyle w:val="CommentText"/>
      </w:pPr>
      <w:r>
        <w:t>The 26 GHz band, which comprises 24.25</w:t>
      </w:r>
      <w:r w:rsidR="00395F66">
        <w:t>–</w:t>
      </w:r>
      <w:r>
        <w:t>27.5 GHz, and the upper-adjacent 28 GHz band (27.5</w:t>
      </w:r>
      <w:r w:rsidR="00395F66">
        <w:t>–</w:t>
      </w:r>
      <w:r>
        <w:t>29.5 GHz), are the first of the mmWave bands to be allocated internationally on a widespread basis for wireless broadband services. A</w:t>
      </w:r>
      <w:r w:rsidRPr="008F63F2">
        <w:rPr>
          <w:rFonts w:cs="Arial"/>
          <w:bCs/>
          <w:color w:val="000000" w:themeColor="text1"/>
        </w:rPr>
        <w:t xml:space="preserve"> </w:t>
      </w:r>
      <w:r>
        <w:rPr>
          <w:rFonts w:cs="Arial"/>
          <w:bCs/>
          <w:color w:val="000000" w:themeColor="text1"/>
        </w:rPr>
        <w:t>summary of the allocations of mmWave spectrum by</w:t>
      </w:r>
      <w:r w:rsidRPr="00D14FE4">
        <w:rPr>
          <w:rFonts w:cs="Arial"/>
          <w:bCs/>
          <w:color w:val="000000" w:themeColor="text1"/>
        </w:rPr>
        <w:t xml:space="preserve"> </w:t>
      </w:r>
      <w:r w:rsidR="00F369E3">
        <w:rPr>
          <w:rFonts w:cs="Arial"/>
          <w:bCs/>
          <w:color w:val="000000" w:themeColor="text1"/>
        </w:rPr>
        <w:t xml:space="preserve">overseas </w:t>
      </w:r>
      <w:r w:rsidRPr="00D14FE4">
        <w:rPr>
          <w:rFonts w:cs="Arial"/>
          <w:bCs/>
          <w:color w:val="000000" w:themeColor="text1"/>
        </w:rPr>
        <w:t>regulators</w:t>
      </w:r>
      <w:r>
        <w:rPr>
          <w:rFonts w:cs="Arial"/>
          <w:bCs/>
          <w:color w:val="000000" w:themeColor="text1"/>
        </w:rPr>
        <w:t xml:space="preserve"> i</w:t>
      </w:r>
      <w:r>
        <w:t>s at</w:t>
      </w:r>
      <w:r w:rsidR="00D84D32">
        <w:t xml:space="preserve"> </w:t>
      </w:r>
      <w:hyperlink w:anchor="_Appendix_C_–" w:history="1">
        <w:r w:rsidR="00D84D32" w:rsidRPr="00D84D32">
          <w:rPr>
            <w:rStyle w:val="Hyperlink"/>
          </w:rPr>
          <w:t>Appendix C</w:t>
        </w:r>
      </w:hyperlink>
      <w:r>
        <w:t xml:space="preserve">. </w:t>
      </w:r>
    </w:p>
    <w:p w14:paraId="0A7E7D30" w14:textId="12DE0E49" w:rsidR="00BD3821" w:rsidRPr="00B313DD" w:rsidRDefault="630D2B1D" w:rsidP="00BD3821">
      <w:pPr>
        <w:spacing w:line="240" w:lineRule="auto"/>
      </w:pPr>
      <w:r>
        <w:t>This consultation package is a key part of the process of implementing previous planning</w:t>
      </w:r>
      <w:r w:rsidRPr="2AAE4496">
        <w:rPr>
          <w:rFonts w:cs="Arial"/>
          <w:color w:val="000000" w:themeColor="text1"/>
        </w:rPr>
        <w:t xml:space="preserve"> decisions</w:t>
      </w:r>
      <w:r w:rsidR="44C44FCE" w:rsidRPr="2AAE4496">
        <w:rPr>
          <w:rFonts w:cs="Arial"/>
          <w:color w:val="000000" w:themeColor="text1"/>
        </w:rPr>
        <w:t xml:space="preserve"> for the deployment of 5G services in Australia</w:t>
      </w:r>
      <w:r w:rsidR="411EE66B" w:rsidRPr="2AAE4496">
        <w:rPr>
          <w:rFonts w:cs="Arial"/>
          <w:color w:val="000000" w:themeColor="text1"/>
        </w:rPr>
        <w:t>.</w:t>
      </w:r>
      <w:r w:rsidR="44C44FCE" w:rsidRPr="2AAE4496">
        <w:rPr>
          <w:rFonts w:cs="Arial"/>
          <w:color w:val="000000" w:themeColor="text1"/>
        </w:rPr>
        <w:t xml:space="preserve"> </w:t>
      </w:r>
      <w:r w:rsidR="62FAC59E">
        <w:t xml:space="preserve">These decisions were the culmination of detailed reviews and are encapsulated in the 26 GHz band </w:t>
      </w:r>
      <w:hyperlink r:id="rId24">
        <w:r w:rsidR="62FAC59E" w:rsidRPr="2AAE4496">
          <w:rPr>
            <w:color w:val="0000FF"/>
            <w:u w:val="single"/>
          </w:rPr>
          <w:t>planning decisions and preliminary views paper</w:t>
        </w:r>
      </w:hyperlink>
      <w:r w:rsidR="62FAC59E">
        <w:t xml:space="preserve"> (26 GHz band decisions paper) and the</w:t>
      </w:r>
      <w:r w:rsidR="00D84D32">
        <w:t xml:space="preserve"> 28 GHz band</w:t>
      </w:r>
      <w:r w:rsidR="62FAC59E">
        <w:t xml:space="preserve"> </w:t>
      </w:r>
      <w:hyperlink r:id="rId25">
        <w:r w:rsidR="006C04D9">
          <w:rPr>
            <w:color w:val="0000FF"/>
            <w:u w:val="single"/>
          </w:rPr>
          <w:t>planning decisions and preliminary views paper</w:t>
        </w:r>
      </w:hyperlink>
      <w:r w:rsidR="62FAC59E">
        <w:t xml:space="preserve"> </w:t>
      </w:r>
      <w:r w:rsidR="00D84D32">
        <w:t>(</w:t>
      </w:r>
      <w:r w:rsidR="62FAC59E">
        <w:t>28 GHz decisions paper), which were released in April and September 2019 respectively.</w:t>
      </w:r>
    </w:p>
    <w:p w14:paraId="2FA5E7F0" w14:textId="0ADD56E6" w:rsidR="00B313DD" w:rsidRPr="00B313DD" w:rsidRDefault="00E656B2" w:rsidP="00B313DD">
      <w:r>
        <w:t>L</w:t>
      </w:r>
      <w:r w:rsidR="00B313DD" w:rsidRPr="00B313DD">
        <w:t>icen</w:t>
      </w:r>
      <w:r w:rsidR="00395F66">
        <w:t>s</w:t>
      </w:r>
      <w:r w:rsidR="00B313DD" w:rsidRPr="00B313DD">
        <w:t>ing options for both bands</w:t>
      </w:r>
      <w:r>
        <w:t xml:space="preserve"> </w:t>
      </w:r>
      <w:r w:rsidR="00783C9F">
        <w:t xml:space="preserve">had regard to </w:t>
      </w:r>
      <w:r w:rsidR="00B313DD" w:rsidRPr="00B313DD">
        <w:t xml:space="preserve">a range of factors, including the necessary conditions for coexistence between disparate services, and the likely technologies, use cases and deployment scenarios in those bands. </w:t>
      </w:r>
    </w:p>
    <w:p w14:paraId="0ABFB12A" w14:textId="5620C7D1" w:rsidR="00B313DD" w:rsidRDefault="00B313DD" w:rsidP="00713EC6">
      <w:r w:rsidRPr="00B313DD">
        <w:t>The 26 GHz band decisions paper flagged a suite of class, apparatus and spectrum licensing measures to facilitate a broad range of WBB use cases, along with proposed coexistence conditions necessary to ensure the ongoing, protected use of the band by various incumbent fixed-satellite, space-research and passive earth exploration satellite services (EESS).</w:t>
      </w:r>
      <w:r w:rsidR="00B02FD5">
        <w:t xml:space="preserve"> </w:t>
      </w:r>
    </w:p>
    <w:p w14:paraId="55C324AB" w14:textId="77777777" w:rsidR="00A45993" w:rsidRDefault="00202499" w:rsidP="00481456">
      <w:pPr>
        <w:pStyle w:val="Paragraphbeforelist"/>
      </w:pPr>
      <w:r w:rsidRPr="00B313DD">
        <w:t xml:space="preserve">The 28 GHz band decisions paper </w:t>
      </w:r>
      <w:r w:rsidRPr="00281B72">
        <w:t>outline</w:t>
      </w:r>
      <w:r w:rsidR="00E84B86">
        <w:t>d</w:t>
      </w:r>
      <w:r w:rsidRPr="00281B72">
        <w:t xml:space="preserve"> a combination of measures aimed at</w:t>
      </w:r>
      <w:r w:rsidRPr="00281B72">
        <w:rPr>
          <w:u w:val="single" w:color="0000FF"/>
        </w:rPr>
        <w:t xml:space="preserve"> </w:t>
      </w:r>
      <w:r w:rsidRPr="00B313DD">
        <w:t>maximising the overall public benefit derived from use of the band. This include</w:t>
      </w:r>
      <w:r w:rsidR="00E84B86">
        <w:t>d</w:t>
      </w:r>
      <w:r w:rsidR="00A45993">
        <w:t>:</w:t>
      </w:r>
    </w:p>
    <w:p w14:paraId="5BF5AE4E" w14:textId="5E863766" w:rsidR="00AA556B" w:rsidRDefault="00694ADC" w:rsidP="00BD4934">
      <w:pPr>
        <w:pStyle w:val="ListBullet"/>
      </w:pPr>
      <w:r>
        <w:t>T</w:t>
      </w:r>
      <w:r w:rsidR="00202499" w:rsidRPr="00B313DD">
        <w:t>he introduction of arrangements for fixed wireless access (FWA) services across the entire 28 GHz band</w:t>
      </w:r>
      <w:r w:rsidR="00E84B86">
        <w:t xml:space="preserve"> </w:t>
      </w:r>
      <w:r w:rsidR="00202499" w:rsidRPr="00B313DD">
        <w:t xml:space="preserve">on a co-primary basis with apparatus licensed </w:t>
      </w:r>
      <w:r w:rsidR="008802FF">
        <w:t>fixed satellite service (</w:t>
      </w:r>
      <w:r w:rsidR="00202499" w:rsidRPr="00B313DD">
        <w:t>FSS</w:t>
      </w:r>
      <w:r w:rsidR="008802FF">
        <w:t>)</w:t>
      </w:r>
      <w:r w:rsidR="00202499" w:rsidRPr="00B313DD">
        <w:t xml:space="preserve"> earth stations in large population centres in the 27.5</w:t>
      </w:r>
      <w:r w:rsidR="00BD4934">
        <w:t>–</w:t>
      </w:r>
      <w:r w:rsidR="00202499" w:rsidRPr="00B313DD">
        <w:t>28.1</w:t>
      </w:r>
      <w:r>
        <w:t> </w:t>
      </w:r>
      <w:r w:rsidR="00202499" w:rsidRPr="00B313DD">
        <w:t xml:space="preserve">GHz frequency range, and on a secondary (no protection) basis to the FSS in other areas and frequencies. </w:t>
      </w:r>
    </w:p>
    <w:p w14:paraId="63148925" w14:textId="28765421" w:rsidR="00C4432F" w:rsidRPr="00B313DD" w:rsidRDefault="00694ADC" w:rsidP="00814577">
      <w:pPr>
        <w:pStyle w:val="ListBulletLast"/>
      </w:pPr>
      <w:r>
        <w:t>P</w:t>
      </w:r>
      <w:r w:rsidR="0031376C">
        <w:t>rovid</w:t>
      </w:r>
      <w:r w:rsidR="00AA556B">
        <w:t>ing</w:t>
      </w:r>
      <w:r w:rsidR="00844B71">
        <w:t xml:space="preserve"> for</w:t>
      </w:r>
      <w:r w:rsidR="0031376C">
        <w:t xml:space="preserve"> </w:t>
      </w:r>
      <w:r w:rsidR="00202499" w:rsidRPr="00B313DD">
        <w:t xml:space="preserve">increased access to spectrum suitable for current and evolving satellite services, such as very high throughput broadband both to the home and to moving platforms. </w:t>
      </w:r>
    </w:p>
    <w:p w14:paraId="25DE3AC4" w14:textId="4974AB3D" w:rsidR="00C4432F" w:rsidRPr="00B313DD" w:rsidRDefault="00C4432F" w:rsidP="00481456">
      <w:pPr>
        <w:pStyle w:val="Heading2"/>
      </w:pPr>
      <w:bookmarkStart w:id="4" w:name="_Toc48723203"/>
      <w:r w:rsidRPr="00B313DD">
        <w:lastRenderedPageBreak/>
        <w:t>Technical Liaison Group</w:t>
      </w:r>
      <w:bookmarkEnd w:id="4"/>
      <w:r w:rsidRPr="00B313DD">
        <w:t xml:space="preserve"> </w:t>
      </w:r>
    </w:p>
    <w:p w14:paraId="59814160" w14:textId="5E0833D9" w:rsidR="00C4432F" w:rsidRPr="00B313DD" w:rsidRDefault="00171BDD" w:rsidP="00C4432F">
      <w:pPr>
        <w:rPr>
          <w:rFonts w:cs="Arial"/>
        </w:rPr>
      </w:pPr>
      <w:r>
        <w:rPr>
          <w:rFonts w:eastAsia="Arial" w:cs="Arial"/>
        </w:rPr>
        <w:t>Our</w:t>
      </w:r>
      <w:r w:rsidR="0091462E">
        <w:rPr>
          <w:rFonts w:eastAsia="Arial" w:cs="Arial"/>
        </w:rPr>
        <w:t xml:space="preserve"> practice is to </w:t>
      </w:r>
      <w:r w:rsidR="00C4432F" w:rsidRPr="00B313DD">
        <w:rPr>
          <w:rFonts w:eastAsia="Arial" w:cs="Arial"/>
        </w:rPr>
        <w:t xml:space="preserve">review or develop a new spectrum licence technical framework through the formation of a </w:t>
      </w:r>
      <w:r w:rsidR="0091462E">
        <w:rPr>
          <w:rFonts w:eastAsia="Arial" w:cs="Arial"/>
        </w:rPr>
        <w:t>Technical Lia</w:t>
      </w:r>
      <w:r w:rsidR="002D0C64">
        <w:rPr>
          <w:rFonts w:eastAsia="Arial" w:cs="Arial"/>
        </w:rPr>
        <w:t>ison Group (</w:t>
      </w:r>
      <w:r w:rsidR="00C4432F" w:rsidRPr="00B313DD">
        <w:rPr>
          <w:rFonts w:eastAsia="Arial" w:cs="Arial"/>
        </w:rPr>
        <w:t>TLG</w:t>
      </w:r>
      <w:r w:rsidR="002D0C64">
        <w:rPr>
          <w:rFonts w:eastAsia="Arial" w:cs="Arial"/>
        </w:rPr>
        <w:t>)</w:t>
      </w:r>
      <w:r w:rsidR="00C4432F" w:rsidRPr="00B313DD">
        <w:rPr>
          <w:rFonts w:eastAsia="Arial" w:cs="Arial"/>
        </w:rPr>
        <w:t xml:space="preserve">. A TLG is a short-term advisory body convened by the ACMA </w:t>
      </w:r>
      <w:r w:rsidR="000741E2">
        <w:rPr>
          <w:rFonts w:eastAsia="Arial" w:cs="Arial"/>
        </w:rPr>
        <w:t xml:space="preserve">and </w:t>
      </w:r>
      <w:r w:rsidR="00F60434">
        <w:rPr>
          <w:rFonts w:eastAsia="Arial" w:cs="Arial"/>
        </w:rPr>
        <w:t xml:space="preserve">comprising ACMA </w:t>
      </w:r>
      <w:r w:rsidR="00274CF9">
        <w:rPr>
          <w:rFonts w:eastAsia="Arial" w:cs="Arial"/>
        </w:rPr>
        <w:t>spectrum planning engineers</w:t>
      </w:r>
      <w:r w:rsidR="003A07D4">
        <w:rPr>
          <w:rFonts w:eastAsia="Arial" w:cs="Arial"/>
        </w:rPr>
        <w:t xml:space="preserve"> and</w:t>
      </w:r>
      <w:r w:rsidR="00274CF9">
        <w:rPr>
          <w:rFonts w:eastAsia="Arial" w:cs="Arial"/>
        </w:rPr>
        <w:t xml:space="preserve"> </w:t>
      </w:r>
      <w:r w:rsidR="00F60434" w:rsidRPr="00B313DD">
        <w:rPr>
          <w:rFonts w:eastAsia="Arial" w:cs="Arial"/>
        </w:rPr>
        <w:t xml:space="preserve">industry and other </w:t>
      </w:r>
      <w:r w:rsidR="00F60434">
        <w:rPr>
          <w:rFonts w:eastAsia="Arial" w:cs="Arial"/>
        </w:rPr>
        <w:t>spectrum users</w:t>
      </w:r>
      <w:r w:rsidR="00D2498C">
        <w:rPr>
          <w:rFonts w:eastAsia="Arial" w:cs="Arial"/>
        </w:rPr>
        <w:t xml:space="preserve"> </w:t>
      </w:r>
      <w:r w:rsidR="00274CF9">
        <w:rPr>
          <w:rFonts w:eastAsia="Arial" w:cs="Arial"/>
        </w:rPr>
        <w:t xml:space="preserve">to </w:t>
      </w:r>
      <w:r w:rsidR="00C4432F" w:rsidRPr="00B313DD">
        <w:rPr>
          <w:rFonts w:eastAsia="Arial" w:cs="Arial"/>
        </w:rPr>
        <w:t xml:space="preserve">discuss the technical aspects of spectrum licences. </w:t>
      </w:r>
    </w:p>
    <w:p w14:paraId="7A521359" w14:textId="6BFBF6AB" w:rsidR="000C041B" w:rsidRDefault="0078509A" w:rsidP="2AAE4496">
      <w:pPr>
        <w:rPr>
          <w:rFonts w:cs="Arial"/>
          <w:lang w:eastAsia="en-US"/>
        </w:rPr>
      </w:pPr>
      <w:r>
        <w:rPr>
          <w:rFonts w:eastAsia="Arial" w:cs="Arial"/>
          <w:snapToGrid w:val="0"/>
          <w:lang w:eastAsia="en-US"/>
        </w:rPr>
        <w:t xml:space="preserve">In </w:t>
      </w:r>
      <w:r w:rsidR="00C4432F" w:rsidRPr="00B313DD">
        <w:rPr>
          <w:rFonts w:eastAsia="Arial" w:cs="Arial"/>
          <w:snapToGrid w:val="0"/>
          <w:lang w:eastAsia="en-US"/>
        </w:rPr>
        <w:t xml:space="preserve">November 2019, </w:t>
      </w:r>
      <w:r w:rsidR="001C58FB">
        <w:rPr>
          <w:rFonts w:eastAsia="Arial" w:cs="Arial"/>
          <w:snapToGrid w:val="0"/>
          <w:lang w:eastAsia="en-US"/>
        </w:rPr>
        <w:t>we</w:t>
      </w:r>
      <w:r w:rsidR="00C4432F" w:rsidRPr="00B313DD">
        <w:rPr>
          <w:rFonts w:eastAsia="Arial" w:cs="Arial"/>
          <w:snapToGrid w:val="0"/>
          <w:lang w:eastAsia="en-US"/>
        </w:rPr>
        <w:t xml:space="preserve"> convened a TLG to provide advice on the development of the 26 GHz spectrum licence technical framework</w:t>
      </w:r>
      <w:r w:rsidR="00656B3B">
        <w:rPr>
          <w:rFonts w:eastAsia="Arial" w:cs="Arial"/>
          <w:snapToGrid w:val="0"/>
          <w:lang w:eastAsia="en-US"/>
        </w:rPr>
        <w:t xml:space="preserve">, </w:t>
      </w:r>
      <w:r w:rsidR="00BE69FD">
        <w:rPr>
          <w:rFonts w:eastAsia="Arial" w:cs="Arial"/>
          <w:snapToGrid w:val="0"/>
          <w:lang w:eastAsia="en-US"/>
        </w:rPr>
        <w:t xml:space="preserve">which included </w:t>
      </w:r>
      <w:r w:rsidR="00C4432F" w:rsidRPr="00B313DD">
        <w:rPr>
          <w:rFonts w:eastAsia="Arial" w:cs="Arial"/>
          <w:snapToGrid w:val="0"/>
          <w:lang w:eastAsia="en-US"/>
        </w:rPr>
        <w:t xml:space="preserve">consideration of the technical frameworks for 26 </w:t>
      </w:r>
      <w:r w:rsidR="005942AE">
        <w:rPr>
          <w:rFonts w:eastAsia="Arial" w:cs="Arial"/>
          <w:snapToGrid w:val="0"/>
          <w:lang w:eastAsia="en-US"/>
        </w:rPr>
        <w:t xml:space="preserve">GHz </w:t>
      </w:r>
      <w:r w:rsidR="00C4432F" w:rsidRPr="00B313DD">
        <w:rPr>
          <w:rFonts w:eastAsia="Arial" w:cs="Arial"/>
          <w:snapToGrid w:val="0"/>
          <w:lang w:eastAsia="en-US"/>
        </w:rPr>
        <w:t>and 28 GHz AWLs</w:t>
      </w:r>
      <w:r w:rsidR="00BE69FD">
        <w:rPr>
          <w:rFonts w:eastAsia="Arial" w:cs="Arial"/>
          <w:snapToGrid w:val="0"/>
          <w:lang w:eastAsia="en-US"/>
        </w:rPr>
        <w:t>.</w:t>
      </w:r>
      <w:r w:rsidR="00281B72">
        <w:rPr>
          <w:rFonts w:eastAsia="Arial" w:cs="Arial"/>
          <w:snapToGrid w:val="0"/>
          <w:lang w:eastAsia="en-US"/>
        </w:rPr>
        <w:t xml:space="preserve"> </w:t>
      </w:r>
      <w:r w:rsidR="008555A5">
        <w:rPr>
          <w:rFonts w:eastAsia="Arial" w:cs="Arial"/>
          <w:snapToGrid w:val="0"/>
          <w:lang w:eastAsia="en-US"/>
        </w:rPr>
        <w:t xml:space="preserve">The TLG completed its </w:t>
      </w:r>
      <w:r w:rsidR="008555A5">
        <w:rPr>
          <w:rFonts w:eastAsia="Arial" w:cs="Arial"/>
        </w:rPr>
        <w:t>c</w:t>
      </w:r>
      <w:r w:rsidR="00B341BD" w:rsidRPr="00B313DD">
        <w:rPr>
          <w:rFonts w:eastAsia="Arial" w:cs="Arial"/>
        </w:rPr>
        <w:t xml:space="preserve">onsideration of the draft technical framework in April 2020. </w:t>
      </w:r>
      <w:r w:rsidR="00B341BD" w:rsidRPr="00B313DD">
        <w:rPr>
          <w:rFonts w:cs="Arial"/>
        </w:rPr>
        <w:t>The outcomes of the 26</w:t>
      </w:r>
      <w:r w:rsidR="00B341BD">
        <w:rPr>
          <w:rFonts w:cs="Arial"/>
        </w:rPr>
        <w:t xml:space="preserve"> and </w:t>
      </w:r>
      <w:r w:rsidR="00B341BD" w:rsidRPr="00B313DD">
        <w:rPr>
          <w:rFonts w:cs="Arial"/>
        </w:rPr>
        <w:t xml:space="preserve">28 GHz TLG are available on the </w:t>
      </w:r>
      <w:hyperlink r:id="rId26" w:history="1">
        <w:r w:rsidR="00B341BD" w:rsidRPr="00B313DD">
          <w:rPr>
            <w:rFonts w:cs="Arial"/>
            <w:color w:val="0000FF"/>
            <w:u w:val="single" w:color="0000FF"/>
          </w:rPr>
          <w:t>ACMA website</w:t>
        </w:r>
      </w:hyperlink>
      <w:r w:rsidR="00B341BD" w:rsidRPr="00B313DD">
        <w:rPr>
          <w:rFonts w:cs="Arial"/>
        </w:rPr>
        <w:t>.</w:t>
      </w:r>
      <w:r w:rsidR="00B341BD" w:rsidRPr="00B313DD" w:rsidDel="00E77613">
        <w:rPr>
          <w:rFonts w:cs="Arial"/>
        </w:rPr>
        <w:t xml:space="preserve"> </w:t>
      </w:r>
      <w:r w:rsidR="00BE69FD">
        <w:rPr>
          <w:rFonts w:cs="Arial"/>
          <w:snapToGrid w:val="0"/>
          <w:lang w:eastAsia="en-US"/>
        </w:rPr>
        <w:t>T</w:t>
      </w:r>
      <w:r w:rsidR="00C4432F" w:rsidRPr="00B313DD">
        <w:rPr>
          <w:rFonts w:cs="Arial"/>
          <w:snapToGrid w:val="0"/>
          <w:lang w:eastAsia="en-US"/>
        </w:rPr>
        <w:t>he draft technical framework</w:t>
      </w:r>
      <w:r w:rsidR="005942AE">
        <w:rPr>
          <w:rFonts w:cs="Arial"/>
          <w:snapToGrid w:val="0"/>
          <w:lang w:eastAsia="en-US"/>
        </w:rPr>
        <w:t>s</w:t>
      </w:r>
      <w:r w:rsidR="00C4432F" w:rsidRPr="00B313DD">
        <w:rPr>
          <w:rFonts w:cs="Arial"/>
          <w:snapToGrid w:val="0"/>
          <w:lang w:eastAsia="en-US"/>
        </w:rPr>
        <w:t xml:space="preserve"> that are proposed for AWLs in these bands (contained in </w:t>
      </w:r>
      <w:hyperlink w:anchor="_Draft_technical_framework" w:history="1">
        <w:r w:rsidR="00C4432F" w:rsidRPr="003A07D4">
          <w:rPr>
            <w:rStyle w:val="Hyperlink"/>
            <w:rFonts w:cs="Arial"/>
            <w:snapToGrid w:val="0"/>
            <w:lang w:eastAsia="en-US"/>
          </w:rPr>
          <w:t>A</w:t>
        </w:r>
        <w:r w:rsidR="004E4067" w:rsidRPr="003A07D4">
          <w:rPr>
            <w:rStyle w:val="Hyperlink"/>
            <w:rFonts w:cs="Arial"/>
            <w:snapToGrid w:val="0"/>
            <w:lang w:eastAsia="en-US"/>
          </w:rPr>
          <w:t>ppendix</w:t>
        </w:r>
        <w:r w:rsidR="00C4432F" w:rsidRPr="003A07D4">
          <w:rPr>
            <w:rStyle w:val="Hyperlink"/>
            <w:rFonts w:cs="Arial"/>
            <w:snapToGrid w:val="0"/>
            <w:lang w:eastAsia="en-US"/>
          </w:rPr>
          <w:t xml:space="preserve"> B</w:t>
        </w:r>
      </w:hyperlink>
      <w:r w:rsidR="00C4432F" w:rsidRPr="00B313DD">
        <w:rPr>
          <w:rFonts w:cs="Arial"/>
          <w:snapToGrid w:val="0"/>
          <w:lang w:eastAsia="en-US"/>
        </w:rPr>
        <w:t xml:space="preserve">) have been informed by TLG deliberations. </w:t>
      </w:r>
    </w:p>
    <w:p w14:paraId="03AE3BDC" w14:textId="4E3DBB5D" w:rsidR="00CC49CC" w:rsidRDefault="007343C8" w:rsidP="000C041B">
      <w:pPr>
        <w:rPr>
          <w:rFonts w:eastAsia="Arial" w:cs="Arial"/>
          <w:snapToGrid w:val="0"/>
          <w:lang w:eastAsia="en-US"/>
        </w:rPr>
      </w:pPr>
      <w:r>
        <w:rPr>
          <w:rFonts w:cs="Arial"/>
          <w:snapToGrid w:val="0"/>
          <w:lang w:eastAsia="en-US"/>
        </w:rPr>
        <w:t xml:space="preserve">As </w:t>
      </w:r>
      <w:r w:rsidR="008D7B28">
        <w:rPr>
          <w:rFonts w:cs="Arial"/>
          <w:snapToGrid w:val="0"/>
          <w:lang w:eastAsia="en-US"/>
        </w:rPr>
        <w:t xml:space="preserve">WBB </w:t>
      </w:r>
      <w:r w:rsidR="00281B72">
        <w:rPr>
          <w:rFonts w:cs="Arial"/>
          <w:snapToGrid w:val="0"/>
          <w:lang w:eastAsia="en-US"/>
        </w:rPr>
        <w:t xml:space="preserve">use cases </w:t>
      </w:r>
      <w:r w:rsidR="001971CC">
        <w:rPr>
          <w:rFonts w:cs="Arial"/>
          <w:snapToGrid w:val="0"/>
          <w:lang w:eastAsia="en-US"/>
        </w:rPr>
        <w:t>were</w:t>
      </w:r>
      <w:r w:rsidR="00281B72">
        <w:rPr>
          <w:rFonts w:cs="Arial"/>
          <w:snapToGrid w:val="0"/>
          <w:lang w:eastAsia="en-US"/>
        </w:rPr>
        <w:t xml:space="preserve"> the initial focus of interest for the AWL</w:t>
      </w:r>
      <w:r w:rsidR="001441C4">
        <w:rPr>
          <w:rFonts w:cs="Arial"/>
          <w:snapToGrid w:val="0"/>
          <w:lang w:eastAsia="en-US"/>
        </w:rPr>
        <w:t>,</w:t>
      </w:r>
      <w:r w:rsidR="00C4432F" w:rsidRPr="00B313DD">
        <w:rPr>
          <w:rFonts w:cs="Arial"/>
          <w:snapToGrid w:val="0"/>
          <w:lang w:eastAsia="en-US"/>
        </w:rPr>
        <w:t xml:space="preserve"> the draft technical framework was originally optimised for that service. </w:t>
      </w:r>
      <w:r w:rsidR="0044262E">
        <w:rPr>
          <w:rFonts w:eastAsia="Arial" w:cs="Arial"/>
          <w:snapToGrid w:val="0"/>
          <w:lang w:eastAsia="en-US"/>
        </w:rPr>
        <w:t>At the end of the TLG process</w:t>
      </w:r>
      <w:r w:rsidR="003F7934">
        <w:rPr>
          <w:rFonts w:eastAsia="Arial" w:cs="Arial"/>
          <w:snapToGrid w:val="0"/>
          <w:lang w:eastAsia="en-US"/>
        </w:rPr>
        <w:t>,</w:t>
      </w:r>
      <w:r w:rsidR="0044262E">
        <w:rPr>
          <w:rFonts w:eastAsia="Arial" w:cs="Arial"/>
          <w:snapToGrid w:val="0"/>
          <w:lang w:eastAsia="en-US"/>
        </w:rPr>
        <w:t xml:space="preserve"> staff engaged in a</w:t>
      </w:r>
      <w:r w:rsidR="003F7934">
        <w:rPr>
          <w:rFonts w:eastAsia="Arial" w:cs="Arial"/>
          <w:snapToGrid w:val="0"/>
          <w:lang w:eastAsia="en-US"/>
        </w:rPr>
        <w:t>n</w:t>
      </w:r>
      <w:r w:rsidR="0044262E">
        <w:rPr>
          <w:rFonts w:eastAsia="Arial" w:cs="Arial"/>
          <w:snapToGrid w:val="0"/>
          <w:lang w:eastAsia="en-US"/>
        </w:rPr>
        <w:t xml:space="preserve"> FSS</w:t>
      </w:r>
      <w:r w:rsidR="00284B6F">
        <w:rPr>
          <w:rFonts w:eastAsia="Arial" w:cs="Arial"/>
          <w:snapToGrid w:val="0"/>
          <w:lang w:eastAsia="en-US"/>
        </w:rPr>
        <w:t>-</w:t>
      </w:r>
      <w:r w:rsidR="0044262E">
        <w:rPr>
          <w:rFonts w:eastAsia="Arial" w:cs="Arial"/>
          <w:snapToGrid w:val="0"/>
          <w:lang w:eastAsia="en-US"/>
        </w:rPr>
        <w:t xml:space="preserve">specific consultation using the TLG distribution list. </w:t>
      </w:r>
    </w:p>
    <w:p w14:paraId="227EF8DC" w14:textId="51B0B8CC" w:rsidR="000C041B" w:rsidRDefault="005A7164" w:rsidP="000C041B">
      <w:pPr>
        <w:rPr>
          <w:rFonts w:eastAsia="Arial" w:cs="Arial"/>
          <w:snapToGrid w:val="0"/>
          <w:lang w:eastAsia="en-US"/>
        </w:rPr>
      </w:pPr>
      <w:r>
        <w:rPr>
          <w:rFonts w:eastAsia="Arial" w:cs="Arial"/>
          <w:snapToGrid w:val="0"/>
          <w:lang w:eastAsia="en-US"/>
        </w:rPr>
        <w:t xml:space="preserve">These </w:t>
      </w:r>
      <w:r>
        <w:rPr>
          <w:rFonts w:cs="Arial"/>
          <w:snapToGrid w:val="0"/>
          <w:lang w:eastAsia="en-US"/>
        </w:rPr>
        <w:t>s</w:t>
      </w:r>
      <w:r w:rsidR="00081447">
        <w:rPr>
          <w:rFonts w:cs="Arial"/>
          <w:snapToGrid w:val="0"/>
          <w:lang w:eastAsia="en-US"/>
        </w:rPr>
        <w:t>ubsequent discussions identified</w:t>
      </w:r>
      <w:r w:rsidR="00044BDA">
        <w:rPr>
          <w:rFonts w:cs="Arial"/>
          <w:snapToGrid w:val="0"/>
          <w:lang w:eastAsia="en-US"/>
        </w:rPr>
        <w:t xml:space="preserve"> scenarios where</w:t>
      </w:r>
      <w:r w:rsidR="00C4432F" w:rsidRPr="00B313DD">
        <w:rPr>
          <w:rFonts w:cs="Arial"/>
          <w:snapToGrid w:val="0"/>
          <w:lang w:eastAsia="en-US"/>
        </w:rPr>
        <w:t xml:space="preserve"> AWLs could also be used to authorise </w:t>
      </w:r>
      <w:r w:rsidR="00AF4342">
        <w:rPr>
          <w:rFonts w:cs="Arial"/>
          <w:snapToGrid w:val="0"/>
          <w:lang w:eastAsia="en-US"/>
        </w:rPr>
        <w:t>F</w:t>
      </w:r>
      <w:r w:rsidR="00C4432F" w:rsidRPr="00B313DD">
        <w:rPr>
          <w:rFonts w:cs="Arial"/>
          <w:snapToGrid w:val="0"/>
          <w:lang w:eastAsia="en-US"/>
        </w:rPr>
        <w:t>SS earth stations in the range 27</w:t>
      </w:r>
      <w:r w:rsidR="002D34D0">
        <w:rPr>
          <w:rFonts w:cs="Arial"/>
          <w:snapToGrid w:val="0"/>
          <w:lang w:eastAsia="en-US"/>
        </w:rPr>
        <w:t>–</w:t>
      </w:r>
      <w:r w:rsidR="004449CC">
        <w:rPr>
          <w:rFonts w:cs="Arial"/>
          <w:snapToGrid w:val="0"/>
          <w:lang w:eastAsia="en-US"/>
        </w:rPr>
        <w:t>30</w:t>
      </w:r>
      <w:r w:rsidR="00C4432F" w:rsidRPr="00B313DD">
        <w:rPr>
          <w:rFonts w:cs="Arial"/>
          <w:snapToGrid w:val="0"/>
          <w:lang w:eastAsia="en-US"/>
        </w:rPr>
        <w:t xml:space="preserve"> GHz.</w:t>
      </w:r>
      <w:r w:rsidR="00E712DA">
        <w:rPr>
          <w:rFonts w:cs="Arial"/>
          <w:snapToGrid w:val="0"/>
          <w:lang w:eastAsia="en-US"/>
        </w:rPr>
        <w:t xml:space="preserve"> </w:t>
      </w:r>
      <w:r w:rsidR="00AF4342">
        <w:rPr>
          <w:rFonts w:cs="Arial"/>
          <w:snapToGrid w:val="0"/>
          <w:lang w:eastAsia="en-US"/>
        </w:rPr>
        <w:t>Ini</w:t>
      </w:r>
      <w:r w:rsidR="00DF106B">
        <w:rPr>
          <w:rFonts w:cs="Arial"/>
          <w:snapToGrid w:val="0"/>
          <w:lang w:eastAsia="en-US"/>
        </w:rPr>
        <w:t>tial feedback</w:t>
      </w:r>
      <w:r w:rsidR="00D92442">
        <w:rPr>
          <w:rFonts w:cs="Arial"/>
          <w:snapToGrid w:val="0"/>
          <w:lang w:eastAsia="en-US"/>
        </w:rPr>
        <w:t xml:space="preserve"> </w:t>
      </w:r>
      <w:r w:rsidR="003B6251">
        <w:rPr>
          <w:rFonts w:cs="Arial"/>
          <w:snapToGrid w:val="0"/>
          <w:lang w:eastAsia="en-US"/>
        </w:rPr>
        <w:t>on these preliminary proposals</w:t>
      </w:r>
      <w:r w:rsidR="00AB643E">
        <w:rPr>
          <w:rFonts w:cs="Arial"/>
          <w:snapToGrid w:val="0"/>
          <w:lang w:eastAsia="en-US"/>
        </w:rPr>
        <w:t xml:space="preserve"> </w:t>
      </w:r>
      <w:r w:rsidR="00C84C6C">
        <w:rPr>
          <w:rFonts w:cs="Arial"/>
          <w:snapToGrid w:val="0"/>
          <w:lang w:eastAsia="en-US"/>
        </w:rPr>
        <w:t xml:space="preserve">identified a set of </w:t>
      </w:r>
      <w:r w:rsidR="008876C4">
        <w:rPr>
          <w:rFonts w:cs="Arial"/>
          <w:snapToGrid w:val="0"/>
          <w:lang w:eastAsia="en-US"/>
        </w:rPr>
        <w:t xml:space="preserve">concerns about using </w:t>
      </w:r>
      <w:r w:rsidR="00454795">
        <w:rPr>
          <w:rFonts w:cs="Arial"/>
          <w:snapToGrid w:val="0"/>
          <w:lang w:eastAsia="en-US"/>
        </w:rPr>
        <w:t>AWLs for earth station licensing</w:t>
      </w:r>
      <w:r w:rsidR="007B1442">
        <w:rPr>
          <w:rFonts w:cs="Arial"/>
          <w:snapToGrid w:val="0"/>
          <w:lang w:eastAsia="en-US"/>
        </w:rPr>
        <w:t>.</w:t>
      </w:r>
      <w:r w:rsidR="00365910">
        <w:rPr>
          <w:rFonts w:cs="Arial"/>
          <w:snapToGrid w:val="0"/>
          <w:lang w:eastAsia="en-US"/>
        </w:rPr>
        <w:t xml:space="preserve"> </w:t>
      </w:r>
      <w:r w:rsidR="00B007B7">
        <w:rPr>
          <w:rFonts w:cs="Arial"/>
          <w:snapToGrid w:val="0"/>
          <w:lang w:eastAsia="en-US"/>
        </w:rPr>
        <w:t>T</w:t>
      </w:r>
      <w:r w:rsidR="00DE733C">
        <w:rPr>
          <w:rFonts w:cs="Arial"/>
          <w:snapToGrid w:val="0"/>
          <w:lang w:eastAsia="en-US"/>
        </w:rPr>
        <w:t xml:space="preserve">his </w:t>
      </w:r>
      <w:r w:rsidR="004C28F0">
        <w:rPr>
          <w:rFonts w:cs="Arial"/>
          <w:snapToGrid w:val="0"/>
          <w:lang w:eastAsia="en-US"/>
        </w:rPr>
        <w:t xml:space="preserve">feedback </w:t>
      </w:r>
      <w:r w:rsidR="005B55BC">
        <w:rPr>
          <w:rFonts w:cs="Arial"/>
          <w:snapToGrid w:val="0"/>
          <w:lang w:eastAsia="en-US"/>
        </w:rPr>
        <w:t>has been considered in the development of the draft technical framework</w:t>
      </w:r>
      <w:r w:rsidR="002053C1">
        <w:rPr>
          <w:rFonts w:cs="Arial"/>
          <w:snapToGrid w:val="0"/>
          <w:lang w:eastAsia="en-US"/>
        </w:rPr>
        <w:t xml:space="preserve">. </w:t>
      </w:r>
      <w:r w:rsidR="008F496B">
        <w:rPr>
          <w:rFonts w:cs="Arial"/>
          <w:snapToGrid w:val="0"/>
          <w:lang w:eastAsia="en-US"/>
        </w:rPr>
        <w:t xml:space="preserve">In order to </w:t>
      </w:r>
      <w:r w:rsidR="00A756C8">
        <w:rPr>
          <w:rFonts w:cs="Arial"/>
          <w:snapToGrid w:val="0"/>
          <w:lang w:eastAsia="en-US"/>
        </w:rPr>
        <w:t>create a</w:t>
      </w:r>
      <w:r w:rsidR="008F496B">
        <w:rPr>
          <w:rFonts w:cs="Arial"/>
          <w:snapToGrid w:val="0"/>
          <w:lang w:eastAsia="en-US"/>
        </w:rPr>
        <w:t xml:space="preserve"> </w:t>
      </w:r>
      <w:r w:rsidR="00DB5610">
        <w:rPr>
          <w:rFonts w:cs="Arial"/>
          <w:snapToGrid w:val="0"/>
          <w:lang w:eastAsia="en-US"/>
        </w:rPr>
        <w:t>homogeneous</w:t>
      </w:r>
      <w:r w:rsidR="008F496B">
        <w:rPr>
          <w:rFonts w:cs="Arial"/>
          <w:snapToGrid w:val="0"/>
          <w:lang w:eastAsia="en-US"/>
        </w:rPr>
        <w:t xml:space="preserve"> licensing </w:t>
      </w:r>
      <w:r w:rsidR="00A756C8">
        <w:rPr>
          <w:rFonts w:cs="Arial"/>
          <w:snapToGrid w:val="0"/>
          <w:lang w:eastAsia="en-US"/>
        </w:rPr>
        <w:t>system,</w:t>
      </w:r>
      <w:r w:rsidR="008F496B">
        <w:rPr>
          <w:rFonts w:cs="Arial"/>
          <w:snapToGrid w:val="0"/>
          <w:lang w:eastAsia="en-US"/>
        </w:rPr>
        <w:t xml:space="preserve"> </w:t>
      </w:r>
      <w:r w:rsidR="00A756C8">
        <w:rPr>
          <w:rFonts w:cs="Arial"/>
          <w:snapToGrid w:val="0"/>
          <w:lang w:eastAsia="en-US"/>
        </w:rPr>
        <w:t>t</w:t>
      </w:r>
      <w:r w:rsidR="001457DB">
        <w:rPr>
          <w:rFonts w:cs="Arial"/>
          <w:snapToGrid w:val="0"/>
          <w:lang w:eastAsia="en-US"/>
        </w:rPr>
        <w:t>his</w:t>
      </w:r>
      <w:r w:rsidR="009C5A99">
        <w:rPr>
          <w:rFonts w:cs="Arial"/>
          <w:snapToGrid w:val="0"/>
          <w:lang w:eastAsia="en-US"/>
        </w:rPr>
        <w:t xml:space="preserve"> draft</w:t>
      </w:r>
      <w:r w:rsidR="001457DB">
        <w:rPr>
          <w:rFonts w:cs="Arial"/>
          <w:snapToGrid w:val="0"/>
          <w:lang w:eastAsia="en-US"/>
        </w:rPr>
        <w:t xml:space="preserve"> framework has been modified so it is now optimised for both WBB and FSS earth stations.</w:t>
      </w:r>
      <w:r w:rsidR="001C37F0">
        <w:rPr>
          <w:rStyle w:val="FootnoteReference"/>
          <w:rFonts w:cs="Arial"/>
          <w:snapToGrid w:val="0"/>
          <w:lang w:eastAsia="en-US"/>
        </w:rPr>
        <w:footnoteReference w:id="3"/>
      </w:r>
      <w:r w:rsidR="00783272" w:rsidRPr="00EE073E" w:rsidDel="00766646">
        <w:rPr>
          <w:rFonts w:cs="Arial"/>
          <w:snapToGrid w:val="0"/>
          <w:lang w:eastAsia="en-US"/>
        </w:rPr>
        <w:t xml:space="preserve"> </w:t>
      </w:r>
    </w:p>
    <w:p w14:paraId="33793B9E" w14:textId="7BB9E5F8" w:rsidR="00C4432F" w:rsidRPr="00B313DD" w:rsidRDefault="000B28A8" w:rsidP="00C4432F">
      <w:pPr>
        <w:rPr>
          <w:rFonts w:cs="Arial"/>
          <w:snapToGrid w:val="0"/>
          <w:lang w:eastAsia="en-US"/>
        </w:rPr>
      </w:pPr>
      <w:r>
        <w:rPr>
          <w:rFonts w:cs="Arial"/>
          <w:snapToGrid w:val="0"/>
          <w:lang w:eastAsia="en-US"/>
        </w:rPr>
        <w:t>Earth stations in the range 29.5</w:t>
      </w:r>
      <w:r w:rsidR="00783272">
        <w:rPr>
          <w:rFonts w:cs="Arial"/>
          <w:snapToGrid w:val="0"/>
          <w:lang w:eastAsia="en-US"/>
        </w:rPr>
        <w:t>–</w:t>
      </w:r>
      <w:r>
        <w:rPr>
          <w:rFonts w:cs="Arial"/>
          <w:snapToGrid w:val="0"/>
          <w:lang w:eastAsia="en-US"/>
        </w:rPr>
        <w:t>30 GHz are still authorised under a fixed</w:t>
      </w:r>
      <w:r w:rsidR="009F5AC7">
        <w:rPr>
          <w:rFonts w:cs="Arial"/>
          <w:snapToGrid w:val="0"/>
          <w:lang w:eastAsia="en-US"/>
        </w:rPr>
        <w:t>-</w:t>
      </w:r>
      <w:r>
        <w:rPr>
          <w:rFonts w:cs="Arial"/>
          <w:snapToGrid w:val="0"/>
          <w:lang w:eastAsia="en-US"/>
        </w:rPr>
        <w:t xml:space="preserve">earth apparatus licence. </w:t>
      </w:r>
      <w:r w:rsidR="00663ED8">
        <w:rPr>
          <w:rFonts w:cs="Arial"/>
          <w:snapToGrid w:val="0"/>
          <w:lang w:eastAsia="en-US"/>
        </w:rPr>
        <w:t xml:space="preserve">This paper is </w:t>
      </w:r>
      <w:r w:rsidR="00DF7353">
        <w:rPr>
          <w:rFonts w:cs="Arial"/>
          <w:snapToGrid w:val="0"/>
          <w:lang w:eastAsia="en-US"/>
        </w:rPr>
        <w:t xml:space="preserve">also </w:t>
      </w:r>
      <w:r w:rsidR="00663ED8">
        <w:rPr>
          <w:rFonts w:cs="Arial"/>
          <w:snapToGrid w:val="0"/>
          <w:lang w:eastAsia="en-US"/>
        </w:rPr>
        <w:t xml:space="preserve">consulting on </w:t>
      </w:r>
      <w:r w:rsidR="00B83034">
        <w:rPr>
          <w:rFonts w:cs="Arial"/>
          <w:snapToGrid w:val="0"/>
          <w:lang w:eastAsia="en-US"/>
        </w:rPr>
        <w:t xml:space="preserve">a proposal </w:t>
      </w:r>
      <w:r w:rsidR="00AD4625">
        <w:rPr>
          <w:rFonts w:cs="Arial"/>
          <w:snapToGrid w:val="0"/>
          <w:lang w:eastAsia="en-US"/>
        </w:rPr>
        <w:t>that FSS earth</w:t>
      </w:r>
      <w:r w:rsidR="0001394A">
        <w:rPr>
          <w:rFonts w:cs="Arial"/>
          <w:snapToGrid w:val="0"/>
          <w:lang w:eastAsia="en-US"/>
        </w:rPr>
        <w:t xml:space="preserve"> </w:t>
      </w:r>
      <w:r w:rsidR="00AD4625">
        <w:rPr>
          <w:rFonts w:cs="Arial"/>
          <w:snapToGrid w:val="0"/>
          <w:lang w:eastAsia="en-US"/>
        </w:rPr>
        <w:t>stations</w:t>
      </w:r>
      <w:r w:rsidR="0001394A">
        <w:rPr>
          <w:rFonts w:cs="Arial"/>
          <w:snapToGrid w:val="0"/>
          <w:lang w:eastAsia="en-US"/>
        </w:rPr>
        <w:t xml:space="preserve"> </w:t>
      </w:r>
      <w:r w:rsidR="00AD4625">
        <w:rPr>
          <w:rFonts w:cs="Arial"/>
          <w:snapToGrid w:val="0"/>
          <w:lang w:eastAsia="en-US"/>
        </w:rPr>
        <w:t>in</w:t>
      </w:r>
      <w:r w:rsidR="0001394A">
        <w:rPr>
          <w:rFonts w:cs="Arial"/>
          <w:snapToGrid w:val="0"/>
          <w:lang w:eastAsia="en-US"/>
        </w:rPr>
        <w:t xml:space="preserve"> </w:t>
      </w:r>
      <w:r w:rsidR="00AD4625">
        <w:rPr>
          <w:rFonts w:cs="Arial"/>
          <w:snapToGrid w:val="0"/>
          <w:lang w:eastAsia="en-US"/>
        </w:rPr>
        <w:t xml:space="preserve">this range could be authorised </w:t>
      </w:r>
      <w:r w:rsidR="00F97830">
        <w:rPr>
          <w:rFonts w:cs="Arial"/>
          <w:snapToGrid w:val="0"/>
          <w:lang w:eastAsia="en-US"/>
        </w:rPr>
        <w:t>under AWL</w:t>
      </w:r>
      <w:r w:rsidR="00ED6D6A">
        <w:rPr>
          <w:rFonts w:cs="Arial"/>
          <w:snapToGrid w:val="0"/>
          <w:lang w:eastAsia="en-US"/>
        </w:rPr>
        <w:t>s</w:t>
      </w:r>
      <w:r w:rsidR="00F97830">
        <w:rPr>
          <w:rFonts w:cs="Arial"/>
          <w:snapToGrid w:val="0"/>
          <w:lang w:eastAsia="en-US"/>
        </w:rPr>
        <w:t>.</w:t>
      </w:r>
      <w:r w:rsidR="00F97830" w:rsidDel="00F97830">
        <w:rPr>
          <w:rFonts w:cs="Arial"/>
          <w:snapToGrid w:val="0"/>
          <w:lang w:eastAsia="en-US"/>
        </w:rPr>
        <w:t xml:space="preserve"> </w:t>
      </w:r>
    </w:p>
    <w:p w14:paraId="4FE77914" w14:textId="2658800E" w:rsidR="00C4432F" w:rsidRPr="00281B72" w:rsidDel="00F93E6E" w:rsidRDefault="00C4432F" w:rsidP="00481456">
      <w:pPr>
        <w:spacing w:after="60"/>
        <w:rPr>
          <w:b/>
          <w:sz w:val="24"/>
        </w:rPr>
      </w:pPr>
      <w:bookmarkStart w:id="5" w:name="_Toc48723204"/>
      <w:r w:rsidRPr="00481456">
        <w:rPr>
          <w:rStyle w:val="Heading2Char"/>
        </w:rPr>
        <w:t>Area-wide apparatus licences</w:t>
      </w:r>
      <w:bookmarkEnd w:id="5"/>
      <w:r w:rsidRPr="00281B72">
        <w:rPr>
          <w:b/>
          <w:bCs/>
          <w:sz w:val="24"/>
        </w:rPr>
        <w:t xml:space="preserve"> </w:t>
      </w:r>
      <w:r w:rsidR="00911631">
        <w:rPr>
          <w:b/>
          <w:bCs/>
          <w:sz w:val="24"/>
        </w:rPr>
        <w:t>(AWLs)</w:t>
      </w:r>
    </w:p>
    <w:p w14:paraId="31AE7865" w14:textId="29C784A3" w:rsidR="00C4432F" w:rsidRPr="00B313DD" w:rsidRDefault="00E62B47" w:rsidP="00C4432F">
      <w:r>
        <w:rPr>
          <w:snapToGrid w:val="0"/>
          <w:lang w:eastAsia="en-US"/>
        </w:rPr>
        <w:t xml:space="preserve">The </w:t>
      </w:r>
      <w:r w:rsidR="00C4432F" w:rsidRPr="00B313DD">
        <w:rPr>
          <w:snapToGrid w:val="0"/>
          <w:lang w:eastAsia="en-US"/>
        </w:rPr>
        <w:t>AWL</w:t>
      </w:r>
      <w:r w:rsidR="00B75AD1">
        <w:rPr>
          <w:snapToGrid w:val="0"/>
          <w:lang w:eastAsia="en-US"/>
        </w:rPr>
        <w:t xml:space="preserve"> </w:t>
      </w:r>
      <w:r>
        <w:rPr>
          <w:snapToGrid w:val="0"/>
          <w:lang w:eastAsia="en-US"/>
        </w:rPr>
        <w:t xml:space="preserve">has been proposed for use in </w:t>
      </w:r>
      <w:r w:rsidR="00551EEB">
        <w:rPr>
          <w:snapToGrid w:val="0"/>
          <w:lang w:eastAsia="en-US"/>
        </w:rPr>
        <w:t>the</w:t>
      </w:r>
      <w:r w:rsidR="009343CA">
        <w:rPr>
          <w:snapToGrid w:val="0"/>
          <w:lang w:eastAsia="en-US"/>
        </w:rPr>
        <w:t xml:space="preserve"> 26 GHz and 28 GHz</w:t>
      </w:r>
      <w:r w:rsidR="00551EEB">
        <w:rPr>
          <w:snapToGrid w:val="0"/>
          <w:lang w:eastAsia="en-US"/>
        </w:rPr>
        <w:t xml:space="preserve"> bands. </w:t>
      </w:r>
      <w:r w:rsidR="00C4432F" w:rsidRPr="00B313DD">
        <w:rPr>
          <w:snapToGrid w:val="0"/>
          <w:lang w:eastAsia="en-US"/>
        </w:rPr>
        <w:t xml:space="preserve">Unlike existing apparatus licence types, which typically align with specific uses and purposes, the AWL type will be capable of authorising a variety of fixed and mobile services, uses, applications and technologies. </w:t>
      </w:r>
      <w:r w:rsidR="00C4432F" w:rsidRPr="00B313DD">
        <w:t>This flexibility is intended to allow licensee</w:t>
      </w:r>
      <w:r w:rsidR="007A4125">
        <w:t>s</w:t>
      </w:r>
      <w:r w:rsidR="00C4432F" w:rsidRPr="00B313DD">
        <w:t xml:space="preserve"> to tailor the spectrum capacity and geographic reach of the licence to highly specific use-cases. </w:t>
      </w:r>
    </w:p>
    <w:p w14:paraId="10A206B2" w14:textId="66381883" w:rsidR="003074C6" w:rsidRDefault="003074C6" w:rsidP="003074C6">
      <w:pPr>
        <w:pStyle w:val="Paragraph"/>
      </w:pPr>
      <w:r>
        <w:t xml:space="preserve">AWLs </w:t>
      </w:r>
      <w:r w:rsidR="00B30359">
        <w:t>have</w:t>
      </w:r>
      <w:r w:rsidR="00C30F92">
        <w:t xml:space="preserve"> been</w:t>
      </w:r>
      <w:r>
        <w:t xml:space="preserve"> designed to be technology and service</w:t>
      </w:r>
      <w:r w:rsidR="003B2042">
        <w:t>-</w:t>
      </w:r>
      <w:r>
        <w:t>flexible, however the technical arrangements</w:t>
      </w:r>
      <w:r w:rsidR="009C3391">
        <w:t xml:space="preserve"> for AWLs </w:t>
      </w:r>
      <w:r w:rsidR="009C3391">
        <w:rPr>
          <w:snapToGrid w:val="0"/>
          <w:lang w:eastAsia="en-US"/>
        </w:rPr>
        <w:t>in the 26 GHz and 28 GHz bands</w:t>
      </w:r>
      <w:r w:rsidR="009C3391">
        <w:t xml:space="preserve"> </w:t>
      </w:r>
      <w:r>
        <w:t>have been optimised for wireless broadband services and FSS earth stations. This means that other service types can be deployed as long as they comply with all licence conditions and regulatory arrangements.</w:t>
      </w:r>
    </w:p>
    <w:p w14:paraId="0D4D973B" w14:textId="71750589" w:rsidR="00C4432F" w:rsidRPr="00B313DD" w:rsidRDefault="2C60ADBB" w:rsidP="00C4432F">
      <w:r>
        <w:t>T</w:t>
      </w:r>
      <w:r w:rsidR="00C4432F">
        <w:t xml:space="preserve">he ACMA considers that the AWL will be </w:t>
      </w:r>
      <w:r w:rsidR="5DFFC05C">
        <w:t xml:space="preserve">beneficial in </w:t>
      </w:r>
      <w:r w:rsidR="00C4432F">
        <w:t xml:space="preserve">scenarios where there are multiple radiocommunications devices operated within smaller defined geographical areas and specified frequencies than those typically authorised by spectrum licences (the typical scale, cost and limited availability of spectrum licences means that they may not be suitable for authorising smaller-scale deployments). </w:t>
      </w:r>
    </w:p>
    <w:p w14:paraId="3B1216FB" w14:textId="12F9477A" w:rsidR="00B260D0" w:rsidRDefault="00F01CC3" w:rsidP="00C4432F">
      <w:r>
        <w:t>Our</w:t>
      </w:r>
      <w:r w:rsidR="00C4432F" w:rsidRPr="00B313DD">
        <w:t xml:space="preserve"> preference for AWLs in the</w:t>
      </w:r>
      <w:r w:rsidR="00594A59">
        <w:t xml:space="preserve"> </w:t>
      </w:r>
      <w:r w:rsidR="00310DA9">
        <w:t>mmWave bands</w:t>
      </w:r>
      <w:r w:rsidR="00C4432F" w:rsidRPr="00B313DD">
        <w:t xml:space="preserve"> reflects developments internationally, where a number of overseas jurisdictions have developed a licensing option for small-area, multi-device deployments, including for proposed 5G applications. These </w:t>
      </w:r>
      <w:r w:rsidR="00C4432F" w:rsidRPr="00B313DD">
        <w:lastRenderedPageBreak/>
        <w:t xml:space="preserve">overseas arrangements, while not exclusively restricted to industrial or commercial applications of spectrum, have often been utilised by a variety of industry </w:t>
      </w:r>
      <w:r w:rsidR="0003457D">
        <w:t xml:space="preserve">sectors </w:t>
      </w:r>
      <w:r w:rsidR="00C4432F" w:rsidRPr="00B313DD">
        <w:t>who</w:t>
      </w:r>
      <w:r w:rsidR="00C804B0">
        <w:t xml:space="preserve"> </w:t>
      </w:r>
      <w:r w:rsidR="00C4432F" w:rsidRPr="00B313DD">
        <w:t>use spectrum to facilitate their operations (for example, mining and infrastructure).</w:t>
      </w:r>
      <w:r w:rsidR="00C36250">
        <w:rPr>
          <w:rStyle w:val="FootnoteReference"/>
        </w:rPr>
        <w:footnoteReference w:id="4"/>
      </w:r>
    </w:p>
    <w:p w14:paraId="6BA25179" w14:textId="3D0122B8" w:rsidR="00B167DC" w:rsidRDefault="004841D6" w:rsidP="001F2DFD">
      <w:pPr>
        <w:pStyle w:val="Paragraphbeforelist"/>
      </w:pPr>
      <w:r>
        <w:t>O</w:t>
      </w:r>
      <w:r w:rsidR="004B4275">
        <w:t>ur</w:t>
      </w:r>
      <w:r w:rsidR="00281B72">
        <w:t xml:space="preserve"> earlier planning consultations</w:t>
      </w:r>
      <w:r>
        <w:t xml:space="preserve"> identified the following categories of use case</w:t>
      </w:r>
      <w:r w:rsidR="0032272F">
        <w:t xml:space="preserve">: </w:t>
      </w:r>
    </w:p>
    <w:p w14:paraId="11A12D91" w14:textId="5EEF8C9C" w:rsidR="00770D38" w:rsidRDefault="003B2042" w:rsidP="001F2DFD">
      <w:pPr>
        <w:pStyle w:val="ListBullet"/>
        <w:tabs>
          <w:tab w:val="clear" w:pos="295"/>
          <w:tab w:val="num" w:pos="863"/>
        </w:tabs>
      </w:pPr>
      <w:r>
        <w:t>S</w:t>
      </w:r>
      <w:r w:rsidR="00860552">
        <w:t>maller, local</w:t>
      </w:r>
      <w:r>
        <w:t>-</w:t>
      </w:r>
      <w:r w:rsidR="00860552">
        <w:t>area market</w:t>
      </w:r>
      <w:r>
        <w:t>-</w:t>
      </w:r>
      <w:r w:rsidR="00860552">
        <w:t>subscriber services</w:t>
      </w:r>
      <w:r w:rsidR="0032272F">
        <w:t>,</w:t>
      </w:r>
      <w:r w:rsidR="00860552">
        <w:t xml:space="preserve"> such as those provided by wireless internet service providers (WISPs) or dedicated (e.g. government</w:t>
      </w:r>
      <w:r>
        <w:t>-</w:t>
      </w:r>
      <w:r w:rsidR="00860552">
        <w:t xml:space="preserve">only) wireless broadband networks, </w:t>
      </w:r>
      <w:r w:rsidR="003A0CAF">
        <w:t>which are expected to best align with</w:t>
      </w:r>
      <w:r w:rsidR="00860552">
        <w:t xml:space="preserve"> apparatus licen</w:t>
      </w:r>
      <w:r w:rsidR="0061374B">
        <w:t>c</w:t>
      </w:r>
      <w:r w:rsidR="00BA72FA">
        <w:t>es</w:t>
      </w:r>
      <w:r>
        <w:t>.</w:t>
      </w:r>
      <w:r w:rsidR="00860552">
        <w:t xml:space="preserve"> </w:t>
      </w:r>
    </w:p>
    <w:p w14:paraId="6FB22397" w14:textId="26F2347C" w:rsidR="00B97155" w:rsidRPr="00B313DD" w:rsidRDefault="003B2042" w:rsidP="001F2DFD">
      <w:pPr>
        <w:pStyle w:val="ListBulletLast"/>
      </w:pPr>
      <w:r>
        <w:t>U</w:t>
      </w:r>
      <w:r w:rsidR="00BB003E">
        <w:t xml:space="preserve">ncoordinated ad hoc deployments within the confines of private premises or property (including domestic, industrial, business, commercial and government), </w:t>
      </w:r>
      <w:r w:rsidR="00BA72FA">
        <w:t>which are expected to best align</w:t>
      </w:r>
      <w:r w:rsidR="00BB003E">
        <w:t xml:space="preserve"> </w:t>
      </w:r>
      <w:r w:rsidR="00BA72FA">
        <w:t xml:space="preserve">with class licences. </w:t>
      </w:r>
    </w:p>
    <w:p w14:paraId="157FAEBC" w14:textId="77777777" w:rsidR="0028416F" w:rsidRPr="00B313DD" w:rsidRDefault="0028416F" w:rsidP="00E50F85">
      <w:pPr>
        <w:pStyle w:val="Heading2"/>
      </w:pPr>
      <w:bookmarkStart w:id="6" w:name="_Toc48723205"/>
      <w:r w:rsidRPr="00B313DD">
        <w:t>Related allocation processes</w:t>
      </w:r>
      <w:bookmarkEnd w:id="6"/>
    </w:p>
    <w:p w14:paraId="5E5F2AF7" w14:textId="54B4B3E4" w:rsidR="0028416F" w:rsidRPr="00B313DD" w:rsidRDefault="6B724FD4" w:rsidP="0028416F">
      <w:r>
        <w:t xml:space="preserve">Following </w:t>
      </w:r>
      <w:r w:rsidR="0028416F">
        <w:t xml:space="preserve">the release of the 26 GHz decisions paper, the ACMA </w:t>
      </w:r>
      <w:r w:rsidR="002453EE">
        <w:t>made a</w:t>
      </w:r>
      <w:r w:rsidR="0028416F">
        <w:t xml:space="preserve"> draft recommendation to the Minister for Communications, Cyber Safety and the Arts (the </w:t>
      </w:r>
      <w:r w:rsidR="00127D66">
        <w:t>M</w:t>
      </w:r>
      <w:r w:rsidR="0028416F">
        <w:t>inister)</w:t>
      </w:r>
      <w:r w:rsidR="00701813">
        <w:t>. On 18 October 2019</w:t>
      </w:r>
      <w:r w:rsidR="002B444A">
        <w:t>,</w:t>
      </w:r>
      <w:r w:rsidR="00B53700">
        <w:t xml:space="preserve"> the minister made the</w:t>
      </w:r>
      <w:r w:rsidR="0028416F">
        <w:t xml:space="preserve"> </w:t>
      </w:r>
      <w:hyperlink r:id="rId27">
        <w:r w:rsidR="0028416F" w:rsidRPr="00F76942">
          <w:rPr>
            <w:color w:val="0000FF"/>
            <w:u w:val="single"/>
          </w:rPr>
          <w:t>Radiocommunications (Spectrum Re-allocation</w:t>
        </w:r>
        <w:r w:rsidR="003B2042">
          <w:rPr>
            <w:color w:val="0000FF"/>
            <w:u w:val="single"/>
          </w:rPr>
          <w:t>—</w:t>
        </w:r>
        <w:r w:rsidR="0028416F" w:rsidRPr="00F76942">
          <w:rPr>
            <w:color w:val="0000FF"/>
            <w:u w:val="single"/>
          </w:rPr>
          <w:t>26GHz Band) Declaration 2019</w:t>
        </w:r>
      </w:hyperlink>
      <w:r w:rsidR="0028416F" w:rsidRPr="2AAE4496">
        <w:rPr>
          <w:i/>
          <w:iCs/>
        </w:rPr>
        <w:t xml:space="preserve"> </w:t>
      </w:r>
      <w:r w:rsidR="0028416F">
        <w:t>(the re-allocation declaration)</w:t>
      </w:r>
      <w:r w:rsidR="00715BB7">
        <w:t>. This</w:t>
      </w:r>
      <w:r w:rsidR="00C87931">
        <w:t xml:space="preserve"> </w:t>
      </w:r>
      <w:r w:rsidR="0028416F">
        <w:t>declare</w:t>
      </w:r>
      <w:r w:rsidR="00715BB7">
        <w:t>s</w:t>
      </w:r>
      <w:r w:rsidR="0028416F">
        <w:t xml:space="preserve"> that spectrum in the frequency range 25.1</w:t>
      </w:r>
      <w:r w:rsidR="001F2DFD">
        <w:t>–</w:t>
      </w:r>
      <w:r w:rsidR="0028416F">
        <w:t xml:space="preserve">27.5 GHz in metropolitan and certain regional areas </w:t>
      </w:r>
      <w:r w:rsidR="00BF37D7">
        <w:t>is to be</w:t>
      </w:r>
      <w:r w:rsidR="0028416F">
        <w:t xml:space="preserve"> reallocated by issuing spectrum licences. This was a necessary step in giving effect to the proposal to spectrum licence those parts of the 26 GHz band. The recommendation was made on the basis that spectrum licensing was considered to be the licensing framework most likely to ensure the efficient allocation and use of the spectrum </w:t>
      </w:r>
      <w:r w:rsidR="00820EAA">
        <w:t xml:space="preserve">in the </w:t>
      </w:r>
      <w:r w:rsidR="0028416F">
        <w:t>areas in question, and to provide licensees with the flexibility and security of tenure needed to encourage investment in infrastructure.</w:t>
      </w:r>
    </w:p>
    <w:p w14:paraId="4097FB08" w14:textId="68477E9F" w:rsidR="009E457B" w:rsidRPr="00B313DD" w:rsidRDefault="00CC6077" w:rsidP="009E457B">
      <w:r>
        <w:t>T</w:t>
      </w:r>
      <w:r w:rsidR="0028416F" w:rsidRPr="00B313DD">
        <w:t xml:space="preserve">he ACMA will auction </w:t>
      </w:r>
      <w:r w:rsidR="00AE029E">
        <w:t xml:space="preserve">spectrum licences </w:t>
      </w:r>
      <w:r w:rsidR="003C01A4">
        <w:t xml:space="preserve">in the 26 GHz band </w:t>
      </w:r>
      <w:r w:rsidR="0028416F" w:rsidRPr="00B313DD">
        <w:t xml:space="preserve">in </w:t>
      </w:r>
      <w:r w:rsidR="003B2042">
        <w:t xml:space="preserve">the first quarter of </w:t>
      </w:r>
      <w:r w:rsidR="0028416F" w:rsidRPr="00B313DD">
        <w:t xml:space="preserve">2021. </w:t>
      </w:r>
      <w:r w:rsidR="00FE247E">
        <w:t xml:space="preserve">AWLs </w:t>
      </w:r>
      <w:r w:rsidR="0028416F" w:rsidRPr="00B313DD">
        <w:t xml:space="preserve">will be available in </w:t>
      </w:r>
      <w:r w:rsidR="009B5509">
        <w:t>the 25.</w:t>
      </w:r>
      <w:r w:rsidR="00B87ABF">
        <w:t>1–</w:t>
      </w:r>
      <w:r w:rsidR="00AF51A2">
        <w:t xml:space="preserve">27.5 frequency range in </w:t>
      </w:r>
      <w:r w:rsidR="0028416F" w:rsidRPr="00B313DD">
        <w:t>all areas outside those designated for spectrum</w:t>
      </w:r>
      <w:r w:rsidR="009E457B" w:rsidRPr="009E457B">
        <w:t xml:space="preserve"> </w:t>
      </w:r>
      <w:r w:rsidR="009E457B" w:rsidRPr="00B313DD">
        <w:t xml:space="preserve">licensing </w:t>
      </w:r>
      <w:r w:rsidR="00AF51A2">
        <w:t xml:space="preserve">after the auction. </w:t>
      </w:r>
    </w:p>
    <w:p w14:paraId="0CE52B25" w14:textId="4DBE0F0F" w:rsidR="00064EF5" w:rsidRDefault="000335BC" w:rsidP="00E37609">
      <w:pPr>
        <w:pStyle w:val="Heading1"/>
      </w:pPr>
      <w:bookmarkStart w:id="7" w:name="_Toc48723206"/>
      <w:r>
        <w:lastRenderedPageBreak/>
        <w:t>Consultation package</w:t>
      </w:r>
      <w:bookmarkEnd w:id="7"/>
      <w:r>
        <w:t xml:space="preserve"> </w:t>
      </w:r>
    </w:p>
    <w:p w14:paraId="0EDCED94" w14:textId="29258FF5" w:rsidR="00064EF5" w:rsidRDefault="00557267" w:rsidP="00107BC2">
      <w:pPr>
        <w:pStyle w:val="Paragraphbeforelist"/>
      </w:pPr>
      <w:r>
        <w:t>We are</w:t>
      </w:r>
      <w:r w:rsidR="423F577B">
        <w:t xml:space="preserve"> </w:t>
      </w:r>
      <w:r w:rsidR="00F75F90">
        <w:t xml:space="preserve">seeking </w:t>
      </w:r>
      <w:r w:rsidR="00F24592">
        <w:t>comments</w:t>
      </w:r>
      <w:r w:rsidR="00194351">
        <w:t xml:space="preserve"> from</w:t>
      </w:r>
      <w:r w:rsidR="00F24592">
        <w:t xml:space="preserve"> </w:t>
      </w:r>
      <w:r w:rsidR="00194351">
        <w:t xml:space="preserve">interested stakeholders </w:t>
      </w:r>
      <w:r w:rsidR="00F24592">
        <w:t xml:space="preserve">on the </w:t>
      </w:r>
      <w:r w:rsidR="004E086A">
        <w:t>foll</w:t>
      </w:r>
      <w:r w:rsidR="00B507D3">
        <w:t xml:space="preserve">owing aspects of our framework for </w:t>
      </w:r>
      <w:r w:rsidR="00FF06D4">
        <w:t xml:space="preserve">implementing </w:t>
      </w:r>
      <w:r w:rsidR="00B507D3">
        <w:t xml:space="preserve">AWLs in </w:t>
      </w:r>
      <w:r w:rsidR="00FF06D4">
        <w:t xml:space="preserve">the </w:t>
      </w:r>
      <w:r w:rsidR="00A56AF9">
        <w:t xml:space="preserve">26 GHz and 28 GHz bands: </w:t>
      </w:r>
    </w:p>
    <w:p w14:paraId="21107BAE" w14:textId="26FC2959" w:rsidR="00271D3B" w:rsidRDefault="003721BC" w:rsidP="00107BC2">
      <w:pPr>
        <w:pStyle w:val="ListBullet"/>
      </w:pPr>
      <w:r>
        <w:t>a</w:t>
      </w:r>
      <w:r w:rsidR="00985A02">
        <w:t>pplicant information pack</w:t>
      </w:r>
    </w:p>
    <w:p w14:paraId="05E64D3A" w14:textId="7087DB7C" w:rsidR="00271D3B" w:rsidRDefault="003721BC" w:rsidP="00107BC2">
      <w:pPr>
        <w:pStyle w:val="ListBullet"/>
      </w:pPr>
      <w:r>
        <w:t>p</w:t>
      </w:r>
      <w:r w:rsidR="00271D3B">
        <w:t>ricing</w:t>
      </w:r>
    </w:p>
    <w:p w14:paraId="44A6E87B" w14:textId="70E0862A" w:rsidR="00271D3B" w:rsidRDefault="003721BC" w:rsidP="00BF46DE">
      <w:pPr>
        <w:pStyle w:val="ListBulletLast"/>
      </w:pPr>
      <w:r>
        <w:t>t</w:t>
      </w:r>
      <w:r w:rsidR="00271D3B">
        <w:t xml:space="preserve">echnical </w:t>
      </w:r>
      <w:r>
        <w:t>f</w:t>
      </w:r>
      <w:r w:rsidR="00271D3B">
        <w:t>ramework</w:t>
      </w:r>
      <w:r>
        <w:t>.</w:t>
      </w:r>
    </w:p>
    <w:p w14:paraId="36542F99" w14:textId="19D1964C" w:rsidR="0007644A" w:rsidRPr="00E37609" w:rsidRDefault="00985A02" w:rsidP="00BF46DE">
      <w:pPr>
        <w:pStyle w:val="Heading3"/>
      </w:pPr>
      <w:r>
        <w:t>Applicant information pack</w:t>
      </w:r>
      <w:r w:rsidR="00FA6113" w:rsidRPr="00E37609">
        <w:t xml:space="preserve"> </w:t>
      </w:r>
    </w:p>
    <w:p w14:paraId="07252C3B" w14:textId="4398F1E4" w:rsidR="00E37609" w:rsidRDefault="003835E9" w:rsidP="00B313DD">
      <w:pPr>
        <w:rPr>
          <w:rStyle w:val="normaltextrun"/>
          <w:rFonts w:cs="Arial"/>
          <w:szCs w:val="20"/>
        </w:rPr>
      </w:pPr>
      <w:r>
        <w:rPr>
          <w:rStyle w:val="normaltextrun"/>
          <w:rFonts w:cs="Arial"/>
          <w:szCs w:val="20"/>
        </w:rPr>
        <w:t>Th</w:t>
      </w:r>
      <w:r w:rsidR="004855A1">
        <w:rPr>
          <w:rStyle w:val="normaltextrun"/>
          <w:rFonts w:cs="Arial"/>
          <w:szCs w:val="20"/>
        </w:rPr>
        <w:t>e</w:t>
      </w:r>
      <w:r>
        <w:rPr>
          <w:rStyle w:val="normaltextrun"/>
          <w:rFonts w:cs="Arial"/>
          <w:szCs w:val="20"/>
        </w:rPr>
        <w:t> </w:t>
      </w:r>
      <w:r w:rsidR="00EC4C86">
        <w:rPr>
          <w:rStyle w:val="normaltextrun"/>
          <w:rFonts w:cs="Arial"/>
          <w:szCs w:val="20"/>
        </w:rPr>
        <w:t xml:space="preserve">draft </w:t>
      </w:r>
      <w:r w:rsidR="00985A02">
        <w:rPr>
          <w:rStyle w:val="normaltextrun"/>
          <w:rFonts w:cs="Arial"/>
          <w:szCs w:val="20"/>
        </w:rPr>
        <w:t>applicant information pack</w:t>
      </w:r>
      <w:r w:rsidR="00B6050D">
        <w:rPr>
          <w:rStyle w:val="normaltextrun"/>
          <w:rFonts w:cs="Arial"/>
          <w:szCs w:val="20"/>
        </w:rPr>
        <w:t xml:space="preserve"> (AIP)</w:t>
      </w:r>
      <w:r>
        <w:rPr>
          <w:rStyle w:val="normaltextrun"/>
          <w:rFonts w:cs="Arial"/>
          <w:szCs w:val="20"/>
        </w:rPr>
        <w:t xml:space="preserve"> contains important information about the allocation and issuing of apparatus licences in the 26 GHz (24.</w:t>
      </w:r>
      <w:r w:rsidR="00910E16">
        <w:rPr>
          <w:rStyle w:val="normaltextrun"/>
          <w:rFonts w:cs="Arial"/>
          <w:szCs w:val="20"/>
        </w:rPr>
        <w:t>7</w:t>
      </w:r>
      <w:r w:rsidR="00032963">
        <w:rPr>
          <w:rStyle w:val="normaltextrun"/>
          <w:rFonts w:cs="Arial"/>
          <w:szCs w:val="20"/>
        </w:rPr>
        <w:t>–</w:t>
      </w:r>
      <w:r>
        <w:rPr>
          <w:rStyle w:val="normaltextrun"/>
          <w:rFonts w:cs="Arial"/>
          <w:szCs w:val="20"/>
        </w:rPr>
        <w:t>27.5 GHz) and 28</w:t>
      </w:r>
      <w:r w:rsidR="003721BC">
        <w:rPr>
          <w:rStyle w:val="normaltextrun"/>
          <w:rFonts w:cs="Arial"/>
          <w:szCs w:val="20"/>
        </w:rPr>
        <w:t> </w:t>
      </w:r>
      <w:r>
        <w:rPr>
          <w:rStyle w:val="normaltextrun"/>
          <w:rFonts w:cs="Arial"/>
          <w:szCs w:val="20"/>
        </w:rPr>
        <w:t>GHz (27.5</w:t>
      </w:r>
      <w:r w:rsidR="00032963">
        <w:rPr>
          <w:rStyle w:val="normaltextrun"/>
          <w:rFonts w:cs="Arial"/>
          <w:szCs w:val="20"/>
        </w:rPr>
        <w:t>–</w:t>
      </w:r>
      <w:r>
        <w:rPr>
          <w:rStyle w:val="normaltextrun"/>
          <w:rFonts w:cs="Arial"/>
          <w:szCs w:val="20"/>
        </w:rPr>
        <w:t>29.5) bands.</w:t>
      </w:r>
      <w:r w:rsidR="00B6050D">
        <w:rPr>
          <w:rStyle w:val="normaltextrun"/>
          <w:rFonts w:cs="Arial"/>
          <w:szCs w:val="20"/>
        </w:rPr>
        <w:t xml:space="preserve"> </w:t>
      </w:r>
    </w:p>
    <w:p w14:paraId="066C8759" w14:textId="5D848647" w:rsidR="00E37609" w:rsidRDefault="00AF3E71" w:rsidP="00B313DD">
      <w:pPr>
        <w:rPr>
          <w:rStyle w:val="normaltextrun"/>
          <w:rFonts w:cs="Arial"/>
          <w:szCs w:val="20"/>
        </w:rPr>
      </w:pPr>
      <w:r w:rsidRPr="00AF3E71">
        <w:rPr>
          <w:rStyle w:val="normaltextrun"/>
          <w:rFonts w:cs="Arial"/>
          <w:szCs w:val="20"/>
        </w:rPr>
        <w:t>Th</w:t>
      </w:r>
      <w:r w:rsidR="00D9362B">
        <w:rPr>
          <w:rStyle w:val="normaltextrun"/>
          <w:rFonts w:cs="Arial"/>
          <w:szCs w:val="20"/>
        </w:rPr>
        <w:t>e</w:t>
      </w:r>
      <w:r w:rsidRPr="00AF3E71">
        <w:rPr>
          <w:rStyle w:val="normaltextrun"/>
          <w:rFonts w:cs="Arial"/>
          <w:szCs w:val="20"/>
        </w:rPr>
        <w:t xml:space="preserve"> draft AIP is a guide for applicants when applying for an AWL. </w:t>
      </w:r>
      <w:r w:rsidR="00D9362B">
        <w:rPr>
          <w:rStyle w:val="normaltextrun"/>
          <w:rFonts w:cs="Arial"/>
          <w:szCs w:val="20"/>
        </w:rPr>
        <w:t>It</w:t>
      </w:r>
      <w:r w:rsidRPr="00AF3E71">
        <w:rPr>
          <w:rStyle w:val="normaltextrun"/>
          <w:rFonts w:cs="Arial"/>
          <w:szCs w:val="20"/>
        </w:rPr>
        <w:t xml:space="preserve"> includes information about how the spectrum will be licensed, duration, variation of conditions</w:t>
      </w:r>
      <w:r w:rsidR="00D9362B">
        <w:rPr>
          <w:rStyle w:val="normaltextrun"/>
          <w:rFonts w:cs="Arial"/>
          <w:szCs w:val="20"/>
        </w:rPr>
        <w:t>,</w:t>
      </w:r>
      <w:r w:rsidRPr="00AF3E71">
        <w:rPr>
          <w:rStyle w:val="normaltextrun"/>
          <w:rFonts w:cs="Arial"/>
          <w:szCs w:val="20"/>
        </w:rPr>
        <w:t xml:space="preserve"> renewal of licences, and what taxes and charges will apply to the licences</w:t>
      </w:r>
      <w:r w:rsidR="00554F10">
        <w:rPr>
          <w:rStyle w:val="normaltextrun"/>
          <w:rFonts w:cs="Arial"/>
          <w:szCs w:val="20"/>
        </w:rPr>
        <w:t xml:space="preserve">. </w:t>
      </w:r>
      <w:r w:rsidR="00DE0D8E">
        <w:rPr>
          <w:rStyle w:val="normaltextrun"/>
          <w:rFonts w:cs="Arial"/>
          <w:szCs w:val="20"/>
        </w:rPr>
        <w:t xml:space="preserve">Our </w:t>
      </w:r>
      <w:r w:rsidR="00557C7A">
        <w:rPr>
          <w:rStyle w:val="normaltextrun"/>
          <w:rFonts w:cs="Arial"/>
          <w:szCs w:val="20"/>
        </w:rPr>
        <w:t xml:space="preserve">proposed </w:t>
      </w:r>
      <w:r w:rsidR="00A13C39">
        <w:rPr>
          <w:rStyle w:val="normaltextrun"/>
          <w:rFonts w:cs="Arial"/>
          <w:szCs w:val="20"/>
        </w:rPr>
        <w:t xml:space="preserve">renewal </w:t>
      </w:r>
      <w:r w:rsidR="008D15D2" w:rsidRPr="008D15D2">
        <w:rPr>
          <w:rStyle w:val="normaltextrun"/>
          <w:rFonts w:cs="Arial"/>
          <w:szCs w:val="20"/>
        </w:rPr>
        <w:t xml:space="preserve">policy </w:t>
      </w:r>
      <w:r w:rsidR="00A13C39">
        <w:rPr>
          <w:rStyle w:val="normaltextrun"/>
          <w:rFonts w:cs="Arial"/>
          <w:szCs w:val="20"/>
        </w:rPr>
        <w:t xml:space="preserve">for </w:t>
      </w:r>
      <w:r w:rsidR="008D15D2" w:rsidRPr="008D15D2">
        <w:rPr>
          <w:rStyle w:val="normaltextrun"/>
          <w:rFonts w:cs="Arial"/>
          <w:szCs w:val="20"/>
        </w:rPr>
        <w:t xml:space="preserve">AWLs in the </w:t>
      </w:r>
      <w:r w:rsidR="00F21D02">
        <w:rPr>
          <w:rStyle w:val="normaltextrun"/>
          <w:rFonts w:cs="Arial"/>
          <w:szCs w:val="20"/>
        </w:rPr>
        <w:t>bands</w:t>
      </w:r>
      <w:r w:rsidR="00E97832">
        <w:rPr>
          <w:rStyle w:val="normaltextrun"/>
          <w:rFonts w:cs="Arial"/>
          <w:szCs w:val="20"/>
        </w:rPr>
        <w:t xml:space="preserve"> </w:t>
      </w:r>
      <w:r w:rsidR="00B2698A">
        <w:rPr>
          <w:rStyle w:val="normaltextrun"/>
          <w:rFonts w:cs="Arial"/>
          <w:szCs w:val="20"/>
        </w:rPr>
        <w:t>is that we</w:t>
      </w:r>
      <w:r w:rsidR="00E3715D">
        <w:rPr>
          <w:rStyle w:val="normaltextrun"/>
          <w:rFonts w:cs="Arial"/>
          <w:szCs w:val="20"/>
        </w:rPr>
        <w:t xml:space="preserve"> </w:t>
      </w:r>
      <w:r w:rsidR="00557C7A">
        <w:rPr>
          <w:rStyle w:val="normaltextrun"/>
          <w:rFonts w:cs="Arial"/>
          <w:szCs w:val="20"/>
        </w:rPr>
        <w:t xml:space="preserve">will </w:t>
      </w:r>
      <w:r w:rsidR="00E3715D">
        <w:rPr>
          <w:rStyle w:val="normaltextrun"/>
          <w:rFonts w:cs="Arial"/>
          <w:szCs w:val="20"/>
        </w:rPr>
        <w:t xml:space="preserve">have regard to </w:t>
      </w:r>
      <w:r w:rsidR="007C207B">
        <w:rPr>
          <w:rStyle w:val="normaltextrun"/>
          <w:rFonts w:cs="Arial"/>
          <w:szCs w:val="20"/>
        </w:rPr>
        <w:t xml:space="preserve">whether the spectrum has been used </w:t>
      </w:r>
      <w:r w:rsidR="004C628F">
        <w:rPr>
          <w:rStyle w:val="normaltextrun"/>
          <w:rFonts w:cs="Arial"/>
          <w:szCs w:val="20"/>
        </w:rPr>
        <w:t xml:space="preserve">over the </w:t>
      </w:r>
      <w:r w:rsidR="00F35DA3">
        <w:rPr>
          <w:rStyle w:val="normaltextrun"/>
          <w:rFonts w:cs="Arial"/>
          <w:szCs w:val="20"/>
        </w:rPr>
        <w:t xml:space="preserve">duration of the </w:t>
      </w:r>
      <w:r w:rsidR="005030CD">
        <w:rPr>
          <w:rStyle w:val="normaltextrun"/>
          <w:rFonts w:cs="Arial"/>
          <w:szCs w:val="20"/>
        </w:rPr>
        <w:t xml:space="preserve">relevant </w:t>
      </w:r>
      <w:r w:rsidR="00F35DA3">
        <w:rPr>
          <w:rStyle w:val="normaltextrun"/>
          <w:rFonts w:cs="Arial"/>
          <w:szCs w:val="20"/>
        </w:rPr>
        <w:t xml:space="preserve">licence </w:t>
      </w:r>
      <w:r w:rsidR="007C207B">
        <w:rPr>
          <w:rStyle w:val="normaltextrun"/>
          <w:rFonts w:cs="Arial"/>
          <w:szCs w:val="20"/>
        </w:rPr>
        <w:t>and if there is unmet demand in the bands. We</w:t>
      </w:r>
      <w:r w:rsidR="00B2698A">
        <w:rPr>
          <w:rStyle w:val="normaltextrun"/>
          <w:rFonts w:cs="Arial"/>
          <w:szCs w:val="20"/>
        </w:rPr>
        <w:t xml:space="preserve"> </w:t>
      </w:r>
      <w:r w:rsidR="00B2698A" w:rsidRPr="00B2698A">
        <w:rPr>
          <w:rStyle w:val="normaltextrun"/>
          <w:rFonts w:cs="Arial"/>
          <w:szCs w:val="20"/>
        </w:rPr>
        <w:t>may decide not to renew a licence, or the licence may be offered for renewal with different conditions.</w:t>
      </w:r>
      <w:r w:rsidR="00B2698A">
        <w:rPr>
          <w:rStyle w:val="normaltextrun"/>
          <w:rFonts w:cs="Arial"/>
          <w:szCs w:val="20"/>
        </w:rPr>
        <w:t xml:space="preserve"> </w:t>
      </w:r>
      <w:r w:rsidR="008817B6">
        <w:rPr>
          <w:rStyle w:val="normaltextrun"/>
          <w:rFonts w:cs="Arial"/>
          <w:szCs w:val="20"/>
        </w:rPr>
        <w:t xml:space="preserve"> </w:t>
      </w:r>
    </w:p>
    <w:p w14:paraId="7F66D242" w14:textId="755A569B" w:rsidR="008817B6" w:rsidRDefault="00470C15" w:rsidP="00B313DD">
      <w:pPr>
        <w:rPr>
          <w:rStyle w:val="normaltextrun"/>
          <w:rFonts w:cs="Arial"/>
          <w:szCs w:val="20"/>
        </w:rPr>
      </w:pPr>
      <w:r>
        <w:rPr>
          <w:rStyle w:val="normaltextrun"/>
          <w:rFonts w:cs="Arial"/>
          <w:szCs w:val="20"/>
        </w:rPr>
        <w:t>We welcome feedback on any part of the AIP</w:t>
      </w:r>
      <w:r w:rsidR="00FB5AB8">
        <w:rPr>
          <w:rStyle w:val="normaltextrun"/>
          <w:rFonts w:cs="Arial"/>
          <w:szCs w:val="20"/>
        </w:rPr>
        <w:t xml:space="preserve">. </w:t>
      </w:r>
      <w:r w:rsidR="00FA1FE7">
        <w:rPr>
          <w:rStyle w:val="normaltextrun"/>
          <w:rFonts w:cs="Arial"/>
          <w:szCs w:val="20"/>
        </w:rPr>
        <w:t xml:space="preserve">The AIP is available as a separate </w:t>
      </w:r>
      <w:r w:rsidR="003721BC">
        <w:rPr>
          <w:rStyle w:val="normaltextrun"/>
          <w:rFonts w:cs="Arial"/>
          <w:szCs w:val="20"/>
        </w:rPr>
        <w:t xml:space="preserve">attachment in the key documents section of the </w:t>
      </w:r>
      <w:hyperlink r:id="rId28" w:history="1">
        <w:r w:rsidR="003721BC" w:rsidRPr="00726011">
          <w:rPr>
            <w:rStyle w:val="Hyperlink"/>
            <w:rFonts w:cs="Arial"/>
            <w:szCs w:val="20"/>
          </w:rPr>
          <w:t>consultation page</w:t>
        </w:r>
      </w:hyperlink>
      <w:r w:rsidR="00FA1FE7">
        <w:rPr>
          <w:rStyle w:val="normaltextrun"/>
          <w:rFonts w:cs="Arial"/>
          <w:szCs w:val="20"/>
        </w:rPr>
        <w:t xml:space="preserve">. </w:t>
      </w:r>
    </w:p>
    <w:p w14:paraId="26E1A05F" w14:textId="58920166" w:rsidR="00F65086" w:rsidRPr="00BF5CB3" w:rsidRDefault="00F65086" w:rsidP="00853137">
      <w:pPr>
        <w:pStyle w:val="Heading3"/>
      </w:pPr>
      <w:r w:rsidRPr="00BF5CB3">
        <w:t xml:space="preserve">Pricing </w:t>
      </w:r>
    </w:p>
    <w:p w14:paraId="358E48F8" w14:textId="22357FB2" w:rsidR="00F65086" w:rsidRDefault="00430899" w:rsidP="00B313DD">
      <w:r w:rsidRPr="00430899">
        <w:t xml:space="preserve">The </w:t>
      </w:r>
      <w:r w:rsidR="00DA6004">
        <w:t xml:space="preserve">implementation of AWLs into the bands </w:t>
      </w:r>
      <w:r w:rsidRPr="00430899">
        <w:t>means that new pricing arrangements suitable to the licence type are required</w:t>
      </w:r>
      <w:r>
        <w:t xml:space="preserve">. </w:t>
      </w:r>
      <w:r w:rsidR="00823680">
        <w:t xml:space="preserve">Information about pricing for AWLs is available </w:t>
      </w:r>
      <w:r w:rsidR="003F61A1">
        <w:t>at</w:t>
      </w:r>
      <w:r w:rsidR="003721BC">
        <w:t xml:space="preserve"> </w:t>
      </w:r>
      <w:hyperlink w:anchor="_Appendix_A_–" w:history="1">
        <w:r w:rsidR="003721BC" w:rsidRPr="003721BC">
          <w:rPr>
            <w:rStyle w:val="Hyperlink"/>
          </w:rPr>
          <w:t>Appendix A</w:t>
        </w:r>
      </w:hyperlink>
      <w:r w:rsidR="003F61A1">
        <w:t xml:space="preserve">. </w:t>
      </w:r>
    </w:p>
    <w:p w14:paraId="3633DDF3" w14:textId="197FAF96" w:rsidR="00F65086" w:rsidRPr="00BF5CB3" w:rsidRDefault="00F65086" w:rsidP="006F6C3D">
      <w:pPr>
        <w:pStyle w:val="Heading3"/>
      </w:pPr>
      <w:r w:rsidRPr="00BF5CB3">
        <w:t xml:space="preserve">Technical framework </w:t>
      </w:r>
    </w:p>
    <w:p w14:paraId="5452E7CE" w14:textId="47DB1F21" w:rsidR="006068EF" w:rsidRDefault="00625958" w:rsidP="006F6C3D">
      <w:pPr>
        <w:pStyle w:val="Paragraph"/>
      </w:pPr>
      <w:r>
        <w:t xml:space="preserve">The purpose of the technical framework is to provide for an equitable, interference-managed set of conditions and instructions for access that will be optimised for both </w:t>
      </w:r>
      <w:r w:rsidR="00576068">
        <w:t xml:space="preserve">WBB </w:t>
      </w:r>
      <w:r>
        <w:t xml:space="preserve">and </w:t>
      </w:r>
      <w:r w:rsidR="003B6496">
        <w:t>FSS</w:t>
      </w:r>
      <w:r>
        <w:t xml:space="preserve"> ground-segment use cases, as applicable. </w:t>
      </w:r>
    </w:p>
    <w:p w14:paraId="5835F1CC" w14:textId="5A98E124" w:rsidR="00C804B0" w:rsidRPr="00E3728C" w:rsidRDefault="00266A98" w:rsidP="006F6C3D">
      <w:pPr>
        <w:pStyle w:val="Paragraph"/>
      </w:pPr>
      <w:r>
        <w:t>Information about the</w:t>
      </w:r>
      <w:r w:rsidR="007F0D86">
        <w:t xml:space="preserve"> </w:t>
      </w:r>
      <w:r w:rsidR="00872268">
        <w:t xml:space="preserve">proposed technical framework for AWLs </w:t>
      </w:r>
      <w:r w:rsidR="00F6117B">
        <w:t xml:space="preserve">is available </w:t>
      </w:r>
      <w:r w:rsidR="002C10CD">
        <w:t>at</w:t>
      </w:r>
      <w:r w:rsidR="00F6117B">
        <w:t xml:space="preserve"> </w:t>
      </w:r>
      <w:hyperlink w:anchor="_Appendix_B_–" w:history="1">
        <w:r w:rsidR="00306464" w:rsidRPr="00306464">
          <w:rPr>
            <w:rStyle w:val="Hyperlink"/>
          </w:rPr>
          <w:t>Appendix B</w:t>
        </w:r>
      </w:hyperlink>
      <w:r w:rsidR="00306464" w:rsidRPr="006F6C3D">
        <w:t>.</w:t>
      </w:r>
      <w:r w:rsidR="00D23CAF" w:rsidRPr="00E3728C">
        <w:t xml:space="preserve"> </w:t>
      </w:r>
    </w:p>
    <w:p w14:paraId="1EDACC6B" w14:textId="77777777" w:rsidR="00C804B0" w:rsidRDefault="004953D1" w:rsidP="00032963">
      <w:pPr>
        <w:pStyle w:val="Paragraphbeforelist"/>
      </w:pPr>
      <w:r>
        <w:t>T</w:t>
      </w:r>
      <w:r w:rsidR="00866B63">
        <w:t>he technical framework comprises</w:t>
      </w:r>
      <w:r w:rsidR="00C804B0">
        <w:t>:</w:t>
      </w:r>
    </w:p>
    <w:p w14:paraId="31F4DC2F" w14:textId="5DF139B6" w:rsidR="00C804B0" w:rsidRDefault="330D3AB7">
      <w:pPr>
        <w:pStyle w:val="ListBullet"/>
      </w:pPr>
      <w:r>
        <w:t xml:space="preserve">a </w:t>
      </w:r>
      <w:r w:rsidR="10C8C4F0">
        <w:t xml:space="preserve">draft amended </w:t>
      </w:r>
      <w:r w:rsidR="001A54DD">
        <w:t xml:space="preserve">Radiocommunications </w:t>
      </w:r>
      <w:r w:rsidR="10C8C4F0">
        <w:t>Licence Conditions</w:t>
      </w:r>
      <w:r w:rsidR="4EDE8558">
        <w:t xml:space="preserve"> (Area-</w:t>
      </w:r>
      <w:r w:rsidR="62091A3B">
        <w:t>W</w:t>
      </w:r>
      <w:r w:rsidR="4EDE8558">
        <w:t>ide</w:t>
      </w:r>
      <w:r w:rsidR="62091A3B">
        <w:t xml:space="preserve"> Licence</w:t>
      </w:r>
      <w:r w:rsidR="4EDE8558">
        <w:t>)</w:t>
      </w:r>
      <w:r w:rsidR="10C8C4F0">
        <w:t xml:space="preserve"> Determination </w:t>
      </w:r>
      <w:r w:rsidR="001A54DD">
        <w:t>20</w:t>
      </w:r>
      <w:r w:rsidR="0006329B">
        <w:t>20</w:t>
      </w:r>
      <w:r w:rsidR="001A54DD">
        <w:t xml:space="preserve"> </w:t>
      </w:r>
      <w:r w:rsidR="10C8C4F0">
        <w:t>(</w:t>
      </w:r>
      <w:r w:rsidR="27616B73">
        <w:t xml:space="preserve">AWL </w:t>
      </w:r>
      <w:r w:rsidR="10C8C4F0">
        <w:t xml:space="preserve">LCD) </w:t>
      </w:r>
    </w:p>
    <w:p w14:paraId="0C9960FC" w14:textId="192C2FD4" w:rsidR="002E6F33" w:rsidRDefault="002E6F33">
      <w:pPr>
        <w:pStyle w:val="ListBullet"/>
      </w:pPr>
      <w:r>
        <w:t>draft Radiocommunications Assignment and Licensing Instruction (RALI) for AWLs in the 26 GHz and 28 GHz bands</w:t>
      </w:r>
      <w:r w:rsidR="00E72B90">
        <w:t xml:space="preserve"> (</w:t>
      </w:r>
      <w:r w:rsidR="005721BD">
        <w:t xml:space="preserve">referred to as </w:t>
      </w:r>
      <w:r w:rsidR="00E72B90">
        <w:t xml:space="preserve">RALI </w:t>
      </w:r>
      <w:r w:rsidR="00242A64">
        <w:t>[</w:t>
      </w:r>
      <w:r w:rsidR="00E72B90">
        <w:t>new</w:t>
      </w:r>
      <w:r w:rsidR="00242A64">
        <w:t>]</w:t>
      </w:r>
      <w:r w:rsidR="002B6C76">
        <w:t>)</w:t>
      </w:r>
    </w:p>
    <w:p w14:paraId="2ADA575B" w14:textId="37A2B89D" w:rsidR="002E6F33" w:rsidRDefault="002E6F33" w:rsidP="00E3728C">
      <w:pPr>
        <w:pStyle w:val="Bulletlevel1last"/>
      </w:pPr>
      <w:r>
        <w:t xml:space="preserve">draft </w:t>
      </w:r>
      <w:r w:rsidR="00C470B4">
        <w:t xml:space="preserve">updated RALIs for </w:t>
      </w:r>
      <w:r w:rsidR="00BA67E5">
        <w:t xml:space="preserve">coordination between </w:t>
      </w:r>
      <w:r w:rsidR="00224160" w:rsidRPr="00224160">
        <w:t>earth station transmitters in the fixed-satellite service and other services in the 25.5</w:t>
      </w:r>
      <w:r w:rsidR="002E0CF8">
        <w:t>–</w:t>
      </w:r>
      <w:r w:rsidR="00224160" w:rsidRPr="00224160">
        <w:t>30 GHz band</w:t>
      </w:r>
      <w:r w:rsidR="00242A64">
        <w:t xml:space="preserve"> (</w:t>
      </w:r>
      <w:r w:rsidR="00242A64" w:rsidRPr="00242A64">
        <w:t>updated RALI MS</w:t>
      </w:r>
      <w:r w:rsidR="002E0CF8">
        <w:t> </w:t>
      </w:r>
      <w:r w:rsidR="00242A64" w:rsidRPr="00242A64">
        <w:t>38</w:t>
      </w:r>
      <w:r w:rsidR="00242A64">
        <w:t>)</w:t>
      </w:r>
    </w:p>
    <w:p w14:paraId="2FE453FC" w14:textId="3704C398" w:rsidR="00250F9A" w:rsidRDefault="00250F9A" w:rsidP="00C804B0">
      <w:pPr>
        <w:pStyle w:val="ListBullet"/>
        <w:numPr>
          <w:ilvl w:val="0"/>
          <w:numId w:val="0"/>
        </w:numPr>
      </w:pPr>
      <w:r>
        <w:t xml:space="preserve">These </w:t>
      </w:r>
      <w:r w:rsidR="00C804B0">
        <w:t xml:space="preserve">documents </w:t>
      </w:r>
      <w:r>
        <w:t>are available as separate documents</w:t>
      </w:r>
      <w:r w:rsidR="009321C1">
        <w:t xml:space="preserve"> </w:t>
      </w:r>
      <w:r w:rsidR="002E0CF8">
        <w:t xml:space="preserve">on </w:t>
      </w:r>
      <w:r w:rsidR="009321C1">
        <w:t xml:space="preserve">the </w:t>
      </w:r>
      <w:hyperlink r:id="rId29" w:history="1">
        <w:r w:rsidR="009321C1" w:rsidRPr="00726011">
          <w:rPr>
            <w:rStyle w:val="Hyperlink"/>
          </w:rPr>
          <w:t>consultation page</w:t>
        </w:r>
      </w:hyperlink>
      <w:r w:rsidR="00E82948">
        <w:t xml:space="preserve">. </w:t>
      </w:r>
    </w:p>
    <w:p w14:paraId="3262AEA1" w14:textId="2D7B3E3C" w:rsidR="00741623" w:rsidRPr="00741623" w:rsidRDefault="00741623" w:rsidP="00E37609">
      <w:pPr>
        <w:tabs>
          <w:tab w:val="left" w:pos="1808"/>
        </w:tabs>
      </w:pPr>
    </w:p>
    <w:p w14:paraId="168BC519" w14:textId="395B9B4A" w:rsidR="00715722" w:rsidRDefault="00715722" w:rsidP="00715722">
      <w:pPr>
        <w:pStyle w:val="Heading1"/>
      </w:pPr>
      <w:bookmarkStart w:id="8" w:name="_Toc48723207"/>
      <w:r>
        <w:lastRenderedPageBreak/>
        <w:t>Issue</w:t>
      </w:r>
      <w:r w:rsidRPr="00194351">
        <w:t>s</w:t>
      </w:r>
      <w:r>
        <w:t xml:space="preserve"> for comment</w:t>
      </w:r>
      <w:bookmarkEnd w:id="2"/>
      <w:bookmarkEnd w:id="8"/>
    </w:p>
    <w:p w14:paraId="212530B1" w14:textId="77777777" w:rsidR="00F74814" w:rsidRDefault="00557267" w:rsidP="00C756DC">
      <w:pPr>
        <w:pStyle w:val="Paragraph"/>
      </w:pPr>
      <w:r>
        <w:t>We</w:t>
      </w:r>
      <w:r w:rsidR="00194351">
        <w:t xml:space="preserve"> welcome comment from interested stakeholders on</w:t>
      </w:r>
      <w:r w:rsidR="00AE60AB">
        <w:t xml:space="preserve"> any aspect of the consultation package. </w:t>
      </w:r>
    </w:p>
    <w:p w14:paraId="2E00EB5E" w14:textId="5D3A503E" w:rsidR="009F6C36" w:rsidRDefault="00AE60AB" w:rsidP="00896AD2">
      <w:pPr>
        <w:pStyle w:val="Paragraphbeforelist"/>
      </w:pPr>
      <w:r>
        <w:t xml:space="preserve">In addition, </w:t>
      </w:r>
      <w:r w:rsidR="00557267">
        <w:t xml:space="preserve">we </w:t>
      </w:r>
      <w:r w:rsidR="00715722" w:rsidRPr="00190673">
        <w:t>invite comments on the</w:t>
      </w:r>
      <w:r w:rsidR="00A11C20">
        <w:t xml:space="preserve">se specific questions: </w:t>
      </w:r>
    </w:p>
    <w:p w14:paraId="23CD2327" w14:textId="0BD324CB" w:rsidR="009F6C36" w:rsidRDefault="009F6C36" w:rsidP="00896AD2">
      <w:pPr>
        <w:pStyle w:val="Numberlistlevel1"/>
      </w:pPr>
      <w:r>
        <w:t xml:space="preserve">The ACMA is proposing to use a </w:t>
      </w:r>
      <w:r w:rsidR="00620AFA">
        <w:t>two</w:t>
      </w:r>
      <w:r>
        <w:t>-</w:t>
      </w:r>
      <w:r w:rsidR="006666DE">
        <w:t>stage</w:t>
      </w:r>
      <w:r>
        <w:t xml:space="preserve"> administrative allocation for apparatus licences in certain segments of the 26 GHz band and in all of the 28 GHz band. Do stakeholders agree with this approach? If not, please explain why. </w:t>
      </w:r>
    </w:p>
    <w:p w14:paraId="0FCA480B" w14:textId="15377596" w:rsidR="009F6C36" w:rsidRDefault="009F6C36" w:rsidP="00896AD2">
      <w:pPr>
        <w:pStyle w:val="Numberlistlevel1"/>
      </w:pPr>
      <w:r>
        <w:t xml:space="preserve">Do stakeholders have any concerns with the </w:t>
      </w:r>
      <w:r w:rsidR="001756EA">
        <w:t xml:space="preserve">licence duration </w:t>
      </w:r>
      <w:r w:rsidR="00522127">
        <w:t xml:space="preserve">and </w:t>
      </w:r>
      <w:r>
        <w:t>renewal policy for AWLs in the 26</w:t>
      </w:r>
      <w:r w:rsidR="00A4587D">
        <w:t xml:space="preserve"> GHz and </w:t>
      </w:r>
      <w:r>
        <w:t xml:space="preserve">28 GHz bands? </w:t>
      </w:r>
    </w:p>
    <w:p w14:paraId="5E3A7C4D" w14:textId="6B9506CA" w:rsidR="009F6C36" w:rsidRDefault="009F6C36" w:rsidP="007E4F7E">
      <w:pPr>
        <w:pStyle w:val="Numberlistlevel1"/>
      </w:pPr>
      <w:r>
        <w:t xml:space="preserve">The ACMA is proposing that AWLs be available for issue for the operation of FSS earth stations in the </w:t>
      </w:r>
      <w:r w:rsidR="00AA50F8">
        <w:t>27</w:t>
      </w:r>
      <w:r w:rsidR="007E4F7E">
        <w:t>–</w:t>
      </w:r>
      <w:r w:rsidR="00AA50F8">
        <w:t>29.5</w:t>
      </w:r>
      <w:r>
        <w:t xml:space="preserve"> GHz </w:t>
      </w:r>
      <w:r w:rsidR="00AA50F8">
        <w:t>range.</w:t>
      </w:r>
      <w:r>
        <w:t xml:space="preserve"> Do stakeholders support this proposal? If not, please explain why. </w:t>
      </w:r>
    </w:p>
    <w:p w14:paraId="04BF798E" w14:textId="46B845F9" w:rsidR="009F6C36" w:rsidRDefault="00F25B8B" w:rsidP="007E4F7E">
      <w:pPr>
        <w:pStyle w:val="Numberlistlevel1"/>
      </w:pPr>
      <w:r>
        <w:rPr>
          <w:rFonts w:cs="Arial"/>
          <w:snapToGrid w:val="0"/>
          <w:lang w:eastAsia="en-US"/>
        </w:rPr>
        <w:t>T</w:t>
      </w:r>
      <w:r w:rsidRPr="00B313DD">
        <w:rPr>
          <w:rFonts w:cs="Arial"/>
          <w:snapToGrid w:val="0"/>
          <w:lang w:eastAsia="en-US"/>
        </w:rPr>
        <w:t>he draft technical framework is optimised for both wireless broadband and FSS earth stations.</w:t>
      </w:r>
      <w:r>
        <w:rPr>
          <w:rFonts w:cs="Arial"/>
          <w:snapToGrid w:val="0"/>
          <w:lang w:eastAsia="en-US"/>
        </w:rPr>
        <w:t xml:space="preserve"> </w:t>
      </w:r>
      <w:r w:rsidR="00CD19F4">
        <w:rPr>
          <w:rFonts w:cs="Arial"/>
          <w:snapToGrid w:val="0"/>
          <w:lang w:eastAsia="en-US"/>
        </w:rPr>
        <w:t>Fixed e</w:t>
      </w:r>
      <w:r>
        <w:rPr>
          <w:rFonts w:cs="Arial"/>
          <w:snapToGrid w:val="0"/>
          <w:lang w:eastAsia="en-US"/>
        </w:rPr>
        <w:t>arth stations in the range 29.5</w:t>
      </w:r>
      <w:r w:rsidR="007E4F7E">
        <w:rPr>
          <w:rFonts w:cs="Arial"/>
          <w:snapToGrid w:val="0"/>
          <w:lang w:eastAsia="en-US"/>
        </w:rPr>
        <w:t>–</w:t>
      </w:r>
      <w:r w:rsidRPr="007E4F7E">
        <w:rPr>
          <w:rFonts w:cs="Arial"/>
          <w:snapToGrid w:val="0"/>
          <w:lang w:eastAsia="en-US"/>
        </w:rPr>
        <w:t>30 GHz are still authorised under a fixed</w:t>
      </w:r>
      <w:r w:rsidR="009F5AC7">
        <w:rPr>
          <w:rFonts w:cs="Arial"/>
          <w:snapToGrid w:val="0"/>
          <w:lang w:eastAsia="en-US"/>
        </w:rPr>
        <w:t>-</w:t>
      </w:r>
      <w:r w:rsidRPr="007E4F7E">
        <w:rPr>
          <w:rFonts w:cs="Arial"/>
          <w:snapToGrid w:val="0"/>
          <w:lang w:eastAsia="en-US"/>
        </w:rPr>
        <w:t>earth apparatus licence.</w:t>
      </w:r>
      <w:r w:rsidR="007E4F7E">
        <w:rPr>
          <w:rFonts w:cs="Arial"/>
          <w:snapToGrid w:val="0"/>
          <w:lang w:eastAsia="en-US"/>
        </w:rPr>
        <w:t xml:space="preserve"> </w:t>
      </w:r>
      <w:r w:rsidR="0031162D" w:rsidRPr="007E4F7E">
        <w:rPr>
          <w:rFonts w:cs="Arial"/>
          <w:snapToGrid w:val="0"/>
          <w:lang w:eastAsia="en-US"/>
        </w:rPr>
        <w:t xml:space="preserve">We are </w:t>
      </w:r>
      <w:r w:rsidR="00A16898" w:rsidRPr="007E4F7E">
        <w:rPr>
          <w:rFonts w:cs="Arial"/>
          <w:snapToGrid w:val="0"/>
          <w:lang w:eastAsia="en-US"/>
        </w:rPr>
        <w:t>seeking views on a proposal</w:t>
      </w:r>
      <w:r w:rsidR="009F6C36" w:rsidRPr="007E4F7E">
        <w:rPr>
          <w:rFonts w:cs="Arial"/>
          <w:snapToGrid w:val="0"/>
          <w:lang w:eastAsia="en-US"/>
        </w:rPr>
        <w:t xml:space="preserve"> to </w:t>
      </w:r>
      <w:r w:rsidR="009F6C36">
        <w:t>authorise FSS in the 29.5</w:t>
      </w:r>
      <w:r w:rsidR="007E4F7E">
        <w:t>–</w:t>
      </w:r>
      <w:r w:rsidR="009F6C36">
        <w:t xml:space="preserve">30 GHz range with AWLs. Do stakeholders have any comments about this </w:t>
      </w:r>
      <w:r w:rsidR="00EC2F98">
        <w:t>proposal</w:t>
      </w:r>
      <w:r w:rsidR="009F6C36">
        <w:t xml:space="preserve">? </w:t>
      </w:r>
    </w:p>
    <w:p w14:paraId="40A6FF6C" w14:textId="4F338D4A" w:rsidR="009F6C36" w:rsidRDefault="009F6C36" w:rsidP="00896AD2">
      <w:pPr>
        <w:pStyle w:val="Numberlistlevel1"/>
      </w:pPr>
      <w:r>
        <w:t>Do stakeholders have any specific comments about the draft AWL LCD or RALI</w:t>
      </w:r>
      <w:r w:rsidR="009A2F94">
        <w:t xml:space="preserve"> </w:t>
      </w:r>
      <w:r>
        <w:t xml:space="preserve">[new] or updated RALI MS 38? </w:t>
      </w:r>
    </w:p>
    <w:p w14:paraId="61A1ACF9" w14:textId="266140FE" w:rsidR="009F6C36" w:rsidRDefault="009F6C36" w:rsidP="00520BFA">
      <w:pPr>
        <w:pStyle w:val="Numberlistlast"/>
      </w:pPr>
      <w:r>
        <w:t xml:space="preserve">Do stakeholders agree with the proposed apparatus licence tax? </w:t>
      </w:r>
      <w:r w:rsidR="00610384">
        <w:t>As explained in</w:t>
      </w:r>
      <w:r w:rsidR="009E186A">
        <w:t xml:space="preserve"> </w:t>
      </w:r>
      <w:hyperlink w:anchor="_Appendix_A_–" w:history="1">
        <w:r w:rsidR="009E186A" w:rsidRPr="00991196">
          <w:rPr>
            <w:rStyle w:val="Hyperlink"/>
          </w:rPr>
          <w:t>Appendix A</w:t>
        </w:r>
      </w:hyperlink>
      <w:r w:rsidR="009E186A">
        <w:t>,</w:t>
      </w:r>
      <w:r w:rsidR="006D7CB5">
        <w:t xml:space="preserve"> at this time in Australia</w:t>
      </w:r>
      <w:r w:rsidR="009E186A">
        <w:t xml:space="preserve"> there</w:t>
      </w:r>
      <w:r w:rsidR="00490554" w:rsidRPr="00490554">
        <w:t xml:space="preserve"> is limited information about the value of the spectrum</w:t>
      </w:r>
      <w:r w:rsidR="006D7CB5">
        <w:t xml:space="preserve"> on offer for administrative allocation.</w:t>
      </w:r>
      <w:r w:rsidR="00610384">
        <w:t xml:space="preserve"> </w:t>
      </w:r>
      <w:r w:rsidR="006D7CB5">
        <w:t>T</w:t>
      </w:r>
      <w:r w:rsidR="006D7CB5" w:rsidRPr="006D7CB5">
        <w:t>he ACMA is open to reviewing the apparatus licence tax for AWLs in light of developments in domestic markets that have occurred or will occur over time. What considerations should the ACMA take into account</w:t>
      </w:r>
      <w:r w:rsidR="006D7CB5">
        <w:t>?</w:t>
      </w:r>
      <w:r w:rsidR="006D7CB5" w:rsidDel="006D7CB5">
        <w:t xml:space="preserve"> </w:t>
      </w:r>
    </w:p>
    <w:p w14:paraId="014E9501" w14:textId="1275A506" w:rsidR="00715722" w:rsidRPr="00190673" w:rsidRDefault="00715722" w:rsidP="00A11C20">
      <w:pPr>
        <w:pStyle w:val="Paragraph"/>
      </w:pPr>
    </w:p>
    <w:p w14:paraId="064BA46E" w14:textId="77777777" w:rsidR="006A65A3" w:rsidRDefault="006A65A3" w:rsidP="006A65A3">
      <w:pPr>
        <w:pStyle w:val="Heading1"/>
      </w:pPr>
      <w:bookmarkStart w:id="9" w:name="_Toc48723208"/>
      <w:r>
        <w:lastRenderedPageBreak/>
        <w:t>Invitation to comment</w:t>
      </w:r>
      <w:bookmarkEnd w:id="9"/>
    </w:p>
    <w:p w14:paraId="1EEFBC19" w14:textId="77777777" w:rsidR="006A65A3" w:rsidRDefault="006A65A3" w:rsidP="006A65A3">
      <w:pPr>
        <w:pStyle w:val="Heading2"/>
      </w:pPr>
      <w:bookmarkStart w:id="10" w:name="_Toc48723209"/>
      <w:r>
        <w:t>Making a submission</w:t>
      </w:r>
      <w:bookmarkEnd w:id="10"/>
    </w:p>
    <w:p w14:paraId="53A4D8FE" w14:textId="3D42D8E5" w:rsidR="006A65A3" w:rsidRPr="00B76591" w:rsidRDefault="006A65A3" w:rsidP="0061507A">
      <w:pPr>
        <w:pStyle w:val="Paragraph"/>
      </w:pPr>
      <w:r>
        <w:t xml:space="preserve">The ACMA invites comments on the issues set out in this discussion paper. </w:t>
      </w:r>
      <w:hyperlink r:id="rId30">
        <w:r w:rsidR="3FCAA5F4" w:rsidRPr="2AAE4496">
          <w:rPr>
            <w:rStyle w:val="Hyperlink"/>
          </w:rPr>
          <w:t>Online submissions</w:t>
        </w:r>
      </w:hyperlink>
      <w:r w:rsidR="3FCAA5F4">
        <w:t xml:space="preserve"> can be made by uploading a document. Submissions in PDF, Microsoft Word or Rich Text Format are preferred.</w:t>
      </w:r>
      <w:r w:rsidR="00062E87">
        <w:t xml:space="preserve"> </w:t>
      </w:r>
      <w:r w:rsidR="3FCAA5F4">
        <w:t xml:space="preserve">Submissions by post can be sent to: </w:t>
      </w:r>
    </w:p>
    <w:p w14:paraId="76255AEB" w14:textId="77777777" w:rsidR="006A65A3" w:rsidRPr="00B76591" w:rsidRDefault="006A65A3" w:rsidP="006A65A3">
      <w:pPr>
        <w:tabs>
          <w:tab w:val="num" w:pos="295"/>
        </w:tabs>
        <w:spacing w:after="0"/>
        <w:ind w:left="295"/>
        <w:rPr>
          <w:szCs w:val="20"/>
        </w:rPr>
      </w:pPr>
      <w:r w:rsidRPr="00B76591">
        <w:rPr>
          <w:szCs w:val="20"/>
        </w:rPr>
        <w:t>The Manager</w:t>
      </w:r>
    </w:p>
    <w:p w14:paraId="121DD0A0" w14:textId="4C6300F5" w:rsidR="006A65A3" w:rsidRPr="00B76591" w:rsidRDefault="00967D89" w:rsidP="006A65A3">
      <w:pPr>
        <w:spacing w:after="0"/>
        <w:ind w:left="295"/>
        <w:rPr>
          <w:szCs w:val="20"/>
        </w:rPr>
      </w:pPr>
      <w:r w:rsidRPr="00B76591">
        <w:rPr>
          <w:szCs w:val="20"/>
        </w:rPr>
        <w:t>Spectrum Outlook and Strategy Section</w:t>
      </w:r>
    </w:p>
    <w:p w14:paraId="1CD9494B" w14:textId="77777777" w:rsidR="006A65A3" w:rsidRPr="00B76591" w:rsidRDefault="006A65A3" w:rsidP="006A65A3">
      <w:pPr>
        <w:spacing w:after="0"/>
        <w:ind w:left="295"/>
        <w:rPr>
          <w:szCs w:val="20"/>
        </w:rPr>
      </w:pPr>
      <w:r w:rsidRPr="00B76591">
        <w:rPr>
          <w:szCs w:val="20"/>
        </w:rPr>
        <w:t>Australian Communications and Media Authority</w:t>
      </w:r>
    </w:p>
    <w:p w14:paraId="56DD7A71" w14:textId="0D289D22" w:rsidR="006A65A3" w:rsidRPr="00B76591" w:rsidRDefault="006A65A3" w:rsidP="006A65A3">
      <w:pPr>
        <w:spacing w:after="0"/>
        <w:ind w:left="295"/>
        <w:rPr>
          <w:szCs w:val="20"/>
        </w:rPr>
      </w:pPr>
      <w:r w:rsidRPr="00B76591">
        <w:rPr>
          <w:szCs w:val="20"/>
        </w:rPr>
        <w:t xml:space="preserve">PO Box </w:t>
      </w:r>
      <w:r w:rsidR="00CB5CA7" w:rsidRPr="00B76591">
        <w:rPr>
          <w:szCs w:val="20"/>
        </w:rPr>
        <w:t>Q500</w:t>
      </w:r>
    </w:p>
    <w:p w14:paraId="09AF23BC" w14:textId="6A20EAEE" w:rsidR="006A65A3" w:rsidRPr="00B76591" w:rsidRDefault="00CB5CA7" w:rsidP="006A65A3">
      <w:pPr>
        <w:ind w:left="295"/>
        <w:rPr>
          <w:szCs w:val="20"/>
        </w:rPr>
      </w:pPr>
      <w:r w:rsidRPr="00B76591">
        <w:rPr>
          <w:szCs w:val="20"/>
        </w:rPr>
        <w:t xml:space="preserve">Sydney NSW </w:t>
      </w:r>
      <w:r w:rsidR="00A62DD6" w:rsidRPr="00B76591">
        <w:rPr>
          <w:szCs w:val="20"/>
        </w:rPr>
        <w:t xml:space="preserve"> 1230</w:t>
      </w:r>
    </w:p>
    <w:p w14:paraId="1EFA9F3E" w14:textId="1839DCE6" w:rsidR="006A65A3" w:rsidRPr="00B76591" w:rsidRDefault="006A65A3" w:rsidP="006A65A3">
      <w:r w:rsidRPr="00B76591">
        <w:t xml:space="preserve">The closing date for submissions is </w:t>
      </w:r>
      <w:r w:rsidRPr="005847A4">
        <w:rPr>
          <w:b/>
          <w:bCs/>
        </w:rPr>
        <w:t>COB</w:t>
      </w:r>
      <w:r w:rsidRPr="000E48E8">
        <w:rPr>
          <w:b/>
          <w:bCs/>
        </w:rPr>
        <w:t xml:space="preserve">, </w:t>
      </w:r>
      <w:r w:rsidR="005847A4">
        <w:rPr>
          <w:b/>
          <w:bCs/>
        </w:rPr>
        <w:t>Wednesday 16</w:t>
      </w:r>
      <w:r w:rsidR="00972FB8" w:rsidRPr="000E48E8">
        <w:rPr>
          <w:b/>
          <w:bCs/>
        </w:rPr>
        <w:t xml:space="preserve"> September </w:t>
      </w:r>
      <w:r w:rsidR="00F41A52" w:rsidRPr="000E48E8">
        <w:rPr>
          <w:b/>
          <w:bCs/>
        </w:rPr>
        <w:t>2020</w:t>
      </w:r>
      <w:r w:rsidR="000E48E8">
        <w:t>.</w:t>
      </w:r>
      <w:r w:rsidR="00F41A52">
        <w:rPr>
          <w:highlight w:val="yellow"/>
        </w:rPr>
        <w:t xml:space="preserve"> </w:t>
      </w:r>
    </w:p>
    <w:p w14:paraId="0FBBCCFE" w14:textId="0BE1948A" w:rsidR="006A65A3" w:rsidRDefault="006A65A3" w:rsidP="006A65A3">
      <w:pPr>
        <w:rPr>
          <w:szCs w:val="20"/>
        </w:rPr>
      </w:pPr>
      <w:r w:rsidRPr="00B76591">
        <w:t xml:space="preserve">Consultation enquiries can be emailed </w:t>
      </w:r>
      <w:r w:rsidRPr="00B76591">
        <w:rPr>
          <w:szCs w:val="20"/>
        </w:rPr>
        <w:t xml:space="preserve">to </w:t>
      </w:r>
      <w:hyperlink r:id="rId31" w:history="1">
        <w:r w:rsidR="00B76591" w:rsidRPr="00B76591">
          <w:rPr>
            <w:rStyle w:val="Hyperlink"/>
            <w:szCs w:val="20"/>
          </w:rPr>
          <w:t>licensingdesign@acma.gov.au</w:t>
        </w:r>
      </w:hyperlink>
      <w:r w:rsidRPr="00B76591">
        <w:rPr>
          <w:szCs w:val="20"/>
        </w:rPr>
        <w:t>.</w:t>
      </w:r>
    </w:p>
    <w:p w14:paraId="32B3D9FB" w14:textId="77777777" w:rsidR="006A65A3" w:rsidRPr="0061507A" w:rsidRDefault="006A65A3" w:rsidP="006A65A3">
      <w:pPr>
        <w:pStyle w:val="Heading4"/>
        <w:rPr>
          <w:i w:val="0"/>
        </w:rPr>
      </w:pPr>
      <w:r w:rsidRPr="0061507A">
        <w:rPr>
          <w:i w:val="0"/>
        </w:rPr>
        <w:t>Publication of submissions</w:t>
      </w:r>
    </w:p>
    <w:p w14:paraId="38BE4461" w14:textId="77777777" w:rsidR="006A65A3" w:rsidRDefault="006A65A3" w:rsidP="006A65A3">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7652210A" w14:textId="77777777" w:rsidR="006A65A3" w:rsidRDefault="006A65A3" w:rsidP="006A65A3">
      <w:r>
        <w:t>Confidential information will not be published or otherwise released unless required or authorised by law.</w:t>
      </w:r>
    </w:p>
    <w:p w14:paraId="47CA7ABD" w14:textId="77777777" w:rsidR="006A65A3" w:rsidRPr="0061507A" w:rsidRDefault="006A65A3" w:rsidP="006A65A3">
      <w:pPr>
        <w:pStyle w:val="Heading4"/>
        <w:rPr>
          <w:i w:val="0"/>
        </w:rPr>
      </w:pPr>
      <w:r w:rsidRPr="0061507A">
        <w:rPr>
          <w:i w:val="0"/>
        </w:rPr>
        <w:t>Privacy</w:t>
      </w:r>
    </w:p>
    <w:p w14:paraId="3DD3731C" w14:textId="77777777" w:rsidR="006A65A3" w:rsidRDefault="006A65A3" w:rsidP="006A65A3">
      <w:pPr>
        <w:pStyle w:val="Paragraph"/>
      </w:pPr>
      <w:r>
        <w:t xml:space="preserve">View information about our policy on the </w:t>
      </w:r>
      <w:hyperlink r:id="rId32" w:history="1">
        <w:r>
          <w:rPr>
            <w:rStyle w:val="Hyperlink"/>
          </w:rPr>
          <w:t>p</w:t>
        </w:r>
        <w:r w:rsidRPr="00E21056">
          <w:rPr>
            <w:rStyle w:val="Hyperlink"/>
          </w:rPr>
          <w:t>ublication of submissions</w:t>
        </w:r>
      </w:hyperlink>
      <w:r>
        <w:t>, including collection of personal information during consultation and how we handle that information.</w:t>
      </w:r>
    </w:p>
    <w:p w14:paraId="73F3D9D4" w14:textId="77777777" w:rsidR="006A65A3" w:rsidRPr="0041233F" w:rsidRDefault="006A65A3" w:rsidP="006A65A3">
      <w:pPr>
        <w:pStyle w:val="Paragraph"/>
      </w:pPr>
      <w:r>
        <w:t xml:space="preserve">Information on the </w:t>
      </w:r>
      <w:r>
        <w:rPr>
          <w:i/>
        </w:rPr>
        <w:t xml:space="preserve">Privacy Act 1988, </w:t>
      </w:r>
      <w:r>
        <w:t xml:space="preserve">how to access or correct personal information, how to make a privacy complaint and how we will deal with the complaint, is available in our </w:t>
      </w:r>
      <w:hyperlink r:id="rId33" w:history="1">
        <w:r w:rsidRPr="00E21056">
          <w:rPr>
            <w:rStyle w:val="Hyperlink"/>
          </w:rPr>
          <w:t>privacy policy</w:t>
        </w:r>
      </w:hyperlink>
      <w:r>
        <w:t xml:space="preserve">. </w:t>
      </w:r>
    </w:p>
    <w:p w14:paraId="2FF95586" w14:textId="7C071A73" w:rsidR="00AF52D5" w:rsidRDefault="001B6AE4" w:rsidP="00790D0F">
      <w:pPr>
        <w:pStyle w:val="Heading1"/>
      </w:pPr>
      <w:bookmarkStart w:id="11" w:name="_Appendix_A_–"/>
      <w:bookmarkStart w:id="12" w:name="_Toc48723210"/>
      <w:bookmarkStart w:id="13" w:name="_Toc11308307"/>
      <w:bookmarkEnd w:id="11"/>
      <w:r>
        <w:lastRenderedPageBreak/>
        <w:t>Appendix A</w:t>
      </w:r>
      <w:r w:rsidR="00991196">
        <w:t>—</w:t>
      </w:r>
      <w:r>
        <w:t>T</w:t>
      </w:r>
      <w:r w:rsidR="00790D0F" w:rsidRPr="00790D0F">
        <w:t>axation and charges</w:t>
      </w:r>
      <w:bookmarkEnd w:id="12"/>
    </w:p>
    <w:p w14:paraId="40D21396" w14:textId="0EED3EE6" w:rsidR="00124C58" w:rsidRDefault="00124C58" w:rsidP="00124C58">
      <w:pPr>
        <w:pStyle w:val="Heading2"/>
      </w:pPr>
      <w:bookmarkStart w:id="14" w:name="_Toc48723211"/>
      <w:r>
        <w:t xml:space="preserve">Apparatus </w:t>
      </w:r>
      <w:r w:rsidR="00132169">
        <w:t>l</w:t>
      </w:r>
      <w:r>
        <w:t>icence tax arrangements</w:t>
      </w:r>
      <w:bookmarkEnd w:id="14"/>
    </w:p>
    <w:p w14:paraId="564625FA" w14:textId="77777777" w:rsidR="00124C58" w:rsidRDefault="00124C58" w:rsidP="00124C58">
      <w:pPr>
        <w:pStyle w:val="Heading3"/>
      </w:pPr>
      <w:r>
        <w:t>Proposed tax arrangements</w:t>
      </w:r>
    </w:p>
    <w:p w14:paraId="5C2BC268" w14:textId="378EA73D" w:rsidR="00124C58" w:rsidRDefault="00124C58" w:rsidP="008F6CBC">
      <w:pPr>
        <w:pStyle w:val="Paragraphbeforelist"/>
      </w:pPr>
      <w:r>
        <w:t>The ACMA is proposing an apparatus licence tax of $0.0003/MHz/</w:t>
      </w:r>
      <w:r w:rsidR="005552B8">
        <w:t>p</w:t>
      </w:r>
      <w:r>
        <w:t xml:space="preserve">op in </w:t>
      </w:r>
      <w:r w:rsidR="00B478ED">
        <w:t>segments of the 26 GHz band (</w:t>
      </w:r>
      <w:r w:rsidDel="00B478ED">
        <w:t>the</w:t>
      </w:r>
      <w:r w:rsidR="00755772">
        <w:t xml:space="preserve"> </w:t>
      </w:r>
      <w:r w:rsidR="0042037C">
        <w:t>24.7</w:t>
      </w:r>
      <w:r w:rsidR="00755772">
        <w:t>–</w:t>
      </w:r>
      <w:r w:rsidR="0042037C">
        <w:t>25.1</w:t>
      </w:r>
      <w:r w:rsidR="00DD1B93">
        <w:t xml:space="preserve"> </w:t>
      </w:r>
      <w:r w:rsidR="005409A2">
        <w:t xml:space="preserve">GHz </w:t>
      </w:r>
      <w:r w:rsidR="00DD1B93">
        <w:t xml:space="preserve">range </w:t>
      </w:r>
      <w:r w:rsidR="0042037C">
        <w:t xml:space="preserve">and </w:t>
      </w:r>
      <w:r w:rsidR="004751E7">
        <w:t>in areas other than those designated for spectrum licen</w:t>
      </w:r>
      <w:r w:rsidR="008F53E7">
        <w:t>sing</w:t>
      </w:r>
      <w:r w:rsidR="00DD1B93">
        <w:t xml:space="preserve"> in</w:t>
      </w:r>
      <w:r w:rsidR="00B478ED">
        <w:t xml:space="preserve"> </w:t>
      </w:r>
      <w:r w:rsidR="009602C2">
        <w:t xml:space="preserve">the </w:t>
      </w:r>
      <w:r w:rsidR="00DD1B93">
        <w:t>25.1</w:t>
      </w:r>
      <w:r w:rsidR="00755772">
        <w:t>–</w:t>
      </w:r>
      <w:r w:rsidR="00DD1B93">
        <w:t xml:space="preserve">27.5 </w:t>
      </w:r>
      <w:r w:rsidR="005409A2">
        <w:t xml:space="preserve">GHz </w:t>
      </w:r>
      <w:r w:rsidR="00B478ED">
        <w:t>range)</w:t>
      </w:r>
      <w:r w:rsidR="0042037C">
        <w:t xml:space="preserve"> </w:t>
      </w:r>
      <w:r>
        <w:t xml:space="preserve">and </w:t>
      </w:r>
      <w:r w:rsidR="00667A44">
        <w:t xml:space="preserve">in </w:t>
      </w:r>
      <w:r w:rsidR="007E3C1C">
        <w:t>the 27.5</w:t>
      </w:r>
      <w:r w:rsidR="005409A2">
        <w:t>–</w:t>
      </w:r>
      <w:r w:rsidR="00A3210E">
        <w:t xml:space="preserve">29.5 </w:t>
      </w:r>
      <w:r w:rsidR="005409A2">
        <w:t xml:space="preserve">GHz </w:t>
      </w:r>
      <w:r w:rsidR="00BE55B7">
        <w:t xml:space="preserve">frequency </w:t>
      </w:r>
      <w:r w:rsidR="00A3210E">
        <w:t>range of the</w:t>
      </w:r>
      <w:r w:rsidR="00667A44">
        <w:t xml:space="preserve"> </w:t>
      </w:r>
      <w:r>
        <w:t>28 GHz band where:</w:t>
      </w:r>
    </w:p>
    <w:p w14:paraId="15CE00C7" w14:textId="37BC187E" w:rsidR="00124C58" w:rsidRDefault="00124C58">
      <w:pPr>
        <w:pStyle w:val="ListBullet"/>
      </w:pPr>
      <w:r>
        <w:t>MHz is the amount of spectrum in an area</w:t>
      </w:r>
      <w:r w:rsidR="005409A2">
        <w:t>.</w:t>
      </w:r>
    </w:p>
    <w:p w14:paraId="1B008279" w14:textId="460468E6" w:rsidR="00124C58" w:rsidRDefault="00124C58">
      <w:pPr>
        <w:pStyle w:val="ListBullet"/>
      </w:pPr>
      <w:r>
        <w:t xml:space="preserve">Pop is the population of the area. The area will be defined in terms of the </w:t>
      </w:r>
      <w:r w:rsidR="0625C536">
        <w:t xml:space="preserve">Hierarchical Cell Identification </w:t>
      </w:r>
      <w:r w:rsidR="3E6EBE52">
        <w:t xml:space="preserve">Scheme </w:t>
      </w:r>
      <w:r w:rsidR="0625C536">
        <w:t>(</w:t>
      </w:r>
      <w:r>
        <w:t>HCIS</w:t>
      </w:r>
      <w:r w:rsidR="0625C536">
        <w:t>)</w:t>
      </w:r>
      <w:r w:rsidR="005409A2">
        <w:t>.</w:t>
      </w:r>
      <w:r w:rsidR="005C0A37">
        <w:rPr>
          <w:rStyle w:val="FootnoteReference"/>
        </w:rPr>
        <w:footnoteReference w:id="5"/>
      </w:r>
    </w:p>
    <w:p w14:paraId="7D9A2DED" w14:textId="3BD41BA9" w:rsidR="00124C58" w:rsidRDefault="005409A2">
      <w:pPr>
        <w:pStyle w:val="ListBulletLast"/>
      </w:pPr>
      <w:r>
        <w:t>T</w:t>
      </w:r>
      <w:r w:rsidR="009602C2">
        <w:t>he</w:t>
      </w:r>
      <w:r w:rsidR="00124C58">
        <w:t xml:space="preserve"> 26 GHz and 28 GHz bands means the </w:t>
      </w:r>
      <w:r w:rsidR="0077009D">
        <w:t xml:space="preserve">apparatus licensed </w:t>
      </w:r>
      <w:r w:rsidR="00124C58">
        <w:t>spectrum from 25.7</w:t>
      </w:r>
      <w:r>
        <w:t> </w:t>
      </w:r>
      <w:r w:rsidR="00124C58">
        <w:t>GHz</w:t>
      </w:r>
      <w:r w:rsidR="00124C58" w:rsidDel="00B21268">
        <w:t xml:space="preserve"> </w:t>
      </w:r>
      <w:r w:rsidR="00124C58">
        <w:t>up to and including 29.5 GHz.</w:t>
      </w:r>
    </w:p>
    <w:p w14:paraId="1EE0D25D" w14:textId="5BACF53E" w:rsidR="00124C58" w:rsidRDefault="00124C58" w:rsidP="00124C58">
      <w:r>
        <w:t xml:space="preserve">Where the </w:t>
      </w:r>
      <w:r w:rsidR="007A175F">
        <w:t xml:space="preserve">calculated </w:t>
      </w:r>
      <w:r>
        <w:t>tax</w:t>
      </w:r>
      <w:r w:rsidR="007A175F">
        <w:t>,</w:t>
      </w:r>
      <w:r>
        <w:t xml:space="preserve"> using the method outlined above</w:t>
      </w:r>
      <w:r w:rsidR="007A175F">
        <w:t>,</w:t>
      </w:r>
      <w:r>
        <w:t xml:space="preserve"> is less than the minimum annual tax, the tax will be the minimum annual tax</w:t>
      </w:r>
      <w:r w:rsidR="00E360D9">
        <w:t>. Currently</w:t>
      </w:r>
      <w:r w:rsidR="001108E4">
        <w:t xml:space="preserve"> </w:t>
      </w:r>
      <w:r w:rsidR="00E360D9">
        <w:t>the minimum annual tax is</w:t>
      </w:r>
      <w:r w:rsidR="001108E4">
        <w:t xml:space="preserve"> </w:t>
      </w:r>
      <w:r w:rsidR="00F53AC4">
        <w:t>$41.49</w:t>
      </w:r>
      <w:r>
        <w:t>.</w:t>
      </w:r>
    </w:p>
    <w:p w14:paraId="79D1638F" w14:textId="0F727E70" w:rsidR="00B6399B" w:rsidRDefault="00124C58" w:rsidP="00A327AC">
      <w:pPr>
        <w:pStyle w:val="Paragraph"/>
      </w:pPr>
      <w:r>
        <w:t xml:space="preserve">It is proposed that these tax arrangements will be inserted into the </w:t>
      </w:r>
      <w:r w:rsidRPr="00C756DC">
        <w:t>Radiocommunications (Transmitter Licence Tax) Determination 2015</w:t>
      </w:r>
      <w:r w:rsidRPr="003B5258">
        <w:t>.</w:t>
      </w:r>
      <w:r w:rsidR="2CD57F08">
        <w:t xml:space="preserve"> As it is not expected that AWL receive</w:t>
      </w:r>
      <w:r w:rsidR="00EA3832">
        <w:t>r</w:t>
      </w:r>
      <w:r w:rsidR="2CD57F08">
        <w:t xml:space="preserve"> licences will be required, </w:t>
      </w:r>
      <w:r w:rsidR="00BA31E3">
        <w:t xml:space="preserve">we are </w:t>
      </w:r>
      <w:r w:rsidR="2CD57F08">
        <w:t>not proposin</w:t>
      </w:r>
      <w:r w:rsidR="191807CC">
        <w:t xml:space="preserve">g to determine a tax in the </w:t>
      </w:r>
      <w:r w:rsidR="191807CC" w:rsidRPr="00C756DC">
        <w:t>Radio</w:t>
      </w:r>
      <w:r w:rsidR="00C701DD" w:rsidRPr="00C756DC">
        <w:t>communications</w:t>
      </w:r>
      <w:r w:rsidR="191807CC" w:rsidRPr="00C756DC">
        <w:t xml:space="preserve"> (Receiver Licence Tax) Determination 2015</w:t>
      </w:r>
      <w:r w:rsidR="191807CC" w:rsidRPr="003B5258">
        <w:t>.</w:t>
      </w:r>
    </w:p>
    <w:p w14:paraId="5111A32A" w14:textId="2C880916" w:rsidR="00124C58" w:rsidRDefault="00124C58" w:rsidP="00124C58">
      <w:pPr>
        <w:pStyle w:val="Heading3"/>
      </w:pPr>
      <w:r>
        <w:t>Context to the pricing arrangements</w:t>
      </w:r>
    </w:p>
    <w:p w14:paraId="0F55829F" w14:textId="31B51D7C" w:rsidR="00B6399B" w:rsidRDefault="00B6399B" w:rsidP="00124C58">
      <w:r>
        <w:t>T</w:t>
      </w:r>
      <w:r w:rsidR="00124C58">
        <w:t xml:space="preserve">he AWL taxation arrangements differ from most apparatus licence tax arrangements. </w:t>
      </w:r>
    </w:p>
    <w:p w14:paraId="2CAD6264" w14:textId="207467BB" w:rsidR="00124C58" w:rsidRDefault="00124C58" w:rsidP="00124C58">
      <w:r>
        <w:t xml:space="preserve">Many apparatus licence taxes are based on the number of stations or spectrum accesses included in the licence. AWL licensing permits any number of stations or spectrum accesses to be used within any given area, as long as these meet the </w:t>
      </w:r>
      <w:r w:rsidR="00F50FE0">
        <w:t xml:space="preserve">specified </w:t>
      </w:r>
      <w:r>
        <w:t xml:space="preserve">technical criteria. Accordingly, the AWL tax is based on the amount of spectrum and the area authorised and not </w:t>
      </w:r>
      <w:r w:rsidR="003B1261">
        <w:t xml:space="preserve">on </w:t>
      </w:r>
      <w:r>
        <w:t>the number of stations</w:t>
      </w:r>
      <w:r w:rsidR="00FE56C3">
        <w:t xml:space="preserve"> or spectrum accesses</w:t>
      </w:r>
      <w:r>
        <w:t>. The proposed tax arrangements are similar to those for PMTS Class B licences that also use a $/MHz/</w:t>
      </w:r>
      <w:r w:rsidR="009A5B5B">
        <w:t>p</w:t>
      </w:r>
      <w:r>
        <w:t>op construct to determine the tax.</w:t>
      </w:r>
      <w:r>
        <w:rPr>
          <w:rStyle w:val="FootnoteReference"/>
        </w:rPr>
        <w:footnoteReference w:id="6"/>
      </w:r>
      <w:r>
        <w:t xml:space="preserve">  </w:t>
      </w:r>
    </w:p>
    <w:p w14:paraId="06766E72" w14:textId="19D0E0B3" w:rsidR="00774DBC" w:rsidRDefault="00124C58" w:rsidP="00124C58">
      <w:r>
        <w:t>In determining a $/MHz/</w:t>
      </w:r>
      <w:r w:rsidR="00E4522E">
        <w:t>p</w:t>
      </w:r>
      <w:r>
        <w:t xml:space="preserve">op rate for the tax, </w:t>
      </w:r>
      <w:r w:rsidR="00557267">
        <w:t>we</w:t>
      </w:r>
      <w:r>
        <w:t xml:space="preserve"> </w:t>
      </w:r>
      <w:r w:rsidR="0034595B">
        <w:t xml:space="preserve">note that </w:t>
      </w:r>
      <w:r>
        <w:t xml:space="preserve">5G services and satellite services </w:t>
      </w:r>
      <w:r w:rsidR="006E516A">
        <w:t xml:space="preserve">are </w:t>
      </w:r>
      <w:r w:rsidR="00314018">
        <w:t xml:space="preserve">still evolving, </w:t>
      </w:r>
      <w:r w:rsidR="006E516A">
        <w:t xml:space="preserve">so </w:t>
      </w:r>
      <w:r>
        <w:t xml:space="preserve">there is limited information about the value of the spectrum at this time in Australia.  </w:t>
      </w:r>
    </w:p>
    <w:p w14:paraId="401D1296" w14:textId="730D8AF3" w:rsidR="00492BBF" w:rsidRDefault="00124C58" w:rsidP="00124C58">
      <w:r>
        <w:lastRenderedPageBreak/>
        <w:t>Given these limitations</w:t>
      </w:r>
      <w:r w:rsidR="004A2CDF">
        <w:t>,</w:t>
      </w:r>
      <w:r>
        <w:t xml:space="preserve"> </w:t>
      </w:r>
      <w:r w:rsidR="0F8203A0">
        <w:t xml:space="preserve">we </w:t>
      </w:r>
      <w:r w:rsidR="00F11D13">
        <w:t>have</w:t>
      </w:r>
      <w:r>
        <w:t xml:space="preserve"> been guided by </w:t>
      </w:r>
      <w:r w:rsidR="00CD2DCB">
        <w:t xml:space="preserve">overseas </w:t>
      </w:r>
      <w:r>
        <w:t xml:space="preserve">auction results for similar spectrum. Table </w:t>
      </w:r>
      <w:r w:rsidR="312AA421">
        <w:t xml:space="preserve">1 </w:t>
      </w:r>
      <w:r>
        <w:t xml:space="preserve">outlines some of the recent international auctions for similar spectrum. </w:t>
      </w:r>
    </w:p>
    <w:p w14:paraId="23B2AC6F" w14:textId="5335F125" w:rsidR="00E870B5" w:rsidRDefault="00124C58" w:rsidP="00124C58">
      <w:r>
        <w:t xml:space="preserve">Making comparisons with </w:t>
      </w:r>
      <w:r w:rsidR="00F73562">
        <w:t>overse</w:t>
      </w:r>
      <w:r w:rsidR="00AA7B8D">
        <w:t>as</w:t>
      </w:r>
      <w:r>
        <w:t xml:space="preserve"> auctions is difficult.</w:t>
      </w:r>
      <w:r w:rsidR="0042655A" w:rsidRPr="0042655A">
        <w:t xml:space="preserve"> </w:t>
      </w:r>
      <w:r w:rsidR="0042655A">
        <w:t xml:space="preserve">In Australia, </w:t>
      </w:r>
      <w:r w:rsidR="00764326">
        <w:t>d</w:t>
      </w:r>
      <w:r w:rsidR="0042655A" w:rsidRPr="0042655A">
        <w:t xml:space="preserve">ifferences between pricing arrangements for apparatus and spectrum licences occur due to </w:t>
      </w:r>
      <w:r w:rsidR="00F26665">
        <w:t xml:space="preserve">licence duration </w:t>
      </w:r>
      <w:r w:rsidR="0042655A" w:rsidRPr="0042655A">
        <w:t>and technical conditions</w:t>
      </w:r>
      <w:r w:rsidR="00764326">
        <w:t xml:space="preserve">. </w:t>
      </w:r>
      <w:r w:rsidR="006F4DA8">
        <w:t>Similarly</w:t>
      </w:r>
      <w:r w:rsidR="00405537">
        <w:t>, t</w:t>
      </w:r>
      <w:r>
        <w:t xml:space="preserve">he outcome of auctions in other countries can </w:t>
      </w:r>
      <w:r w:rsidR="00425A23">
        <w:t xml:space="preserve">also </w:t>
      </w:r>
      <w:r>
        <w:t xml:space="preserve">be influenced by factors </w:t>
      </w:r>
      <w:r w:rsidR="00812460">
        <w:t xml:space="preserve">like </w:t>
      </w:r>
      <w:r w:rsidR="009C1BF0">
        <w:t xml:space="preserve">licence </w:t>
      </w:r>
      <w:r w:rsidR="00812460">
        <w:t>duration</w:t>
      </w:r>
      <w:r w:rsidR="00DE3129">
        <w:t>,</w:t>
      </w:r>
      <w:r w:rsidR="00F5095C">
        <w:t xml:space="preserve"> tech</w:t>
      </w:r>
      <w:r w:rsidR="00FA0F8E">
        <w:t>nical</w:t>
      </w:r>
      <w:r w:rsidR="00DE3129">
        <w:t xml:space="preserve"> condition</w:t>
      </w:r>
      <w:r w:rsidR="00097710">
        <w:t>s</w:t>
      </w:r>
      <w:r w:rsidR="003E3E31">
        <w:t xml:space="preserve"> and competitive tension in auction</w:t>
      </w:r>
      <w:r w:rsidR="002C2DD4">
        <w:t>s</w:t>
      </w:r>
      <w:r w:rsidR="004E6EF5">
        <w:t>, which</w:t>
      </w:r>
      <w:r>
        <w:t xml:space="preserve"> </w:t>
      </w:r>
      <w:r w:rsidR="001C4771">
        <w:t xml:space="preserve">may </w:t>
      </w:r>
      <w:r>
        <w:t xml:space="preserve">not </w:t>
      </w:r>
      <w:r w:rsidR="001C4771">
        <w:t xml:space="preserve">be </w:t>
      </w:r>
      <w:r>
        <w:t>present in</w:t>
      </w:r>
      <w:r w:rsidR="004C522B">
        <w:t xml:space="preserve"> </w:t>
      </w:r>
      <w:r>
        <w:t xml:space="preserve">Australia. Nevertheless, the outcomes across countries highlight the potential value of the spectrum. </w:t>
      </w:r>
    </w:p>
    <w:p w14:paraId="49B21051" w14:textId="227EAC2B" w:rsidR="00124C58" w:rsidRPr="004514EB" w:rsidRDefault="002F58D4" w:rsidP="004B08C6">
      <w:pPr>
        <w:pStyle w:val="ACMATableHeader"/>
      </w:pPr>
      <w:r>
        <w:t>Overseas</w:t>
      </w:r>
      <w:r w:rsidR="00124C58" w:rsidRPr="004514EB">
        <w:t xml:space="preserve"> </w:t>
      </w:r>
      <w:r w:rsidR="004A2CDF">
        <w:t>a</w:t>
      </w:r>
      <w:r w:rsidR="00EA6BC0" w:rsidRPr="00557267">
        <w:t xml:space="preserve">uction </w:t>
      </w:r>
      <w:r w:rsidR="004A2CDF">
        <w:t>p</w:t>
      </w:r>
      <w:r w:rsidR="00124C58" w:rsidRPr="004514EB">
        <w:t>rices</w:t>
      </w:r>
    </w:p>
    <w:tbl>
      <w:tblPr>
        <w:tblStyle w:val="TableGrid"/>
        <w:tblW w:w="7467" w:type="dxa"/>
        <w:tblInd w:w="-5" w:type="dxa"/>
        <w:tblBorders>
          <w:top w:val="single" w:sz="4" w:space="0" w:color="C4BC96" w:themeColor="background2" w:themeShade="BF"/>
          <w:left w:val="single" w:sz="4" w:space="0" w:color="C4BC96" w:themeColor="background2" w:themeShade="BF"/>
          <w:bottom w:val="single" w:sz="4" w:space="0" w:color="C4BC96" w:themeColor="background2" w:themeShade="BF"/>
          <w:right w:val="single" w:sz="4" w:space="0" w:color="C4BC96" w:themeColor="background2" w:themeShade="BF"/>
          <w:insideH w:val="single" w:sz="4" w:space="0" w:color="C4BC96" w:themeColor="background2" w:themeShade="BF"/>
          <w:insideV w:val="single" w:sz="4" w:space="0" w:color="C4BC96" w:themeColor="background2" w:themeShade="BF"/>
        </w:tblBorders>
        <w:tblCellMar>
          <w:top w:w="85" w:type="dxa"/>
          <w:bottom w:w="85" w:type="dxa"/>
        </w:tblCellMar>
        <w:tblLook w:val="04A0" w:firstRow="1" w:lastRow="0" w:firstColumn="1" w:lastColumn="0" w:noHBand="0" w:noVBand="1"/>
      </w:tblPr>
      <w:tblGrid>
        <w:gridCol w:w="980"/>
        <w:gridCol w:w="1262"/>
        <w:gridCol w:w="1127"/>
        <w:gridCol w:w="1227"/>
        <w:gridCol w:w="1069"/>
        <w:gridCol w:w="1802"/>
      </w:tblGrid>
      <w:tr w:rsidR="004A2CDF" w:rsidRPr="004A2CDF" w14:paraId="361CAF58" w14:textId="77777777" w:rsidTr="00C756DC">
        <w:trPr>
          <w:tblHeader/>
        </w:trPr>
        <w:tc>
          <w:tcPr>
            <w:tcW w:w="99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F28E11F" w14:textId="77777777" w:rsidR="00124C58" w:rsidRPr="00C756DC" w:rsidRDefault="00124C58" w:rsidP="00992C30">
            <w:pPr>
              <w:pStyle w:val="ListParagraph"/>
              <w:ind w:left="0"/>
              <w:jc w:val="center"/>
              <w:rPr>
                <w:rFonts w:cs="Arial"/>
                <w:b/>
                <w:bCs/>
                <w:color w:val="FFFFFF" w:themeColor="background1"/>
                <w:sz w:val="18"/>
                <w:szCs w:val="20"/>
              </w:rPr>
            </w:pPr>
            <w:r w:rsidRPr="00C756DC">
              <w:rPr>
                <w:rFonts w:cs="Arial"/>
                <w:b/>
                <w:bCs/>
                <w:color w:val="FFFFFF" w:themeColor="background1"/>
                <w:sz w:val="18"/>
                <w:szCs w:val="20"/>
              </w:rPr>
              <w:t>Date</w:t>
            </w:r>
          </w:p>
        </w:tc>
        <w:tc>
          <w:tcPr>
            <w:tcW w:w="1275"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E51391A" w14:textId="77777777" w:rsidR="00124C58" w:rsidRPr="00C756DC" w:rsidRDefault="00124C58" w:rsidP="00992C30">
            <w:pPr>
              <w:pStyle w:val="ListParagraph"/>
              <w:ind w:left="0"/>
              <w:jc w:val="center"/>
              <w:rPr>
                <w:rFonts w:cs="Arial"/>
                <w:b/>
                <w:bCs/>
                <w:color w:val="FFFFFF" w:themeColor="background1"/>
                <w:sz w:val="18"/>
                <w:szCs w:val="20"/>
              </w:rPr>
            </w:pPr>
            <w:r w:rsidRPr="00C756DC">
              <w:rPr>
                <w:rFonts w:cs="Arial"/>
                <w:b/>
                <w:bCs/>
                <w:color w:val="FFFFFF" w:themeColor="background1"/>
                <w:sz w:val="18"/>
                <w:szCs w:val="20"/>
              </w:rPr>
              <w:t>Country</w:t>
            </w:r>
          </w:p>
        </w:tc>
        <w:tc>
          <w:tcPr>
            <w:tcW w:w="1067"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08884A" w14:textId="77777777" w:rsidR="00124C58" w:rsidRPr="00C756DC" w:rsidRDefault="00124C58" w:rsidP="00992C30">
            <w:pPr>
              <w:pStyle w:val="ListParagraph"/>
              <w:ind w:left="0"/>
              <w:jc w:val="center"/>
              <w:rPr>
                <w:rFonts w:cs="Arial"/>
                <w:b/>
                <w:bCs/>
                <w:color w:val="FFFFFF" w:themeColor="background1"/>
                <w:sz w:val="18"/>
                <w:szCs w:val="20"/>
              </w:rPr>
            </w:pPr>
            <w:r w:rsidRPr="00C756DC">
              <w:rPr>
                <w:rFonts w:cs="Arial"/>
                <w:b/>
                <w:bCs/>
                <w:color w:val="FFFFFF" w:themeColor="background1"/>
                <w:sz w:val="18"/>
                <w:szCs w:val="20"/>
              </w:rPr>
              <w:t>Frequency</w:t>
            </w:r>
          </w:p>
        </w:tc>
        <w:tc>
          <w:tcPr>
            <w:tcW w:w="1230"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B6163D1" w14:textId="77777777" w:rsidR="00124C58" w:rsidRPr="00C756DC" w:rsidRDefault="00124C58" w:rsidP="00992C30">
            <w:pPr>
              <w:pStyle w:val="ListParagraph"/>
              <w:ind w:left="0"/>
              <w:jc w:val="center"/>
              <w:rPr>
                <w:rFonts w:cs="Arial"/>
                <w:b/>
                <w:bCs/>
                <w:color w:val="FFFFFF" w:themeColor="background1"/>
                <w:sz w:val="18"/>
                <w:szCs w:val="20"/>
              </w:rPr>
            </w:pPr>
            <w:r w:rsidRPr="00C756DC">
              <w:rPr>
                <w:rFonts w:cs="Arial"/>
                <w:b/>
                <w:bCs/>
                <w:color w:val="FFFFFF" w:themeColor="background1"/>
                <w:sz w:val="18"/>
                <w:szCs w:val="20"/>
              </w:rPr>
              <w:t>Bandwidth</w:t>
            </w:r>
          </w:p>
        </w:tc>
        <w:tc>
          <w:tcPr>
            <w:tcW w:w="1075"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23EEFBD" w14:textId="4132DCAC" w:rsidR="00124C58" w:rsidRPr="00C756DC" w:rsidRDefault="00124C58" w:rsidP="00992C30">
            <w:pPr>
              <w:pStyle w:val="ListParagraph"/>
              <w:ind w:left="0"/>
              <w:jc w:val="center"/>
              <w:rPr>
                <w:rFonts w:cs="Arial"/>
                <w:b/>
                <w:bCs/>
                <w:color w:val="FFFFFF" w:themeColor="background1"/>
                <w:sz w:val="18"/>
                <w:szCs w:val="20"/>
              </w:rPr>
            </w:pPr>
            <w:r w:rsidRPr="00C756DC">
              <w:rPr>
                <w:rFonts w:cs="Arial"/>
                <w:b/>
                <w:bCs/>
                <w:color w:val="FFFFFF" w:themeColor="background1"/>
                <w:sz w:val="18"/>
                <w:szCs w:val="20"/>
              </w:rPr>
              <w:t xml:space="preserve">Licence </w:t>
            </w:r>
            <w:r w:rsidR="004A2CDF" w:rsidRPr="00C756DC">
              <w:rPr>
                <w:rFonts w:cs="Arial"/>
                <w:b/>
                <w:bCs/>
                <w:color w:val="FFFFFF" w:themeColor="background1"/>
                <w:sz w:val="18"/>
                <w:szCs w:val="20"/>
              </w:rPr>
              <w:t>t</w:t>
            </w:r>
            <w:r w:rsidRPr="00C756DC">
              <w:rPr>
                <w:rFonts w:cs="Arial"/>
                <w:b/>
                <w:bCs/>
                <w:color w:val="FFFFFF" w:themeColor="background1"/>
                <w:sz w:val="18"/>
                <w:szCs w:val="20"/>
              </w:rPr>
              <w:t>erm</w:t>
            </w:r>
          </w:p>
        </w:tc>
        <w:tc>
          <w:tcPr>
            <w:tcW w:w="1827"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38002F2" w14:textId="77777777" w:rsidR="00124C58" w:rsidRPr="00C756DC" w:rsidRDefault="00124C58" w:rsidP="00992C30">
            <w:pPr>
              <w:pStyle w:val="ListParagraph"/>
              <w:ind w:left="0"/>
              <w:jc w:val="center"/>
              <w:rPr>
                <w:rFonts w:cs="Arial"/>
                <w:b/>
                <w:bCs/>
                <w:color w:val="FFFFFF" w:themeColor="background1"/>
                <w:sz w:val="18"/>
                <w:szCs w:val="20"/>
              </w:rPr>
            </w:pPr>
            <w:r w:rsidRPr="00C756DC">
              <w:rPr>
                <w:rFonts w:cs="Arial"/>
                <w:b/>
                <w:bCs/>
                <w:color w:val="FFFFFF" w:themeColor="background1"/>
                <w:sz w:val="18"/>
                <w:szCs w:val="20"/>
              </w:rPr>
              <w:t>$/MHz/pop</w:t>
            </w:r>
          </w:p>
          <w:p w14:paraId="50FDDD39" w14:textId="5748935E" w:rsidR="00124C58" w:rsidRPr="00C756DC" w:rsidRDefault="004A2CDF" w:rsidP="00992C30">
            <w:pPr>
              <w:pStyle w:val="ListParagraph"/>
              <w:ind w:left="0" w:right="-108"/>
              <w:jc w:val="center"/>
              <w:rPr>
                <w:rFonts w:cs="Arial"/>
                <w:b/>
                <w:bCs/>
                <w:color w:val="FFFFFF" w:themeColor="background1"/>
                <w:sz w:val="18"/>
                <w:szCs w:val="20"/>
              </w:rPr>
            </w:pPr>
            <w:r>
              <w:rPr>
                <w:rFonts w:cs="Arial"/>
                <w:b/>
                <w:bCs/>
                <w:color w:val="FFFFFF" w:themeColor="background1"/>
                <w:sz w:val="18"/>
                <w:szCs w:val="18"/>
              </w:rPr>
              <w:t>(</w:t>
            </w:r>
            <w:r w:rsidR="00ED3B6F">
              <w:rPr>
                <w:rFonts w:cs="Arial"/>
                <w:b/>
                <w:bCs/>
                <w:color w:val="FFFFFF" w:themeColor="background1"/>
                <w:sz w:val="18"/>
                <w:szCs w:val="18"/>
              </w:rPr>
              <w:t>one</w:t>
            </w:r>
            <w:r w:rsidR="00124C58" w:rsidRPr="00C756DC">
              <w:rPr>
                <w:rFonts w:cs="Arial"/>
                <w:b/>
                <w:bCs/>
                <w:color w:val="FFFFFF" w:themeColor="background1"/>
                <w:sz w:val="18"/>
                <w:szCs w:val="18"/>
              </w:rPr>
              <w:t>-year apparatus licence</w:t>
            </w:r>
            <w:r>
              <w:rPr>
                <w:rFonts w:cs="Arial"/>
                <w:b/>
                <w:bCs/>
                <w:color w:val="FFFFFF" w:themeColor="background1"/>
                <w:sz w:val="18"/>
                <w:szCs w:val="18"/>
              </w:rPr>
              <w:t>)</w:t>
            </w:r>
            <w:r w:rsidR="00124C58" w:rsidRPr="00C756DC">
              <w:rPr>
                <w:rStyle w:val="FootnoteReference"/>
                <w:rFonts w:cs="Arial"/>
                <w:b/>
                <w:bCs/>
                <w:color w:val="FFFFFF" w:themeColor="background1"/>
                <w:sz w:val="16"/>
              </w:rPr>
              <w:footnoteReference w:id="7"/>
            </w:r>
          </w:p>
        </w:tc>
      </w:tr>
      <w:tr w:rsidR="00A600B8" w14:paraId="5F50D40B"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7FA26E" w14:textId="77777777" w:rsidR="00124C58" w:rsidRPr="00C756DC" w:rsidRDefault="00124C58" w:rsidP="00456F60">
            <w:pPr>
              <w:pStyle w:val="ListParagraph"/>
              <w:spacing w:after="120"/>
              <w:ind w:left="0"/>
              <w:rPr>
                <w:rFonts w:cs="Arial"/>
                <w:bCs/>
                <w:sz w:val="18"/>
                <w:szCs w:val="20"/>
              </w:rPr>
            </w:pPr>
            <w:r w:rsidRPr="00C756DC">
              <w:rPr>
                <w:rFonts w:cs="Arial"/>
                <w:bCs/>
                <w:sz w:val="18"/>
                <w:szCs w:val="20"/>
              </w:rPr>
              <w:t>Jun 2018</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87192D" w14:textId="77777777" w:rsidR="00124C58" w:rsidRDefault="00124C58" w:rsidP="00456F60">
            <w:pPr>
              <w:pStyle w:val="ListParagraph"/>
              <w:spacing w:after="120"/>
              <w:ind w:left="0"/>
              <w:rPr>
                <w:rFonts w:cs="Arial"/>
                <w:sz w:val="18"/>
                <w:szCs w:val="20"/>
              </w:rPr>
            </w:pPr>
            <w:r>
              <w:rPr>
                <w:rFonts w:cs="Arial"/>
                <w:sz w:val="18"/>
                <w:szCs w:val="20"/>
              </w:rPr>
              <w:t>South Korea</w:t>
            </w:r>
          </w:p>
        </w:tc>
        <w:tc>
          <w:tcPr>
            <w:tcW w:w="10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DD8434" w14:textId="77777777" w:rsidR="00124C58" w:rsidRDefault="00124C58" w:rsidP="00456F60">
            <w:pPr>
              <w:pStyle w:val="ListParagraph"/>
              <w:spacing w:after="120"/>
              <w:ind w:left="0"/>
              <w:rPr>
                <w:rFonts w:cs="Arial"/>
                <w:sz w:val="18"/>
                <w:szCs w:val="20"/>
              </w:rPr>
            </w:pPr>
            <w:r>
              <w:rPr>
                <w:rFonts w:cs="Arial"/>
                <w:sz w:val="18"/>
                <w:szCs w:val="20"/>
              </w:rPr>
              <w:t>28 GHz</w:t>
            </w:r>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2582DB" w14:textId="77777777" w:rsidR="00124C58" w:rsidRDefault="00124C58" w:rsidP="00456F60">
            <w:pPr>
              <w:pStyle w:val="ListParagraph"/>
              <w:spacing w:after="120"/>
              <w:ind w:left="0"/>
              <w:rPr>
                <w:rFonts w:cs="Arial"/>
                <w:sz w:val="18"/>
                <w:szCs w:val="20"/>
              </w:rPr>
            </w:pPr>
            <w:r>
              <w:rPr>
                <w:rFonts w:cs="Arial"/>
                <w:sz w:val="18"/>
                <w:szCs w:val="20"/>
              </w:rPr>
              <w:t>2400 MHz</w:t>
            </w:r>
          </w:p>
        </w:tc>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19B55E" w14:textId="77777777" w:rsidR="00124C58" w:rsidRDefault="00124C58" w:rsidP="00456F60">
            <w:pPr>
              <w:pStyle w:val="ListParagraph"/>
              <w:spacing w:after="120"/>
              <w:ind w:left="0"/>
              <w:jc w:val="center"/>
              <w:rPr>
                <w:rFonts w:cs="Arial"/>
                <w:sz w:val="18"/>
                <w:szCs w:val="20"/>
              </w:rPr>
            </w:pPr>
            <w:r>
              <w:rPr>
                <w:rFonts w:cs="Arial"/>
                <w:sz w:val="18"/>
                <w:szCs w:val="20"/>
              </w:rPr>
              <w:t>5</w:t>
            </w:r>
          </w:p>
        </w:tc>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4FBEA1" w14:textId="49DF98E3" w:rsidR="00124C58" w:rsidRDefault="00124C58" w:rsidP="00456F60">
            <w:pPr>
              <w:pStyle w:val="ListParagraph"/>
              <w:spacing w:after="120"/>
              <w:ind w:left="0"/>
              <w:jc w:val="center"/>
              <w:rPr>
                <w:rFonts w:cs="Arial"/>
                <w:sz w:val="18"/>
                <w:szCs w:val="20"/>
              </w:rPr>
            </w:pPr>
            <w:r>
              <w:rPr>
                <w:rFonts w:cs="Arial"/>
                <w:sz w:val="18"/>
                <w:szCs w:val="20"/>
              </w:rPr>
              <w:t>$0.0013</w:t>
            </w:r>
          </w:p>
        </w:tc>
      </w:tr>
      <w:tr w:rsidR="00A600B8" w14:paraId="7F7EEABD"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E3949F" w14:textId="77777777" w:rsidR="00124C58" w:rsidRPr="00C756DC" w:rsidRDefault="00124C58" w:rsidP="00456F60">
            <w:pPr>
              <w:pStyle w:val="ListParagraph"/>
              <w:spacing w:after="120"/>
              <w:ind w:left="0" w:right="-108"/>
              <w:rPr>
                <w:rFonts w:cs="Arial"/>
                <w:bCs/>
                <w:sz w:val="18"/>
                <w:szCs w:val="20"/>
              </w:rPr>
            </w:pPr>
            <w:r w:rsidRPr="00C756DC">
              <w:rPr>
                <w:rFonts w:cs="Arial"/>
                <w:bCs/>
                <w:sz w:val="18"/>
                <w:szCs w:val="20"/>
              </w:rPr>
              <w:t>Sep 2018</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C95D72" w14:textId="77777777" w:rsidR="00124C58" w:rsidRDefault="00124C58" w:rsidP="00456F60">
            <w:pPr>
              <w:pStyle w:val="ListParagraph"/>
              <w:spacing w:after="120"/>
              <w:ind w:left="0"/>
              <w:rPr>
                <w:rFonts w:cs="Arial"/>
                <w:sz w:val="18"/>
                <w:szCs w:val="20"/>
              </w:rPr>
            </w:pPr>
            <w:r>
              <w:rPr>
                <w:rFonts w:cs="Arial"/>
                <w:sz w:val="18"/>
                <w:szCs w:val="20"/>
              </w:rPr>
              <w:t>Italy</w:t>
            </w:r>
          </w:p>
        </w:tc>
        <w:tc>
          <w:tcPr>
            <w:tcW w:w="10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12B569" w14:textId="77777777" w:rsidR="00124C58" w:rsidRDefault="00124C58" w:rsidP="00456F60">
            <w:pPr>
              <w:pStyle w:val="ListParagraph"/>
              <w:spacing w:after="120"/>
              <w:ind w:left="0"/>
              <w:rPr>
                <w:rFonts w:cs="Arial"/>
                <w:sz w:val="18"/>
                <w:szCs w:val="20"/>
              </w:rPr>
            </w:pPr>
            <w:r>
              <w:rPr>
                <w:rFonts w:cs="Arial"/>
                <w:sz w:val="18"/>
                <w:szCs w:val="20"/>
              </w:rPr>
              <w:t>26 GHz</w:t>
            </w:r>
          </w:p>
        </w:tc>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FC62C33" w14:textId="77777777" w:rsidR="00124C58" w:rsidRDefault="00124C58" w:rsidP="00456F60">
            <w:pPr>
              <w:pStyle w:val="ListParagraph"/>
              <w:spacing w:after="120"/>
              <w:ind w:left="0"/>
              <w:rPr>
                <w:rFonts w:cs="Arial"/>
                <w:sz w:val="18"/>
                <w:szCs w:val="20"/>
              </w:rPr>
            </w:pPr>
            <w:r>
              <w:rPr>
                <w:rFonts w:cs="Arial"/>
                <w:sz w:val="18"/>
                <w:szCs w:val="20"/>
              </w:rPr>
              <w:t>1000 MHz</w:t>
            </w:r>
          </w:p>
        </w:tc>
        <w:tc>
          <w:tcPr>
            <w:tcW w:w="1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9A7D11" w14:textId="77777777" w:rsidR="00124C58" w:rsidRDefault="00124C58" w:rsidP="00456F60">
            <w:pPr>
              <w:pStyle w:val="ListParagraph"/>
              <w:spacing w:after="120"/>
              <w:ind w:left="0"/>
              <w:jc w:val="center"/>
              <w:rPr>
                <w:rFonts w:cs="Arial"/>
                <w:sz w:val="18"/>
                <w:szCs w:val="20"/>
              </w:rPr>
            </w:pPr>
            <w:r>
              <w:rPr>
                <w:rFonts w:cs="Arial"/>
                <w:sz w:val="18"/>
                <w:szCs w:val="20"/>
              </w:rPr>
              <w:t>19</w:t>
            </w:r>
          </w:p>
        </w:tc>
        <w:tc>
          <w:tcPr>
            <w:tcW w:w="1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BCB52A" w14:textId="5FE38DAB" w:rsidR="00124C58" w:rsidRDefault="00124C58" w:rsidP="00456F60">
            <w:pPr>
              <w:pStyle w:val="ListParagraph"/>
              <w:spacing w:after="120"/>
              <w:ind w:left="0"/>
              <w:jc w:val="center"/>
              <w:rPr>
                <w:rFonts w:cs="Arial"/>
                <w:sz w:val="18"/>
                <w:szCs w:val="20"/>
              </w:rPr>
            </w:pPr>
            <w:r>
              <w:rPr>
                <w:rFonts w:cs="Arial"/>
                <w:sz w:val="18"/>
                <w:szCs w:val="20"/>
              </w:rPr>
              <w:t>$0.0003</w:t>
            </w:r>
          </w:p>
        </w:tc>
      </w:tr>
      <w:tr w:rsidR="00A600B8" w14:paraId="5018BD26"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3006233" w14:textId="77777777" w:rsidR="00124C58" w:rsidRPr="00C756DC" w:rsidRDefault="00124C58" w:rsidP="00456F60">
            <w:pPr>
              <w:pStyle w:val="ListParagraph"/>
              <w:spacing w:after="120"/>
              <w:ind w:left="0"/>
              <w:rPr>
                <w:rFonts w:cs="Arial"/>
                <w:bCs/>
                <w:sz w:val="18"/>
                <w:szCs w:val="20"/>
              </w:rPr>
            </w:pPr>
            <w:r w:rsidRPr="00C756DC">
              <w:rPr>
                <w:rFonts w:cs="Arial"/>
                <w:bCs/>
                <w:sz w:val="18"/>
                <w:szCs w:val="20"/>
              </w:rPr>
              <w:t>Jan 2019</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C41D04" w14:textId="77777777" w:rsidR="00124C58" w:rsidRDefault="00124C58" w:rsidP="00456F60">
            <w:pPr>
              <w:pStyle w:val="ListParagraph"/>
              <w:spacing w:after="120"/>
              <w:ind w:left="0"/>
              <w:rPr>
                <w:rFonts w:cs="Arial"/>
                <w:sz w:val="18"/>
                <w:szCs w:val="20"/>
              </w:rPr>
            </w:pPr>
            <w:r>
              <w:rPr>
                <w:rFonts w:cs="Arial"/>
                <w:sz w:val="18"/>
                <w:szCs w:val="20"/>
              </w:rPr>
              <w:t>US</w:t>
            </w:r>
          </w:p>
        </w:tc>
        <w:tc>
          <w:tcPr>
            <w:tcW w:w="10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99D7CC" w14:textId="77777777" w:rsidR="00124C58" w:rsidRDefault="00124C58" w:rsidP="00456F60">
            <w:pPr>
              <w:pStyle w:val="ListParagraph"/>
              <w:spacing w:after="120"/>
              <w:ind w:left="0"/>
              <w:rPr>
                <w:rFonts w:cs="Arial"/>
                <w:sz w:val="18"/>
                <w:szCs w:val="20"/>
              </w:rPr>
            </w:pPr>
            <w:r>
              <w:rPr>
                <w:rFonts w:cs="Arial"/>
                <w:sz w:val="18"/>
                <w:szCs w:val="20"/>
              </w:rPr>
              <w:t>28 GHz</w:t>
            </w:r>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F8B9E6" w14:textId="77777777" w:rsidR="00124C58" w:rsidRDefault="00124C58" w:rsidP="00456F60">
            <w:pPr>
              <w:pStyle w:val="ListParagraph"/>
              <w:spacing w:after="120"/>
              <w:ind w:left="0"/>
              <w:rPr>
                <w:rFonts w:cs="Arial"/>
                <w:sz w:val="18"/>
                <w:szCs w:val="20"/>
              </w:rPr>
            </w:pPr>
            <w:r>
              <w:rPr>
                <w:rFonts w:cs="Arial"/>
                <w:sz w:val="18"/>
                <w:szCs w:val="20"/>
              </w:rPr>
              <w:t>850 MHz</w:t>
            </w:r>
          </w:p>
        </w:tc>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009D9F" w14:textId="77777777" w:rsidR="00124C58" w:rsidRDefault="00124C58" w:rsidP="00456F60">
            <w:pPr>
              <w:pStyle w:val="ListParagraph"/>
              <w:spacing w:after="120"/>
              <w:ind w:left="0"/>
              <w:jc w:val="center"/>
              <w:rPr>
                <w:rFonts w:cs="Arial"/>
                <w:sz w:val="18"/>
                <w:szCs w:val="20"/>
              </w:rPr>
            </w:pPr>
            <w:r>
              <w:rPr>
                <w:rFonts w:cs="Arial"/>
                <w:sz w:val="18"/>
                <w:szCs w:val="20"/>
              </w:rPr>
              <w:t>10</w:t>
            </w:r>
          </w:p>
        </w:tc>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ABBA59" w14:textId="34008F97" w:rsidR="00124C58" w:rsidRDefault="00124C58" w:rsidP="00456F60">
            <w:pPr>
              <w:pStyle w:val="ListParagraph"/>
              <w:spacing w:after="120"/>
              <w:ind w:left="0"/>
              <w:jc w:val="center"/>
              <w:rPr>
                <w:rFonts w:cs="Arial"/>
                <w:sz w:val="18"/>
                <w:szCs w:val="18"/>
              </w:rPr>
            </w:pPr>
            <w:r w:rsidRPr="3A7D0EDA">
              <w:rPr>
                <w:rFonts w:cs="Arial"/>
                <w:sz w:val="18"/>
                <w:szCs w:val="18"/>
              </w:rPr>
              <w:t>$0.001</w:t>
            </w:r>
            <w:r w:rsidR="33CB355D" w:rsidRPr="3A7D0EDA">
              <w:rPr>
                <w:rFonts w:cs="Arial"/>
                <w:sz w:val="18"/>
                <w:szCs w:val="18"/>
              </w:rPr>
              <w:t>7</w:t>
            </w:r>
          </w:p>
        </w:tc>
      </w:tr>
      <w:tr w:rsidR="00451A52" w14:paraId="0CC96D2C"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1D4C52" w14:textId="77777777" w:rsidR="00124C58" w:rsidRPr="00C756DC" w:rsidRDefault="00124C58" w:rsidP="00456F60">
            <w:pPr>
              <w:pStyle w:val="ListParagraph"/>
              <w:spacing w:after="120"/>
              <w:ind w:left="0"/>
              <w:rPr>
                <w:rFonts w:cs="Arial"/>
                <w:bCs/>
                <w:sz w:val="18"/>
                <w:szCs w:val="20"/>
              </w:rPr>
            </w:pPr>
            <w:r w:rsidRPr="00C756DC">
              <w:rPr>
                <w:rFonts w:cs="Arial"/>
                <w:bCs/>
                <w:sz w:val="18"/>
                <w:szCs w:val="20"/>
              </w:rPr>
              <w:t>Apr 2019</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05C6BF" w14:textId="77777777" w:rsidR="00124C58" w:rsidRDefault="00124C58" w:rsidP="00456F60">
            <w:pPr>
              <w:pStyle w:val="ListParagraph"/>
              <w:spacing w:after="120"/>
              <w:ind w:left="0"/>
              <w:rPr>
                <w:rFonts w:cs="Arial"/>
                <w:sz w:val="18"/>
                <w:szCs w:val="20"/>
              </w:rPr>
            </w:pPr>
            <w:r>
              <w:rPr>
                <w:rFonts w:cs="Arial"/>
                <w:sz w:val="18"/>
                <w:szCs w:val="20"/>
              </w:rPr>
              <w:t>US</w:t>
            </w:r>
          </w:p>
        </w:tc>
        <w:tc>
          <w:tcPr>
            <w:tcW w:w="10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A668DF" w14:textId="6FEB43C5" w:rsidR="00124C58" w:rsidRDefault="00124C58" w:rsidP="00456F60">
            <w:pPr>
              <w:pStyle w:val="ListParagraph"/>
              <w:spacing w:after="120"/>
              <w:ind w:left="0"/>
              <w:rPr>
                <w:rFonts w:cs="Arial"/>
                <w:sz w:val="18"/>
                <w:szCs w:val="20"/>
              </w:rPr>
            </w:pPr>
            <w:r>
              <w:rPr>
                <w:rFonts w:cs="Arial"/>
                <w:sz w:val="18"/>
                <w:szCs w:val="20"/>
              </w:rPr>
              <w:t>24 GHz</w:t>
            </w:r>
            <w:r w:rsidR="0090671C">
              <w:rPr>
                <w:rStyle w:val="FootnoteReference"/>
                <w:rFonts w:cs="Arial"/>
                <w:sz w:val="18"/>
                <w:szCs w:val="20"/>
              </w:rPr>
              <w:footnoteReference w:id="8"/>
            </w:r>
          </w:p>
        </w:tc>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3FAB79" w14:textId="77777777" w:rsidR="00124C58" w:rsidRDefault="00124C58" w:rsidP="00456F60">
            <w:pPr>
              <w:pStyle w:val="ListParagraph"/>
              <w:spacing w:after="120"/>
              <w:ind w:left="0"/>
              <w:rPr>
                <w:rFonts w:cs="Arial"/>
                <w:sz w:val="18"/>
                <w:szCs w:val="20"/>
              </w:rPr>
            </w:pPr>
            <w:r w:rsidRPr="00BB46D4">
              <w:rPr>
                <w:rFonts w:cs="Arial"/>
                <w:sz w:val="18"/>
                <w:szCs w:val="20"/>
              </w:rPr>
              <w:t>500MHz</w:t>
            </w:r>
          </w:p>
          <w:p w14:paraId="3A122AE6" w14:textId="74B7F1C7" w:rsidR="00124C58" w:rsidRDefault="00B66950" w:rsidP="00456F60">
            <w:pPr>
              <w:pStyle w:val="ListParagraph"/>
              <w:spacing w:after="120"/>
              <w:ind w:left="0"/>
              <w:rPr>
                <w:rFonts w:cs="Arial"/>
                <w:sz w:val="18"/>
                <w:szCs w:val="20"/>
              </w:rPr>
            </w:pPr>
            <w:r>
              <w:rPr>
                <w:rFonts w:cs="Arial"/>
                <w:sz w:val="18"/>
                <w:szCs w:val="20"/>
              </w:rPr>
              <w:t>200 MHz</w:t>
            </w:r>
          </w:p>
        </w:tc>
        <w:tc>
          <w:tcPr>
            <w:tcW w:w="1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A9A0E9" w14:textId="77777777" w:rsidR="00124C58" w:rsidRDefault="00124C58" w:rsidP="00456F60">
            <w:pPr>
              <w:pStyle w:val="ListParagraph"/>
              <w:spacing w:after="120"/>
              <w:ind w:left="0"/>
              <w:jc w:val="center"/>
              <w:rPr>
                <w:rFonts w:cs="Arial"/>
                <w:sz w:val="18"/>
                <w:szCs w:val="20"/>
              </w:rPr>
            </w:pPr>
            <w:r w:rsidRPr="00BB46D4">
              <w:rPr>
                <w:rFonts w:cs="Arial"/>
                <w:sz w:val="18"/>
                <w:szCs w:val="20"/>
              </w:rPr>
              <w:t>10</w:t>
            </w:r>
          </w:p>
          <w:p w14:paraId="66048501" w14:textId="199EF73F" w:rsidR="00124C58" w:rsidRDefault="00124C58" w:rsidP="00456F60">
            <w:pPr>
              <w:pStyle w:val="ListParagraph"/>
              <w:spacing w:after="120"/>
              <w:ind w:left="0"/>
              <w:jc w:val="center"/>
              <w:rPr>
                <w:rFonts w:cs="Arial"/>
                <w:sz w:val="18"/>
                <w:szCs w:val="20"/>
              </w:rPr>
            </w:pPr>
            <w:r w:rsidRPr="00BB46D4">
              <w:rPr>
                <w:rFonts w:cs="Arial"/>
                <w:sz w:val="18"/>
                <w:szCs w:val="20"/>
              </w:rPr>
              <w:t>10</w:t>
            </w:r>
          </w:p>
        </w:tc>
        <w:tc>
          <w:tcPr>
            <w:tcW w:w="1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FC48A5B" w14:textId="64EE8A28" w:rsidR="00124C58" w:rsidRDefault="00124C58" w:rsidP="00456F60">
            <w:pPr>
              <w:pStyle w:val="ListParagraph"/>
              <w:spacing w:after="120"/>
              <w:ind w:left="0"/>
              <w:jc w:val="center"/>
              <w:rPr>
                <w:rFonts w:cs="Arial"/>
                <w:sz w:val="18"/>
                <w:szCs w:val="20"/>
              </w:rPr>
            </w:pPr>
            <w:r w:rsidRPr="00BB46D4">
              <w:rPr>
                <w:rFonts w:cs="Arial"/>
                <w:sz w:val="18"/>
                <w:szCs w:val="20"/>
              </w:rPr>
              <w:t>$0.</w:t>
            </w:r>
            <w:r w:rsidR="00232C5B" w:rsidRPr="00BB46D4">
              <w:rPr>
                <w:rFonts w:cs="Arial"/>
                <w:sz w:val="18"/>
                <w:szCs w:val="20"/>
              </w:rPr>
              <w:t>00</w:t>
            </w:r>
            <w:r w:rsidR="00232C5B">
              <w:rPr>
                <w:rFonts w:cs="Arial"/>
                <w:sz w:val="18"/>
                <w:szCs w:val="20"/>
              </w:rPr>
              <w:t>18</w:t>
            </w:r>
          </w:p>
          <w:p w14:paraId="566F7431" w14:textId="38FB32C5" w:rsidR="00124C58" w:rsidRDefault="00DA76FC" w:rsidP="00456F60">
            <w:pPr>
              <w:pStyle w:val="ListParagraph"/>
              <w:spacing w:after="120"/>
              <w:ind w:left="0"/>
              <w:jc w:val="center"/>
              <w:rPr>
                <w:rFonts w:cs="Arial"/>
                <w:sz w:val="18"/>
                <w:szCs w:val="20"/>
              </w:rPr>
            </w:pPr>
            <w:r w:rsidRPr="00BB46D4">
              <w:rPr>
                <w:rFonts w:cs="Arial"/>
                <w:sz w:val="18"/>
                <w:szCs w:val="20"/>
              </w:rPr>
              <w:t>$0.000</w:t>
            </w:r>
            <w:r w:rsidR="006F6B91">
              <w:rPr>
                <w:rFonts w:cs="Arial"/>
                <w:sz w:val="18"/>
                <w:szCs w:val="20"/>
              </w:rPr>
              <w:t>4</w:t>
            </w:r>
          </w:p>
        </w:tc>
      </w:tr>
      <w:tr w:rsidR="00A600B8" w14:paraId="0D49144C"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E1DD15" w14:textId="77777777" w:rsidR="00124C58" w:rsidRPr="00C756DC" w:rsidRDefault="00124C58" w:rsidP="00456F60">
            <w:pPr>
              <w:pStyle w:val="ListParagraph"/>
              <w:spacing w:after="120"/>
              <w:ind w:left="0"/>
              <w:rPr>
                <w:rFonts w:cs="Arial"/>
                <w:bCs/>
                <w:sz w:val="18"/>
                <w:szCs w:val="20"/>
              </w:rPr>
            </w:pPr>
            <w:r w:rsidRPr="00C756DC">
              <w:rPr>
                <w:rFonts w:cs="Arial"/>
                <w:bCs/>
                <w:sz w:val="18"/>
                <w:szCs w:val="20"/>
              </w:rPr>
              <w:t>Jan 2020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EB5308" w14:textId="77777777" w:rsidR="00124C58" w:rsidRDefault="00124C58" w:rsidP="00456F60">
            <w:pPr>
              <w:pStyle w:val="ListParagraph"/>
              <w:spacing w:after="120"/>
              <w:ind w:left="0"/>
              <w:rPr>
                <w:rFonts w:cs="Arial"/>
                <w:sz w:val="18"/>
                <w:szCs w:val="20"/>
              </w:rPr>
            </w:pPr>
            <w:r>
              <w:rPr>
                <w:rFonts w:cs="Arial"/>
                <w:sz w:val="18"/>
                <w:szCs w:val="20"/>
              </w:rPr>
              <w:t>Taiwan</w:t>
            </w:r>
          </w:p>
        </w:tc>
        <w:tc>
          <w:tcPr>
            <w:tcW w:w="10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DD4307" w14:textId="77777777" w:rsidR="00124C58" w:rsidRDefault="00124C58" w:rsidP="00456F60">
            <w:pPr>
              <w:pStyle w:val="ListParagraph"/>
              <w:spacing w:after="120"/>
              <w:ind w:left="0"/>
              <w:rPr>
                <w:rFonts w:cs="Arial"/>
                <w:sz w:val="18"/>
                <w:szCs w:val="20"/>
              </w:rPr>
            </w:pPr>
            <w:r>
              <w:rPr>
                <w:rFonts w:cs="Arial"/>
                <w:sz w:val="18"/>
                <w:szCs w:val="20"/>
              </w:rPr>
              <w:t>28 GHz</w:t>
            </w:r>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615DAE" w14:textId="77777777" w:rsidR="00124C58" w:rsidRDefault="00124C58" w:rsidP="00456F60">
            <w:pPr>
              <w:pStyle w:val="ListParagraph"/>
              <w:spacing w:after="120"/>
              <w:ind w:left="0"/>
              <w:rPr>
                <w:rFonts w:cs="Arial"/>
                <w:sz w:val="18"/>
                <w:szCs w:val="20"/>
              </w:rPr>
            </w:pPr>
            <w:r>
              <w:rPr>
                <w:rFonts w:cs="Arial"/>
                <w:sz w:val="18"/>
                <w:szCs w:val="20"/>
              </w:rPr>
              <w:t>2500 MHz</w:t>
            </w:r>
          </w:p>
        </w:tc>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539289" w14:textId="77777777" w:rsidR="00124C58" w:rsidRDefault="00124C58" w:rsidP="00456F60">
            <w:pPr>
              <w:pStyle w:val="ListParagraph"/>
              <w:spacing w:after="120"/>
              <w:ind w:left="0"/>
              <w:jc w:val="center"/>
              <w:rPr>
                <w:rFonts w:cs="Arial"/>
                <w:sz w:val="18"/>
                <w:szCs w:val="20"/>
              </w:rPr>
            </w:pPr>
            <w:r>
              <w:rPr>
                <w:rFonts w:cs="Arial"/>
                <w:sz w:val="18"/>
                <w:szCs w:val="20"/>
              </w:rPr>
              <w:t>20</w:t>
            </w:r>
          </w:p>
        </w:tc>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95FB2" w14:textId="77777777" w:rsidR="00124C58" w:rsidRDefault="00124C58" w:rsidP="00456F60">
            <w:pPr>
              <w:pStyle w:val="ListParagraph"/>
              <w:spacing w:after="120"/>
              <w:ind w:left="0"/>
              <w:jc w:val="center"/>
              <w:rPr>
                <w:rFonts w:cs="Arial"/>
                <w:sz w:val="18"/>
                <w:szCs w:val="20"/>
              </w:rPr>
            </w:pPr>
            <w:r>
              <w:rPr>
                <w:rFonts w:cs="Arial"/>
                <w:sz w:val="18"/>
                <w:szCs w:val="20"/>
              </w:rPr>
              <w:t>$0.0001</w:t>
            </w:r>
          </w:p>
        </w:tc>
      </w:tr>
      <w:tr w:rsidR="00A600B8" w14:paraId="1D2E08EB"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9C58E9" w14:textId="77777777" w:rsidR="00124C58" w:rsidRPr="00C756DC" w:rsidRDefault="00124C58" w:rsidP="00456F60">
            <w:pPr>
              <w:pStyle w:val="ListParagraph"/>
              <w:spacing w:after="120"/>
              <w:ind w:left="0"/>
              <w:rPr>
                <w:rFonts w:cs="Arial"/>
                <w:bCs/>
                <w:sz w:val="18"/>
                <w:szCs w:val="20"/>
              </w:rPr>
            </w:pPr>
            <w:r w:rsidRPr="00C756DC">
              <w:rPr>
                <w:rFonts w:cs="Arial"/>
                <w:bCs/>
                <w:sz w:val="18"/>
                <w:szCs w:val="20"/>
              </w:rPr>
              <w:t>Feb 2020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0BD06A" w14:textId="77777777" w:rsidR="00124C58" w:rsidRDefault="00124C58" w:rsidP="00456F60">
            <w:pPr>
              <w:pStyle w:val="ListParagraph"/>
              <w:spacing w:after="120"/>
              <w:ind w:left="0"/>
              <w:rPr>
                <w:rFonts w:cs="Arial"/>
                <w:sz w:val="18"/>
                <w:szCs w:val="20"/>
              </w:rPr>
            </w:pPr>
            <w:r>
              <w:rPr>
                <w:rFonts w:cs="Arial"/>
                <w:sz w:val="18"/>
                <w:szCs w:val="20"/>
              </w:rPr>
              <w:t>Thailand</w:t>
            </w:r>
          </w:p>
        </w:tc>
        <w:tc>
          <w:tcPr>
            <w:tcW w:w="10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475051" w14:textId="77777777" w:rsidR="00124C58" w:rsidRDefault="00124C58" w:rsidP="00456F60">
            <w:pPr>
              <w:pStyle w:val="ListParagraph"/>
              <w:spacing w:after="120"/>
              <w:ind w:left="0"/>
              <w:rPr>
                <w:rFonts w:cs="Arial"/>
                <w:sz w:val="18"/>
                <w:szCs w:val="20"/>
              </w:rPr>
            </w:pPr>
            <w:r>
              <w:rPr>
                <w:rFonts w:cs="Arial"/>
                <w:sz w:val="18"/>
                <w:szCs w:val="20"/>
              </w:rPr>
              <w:t>26 GHz</w:t>
            </w:r>
          </w:p>
        </w:tc>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E11D27" w14:textId="77777777" w:rsidR="00124C58" w:rsidRDefault="00124C58" w:rsidP="00456F60">
            <w:pPr>
              <w:pStyle w:val="ListParagraph"/>
              <w:spacing w:after="120"/>
              <w:ind w:left="0"/>
              <w:rPr>
                <w:rFonts w:cs="Arial"/>
                <w:sz w:val="18"/>
                <w:szCs w:val="20"/>
              </w:rPr>
            </w:pPr>
            <w:r>
              <w:rPr>
                <w:rFonts w:cs="Arial"/>
                <w:sz w:val="18"/>
                <w:szCs w:val="20"/>
              </w:rPr>
              <w:t>2700 MHz</w:t>
            </w:r>
          </w:p>
        </w:tc>
        <w:tc>
          <w:tcPr>
            <w:tcW w:w="1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281FF5" w14:textId="77777777" w:rsidR="00124C58" w:rsidRDefault="00124C58" w:rsidP="00456F60">
            <w:pPr>
              <w:pStyle w:val="ListParagraph"/>
              <w:spacing w:after="120"/>
              <w:ind w:left="0"/>
              <w:jc w:val="center"/>
              <w:rPr>
                <w:rFonts w:cs="Arial"/>
                <w:sz w:val="18"/>
                <w:szCs w:val="20"/>
              </w:rPr>
            </w:pPr>
            <w:r>
              <w:rPr>
                <w:rFonts w:cs="Arial"/>
                <w:sz w:val="18"/>
                <w:szCs w:val="20"/>
              </w:rPr>
              <w:t>15</w:t>
            </w:r>
          </w:p>
        </w:tc>
        <w:tc>
          <w:tcPr>
            <w:tcW w:w="1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5EDC16" w14:textId="77777777" w:rsidR="00124C58" w:rsidRDefault="00124C58" w:rsidP="00456F60">
            <w:pPr>
              <w:pStyle w:val="ListParagraph"/>
              <w:spacing w:after="120"/>
              <w:ind w:left="0"/>
              <w:jc w:val="center"/>
              <w:rPr>
                <w:rFonts w:cs="Arial"/>
                <w:sz w:val="18"/>
                <w:szCs w:val="20"/>
              </w:rPr>
            </w:pPr>
            <w:r>
              <w:rPr>
                <w:rFonts w:cs="Arial"/>
                <w:sz w:val="18"/>
                <w:szCs w:val="20"/>
              </w:rPr>
              <w:t>$0.0002</w:t>
            </w:r>
          </w:p>
        </w:tc>
      </w:tr>
      <w:tr w:rsidR="00A600B8" w14:paraId="1CBB4D3C" w14:textId="77777777" w:rsidTr="00C756D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18D972" w14:textId="77777777" w:rsidR="00124C58" w:rsidRPr="00C756DC" w:rsidRDefault="00124C58" w:rsidP="00456F60">
            <w:pPr>
              <w:pStyle w:val="ListParagraph"/>
              <w:spacing w:after="120"/>
              <w:ind w:left="0"/>
              <w:rPr>
                <w:rFonts w:cs="Arial"/>
                <w:bCs/>
                <w:sz w:val="18"/>
                <w:szCs w:val="20"/>
              </w:rPr>
            </w:pPr>
            <w:r w:rsidRPr="00C756DC">
              <w:rPr>
                <w:rFonts w:cs="Arial"/>
                <w:bCs/>
                <w:sz w:val="18"/>
                <w:szCs w:val="20"/>
              </w:rPr>
              <w:t>Jun 2020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5A951F" w14:textId="77777777" w:rsidR="00124C58" w:rsidRDefault="00124C58" w:rsidP="00456F60">
            <w:pPr>
              <w:pStyle w:val="ListParagraph"/>
              <w:spacing w:after="120"/>
              <w:ind w:left="0"/>
              <w:rPr>
                <w:rFonts w:cs="Arial"/>
                <w:sz w:val="18"/>
                <w:szCs w:val="20"/>
              </w:rPr>
            </w:pPr>
            <w:r>
              <w:rPr>
                <w:rFonts w:cs="Arial"/>
                <w:sz w:val="18"/>
                <w:szCs w:val="20"/>
              </w:rPr>
              <w:t>Finland</w:t>
            </w:r>
          </w:p>
        </w:tc>
        <w:tc>
          <w:tcPr>
            <w:tcW w:w="10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17B4A2" w14:textId="77777777" w:rsidR="00124C58" w:rsidRDefault="00124C58" w:rsidP="00456F60">
            <w:pPr>
              <w:pStyle w:val="ListParagraph"/>
              <w:spacing w:after="120"/>
              <w:ind w:left="0"/>
              <w:rPr>
                <w:rFonts w:cs="Arial"/>
                <w:sz w:val="18"/>
                <w:szCs w:val="20"/>
              </w:rPr>
            </w:pPr>
            <w:r>
              <w:rPr>
                <w:rFonts w:cs="Arial"/>
                <w:sz w:val="18"/>
                <w:szCs w:val="20"/>
              </w:rPr>
              <w:t>26 GHz</w:t>
            </w:r>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7973C3" w14:textId="77777777" w:rsidR="00124C58" w:rsidRDefault="00124C58" w:rsidP="00456F60">
            <w:pPr>
              <w:pStyle w:val="ListParagraph"/>
              <w:spacing w:after="120"/>
              <w:ind w:left="0"/>
              <w:rPr>
                <w:rFonts w:cs="Arial"/>
                <w:sz w:val="18"/>
                <w:szCs w:val="20"/>
              </w:rPr>
            </w:pPr>
            <w:r>
              <w:rPr>
                <w:rFonts w:cs="Arial"/>
                <w:sz w:val="18"/>
                <w:szCs w:val="20"/>
              </w:rPr>
              <w:t>2400 MHz</w:t>
            </w:r>
          </w:p>
        </w:tc>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5AA933" w14:textId="77777777" w:rsidR="00124C58" w:rsidRDefault="00124C58" w:rsidP="00456F60">
            <w:pPr>
              <w:pStyle w:val="ListParagraph"/>
              <w:spacing w:after="120"/>
              <w:ind w:left="0"/>
              <w:jc w:val="center"/>
              <w:rPr>
                <w:rFonts w:cs="Arial"/>
                <w:sz w:val="18"/>
                <w:szCs w:val="20"/>
              </w:rPr>
            </w:pPr>
            <w:r>
              <w:rPr>
                <w:rFonts w:cs="Arial"/>
                <w:sz w:val="18"/>
                <w:szCs w:val="20"/>
              </w:rPr>
              <w:t>12.5</w:t>
            </w:r>
          </w:p>
        </w:tc>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19ED8F" w14:textId="77777777" w:rsidR="00124C58" w:rsidRDefault="00124C58" w:rsidP="00456F60">
            <w:pPr>
              <w:pStyle w:val="ListParagraph"/>
              <w:spacing w:after="120"/>
              <w:ind w:left="0"/>
              <w:jc w:val="center"/>
              <w:rPr>
                <w:rFonts w:cs="Arial"/>
                <w:sz w:val="18"/>
                <w:szCs w:val="20"/>
              </w:rPr>
            </w:pPr>
            <w:r>
              <w:rPr>
                <w:rFonts w:cs="Arial"/>
                <w:sz w:val="18"/>
                <w:szCs w:val="20"/>
              </w:rPr>
              <w:t>$0.0002</w:t>
            </w:r>
          </w:p>
        </w:tc>
      </w:tr>
    </w:tbl>
    <w:p w14:paraId="588EB8CF" w14:textId="77777777" w:rsidR="00124C58" w:rsidRDefault="00124C58" w:rsidP="00C756DC">
      <w:pPr>
        <w:spacing w:after="120"/>
        <w:ind w:left="284"/>
      </w:pPr>
    </w:p>
    <w:p w14:paraId="04111091" w14:textId="4C83A1DB" w:rsidR="00774DBC" w:rsidRDefault="00124C58" w:rsidP="002D5904">
      <w:pPr>
        <w:pStyle w:val="Paragraph"/>
      </w:pPr>
      <w:r>
        <w:t>Given the diversity of outcomes from $0.0001 to 0.00</w:t>
      </w:r>
      <w:r w:rsidR="000D4A90">
        <w:t>18</w:t>
      </w:r>
      <w:r>
        <w:t xml:space="preserve">/MHz/pop from these auctions, the ACMA has been relatively conservative in proposing an annual tax rate of $0.0003/MHz/Pop.  </w:t>
      </w:r>
    </w:p>
    <w:p w14:paraId="7654B802" w14:textId="709FAAC3" w:rsidR="00124C58" w:rsidRDefault="00124C58" w:rsidP="002D5904">
      <w:pPr>
        <w:pStyle w:val="Paragraph"/>
      </w:pPr>
      <w:r>
        <w:t>At this tax rate</w:t>
      </w:r>
      <w:r w:rsidR="00774DBC">
        <w:t>,</w:t>
      </w:r>
      <w:r>
        <w:t xml:space="preserve"> </w:t>
      </w:r>
      <w:r w:rsidR="003350E5">
        <w:t>we</w:t>
      </w:r>
      <w:r>
        <w:t xml:space="preserve"> expect that the tax imposed </w:t>
      </w:r>
      <w:r w:rsidR="007C1126">
        <w:t>on</w:t>
      </w:r>
      <w:r>
        <w:t xml:space="preserve"> site</w:t>
      </w:r>
      <w:r w:rsidR="006E516A">
        <w:t>-</w:t>
      </w:r>
      <w:r>
        <w:t>specific deployments</w:t>
      </w:r>
      <w:r w:rsidR="007C1126">
        <w:t xml:space="preserve"> </w:t>
      </w:r>
      <w:r>
        <w:t xml:space="preserve">should be relatively low </w:t>
      </w:r>
      <w:r w:rsidR="00CF0681">
        <w:t xml:space="preserve">where </w:t>
      </w:r>
      <w:r w:rsidR="00E80602">
        <w:t>the area licensed</w:t>
      </w:r>
      <w:r w:rsidR="00452F54">
        <w:t xml:space="preserve"> will be relatively </w:t>
      </w:r>
      <w:r>
        <w:t>small</w:t>
      </w:r>
      <w:r w:rsidR="009D5CB6">
        <w:t>.</w:t>
      </w:r>
      <w:r w:rsidR="004C522B">
        <w:t xml:space="preserve"> </w:t>
      </w:r>
      <w:r w:rsidR="009D5CB6">
        <w:t>This is expected</w:t>
      </w:r>
      <w:r w:rsidR="00D77590">
        <w:t xml:space="preserve"> to encourage</w:t>
      </w:r>
      <w:r>
        <w:t xml:space="preserve"> deployment of new and emerging </w:t>
      </w:r>
      <w:r w:rsidR="0065631C">
        <w:t xml:space="preserve">5G </w:t>
      </w:r>
      <w:r>
        <w:t xml:space="preserve">use cases. At the same time, the tax rate reflects a value for the spectrum that larger deployments, such as some fixed </w:t>
      </w:r>
      <w:r>
        <w:lastRenderedPageBreak/>
        <w:t>wireless models, could face in other jurisdictions.</w:t>
      </w:r>
      <w:r w:rsidR="00D0395C">
        <w:t xml:space="preserve"> Some </w:t>
      </w:r>
      <w:r w:rsidR="00FA668E">
        <w:t xml:space="preserve">examples of the potential taxes can be found in the </w:t>
      </w:r>
      <w:r w:rsidR="00ED3B6F">
        <w:t>a</w:t>
      </w:r>
      <w:r w:rsidR="00985A02">
        <w:t>pplicant information pack</w:t>
      </w:r>
      <w:r w:rsidR="00920E89">
        <w:t>.</w:t>
      </w:r>
    </w:p>
    <w:p w14:paraId="2B242AA0" w14:textId="4264FB8C" w:rsidR="00124C58" w:rsidRDefault="00124C58" w:rsidP="002D5904">
      <w:pPr>
        <w:pStyle w:val="Paragraph"/>
      </w:pPr>
      <w:r>
        <w:t xml:space="preserve">With the limited information </w:t>
      </w:r>
      <w:r w:rsidR="00E223EC">
        <w:t xml:space="preserve">currently </w:t>
      </w:r>
      <w:r>
        <w:t xml:space="preserve">available, the ACMA is open to reviewing the apparatus licence tax for AWLs in light of developments in domestic markets that </w:t>
      </w:r>
      <w:r w:rsidR="00BF6558">
        <w:t xml:space="preserve">have occurred or </w:t>
      </w:r>
      <w:r>
        <w:t>will occur over time.</w:t>
      </w:r>
      <w:r w:rsidR="009844A3">
        <w:t xml:space="preserve"> </w:t>
      </w:r>
    </w:p>
    <w:p w14:paraId="25840662" w14:textId="77777777" w:rsidR="00124C58" w:rsidRDefault="00124C58">
      <w:pPr>
        <w:pStyle w:val="Heading3"/>
      </w:pPr>
      <w:r>
        <w:t>Implementation of the Spectrum Pricing Review</w:t>
      </w:r>
    </w:p>
    <w:p w14:paraId="54F5914D" w14:textId="5D3BDA79" w:rsidR="00124C58" w:rsidRDefault="00124C58" w:rsidP="00416442">
      <w:pPr>
        <w:pStyle w:val="Paragraph"/>
      </w:pPr>
      <w:r>
        <w:t>In 2019</w:t>
      </w:r>
      <w:r w:rsidR="00ED3B6F">
        <w:t>–</w:t>
      </w:r>
      <w:r>
        <w:t>20</w:t>
      </w:r>
      <w:r w:rsidR="00ED3B6F">
        <w:t>,</w:t>
      </w:r>
      <w:r>
        <w:t xml:space="preserve"> </w:t>
      </w:r>
      <w:r w:rsidR="003350E5">
        <w:t>we</w:t>
      </w:r>
      <w:r>
        <w:t xml:space="preserve"> commenced</w:t>
      </w:r>
      <w:r w:rsidDel="00DA36EF">
        <w:t xml:space="preserve"> </w:t>
      </w:r>
      <w:r>
        <w:t xml:space="preserve">implementation of the </w:t>
      </w:r>
      <w:hyperlink r:id="rId34" w:history="1">
        <w:r w:rsidRPr="00ED3B6F">
          <w:rPr>
            <w:rStyle w:val="Hyperlink"/>
          </w:rPr>
          <w:t>Spectrum Pricing Review</w:t>
        </w:r>
      </w:hyperlink>
      <w:r>
        <w:t xml:space="preserve">. The ACMA consulted on its proposed pricing principles and </w:t>
      </w:r>
      <w:r w:rsidR="00C004EF">
        <w:t>the key priorities</w:t>
      </w:r>
      <w:r w:rsidR="001C0CDC">
        <w:t xml:space="preserve"> for determining </w:t>
      </w:r>
      <w:r w:rsidDel="0052569D">
        <w:t>a</w:t>
      </w:r>
      <w:r>
        <w:t xml:space="preserve"> work program. </w:t>
      </w:r>
      <w:r w:rsidR="00F52B09">
        <w:t>We are</w:t>
      </w:r>
      <w:r>
        <w:t xml:space="preserve"> currently considering the submissions made to the consultation process and expect to respond to submissions and confirm </w:t>
      </w:r>
      <w:r w:rsidR="0084022C">
        <w:t>our</w:t>
      </w:r>
      <w:r>
        <w:t xml:space="preserve"> work program in October</w:t>
      </w:r>
      <w:r w:rsidR="00140E63">
        <w:t xml:space="preserve"> 2020</w:t>
      </w:r>
      <w:r>
        <w:t xml:space="preserve">. </w:t>
      </w:r>
      <w:r w:rsidR="00F11D13">
        <w:t>We</w:t>
      </w:r>
      <w:r>
        <w:t xml:space="preserve"> consider that the proposed taxation arrangements for AWLs are consistent with the </w:t>
      </w:r>
      <w:r w:rsidDel="006925BD">
        <w:t>draft</w:t>
      </w:r>
      <w:r>
        <w:t xml:space="preserve"> guiding principles</w:t>
      </w:r>
      <w:r w:rsidR="00E42069">
        <w:t>.</w:t>
      </w:r>
      <w:r>
        <w:rPr>
          <w:rStyle w:val="FootnoteReference"/>
        </w:rPr>
        <w:footnoteReference w:id="9"/>
      </w:r>
    </w:p>
    <w:p w14:paraId="6BD41D8C" w14:textId="196AD39A" w:rsidR="00124C58" w:rsidRPr="00E13578" w:rsidRDefault="00124C58" w:rsidP="003651BF">
      <w:pPr>
        <w:pStyle w:val="Paragraphbeforelist"/>
        <w:rPr>
          <w:rFonts w:eastAsiaTheme="minorHAnsi"/>
        </w:rPr>
      </w:pPr>
      <w:r w:rsidRPr="00CA6F3D">
        <w:rPr>
          <w:rFonts w:eastAsiaTheme="minorHAnsi"/>
        </w:rPr>
        <w:t xml:space="preserve">The </w:t>
      </w:r>
      <w:r>
        <w:rPr>
          <w:rFonts w:eastAsiaTheme="minorHAnsi"/>
        </w:rPr>
        <w:t xml:space="preserve">draft </w:t>
      </w:r>
      <w:r w:rsidR="00E42069">
        <w:rPr>
          <w:rFonts w:eastAsiaTheme="minorHAnsi"/>
        </w:rPr>
        <w:t>g</w:t>
      </w:r>
      <w:r w:rsidRPr="00CA6F3D">
        <w:rPr>
          <w:rFonts w:eastAsiaTheme="minorHAnsi"/>
        </w:rPr>
        <w:t xml:space="preserve">uiding </w:t>
      </w:r>
      <w:r w:rsidR="00E42069">
        <w:rPr>
          <w:rFonts w:eastAsiaTheme="minorHAnsi"/>
        </w:rPr>
        <w:t>p</w:t>
      </w:r>
      <w:r w:rsidRPr="00CA6F3D">
        <w:rPr>
          <w:rFonts w:eastAsiaTheme="minorHAnsi"/>
        </w:rPr>
        <w:t>rinciples for spectrum pricing are based on</w:t>
      </w:r>
      <w:r w:rsidRPr="00E13578">
        <w:rPr>
          <w:rFonts w:eastAsiaTheme="minorHAnsi"/>
        </w:rPr>
        <w:t>:</w:t>
      </w:r>
    </w:p>
    <w:p w14:paraId="06DE21F7" w14:textId="164A51AC" w:rsidR="003651BF" w:rsidRPr="003651BF" w:rsidRDefault="00E42069" w:rsidP="00912D3E">
      <w:pPr>
        <w:pStyle w:val="ListBullet"/>
        <w:rPr>
          <w:rFonts w:eastAsiaTheme="minorEastAsia"/>
        </w:rPr>
      </w:pPr>
      <w:r w:rsidRPr="00C756DC">
        <w:rPr>
          <w:b/>
          <w:bCs/>
        </w:rPr>
        <w:t>E</w:t>
      </w:r>
      <w:r w:rsidR="00661032" w:rsidRPr="00C756DC">
        <w:rPr>
          <w:b/>
          <w:bCs/>
        </w:rPr>
        <w:t>fficient allocation and use of the radiofr</w:t>
      </w:r>
      <w:r w:rsidR="004C522B" w:rsidRPr="00C756DC">
        <w:rPr>
          <w:b/>
          <w:bCs/>
        </w:rPr>
        <w:t>e</w:t>
      </w:r>
      <w:r w:rsidR="00661032" w:rsidRPr="00C756DC">
        <w:rPr>
          <w:b/>
          <w:bCs/>
        </w:rPr>
        <w:t>quency spectrum (efficiency)</w:t>
      </w:r>
      <w:r w:rsidRPr="00C756DC">
        <w:rPr>
          <w:b/>
          <w:bCs/>
        </w:rPr>
        <w:t>.</w:t>
      </w:r>
      <w:r>
        <w:t xml:space="preserve"> A</w:t>
      </w:r>
      <w:r w:rsidR="00661032">
        <w:t>n</w:t>
      </w:r>
      <w:r w:rsidR="004C522B">
        <w:t xml:space="preserve"> </w:t>
      </w:r>
      <w:r w:rsidR="00124C58">
        <w:t xml:space="preserve">advantage of the pricing approach for AWLs is that the tax promotes deployment of </w:t>
      </w:r>
      <w:r w:rsidR="019CEF08">
        <w:t xml:space="preserve">a range of </w:t>
      </w:r>
      <w:r w:rsidR="00124C58">
        <w:t xml:space="preserve">technologies and better aligns with the potential spectrum denial of services, which should aid in the efficient allocation </w:t>
      </w:r>
      <w:r w:rsidR="019CEF08">
        <w:t xml:space="preserve">and use </w:t>
      </w:r>
      <w:r w:rsidR="00124C58">
        <w:t>of spectrum.</w:t>
      </w:r>
      <w:r w:rsidR="001701A4">
        <w:t xml:space="preserve"> </w:t>
      </w:r>
      <w:r w:rsidR="00124C58">
        <w:t>The greater the amount of bandwidth and area over which services are deployed, the greater the denial of spectrum to other users</w:t>
      </w:r>
      <w:r w:rsidR="019CEF08">
        <w:t>,</w:t>
      </w:r>
      <w:r w:rsidR="00124C58">
        <w:t xml:space="preserve"> and therefore the greater the tax imposed.</w:t>
      </w:r>
    </w:p>
    <w:p w14:paraId="453D5556" w14:textId="028B8173" w:rsidR="00090958" w:rsidRDefault="00E42069" w:rsidP="00912D3E">
      <w:pPr>
        <w:pStyle w:val="ListBullet"/>
        <w:rPr>
          <w:rFonts w:eastAsiaTheme="minorEastAsia"/>
        </w:rPr>
      </w:pPr>
      <w:r w:rsidRPr="00F41A52">
        <w:rPr>
          <w:rFonts w:eastAsiaTheme="minorEastAsia"/>
          <w:b/>
          <w:bCs/>
        </w:rPr>
        <w:t>C</w:t>
      </w:r>
      <w:r w:rsidR="00D75FAD" w:rsidRPr="00F41A52">
        <w:rPr>
          <w:rFonts w:eastAsiaTheme="minorEastAsia"/>
          <w:b/>
          <w:bCs/>
        </w:rPr>
        <w:t>onsistency and simplicity</w:t>
      </w:r>
      <w:r w:rsidRPr="00F41A52">
        <w:rPr>
          <w:rFonts w:eastAsiaTheme="minorEastAsia"/>
          <w:b/>
          <w:bCs/>
        </w:rPr>
        <w:t>.</w:t>
      </w:r>
      <w:r>
        <w:rPr>
          <w:rFonts w:eastAsiaTheme="minorEastAsia"/>
        </w:rPr>
        <w:t xml:space="preserve"> T</w:t>
      </w:r>
      <w:r w:rsidR="00D75FAD">
        <w:rPr>
          <w:rFonts w:eastAsiaTheme="minorEastAsia"/>
        </w:rPr>
        <w:t xml:space="preserve">he </w:t>
      </w:r>
      <w:r w:rsidR="00124C58" w:rsidRPr="2AAE4496">
        <w:rPr>
          <w:rFonts w:eastAsiaTheme="minorEastAsia"/>
        </w:rPr>
        <w:t xml:space="preserve">pricing construct </w:t>
      </w:r>
      <w:r w:rsidR="567701A3" w:rsidRPr="2AAE4496">
        <w:rPr>
          <w:rFonts w:eastAsiaTheme="minorEastAsia"/>
        </w:rPr>
        <w:t>of a $/MHz/pop</w:t>
      </w:r>
      <w:r w:rsidR="00124C58" w:rsidRPr="2AAE4496">
        <w:rPr>
          <w:rFonts w:eastAsiaTheme="minorEastAsia"/>
        </w:rPr>
        <w:t xml:space="preserve"> used is consistent with PMTS Class B licensing and taxation arrangements</w:t>
      </w:r>
      <w:r>
        <w:rPr>
          <w:rFonts w:eastAsiaTheme="minorEastAsia"/>
        </w:rPr>
        <w:t>,</w:t>
      </w:r>
      <w:r w:rsidR="00124C58" w:rsidRPr="2AAE4496">
        <w:rPr>
          <w:rFonts w:eastAsiaTheme="minorEastAsia"/>
        </w:rPr>
        <w:t xml:space="preserve"> making the AWL arrangements consistent and relatively simple to understand. However, the ACMA accepts that calculating taxes can be relatively complex. The ACMA is working on a guide </w:t>
      </w:r>
      <w:r w:rsidR="00066413">
        <w:rPr>
          <w:rFonts w:eastAsiaTheme="minorEastAsia"/>
        </w:rPr>
        <w:t>and simple calculator</w:t>
      </w:r>
      <w:r w:rsidR="00124C58" w:rsidRPr="2AAE4496">
        <w:rPr>
          <w:rFonts w:eastAsiaTheme="minorEastAsia"/>
        </w:rPr>
        <w:t xml:space="preserve"> to assist industry in these calculations</w:t>
      </w:r>
      <w:r w:rsidR="00066413">
        <w:rPr>
          <w:rFonts w:eastAsiaTheme="minorEastAsia"/>
        </w:rPr>
        <w:t>.</w:t>
      </w:r>
      <w:r w:rsidR="00661032">
        <w:rPr>
          <w:rFonts w:eastAsiaTheme="minorEastAsia"/>
        </w:rPr>
        <w:t xml:space="preserve"> </w:t>
      </w:r>
    </w:p>
    <w:p w14:paraId="662B5493" w14:textId="205B8C23" w:rsidR="00090958" w:rsidRDefault="00E42069" w:rsidP="00912D3E">
      <w:pPr>
        <w:pStyle w:val="ListBullet"/>
        <w:rPr>
          <w:rFonts w:eastAsiaTheme="minorEastAsia"/>
        </w:rPr>
      </w:pPr>
      <w:r w:rsidRPr="00F41A52">
        <w:rPr>
          <w:rFonts w:eastAsiaTheme="minorEastAsia"/>
          <w:b/>
          <w:bCs/>
        </w:rPr>
        <w:t>F</w:t>
      </w:r>
      <w:r w:rsidR="00661032" w:rsidRPr="00F41A52">
        <w:rPr>
          <w:rFonts w:eastAsiaTheme="minorEastAsia"/>
          <w:b/>
          <w:bCs/>
        </w:rPr>
        <w:t>lexibility and adaptability to technology change</w:t>
      </w:r>
      <w:r w:rsidRPr="00F41A52">
        <w:rPr>
          <w:rFonts w:eastAsiaTheme="minorEastAsia"/>
          <w:b/>
          <w:bCs/>
        </w:rPr>
        <w:t>.</w:t>
      </w:r>
      <w:r>
        <w:rPr>
          <w:rFonts w:eastAsiaTheme="minorEastAsia"/>
        </w:rPr>
        <w:t xml:space="preserve"> B</w:t>
      </w:r>
      <w:r w:rsidR="00124C58" w:rsidRPr="2AAE4496">
        <w:rPr>
          <w:rFonts w:eastAsiaTheme="minorEastAsia"/>
        </w:rPr>
        <w:t>y proposing a tax that is not dependent on the number of stations, the tax will</w:t>
      </w:r>
      <w:r w:rsidR="00124C58">
        <w:t xml:space="preserve"> be </w:t>
      </w:r>
      <w:r w:rsidR="00124C58" w:rsidRPr="2AAE4496">
        <w:rPr>
          <w:rFonts w:eastAsiaTheme="minorEastAsia"/>
        </w:rPr>
        <w:t xml:space="preserve">able to adapt to changes in technologies and deployment strategies.  </w:t>
      </w:r>
    </w:p>
    <w:p w14:paraId="629970DE" w14:textId="1665838D" w:rsidR="00124C58" w:rsidRPr="004E2A8E" w:rsidRDefault="00E42069" w:rsidP="00912D3E">
      <w:pPr>
        <w:pStyle w:val="ListBullet"/>
        <w:rPr>
          <w:rFonts w:eastAsiaTheme="minorEastAsia"/>
        </w:rPr>
      </w:pPr>
      <w:r w:rsidRPr="00F41A52">
        <w:rPr>
          <w:rFonts w:eastAsiaTheme="minorEastAsia"/>
          <w:b/>
          <w:bCs/>
        </w:rPr>
        <w:t>T</w:t>
      </w:r>
      <w:r w:rsidR="00661032" w:rsidRPr="00F41A52">
        <w:rPr>
          <w:rFonts w:eastAsiaTheme="minorEastAsia"/>
          <w:b/>
          <w:bCs/>
        </w:rPr>
        <w:t>ransparency in process</w:t>
      </w:r>
      <w:r w:rsidRPr="00F41A52">
        <w:rPr>
          <w:rFonts w:eastAsiaTheme="minorEastAsia"/>
          <w:b/>
          <w:bCs/>
        </w:rPr>
        <w:t>.</w:t>
      </w:r>
      <w:r>
        <w:rPr>
          <w:rFonts w:eastAsiaTheme="minorEastAsia"/>
        </w:rPr>
        <w:t xml:space="preserve"> T</w:t>
      </w:r>
      <w:r w:rsidR="00661032">
        <w:rPr>
          <w:rFonts w:eastAsiaTheme="minorEastAsia"/>
        </w:rPr>
        <w:t xml:space="preserve">he </w:t>
      </w:r>
      <w:r w:rsidR="00E13578" w:rsidRPr="00E13578">
        <w:rPr>
          <w:rFonts w:eastAsiaTheme="minorEastAsia"/>
        </w:rPr>
        <w:t>ACMA is using the consultation process to seek views about the taxation arrangements. There is limited information about spectrum valuations for mmWave spectrum in the Australian market. The ACMA is proposing to review the pricing arrangements for AWLs in the 26 and 28 GHz bands as more information becomes available, such as after the spectrum auction</w:t>
      </w:r>
      <w:r w:rsidR="00124C58" w:rsidRPr="0049318F">
        <w:rPr>
          <w:rFonts w:eastAsiaTheme="minorEastAsia"/>
        </w:rPr>
        <w:t>.</w:t>
      </w:r>
    </w:p>
    <w:p w14:paraId="162CBB32" w14:textId="5DAEF7C0" w:rsidR="00124C58" w:rsidRPr="00252C2A" w:rsidRDefault="009B769A" w:rsidP="003757DB">
      <w:pPr>
        <w:pStyle w:val="ListBulletLast"/>
        <w:rPr>
          <w:rFonts w:eastAsiaTheme="minorEastAsia"/>
        </w:rPr>
      </w:pPr>
      <w:r w:rsidRPr="00F41A52">
        <w:rPr>
          <w:rFonts w:eastAsiaTheme="minorEastAsia"/>
          <w:b/>
          <w:bCs/>
        </w:rPr>
        <w:t>R</w:t>
      </w:r>
      <w:r w:rsidR="00124C58" w:rsidRPr="00F41A52">
        <w:rPr>
          <w:rFonts w:eastAsiaTheme="minorEastAsia"/>
          <w:b/>
          <w:bCs/>
        </w:rPr>
        <w:t>ecovery of the costs of spectrum management</w:t>
      </w:r>
      <w:r w:rsidRPr="00F41A52">
        <w:rPr>
          <w:rFonts w:eastAsiaTheme="minorEastAsia"/>
          <w:b/>
          <w:bCs/>
        </w:rPr>
        <w:t>.</w:t>
      </w:r>
      <w:r>
        <w:rPr>
          <w:rFonts w:eastAsiaTheme="minorEastAsia"/>
        </w:rPr>
        <w:t xml:space="preserve"> T</w:t>
      </w:r>
      <w:r w:rsidR="00355B63">
        <w:rPr>
          <w:rFonts w:eastAsiaTheme="minorEastAsia"/>
        </w:rPr>
        <w:t>he</w:t>
      </w:r>
      <w:r w:rsidR="00124C58" w:rsidRPr="00252C2A">
        <w:rPr>
          <w:rFonts w:eastAsiaTheme="minorEastAsia"/>
        </w:rPr>
        <w:t xml:space="preserve"> charging arrangements for the issue of AWL licences are outlined below.</w:t>
      </w:r>
    </w:p>
    <w:p w14:paraId="4D163159" w14:textId="2D7FF61A" w:rsidR="00124C58" w:rsidRPr="00DE6D54" w:rsidRDefault="00124C58" w:rsidP="001411CD">
      <w:pPr>
        <w:pStyle w:val="Heading2"/>
      </w:pPr>
      <w:bookmarkStart w:id="15" w:name="_Toc48723212"/>
      <w:r w:rsidRPr="00DE6D54">
        <w:t>Charging arrangements</w:t>
      </w:r>
      <w:bookmarkEnd w:id="15"/>
    </w:p>
    <w:p w14:paraId="67A31930" w14:textId="7D1CD0D1" w:rsidR="00124C58" w:rsidRDefault="00124C58" w:rsidP="003651BF">
      <w:pPr>
        <w:pStyle w:val="Paragraph"/>
      </w:pPr>
      <w:r>
        <w:t xml:space="preserve">The ACMA is proposing to charge for the issue of an AWL licence based on the general service charge. The general service charge currently stands at $202 per hour. The charging arrangements are outlined in the </w:t>
      </w:r>
      <w:hyperlink r:id="rId35" w:history="1">
        <w:r w:rsidRPr="00C756DC">
          <w:rPr>
            <w:rStyle w:val="Hyperlink"/>
          </w:rPr>
          <w:t>Radiocommunications (Charges) Determination 2017</w:t>
        </w:r>
      </w:hyperlink>
      <w:r>
        <w:t>.</w:t>
      </w:r>
    </w:p>
    <w:p w14:paraId="236BFFE4" w14:textId="3AB9DE70" w:rsidR="00356CF7" w:rsidRDefault="4C7311E4" w:rsidP="003651BF">
      <w:pPr>
        <w:pStyle w:val="Heading1"/>
        <w:rPr>
          <w:szCs w:val="53"/>
        </w:rPr>
      </w:pPr>
      <w:bookmarkStart w:id="16" w:name="_Appendix_A"/>
      <w:bookmarkStart w:id="17" w:name="_Appendix_B_–"/>
      <w:bookmarkStart w:id="18" w:name="_Toc48723213"/>
      <w:bookmarkEnd w:id="13"/>
      <w:bookmarkEnd w:id="16"/>
      <w:bookmarkEnd w:id="17"/>
      <w:r w:rsidRPr="001F7941">
        <w:rPr>
          <w:rStyle w:val="Heading1Char"/>
        </w:rPr>
        <w:lastRenderedPageBreak/>
        <w:t>App</w:t>
      </w:r>
      <w:r w:rsidR="241592C1" w:rsidRPr="001F7941">
        <w:rPr>
          <w:rStyle w:val="Heading1Char"/>
        </w:rPr>
        <w:t>endix</w:t>
      </w:r>
      <w:r w:rsidR="77FC05EF" w:rsidRPr="001F7941">
        <w:rPr>
          <w:rStyle w:val="Heading1Char"/>
        </w:rPr>
        <w:t xml:space="preserve"> B</w:t>
      </w:r>
      <w:r w:rsidR="009B769A">
        <w:rPr>
          <w:rStyle w:val="Heading1Char"/>
        </w:rPr>
        <w:t>—</w:t>
      </w:r>
      <w:r w:rsidR="7D0176B0" w:rsidRPr="001F7941">
        <w:rPr>
          <w:rStyle w:val="Heading1Char"/>
        </w:rPr>
        <w:t xml:space="preserve">Technical </w:t>
      </w:r>
      <w:r w:rsidR="3A9D2E76" w:rsidRPr="001F7941">
        <w:rPr>
          <w:rStyle w:val="Heading1Char"/>
        </w:rPr>
        <w:t>Framework</w:t>
      </w:r>
      <w:bookmarkEnd w:id="18"/>
    </w:p>
    <w:p w14:paraId="31C6E6CF" w14:textId="56C98E85" w:rsidR="001671BD" w:rsidRDefault="3F3E02AA" w:rsidP="003651BF">
      <w:pPr>
        <w:pStyle w:val="Paragraphbeforelist"/>
      </w:pPr>
      <w:bookmarkStart w:id="19" w:name="_Toc403740549"/>
      <w:bookmarkStart w:id="20" w:name="_Toc404333444"/>
      <w:bookmarkStart w:id="21" w:name="_Toc514146651"/>
      <w:bookmarkStart w:id="22" w:name="_Toc513143737"/>
      <w:r>
        <w:t>The technical framework comprises:</w:t>
      </w:r>
    </w:p>
    <w:p w14:paraId="70EE5482" w14:textId="327DD2A9" w:rsidR="00A93957" w:rsidRDefault="002A067A" w:rsidP="001411CD">
      <w:pPr>
        <w:pStyle w:val="ListBullet"/>
      </w:pPr>
      <w:r>
        <w:t>A</w:t>
      </w:r>
      <w:r w:rsidR="75EABCA5">
        <w:t xml:space="preserve">n update to the </w:t>
      </w:r>
      <w:r w:rsidR="3572A22B">
        <w:t xml:space="preserve">Radiocommunications </w:t>
      </w:r>
      <w:r w:rsidR="7D0176B0">
        <w:t>Licence Condition</w:t>
      </w:r>
      <w:r w:rsidR="3572A22B">
        <w:t>s (Area-Wide Lice</w:t>
      </w:r>
      <w:r w:rsidR="7006E029">
        <w:t>n</w:t>
      </w:r>
      <w:r w:rsidR="3572A22B">
        <w:t xml:space="preserve">ce) Determination </w:t>
      </w:r>
      <w:r w:rsidR="62C20F96">
        <w:t>2020</w:t>
      </w:r>
      <w:r w:rsidR="7D0176B0">
        <w:t xml:space="preserve"> </w:t>
      </w:r>
      <w:r w:rsidR="2904974F">
        <w:t>(the AWL LCD)</w:t>
      </w:r>
      <w:r w:rsidR="7D0176B0">
        <w:t>.</w:t>
      </w:r>
      <w:r w:rsidR="00A93957">
        <w:rPr>
          <w:rStyle w:val="FootnoteReference"/>
        </w:rPr>
        <w:footnoteReference w:id="10"/>
      </w:r>
      <w:r w:rsidR="7D0176B0">
        <w:t xml:space="preserve"> </w:t>
      </w:r>
      <w:r w:rsidR="7D0176B0">
        <w:rPr>
          <w:rFonts w:eastAsia="Arial"/>
        </w:rPr>
        <w:t xml:space="preserve">This </w:t>
      </w:r>
      <w:r w:rsidR="4FB49E4D">
        <w:rPr>
          <w:rFonts w:eastAsia="Arial"/>
        </w:rPr>
        <w:t>update</w:t>
      </w:r>
      <w:r w:rsidR="7D0176B0">
        <w:rPr>
          <w:rFonts w:eastAsia="Arial"/>
        </w:rPr>
        <w:t xml:space="preserve"> will contain licence conditions applicable to radiocommunications devices operated under an AWL in the 26/28 GHz band</w:t>
      </w:r>
      <w:r w:rsidR="006245A2">
        <w:rPr>
          <w:rFonts w:eastAsia="Arial"/>
        </w:rPr>
        <w:t>s</w:t>
      </w:r>
      <w:r w:rsidR="7D0176B0">
        <w:rPr>
          <w:rFonts w:eastAsia="Arial"/>
        </w:rPr>
        <w:t xml:space="preserve">. The </w:t>
      </w:r>
      <w:r w:rsidR="0862DDB4">
        <w:rPr>
          <w:rFonts w:eastAsia="Arial"/>
        </w:rPr>
        <w:t xml:space="preserve">draft </w:t>
      </w:r>
      <w:r w:rsidR="7D0176B0">
        <w:rPr>
          <w:rFonts w:eastAsia="Arial"/>
        </w:rPr>
        <w:t xml:space="preserve">amendment determination is at </w:t>
      </w:r>
      <w:r w:rsidR="7D0176B0" w:rsidRPr="2AAE4496">
        <w:rPr>
          <w:rFonts w:eastAsia="Arial"/>
          <w:b/>
          <w:bCs/>
        </w:rPr>
        <w:t xml:space="preserve">Attachment </w:t>
      </w:r>
      <w:r w:rsidR="471E36FD" w:rsidRPr="2AAE4496">
        <w:rPr>
          <w:rFonts w:eastAsia="Arial"/>
          <w:b/>
          <w:bCs/>
        </w:rPr>
        <w:t>B</w:t>
      </w:r>
      <w:r w:rsidR="443A86AA" w:rsidRPr="008B06F0">
        <w:rPr>
          <w:rFonts w:eastAsia="Arial"/>
        </w:rPr>
        <w:t xml:space="preserve"> </w:t>
      </w:r>
      <w:r w:rsidR="443A86AA">
        <w:rPr>
          <w:rFonts w:eastAsia="Arial"/>
        </w:rPr>
        <w:t xml:space="preserve">with key aspects discussed </w:t>
      </w:r>
      <w:r w:rsidR="17FE6596">
        <w:rPr>
          <w:rFonts w:eastAsia="Arial"/>
        </w:rPr>
        <w:t>in the</w:t>
      </w:r>
      <w:r>
        <w:rPr>
          <w:rFonts w:eastAsia="Arial"/>
        </w:rPr>
        <w:t xml:space="preserve"> </w:t>
      </w:r>
      <w:hyperlink w:anchor="_AWL_licence_conditions" w:history="1">
        <w:r w:rsidRPr="002A067A">
          <w:rPr>
            <w:rStyle w:val="Hyperlink"/>
            <w:rFonts w:eastAsia="Arial"/>
          </w:rPr>
          <w:t>AWL licence conditions</w:t>
        </w:r>
      </w:hyperlink>
      <w:r w:rsidR="17FE6596">
        <w:rPr>
          <w:rFonts w:eastAsia="Arial"/>
        </w:rPr>
        <w:t xml:space="preserve"> section</w:t>
      </w:r>
      <w:r w:rsidR="7D0176B0">
        <w:rPr>
          <w:rFonts w:eastAsia="Arial"/>
        </w:rPr>
        <w:t>.</w:t>
      </w:r>
    </w:p>
    <w:p w14:paraId="022CF671" w14:textId="20075C90" w:rsidR="00A93957" w:rsidRDefault="002A067A" w:rsidP="001411CD">
      <w:pPr>
        <w:pStyle w:val="ListBullet"/>
      </w:pPr>
      <w:r>
        <w:t>S</w:t>
      </w:r>
      <w:r w:rsidR="00B84E8B">
        <w:t>pecified c</w:t>
      </w:r>
      <w:r w:rsidR="7D0176B0">
        <w:t xml:space="preserve">onditions </w:t>
      </w:r>
      <w:r w:rsidR="005E74B6">
        <w:t>included in an</w:t>
      </w:r>
      <w:r w:rsidR="7D0176B0">
        <w:t xml:space="preserve"> individual apparatus licence.</w:t>
      </w:r>
      <w:r w:rsidR="00A93957">
        <w:rPr>
          <w:rStyle w:val="FootnoteReference"/>
        </w:rPr>
        <w:footnoteReference w:id="11"/>
      </w:r>
      <w:r w:rsidR="7D0176B0">
        <w:t xml:space="preserve"> </w:t>
      </w:r>
    </w:p>
    <w:p w14:paraId="11F7003B" w14:textId="469135E8" w:rsidR="00A93957" w:rsidRDefault="003B5258" w:rsidP="00C87581">
      <w:pPr>
        <w:pStyle w:val="ListBullet"/>
        <w:rPr>
          <w:rFonts w:eastAsia="Arial"/>
        </w:rPr>
      </w:pPr>
      <w:r>
        <w:t>A</w:t>
      </w:r>
      <w:r w:rsidR="7D0176B0">
        <w:t>dministrative policy (e</w:t>
      </w:r>
      <w:r w:rsidR="070DEF96">
        <w:t>.</w:t>
      </w:r>
      <w:r w:rsidR="7D0176B0">
        <w:t>g. RALIs</w:t>
      </w:r>
      <w:r w:rsidR="00D56677" w:rsidRPr="004D404E">
        <w:rPr>
          <w:rStyle w:val="FootnoteReference"/>
        </w:rPr>
        <w:footnoteReference w:id="12"/>
      </w:r>
      <w:r w:rsidR="18007545">
        <w:t xml:space="preserve"> and </w:t>
      </w:r>
      <w:r w:rsidR="3FBD696A">
        <w:t>BoPs</w:t>
      </w:r>
      <w:r w:rsidR="00D56677" w:rsidRPr="004D404E">
        <w:rPr>
          <w:rStyle w:val="FootnoteReference"/>
        </w:rPr>
        <w:footnoteReference w:id="13"/>
      </w:r>
      <w:r w:rsidR="7D0176B0">
        <w:t>)</w:t>
      </w:r>
      <w:r>
        <w:t xml:space="preserve">. </w:t>
      </w:r>
      <w:r w:rsidR="7D0176B0">
        <w:t xml:space="preserve"> </w:t>
      </w:r>
      <w:r w:rsidR="7D0176B0">
        <w:rPr>
          <w:rFonts w:eastAsia="Arial"/>
        </w:rPr>
        <w:t xml:space="preserve"> </w:t>
      </w:r>
    </w:p>
    <w:p w14:paraId="0E07347A" w14:textId="07C02F58" w:rsidR="00CC0DC9" w:rsidRDefault="003B5258" w:rsidP="00F41A52">
      <w:pPr>
        <w:pStyle w:val="ListBullet"/>
        <w:rPr>
          <w:rFonts w:eastAsia="Arial"/>
        </w:rPr>
      </w:pPr>
      <w:r>
        <w:rPr>
          <w:rFonts w:eastAsia="Arial"/>
        </w:rPr>
        <w:t>A</w:t>
      </w:r>
      <w:r w:rsidR="001B13EA">
        <w:rPr>
          <w:rFonts w:eastAsia="Arial"/>
        </w:rPr>
        <w:t xml:space="preserve"> new RALI (</w:t>
      </w:r>
      <w:r w:rsidR="001B7089">
        <w:rPr>
          <w:rFonts w:eastAsia="Arial"/>
        </w:rPr>
        <w:t>denoted</w:t>
      </w:r>
      <w:r w:rsidR="001B13EA">
        <w:rPr>
          <w:rFonts w:eastAsia="Arial"/>
        </w:rPr>
        <w:t xml:space="preserve"> </w:t>
      </w:r>
      <w:r w:rsidR="00A93957">
        <w:rPr>
          <w:rFonts w:eastAsia="Arial"/>
        </w:rPr>
        <w:t>RALI</w:t>
      </w:r>
      <w:r w:rsidR="009A2F94">
        <w:rPr>
          <w:rFonts w:eastAsia="Arial"/>
        </w:rPr>
        <w:t xml:space="preserve"> </w:t>
      </w:r>
      <w:r w:rsidR="00A93957">
        <w:rPr>
          <w:rFonts w:eastAsia="Arial"/>
        </w:rPr>
        <w:t>[new]</w:t>
      </w:r>
      <w:r w:rsidR="001B7089">
        <w:rPr>
          <w:rFonts w:eastAsia="Arial"/>
        </w:rPr>
        <w:t>)</w:t>
      </w:r>
      <w:r w:rsidR="006D27A5">
        <w:rPr>
          <w:rFonts w:eastAsia="Arial"/>
        </w:rPr>
        <w:t>. The RALI</w:t>
      </w:r>
      <w:r w:rsidR="009A2F94">
        <w:rPr>
          <w:rFonts w:eastAsia="Arial"/>
        </w:rPr>
        <w:t xml:space="preserve"> </w:t>
      </w:r>
      <w:r w:rsidR="006D27A5">
        <w:rPr>
          <w:rFonts w:eastAsia="Arial"/>
        </w:rPr>
        <w:t xml:space="preserve">[new] is at </w:t>
      </w:r>
      <w:r w:rsidR="006D27A5" w:rsidRPr="00726D7B">
        <w:rPr>
          <w:rFonts w:eastAsia="Arial"/>
          <w:b/>
        </w:rPr>
        <w:t>Attachment C</w:t>
      </w:r>
      <w:r w:rsidR="006D27A5">
        <w:rPr>
          <w:rFonts w:eastAsia="Arial"/>
        </w:rPr>
        <w:t xml:space="preserve">, with key aspects discussed later in the </w:t>
      </w:r>
      <w:hyperlink w:anchor="_Device_registration_and" w:history="1">
        <w:r w:rsidR="006D27A5" w:rsidRPr="006D27A5">
          <w:rPr>
            <w:rStyle w:val="Hyperlink"/>
            <w:rFonts w:eastAsia="Arial"/>
          </w:rPr>
          <w:t>Licensing and device registration instructions</w:t>
        </w:r>
      </w:hyperlink>
      <w:r w:rsidR="006D27A5">
        <w:rPr>
          <w:rFonts w:eastAsia="Arial"/>
        </w:rPr>
        <w:t xml:space="preserve"> section</w:t>
      </w:r>
      <w:r w:rsidR="006D27A5">
        <w:t xml:space="preserve">. The RALI </w:t>
      </w:r>
      <w:r w:rsidR="00A93957">
        <w:rPr>
          <w:rFonts w:eastAsia="Arial"/>
        </w:rPr>
        <w:t>will detail</w:t>
      </w:r>
      <w:r w:rsidR="00CC0DC9">
        <w:rPr>
          <w:rFonts w:eastAsia="Arial"/>
        </w:rPr>
        <w:t>:</w:t>
      </w:r>
    </w:p>
    <w:p w14:paraId="73F486AC" w14:textId="472F8E9B" w:rsidR="00F67F29" w:rsidRDefault="003B5258">
      <w:pPr>
        <w:pStyle w:val="ListBullet2"/>
        <w:tabs>
          <w:tab w:val="clear" w:pos="845"/>
          <w:tab w:val="num" w:pos="1112"/>
        </w:tabs>
        <w:ind w:left="1112"/>
        <w:rPr>
          <w:rFonts w:eastAsia="Arial"/>
        </w:rPr>
      </w:pPr>
      <w:r>
        <w:rPr>
          <w:rFonts w:eastAsia="Arial"/>
        </w:rPr>
        <w:t>T</w:t>
      </w:r>
      <w:r w:rsidR="00A93957">
        <w:rPr>
          <w:rFonts w:eastAsia="Arial"/>
        </w:rPr>
        <w:t>he rules governing how AWLs are to be issued (for example</w:t>
      </w:r>
      <w:r>
        <w:rPr>
          <w:rFonts w:eastAsia="Arial"/>
        </w:rPr>
        <w:t>,</w:t>
      </w:r>
      <w:r w:rsidR="00A93957">
        <w:rPr>
          <w:rFonts w:eastAsia="Arial"/>
        </w:rPr>
        <w:t xml:space="preserve"> any frequency and/or geographic area limitations of proposed licences)</w:t>
      </w:r>
      <w:r w:rsidR="006D27A5">
        <w:rPr>
          <w:rFonts w:eastAsia="Arial"/>
        </w:rPr>
        <w:t xml:space="preserve">. </w:t>
      </w:r>
    </w:p>
    <w:p w14:paraId="4BD08D3C" w14:textId="5C25CB40" w:rsidR="00A93957" w:rsidRPr="006D27A5" w:rsidRDefault="003B5258">
      <w:pPr>
        <w:pStyle w:val="ListBullet2"/>
        <w:tabs>
          <w:tab w:val="clear" w:pos="845"/>
          <w:tab w:val="num" w:pos="1112"/>
        </w:tabs>
        <w:ind w:left="1112"/>
        <w:rPr>
          <w:rFonts w:eastAsia="Arial"/>
        </w:rPr>
      </w:pPr>
      <w:r w:rsidRPr="006D27A5">
        <w:rPr>
          <w:rFonts w:eastAsia="Arial"/>
        </w:rPr>
        <w:t>T</w:t>
      </w:r>
      <w:r w:rsidR="00A93957" w:rsidRPr="006D27A5">
        <w:rPr>
          <w:rFonts w:eastAsia="Arial"/>
        </w:rPr>
        <w:t>he criteria which must be met before a transmitter can be registered</w:t>
      </w:r>
      <w:r w:rsidR="00786929" w:rsidRPr="006D27A5">
        <w:rPr>
          <w:rFonts w:eastAsia="Arial"/>
        </w:rPr>
        <w:t xml:space="preserve"> and operated</w:t>
      </w:r>
      <w:r w:rsidR="007D6880" w:rsidRPr="006D27A5">
        <w:rPr>
          <w:rFonts w:eastAsia="Arial"/>
        </w:rPr>
        <w:t xml:space="preserve"> (i</w:t>
      </w:r>
      <w:r w:rsidRPr="006D27A5">
        <w:rPr>
          <w:rFonts w:eastAsia="Arial"/>
        </w:rPr>
        <w:t>n</w:t>
      </w:r>
      <w:r w:rsidR="007D6880" w:rsidRPr="006D27A5">
        <w:rPr>
          <w:rFonts w:eastAsia="Arial"/>
        </w:rPr>
        <w:t xml:space="preserve"> some cases</w:t>
      </w:r>
      <w:r w:rsidRPr="006D27A5">
        <w:rPr>
          <w:rFonts w:eastAsia="Arial"/>
        </w:rPr>
        <w:t>,</w:t>
      </w:r>
      <w:r w:rsidR="007D6880" w:rsidRPr="006D27A5">
        <w:rPr>
          <w:rFonts w:eastAsia="Arial"/>
        </w:rPr>
        <w:t xml:space="preserve"> </w:t>
      </w:r>
      <w:r w:rsidR="00B06B46" w:rsidRPr="006D27A5">
        <w:rPr>
          <w:rFonts w:eastAsia="Arial"/>
        </w:rPr>
        <w:t>these criteria</w:t>
      </w:r>
      <w:r w:rsidR="007D6880" w:rsidRPr="006D27A5">
        <w:rPr>
          <w:rFonts w:eastAsia="Arial"/>
        </w:rPr>
        <w:t xml:space="preserve"> will be contained in other RALIs and BoPs</w:t>
      </w:r>
      <w:r w:rsidR="003D088F" w:rsidRPr="006D27A5">
        <w:rPr>
          <w:rFonts w:eastAsia="Arial"/>
        </w:rPr>
        <w:t>)</w:t>
      </w:r>
      <w:r w:rsidR="00A93957" w:rsidRPr="006D27A5">
        <w:rPr>
          <w:rFonts w:eastAsia="Arial"/>
        </w:rPr>
        <w:t xml:space="preserve">. </w:t>
      </w:r>
    </w:p>
    <w:p w14:paraId="1AC71150" w14:textId="6FE80CEC" w:rsidR="00A93957" w:rsidRDefault="006D27A5" w:rsidP="00E15AE5">
      <w:pPr>
        <w:pStyle w:val="ListBullet"/>
      </w:pPr>
      <w:r>
        <w:rPr>
          <w:rFonts w:eastAsia="Arial"/>
        </w:rPr>
        <w:t xml:space="preserve">An </w:t>
      </w:r>
      <w:r w:rsidR="00A93957" w:rsidRPr="002851A6">
        <w:rPr>
          <w:rFonts w:eastAsia="Arial"/>
        </w:rPr>
        <w:t xml:space="preserve">update of </w:t>
      </w:r>
      <w:r w:rsidR="00A93957" w:rsidRPr="00E953AC">
        <w:rPr>
          <w:rFonts w:eastAsia="Arial"/>
        </w:rPr>
        <w:t>RALI MS 38</w:t>
      </w:r>
      <w:r>
        <w:rPr>
          <w:rFonts w:eastAsia="Arial"/>
        </w:rPr>
        <w:t xml:space="preserve">. </w:t>
      </w:r>
      <w:r w:rsidR="00BB511D" w:rsidRPr="00E953AC">
        <w:rPr>
          <w:rFonts w:eastAsia="Arial"/>
        </w:rPr>
        <w:t xml:space="preserve">It is proposed </w:t>
      </w:r>
      <w:r w:rsidR="001577DD">
        <w:rPr>
          <w:rFonts w:eastAsia="Arial"/>
        </w:rPr>
        <w:t xml:space="preserve">RALI MS38 will continue to be used for </w:t>
      </w:r>
      <w:r w:rsidR="00BB511D" w:rsidRPr="00E953AC">
        <w:rPr>
          <w:rFonts w:eastAsia="Arial"/>
        </w:rPr>
        <w:t xml:space="preserve">coordination between </w:t>
      </w:r>
      <w:r w:rsidR="00035BBB">
        <w:rPr>
          <w:rFonts w:eastAsia="Arial"/>
        </w:rPr>
        <w:t>AWL-</w:t>
      </w:r>
      <w:r w:rsidR="001577DD">
        <w:rPr>
          <w:rFonts w:eastAsia="Arial"/>
        </w:rPr>
        <w:t>authorised</w:t>
      </w:r>
      <w:r w:rsidR="00BB511D" w:rsidRPr="00E953AC">
        <w:rPr>
          <w:rFonts w:eastAsia="Arial"/>
        </w:rPr>
        <w:t xml:space="preserve"> earth stations and existing point-to-point fixed links. The </w:t>
      </w:r>
      <w:r w:rsidR="00697A9C">
        <w:rPr>
          <w:rFonts w:eastAsia="Arial"/>
        </w:rPr>
        <w:t xml:space="preserve">remainder of the </w:t>
      </w:r>
      <w:r w:rsidR="00BB511D" w:rsidRPr="00E953AC">
        <w:rPr>
          <w:rFonts w:eastAsia="Arial"/>
        </w:rPr>
        <w:t>requirements</w:t>
      </w:r>
      <w:r w:rsidR="00697A9C">
        <w:rPr>
          <w:rFonts w:eastAsia="Arial"/>
        </w:rPr>
        <w:t xml:space="preserve"> in RALI MS38 wi</w:t>
      </w:r>
      <w:r w:rsidR="00C52FCB">
        <w:rPr>
          <w:rFonts w:eastAsia="Arial"/>
        </w:rPr>
        <w:t>l</w:t>
      </w:r>
      <w:r w:rsidR="00697A9C">
        <w:rPr>
          <w:rFonts w:eastAsia="Arial"/>
        </w:rPr>
        <w:t xml:space="preserve">l be replicated in the </w:t>
      </w:r>
      <w:r w:rsidR="00C800AC">
        <w:rPr>
          <w:rFonts w:eastAsia="Arial"/>
        </w:rPr>
        <w:t>updated AWL LCD and RALI</w:t>
      </w:r>
      <w:r w:rsidR="009A2F94">
        <w:rPr>
          <w:rFonts w:eastAsia="Arial"/>
        </w:rPr>
        <w:t xml:space="preserve"> </w:t>
      </w:r>
      <w:r w:rsidR="00C800AC">
        <w:rPr>
          <w:rFonts w:eastAsia="Arial"/>
        </w:rPr>
        <w:t>[new]</w:t>
      </w:r>
      <w:r w:rsidR="00BD4F26">
        <w:rPr>
          <w:rFonts w:eastAsia="Arial"/>
        </w:rPr>
        <w:t xml:space="preserve">. </w:t>
      </w:r>
      <w:r w:rsidR="00C9731F">
        <w:rPr>
          <w:rFonts w:eastAsia="Arial"/>
        </w:rPr>
        <w:t>M</w:t>
      </w:r>
      <w:r w:rsidR="00BE447C">
        <w:rPr>
          <w:rFonts w:eastAsia="Arial"/>
        </w:rPr>
        <w:t xml:space="preserve">inor changes to </w:t>
      </w:r>
      <w:r w:rsidR="00B644F3">
        <w:rPr>
          <w:rFonts w:eastAsia="Arial"/>
        </w:rPr>
        <w:t>RALI MS38 to</w:t>
      </w:r>
      <w:r w:rsidR="00DC2E6D">
        <w:rPr>
          <w:rFonts w:eastAsia="Arial"/>
        </w:rPr>
        <w:t xml:space="preserve"> </w:t>
      </w:r>
      <w:r w:rsidR="00BE447C">
        <w:rPr>
          <w:rFonts w:eastAsia="Arial"/>
        </w:rPr>
        <w:t>refle</w:t>
      </w:r>
      <w:r w:rsidR="00DC2E6D">
        <w:rPr>
          <w:rFonts w:eastAsia="Arial"/>
        </w:rPr>
        <w:t>c</w:t>
      </w:r>
      <w:r w:rsidR="00BE447C">
        <w:rPr>
          <w:rFonts w:eastAsia="Arial"/>
        </w:rPr>
        <w:t>t th</w:t>
      </w:r>
      <w:r w:rsidR="00FF4CB1">
        <w:rPr>
          <w:rFonts w:eastAsia="Arial"/>
        </w:rPr>
        <w:t xml:space="preserve">is </w:t>
      </w:r>
      <w:r w:rsidR="00B644F3">
        <w:rPr>
          <w:rFonts w:eastAsia="Arial"/>
        </w:rPr>
        <w:t xml:space="preserve">are </w:t>
      </w:r>
      <w:r w:rsidR="00DC2E6D">
        <w:rPr>
          <w:rFonts w:eastAsia="Arial"/>
        </w:rPr>
        <w:t>detailed</w:t>
      </w:r>
      <w:r w:rsidR="00B644F3">
        <w:rPr>
          <w:rFonts w:eastAsia="Arial"/>
        </w:rPr>
        <w:t xml:space="preserve"> </w:t>
      </w:r>
      <w:r w:rsidR="00DC2E6D">
        <w:rPr>
          <w:rFonts w:eastAsia="Arial"/>
        </w:rPr>
        <w:t xml:space="preserve">in </w:t>
      </w:r>
      <w:r w:rsidR="00DC2E6D" w:rsidRPr="002C7EEF">
        <w:rPr>
          <w:rFonts w:eastAsia="Arial"/>
          <w:b/>
        </w:rPr>
        <w:t xml:space="preserve">Attachment </w:t>
      </w:r>
      <w:r w:rsidR="00983BE1" w:rsidRPr="002C7EEF">
        <w:rPr>
          <w:rFonts w:eastAsia="Arial"/>
          <w:b/>
        </w:rPr>
        <w:t>D</w:t>
      </w:r>
      <w:r w:rsidR="00773024" w:rsidRPr="00AE7ABA">
        <w:rPr>
          <w:rFonts w:eastAsia="Arial"/>
        </w:rPr>
        <w:t>.</w:t>
      </w:r>
      <w:r w:rsidR="00773024">
        <w:rPr>
          <w:rFonts w:eastAsia="Arial"/>
        </w:rPr>
        <w:t xml:space="preserve"> </w:t>
      </w:r>
      <w:r w:rsidR="00BD4F26">
        <w:rPr>
          <w:rFonts w:eastAsia="Arial"/>
        </w:rPr>
        <w:t xml:space="preserve">RALI MS38 will </w:t>
      </w:r>
      <w:r w:rsidR="00F5131B">
        <w:rPr>
          <w:rFonts w:eastAsia="Arial"/>
        </w:rPr>
        <w:t>continue</w:t>
      </w:r>
      <w:r w:rsidR="00773024">
        <w:rPr>
          <w:rFonts w:eastAsia="Arial"/>
        </w:rPr>
        <w:t xml:space="preserve"> b</w:t>
      </w:r>
      <w:r w:rsidR="00A62578">
        <w:rPr>
          <w:rFonts w:eastAsia="Arial"/>
        </w:rPr>
        <w:t>eing</w:t>
      </w:r>
      <w:r w:rsidR="00773024">
        <w:rPr>
          <w:rFonts w:eastAsia="Arial"/>
        </w:rPr>
        <w:t xml:space="preserve"> used </w:t>
      </w:r>
      <w:r w:rsidR="0086028C">
        <w:rPr>
          <w:rFonts w:eastAsia="Arial"/>
        </w:rPr>
        <w:t xml:space="preserve">for assignment of </w:t>
      </w:r>
      <w:r w:rsidR="00A62578">
        <w:rPr>
          <w:rFonts w:eastAsia="Arial"/>
        </w:rPr>
        <w:t xml:space="preserve">fixed </w:t>
      </w:r>
      <w:r w:rsidR="00786F9F">
        <w:rPr>
          <w:rFonts w:eastAsia="Arial"/>
        </w:rPr>
        <w:t>earth stations</w:t>
      </w:r>
      <w:r w:rsidR="009318E1">
        <w:rPr>
          <w:rFonts w:eastAsia="Arial"/>
        </w:rPr>
        <w:t xml:space="preserve"> authorised by a</w:t>
      </w:r>
      <w:r w:rsidR="002F059A">
        <w:rPr>
          <w:rFonts w:eastAsia="Arial"/>
        </w:rPr>
        <w:t>n</w:t>
      </w:r>
      <w:r w:rsidR="009318E1">
        <w:rPr>
          <w:rFonts w:eastAsia="Arial"/>
        </w:rPr>
        <w:t xml:space="preserve"> </w:t>
      </w:r>
      <w:r w:rsidR="009318E1" w:rsidRPr="0061274F">
        <w:rPr>
          <w:rFonts w:eastAsia="Arial"/>
        </w:rPr>
        <w:t>earth</w:t>
      </w:r>
      <w:r w:rsidR="009318E1" w:rsidRPr="002F059A">
        <w:rPr>
          <w:rFonts w:eastAsia="Arial"/>
        </w:rPr>
        <w:t xml:space="preserve"> </w:t>
      </w:r>
      <w:r w:rsidR="009318E1">
        <w:rPr>
          <w:rFonts w:eastAsia="Arial"/>
        </w:rPr>
        <w:t>apparatus licence</w:t>
      </w:r>
      <w:r w:rsidR="00786F9F">
        <w:rPr>
          <w:rFonts w:eastAsia="Arial"/>
        </w:rPr>
        <w:t xml:space="preserve"> in the range </w:t>
      </w:r>
      <w:r w:rsidR="009D23C7">
        <w:rPr>
          <w:rFonts w:eastAsia="Arial"/>
        </w:rPr>
        <w:br/>
      </w:r>
      <w:r w:rsidR="00420BD4">
        <w:rPr>
          <w:rFonts w:eastAsia="Arial"/>
        </w:rPr>
        <w:t>29.5</w:t>
      </w:r>
      <w:r w:rsidR="009D23C7">
        <w:rPr>
          <w:rFonts w:eastAsia="Arial"/>
        </w:rPr>
        <w:t>–</w:t>
      </w:r>
      <w:r w:rsidR="00420BD4">
        <w:rPr>
          <w:rFonts w:eastAsia="Arial"/>
        </w:rPr>
        <w:t>30 GHz</w:t>
      </w:r>
      <w:r w:rsidR="00BB511D" w:rsidRPr="00E953AC">
        <w:rPr>
          <w:rFonts w:eastAsia="Arial"/>
        </w:rPr>
        <w:t>.</w:t>
      </w:r>
    </w:p>
    <w:p w14:paraId="0A7B4103" w14:textId="65A0E654" w:rsidR="00A93957" w:rsidRDefault="00A93957" w:rsidP="001411CD">
      <w:pPr>
        <w:pStyle w:val="Heading2"/>
        <w:rPr>
          <w:rFonts w:eastAsia="Arial"/>
        </w:rPr>
      </w:pPr>
      <w:bookmarkStart w:id="23" w:name="_Toc48723214"/>
      <w:bookmarkStart w:id="24" w:name="_Toc513143739"/>
      <w:bookmarkStart w:id="25" w:name="_Toc514146653"/>
      <w:bookmarkEnd w:id="19"/>
      <w:bookmarkEnd w:id="20"/>
      <w:bookmarkEnd w:id="21"/>
      <w:bookmarkEnd w:id="22"/>
      <w:r>
        <w:rPr>
          <w:rFonts w:eastAsia="Arial"/>
        </w:rPr>
        <w:t>Overview of proposed arrangements</w:t>
      </w:r>
      <w:bookmarkEnd w:id="23"/>
    </w:p>
    <w:p w14:paraId="5152867F" w14:textId="77777777" w:rsidR="00CD0882" w:rsidRDefault="00A93957" w:rsidP="00E15AE5">
      <w:pPr>
        <w:pStyle w:val="Paragraph"/>
        <w:rPr>
          <w:rFonts w:eastAsia="Arial"/>
        </w:rPr>
      </w:pPr>
      <w:r>
        <w:rPr>
          <w:rFonts w:eastAsia="Arial"/>
        </w:rPr>
        <w:t>It is proposed to use AWLs to authorise both wireless broadband and FSS earth stations in the 26/28 GHz band</w:t>
      </w:r>
      <w:r w:rsidR="000610CC">
        <w:rPr>
          <w:rFonts w:eastAsia="Arial"/>
        </w:rPr>
        <w:t>s</w:t>
      </w:r>
      <w:r w:rsidR="00F227FE">
        <w:rPr>
          <w:rFonts w:eastAsia="Arial"/>
        </w:rPr>
        <w:t xml:space="preserve"> (the bands)</w:t>
      </w:r>
      <w:r>
        <w:rPr>
          <w:rFonts w:eastAsia="Arial"/>
        </w:rPr>
        <w:t xml:space="preserve">. </w:t>
      </w:r>
    </w:p>
    <w:p w14:paraId="1A4ACF1E" w14:textId="0274AE62" w:rsidR="00A93957" w:rsidRDefault="00A93957" w:rsidP="0061274F">
      <w:pPr>
        <w:pStyle w:val="Paragraphbeforelist"/>
      </w:pPr>
      <w:r>
        <w:rPr>
          <w:rFonts w:eastAsia="Arial"/>
        </w:rPr>
        <w:t>To give effect to the ACMA’s planning decisions, there will be limitations on the types of developments in certain parts of the</w:t>
      </w:r>
      <w:r w:rsidR="00F227FE">
        <w:rPr>
          <w:rFonts w:eastAsia="Arial"/>
        </w:rPr>
        <w:t>se bands</w:t>
      </w:r>
      <w:r>
        <w:rPr>
          <w:rFonts w:eastAsia="Arial"/>
        </w:rPr>
        <w:t>. In particular:</w:t>
      </w:r>
    </w:p>
    <w:p w14:paraId="42F882AC" w14:textId="69195019" w:rsidR="00A93957" w:rsidRDefault="003742DE">
      <w:pPr>
        <w:pStyle w:val="ListBullet"/>
      </w:pPr>
      <w:r>
        <w:t>w</w:t>
      </w:r>
      <w:r w:rsidR="7D0176B0">
        <w:t>ireless broadband will be limited to the frequency range 24.7</w:t>
      </w:r>
      <w:r w:rsidR="003E1F9E">
        <w:t>–</w:t>
      </w:r>
      <w:r w:rsidR="7D0176B0">
        <w:t>29.5 GHz, with no mobile broadband use permitted above 27.5 GHz</w:t>
      </w:r>
    </w:p>
    <w:p w14:paraId="52B9D2FB" w14:textId="15C8D46C" w:rsidR="00A93957" w:rsidRDefault="7D0176B0" w:rsidP="0061274F">
      <w:pPr>
        <w:pStyle w:val="ListBullet"/>
        <w:rPr>
          <w:rFonts w:eastAsia="Arial"/>
        </w:rPr>
      </w:pPr>
      <w:r w:rsidRPr="2AAE4496">
        <w:rPr>
          <w:rFonts w:eastAsia="Arial"/>
        </w:rPr>
        <w:t xml:space="preserve">FSS earth stations will have priority over wireless broadband in the ranges </w:t>
      </w:r>
      <w:r w:rsidR="003E1F9E">
        <w:rPr>
          <w:rFonts w:eastAsia="Arial"/>
        </w:rPr>
        <w:br/>
      </w:r>
      <w:r w:rsidRPr="2AAE4496">
        <w:rPr>
          <w:rFonts w:eastAsia="Arial"/>
        </w:rPr>
        <w:t>27.5</w:t>
      </w:r>
      <w:r w:rsidR="003E1F9E">
        <w:rPr>
          <w:rFonts w:eastAsia="Arial"/>
        </w:rPr>
        <w:t>–</w:t>
      </w:r>
      <w:r w:rsidRPr="2AAE4496">
        <w:rPr>
          <w:rFonts w:eastAsia="Arial"/>
        </w:rPr>
        <w:t xml:space="preserve">28.1 GHz outside </w:t>
      </w:r>
      <w:r w:rsidR="0045112C">
        <w:rPr>
          <w:rFonts w:eastAsia="Arial"/>
        </w:rPr>
        <w:t xml:space="preserve">specified </w:t>
      </w:r>
      <w:r w:rsidRPr="2AAE4496">
        <w:rPr>
          <w:rFonts w:eastAsia="Arial"/>
        </w:rPr>
        <w:t>areas and in 28.1</w:t>
      </w:r>
      <w:r w:rsidR="003E1F9E">
        <w:rPr>
          <w:rFonts w:eastAsia="Arial"/>
        </w:rPr>
        <w:t>–</w:t>
      </w:r>
      <w:r w:rsidRPr="2AAE4496">
        <w:rPr>
          <w:rFonts w:eastAsia="Arial"/>
        </w:rPr>
        <w:t>29.5 GHz</w:t>
      </w:r>
      <w:r w:rsidR="00FE371C">
        <w:rPr>
          <w:rFonts w:eastAsia="Arial"/>
        </w:rPr>
        <w:t xml:space="preserve"> range</w:t>
      </w:r>
      <w:r w:rsidRPr="2AAE4496">
        <w:rPr>
          <w:rFonts w:eastAsia="Arial"/>
        </w:rPr>
        <w:t xml:space="preserve"> (these frequencies and areas are referred to as ‘sole-primary’).</w:t>
      </w:r>
      <w:r w:rsidR="00425AFE">
        <w:rPr>
          <w:rStyle w:val="FootnoteReference"/>
          <w:rFonts w:eastAsia="Arial"/>
        </w:rPr>
        <w:footnoteReference w:id="14"/>
      </w:r>
    </w:p>
    <w:p w14:paraId="3DDFC080" w14:textId="7B0C0EF4" w:rsidR="00A93957" w:rsidRDefault="7D0176B0" w:rsidP="0061274F">
      <w:pPr>
        <w:pStyle w:val="ListBulletLast"/>
      </w:pPr>
      <w:r w:rsidRPr="2AAE4496">
        <w:rPr>
          <w:rFonts w:eastAsia="Arial"/>
        </w:rPr>
        <w:lastRenderedPageBreak/>
        <w:t>FSS earth stations and wireless broadband services will have equal priority in the ranges 27</w:t>
      </w:r>
      <w:r w:rsidR="000449DF">
        <w:rPr>
          <w:rFonts w:eastAsia="Arial"/>
        </w:rPr>
        <w:t>–</w:t>
      </w:r>
      <w:r w:rsidRPr="2AAE4496">
        <w:rPr>
          <w:rFonts w:eastAsia="Arial"/>
        </w:rPr>
        <w:t xml:space="preserve">27.5 GHz </w:t>
      </w:r>
      <w:r w:rsidR="27CC12B8" w:rsidRPr="2AAE4496">
        <w:rPr>
          <w:rFonts w:eastAsia="Arial"/>
        </w:rPr>
        <w:t xml:space="preserve">(outside defined areas) </w:t>
      </w:r>
      <w:r w:rsidRPr="2AAE4496">
        <w:rPr>
          <w:rFonts w:eastAsia="Arial"/>
        </w:rPr>
        <w:t>and 27.5</w:t>
      </w:r>
      <w:r w:rsidR="000449DF">
        <w:rPr>
          <w:rFonts w:eastAsia="Arial"/>
        </w:rPr>
        <w:t>–</w:t>
      </w:r>
      <w:r w:rsidRPr="2AAE4496">
        <w:rPr>
          <w:rFonts w:eastAsia="Arial"/>
        </w:rPr>
        <w:t xml:space="preserve">28.1 GHz </w:t>
      </w:r>
      <w:r w:rsidR="27CC12B8" w:rsidRPr="2AAE4496">
        <w:rPr>
          <w:rFonts w:eastAsia="Arial"/>
        </w:rPr>
        <w:t>(</w:t>
      </w:r>
      <w:r w:rsidRPr="2AAE4496">
        <w:rPr>
          <w:rFonts w:eastAsia="Arial"/>
        </w:rPr>
        <w:t>inside defined areas</w:t>
      </w:r>
      <w:r w:rsidR="27CC12B8" w:rsidRPr="2AAE4496">
        <w:rPr>
          <w:rFonts w:eastAsia="Arial"/>
        </w:rPr>
        <w:t>)</w:t>
      </w:r>
      <w:r w:rsidR="000449DF">
        <w:rPr>
          <w:rFonts w:eastAsia="Arial"/>
        </w:rPr>
        <w:t>. T</w:t>
      </w:r>
      <w:r w:rsidRPr="2AAE4496">
        <w:rPr>
          <w:rFonts w:eastAsia="Arial"/>
        </w:rPr>
        <w:t>hese frequencies and areas are referred to as ‘co-primary’.</w:t>
      </w:r>
    </w:p>
    <w:p w14:paraId="4BE8B5C2" w14:textId="222AB128" w:rsidR="00A93957" w:rsidRDefault="00A93957" w:rsidP="0061274F">
      <w:pPr>
        <w:pStyle w:val="Paragraph"/>
        <w:rPr>
          <w:rFonts w:eastAsia="Arial"/>
        </w:rPr>
      </w:pPr>
      <w:r w:rsidRPr="007C1DF6">
        <w:rPr>
          <w:rFonts w:eastAsia="Arial"/>
        </w:rPr>
        <w:t xml:space="preserve">Figure </w:t>
      </w:r>
      <w:r w:rsidR="00284399">
        <w:rPr>
          <w:rFonts w:eastAsia="Arial"/>
        </w:rPr>
        <w:t>1</w:t>
      </w:r>
      <w:r w:rsidRPr="00001699">
        <w:rPr>
          <w:rFonts w:eastAsia="Arial"/>
        </w:rPr>
        <w:t xml:space="preserve"> summarises the </w:t>
      </w:r>
      <w:r>
        <w:rPr>
          <w:rFonts w:eastAsia="Arial"/>
        </w:rPr>
        <w:t xml:space="preserve">existing and </w:t>
      </w:r>
      <w:r w:rsidRPr="00001699">
        <w:rPr>
          <w:rFonts w:eastAsia="Arial"/>
        </w:rPr>
        <w:t>planned arrangements across the</w:t>
      </w:r>
      <w:r w:rsidRPr="00E158A0">
        <w:rPr>
          <w:rFonts w:eastAsia="Arial"/>
          <w:u w:color="0000FF"/>
        </w:rPr>
        <w:t xml:space="preserve"> band</w:t>
      </w:r>
      <w:r w:rsidR="007B268E">
        <w:rPr>
          <w:rFonts w:eastAsia="Arial"/>
          <w:u w:color="0000FF"/>
        </w:rPr>
        <w:t>s</w:t>
      </w:r>
      <w:r>
        <w:rPr>
          <w:rFonts w:eastAsia="Arial"/>
          <w:u w:color="0000FF"/>
        </w:rPr>
        <w:t xml:space="preserve"> (noting that some aspects are yet to be implement</w:t>
      </w:r>
      <w:r w:rsidR="00554CE1">
        <w:rPr>
          <w:rFonts w:eastAsia="Arial"/>
          <w:u w:color="0000FF"/>
        </w:rPr>
        <w:t>ed</w:t>
      </w:r>
      <w:r>
        <w:rPr>
          <w:rFonts w:eastAsia="Arial"/>
          <w:u w:color="0000FF"/>
        </w:rPr>
        <w:t xml:space="preserve"> and will be the subject of further public consultation)</w:t>
      </w:r>
      <w:r w:rsidRPr="00001699">
        <w:rPr>
          <w:rFonts w:eastAsia="Arial"/>
        </w:rPr>
        <w:t>.</w:t>
      </w:r>
      <w:r>
        <w:rPr>
          <w:rFonts w:eastAsia="Arial"/>
        </w:rPr>
        <w:t xml:space="preserve"> </w:t>
      </w:r>
    </w:p>
    <w:p w14:paraId="3991A35A" w14:textId="00D20D69" w:rsidR="00A93957" w:rsidRPr="007A7F6B" w:rsidRDefault="79581733">
      <w:pPr>
        <w:pStyle w:val="ACMAFigureHeader"/>
      </w:pPr>
      <w:r>
        <w:t>Over</w:t>
      </w:r>
      <w:r w:rsidR="519B0AD2">
        <w:t xml:space="preserve">view of </w:t>
      </w:r>
      <w:r w:rsidR="145474B8">
        <w:t>planning</w:t>
      </w:r>
      <w:r w:rsidR="72A77F9A">
        <w:t xml:space="preserve"> </w:t>
      </w:r>
      <w:r w:rsidR="7D0176B0">
        <w:t xml:space="preserve">arrangements in </w:t>
      </w:r>
      <w:r w:rsidR="72A77F9A">
        <w:t xml:space="preserve">the </w:t>
      </w:r>
      <w:r w:rsidR="7D0176B0">
        <w:t>26</w:t>
      </w:r>
      <w:r w:rsidR="4A22B875">
        <w:t>/</w:t>
      </w:r>
      <w:r w:rsidR="7D0176B0">
        <w:t>28 GHz band</w:t>
      </w:r>
      <w:r w:rsidR="4A22B875">
        <w:t>s</w:t>
      </w:r>
      <w:r w:rsidR="7D0176B0">
        <w:t xml:space="preserve"> </w:t>
      </w:r>
    </w:p>
    <w:p w14:paraId="7A3FB38A" w14:textId="77777777" w:rsidR="005337AB" w:rsidRDefault="005337AB" w:rsidP="00A424DD">
      <w:r w:rsidRPr="003A4039">
        <w:rPr>
          <w:noProof/>
        </w:rPr>
        <w:drawing>
          <wp:inline distT="0" distB="0" distL="0" distR="0" wp14:anchorId="1F561E41" wp14:editId="3ADD8AC6">
            <wp:extent cx="4871085" cy="1012190"/>
            <wp:effectExtent l="0" t="0" r="5715" b="0"/>
            <wp:docPr id="8" name="Picture 8" descr="Figure 1: Overview of planning arrangements in the 26/28 GHz ban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871085" cy="1012190"/>
                    </a:xfrm>
                    <a:prstGeom prst="rect">
                      <a:avLst/>
                    </a:prstGeom>
                    <a:noFill/>
                    <a:ln>
                      <a:noFill/>
                    </a:ln>
                  </pic:spPr>
                </pic:pic>
              </a:graphicData>
            </a:graphic>
          </wp:inline>
        </w:drawing>
      </w:r>
    </w:p>
    <w:p w14:paraId="5C30BA9D" w14:textId="621A384C" w:rsidR="002F51DB" w:rsidRPr="00834C78" w:rsidRDefault="0024068D" w:rsidP="007B4E5F">
      <w:pPr>
        <w:pStyle w:val="Tableorfigurenotemultiple"/>
      </w:pPr>
      <w:r w:rsidRPr="00834C78">
        <w:t>C1/C2</w:t>
      </w:r>
      <w:r w:rsidR="000449DF">
        <w:t>:</w:t>
      </w:r>
      <w:r w:rsidRPr="00834C78">
        <w:t xml:space="preserve"> Class licensing</w:t>
      </w:r>
      <w:r w:rsidR="007A6F60" w:rsidRPr="00834C78">
        <w:t xml:space="preserve"> a</w:t>
      </w:r>
      <w:r w:rsidR="00F76062" w:rsidRPr="00834C78">
        <w:t>rrangements for wireless broadband services (</w:t>
      </w:r>
      <w:r w:rsidR="00A5064B" w:rsidRPr="00834C78">
        <w:t>su</w:t>
      </w:r>
      <w:r w:rsidR="002F51DB" w:rsidRPr="00834C78">
        <w:t xml:space="preserve">bject of </w:t>
      </w:r>
      <w:r w:rsidR="001B4DEC" w:rsidRPr="00834C78">
        <w:t xml:space="preserve">a </w:t>
      </w:r>
      <w:r w:rsidR="00DE5AC1" w:rsidRPr="00834C78">
        <w:t xml:space="preserve">separate </w:t>
      </w:r>
      <w:r w:rsidR="002F51DB" w:rsidRPr="00834C78">
        <w:t>consultation</w:t>
      </w:r>
      <w:r w:rsidR="00DE5AC1" w:rsidRPr="00834C78">
        <w:t xml:space="preserve"> process)</w:t>
      </w:r>
    </w:p>
    <w:p w14:paraId="7822322F" w14:textId="1A1ECFB2" w:rsidR="0024068D" w:rsidRPr="00834C78" w:rsidRDefault="002F51DB" w:rsidP="007B4E5F">
      <w:pPr>
        <w:pStyle w:val="Tableorfigurenotemultiple"/>
      </w:pPr>
      <w:r w:rsidRPr="00834C78">
        <w:t>S1</w:t>
      </w:r>
      <w:r w:rsidR="00DE5AC1" w:rsidRPr="00834C78">
        <w:t>/S2</w:t>
      </w:r>
      <w:r w:rsidR="000449DF">
        <w:t>:</w:t>
      </w:r>
      <w:r w:rsidR="00DE5AC1" w:rsidRPr="00834C78">
        <w:t xml:space="preserve"> Spectrum licensing (subject </w:t>
      </w:r>
      <w:r w:rsidR="00CA766D" w:rsidRPr="00834C78">
        <w:t>to auction</w:t>
      </w:r>
      <w:r w:rsidR="00DE5AC1" w:rsidRPr="00834C78">
        <w:t>)</w:t>
      </w:r>
    </w:p>
    <w:p w14:paraId="78D7A778" w14:textId="2B1296BD" w:rsidR="005337AB" w:rsidRPr="00834C78" w:rsidRDefault="005337AB" w:rsidP="007B4E5F">
      <w:pPr>
        <w:pStyle w:val="Tableorfigurenotemultiple"/>
      </w:pPr>
      <w:r w:rsidRPr="00834C78">
        <w:t>A1</w:t>
      </w:r>
      <w:r w:rsidR="000449DF">
        <w:t>:</w:t>
      </w:r>
      <w:r w:rsidRPr="00834C78">
        <w:t xml:space="preserve"> Apparatus licensing (Australia-wide) Restrictions on the number of base stations to manage interference by preventing wide and dense deployments.</w:t>
      </w:r>
    </w:p>
    <w:p w14:paraId="0440ADFE" w14:textId="18A690D1" w:rsidR="005337AB" w:rsidRPr="00834C78" w:rsidRDefault="005337AB" w:rsidP="007B4E5F">
      <w:pPr>
        <w:pStyle w:val="Tableorfigurenotemultiple"/>
      </w:pPr>
      <w:r w:rsidRPr="00834C78">
        <w:t>A2</w:t>
      </w:r>
      <w:r w:rsidR="000449DF">
        <w:t>:</w:t>
      </w:r>
      <w:r w:rsidRPr="00834C78">
        <w:t xml:space="preserve"> Apparatus licensing (outside </w:t>
      </w:r>
      <w:r w:rsidR="00FF6E5A">
        <w:t>specified</w:t>
      </w:r>
      <w:r w:rsidRPr="00834C78">
        <w:t xml:space="preserve"> areas)</w:t>
      </w:r>
      <w:r w:rsidR="000449DF">
        <w:t>.</w:t>
      </w:r>
      <w:r w:rsidR="00130F04">
        <w:rPr>
          <w:rStyle w:val="FootnoteReference"/>
        </w:rPr>
        <w:footnoteReference w:id="15"/>
      </w:r>
      <w:r w:rsidRPr="00834C78">
        <w:t xml:space="preserve"> Includes additional conditions to protect space research service earth </w:t>
      </w:r>
      <w:r w:rsidR="00AD08CD" w:rsidRPr="00834C78">
        <w:t xml:space="preserve">receive </w:t>
      </w:r>
      <w:r w:rsidRPr="00834C78">
        <w:t>stations.</w:t>
      </w:r>
    </w:p>
    <w:p w14:paraId="405FA571" w14:textId="071B82E5" w:rsidR="005337AB" w:rsidRPr="00834C78" w:rsidRDefault="005337AB" w:rsidP="007B4E5F">
      <w:pPr>
        <w:pStyle w:val="Tableorfigurenotemultiple"/>
      </w:pPr>
      <w:r w:rsidRPr="00834C78">
        <w:t>A3</w:t>
      </w:r>
      <w:r w:rsidR="000449DF">
        <w:t>:</w:t>
      </w:r>
      <w:r w:rsidRPr="00834C78">
        <w:t xml:space="preserve"> Apparatus Licensing (</w:t>
      </w:r>
      <w:r w:rsidR="003C598D" w:rsidRPr="006F232B">
        <w:t xml:space="preserve">outside </w:t>
      </w:r>
      <w:r w:rsidR="000F0FC3">
        <w:t xml:space="preserve">specified </w:t>
      </w:r>
      <w:r w:rsidR="003C598D">
        <w:t>areas</w:t>
      </w:r>
      <w:r w:rsidRPr="00834C78">
        <w:t xml:space="preserve">). Additional conditions to protect </w:t>
      </w:r>
      <w:r w:rsidR="00963468" w:rsidRPr="00834C78">
        <w:t xml:space="preserve">domestic </w:t>
      </w:r>
      <w:r w:rsidRPr="00834C78">
        <w:t xml:space="preserve">FSS uplinks. </w:t>
      </w:r>
    </w:p>
    <w:p w14:paraId="305AB46C" w14:textId="084B82E3" w:rsidR="005337AB" w:rsidRPr="00B50042" w:rsidRDefault="005337AB" w:rsidP="007B4E5F">
      <w:pPr>
        <w:pStyle w:val="Tableorfigurenotemultiple"/>
      </w:pPr>
      <w:r w:rsidRPr="00834C78">
        <w:t>A4</w:t>
      </w:r>
      <w:r w:rsidR="000449DF">
        <w:t>:</w:t>
      </w:r>
      <w:r w:rsidRPr="00834C78">
        <w:t xml:space="preserve"> (</w:t>
      </w:r>
      <w:r w:rsidR="00420D14">
        <w:t xml:space="preserve">inside </w:t>
      </w:r>
      <w:r w:rsidR="00A53047">
        <w:t>specified</w:t>
      </w:r>
      <w:r w:rsidRPr="00834C78">
        <w:t xml:space="preserve"> areas). Restricted to FWA/FSS on a primary access basis and ubiquitous FSS on a secondary access basis</w:t>
      </w:r>
      <w:r w:rsidR="00CA6178" w:rsidRPr="00834C78">
        <w:t>.</w:t>
      </w:r>
      <w:r w:rsidR="00F3369C">
        <w:rPr>
          <w:rStyle w:val="FootnoteReference"/>
        </w:rPr>
        <w:footnoteReference w:id="16"/>
      </w:r>
      <w:r w:rsidR="00F3369C">
        <w:t xml:space="preserve"> </w:t>
      </w:r>
      <w:r w:rsidR="00CA6178" w:rsidRPr="00B50042">
        <w:t>Additional conditions to protect domestic FSS uplinks.</w:t>
      </w:r>
    </w:p>
    <w:p w14:paraId="22C85AF1" w14:textId="2CBE6365" w:rsidR="005337AB" w:rsidRPr="00B50042" w:rsidRDefault="005337AB" w:rsidP="007B4E5F">
      <w:pPr>
        <w:pStyle w:val="Tableorfigurenotemultiple"/>
      </w:pPr>
      <w:r w:rsidRPr="00B50042">
        <w:t>A5</w:t>
      </w:r>
      <w:r w:rsidR="000449DF">
        <w:t>:</w:t>
      </w:r>
      <w:r w:rsidRPr="00B50042">
        <w:t xml:space="preserve"> (outside </w:t>
      </w:r>
      <w:r w:rsidR="00A53047">
        <w:t>specified</w:t>
      </w:r>
      <w:r w:rsidRPr="00B50042">
        <w:t xml:space="preserve"> areas). Restricted to fixed wireless on a secondary basis</w:t>
      </w:r>
      <w:r w:rsidR="00D51A07" w:rsidRPr="00B50042">
        <w:t xml:space="preserve"> with regards to </w:t>
      </w:r>
      <w:r w:rsidRPr="00B50042">
        <w:t>primary fixed satellite users</w:t>
      </w:r>
      <w:r w:rsidR="00D51A07" w:rsidRPr="00B50042">
        <w:t xml:space="preserve"> (fixed gateway and ubiquitous earth stations).</w:t>
      </w:r>
      <w:r w:rsidR="00CA6178" w:rsidRPr="00B50042">
        <w:t xml:space="preserve"> Additional conditions to protect domestic FSS uplinks.</w:t>
      </w:r>
    </w:p>
    <w:p w14:paraId="656E226F" w14:textId="1EB34521" w:rsidR="00A93957" w:rsidRPr="00471AF0" w:rsidRDefault="005337AB" w:rsidP="007B4E5F">
      <w:pPr>
        <w:pStyle w:val="Tableorfigurenotemultiple"/>
        <w:spacing w:after="240"/>
      </w:pPr>
      <w:r w:rsidRPr="00B50042">
        <w:t>A6</w:t>
      </w:r>
      <w:r w:rsidR="000449DF">
        <w:t>:</w:t>
      </w:r>
      <w:r w:rsidRPr="00B50042">
        <w:t xml:space="preserve"> (Australia-wide). Restricted to fixed wireless on a secondary basis</w:t>
      </w:r>
      <w:r w:rsidR="00604A5B" w:rsidRPr="00B50042">
        <w:t xml:space="preserve"> with regards to</w:t>
      </w:r>
      <w:r w:rsidRPr="00B50042">
        <w:t xml:space="preserve"> primary </w:t>
      </w:r>
      <w:r w:rsidR="009B374F" w:rsidRPr="00B50042">
        <w:t>FSS</w:t>
      </w:r>
      <w:r w:rsidRPr="00B50042">
        <w:t xml:space="preserve"> users</w:t>
      </w:r>
      <w:r w:rsidR="00604A5B" w:rsidRPr="00B50042">
        <w:t xml:space="preserve"> (fixed gateway and ubiquitous earth stations). </w:t>
      </w:r>
      <w:r w:rsidR="00B71799" w:rsidRPr="00B50042">
        <w:t>Additional conditions to protect domestic FSS uplinks.</w:t>
      </w:r>
    </w:p>
    <w:p w14:paraId="32520652" w14:textId="77777777" w:rsidR="00A93957" w:rsidRPr="00471AF0" w:rsidRDefault="00A93957" w:rsidP="003D1E3A">
      <w:pPr>
        <w:pStyle w:val="Heading3"/>
        <w:rPr>
          <w:rFonts w:eastAsia="Arial"/>
        </w:rPr>
      </w:pPr>
      <w:bookmarkStart w:id="26" w:name="_Key_aspects"/>
      <w:bookmarkStart w:id="27" w:name="_Ref46918901"/>
      <w:bookmarkEnd w:id="26"/>
      <w:r>
        <w:rPr>
          <w:rFonts w:eastAsia="Arial"/>
        </w:rPr>
        <w:t xml:space="preserve">Key </w:t>
      </w:r>
      <w:r w:rsidRPr="003D1E3A">
        <w:rPr>
          <w:rFonts w:eastAsia="Arial"/>
        </w:rPr>
        <w:t>aspects</w:t>
      </w:r>
      <w:bookmarkEnd w:id="27"/>
    </w:p>
    <w:p w14:paraId="0FC933BC" w14:textId="36741D17" w:rsidR="00A93957" w:rsidRPr="001411CD" w:rsidRDefault="003C562D">
      <w:pPr>
        <w:pStyle w:val="Paragraph"/>
      </w:pPr>
      <w:r>
        <w:rPr>
          <w:rFonts w:eastAsia="Arial"/>
        </w:rPr>
        <w:t>T</w:t>
      </w:r>
      <w:r w:rsidR="00A93957">
        <w:rPr>
          <w:rFonts w:eastAsia="Arial"/>
        </w:rPr>
        <w:t>he details of any transmitter operated under a 26</w:t>
      </w:r>
      <w:r w:rsidR="00F96038">
        <w:rPr>
          <w:rFonts w:eastAsia="Arial"/>
        </w:rPr>
        <w:t xml:space="preserve"> GHz</w:t>
      </w:r>
      <w:r w:rsidR="00791D18">
        <w:rPr>
          <w:rFonts w:eastAsia="Arial"/>
        </w:rPr>
        <w:t xml:space="preserve"> or</w:t>
      </w:r>
      <w:r w:rsidR="00F96038" w:rsidRPr="00E13578">
        <w:rPr>
          <w:rFonts w:eastAsia="Arial"/>
        </w:rPr>
        <w:t xml:space="preserve"> </w:t>
      </w:r>
      <w:r w:rsidR="00A93957" w:rsidRPr="00E13578">
        <w:rPr>
          <w:rFonts w:eastAsia="Arial"/>
        </w:rPr>
        <w:t xml:space="preserve">28 GHz AWL will need to be included in the Register of Radiocommunications </w:t>
      </w:r>
      <w:r w:rsidR="00A93957" w:rsidRPr="001411CD">
        <w:rPr>
          <w:rFonts w:eastAsia="Arial"/>
        </w:rPr>
        <w:t>Licen</w:t>
      </w:r>
      <w:r w:rsidR="00BA44F3" w:rsidRPr="001411CD">
        <w:rPr>
          <w:rFonts w:eastAsia="Arial"/>
        </w:rPr>
        <w:t>ce</w:t>
      </w:r>
      <w:r w:rsidR="00A2484E" w:rsidRPr="001411CD">
        <w:rPr>
          <w:rFonts w:eastAsia="Arial"/>
        </w:rPr>
        <w:t>s</w:t>
      </w:r>
      <w:r w:rsidR="00A93957" w:rsidRPr="001411CD">
        <w:rPr>
          <w:rFonts w:eastAsia="Arial"/>
        </w:rPr>
        <w:t xml:space="preserve"> (the RRL) before the transmitter can be operated, unless the transmitter is specifically exempt. </w:t>
      </w:r>
    </w:p>
    <w:p w14:paraId="34D272C3" w14:textId="3444BEBC" w:rsidR="00A93957" w:rsidRDefault="005F41FB">
      <w:pPr>
        <w:pStyle w:val="Paragraph"/>
      </w:pPr>
      <w:r>
        <w:rPr>
          <w:rFonts w:eastAsia="Arial"/>
        </w:rPr>
        <w:t>T</w:t>
      </w:r>
      <w:r w:rsidR="7D0176B0" w:rsidRPr="001411CD">
        <w:rPr>
          <w:rFonts w:eastAsia="Arial"/>
        </w:rPr>
        <w:t xml:space="preserve">he updated AWL LCD will detail </w:t>
      </w:r>
      <w:r w:rsidR="008B293E">
        <w:rPr>
          <w:rFonts w:eastAsia="Arial"/>
        </w:rPr>
        <w:t xml:space="preserve">the </w:t>
      </w:r>
      <w:r w:rsidR="7D0176B0" w:rsidRPr="001411CD">
        <w:rPr>
          <w:rFonts w:eastAsia="Arial"/>
        </w:rPr>
        <w:t xml:space="preserve">types of transmitters </w:t>
      </w:r>
      <w:r w:rsidR="00EB0F98" w:rsidRPr="001411CD">
        <w:rPr>
          <w:rFonts w:eastAsia="Arial"/>
        </w:rPr>
        <w:t xml:space="preserve">that </w:t>
      </w:r>
      <w:r w:rsidR="7D0176B0" w:rsidRPr="001411CD">
        <w:rPr>
          <w:rFonts w:eastAsia="Arial"/>
        </w:rPr>
        <w:t xml:space="preserve">are exempt from </w:t>
      </w:r>
      <w:r w:rsidR="00320D19">
        <w:rPr>
          <w:rFonts w:eastAsia="Arial"/>
        </w:rPr>
        <w:t xml:space="preserve">the registration </w:t>
      </w:r>
      <w:r w:rsidR="7D0176B0" w:rsidRPr="001411CD">
        <w:rPr>
          <w:rFonts w:eastAsia="Arial"/>
        </w:rPr>
        <w:t xml:space="preserve">requirement (see the </w:t>
      </w:r>
      <w:r w:rsidR="00A93957" w:rsidRPr="00E47755">
        <w:fldChar w:fldCharType="begin"/>
      </w:r>
      <w:r w:rsidR="00A93957" w:rsidRPr="00E47755">
        <w:instrText xml:space="preserve"> REF _Ref45711030 \h  \* MERGEFORMAT </w:instrText>
      </w:r>
      <w:r w:rsidR="00A93957" w:rsidRPr="00E47755">
        <w:fldChar w:fldCharType="separate"/>
      </w:r>
      <w:r w:rsidR="7D0176B0" w:rsidRPr="00E47755">
        <w:t>AWL licence conditions</w:t>
      </w:r>
      <w:r w:rsidR="00A93957" w:rsidRPr="00E47755">
        <w:fldChar w:fldCharType="end"/>
      </w:r>
      <w:r w:rsidR="7D0176B0">
        <w:t xml:space="preserve"> section). Any requirements (e.g. device coordination) which need</w:t>
      </w:r>
      <w:r w:rsidR="7D0176B0" w:rsidRPr="00E13578">
        <w:t xml:space="preserve"> to be met before a device can be included in the RRL is proposed to be contained in RALI</w:t>
      </w:r>
      <w:r w:rsidR="009A2F94">
        <w:t xml:space="preserve"> </w:t>
      </w:r>
      <w:r w:rsidR="7D0176B0" w:rsidRPr="00E13578">
        <w:t>[new]</w:t>
      </w:r>
      <w:r w:rsidR="009C0BE5">
        <w:t>—</w:t>
      </w:r>
      <w:r w:rsidR="7D0176B0" w:rsidRPr="00E13578">
        <w:t>see the</w:t>
      </w:r>
      <w:r w:rsidR="009C0BE5">
        <w:t xml:space="preserve"> </w:t>
      </w:r>
      <w:hyperlink w:anchor="_Device_registration_and" w:history="1">
        <w:r w:rsidR="009C0BE5" w:rsidRPr="009C0BE5">
          <w:rPr>
            <w:rStyle w:val="Hyperlink"/>
          </w:rPr>
          <w:t>Licensing and device registration instructions</w:t>
        </w:r>
      </w:hyperlink>
      <w:r w:rsidR="009C0BE5">
        <w:t xml:space="preserve"> section</w:t>
      </w:r>
      <w:r w:rsidR="7D0176B0">
        <w:rPr>
          <w:rFonts w:eastAsia="Arial"/>
        </w:rPr>
        <w:t>.</w:t>
      </w:r>
    </w:p>
    <w:p w14:paraId="0A29005F" w14:textId="3D2FF8C1" w:rsidR="005A4009" w:rsidRPr="001411CD" w:rsidRDefault="009C4447" w:rsidP="00A424DD">
      <w:pPr>
        <w:pStyle w:val="Paragraph"/>
        <w:keepNext/>
        <w:keepLines/>
      </w:pPr>
      <w:r>
        <w:lastRenderedPageBreak/>
        <w:t>It is proposed that</w:t>
      </w:r>
      <w:r w:rsidR="006C582B">
        <w:t>,</w:t>
      </w:r>
      <w:r>
        <w:t xml:space="preserve"> </w:t>
      </w:r>
      <w:r w:rsidR="006C582B">
        <w:t xml:space="preserve">in general, </w:t>
      </w:r>
      <w:r w:rsidR="00247B13" w:rsidRPr="00E13578">
        <w:t>a</w:t>
      </w:r>
      <w:r w:rsidR="00622B1A" w:rsidRPr="00E13578">
        <w:t>n</w:t>
      </w:r>
      <w:r w:rsidR="00247B13" w:rsidRPr="00E13578">
        <w:t xml:space="preserve"> </w:t>
      </w:r>
      <w:r w:rsidR="006C582B" w:rsidRPr="001411CD">
        <w:t>AWL will not be issued</w:t>
      </w:r>
      <w:r w:rsidRPr="001411CD">
        <w:t xml:space="preserve"> </w:t>
      </w:r>
      <w:r w:rsidR="00247B13" w:rsidRPr="001411CD">
        <w:t>if it would overlap</w:t>
      </w:r>
      <w:r w:rsidR="00DA1729" w:rsidRPr="001411CD">
        <w:t xml:space="preserve"> with an existing AWL</w:t>
      </w:r>
      <w:r w:rsidR="00247B13" w:rsidRPr="001411CD">
        <w:t xml:space="preserve"> in both frequency and area</w:t>
      </w:r>
      <w:r w:rsidR="00DA1729" w:rsidRPr="001411CD">
        <w:t>.</w:t>
      </w:r>
      <w:r w:rsidR="00247B13" w:rsidRPr="001411CD">
        <w:t xml:space="preserve"> This arrangement will provide </w:t>
      </w:r>
      <w:r w:rsidR="001E76F0" w:rsidRPr="001411CD">
        <w:t xml:space="preserve">a </w:t>
      </w:r>
      <w:r w:rsidR="002E114B" w:rsidRPr="001411CD">
        <w:t>degree</w:t>
      </w:r>
      <w:r w:rsidR="001E76F0" w:rsidRPr="001411CD">
        <w:t xml:space="preserve"> of exclusive </w:t>
      </w:r>
      <w:r w:rsidR="002E114B" w:rsidRPr="001411CD">
        <w:t xml:space="preserve">spectrum </w:t>
      </w:r>
      <w:r w:rsidR="001E76F0" w:rsidRPr="001411CD">
        <w:t>a</w:t>
      </w:r>
      <w:r w:rsidR="00BD7120" w:rsidRPr="001411CD">
        <w:t>cc</w:t>
      </w:r>
      <w:r w:rsidR="001E76F0" w:rsidRPr="001411CD">
        <w:t>ess t</w:t>
      </w:r>
      <w:r w:rsidR="00EE1672" w:rsidRPr="001411CD">
        <w:t xml:space="preserve">o a single licensee which </w:t>
      </w:r>
      <w:r w:rsidR="008366CA" w:rsidRPr="001411CD">
        <w:t xml:space="preserve">will minimise the need for direct </w:t>
      </w:r>
      <w:r w:rsidR="00A03EEB" w:rsidRPr="001411CD">
        <w:t>device</w:t>
      </w:r>
      <w:r w:rsidR="00973D0E" w:rsidRPr="001411CD">
        <w:t>-</w:t>
      </w:r>
      <w:r w:rsidR="00A03EEB" w:rsidRPr="001411CD">
        <w:t>to</w:t>
      </w:r>
      <w:r w:rsidR="00973D0E" w:rsidRPr="001411CD">
        <w:t>-</w:t>
      </w:r>
      <w:r w:rsidR="00A03EEB" w:rsidRPr="001411CD">
        <w:t>device coordination</w:t>
      </w:r>
      <w:r w:rsidR="00EE1672" w:rsidRPr="001411CD">
        <w:t xml:space="preserve">. </w:t>
      </w:r>
    </w:p>
    <w:p w14:paraId="3D61E43C" w14:textId="668B3DA9" w:rsidR="00FC004A" w:rsidRPr="001411CD" w:rsidRDefault="00EE1672">
      <w:pPr>
        <w:pStyle w:val="Paragraph"/>
      </w:pPr>
      <w:r w:rsidRPr="001411CD">
        <w:t>However,</w:t>
      </w:r>
      <w:r w:rsidR="003C7C4D" w:rsidRPr="001411CD">
        <w:t xml:space="preserve"> this arrangement could act to restrict spectrum acces</w:t>
      </w:r>
      <w:r w:rsidR="00AB5AE3" w:rsidRPr="001411CD">
        <w:t>s</w:t>
      </w:r>
      <w:r w:rsidR="000040A3" w:rsidRPr="001411CD">
        <w:t xml:space="preserve"> in some circumstances</w:t>
      </w:r>
      <w:r w:rsidR="00781A72" w:rsidRPr="001411CD">
        <w:t>. For example</w:t>
      </w:r>
      <w:r w:rsidR="00AB5AE3" w:rsidRPr="001411CD">
        <w:t xml:space="preserve">, </w:t>
      </w:r>
      <w:r w:rsidR="0039478F" w:rsidRPr="001411CD">
        <w:t xml:space="preserve">two earth stations </w:t>
      </w:r>
      <w:r w:rsidR="001D6686" w:rsidRPr="001411CD">
        <w:t xml:space="preserve">can </w:t>
      </w:r>
      <w:r w:rsidR="00C626D6" w:rsidRPr="001411CD">
        <w:t xml:space="preserve">be </w:t>
      </w:r>
      <w:r w:rsidR="001D6686" w:rsidRPr="001411CD">
        <w:t>operate</w:t>
      </w:r>
      <w:r w:rsidR="00C626D6" w:rsidRPr="001411CD">
        <w:t>d</w:t>
      </w:r>
      <w:r w:rsidR="001D6686" w:rsidRPr="001411CD">
        <w:t xml:space="preserve"> in the same frequenc</w:t>
      </w:r>
      <w:r w:rsidR="00C626D6" w:rsidRPr="001411CD">
        <w:t>y</w:t>
      </w:r>
      <w:r w:rsidR="001D6686" w:rsidRPr="001411CD">
        <w:t xml:space="preserve"> and area without causing interference </w:t>
      </w:r>
      <w:r w:rsidR="00FC004A" w:rsidRPr="001411CD">
        <w:t>between the two satellite networks</w:t>
      </w:r>
      <w:r w:rsidR="000C284E" w:rsidRPr="001411CD">
        <w:t xml:space="preserve"> (assuming international </w:t>
      </w:r>
      <w:r w:rsidR="005A4009" w:rsidRPr="001411CD">
        <w:t>satellite</w:t>
      </w:r>
      <w:r w:rsidR="000C284E" w:rsidRPr="001411CD">
        <w:t xml:space="preserve"> coordination </w:t>
      </w:r>
      <w:r w:rsidR="00FB67F2" w:rsidRPr="001411CD">
        <w:t>has, or is being</w:t>
      </w:r>
      <w:r w:rsidR="002C7BAE" w:rsidRPr="001411CD">
        <w:t>,</w:t>
      </w:r>
      <w:r w:rsidR="00FB67F2" w:rsidRPr="001411CD">
        <w:t xml:space="preserve"> completed). </w:t>
      </w:r>
      <w:r w:rsidR="00FC004A" w:rsidRPr="001411CD">
        <w:t xml:space="preserve">Similarly, FWA networks might be able to operate with stations </w:t>
      </w:r>
      <w:r w:rsidR="000D0BB4">
        <w:t>in close</w:t>
      </w:r>
      <w:r w:rsidR="00FC004A" w:rsidRPr="001411CD">
        <w:t xml:space="preserve"> proximity to </w:t>
      </w:r>
      <w:r w:rsidR="004E313A">
        <w:t xml:space="preserve">co-frequency </w:t>
      </w:r>
      <w:r w:rsidR="00FC004A" w:rsidRPr="001411CD">
        <w:t>transmitting earth stations, if they are sited/planned in such a way that avoids interference from the earth station.</w:t>
      </w:r>
    </w:p>
    <w:p w14:paraId="434A736B" w14:textId="387268D6" w:rsidR="00747FB1" w:rsidRPr="001411CD" w:rsidRDefault="00E16774" w:rsidP="001C01FD">
      <w:pPr>
        <w:pStyle w:val="Paragraphbeforelist"/>
      </w:pPr>
      <w:r w:rsidRPr="001411CD">
        <w:t xml:space="preserve">To </w:t>
      </w:r>
      <w:r w:rsidR="00FC004A" w:rsidRPr="001411CD">
        <w:t>avoid such</w:t>
      </w:r>
      <w:r w:rsidR="0079251E" w:rsidRPr="001411CD">
        <w:t xml:space="preserve"> </w:t>
      </w:r>
      <w:r w:rsidR="007F7B2E" w:rsidRPr="001411CD">
        <w:t>restriction</w:t>
      </w:r>
      <w:r w:rsidR="007F2876" w:rsidRPr="001411CD">
        <w:t>s</w:t>
      </w:r>
      <w:r w:rsidR="007F7B2E" w:rsidRPr="001411CD">
        <w:t>,</w:t>
      </w:r>
      <w:r w:rsidR="002366CC" w:rsidRPr="001411CD">
        <w:t xml:space="preserve"> i</w:t>
      </w:r>
      <w:r w:rsidR="008F7437" w:rsidRPr="001411CD">
        <w:t>t is proposed that</w:t>
      </w:r>
      <w:r w:rsidR="002A795F" w:rsidRPr="001411CD">
        <w:t xml:space="preserve"> the ACMA </w:t>
      </w:r>
      <w:r w:rsidR="00D227D7" w:rsidRPr="001411CD">
        <w:t>may</w:t>
      </w:r>
      <w:r w:rsidR="002A795F" w:rsidRPr="001411CD">
        <w:t xml:space="preserve"> issue</w:t>
      </w:r>
      <w:r w:rsidR="0028040A" w:rsidRPr="001411CD">
        <w:t xml:space="preserve"> </w:t>
      </w:r>
      <w:r w:rsidR="00C62DDD" w:rsidRPr="001411CD">
        <w:t xml:space="preserve">a new AWL </w:t>
      </w:r>
      <w:r w:rsidR="00685925" w:rsidRPr="001411CD">
        <w:t>th</w:t>
      </w:r>
      <w:r w:rsidR="004F152D" w:rsidRPr="001411CD">
        <w:t>at</w:t>
      </w:r>
      <w:r w:rsidR="00685925" w:rsidRPr="001411CD">
        <w:t xml:space="preserve"> </w:t>
      </w:r>
      <w:r w:rsidR="00AE09EB" w:rsidRPr="001411CD">
        <w:t>overlaps</w:t>
      </w:r>
      <w:r w:rsidR="00DA1729" w:rsidRPr="001411CD">
        <w:t xml:space="preserve"> with an existing AWL</w:t>
      </w:r>
      <w:r w:rsidR="009C0BE5">
        <w:t xml:space="preserve"> or AWL</w:t>
      </w:r>
      <w:r w:rsidR="00DA1729" w:rsidRPr="001411CD">
        <w:t>s</w:t>
      </w:r>
      <w:r w:rsidR="004F152D" w:rsidRPr="001411CD">
        <w:t>,</w:t>
      </w:r>
      <w:r w:rsidR="00AE09EB" w:rsidRPr="001411CD">
        <w:t xml:space="preserve"> </w:t>
      </w:r>
      <w:r w:rsidR="00187708" w:rsidRPr="001411CD">
        <w:t>in both frequency and area</w:t>
      </w:r>
      <w:r w:rsidR="004F152D" w:rsidRPr="001411CD">
        <w:t>,</w:t>
      </w:r>
      <w:r w:rsidR="00187708" w:rsidRPr="001411CD">
        <w:t xml:space="preserve"> </w:t>
      </w:r>
      <w:r w:rsidR="0091626A">
        <w:t xml:space="preserve">in </w:t>
      </w:r>
      <w:r w:rsidR="00FF0DDC" w:rsidRPr="001411CD">
        <w:t xml:space="preserve">the following </w:t>
      </w:r>
      <w:r w:rsidR="00F947A8" w:rsidRPr="001411CD">
        <w:t xml:space="preserve">two </w:t>
      </w:r>
      <w:r w:rsidR="00FF0DDC" w:rsidRPr="001411CD">
        <w:t>scenarios</w:t>
      </w:r>
      <w:r w:rsidR="00747FB1" w:rsidRPr="001411CD">
        <w:t>:</w:t>
      </w:r>
    </w:p>
    <w:p w14:paraId="79A9FBE0" w14:textId="182CADE4" w:rsidR="00FF0DDC" w:rsidRDefault="002D6334">
      <w:pPr>
        <w:pStyle w:val="ListBullet"/>
      </w:pPr>
      <w:r>
        <w:t>w</w:t>
      </w:r>
      <w:r w:rsidR="00FF0DDC">
        <w:t>hen the proposed licence includes a condition (denoted the ‘FSS-only’ condition)</w:t>
      </w:r>
      <w:r w:rsidR="009C0BE5">
        <w:t> </w:t>
      </w:r>
      <w:r w:rsidR="00FF0DDC">
        <w:t>that:</w:t>
      </w:r>
    </w:p>
    <w:p w14:paraId="02DE44E7" w14:textId="723F18DE" w:rsidR="00BD7120" w:rsidRDefault="467077E9" w:rsidP="00E47755">
      <w:pPr>
        <w:pStyle w:val="ListBullet2"/>
      </w:pPr>
      <w:r>
        <w:t>p</w:t>
      </w:r>
      <w:r w:rsidR="1C57EFCA">
        <w:t xml:space="preserve">ermits the operation of </w:t>
      </w:r>
      <w:r w:rsidR="0409E411">
        <w:t>only earth stations</w:t>
      </w:r>
    </w:p>
    <w:p w14:paraId="508D31D6" w14:textId="0517B6A2" w:rsidR="0095775D" w:rsidRDefault="00B72BC5" w:rsidP="00E47755">
      <w:pPr>
        <w:pStyle w:val="ListBullet2"/>
      </w:pPr>
      <w:r w:rsidRPr="00B72BC5">
        <w:t xml:space="preserve">requires that earth stations operated under the licence must not cause interference to existing or future receivers (operating in co-primary frequencies and areas) which operate under an existing AWL </w:t>
      </w:r>
      <w:r w:rsidR="00E634A0">
        <w:t>that</w:t>
      </w:r>
      <w:r w:rsidR="00E634A0" w:rsidRPr="00B72BC5">
        <w:t xml:space="preserve"> </w:t>
      </w:r>
      <w:r w:rsidRPr="00B72BC5">
        <w:t>is being overlapped</w:t>
      </w:r>
      <w:r w:rsidR="006706E5">
        <w:rPr>
          <w:rStyle w:val="FootnoteReference"/>
        </w:rPr>
        <w:footnoteReference w:id="17"/>
      </w:r>
    </w:p>
    <w:p w14:paraId="2AC0E976" w14:textId="3A4C3102" w:rsidR="00FD10AB" w:rsidRDefault="002D6334" w:rsidP="00E47755">
      <w:pPr>
        <w:pStyle w:val="ListBullet"/>
      </w:pPr>
      <w:r>
        <w:t>w</w:t>
      </w:r>
      <w:r w:rsidR="00FF0DDC">
        <w:t>hen the proposed licen</w:t>
      </w:r>
      <w:r w:rsidR="00AF5731">
        <w:t>ce</w:t>
      </w:r>
      <w:r w:rsidR="00FF0DDC">
        <w:t xml:space="preserve"> is issued on the condition</w:t>
      </w:r>
      <w:r w:rsidR="00FD10AB">
        <w:t>:</w:t>
      </w:r>
    </w:p>
    <w:p w14:paraId="651B2BFE" w14:textId="79C61E2B" w:rsidR="00FF0DDC" w:rsidRDefault="00FF0DDC" w:rsidP="00E47755">
      <w:pPr>
        <w:pStyle w:val="ListBullet2"/>
      </w:pPr>
      <w:r>
        <w:t xml:space="preserve">that they will not be afforded protection </w:t>
      </w:r>
      <w:r w:rsidR="00FD10AB">
        <w:t>from transmitters operating under the AWL(s) being overlapped</w:t>
      </w:r>
      <w:r w:rsidR="008C52CF">
        <w:t xml:space="preserve"> (through inclusion of a ‘no-protection’ advisory note on the licence)</w:t>
      </w:r>
    </w:p>
    <w:p w14:paraId="3F544E08" w14:textId="6AB3C91F" w:rsidR="00FD10AB" w:rsidRDefault="006118A2" w:rsidP="00A424DD">
      <w:pPr>
        <w:pStyle w:val="ListBullet2"/>
        <w:spacing w:after="240"/>
      </w:pPr>
      <w:r>
        <w:t>a</w:t>
      </w:r>
      <w:r w:rsidR="00FD10AB">
        <w:t>ll the overlapped AWLs include the FSS-only condition.</w:t>
      </w:r>
    </w:p>
    <w:p w14:paraId="73A26A9C" w14:textId="278F6730" w:rsidR="00A6506F" w:rsidRDefault="4FCBEE57" w:rsidP="00E47755">
      <w:pPr>
        <w:pStyle w:val="Paragraphbeforelist"/>
      </w:pPr>
      <w:r>
        <w:t>This arrangement will:</w:t>
      </w:r>
    </w:p>
    <w:p w14:paraId="57BA7B62" w14:textId="1673EE4D" w:rsidR="00A93957" w:rsidRDefault="00E634A0" w:rsidP="00E47755">
      <w:pPr>
        <w:pStyle w:val="ListBullet"/>
        <w:rPr>
          <w:rFonts w:eastAsia="Arial"/>
          <w:szCs w:val="20"/>
        </w:rPr>
      </w:pPr>
      <w:r>
        <w:rPr>
          <w:rFonts w:eastAsia="Arial"/>
        </w:rPr>
        <w:t>A</w:t>
      </w:r>
      <w:r w:rsidR="7D0176B0" w:rsidRPr="2AAE4496">
        <w:rPr>
          <w:rFonts w:eastAsia="Arial"/>
        </w:rPr>
        <w:t xml:space="preserve">llow earth stations, which are operated by different licensees, to operate on the same frequency in the same area (assuming </w:t>
      </w:r>
      <w:r w:rsidR="76C2EBF3" w:rsidRPr="2AAE4496">
        <w:rPr>
          <w:rFonts w:eastAsia="Arial"/>
        </w:rPr>
        <w:t>ap</w:t>
      </w:r>
      <w:r w:rsidR="6EA2464B" w:rsidRPr="2AAE4496">
        <w:rPr>
          <w:rFonts w:eastAsia="Arial"/>
        </w:rPr>
        <w:t xml:space="preserve">propriate </w:t>
      </w:r>
      <w:r w:rsidR="298B7CA4" w:rsidRPr="2AAE4496">
        <w:rPr>
          <w:rFonts w:eastAsia="Arial"/>
        </w:rPr>
        <w:t xml:space="preserve">international </w:t>
      </w:r>
      <w:r w:rsidR="00A745E2">
        <w:rPr>
          <w:rFonts w:eastAsia="Arial"/>
        </w:rPr>
        <w:t xml:space="preserve">satellite </w:t>
      </w:r>
      <w:r w:rsidR="6EA2464B" w:rsidRPr="2AAE4496">
        <w:rPr>
          <w:rFonts w:eastAsia="Arial"/>
        </w:rPr>
        <w:t>coordination arrangements are in place</w:t>
      </w:r>
      <w:r w:rsidR="7D0176B0" w:rsidRPr="2AAE4496">
        <w:rPr>
          <w:rFonts w:eastAsia="Arial"/>
        </w:rPr>
        <w:t>)</w:t>
      </w:r>
      <w:r>
        <w:rPr>
          <w:rFonts w:eastAsia="Arial"/>
        </w:rPr>
        <w:t xml:space="preserve">. </w:t>
      </w:r>
    </w:p>
    <w:p w14:paraId="281C5357" w14:textId="5859960E" w:rsidR="00A93957" w:rsidRDefault="00E634A0" w:rsidP="00E47755">
      <w:pPr>
        <w:pStyle w:val="ListBullet"/>
        <w:rPr>
          <w:rFonts w:eastAsia="Arial"/>
        </w:rPr>
      </w:pPr>
      <w:r>
        <w:rPr>
          <w:rFonts w:eastAsia="Arial"/>
        </w:rPr>
        <w:t>E</w:t>
      </w:r>
      <w:r w:rsidR="7D0176B0" w:rsidRPr="2AAE4496">
        <w:rPr>
          <w:rFonts w:eastAsia="Arial"/>
        </w:rPr>
        <w:t>nsure that access to spectrum by a prospective earth station operator will not be impeded by an AWL used to operate lower-priority services</w:t>
      </w:r>
      <w:r>
        <w:rPr>
          <w:rFonts w:eastAsia="Arial"/>
        </w:rPr>
        <w:t xml:space="preserve">. </w:t>
      </w:r>
    </w:p>
    <w:p w14:paraId="3CBDCAF2" w14:textId="17E9145F" w:rsidR="00F947A8" w:rsidRPr="00EA639A" w:rsidRDefault="00E634A0" w:rsidP="001411CD">
      <w:pPr>
        <w:pStyle w:val="ListBullet"/>
      </w:pPr>
      <w:r>
        <w:t>A</w:t>
      </w:r>
      <w:r w:rsidR="00F947A8">
        <w:t>llow a new wireless broadband service to be deployed on a ‘best-effort’ basis by accepting any potential interference from earth stations operating under an existing AWL which is being overlapped</w:t>
      </w:r>
      <w:r>
        <w:t xml:space="preserve">. </w:t>
      </w:r>
    </w:p>
    <w:p w14:paraId="61B60A4B" w14:textId="63BF3230" w:rsidR="00A93957" w:rsidRDefault="00E634A0" w:rsidP="00EA639A">
      <w:pPr>
        <w:pStyle w:val="ListBulletLast"/>
        <w:rPr>
          <w:rFonts w:eastAsia="Arial"/>
        </w:rPr>
      </w:pPr>
      <w:r>
        <w:rPr>
          <w:rFonts w:eastAsia="Arial"/>
        </w:rPr>
        <w:t>E</w:t>
      </w:r>
      <w:r w:rsidR="7D0176B0" w:rsidRPr="2AAE4496">
        <w:rPr>
          <w:rFonts w:eastAsia="Arial"/>
        </w:rPr>
        <w:t xml:space="preserve">nsure that the utility of the overlapped AWL is not degraded as existing and future receivers will have priority over earth stations operated under the overlapping AWL (with the exception of receivers in sole-primary FSS frequencies and areas which will always have a lower priority than FSS earth stations). </w:t>
      </w:r>
    </w:p>
    <w:p w14:paraId="094D21DD" w14:textId="73C233FF" w:rsidR="002D0A62" w:rsidRDefault="7D0176B0" w:rsidP="00A93957">
      <w:pPr>
        <w:pStyle w:val="Paragraph"/>
      </w:pPr>
      <w:r>
        <w:t xml:space="preserve">Examples of this proposed arrangement are provided in Figures </w:t>
      </w:r>
      <w:r w:rsidR="42E25D9F">
        <w:t xml:space="preserve">2 </w:t>
      </w:r>
      <w:r>
        <w:t xml:space="preserve">and </w:t>
      </w:r>
      <w:r w:rsidR="42E25D9F">
        <w:t>3</w:t>
      </w:r>
      <w:r w:rsidR="00E634A0">
        <w:t xml:space="preserve"> below</w:t>
      </w:r>
      <w:r>
        <w:t>.</w:t>
      </w:r>
    </w:p>
    <w:p w14:paraId="4C3DD31D" w14:textId="3E823BCF" w:rsidR="001F7941" w:rsidRDefault="001F7941">
      <w:pPr>
        <w:spacing w:after="0" w:line="240" w:lineRule="auto"/>
        <w:rPr>
          <w:rFonts w:cs="Arial"/>
        </w:rPr>
      </w:pPr>
    </w:p>
    <w:p w14:paraId="39429A78" w14:textId="0FE662AE" w:rsidR="00A93957" w:rsidRDefault="00A93957" w:rsidP="00A424DD">
      <w:pPr>
        <w:pStyle w:val="ACMAFigureHeader"/>
        <w:keepNext/>
        <w:keepLines/>
        <w:rPr>
          <w:rFonts w:eastAsia="Arial" w:cs="Arial"/>
        </w:rPr>
      </w:pPr>
      <w:r>
        <w:rPr>
          <w:rFonts w:eastAsia="Arial"/>
        </w:rPr>
        <w:lastRenderedPageBreak/>
        <w:t xml:space="preserve">Examples of when AWLs may overlap in </w:t>
      </w:r>
      <w:r w:rsidR="002A5EC2">
        <w:rPr>
          <w:rFonts w:eastAsia="Arial"/>
        </w:rPr>
        <w:t xml:space="preserve">both </w:t>
      </w:r>
      <w:r>
        <w:rPr>
          <w:rFonts w:eastAsia="Arial"/>
        </w:rPr>
        <w:t>frequency and area in co-primary frequencies and areas</w:t>
      </w:r>
      <w:r w:rsidR="00E634A0">
        <w:rPr>
          <w:rFonts w:eastAsia="Arial"/>
        </w:rPr>
        <w:t>.</w:t>
      </w:r>
      <w:r>
        <w:rPr>
          <w:rFonts w:eastAsia="Arial"/>
        </w:rPr>
        <w:t xml:space="preserve"> (Yellow = AWL</w:t>
      </w:r>
      <w:r w:rsidR="00A96B0D">
        <w:rPr>
          <w:rFonts w:eastAsia="Arial"/>
        </w:rPr>
        <w:t xml:space="preserve"> without </w:t>
      </w:r>
      <w:r w:rsidR="008C52CF">
        <w:rPr>
          <w:rFonts w:eastAsia="Arial"/>
        </w:rPr>
        <w:t>FSS-only</w:t>
      </w:r>
      <w:r w:rsidR="00A96B0D">
        <w:rPr>
          <w:rFonts w:eastAsia="Arial"/>
        </w:rPr>
        <w:t xml:space="preserve"> condition</w:t>
      </w:r>
      <w:r w:rsidR="00E634A0">
        <w:rPr>
          <w:rFonts w:eastAsia="Arial"/>
        </w:rPr>
        <w:t>;</w:t>
      </w:r>
      <w:r>
        <w:rPr>
          <w:rFonts w:eastAsia="Arial"/>
        </w:rPr>
        <w:t xml:space="preserve"> blue = AWLs</w:t>
      </w:r>
      <w:r w:rsidR="00A534A0">
        <w:rPr>
          <w:rFonts w:eastAsia="Arial"/>
        </w:rPr>
        <w:t xml:space="preserve"> with </w:t>
      </w:r>
      <w:r w:rsidR="008C52CF">
        <w:rPr>
          <w:rFonts w:eastAsia="Arial"/>
        </w:rPr>
        <w:t>FSS</w:t>
      </w:r>
      <w:r w:rsidR="00A534A0">
        <w:rPr>
          <w:rFonts w:eastAsia="Arial"/>
        </w:rPr>
        <w:t>-only condition</w:t>
      </w:r>
      <w:r w:rsidR="00E634A0">
        <w:rPr>
          <w:rFonts w:eastAsia="Arial"/>
        </w:rPr>
        <w:t>;</w:t>
      </w:r>
      <w:r w:rsidR="008C52CF">
        <w:rPr>
          <w:rFonts w:eastAsia="Arial"/>
        </w:rPr>
        <w:t xml:space="preserve"> </w:t>
      </w:r>
      <w:r w:rsidR="00E634A0">
        <w:rPr>
          <w:rFonts w:eastAsia="Arial"/>
        </w:rPr>
        <w:t>g</w:t>
      </w:r>
      <w:r w:rsidR="008C52CF">
        <w:rPr>
          <w:rFonts w:eastAsia="Arial"/>
        </w:rPr>
        <w:t>reen = AWL</w:t>
      </w:r>
      <w:r w:rsidR="00163B08">
        <w:rPr>
          <w:rFonts w:eastAsia="Arial"/>
        </w:rPr>
        <w:t xml:space="preserve"> with no-protection advisory note</w:t>
      </w:r>
      <w:r w:rsidR="00E634A0">
        <w:rPr>
          <w:rFonts w:eastAsia="Arial"/>
        </w:rPr>
        <w:t>.</w:t>
      </w:r>
      <w:r>
        <w:rPr>
          <w:rFonts w:eastAsia="Arial"/>
        </w:rPr>
        <w:t>)</w:t>
      </w:r>
    </w:p>
    <w:p w14:paraId="4B2CCF3A" w14:textId="510D7293" w:rsidR="00A93957" w:rsidRDefault="00DC1A5E" w:rsidP="00A424DD">
      <w:pPr>
        <w:pStyle w:val="Paragraph"/>
        <w:keepNext/>
        <w:keepLines/>
      </w:pPr>
      <w:r>
        <w:rPr>
          <w:noProof/>
        </w:rPr>
        <mc:AlternateContent>
          <mc:Choice Requires="wps">
            <w:drawing>
              <wp:anchor distT="0" distB="0" distL="114300" distR="114300" simplePos="0" relativeHeight="251658266" behindDoc="0" locked="0" layoutInCell="1" allowOverlap="1" wp14:anchorId="7C8D0753" wp14:editId="34B49B0A">
                <wp:simplePos x="0" y="0"/>
                <wp:positionH relativeFrom="column">
                  <wp:posOffset>3080385</wp:posOffset>
                </wp:positionH>
                <wp:positionV relativeFrom="paragraph">
                  <wp:posOffset>25400</wp:posOffset>
                </wp:positionV>
                <wp:extent cx="1085850" cy="619125"/>
                <wp:effectExtent l="0" t="0" r="19050" b="28575"/>
                <wp:wrapNone/>
                <wp:docPr id="1" name="Flowchart: Magnetic Disk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5850" cy="619125"/>
                        </a:xfrm>
                        <a:prstGeom prst="flowChartMagneticDisk">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DF0E5F2" w14:textId="77777777" w:rsidR="009A2F94" w:rsidRDefault="009A2F94" w:rsidP="00DC1A5E">
                            <w:pPr>
                              <w:jc w:val="center"/>
                            </w:pPr>
                            <w:r>
                              <w:t>Proposed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D0753"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 o:spid="_x0000_s1026" type="#_x0000_t132" style="position:absolute;margin-left:242.55pt;margin-top:2pt;width:85.5pt;height:48.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" fillcolor="#00b050" strokecolor="#243f60 [1604]" strokeweight="2pt">
                <v:textbox>
                  <w:txbxContent>
                    <w:p w14:paraId="7DF0E5F2" w14:textId="77777777" w:rsidR="009A2F94" w:rsidRDefault="009A2F94" w:rsidP="00DC1A5E">
                      <w:pPr>
                        <w:jc w:val="center"/>
                      </w:pPr>
                      <w:r>
                        <w:t>Proposed AWL</w:t>
                      </w:r>
                    </w:p>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4F69A727" wp14:editId="0FACA720">
                <wp:simplePos x="0" y="0"/>
                <wp:positionH relativeFrom="column">
                  <wp:posOffset>1432560</wp:posOffset>
                </wp:positionH>
                <wp:positionV relativeFrom="paragraph">
                  <wp:posOffset>44450</wp:posOffset>
                </wp:positionV>
                <wp:extent cx="1590675" cy="619125"/>
                <wp:effectExtent l="0" t="0" r="28575" b="28575"/>
                <wp:wrapNone/>
                <wp:docPr id="3" name="Flowchart: Magnetic Disk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590675" cy="619125"/>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B69AA9" w14:textId="77777777" w:rsidR="009A2F94" w:rsidRDefault="009A2F94" w:rsidP="00A93957">
                            <w:pPr>
                              <w:jc w:val="center"/>
                            </w:pPr>
                            <w:r>
                              <w:t>Proposed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9A727" id="Flowchart: Magnetic Disk 3" o:spid="_x0000_s1027" type="#_x0000_t132" style="position:absolute;margin-left:112.8pt;margin-top:3.5pt;width:125.25pt;height:48.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" fillcolor="#4f81bd [3204]" strokecolor="#243f60 [1604]" strokeweight="2pt">
                <v:textbox>
                  <w:txbxContent>
                    <w:p w14:paraId="44B69AA9" w14:textId="77777777" w:rsidR="009A2F94" w:rsidRDefault="009A2F94" w:rsidP="00A93957">
                      <w:pPr>
                        <w:jc w:val="center"/>
                      </w:pPr>
                      <w:r>
                        <w:t>Proposed AWL</w:t>
                      </w:r>
                    </w:p>
                  </w:txbxContent>
                </v:textbox>
              </v:shape>
            </w:pict>
          </mc:Fallback>
        </mc:AlternateContent>
      </w:r>
    </w:p>
    <w:p w14:paraId="1116B18D" w14:textId="778D10EE" w:rsidR="00A93957" w:rsidRDefault="00824B41" w:rsidP="00A93957">
      <w:pPr>
        <w:pStyle w:val="Paragraph"/>
      </w:pPr>
      <w:r>
        <w:rPr>
          <w:noProof/>
        </w:rPr>
        <mc:AlternateContent>
          <mc:Choice Requires="wps">
            <w:drawing>
              <wp:anchor distT="0" distB="0" distL="114300" distR="114300" simplePos="0" relativeHeight="251658241" behindDoc="0" locked="0" layoutInCell="1" allowOverlap="1" wp14:anchorId="73D3EF29" wp14:editId="6D943DF4">
                <wp:simplePos x="0" y="0"/>
                <wp:positionH relativeFrom="column">
                  <wp:posOffset>4070985</wp:posOffset>
                </wp:positionH>
                <wp:positionV relativeFrom="paragraph">
                  <wp:posOffset>212724</wp:posOffset>
                </wp:positionV>
                <wp:extent cx="1162050" cy="1323975"/>
                <wp:effectExtent l="0" t="0" r="0" b="9525"/>
                <wp:wrapNone/>
                <wp:docPr id="7" name="Text Box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162050" cy="1323975"/>
                        </a:xfrm>
                        <a:prstGeom prst="rect">
                          <a:avLst/>
                        </a:prstGeom>
                        <a:solidFill>
                          <a:schemeClr val="lt1"/>
                        </a:solidFill>
                        <a:ln w="6350">
                          <a:noFill/>
                        </a:ln>
                      </wps:spPr>
                      <wps:txbx>
                        <w:txbxContent>
                          <w:p w14:paraId="21C2D792" w14:textId="118DDB74" w:rsidR="009A2F94" w:rsidRDefault="009A2F94" w:rsidP="00163B08">
                            <w:r>
                              <w:t>Normal adjacent frequency/area device coordination applies to non-overlapped AWL receivers (see later sections)</w:t>
                            </w:r>
                          </w:p>
                          <w:p w14:paraId="4B3EA5F6" w14:textId="4AD4B6DC" w:rsidR="009A2F94" w:rsidRDefault="009A2F94" w:rsidP="008C52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3EF29" id="_x0000_t202" coordsize="21600,21600" o:spt="202" path="m,l,21600r21600,l21600,xe">
                <v:stroke joinstyle="miter"/>
                <v:path gradientshapeok="t" o:connecttype="rect"/>
              </v:shapetype>
              <v:shape id="Text Box 7" o:spid="_x0000_s1028" type="#_x0000_t202" style="position:absolute;margin-left:320.55pt;margin-top:16.75pt;width:91.5pt;height:104.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" fillcolor="white [3201]" stroked="f" strokeweight=".5pt">
                <v:textbox>
                  <w:txbxContent>
                    <w:p w14:paraId="21C2D792" w14:textId="118DDB74" w:rsidR="009A2F94" w:rsidRDefault="009A2F94" w:rsidP="00163B08">
                      <w:r>
                        <w:t>Normal adjacent frequency/area device coordination applies to non-overlapped AWL receivers (see later sections)</w:t>
                      </w:r>
                    </w:p>
                    <w:p w14:paraId="4B3EA5F6" w14:textId="4AD4B6DC" w:rsidR="009A2F94" w:rsidRDefault="009A2F94" w:rsidP="008C52CF"/>
                  </w:txbxContent>
                </v:textbox>
              </v:shape>
            </w:pict>
          </mc:Fallback>
        </mc:AlternateContent>
      </w:r>
      <w:r w:rsidR="00A743F0">
        <w:rPr>
          <w:noProof/>
        </w:rPr>
        <mc:AlternateContent>
          <mc:Choice Requires="wps">
            <w:drawing>
              <wp:anchor distT="0" distB="0" distL="114300" distR="114300" simplePos="0" relativeHeight="251658242" behindDoc="0" locked="0" layoutInCell="1" allowOverlap="1" wp14:anchorId="2B68DD0E" wp14:editId="6B19B6D8">
                <wp:simplePos x="0" y="0"/>
                <wp:positionH relativeFrom="column">
                  <wp:posOffset>365760</wp:posOffset>
                </wp:positionH>
                <wp:positionV relativeFrom="paragraph">
                  <wp:posOffset>222250</wp:posOffset>
                </wp:positionV>
                <wp:extent cx="1152525" cy="1323975"/>
                <wp:effectExtent l="0" t="0" r="9525" b="9525"/>
                <wp:wrapNone/>
                <wp:docPr id="22" name="Text Box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152525" cy="1323975"/>
                        </a:xfrm>
                        <a:prstGeom prst="rect">
                          <a:avLst/>
                        </a:prstGeom>
                        <a:solidFill>
                          <a:schemeClr val="lt1"/>
                        </a:solidFill>
                        <a:ln w="6350">
                          <a:noFill/>
                        </a:ln>
                      </wps:spPr>
                      <wps:txbx>
                        <w:txbxContent>
                          <w:p w14:paraId="3C49A09A" w14:textId="08E2CF40" w:rsidR="009A2F94" w:rsidRDefault="009A2F94" w:rsidP="00A93957">
                            <w:r>
                              <w:t>Normal adjacent frequency/area device coordination applies to non-overlapped AWL receivers (see later sections)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8DD0E" id="Text Box 22" o:spid="_x0000_s1029" type="#_x0000_t202" style="position:absolute;margin-left:28.8pt;margin-top:17.5pt;width:90.75pt;height:104.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" fillcolor="white [3201]" stroked="f" strokeweight=".5pt">
                <v:textbox>
                  <w:txbxContent>
                    <w:p w14:paraId="3C49A09A" w14:textId="08E2CF40" w:rsidR="009A2F94" w:rsidRDefault="009A2F94" w:rsidP="00A93957">
                      <w:r>
                        <w:t>Normal adjacent frequency/area device coordination applies to non-overlapped AWL receivers (see later sections)</w:t>
                      </w:r>
                    </w:p>
                  </w:txbxContent>
                </v:textbox>
              </v:shape>
            </w:pict>
          </mc:Fallback>
        </mc:AlternateContent>
      </w:r>
      <w:r w:rsidR="008C52CF">
        <w:rPr>
          <w:noProof/>
        </w:rPr>
        <mc:AlternateContent>
          <mc:Choice Requires="wps">
            <w:drawing>
              <wp:anchor distT="0" distB="0" distL="114300" distR="114300" simplePos="0" relativeHeight="251658270" behindDoc="0" locked="0" layoutInCell="1" allowOverlap="1" wp14:anchorId="5D25918B" wp14:editId="16B9A0EC">
                <wp:simplePos x="0" y="0"/>
                <wp:positionH relativeFrom="column">
                  <wp:posOffset>5114925</wp:posOffset>
                </wp:positionH>
                <wp:positionV relativeFrom="paragraph">
                  <wp:posOffset>361315</wp:posOffset>
                </wp:positionV>
                <wp:extent cx="0" cy="1190625"/>
                <wp:effectExtent l="76200" t="38100" r="57150" b="9525"/>
                <wp:wrapNone/>
                <wp:docPr id="9" name="Straight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0" cy="119062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B8418D" id="Straight Connector 9" o:spid="_x0000_s1026" style="position:absolute;flip:y;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75pt,28.45pt" to="402.75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" strokecolor="#4579b8 [3044]">
                <v:stroke dashstyle="longDash" endarrow="block"/>
              </v:line>
            </w:pict>
          </mc:Fallback>
        </mc:AlternateContent>
      </w:r>
      <w:r w:rsidR="00DC1A5E">
        <w:rPr>
          <w:noProof/>
        </w:rPr>
        <mc:AlternateContent>
          <mc:Choice Requires="wps">
            <w:drawing>
              <wp:anchor distT="0" distB="0" distL="114300" distR="114300" simplePos="0" relativeHeight="251658269" behindDoc="0" locked="0" layoutInCell="1" allowOverlap="1" wp14:anchorId="571C4B40" wp14:editId="6A5F3315">
                <wp:simplePos x="0" y="0"/>
                <wp:positionH relativeFrom="column">
                  <wp:posOffset>1428750</wp:posOffset>
                </wp:positionH>
                <wp:positionV relativeFrom="paragraph">
                  <wp:posOffset>304165</wp:posOffset>
                </wp:positionV>
                <wp:extent cx="0" cy="1171575"/>
                <wp:effectExtent l="76200" t="0" r="57150" b="47625"/>
                <wp:wrapNone/>
                <wp:docPr id="13" name="Straight Connector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AA216A" id="Straight Connector 13" o:spid="_x0000_s1026" style="position:absolute;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5pt,23.95pt" to="112.5pt,1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" strokecolor="#4579b8 [3044]">
                <v:stroke dashstyle="longDash" endarrow="block"/>
              </v:line>
            </w:pict>
          </mc:Fallback>
        </mc:AlternateContent>
      </w:r>
    </w:p>
    <w:p w14:paraId="2EA61AA8" w14:textId="40F4653B" w:rsidR="00A93957" w:rsidRDefault="00A743F0" w:rsidP="00A93957">
      <w:pPr>
        <w:pStyle w:val="Paragraph"/>
      </w:pPr>
      <w:r>
        <w:rPr>
          <w:noProof/>
        </w:rPr>
        <mc:AlternateContent>
          <mc:Choice Requires="wps">
            <w:drawing>
              <wp:anchor distT="0" distB="0" distL="114300" distR="114300" simplePos="0" relativeHeight="251658243" behindDoc="0" locked="0" layoutInCell="1" allowOverlap="1" wp14:anchorId="05C48721" wp14:editId="54886A63">
                <wp:simplePos x="0" y="0"/>
                <wp:positionH relativeFrom="column">
                  <wp:posOffset>3108960</wp:posOffset>
                </wp:positionH>
                <wp:positionV relativeFrom="paragraph">
                  <wp:posOffset>107949</wp:posOffset>
                </wp:positionV>
                <wp:extent cx="1057275" cy="1133475"/>
                <wp:effectExtent l="0" t="0" r="9525" b="9525"/>
                <wp:wrapNone/>
                <wp:docPr id="6" name="Text Box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057275" cy="1133475"/>
                        </a:xfrm>
                        <a:prstGeom prst="rect">
                          <a:avLst/>
                        </a:prstGeom>
                        <a:solidFill>
                          <a:schemeClr val="lt1"/>
                        </a:solidFill>
                        <a:ln w="6350">
                          <a:noFill/>
                        </a:ln>
                      </wps:spPr>
                      <wps:txbx>
                        <w:txbxContent>
                          <w:p w14:paraId="5F5452AB" w14:textId="6B342C34" w:rsidR="009A2F94" w:rsidRDefault="009A2F94" w:rsidP="00DC1A5E">
                            <w:r>
                              <w:t>No protection afforded to AWL receivers associated with the proposed AWL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48721" id="Text Box 6" o:spid="_x0000_s1030" type="#_x0000_t202" style="position:absolute;margin-left:244.8pt;margin-top:8.5pt;width:83.25pt;height:89.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" fillcolor="white [3201]" stroked="f" strokeweight=".5pt">
                <v:textbox>
                  <w:txbxContent>
                    <w:p w14:paraId="5F5452AB" w14:textId="6B342C34" w:rsidR="009A2F94" w:rsidRDefault="009A2F94" w:rsidP="00DC1A5E">
                      <w:r>
                        <w:t>No protection afforded to AWL receivers associated with the proposed AWL</w:t>
                      </w:r>
                    </w:p>
                  </w:txbxContent>
                </v:textbox>
              </v:shape>
            </w:pict>
          </mc:Fallback>
        </mc:AlternateContent>
      </w:r>
      <w:r w:rsidR="00D73D31">
        <w:rPr>
          <w:noProof/>
        </w:rPr>
        <mc:AlternateContent>
          <mc:Choice Requires="wps">
            <w:drawing>
              <wp:anchor distT="0" distB="0" distL="114300" distR="114300" simplePos="0" relativeHeight="251658251" behindDoc="0" locked="0" layoutInCell="1" allowOverlap="1" wp14:anchorId="078DACDD" wp14:editId="6137930E">
                <wp:simplePos x="0" y="0"/>
                <wp:positionH relativeFrom="column">
                  <wp:posOffset>2375535</wp:posOffset>
                </wp:positionH>
                <wp:positionV relativeFrom="paragraph">
                  <wp:posOffset>107949</wp:posOffset>
                </wp:positionV>
                <wp:extent cx="0" cy="1152525"/>
                <wp:effectExtent l="76200" t="0" r="57150" b="47625"/>
                <wp:wrapNone/>
                <wp:docPr id="19" name="Straight Connector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5252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B885AF" id="Straight Connector 19" o:spid="_x0000_s1026" style="position:absolute;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05pt,8.5pt" to="187.05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" strokecolor="#4579b8 [3044]">
                <v:stroke dashstyle="longDash" endarrow="block"/>
              </v:line>
            </w:pict>
          </mc:Fallback>
        </mc:AlternateContent>
      </w:r>
      <w:r w:rsidR="008C52CF">
        <w:rPr>
          <w:noProof/>
        </w:rPr>
        <mc:AlternateContent>
          <mc:Choice Requires="wps">
            <w:drawing>
              <wp:anchor distT="0" distB="0" distL="114300" distR="114300" simplePos="0" relativeHeight="251658267" behindDoc="0" locked="0" layoutInCell="1" allowOverlap="1" wp14:anchorId="04A41385" wp14:editId="2C11658A">
                <wp:simplePos x="0" y="0"/>
                <wp:positionH relativeFrom="column">
                  <wp:posOffset>4090035</wp:posOffset>
                </wp:positionH>
                <wp:positionV relativeFrom="paragraph">
                  <wp:posOffset>53340</wp:posOffset>
                </wp:positionV>
                <wp:extent cx="0" cy="1190625"/>
                <wp:effectExtent l="76200" t="38100" r="57150" b="9525"/>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0" cy="119062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EE800" id="Straight Connector 2" o:spid="_x0000_s1026" style="position:absolute;flip:y;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05pt,4.2pt" to="322.0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" strokecolor="#4579b8 [3044]">
                <v:stroke dashstyle="longDash" endarrow="block"/>
              </v:line>
            </w:pict>
          </mc:Fallback>
        </mc:AlternateContent>
      </w:r>
      <w:r w:rsidR="00DC1A5E">
        <w:rPr>
          <w:noProof/>
        </w:rPr>
        <mc:AlternateContent>
          <mc:Choice Requires="wps">
            <w:drawing>
              <wp:anchor distT="0" distB="0" distL="114300" distR="114300" simplePos="0" relativeHeight="251658268" behindDoc="0" locked="0" layoutInCell="1" allowOverlap="1" wp14:anchorId="338B4FF0" wp14:editId="327136BA">
                <wp:simplePos x="0" y="0"/>
                <wp:positionH relativeFrom="column">
                  <wp:posOffset>3114675</wp:posOffset>
                </wp:positionH>
                <wp:positionV relativeFrom="paragraph">
                  <wp:posOffset>37465</wp:posOffset>
                </wp:positionV>
                <wp:extent cx="0" cy="1190625"/>
                <wp:effectExtent l="76200" t="38100" r="57150" b="952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0" cy="119062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7451EC" id="Straight Connector 5" o:spid="_x0000_s1026" style="position:absolute;flip:y;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25pt,2.95pt" to="245.2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" strokecolor="#4579b8 [3044]">
                <v:stroke dashstyle="longDash" endarrow="block"/>
              </v:line>
            </w:pict>
          </mc:Fallback>
        </mc:AlternateContent>
      </w:r>
      <w:r w:rsidR="00DC1A5E">
        <w:rPr>
          <w:noProof/>
        </w:rPr>
        <mc:AlternateContent>
          <mc:Choice Requires="wps">
            <w:drawing>
              <wp:anchor distT="0" distB="0" distL="114300" distR="114300" simplePos="0" relativeHeight="251658252" behindDoc="0" locked="0" layoutInCell="1" allowOverlap="1" wp14:anchorId="44A7766B" wp14:editId="3C4D3E02">
                <wp:simplePos x="0" y="0"/>
                <wp:positionH relativeFrom="column">
                  <wp:posOffset>3023235</wp:posOffset>
                </wp:positionH>
                <wp:positionV relativeFrom="paragraph">
                  <wp:posOffset>53975</wp:posOffset>
                </wp:positionV>
                <wp:extent cx="0" cy="1171575"/>
                <wp:effectExtent l="76200" t="0" r="57150" b="47625"/>
                <wp:wrapNone/>
                <wp:docPr id="20" name="Straight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AA42C1" id="Straight Connector 20"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05pt,4.25pt" to="238.0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" strokecolor="#4579b8 [3044]">
                <v:stroke dashstyle="longDash" endarrow="block"/>
              </v:line>
            </w:pict>
          </mc:Fallback>
        </mc:AlternateContent>
      </w:r>
      <w:r w:rsidR="00DC1A5E">
        <w:rPr>
          <w:noProof/>
        </w:rPr>
        <mc:AlternateContent>
          <mc:Choice Requires="wps">
            <w:drawing>
              <wp:anchor distT="0" distB="0" distL="114300" distR="114300" simplePos="0" relativeHeight="251658245" behindDoc="0" locked="0" layoutInCell="1" allowOverlap="1" wp14:anchorId="23B67060" wp14:editId="106643CA">
                <wp:simplePos x="0" y="0"/>
                <wp:positionH relativeFrom="column">
                  <wp:posOffset>2318385</wp:posOffset>
                </wp:positionH>
                <wp:positionV relativeFrom="paragraph">
                  <wp:posOffset>215900</wp:posOffset>
                </wp:positionV>
                <wp:extent cx="752475" cy="695325"/>
                <wp:effectExtent l="0" t="0" r="9525" b="9525"/>
                <wp:wrapNone/>
                <wp:docPr id="21" name="Text Box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2475" cy="695325"/>
                        </a:xfrm>
                        <a:prstGeom prst="rect">
                          <a:avLst/>
                        </a:prstGeom>
                        <a:solidFill>
                          <a:schemeClr val="lt1"/>
                        </a:solidFill>
                        <a:ln w="6350">
                          <a:noFill/>
                        </a:ln>
                      </wps:spPr>
                      <wps:txbx>
                        <w:txbxContent>
                          <w:p w14:paraId="48C1F45A" w14:textId="47C70C57" w:rsidR="009A2F94" w:rsidRDefault="009A2F94" w:rsidP="00A93957">
                            <w:r>
                              <w:t xml:space="preserve">No protection required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67060" id="Text Box 21" o:spid="_x0000_s1031" type="#_x0000_t202" style="position:absolute;margin-left:182.55pt;margin-top:17pt;width:59.25pt;height:54.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" fillcolor="white [3201]" stroked="f" strokeweight=".5pt">
                <v:textbox>
                  <w:txbxContent>
                    <w:p w14:paraId="48C1F45A" w14:textId="47C70C57" w:rsidR="009A2F94" w:rsidRDefault="009A2F94" w:rsidP="00A93957">
                      <w:r>
                        <w:t xml:space="preserve">No protection required </w:t>
                      </w:r>
                    </w:p>
                  </w:txbxContent>
                </v:textbox>
              </v:shape>
            </w:pict>
          </mc:Fallback>
        </mc:AlternateContent>
      </w:r>
      <w:r w:rsidR="00DC1A5E">
        <w:rPr>
          <w:noProof/>
        </w:rPr>
        <mc:AlternateContent>
          <mc:Choice Requires="wps">
            <w:drawing>
              <wp:anchor distT="0" distB="0" distL="114300" distR="114300" simplePos="0" relativeHeight="251658249" behindDoc="0" locked="0" layoutInCell="1" allowOverlap="1" wp14:anchorId="069E67F5" wp14:editId="42712076">
                <wp:simplePos x="0" y="0"/>
                <wp:positionH relativeFrom="column">
                  <wp:posOffset>2261235</wp:posOffset>
                </wp:positionH>
                <wp:positionV relativeFrom="paragraph">
                  <wp:posOffset>100965</wp:posOffset>
                </wp:positionV>
                <wp:extent cx="0" cy="1171575"/>
                <wp:effectExtent l="76200" t="0" r="57150" b="47625"/>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90D76" id="Straight Connector 12"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05pt,7.95pt" to="178.0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" strokecolor="#4579b8 [3044]">
                <v:stroke dashstyle="longDash" endarrow="block"/>
              </v:line>
            </w:pict>
          </mc:Fallback>
        </mc:AlternateContent>
      </w:r>
      <w:r w:rsidR="00DC1A5E">
        <w:rPr>
          <w:noProof/>
        </w:rPr>
        <mc:AlternateContent>
          <mc:Choice Requires="wps">
            <w:drawing>
              <wp:anchor distT="0" distB="0" distL="114300" distR="114300" simplePos="0" relativeHeight="251658244" behindDoc="0" locked="0" layoutInCell="1" allowOverlap="1" wp14:anchorId="4F36B405" wp14:editId="3E435E78">
                <wp:simplePos x="0" y="0"/>
                <wp:positionH relativeFrom="column">
                  <wp:posOffset>1403985</wp:posOffset>
                </wp:positionH>
                <wp:positionV relativeFrom="paragraph">
                  <wp:posOffset>101600</wp:posOffset>
                </wp:positionV>
                <wp:extent cx="914400" cy="981075"/>
                <wp:effectExtent l="0" t="0" r="0" b="9525"/>
                <wp:wrapNone/>
                <wp:docPr id="16" name="Text Box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14400" cy="981075"/>
                        </a:xfrm>
                        <a:prstGeom prst="rect">
                          <a:avLst/>
                        </a:prstGeom>
                        <a:solidFill>
                          <a:schemeClr val="lt1"/>
                        </a:solidFill>
                        <a:ln w="6350">
                          <a:noFill/>
                        </a:ln>
                      </wps:spPr>
                      <wps:txbx>
                        <w:txbxContent>
                          <w:p w14:paraId="53C7FFA1" w14:textId="4FC562DD" w:rsidR="009A2F94" w:rsidRDefault="009A2F94" w:rsidP="00A93957">
                            <w:r>
                              <w:t>Must protect overlapped existing and future AWL receivers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6B405" id="Text Box 16" o:spid="_x0000_s1032" type="#_x0000_t202" style="position:absolute;margin-left:110.55pt;margin-top:8pt;width:1in;height:77.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" fillcolor="white [3201]" stroked="f" strokeweight=".5pt">
                <v:textbox>
                  <w:txbxContent>
                    <w:p w14:paraId="53C7FFA1" w14:textId="4FC562DD" w:rsidR="009A2F94" w:rsidRDefault="009A2F94" w:rsidP="00A93957">
                      <w:r>
                        <w:t>Must protect overlapped existing and future AWL receivers</w:t>
                      </w:r>
                    </w:p>
                  </w:txbxContent>
                </v:textbox>
              </v:shape>
            </w:pict>
          </mc:Fallback>
        </mc:AlternateContent>
      </w:r>
      <w:r w:rsidR="00A93957">
        <w:rPr>
          <w:noProof/>
        </w:rPr>
        <mc:AlternateContent>
          <mc:Choice Requires="wps">
            <w:drawing>
              <wp:anchor distT="0" distB="0" distL="114300" distR="114300" simplePos="0" relativeHeight="251658250" behindDoc="0" locked="0" layoutInCell="1" allowOverlap="1" wp14:anchorId="5210D4AF" wp14:editId="08F72962">
                <wp:simplePos x="0" y="0"/>
                <wp:positionH relativeFrom="column">
                  <wp:posOffset>371475</wp:posOffset>
                </wp:positionH>
                <wp:positionV relativeFrom="paragraph">
                  <wp:posOffset>104140</wp:posOffset>
                </wp:positionV>
                <wp:extent cx="0" cy="1171575"/>
                <wp:effectExtent l="76200" t="0" r="57150" b="47625"/>
                <wp:wrapNone/>
                <wp:docPr id="18" name="Straight Connector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E95D46" id="Straight Connector 18"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5pt,8.2pt" to="29.25pt,10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" strokecolor="#4579b8 [3044]">
                <v:stroke dashstyle="longDash" endarrow="block"/>
              </v:line>
            </w:pict>
          </mc:Fallback>
        </mc:AlternateContent>
      </w:r>
    </w:p>
    <w:p w14:paraId="35596DDB" w14:textId="3C940B74" w:rsidR="00A93957" w:rsidRDefault="00A93957" w:rsidP="00A93957">
      <w:pPr>
        <w:pStyle w:val="Paragraph"/>
      </w:pPr>
    </w:p>
    <w:p w14:paraId="42D847B2" w14:textId="16457292" w:rsidR="00A93957" w:rsidRDefault="00A93957" w:rsidP="00A93957">
      <w:pPr>
        <w:pStyle w:val="Paragraph"/>
      </w:pPr>
    </w:p>
    <w:p w14:paraId="7E434908" w14:textId="3D7CC764" w:rsidR="00A93957" w:rsidRPr="00DA152E" w:rsidRDefault="00A93957" w:rsidP="00A93957">
      <w:pPr>
        <w:pStyle w:val="Paragraph"/>
      </w:pPr>
    </w:p>
    <w:p w14:paraId="7655C225" w14:textId="7A4AF2B7" w:rsidR="00A93957" w:rsidRDefault="00A743F0" w:rsidP="00A93957">
      <w:pPr>
        <w:pStyle w:val="Paragraph"/>
      </w:pPr>
      <w:r>
        <w:rPr>
          <w:noProof/>
        </w:rPr>
        <mc:AlternateContent>
          <mc:Choice Requires="wps">
            <w:drawing>
              <wp:anchor distT="0" distB="0" distL="114300" distR="114300" simplePos="0" relativeHeight="251658247" behindDoc="0" locked="0" layoutInCell="1" allowOverlap="1" wp14:anchorId="08A576EF" wp14:editId="398C0360">
                <wp:simplePos x="0" y="0"/>
                <wp:positionH relativeFrom="column">
                  <wp:posOffset>375285</wp:posOffset>
                </wp:positionH>
                <wp:positionV relativeFrom="paragraph">
                  <wp:posOffset>63500</wp:posOffset>
                </wp:positionV>
                <wp:extent cx="1885950" cy="533400"/>
                <wp:effectExtent l="0" t="0" r="19050" b="19050"/>
                <wp:wrapNone/>
                <wp:docPr id="4" name="Flowchart: Magnetic Disk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5950" cy="533400"/>
                        </a:xfrm>
                        <a:prstGeom prst="flowChartMagneticDisk">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BA8802" w14:textId="77777777" w:rsidR="009A2F94" w:rsidRDefault="009A2F94" w:rsidP="00A93957">
                            <w:pPr>
                              <w:jc w:val="center"/>
                            </w:pPr>
                            <w:r>
                              <w:t>Existing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576EF" id="Flowchart: Magnetic Disk 4" o:spid="_x0000_s1033" type="#_x0000_t132" style="position:absolute;margin-left:29.55pt;margin-top:5pt;width:148.5pt;height:42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" fillcolor="#ffc000" strokecolor="#243f60 [1604]" strokeweight="2pt">
                <v:textbox>
                  <w:txbxContent>
                    <w:p w14:paraId="25BA8802" w14:textId="77777777" w:rsidR="009A2F94" w:rsidRDefault="009A2F94" w:rsidP="00A93957">
                      <w:pPr>
                        <w:jc w:val="center"/>
                      </w:pPr>
                      <w:r>
                        <w:t>Existing AWL</w:t>
                      </w:r>
                    </w:p>
                  </w:txbxContent>
                </v:textbox>
              </v:shape>
            </w:pict>
          </mc:Fallback>
        </mc:AlternateContent>
      </w:r>
      <w:r>
        <w:rPr>
          <w:noProof/>
        </w:rPr>
        <mc:AlternateContent>
          <mc:Choice Requires="wps">
            <w:drawing>
              <wp:anchor distT="0" distB="0" distL="114300" distR="114300" simplePos="0" relativeHeight="251658248" behindDoc="0" locked="0" layoutInCell="1" allowOverlap="1" wp14:anchorId="508BD218" wp14:editId="4B6A554A">
                <wp:simplePos x="0" y="0"/>
                <wp:positionH relativeFrom="column">
                  <wp:posOffset>2365375</wp:posOffset>
                </wp:positionH>
                <wp:positionV relativeFrom="paragraph">
                  <wp:posOffset>53975</wp:posOffset>
                </wp:positionV>
                <wp:extent cx="2752725" cy="552450"/>
                <wp:effectExtent l="0" t="0" r="28575" b="19050"/>
                <wp:wrapNone/>
                <wp:docPr id="11" name="Flowchart: Magnetic Disk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752725" cy="552450"/>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A6A2A6" w14:textId="77777777" w:rsidR="009A2F94" w:rsidRDefault="009A2F94" w:rsidP="00A93957">
                            <w:pPr>
                              <w:jc w:val="center"/>
                            </w:pPr>
                            <w:r>
                              <w:t>Existing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BD218" id="Flowchart: Magnetic Disk 11" o:spid="_x0000_s1034" type="#_x0000_t132" style="position:absolute;margin-left:186.25pt;margin-top:4.25pt;width:216.75pt;height:4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" fillcolor="#4f81bd [3204]" strokecolor="#243f60 [1604]" strokeweight="2pt">
                <v:textbox>
                  <w:txbxContent>
                    <w:p w14:paraId="3AA6A2A6" w14:textId="77777777" w:rsidR="009A2F94" w:rsidRDefault="009A2F94" w:rsidP="00A93957">
                      <w:pPr>
                        <w:jc w:val="center"/>
                      </w:pPr>
                      <w:r>
                        <w:t>Existing AWL</w:t>
                      </w:r>
                    </w:p>
                  </w:txbxContent>
                </v:textbox>
              </v:shape>
            </w:pict>
          </mc:Fallback>
        </mc:AlternateContent>
      </w:r>
    </w:p>
    <w:p w14:paraId="53060A97" w14:textId="77777777" w:rsidR="00A93957" w:rsidRDefault="00A93957" w:rsidP="00A93957">
      <w:pPr>
        <w:pStyle w:val="Paragraph"/>
      </w:pPr>
    </w:p>
    <w:p w14:paraId="29D11428" w14:textId="77777777" w:rsidR="00A93957" w:rsidRDefault="00A93957" w:rsidP="00A93957">
      <w:pPr>
        <w:pStyle w:val="Paragraph"/>
      </w:pPr>
      <w:r>
        <w:rPr>
          <w:noProof/>
        </w:rPr>
        <mc:AlternateContent>
          <mc:Choice Requires="wps">
            <w:drawing>
              <wp:anchor distT="0" distB="0" distL="114300" distR="114300" simplePos="0" relativeHeight="251658254" behindDoc="0" locked="0" layoutInCell="1" allowOverlap="1" wp14:anchorId="2A32C2D6" wp14:editId="4956C270">
                <wp:simplePos x="0" y="0"/>
                <wp:positionH relativeFrom="column">
                  <wp:posOffset>2308860</wp:posOffset>
                </wp:positionH>
                <wp:positionV relativeFrom="paragraph">
                  <wp:posOffset>225425</wp:posOffset>
                </wp:positionV>
                <wp:extent cx="1152525" cy="295275"/>
                <wp:effectExtent l="0" t="0" r="28575" b="28575"/>
                <wp:wrapNone/>
                <wp:docPr id="24" name="Text Box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152525" cy="295275"/>
                        </a:xfrm>
                        <a:prstGeom prst="rect">
                          <a:avLst/>
                        </a:prstGeom>
                        <a:solidFill>
                          <a:schemeClr val="lt1"/>
                        </a:solidFill>
                        <a:ln w="6350">
                          <a:solidFill>
                            <a:prstClr val="black"/>
                          </a:solidFill>
                        </a:ln>
                      </wps:spPr>
                      <wps:txbx>
                        <w:txbxContent>
                          <w:p w14:paraId="00007611" w14:textId="77777777" w:rsidR="009A2F94" w:rsidRDefault="009A2F94" w:rsidP="00A93957">
                            <w:r>
                              <w:t>Geographic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32C2D6" id="Text Box 24" o:spid="_x0000_s1035" type="#_x0000_t202" style="position:absolute;margin-left:181.8pt;margin-top:17.75pt;width:90.75pt;height:23.25pt;z-index:2516582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" fillcolor="white [3201]" strokeweight=".5pt">
                <v:textbox>
                  <w:txbxContent>
                    <w:p w14:paraId="00007611" w14:textId="77777777" w:rsidR="009A2F94" w:rsidRDefault="009A2F94" w:rsidP="00A93957">
                      <w:r>
                        <w:t>Geographic area</w:t>
                      </w:r>
                    </w:p>
                  </w:txbxContent>
                </v:textbox>
              </v:shape>
            </w:pict>
          </mc:Fallback>
        </mc:AlternateContent>
      </w:r>
      <w:r>
        <w:rPr>
          <w:noProof/>
        </w:rPr>
        <mc:AlternateContent>
          <mc:Choice Requires="wps">
            <w:drawing>
              <wp:anchor distT="0" distB="0" distL="114300" distR="114300" simplePos="0" relativeHeight="251658253" behindDoc="0" locked="0" layoutInCell="1" allowOverlap="1" wp14:anchorId="7E1A5A6B" wp14:editId="1709C19B">
                <wp:simplePos x="0" y="0"/>
                <wp:positionH relativeFrom="column">
                  <wp:posOffset>175259</wp:posOffset>
                </wp:positionH>
                <wp:positionV relativeFrom="paragraph">
                  <wp:posOffset>225425</wp:posOffset>
                </wp:positionV>
                <wp:extent cx="4943475" cy="0"/>
                <wp:effectExtent l="0" t="76200" r="9525" b="95250"/>
                <wp:wrapNone/>
                <wp:docPr id="23" name="Straight Arrow Connector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9434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25C0719" id="_x0000_t32" coordsize="21600,21600" o:spt="32" o:oned="t" path="m,l21600,21600e" filled="f">
                <v:path arrowok="t" fillok="f" o:connecttype="none"/>
                <o:lock v:ext="edit" shapetype="t"/>
              </v:shapetype>
              <v:shape id="Straight Arrow Connector 23" o:spid="_x0000_s1026" type="#_x0000_t32" style="position:absolute;margin-left:13.8pt;margin-top:17.75pt;width:389.25pt;height:0;z-index:25165825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" strokecolor="black [3213]">
                <v:stroke endarrow="block"/>
              </v:shape>
            </w:pict>
          </mc:Fallback>
        </mc:AlternateContent>
      </w:r>
    </w:p>
    <w:p w14:paraId="54FEF914" w14:textId="3E7085FA" w:rsidR="00A93957" w:rsidRDefault="00A93957" w:rsidP="00A93957">
      <w:pPr>
        <w:pStyle w:val="Paragraph"/>
      </w:pPr>
    </w:p>
    <w:p w14:paraId="7DD09CA3" w14:textId="77777777" w:rsidR="0077787C" w:rsidRDefault="0077787C" w:rsidP="00A93957">
      <w:pPr>
        <w:pStyle w:val="Paragraph"/>
      </w:pPr>
    </w:p>
    <w:p w14:paraId="54A65718" w14:textId="14645A65" w:rsidR="00A93957" w:rsidRDefault="00A93957" w:rsidP="00E060F8">
      <w:pPr>
        <w:pStyle w:val="ACMAFigureHeader"/>
        <w:rPr>
          <w:rFonts w:eastAsia="Arial" w:cs="Arial"/>
        </w:rPr>
      </w:pPr>
      <w:r>
        <w:rPr>
          <w:rFonts w:eastAsia="Arial"/>
        </w:rPr>
        <w:t xml:space="preserve">Examples of when AWLs may overlap in </w:t>
      </w:r>
      <w:r w:rsidR="00A534A0">
        <w:rPr>
          <w:rFonts w:eastAsia="Arial"/>
        </w:rPr>
        <w:t xml:space="preserve">both </w:t>
      </w:r>
      <w:r>
        <w:rPr>
          <w:rFonts w:eastAsia="Arial"/>
        </w:rPr>
        <w:t>frequency and area in sole-primary frequencies and areas</w:t>
      </w:r>
      <w:r w:rsidR="00E634A0">
        <w:rPr>
          <w:rFonts w:eastAsia="Arial"/>
        </w:rPr>
        <w:t>.</w:t>
      </w:r>
      <w:r>
        <w:rPr>
          <w:rFonts w:eastAsia="Arial"/>
        </w:rPr>
        <w:t xml:space="preserve"> (Yellow = AWL</w:t>
      </w:r>
      <w:r w:rsidR="00844C8B">
        <w:rPr>
          <w:rFonts w:eastAsia="Arial"/>
        </w:rPr>
        <w:t xml:space="preserve"> without earth-station-only condition</w:t>
      </w:r>
      <w:r w:rsidR="00E634A0">
        <w:rPr>
          <w:rFonts w:eastAsia="Arial"/>
        </w:rPr>
        <w:t>;</w:t>
      </w:r>
      <w:r>
        <w:rPr>
          <w:rFonts w:eastAsia="Arial"/>
        </w:rPr>
        <w:t xml:space="preserve"> blue = AWLs</w:t>
      </w:r>
      <w:r w:rsidR="00844C8B">
        <w:rPr>
          <w:rFonts w:eastAsia="Arial"/>
        </w:rPr>
        <w:t xml:space="preserve"> with earth-station-onl</w:t>
      </w:r>
      <w:r w:rsidR="000F507D">
        <w:rPr>
          <w:rFonts w:eastAsia="Arial"/>
        </w:rPr>
        <w:t xml:space="preserve">y </w:t>
      </w:r>
      <w:r w:rsidR="00E060F8">
        <w:rPr>
          <w:rFonts w:eastAsia="Arial"/>
        </w:rPr>
        <w:t>condition</w:t>
      </w:r>
      <w:r w:rsidR="00E634A0">
        <w:rPr>
          <w:rFonts w:eastAsia="Arial"/>
        </w:rPr>
        <w:t>.</w:t>
      </w:r>
      <w:r>
        <w:rPr>
          <w:rFonts w:eastAsia="Arial"/>
        </w:rPr>
        <w:t>)</w:t>
      </w:r>
    </w:p>
    <w:p w14:paraId="0C6823F7" w14:textId="5D7F5FBD" w:rsidR="00A93957" w:rsidRDefault="00E83E7F" w:rsidP="00A93957">
      <w:pPr>
        <w:pStyle w:val="Paragraph"/>
      </w:pPr>
      <w:r>
        <w:rPr>
          <w:noProof/>
        </w:rPr>
        <mc:AlternateContent>
          <mc:Choice Requires="wps">
            <w:drawing>
              <wp:anchor distT="0" distB="0" distL="114300" distR="114300" simplePos="0" relativeHeight="251658271" behindDoc="0" locked="0" layoutInCell="1" allowOverlap="1" wp14:anchorId="28E86965" wp14:editId="206E1243">
                <wp:simplePos x="0" y="0"/>
                <wp:positionH relativeFrom="column">
                  <wp:posOffset>3918585</wp:posOffset>
                </wp:positionH>
                <wp:positionV relativeFrom="paragraph">
                  <wp:posOffset>25400</wp:posOffset>
                </wp:positionV>
                <wp:extent cx="1428750" cy="619125"/>
                <wp:effectExtent l="0" t="0" r="19050" b="28575"/>
                <wp:wrapNone/>
                <wp:docPr id="10" name="Flowchart: Magnetic Disk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28750" cy="619125"/>
                        </a:xfrm>
                        <a:prstGeom prst="flowChartMagneticDisk">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65CB10" w14:textId="77777777" w:rsidR="009A2F94" w:rsidRDefault="009A2F94" w:rsidP="00E83E7F">
                            <w:pPr>
                              <w:jc w:val="center"/>
                            </w:pPr>
                            <w:r>
                              <w:t>Proposed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86965" id="Flowchart: Magnetic Disk 10" o:spid="_x0000_s1036" type="#_x0000_t132" style="position:absolute;margin-left:308.55pt;margin-top:2pt;width:112.5pt;height:48.7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" fillcolor="#00b050" strokecolor="#243f60 [1604]" strokeweight="2pt">
                <v:textbox>
                  <w:txbxContent>
                    <w:p w14:paraId="0265CB10" w14:textId="77777777" w:rsidR="009A2F94" w:rsidRDefault="009A2F94" w:rsidP="00E83E7F">
                      <w:pPr>
                        <w:jc w:val="center"/>
                      </w:pPr>
                      <w:r>
                        <w:t>Proposed AWL</w:t>
                      </w:r>
                    </w:p>
                  </w:txbxContent>
                </v:textbox>
              </v:shape>
            </w:pict>
          </mc:Fallback>
        </mc:AlternateContent>
      </w:r>
      <w:r w:rsidR="00A93957">
        <w:rPr>
          <w:noProof/>
        </w:rPr>
        <mc:AlternateContent>
          <mc:Choice Requires="wps">
            <w:drawing>
              <wp:anchor distT="0" distB="0" distL="114300" distR="114300" simplePos="0" relativeHeight="251658255" behindDoc="0" locked="0" layoutInCell="1" allowOverlap="1" wp14:anchorId="611499A6" wp14:editId="39BF6A6F">
                <wp:simplePos x="0" y="0"/>
                <wp:positionH relativeFrom="column">
                  <wp:posOffset>1223010</wp:posOffset>
                </wp:positionH>
                <wp:positionV relativeFrom="paragraph">
                  <wp:posOffset>25400</wp:posOffset>
                </wp:positionV>
                <wp:extent cx="2552700" cy="619125"/>
                <wp:effectExtent l="0" t="0" r="19050" b="28575"/>
                <wp:wrapNone/>
                <wp:docPr id="25" name="Flowchart: Magnetic Disk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552700" cy="619125"/>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BE2CA4" w14:textId="77777777" w:rsidR="009A2F94" w:rsidRDefault="009A2F94" w:rsidP="00A93957">
                            <w:pPr>
                              <w:jc w:val="center"/>
                            </w:pPr>
                            <w:r>
                              <w:t>Proposed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499A6" id="Flowchart: Magnetic Disk 25" o:spid="_x0000_s1037" type="#_x0000_t132" style="position:absolute;margin-left:96.3pt;margin-top:2pt;width:201pt;height:48.7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" fillcolor="#4f81bd [3204]" strokecolor="#243f60 [1604]" strokeweight="2pt">
                <v:textbox>
                  <w:txbxContent>
                    <w:p w14:paraId="2CBE2CA4" w14:textId="77777777" w:rsidR="009A2F94" w:rsidRDefault="009A2F94" w:rsidP="00A93957">
                      <w:pPr>
                        <w:jc w:val="center"/>
                      </w:pPr>
                      <w:r>
                        <w:t>Proposed AWL</w:t>
                      </w:r>
                    </w:p>
                  </w:txbxContent>
                </v:textbox>
              </v:shape>
            </w:pict>
          </mc:Fallback>
        </mc:AlternateContent>
      </w:r>
    </w:p>
    <w:p w14:paraId="123871F5" w14:textId="3AFBC997" w:rsidR="00A93957" w:rsidRDefault="00E83E7F" w:rsidP="00A93957">
      <w:pPr>
        <w:pStyle w:val="Paragraph"/>
      </w:pPr>
      <w:r w:rsidRPr="00E83E7F">
        <w:rPr>
          <w:noProof/>
        </w:rPr>
        <mc:AlternateContent>
          <mc:Choice Requires="wps">
            <w:drawing>
              <wp:anchor distT="0" distB="0" distL="114300" distR="114300" simplePos="0" relativeHeight="251658272" behindDoc="0" locked="0" layoutInCell="1" allowOverlap="1" wp14:anchorId="3CA0547A" wp14:editId="6C550CCE">
                <wp:simplePos x="0" y="0"/>
                <wp:positionH relativeFrom="column">
                  <wp:posOffset>5343525</wp:posOffset>
                </wp:positionH>
                <wp:positionV relativeFrom="paragraph">
                  <wp:posOffset>325755</wp:posOffset>
                </wp:positionV>
                <wp:extent cx="0" cy="1190625"/>
                <wp:effectExtent l="76200" t="38100" r="57150" b="9525"/>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0" cy="119062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81AFBA" id="Straight Connector 14" o:spid="_x0000_s1026" style="position:absolute;flip:y;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0.75pt,25.65pt" to="420.75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" strokecolor="#4579b8 [3044]">
                <v:stroke dashstyle="longDash" endarrow="block"/>
              </v:line>
            </w:pict>
          </mc:Fallback>
        </mc:AlternateContent>
      </w:r>
    </w:p>
    <w:p w14:paraId="1A787276" w14:textId="63304719" w:rsidR="00A93957" w:rsidRDefault="00824B41" w:rsidP="00A93957">
      <w:pPr>
        <w:pStyle w:val="Paragraph"/>
      </w:pPr>
      <w:r>
        <w:rPr>
          <w:noProof/>
        </w:rPr>
        <mc:AlternateContent>
          <mc:Choice Requires="wps">
            <w:drawing>
              <wp:anchor distT="0" distB="0" distL="114300" distR="114300" simplePos="0" relativeHeight="251658240" behindDoc="0" locked="0" layoutInCell="1" allowOverlap="1" wp14:anchorId="794C5F69" wp14:editId="7F62F2D8">
                <wp:simplePos x="0" y="0"/>
                <wp:positionH relativeFrom="column">
                  <wp:posOffset>4004310</wp:posOffset>
                </wp:positionH>
                <wp:positionV relativeFrom="paragraph">
                  <wp:posOffset>34925</wp:posOffset>
                </wp:positionV>
                <wp:extent cx="1285875" cy="1352550"/>
                <wp:effectExtent l="0" t="0" r="9525" b="0"/>
                <wp:wrapNone/>
                <wp:docPr id="17" name="Text Box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85875" cy="1352550"/>
                        </a:xfrm>
                        <a:prstGeom prst="rect">
                          <a:avLst/>
                        </a:prstGeom>
                        <a:solidFill>
                          <a:schemeClr val="lt1"/>
                        </a:solidFill>
                        <a:ln w="6350">
                          <a:noFill/>
                        </a:ln>
                      </wps:spPr>
                      <wps:txbx>
                        <w:txbxContent>
                          <w:p w14:paraId="14E27D29" w14:textId="134E4806" w:rsidR="009A2F94" w:rsidRDefault="009A2F94" w:rsidP="00E83E7F">
                            <w:r>
                              <w:t>New earth stations not required to protect existing or future AWL receivers located in sole-primary frequencies and areas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C5F69" id="Text Box 17" o:spid="_x0000_s1038" type="#_x0000_t202" style="position:absolute;margin-left:315.3pt;margin-top:2.75pt;width:101.25pt;height:1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" fillcolor="white [3201]" stroked="f" strokeweight=".5pt">
                <v:textbox>
                  <w:txbxContent>
                    <w:p w14:paraId="14E27D29" w14:textId="134E4806" w:rsidR="009A2F94" w:rsidRDefault="009A2F94" w:rsidP="00E83E7F">
                      <w:r>
                        <w:t>New earth stations not required to protect existing or future AWL receivers located in sole-primary frequencies and areas</w:t>
                      </w:r>
                    </w:p>
                  </w:txbxContent>
                </v:textbox>
              </v:shape>
            </w:pict>
          </mc:Fallback>
        </mc:AlternateContent>
      </w:r>
      <w:r w:rsidR="00F84B10">
        <w:rPr>
          <w:noProof/>
        </w:rPr>
        <mc:AlternateContent>
          <mc:Choice Requires="wps">
            <w:drawing>
              <wp:anchor distT="0" distB="0" distL="114300" distR="114300" simplePos="0" relativeHeight="251658259" behindDoc="0" locked="0" layoutInCell="1" allowOverlap="1" wp14:anchorId="277E24DD" wp14:editId="120B5676">
                <wp:simplePos x="0" y="0"/>
                <wp:positionH relativeFrom="column">
                  <wp:posOffset>375285</wp:posOffset>
                </wp:positionH>
                <wp:positionV relativeFrom="paragraph">
                  <wp:posOffset>215900</wp:posOffset>
                </wp:positionV>
                <wp:extent cx="1838325" cy="904875"/>
                <wp:effectExtent l="0" t="0" r="9525" b="9525"/>
                <wp:wrapNone/>
                <wp:docPr id="31" name="Text Box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38325" cy="904875"/>
                        </a:xfrm>
                        <a:prstGeom prst="rect">
                          <a:avLst/>
                        </a:prstGeom>
                        <a:solidFill>
                          <a:schemeClr val="lt1"/>
                        </a:solidFill>
                        <a:ln w="6350">
                          <a:noFill/>
                        </a:ln>
                      </wps:spPr>
                      <wps:txbx>
                        <w:txbxContent>
                          <w:p w14:paraId="5FD52FB8" w14:textId="47BC131B" w:rsidR="009A2F94" w:rsidRDefault="009A2F94" w:rsidP="00A93957">
                            <w:r>
                              <w:t>New earth stations not required to protect existing or future AWL receivers located in sole-primary frequencies and areas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7E24DD" id="Text Box 31" o:spid="_x0000_s1039" type="#_x0000_t202" style="position:absolute;margin-left:29.55pt;margin-top:17pt;width:144.75pt;height:71.2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" fillcolor="white [3201]" stroked="f" strokeweight=".5pt">
                <v:textbox>
                  <w:txbxContent>
                    <w:p w14:paraId="5FD52FB8" w14:textId="47BC131B" w:rsidR="009A2F94" w:rsidRDefault="009A2F94" w:rsidP="00A93957">
                      <w:r>
                        <w:t>New earth stations not required to protect existing or future AWL receivers located in sole-primary frequencies and areas</w:t>
                      </w:r>
                    </w:p>
                  </w:txbxContent>
                </v:textbox>
              </v:shape>
            </w:pict>
          </mc:Fallback>
        </mc:AlternateContent>
      </w:r>
      <w:r w:rsidR="00E83E7F" w:rsidRPr="00E83E7F">
        <w:rPr>
          <w:noProof/>
        </w:rPr>
        <mc:AlternateContent>
          <mc:Choice Requires="wps">
            <w:drawing>
              <wp:anchor distT="0" distB="0" distL="114300" distR="114300" simplePos="0" relativeHeight="251658273" behindDoc="0" locked="0" layoutInCell="1" allowOverlap="1" wp14:anchorId="368E1900" wp14:editId="15D92F34">
                <wp:simplePos x="0" y="0"/>
                <wp:positionH relativeFrom="column">
                  <wp:posOffset>3939540</wp:posOffset>
                </wp:positionH>
                <wp:positionV relativeFrom="paragraph">
                  <wp:posOffset>14605</wp:posOffset>
                </wp:positionV>
                <wp:extent cx="0" cy="1190625"/>
                <wp:effectExtent l="76200" t="38100" r="57150" b="9525"/>
                <wp:wrapNone/>
                <wp:docPr id="15" name="Straight Connector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0" cy="119062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E589DB" id="Straight Connector 15" o:spid="_x0000_s1026" style="position:absolute;flip:y;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2pt,1.15pt" to="310.2pt,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" strokecolor="#4579b8 [3044]">
                <v:stroke dashstyle="longDash" endarrow="block"/>
              </v:line>
            </w:pict>
          </mc:Fallback>
        </mc:AlternateContent>
      </w:r>
      <w:r w:rsidR="00E83E7F">
        <w:rPr>
          <w:noProof/>
        </w:rPr>
        <mc:AlternateContent>
          <mc:Choice Requires="wps">
            <w:drawing>
              <wp:anchor distT="0" distB="0" distL="114300" distR="114300" simplePos="0" relativeHeight="251658262" behindDoc="0" locked="0" layoutInCell="1" allowOverlap="1" wp14:anchorId="22C5DD7A" wp14:editId="47F494D0">
                <wp:simplePos x="0" y="0"/>
                <wp:positionH relativeFrom="column">
                  <wp:posOffset>3775710</wp:posOffset>
                </wp:positionH>
                <wp:positionV relativeFrom="paragraph">
                  <wp:posOffset>53975</wp:posOffset>
                </wp:positionV>
                <wp:extent cx="0" cy="1171575"/>
                <wp:effectExtent l="76200" t="0" r="57150" b="47625"/>
                <wp:wrapNone/>
                <wp:docPr id="28" name="Straight Connector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225A01" id="Straight Connector 28" o:spid="_x0000_s1026" style="position:absolute;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3pt,4.25pt" to="297.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" strokecolor="#4579b8 [3044]">
                <v:stroke dashstyle="longDash" endarrow="block"/>
              </v:line>
            </w:pict>
          </mc:Fallback>
        </mc:AlternateContent>
      </w:r>
      <w:r w:rsidR="00E83E7F">
        <w:rPr>
          <w:noProof/>
        </w:rPr>
        <mc:AlternateContent>
          <mc:Choice Requires="wps">
            <w:drawing>
              <wp:anchor distT="0" distB="0" distL="114300" distR="114300" simplePos="0" relativeHeight="251658261" behindDoc="0" locked="0" layoutInCell="1" allowOverlap="1" wp14:anchorId="4A27D0D5" wp14:editId="0CFDCEE0">
                <wp:simplePos x="0" y="0"/>
                <wp:positionH relativeFrom="column">
                  <wp:posOffset>2479675</wp:posOffset>
                </wp:positionH>
                <wp:positionV relativeFrom="paragraph">
                  <wp:posOffset>120650</wp:posOffset>
                </wp:positionV>
                <wp:extent cx="9525" cy="1104900"/>
                <wp:effectExtent l="38100" t="0" r="66675" b="57150"/>
                <wp:wrapNone/>
                <wp:docPr id="29" name="Straight Connector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9525" cy="1104900"/>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1E7D4D" id="Straight Connector 29" o:spid="_x0000_s1026" style="position:absolute;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25pt,9.5pt" to="196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" strokecolor="#4579b8 [3044]">
                <v:stroke dashstyle="longDash" endarrow="block"/>
              </v:line>
            </w:pict>
          </mc:Fallback>
        </mc:AlternateContent>
      </w:r>
      <w:r w:rsidR="00E83E7F">
        <w:rPr>
          <w:noProof/>
        </w:rPr>
        <mc:AlternateContent>
          <mc:Choice Requires="wps">
            <w:drawing>
              <wp:anchor distT="0" distB="0" distL="114300" distR="114300" simplePos="0" relativeHeight="251658258" behindDoc="0" locked="0" layoutInCell="1" allowOverlap="1" wp14:anchorId="08563EF6" wp14:editId="7FF61CA5">
                <wp:simplePos x="0" y="0"/>
                <wp:positionH relativeFrom="column">
                  <wp:posOffset>2327910</wp:posOffset>
                </wp:positionH>
                <wp:positionV relativeFrom="paragraph">
                  <wp:posOffset>100965</wp:posOffset>
                </wp:positionV>
                <wp:extent cx="0" cy="1171575"/>
                <wp:effectExtent l="76200" t="0" r="57150" b="47625"/>
                <wp:wrapNone/>
                <wp:docPr id="33" name="Straight Connector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4DAB7" id="Straight Connector 33" o:spid="_x0000_s1026"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7.95pt" to="183.3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" strokecolor="#4579b8 [3044]">
                <v:stroke dashstyle="longDash" endarrow="block"/>
              </v:line>
            </w:pict>
          </mc:Fallback>
        </mc:AlternateContent>
      </w:r>
      <w:r w:rsidR="00A93957">
        <w:rPr>
          <w:noProof/>
        </w:rPr>
        <mc:AlternateContent>
          <mc:Choice Requires="wps">
            <w:drawing>
              <wp:anchor distT="0" distB="0" distL="114300" distR="114300" simplePos="0" relativeHeight="251658260" behindDoc="0" locked="0" layoutInCell="1" allowOverlap="1" wp14:anchorId="54B62652" wp14:editId="1FB5EBC4">
                <wp:simplePos x="0" y="0"/>
                <wp:positionH relativeFrom="column">
                  <wp:posOffset>371475</wp:posOffset>
                </wp:positionH>
                <wp:positionV relativeFrom="paragraph">
                  <wp:posOffset>104140</wp:posOffset>
                </wp:positionV>
                <wp:extent cx="0" cy="1171575"/>
                <wp:effectExtent l="76200" t="0" r="57150" b="47625"/>
                <wp:wrapNone/>
                <wp:docPr id="30" name="Straight Connector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171575"/>
                        </a:xfrm>
                        <a:prstGeom prst="line">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DC3B9C" id="Straight Connector 30" o:spid="_x0000_s1026" style="position:absolute;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5pt,8.2pt" to="29.25pt,10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" strokecolor="#4579b8 [3044]">
                <v:stroke dashstyle="longDash" endarrow="block"/>
              </v:line>
            </w:pict>
          </mc:Fallback>
        </mc:AlternateContent>
      </w:r>
    </w:p>
    <w:p w14:paraId="19CBE406" w14:textId="61C40928" w:rsidR="00A93957" w:rsidRDefault="00AE2772" w:rsidP="00A93957">
      <w:pPr>
        <w:pStyle w:val="Paragraph"/>
      </w:pPr>
      <w:r>
        <w:rPr>
          <w:noProof/>
        </w:rPr>
        <mc:AlternateContent>
          <mc:Choice Requires="wps">
            <w:drawing>
              <wp:anchor distT="0" distB="0" distL="114300" distR="114300" simplePos="0" relativeHeight="251658263" behindDoc="0" locked="0" layoutInCell="1" allowOverlap="1" wp14:anchorId="70827352" wp14:editId="5800A86F">
                <wp:simplePos x="0" y="0"/>
                <wp:positionH relativeFrom="column">
                  <wp:posOffset>2556510</wp:posOffset>
                </wp:positionH>
                <wp:positionV relativeFrom="paragraph">
                  <wp:posOffset>92075</wp:posOffset>
                </wp:positionV>
                <wp:extent cx="1133475" cy="533400"/>
                <wp:effectExtent l="0" t="0" r="9525" b="0"/>
                <wp:wrapNone/>
                <wp:docPr id="27" name="Text Box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133475" cy="533400"/>
                        </a:xfrm>
                        <a:prstGeom prst="rect">
                          <a:avLst/>
                        </a:prstGeom>
                        <a:solidFill>
                          <a:schemeClr val="lt1"/>
                        </a:solidFill>
                        <a:ln w="6350">
                          <a:noFill/>
                        </a:ln>
                      </wps:spPr>
                      <wps:txbx>
                        <w:txbxContent>
                          <w:p w14:paraId="5C99E7EA" w14:textId="498C091F" w:rsidR="009A2F94" w:rsidRDefault="009A2F94" w:rsidP="00A93957">
                            <w:r>
                              <w:t>No protection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27352" id="Text Box 27" o:spid="_x0000_s1040" type="#_x0000_t202" style="position:absolute;margin-left:201.3pt;margin-top:7.25pt;width:89.25pt;height:42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" fillcolor="white [3201]" stroked="f" strokeweight=".5pt">
                <v:textbox>
                  <w:txbxContent>
                    <w:p w14:paraId="5C99E7EA" w14:textId="498C091F" w:rsidR="009A2F94" w:rsidRDefault="009A2F94" w:rsidP="00A93957">
                      <w:r>
                        <w:t>No protection required</w:t>
                      </w:r>
                    </w:p>
                  </w:txbxContent>
                </v:textbox>
              </v:shape>
            </w:pict>
          </mc:Fallback>
        </mc:AlternateContent>
      </w:r>
    </w:p>
    <w:p w14:paraId="3DF774C6" w14:textId="0B3C6861" w:rsidR="00A93957" w:rsidRDefault="00A93957" w:rsidP="00A93957">
      <w:pPr>
        <w:pStyle w:val="Paragraph"/>
      </w:pPr>
    </w:p>
    <w:p w14:paraId="5947AB6A" w14:textId="7AEBADC2" w:rsidR="00A93957" w:rsidRPr="00DA152E" w:rsidRDefault="00A93957" w:rsidP="00A93957">
      <w:pPr>
        <w:pStyle w:val="Paragraph"/>
      </w:pPr>
    </w:p>
    <w:p w14:paraId="2D87F965" w14:textId="054D5636" w:rsidR="00A93957" w:rsidRDefault="00824B41" w:rsidP="00A93957">
      <w:pPr>
        <w:pStyle w:val="Paragraph"/>
      </w:pPr>
      <w:r>
        <w:rPr>
          <w:noProof/>
        </w:rPr>
        <mc:AlternateContent>
          <mc:Choice Requires="wps">
            <w:drawing>
              <wp:anchor distT="0" distB="0" distL="114300" distR="114300" simplePos="0" relativeHeight="251658256" behindDoc="0" locked="0" layoutInCell="1" allowOverlap="1" wp14:anchorId="73AD06B3" wp14:editId="2C4A93AD">
                <wp:simplePos x="0" y="0"/>
                <wp:positionH relativeFrom="column">
                  <wp:posOffset>375285</wp:posOffset>
                </wp:positionH>
                <wp:positionV relativeFrom="paragraph">
                  <wp:posOffset>120650</wp:posOffset>
                </wp:positionV>
                <wp:extent cx="1952625" cy="533400"/>
                <wp:effectExtent l="0" t="0" r="28575" b="19050"/>
                <wp:wrapNone/>
                <wp:docPr id="35" name="Flowchart: Magnetic Disk 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52625" cy="533400"/>
                        </a:xfrm>
                        <a:prstGeom prst="flowChartMagneticDisk">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1D12B8" w14:textId="77777777" w:rsidR="009A2F94" w:rsidRDefault="009A2F94" w:rsidP="00A93957">
                            <w:pPr>
                              <w:jc w:val="center"/>
                            </w:pPr>
                            <w:r>
                              <w:t>Existing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D06B3" id="Flowchart: Magnetic Disk 35" o:spid="_x0000_s1041" type="#_x0000_t132" style="position:absolute;margin-left:29.55pt;margin-top:9.5pt;width:153.75pt;height:42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" fillcolor="#ffc000" strokecolor="#243f60 [1604]" strokeweight="2pt">
                <v:textbox>
                  <w:txbxContent>
                    <w:p w14:paraId="461D12B8" w14:textId="77777777" w:rsidR="009A2F94" w:rsidRDefault="009A2F94" w:rsidP="00A93957">
                      <w:pPr>
                        <w:jc w:val="center"/>
                      </w:pPr>
                      <w:r>
                        <w:t>Existing AWL</w:t>
                      </w:r>
                    </w:p>
                  </w:txbxContent>
                </v:textbox>
              </v:shape>
            </w:pict>
          </mc:Fallback>
        </mc:AlternateContent>
      </w:r>
      <w:r w:rsidR="00E83E7F">
        <w:rPr>
          <w:noProof/>
        </w:rPr>
        <mc:AlternateContent>
          <mc:Choice Requires="wps">
            <w:drawing>
              <wp:anchor distT="0" distB="0" distL="114300" distR="114300" simplePos="0" relativeHeight="251658257" behindDoc="0" locked="0" layoutInCell="1" allowOverlap="1" wp14:anchorId="526F9E1A" wp14:editId="44101629">
                <wp:simplePos x="0" y="0"/>
                <wp:positionH relativeFrom="column">
                  <wp:posOffset>2479675</wp:posOffset>
                </wp:positionH>
                <wp:positionV relativeFrom="paragraph">
                  <wp:posOffset>130175</wp:posOffset>
                </wp:positionV>
                <wp:extent cx="2867025" cy="533400"/>
                <wp:effectExtent l="0" t="0" r="28575" b="19050"/>
                <wp:wrapNone/>
                <wp:docPr id="34" name="Flowchart: Magnetic Disk 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67025" cy="533400"/>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62D89F" w14:textId="77777777" w:rsidR="009A2F94" w:rsidRDefault="009A2F94" w:rsidP="00A93957">
                            <w:pPr>
                              <w:jc w:val="center"/>
                            </w:pPr>
                            <w:r>
                              <w:t>Existing AWL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F9E1A" id="Flowchart: Magnetic Disk 34" o:spid="_x0000_s1042" type="#_x0000_t132" style="position:absolute;margin-left:195.25pt;margin-top:10.25pt;width:225.75pt;height:42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" fillcolor="#4f81bd [3204]" strokecolor="#243f60 [1604]" strokeweight="2pt">
                <v:textbox>
                  <w:txbxContent>
                    <w:p w14:paraId="1762D89F" w14:textId="77777777" w:rsidR="009A2F94" w:rsidRDefault="009A2F94" w:rsidP="00A93957">
                      <w:pPr>
                        <w:jc w:val="center"/>
                      </w:pPr>
                      <w:r>
                        <w:t>Existing AWL</w:t>
                      </w:r>
                    </w:p>
                  </w:txbxContent>
                </v:textbox>
              </v:shape>
            </w:pict>
          </mc:Fallback>
        </mc:AlternateContent>
      </w:r>
    </w:p>
    <w:p w14:paraId="54776325" w14:textId="77777777" w:rsidR="00A93957" w:rsidRDefault="00A93957" w:rsidP="00A93957">
      <w:pPr>
        <w:pStyle w:val="Paragraph"/>
      </w:pPr>
    </w:p>
    <w:p w14:paraId="032358EA" w14:textId="77777777" w:rsidR="00A93957" w:rsidRDefault="00A93957" w:rsidP="00A93957">
      <w:pPr>
        <w:pStyle w:val="Paragraph"/>
      </w:pPr>
      <w:r>
        <w:rPr>
          <w:noProof/>
        </w:rPr>
        <mc:AlternateContent>
          <mc:Choice Requires="wps">
            <w:drawing>
              <wp:anchor distT="0" distB="0" distL="114300" distR="114300" simplePos="0" relativeHeight="251658265" behindDoc="0" locked="0" layoutInCell="1" allowOverlap="1" wp14:anchorId="6C5AC3DA" wp14:editId="382EF338">
                <wp:simplePos x="0" y="0"/>
                <wp:positionH relativeFrom="column">
                  <wp:posOffset>2308860</wp:posOffset>
                </wp:positionH>
                <wp:positionV relativeFrom="paragraph">
                  <wp:posOffset>225425</wp:posOffset>
                </wp:positionV>
                <wp:extent cx="1152525" cy="295275"/>
                <wp:effectExtent l="0" t="0" r="28575" b="28575"/>
                <wp:wrapNone/>
                <wp:docPr id="36" name="Text Box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152525" cy="295275"/>
                        </a:xfrm>
                        <a:prstGeom prst="rect">
                          <a:avLst/>
                        </a:prstGeom>
                        <a:solidFill>
                          <a:schemeClr val="lt1"/>
                        </a:solidFill>
                        <a:ln w="6350">
                          <a:solidFill>
                            <a:prstClr val="black"/>
                          </a:solidFill>
                        </a:ln>
                      </wps:spPr>
                      <wps:txbx>
                        <w:txbxContent>
                          <w:p w14:paraId="6463F735" w14:textId="77777777" w:rsidR="009A2F94" w:rsidRDefault="009A2F94" w:rsidP="00A93957">
                            <w:r>
                              <w:t>Geographic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5AC3DA" id="Text Box 36" o:spid="_x0000_s1043" type="#_x0000_t202" style="position:absolute;margin-left:181.8pt;margin-top:17.75pt;width:90.75pt;height:23.25pt;z-index:251658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" fillcolor="white [3201]" strokeweight=".5pt">
                <v:textbox>
                  <w:txbxContent>
                    <w:p w14:paraId="6463F735" w14:textId="77777777" w:rsidR="009A2F94" w:rsidRDefault="009A2F94" w:rsidP="00A93957">
                      <w:r>
                        <w:t>Geographic area</w:t>
                      </w:r>
                    </w:p>
                  </w:txbxContent>
                </v:textbox>
              </v:shape>
            </w:pict>
          </mc:Fallback>
        </mc:AlternateContent>
      </w:r>
      <w:r>
        <w:rPr>
          <w:noProof/>
        </w:rPr>
        <mc:AlternateContent>
          <mc:Choice Requires="wps">
            <w:drawing>
              <wp:anchor distT="0" distB="0" distL="114300" distR="114300" simplePos="0" relativeHeight="251658264" behindDoc="0" locked="0" layoutInCell="1" allowOverlap="1" wp14:anchorId="4FEB674B" wp14:editId="21228191">
                <wp:simplePos x="0" y="0"/>
                <wp:positionH relativeFrom="column">
                  <wp:posOffset>175259</wp:posOffset>
                </wp:positionH>
                <wp:positionV relativeFrom="paragraph">
                  <wp:posOffset>225425</wp:posOffset>
                </wp:positionV>
                <wp:extent cx="4943475" cy="0"/>
                <wp:effectExtent l="0" t="76200" r="9525" b="95250"/>
                <wp:wrapNone/>
                <wp:docPr id="37" name="Straight Arrow Connector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9434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8A3E95" id="Straight Arrow Connector 37" o:spid="_x0000_s1026" type="#_x0000_t32" style="position:absolute;margin-left:13.8pt;margin-top:17.75pt;width:389.25pt;height:0;z-index:251658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" strokecolor="black [3213]">
                <v:stroke endarrow="block"/>
              </v:shape>
            </w:pict>
          </mc:Fallback>
        </mc:AlternateContent>
      </w:r>
    </w:p>
    <w:p w14:paraId="7E16ADA5" w14:textId="793CAC60" w:rsidR="00A93957" w:rsidRDefault="00A93957" w:rsidP="00A93957">
      <w:pPr>
        <w:pStyle w:val="Paragraph"/>
      </w:pPr>
    </w:p>
    <w:p w14:paraId="47108C54" w14:textId="77777777" w:rsidR="00A93957" w:rsidRDefault="00A93957" w:rsidP="00A93957">
      <w:pPr>
        <w:pStyle w:val="Paragraph"/>
      </w:pPr>
    </w:p>
    <w:p w14:paraId="30831A0B" w14:textId="4C55F5A8" w:rsidR="00B432EC" w:rsidRPr="00B432EC" w:rsidRDefault="00A93957" w:rsidP="00B432EC">
      <w:pPr>
        <w:pStyle w:val="Paragraph"/>
      </w:pPr>
      <w:r>
        <w:t>It is proposed to import relevant portions of current FSS coordination arrangements into the new frameworks. RALI MS 38 will continue to contain the coordination</w:t>
      </w:r>
      <w:r w:rsidRPr="00471AF0">
        <w:t xml:space="preserve"> </w:t>
      </w:r>
      <w:r w:rsidRPr="00E13578">
        <w:t>requirements between new AWL earth stations and existing point-to-point fixed links</w:t>
      </w:r>
      <w:r w:rsidR="00E634A0">
        <w:t>. H</w:t>
      </w:r>
      <w:r w:rsidRPr="00E13578">
        <w:t>owever</w:t>
      </w:r>
      <w:r w:rsidR="00E634A0">
        <w:t>,</w:t>
      </w:r>
      <w:r w:rsidRPr="00E13578">
        <w:t xml:space="preserve"> the remainder of RALI MS 38 will no longer apply to ear</w:t>
      </w:r>
      <w:r w:rsidRPr="001411CD">
        <w:t xml:space="preserve">th stations </w:t>
      </w:r>
      <w:r w:rsidRPr="001411CD">
        <w:lastRenderedPageBreak/>
        <w:t>authorised under an AWL</w:t>
      </w:r>
      <w:r w:rsidR="00E634A0">
        <w:t>,</w:t>
      </w:r>
      <w:r w:rsidRPr="001411CD">
        <w:t xml:space="preserve"> as these arrangements will be transferred into the AWL LCD and RALI</w:t>
      </w:r>
      <w:r w:rsidR="009A2F94">
        <w:t xml:space="preserve"> </w:t>
      </w:r>
      <w:r w:rsidRPr="001411CD">
        <w:t>[new]</w:t>
      </w:r>
      <w:r w:rsidR="00E634A0">
        <w:t>. T</w:t>
      </w:r>
      <w:r w:rsidRPr="001411CD">
        <w:t>hese are discussed further in later sections of this paper.</w:t>
      </w:r>
      <w:r w:rsidRPr="00A424DD">
        <w:rPr>
          <w:rStyle w:val="FootnoteReference"/>
        </w:rPr>
        <w:footnoteReference w:id="18"/>
      </w:r>
    </w:p>
    <w:p w14:paraId="1FD6444F" w14:textId="18BE1330" w:rsidR="004D5020" w:rsidRPr="00E13578" w:rsidRDefault="001B1D9E" w:rsidP="00A93957">
      <w:pPr>
        <w:pStyle w:val="Paragraph"/>
      </w:pPr>
      <w:r>
        <w:t>The</w:t>
      </w:r>
      <w:r w:rsidR="002311F3">
        <w:t xml:space="preserve"> earth station requirements currently contained in </w:t>
      </w:r>
      <w:hyperlink r:id="rId37" w:history="1">
        <w:r w:rsidR="002311F3" w:rsidRPr="0075642B">
          <w:rPr>
            <w:rStyle w:val="Hyperlink"/>
          </w:rPr>
          <w:t>bu</w:t>
        </w:r>
        <w:r w:rsidR="00FC77A1" w:rsidRPr="0075642B">
          <w:rPr>
            <w:rStyle w:val="Hyperlink"/>
          </w:rPr>
          <w:t>siness operating procedures</w:t>
        </w:r>
      </w:hyperlink>
      <w:r w:rsidR="00FC77A1">
        <w:t xml:space="preserve"> (BoPs)</w:t>
      </w:r>
      <w:r w:rsidR="00800EE8">
        <w:t xml:space="preserve">, </w:t>
      </w:r>
      <w:r w:rsidR="005A3A41">
        <w:t xml:space="preserve">such as the </w:t>
      </w:r>
      <w:r w:rsidR="001C6BC1">
        <w:t>‘</w:t>
      </w:r>
      <w:hyperlink r:id="rId38" w:history="1">
        <w:r w:rsidR="001C6BC1" w:rsidRPr="004F11D1">
          <w:rPr>
            <w:rStyle w:val="Hyperlink"/>
            <w:color w:val="auto"/>
            <w:u w:val="none"/>
          </w:rPr>
          <w:t>Submission and processing of applications for earth and earth receiver apparatus licences from fixed earth stations’</w:t>
        </w:r>
      </w:hyperlink>
      <w:r w:rsidR="005A3A41" w:rsidRPr="004F11D1">
        <w:rPr>
          <w:rStyle w:val="Hyperlink"/>
          <w:color w:val="auto"/>
          <w:u w:val="none"/>
        </w:rPr>
        <w:t>,</w:t>
      </w:r>
      <w:r w:rsidR="005A3A41" w:rsidRPr="00E37609">
        <w:t xml:space="preserve"> </w:t>
      </w:r>
      <w:r w:rsidR="00427CE7">
        <w:t>will still be required to be met</w:t>
      </w:r>
      <w:r w:rsidR="00E95A4B">
        <w:t xml:space="preserve"> and will be incorporate</w:t>
      </w:r>
      <w:r w:rsidR="00161B6B">
        <w:t>d</w:t>
      </w:r>
      <w:r w:rsidR="00E95A4B">
        <w:t xml:space="preserve"> by re</w:t>
      </w:r>
      <w:r w:rsidR="00A6275B">
        <w:t>f</w:t>
      </w:r>
      <w:r w:rsidR="00E95A4B" w:rsidRPr="00E13578">
        <w:t>erence into RALI</w:t>
      </w:r>
      <w:r w:rsidR="009A2F94">
        <w:t xml:space="preserve"> </w:t>
      </w:r>
      <w:r w:rsidR="00E95A4B" w:rsidRPr="00E13578">
        <w:t>[new].</w:t>
      </w:r>
    </w:p>
    <w:p w14:paraId="308AE732" w14:textId="77777777" w:rsidR="00A93957" w:rsidRPr="00471AF0" w:rsidRDefault="00A93957" w:rsidP="00A93957">
      <w:pPr>
        <w:pStyle w:val="Heading3"/>
        <w:rPr>
          <w:rFonts w:eastAsia="Arial"/>
        </w:rPr>
      </w:pPr>
      <w:r w:rsidRPr="00471AF0">
        <w:rPr>
          <w:rFonts w:eastAsia="Arial"/>
        </w:rPr>
        <w:t>Shared use of the ban</w:t>
      </w:r>
      <w:r>
        <w:rPr>
          <w:rFonts w:eastAsia="Arial"/>
        </w:rPr>
        <w:t>d</w:t>
      </w:r>
    </w:p>
    <w:p w14:paraId="5BD442C7" w14:textId="6174AC18" w:rsidR="00A93957" w:rsidRDefault="7D0176B0" w:rsidP="004F11D1">
      <w:pPr>
        <w:pStyle w:val="Paragraphbeforelist"/>
      </w:pPr>
      <w:r>
        <w:t>To give effect to the ACMA’s planning decisions in the 28 GHz band (27.5</w:t>
      </w:r>
      <w:r w:rsidR="00DC4EFA">
        <w:t>–</w:t>
      </w:r>
      <w:r>
        <w:t xml:space="preserve">29.5 GHz), for </w:t>
      </w:r>
      <w:r w:rsidR="009B41E9">
        <w:t>f</w:t>
      </w:r>
      <w:r>
        <w:t xml:space="preserve">ixed </w:t>
      </w:r>
      <w:r w:rsidR="009B41E9">
        <w:t>w</w:t>
      </w:r>
      <w:r>
        <w:t xml:space="preserve">ireless </w:t>
      </w:r>
      <w:r w:rsidR="009B41E9">
        <w:t>a</w:t>
      </w:r>
      <w:r>
        <w:t>ccess (FWA)</w:t>
      </w:r>
      <w:r w:rsidR="00A93957">
        <w:rPr>
          <w:rStyle w:val="FootnoteReference"/>
        </w:rPr>
        <w:footnoteReference w:id="19"/>
      </w:r>
      <w:r>
        <w:t xml:space="preserve"> and </w:t>
      </w:r>
      <w:r w:rsidR="009629A1">
        <w:t>FSS, the</w:t>
      </w:r>
      <w:r>
        <w:t xml:space="preserve"> following arrangements are proposed:</w:t>
      </w:r>
    </w:p>
    <w:p w14:paraId="7912AF6C" w14:textId="53FAF2AE" w:rsidR="00A93957" w:rsidRDefault="7D0176B0" w:rsidP="004F11D1">
      <w:pPr>
        <w:pStyle w:val="ListBullet"/>
      </w:pPr>
      <w:r>
        <w:t>FSS earth stations will have priority over FWA in sole-primary frequencies and</w:t>
      </w:r>
      <w:r w:rsidR="0038780D">
        <w:t> </w:t>
      </w:r>
      <w:r>
        <w:t>areas.</w:t>
      </w:r>
    </w:p>
    <w:p w14:paraId="5CE0A7FC" w14:textId="77777777" w:rsidR="00A93957" w:rsidRDefault="7D0176B0" w:rsidP="004F11D1">
      <w:pPr>
        <w:pStyle w:val="ListBulletLast"/>
      </w:pPr>
      <w:r>
        <w:t>FSS earth stations and wireless broadband services will have equal priority in co-primary frequencies and areas.</w:t>
      </w:r>
    </w:p>
    <w:p w14:paraId="3199622A" w14:textId="5B71C49B" w:rsidR="00A93957" w:rsidRDefault="00A93957" w:rsidP="004F11D1">
      <w:pPr>
        <w:pStyle w:val="Paragraphbeforelist"/>
      </w:pPr>
      <w:r>
        <w:t>These sole-primary and co-primary arrangements will be implemented by not requiring earth stations to be coordinated with or protect secondary FWA receivers. In particular:</w:t>
      </w:r>
    </w:p>
    <w:p w14:paraId="6457A326" w14:textId="00CB2E24" w:rsidR="00A93957" w:rsidRDefault="0038780D" w:rsidP="004F11D1">
      <w:pPr>
        <w:pStyle w:val="ListBullet"/>
      </w:pPr>
      <w:r>
        <w:t>A</w:t>
      </w:r>
      <w:r w:rsidR="7D0176B0">
        <w:t>n AWL which only permits the operation of earth stations will be able to overlap (in frequency and area) with any existing AWL in the sole-primary frequencies and</w:t>
      </w:r>
      <w:r>
        <w:t> </w:t>
      </w:r>
      <w:r w:rsidR="7D0176B0">
        <w:t>areas.</w:t>
      </w:r>
    </w:p>
    <w:p w14:paraId="111AC3FF" w14:textId="5E77EAB4" w:rsidR="00A93957" w:rsidRDefault="0038780D" w:rsidP="004F11D1">
      <w:pPr>
        <w:pStyle w:val="ListBulletLast"/>
      </w:pPr>
      <w:r>
        <w:t>N</w:t>
      </w:r>
      <w:r w:rsidR="7D0176B0">
        <w:t>ew or existing</w:t>
      </w:r>
      <w:r w:rsidR="00CE2E87">
        <w:t xml:space="preserve"> </w:t>
      </w:r>
      <w:r w:rsidR="7D0176B0">
        <w:t xml:space="preserve">earth stations will not be required to protect new or existing </w:t>
      </w:r>
      <w:r w:rsidR="00C15945">
        <w:t xml:space="preserve">FWA </w:t>
      </w:r>
      <w:r w:rsidR="7D0176B0">
        <w:t xml:space="preserve">receivers operating in sole-primary frequencies and areas. Therefore, </w:t>
      </w:r>
      <w:r w:rsidR="007150E9">
        <w:t xml:space="preserve">these </w:t>
      </w:r>
      <w:r w:rsidR="7D0176B0">
        <w:t xml:space="preserve">earth stations will not be required to comply with AWL area and frequency boundary conditions when operating in sole-primary frequencies and areas (except at any co-primary frequency and area boundary). This is because these boundary conditions have been developed to protect </w:t>
      </w:r>
      <w:r w:rsidR="00623C65">
        <w:t xml:space="preserve">FWA </w:t>
      </w:r>
      <w:r w:rsidR="7D0176B0">
        <w:t>receivers</w:t>
      </w:r>
      <w:r>
        <w:t>—</w:t>
      </w:r>
      <w:r w:rsidR="7D0176B0">
        <w:t>it is not appropriate to impose them on sole-primary earth stations. As a result, only the single HCIS cell in which the earth station is located will be required to be included in the AWL in frequencies and areas where FSS is sole-primary.</w:t>
      </w:r>
    </w:p>
    <w:p w14:paraId="3899A375" w14:textId="5854E9AA" w:rsidR="00A93957" w:rsidRDefault="00A93957" w:rsidP="00B2270F">
      <w:pPr>
        <w:pStyle w:val="Heading1"/>
        <w:rPr>
          <w:rFonts w:eastAsia="Arial"/>
        </w:rPr>
      </w:pPr>
      <w:bookmarkStart w:id="28" w:name="_Draft_technical_framework"/>
      <w:bookmarkStart w:id="29" w:name="_Toc513143738"/>
      <w:bookmarkStart w:id="30" w:name="_Toc514146652"/>
      <w:bookmarkStart w:id="31" w:name="_Toc45799372"/>
      <w:bookmarkStart w:id="32" w:name="_Toc48723215"/>
      <w:bookmarkStart w:id="33" w:name="_Ref44916778"/>
      <w:bookmarkStart w:id="34" w:name="_Ref45711030"/>
      <w:bookmarkStart w:id="35" w:name="_Toc45799373"/>
      <w:bookmarkEnd w:id="28"/>
      <w:r>
        <w:rPr>
          <w:rFonts w:eastAsia="Arial"/>
        </w:rPr>
        <w:lastRenderedPageBreak/>
        <w:t>Draft technical framework for consultation</w:t>
      </w:r>
      <w:bookmarkEnd w:id="29"/>
      <w:bookmarkEnd w:id="30"/>
      <w:bookmarkEnd w:id="31"/>
      <w:bookmarkEnd w:id="32"/>
    </w:p>
    <w:p w14:paraId="79209478" w14:textId="72E5062D" w:rsidR="00A93957" w:rsidRDefault="00A93957" w:rsidP="00A93957">
      <w:pPr>
        <w:pStyle w:val="Paragraph"/>
        <w:rPr>
          <w:rFonts w:eastAsia="Arial"/>
        </w:rPr>
      </w:pPr>
      <w:r>
        <w:rPr>
          <w:rFonts w:eastAsia="Arial"/>
        </w:rPr>
        <w:t>Th</w:t>
      </w:r>
      <w:r w:rsidR="00763949">
        <w:rPr>
          <w:rFonts w:eastAsia="Arial"/>
        </w:rPr>
        <w:t xml:space="preserve">is section </w:t>
      </w:r>
      <w:r w:rsidR="00100FB4">
        <w:rPr>
          <w:rFonts w:eastAsia="Arial"/>
        </w:rPr>
        <w:t xml:space="preserve">discusses the key aspects of the </w:t>
      </w:r>
      <w:r>
        <w:rPr>
          <w:rFonts w:eastAsia="Arial"/>
        </w:rPr>
        <w:t>proposed technical framework for AWLs</w:t>
      </w:r>
      <w:r w:rsidR="0055363F">
        <w:rPr>
          <w:rFonts w:eastAsia="Arial"/>
        </w:rPr>
        <w:t>,</w:t>
      </w:r>
      <w:r w:rsidR="00AE26DF">
        <w:rPr>
          <w:rFonts w:eastAsia="Arial"/>
        </w:rPr>
        <w:t xml:space="preserve"> In particular, t</w:t>
      </w:r>
      <w:r w:rsidR="005D3EBC">
        <w:rPr>
          <w:rFonts w:eastAsia="Arial"/>
        </w:rPr>
        <w:t xml:space="preserve">he </w:t>
      </w:r>
      <w:r w:rsidR="0055363F" w:rsidRPr="00E37609">
        <w:rPr>
          <w:rFonts w:eastAsia="Arial"/>
          <w:i/>
          <w:iCs/>
        </w:rPr>
        <w:fldChar w:fldCharType="begin"/>
      </w:r>
      <w:r w:rsidR="0055363F" w:rsidRPr="00E37609">
        <w:rPr>
          <w:rFonts w:eastAsia="Arial"/>
          <w:i/>
          <w:iCs/>
        </w:rPr>
        <w:instrText xml:space="preserve"> REF _Ref46311811 \h </w:instrText>
      </w:r>
      <w:r w:rsidR="00967B38">
        <w:rPr>
          <w:rFonts w:eastAsia="Arial"/>
          <w:i/>
          <w:iCs/>
        </w:rPr>
        <w:instrText xml:space="preserve"> \* M</w:instrText>
      </w:r>
      <w:r w:rsidR="00967B38" w:rsidRPr="00E77613">
        <w:rPr>
          <w:rFonts w:eastAsia="Arial"/>
          <w:i/>
        </w:rPr>
        <w:instrText xml:space="preserve">ERGEFORMAT </w:instrText>
      </w:r>
      <w:r w:rsidR="0055363F" w:rsidRPr="00E37609">
        <w:rPr>
          <w:rFonts w:eastAsia="Arial"/>
          <w:i/>
          <w:iCs/>
        </w:rPr>
      </w:r>
      <w:r w:rsidR="0055363F" w:rsidRPr="00E37609">
        <w:rPr>
          <w:rFonts w:eastAsia="Arial"/>
          <w:i/>
          <w:iCs/>
        </w:rPr>
        <w:fldChar w:fldCharType="separate"/>
      </w:r>
      <w:r w:rsidR="0055363F" w:rsidRPr="00E37609">
        <w:rPr>
          <w:rFonts w:eastAsia="Arial"/>
          <w:i/>
          <w:iCs/>
        </w:rPr>
        <w:t>AWL licence conditions</w:t>
      </w:r>
      <w:r w:rsidR="0055363F" w:rsidRPr="00E37609">
        <w:rPr>
          <w:rFonts w:eastAsia="Arial"/>
          <w:i/>
          <w:iCs/>
        </w:rPr>
        <w:fldChar w:fldCharType="end"/>
      </w:r>
      <w:r w:rsidR="0055363F">
        <w:rPr>
          <w:rFonts w:eastAsia="Arial"/>
        </w:rPr>
        <w:t xml:space="preserve"> section </w:t>
      </w:r>
      <w:r w:rsidR="003375EE">
        <w:rPr>
          <w:rFonts w:eastAsia="Arial"/>
        </w:rPr>
        <w:t xml:space="preserve">discusses the </w:t>
      </w:r>
      <w:r w:rsidR="00310C1A">
        <w:rPr>
          <w:rFonts w:eastAsia="Arial"/>
        </w:rPr>
        <w:t xml:space="preserve">key </w:t>
      </w:r>
      <w:r w:rsidR="00F2158D">
        <w:rPr>
          <w:rFonts w:eastAsia="Arial"/>
        </w:rPr>
        <w:t xml:space="preserve">proposed </w:t>
      </w:r>
      <w:r w:rsidR="003E47BC">
        <w:rPr>
          <w:rFonts w:eastAsia="Arial"/>
        </w:rPr>
        <w:t xml:space="preserve">amendments to the </w:t>
      </w:r>
      <w:r w:rsidR="00F2158D">
        <w:rPr>
          <w:rFonts w:eastAsia="Arial"/>
        </w:rPr>
        <w:t xml:space="preserve">AWL LCD, and the </w:t>
      </w:r>
      <w:r w:rsidR="00911237" w:rsidRPr="00E37609">
        <w:rPr>
          <w:rFonts w:eastAsia="Arial"/>
          <w:i/>
          <w:iCs/>
        </w:rPr>
        <w:fldChar w:fldCharType="begin"/>
      </w:r>
      <w:r w:rsidR="00911237" w:rsidRPr="00E37609">
        <w:rPr>
          <w:rFonts w:eastAsia="Arial"/>
          <w:i/>
          <w:iCs/>
        </w:rPr>
        <w:instrText xml:space="preserve"> REF _Ref45711149 \h </w:instrText>
      </w:r>
      <w:r w:rsidR="00967B38">
        <w:rPr>
          <w:rFonts w:eastAsia="Arial"/>
          <w:i/>
          <w:iCs/>
        </w:rPr>
        <w:instrText xml:space="preserve"> \* M</w:instrText>
      </w:r>
      <w:r w:rsidR="00967B38" w:rsidRPr="00E77613">
        <w:rPr>
          <w:rFonts w:eastAsia="Arial"/>
          <w:i/>
        </w:rPr>
        <w:instrText xml:space="preserve">ERGEFORMAT </w:instrText>
      </w:r>
      <w:r w:rsidR="00911237" w:rsidRPr="00E37609">
        <w:rPr>
          <w:rFonts w:eastAsia="Arial"/>
          <w:i/>
          <w:iCs/>
        </w:rPr>
      </w:r>
      <w:r w:rsidR="00911237" w:rsidRPr="00E37609">
        <w:rPr>
          <w:rFonts w:eastAsia="Arial"/>
          <w:i/>
          <w:iCs/>
        </w:rPr>
        <w:fldChar w:fldCharType="separate"/>
      </w:r>
      <w:r w:rsidR="00911237" w:rsidRPr="00E37609">
        <w:rPr>
          <w:rFonts w:eastAsia="Arial"/>
          <w:i/>
          <w:iCs/>
        </w:rPr>
        <w:t>Licensing and device registration instructions</w:t>
      </w:r>
      <w:r w:rsidR="00911237" w:rsidRPr="00E37609">
        <w:rPr>
          <w:rFonts w:eastAsia="Arial"/>
          <w:i/>
          <w:iCs/>
        </w:rPr>
        <w:fldChar w:fldCharType="end"/>
      </w:r>
      <w:r w:rsidR="00911237">
        <w:rPr>
          <w:rFonts w:eastAsia="Arial"/>
        </w:rPr>
        <w:t xml:space="preserve"> section summarises </w:t>
      </w:r>
      <w:r w:rsidR="00EC2427">
        <w:rPr>
          <w:rFonts w:eastAsia="Arial"/>
        </w:rPr>
        <w:t xml:space="preserve">the key aspects of the </w:t>
      </w:r>
      <w:r w:rsidR="00967B38">
        <w:rPr>
          <w:rFonts w:eastAsia="Arial"/>
        </w:rPr>
        <w:t>RALI</w:t>
      </w:r>
      <w:r w:rsidR="009A2F94">
        <w:rPr>
          <w:rFonts w:eastAsia="Arial"/>
        </w:rPr>
        <w:t xml:space="preserve"> </w:t>
      </w:r>
      <w:r w:rsidR="00967B38">
        <w:rPr>
          <w:rFonts w:eastAsia="Arial"/>
        </w:rPr>
        <w:t>[new].</w:t>
      </w:r>
    </w:p>
    <w:p w14:paraId="58C77D15" w14:textId="54C1D374" w:rsidR="00A93957" w:rsidRPr="00E953AC" w:rsidRDefault="00A93957" w:rsidP="00E37609">
      <w:pPr>
        <w:pStyle w:val="Paragraph"/>
        <w:rPr>
          <w:rFonts w:eastAsia="Arial"/>
        </w:rPr>
      </w:pPr>
      <w:bookmarkStart w:id="36" w:name="_Hlk46481548"/>
      <w:r w:rsidRPr="00E953AC">
        <w:rPr>
          <w:rFonts w:eastAsia="Arial"/>
        </w:rPr>
        <w:t xml:space="preserve">RALI MS 38 </w:t>
      </w:r>
      <w:r w:rsidR="00CA4D83">
        <w:rPr>
          <w:rFonts w:eastAsia="Arial"/>
        </w:rPr>
        <w:t xml:space="preserve">will continue to be used for </w:t>
      </w:r>
      <w:r w:rsidR="00CA4D83" w:rsidRPr="00E953AC">
        <w:rPr>
          <w:rFonts w:eastAsia="Arial"/>
        </w:rPr>
        <w:t xml:space="preserve">coordination between </w:t>
      </w:r>
      <w:r w:rsidR="00CA4D83">
        <w:rPr>
          <w:rFonts w:eastAsia="Arial"/>
        </w:rPr>
        <w:t>AWL-authorised</w:t>
      </w:r>
      <w:r w:rsidR="00CA4D83" w:rsidRPr="00E953AC">
        <w:rPr>
          <w:rFonts w:eastAsia="Arial"/>
        </w:rPr>
        <w:t xml:space="preserve"> earth stations and existing point-to-point fixed links.</w:t>
      </w:r>
      <w:r w:rsidRPr="00E953AC">
        <w:rPr>
          <w:rFonts w:eastAsia="Arial"/>
        </w:rPr>
        <w:t xml:space="preserve"> </w:t>
      </w:r>
      <w:bookmarkEnd w:id="36"/>
      <w:r w:rsidRPr="00E953AC">
        <w:rPr>
          <w:rFonts w:eastAsia="Arial"/>
        </w:rPr>
        <w:t xml:space="preserve">Other aspects </w:t>
      </w:r>
      <w:r>
        <w:rPr>
          <w:rFonts w:eastAsia="Arial"/>
        </w:rPr>
        <w:t>currently</w:t>
      </w:r>
      <w:r w:rsidRPr="00E953AC">
        <w:rPr>
          <w:rFonts w:eastAsia="Arial"/>
        </w:rPr>
        <w:t xml:space="preserve"> contained in </w:t>
      </w:r>
      <w:r>
        <w:rPr>
          <w:rFonts w:eastAsia="Arial"/>
        </w:rPr>
        <w:t xml:space="preserve">RALI </w:t>
      </w:r>
      <w:r w:rsidRPr="00E953AC">
        <w:rPr>
          <w:rFonts w:eastAsia="Arial"/>
        </w:rPr>
        <w:t>MS 38 (such as the special conditions and antenna requirements) will be replicated in the AWL LCD and RALI</w:t>
      </w:r>
      <w:r w:rsidR="009A2F94">
        <w:rPr>
          <w:rFonts w:eastAsia="Arial"/>
        </w:rPr>
        <w:t xml:space="preserve"> </w:t>
      </w:r>
      <w:r w:rsidRPr="00E953AC">
        <w:rPr>
          <w:rFonts w:eastAsia="Arial"/>
        </w:rPr>
        <w:t>[new]</w:t>
      </w:r>
      <w:r>
        <w:rPr>
          <w:rFonts w:eastAsia="Arial"/>
        </w:rPr>
        <w:t>, noting that it is proposed that the minimum antenna elevation angle is not required and only the current horizontal EIRP limit of -60 dBW/Hz is maintained</w:t>
      </w:r>
      <w:r w:rsidRPr="00E953AC">
        <w:rPr>
          <w:rFonts w:eastAsia="Arial"/>
        </w:rPr>
        <w:t xml:space="preserve"> </w:t>
      </w:r>
      <w:r w:rsidR="00C52B52">
        <w:rPr>
          <w:rFonts w:eastAsia="Arial"/>
        </w:rPr>
        <w:t>(t</w:t>
      </w:r>
      <w:r w:rsidRPr="00E953AC">
        <w:rPr>
          <w:rFonts w:eastAsia="Arial"/>
        </w:rPr>
        <w:t xml:space="preserve">his </w:t>
      </w:r>
      <w:r w:rsidR="00585319">
        <w:rPr>
          <w:rFonts w:eastAsia="Arial"/>
        </w:rPr>
        <w:t>amendment w</w:t>
      </w:r>
      <w:r w:rsidR="005E1A8A">
        <w:rPr>
          <w:rFonts w:eastAsia="Arial"/>
        </w:rPr>
        <w:t>ill apply for all new earth stations in the range 27</w:t>
      </w:r>
      <w:r w:rsidR="0038780D">
        <w:rPr>
          <w:rFonts w:eastAsia="Arial"/>
        </w:rPr>
        <w:t>–</w:t>
      </w:r>
      <w:r w:rsidR="005E1A8A">
        <w:rPr>
          <w:rFonts w:eastAsia="Arial"/>
        </w:rPr>
        <w:t>30 GHz</w:t>
      </w:r>
      <w:r w:rsidR="00B52B90">
        <w:rPr>
          <w:rFonts w:eastAsia="Arial"/>
        </w:rPr>
        <w:t>)</w:t>
      </w:r>
      <w:r w:rsidRPr="00E953AC">
        <w:rPr>
          <w:rFonts w:eastAsia="Arial"/>
        </w:rPr>
        <w:t>. RALI MS 38 will still be used for coordinat</w:t>
      </w:r>
      <w:r>
        <w:rPr>
          <w:rFonts w:eastAsia="Arial"/>
        </w:rPr>
        <w:t>ing</w:t>
      </w:r>
      <w:r w:rsidRPr="00E953AC">
        <w:rPr>
          <w:rFonts w:eastAsia="Arial"/>
        </w:rPr>
        <w:t xml:space="preserve"> FSS earth stations in the range 29.5</w:t>
      </w:r>
      <w:r w:rsidR="001704FC">
        <w:rPr>
          <w:rFonts w:eastAsia="Arial"/>
        </w:rPr>
        <w:t>–</w:t>
      </w:r>
      <w:r w:rsidRPr="00E953AC">
        <w:rPr>
          <w:rFonts w:eastAsia="Arial"/>
        </w:rPr>
        <w:t xml:space="preserve">30 GHz with other services. A draft update of RALI MS 38 is at </w:t>
      </w:r>
      <w:r w:rsidRPr="00C8062B">
        <w:rPr>
          <w:rFonts w:eastAsia="Arial"/>
          <w:b/>
          <w:bCs/>
        </w:rPr>
        <w:t xml:space="preserve">Attachment </w:t>
      </w:r>
      <w:r w:rsidR="001928C7" w:rsidRPr="00C8062B">
        <w:rPr>
          <w:rFonts w:eastAsia="Arial"/>
          <w:b/>
          <w:bCs/>
        </w:rPr>
        <w:t>D</w:t>
      </w:r>
      <w:r w:rsidRPr="00E953AC">
        <w:rPr>
          <w:rFonts w:eastAsia="Arial"/>
        </w:rPr>
        <w:t>.</w:t>
      </w:r>
    </w:p>
    <w:p w14:paraId="129248A7" w14:textId="2436655F" w:rsidR="00A93957" w:rsidRPr="006D46E5" w:rsidRDefault="00A93957" w:rsidP="00A93957">
      <w:pPr>
        <w:pStyle w:val="Heading3"/>
        <w:rPr>
          <w:rFonts w:eastAsia="Arial"/>
        </w:rPr>
      </w:pPr>
      <w:bookmarkStart w:id="37" w:name="_AWL_licence_conditions"/>
      <w:bookmarkStart w:id="38" w:name="_Ref46311811"/>
      <w:bookmarkEnd w:id="37"/>
      <w:r>
        <w:rPr>
          <w:rFonts w:eastAsia="Arial"/>
        </w:rPr>
        <w:t>AWL licence conditions</w:t>
      </w:r>
      <w:bookmarkEnd w:id="24"/>
      <w:bookmarkEnd w:id="25"/>
      <w:bookmarkEnd w:id="33"/>
      <w:bookmarkEnd w:id="34"/>
      <w:bookmarkEnd w:id="35"/>
      <w:bookmarkEnd w:id="38"/>
      <w:r w:rsidRPr="006D46E5">
        <w:rPr>
          <w:rFonts w:eastAsia="Arial"/>
        </w:rPr>
        <w:t xml:space="preserve"> </w:t>
      </w:r>
    </w:p>
    <w:p w14:paraId="3EE57AAB" w14:textId="77777777" w:rsidR="00DB7081" w:rsidRDefault="00A93957" w:rsidP="003D3428">
      <w:pPr>
        <w:pStyle w:val="Paragraphbeforelist"/>
        <w:rPr>
          <w:rFonts w:eastAsia="Arial"/>
        </w:rPr>
      </w:pPr>
      <w:r>
        <w:rPr>
          <w:rFonts w:eastAsia="Arial"/>
        </w:rPr>
        <w:t xml:space="preserve">Proposed licence conditions are included in the draft AWL LCD at </w:t>
      </w:r>
      <w:r w:rsidRPr="00C8062B">
        <w:rPr>
          <w:rFonts w:eastAsia="Arial"/>
          <w:b/>
          <w:bCs/>
        </w:rPr>
        <w:t xml:space="preserve">Attachment </w:t>
      </w:r>
      <w:r w:rsidR="00905825" w:rsidRPr="00C8062B">
        <w:rPr>
          <w:rFonts w:eastAsia="Arial"/>
          <w:b/>
          <w:bCs/>
        </w:rPr>
        <w:t>B</w:t>
      </w:r>
      <w:r w:rsidRPr="00824E63">
        <w:rPr>
          <w:rFonts w:eastAsia="Arial"/>
        </w:rPr>
        <w:t>.</w:t>
      </w:r>
    </w:p>
    <w:p w14:paraId="0E4E1C04" w14:textId="77777777" w:rsidR="002810FF" w:rsidRDefault="00A93957" w:rsidP="00E47F8D">
      <w:pPr>
        <w:pStyle w:val="Paragraph"/>
        <w:rPr>
          <w:rFonts w:eastAsia="Arial"/>
        </w:rPr>
      </w:pPr>
      <w:r w:rsidRPr="00B9508D">
        <w:rPr>
          <w:rFonts w:eastAsia="Arial"/>
        </w:rPr>
        <w:t xml:space="preserve">Some of the key </w:t>
      </w:r>
      <w:r>
        <w:rPr>
          <w:rFonts w:eastAsia="Arial"/>
        </w:rPr>
        <w:t>aspects are</w:t>
      </w:r>
      <w:r w:rsidR="002810FF">
        <w:rPr>
          <w:rFonts w:eastAsia="Arial"/>
        </w:rPr>
        <w:t xml:space="preserve"> included below. </w:t>
      </w:r>
    </w:p>
    <w:p w14:paraId="5CFDFBC4" w14:textId="260F58BA" w:rsidR="00A93957" w:rsidRDefault="002810FF" w:rsidP="00DB68CC">
      <w:pPr>
        <w:pStyle w:val="Paragraphbeforelist"/>
        <w:rPr>
          <w:rFonts w:eastAsia="Arial"/>
        </w:rPr>
      </w:pPr>
      <w:r>
        <w:rPr>
          <w:rFonts w:eastAsia="Arial"/>
          <w:b/>
          <w:bCs/>
        </w:rPr>
        <w:t>U</w:t>
      </w:r>
      <w:r w:rsidR="00A93957" w:rsidRPr="00E47F8D">
        <w:rPr>
          <w:rFonts w:eastAsia="Arial"/>
          <w:b/>
          <w:bCs/>
        </w:rPr>
        <w:t>nwanted emission limits</w:t>
      </w:r>
      <w:r w:rsidR="0038780D">
        <w:rPr>
          <w:rFonts w:eastAsia="Arial"/>
        </w:rPr>
        <w:t>:</w:t>
      </w:r>
    </w:p>
    <w:p w14:paraId="0D7F4707" w14:textId="35CB9B3B" w:rsidR="00A93957" w:rsidRDefault="002810FF" w:rsidP="00DB68CC">
      <w:pPr>
        <w:pStyle w:val="ListBullet"/>
        <w:rPr>
          <w:rFonts w:eastAsia="Arial"/>
        </w:rPr>
      </w:pPr>
      <w:r>
        <w:rPr>
          <w:rFonts w:eastAsia="Arial"/>
        </w:rPr>
        <w:t>A</w:t>
      </w:r>
      <w:r w:rsidR="00A93957">
        <w:rPr>
          <w:rFonts w:eastAsia="Arial"/>
        </w:rPr>
        <w:t xml:space="preserve">ll transmitters, including earth stations, are required to comply with </w:t>
      </w:r>
      <w:r w:rsidR="00F64312">
        <w:rPr>
          <w:rFonts w:eastAsia="Arial"/>
        </w:rPr>
        <w:t xml:space="preserve">unwanted emission </w:t>
      </w:r>
      <w:r w:rsidR="00A93957">
        <w:rPr>
          <w:rFonts w:eastAsia="Arial"/>
        </w:rPr>
        <w:t>limits in co-primary frequencies and areas. This will help facilitate adjacent-channel coexistence between all co-primary services. However, earth stations do not need to comply with these limits for emissions into a sole-primary FSS frequency and area, i.e. at frequencies:</w:t>
      </w:r>
    </w:p>
    <w:p w14:paraId="66D4889E" w14:textId="5F0F0118" w:rsidR="00A93957" w:rsidRDefault="002B517F" w:rsidP="00E47F8D">
      <w:pPr>
        <w:pStyle w:val="ListBullet2"/>
        <w:rPr>
          <w:rFonts w:eastAsia="Arial"/>
        </w:rPr>
      </w:pPr>
      <w:r>
        <w:rPr>
          <w:rFonts w:eastAsia="Arial"/>
        </w:rPr>
        <w:t>a</w:t>
      </w:r>
      <w:r w:rsidR="00A93957">
        <w:rPr>
          <w:rFonts w:eastAsia="Arial"/>
        </w:rPr>
        <w:t>bove 27.5 GHz for earth stations located outside defined areas</w:t>
      </w:r>
    </w:p>
    <w:p w14:paraId="028A14A1" w14:textId="46EBBD77" w:rsidR="00A93957" w:rsidRDefault="002B517F" w:rsidP="00E47F8D">
      <w:pPr>
        <w:pStyle w:val="ListBullet2"/>
      </w:pPr>
      <w:r>
        <w:t>a</w:t>
      </w:r>
      <w:r w:rsidR="00A93957">
        <w:t>bove 28.1 GHz</w:t>
      </w:r>
      <w:r w:rsidR="00A93957" w:rsidRPr="00724222">
        <w:t xml:space="preserve"> </w:t>
      </w:r>
      <w:r w:rsidR="00A93957" w:rsidRPr="003D1E3A">
        <w:t>for</w:t>
      </w:r>
      <w:r w:rsidR="00A93957">
        <w:t xml:space="preserve"> earth stations located inside defined areas.</w:t>
      </w:r>
    </w:p>
    <w:p w14:paraId="0646284D" w14:textId="2AD9E993" w:rsidR="00A93957" w:rsidRDefault="002810FF" w:rsidP="00E47F8D">
      <w:pPr>
        <w:pStyle w:val="ListBullet"/>
        <w:rPr>
          <w:rFonts w:eastAsia="Arial"/>
        </w:rPr>
      </w:pPr>
      <w:r>
        <w:rPr>
          <w:rFonts w:eastAsia="Arial"/>
        </w:rPr>
        <w:t>A</w:t>
      </w:r>
      <w:r w:rsidR="00A93957">
        <w:rPr>
          <w:rFonts w:eastAsia="Arial"/>
        </w:rPr>
        <w:t>ll transmitters, excluding earth stations, will be required to comply with these limits in sole-primary frequencies and areas, noting that RALI</w:t>
      </w:r>
      <w:r w:rsidR="009A2F94">
        <w:rPr>
          <w:rFonts w:eastAsia="Arial"/>
        </w:rPr>
        <w:t xml:space="preserve"> </w:t>
      </w:r>
      <w:r w:rsidR="00A93957">
        <w:rPr>
          <w:rFonts w:eastAsia="Arial"/>
        </w:rPr>
        <w:t>[new] requires stations to comply with the spurious emission limits provided in Appendix 3 of the ITU Radio Regulations (</w:t>
      </w:r>
      <w:r w:rsidR="00D3369B">
        <w:rPr>
          <w:rFonts w:eastAsia="Arial"/>
        </w:rPr>
        <w:t>t</w:t>
      </w:r>
      <w:r w:rsidR="00A93957">
        <w:rPr>
          <w:rFonts w:eastAsia="Arial"/>
        </w:rPr>
        <w:t>his is a current requirement in RALI MS 38).</w:t>
      </w:r>
    </w:p>
    <w:p w14:paraId="4C84D436" w14:textId="0FA85F33" w:rsidR="00A93957" w:rsidRDefault="002810FF" w:rsidP="00E47F8D">
      <w:pPr>
        <w:pStyle w:val="ListBullet"/>
        <w:rPr>
          <w:rFonts w:eastAsia="Arial"/>
        </w:rPr>
      </w:pPr>
      <w:r>
        <w:rPr>
          <w:rFonts w:eastAsia="Arial"/>
        </w:rPr>
        <w:t>A</w:t>
      </w:r>
      <w:r w:rsidR="00A93957" w:rsidRPr="00DC6BA9">
        <w:rPr>
          <w:rFonts w:eastAsia="Arial"/>
        </w:rPr>
        <w:t>dditional unwanted emission limits are included to protect sensitive passive earth exploration satellite services</w:t>
      </w:r>
      <w:r w:rsidR="00A93957">
        <w:rPr>
          <w:rFonts w:eastAsia="Arial"/>
        </w:rPr>
        <w:t xml:space="preserve"> (EESS)</w:t>
      </w:r>
      <w:r w:rsidR="00A93957" w:rsidRPr="00DC6BA9">
        <w:rPr>
          <w:rFonts w:eastAsia="Arial"/>
        </w:rPr>
        <w:t xml:space="preserve"> in the adjacent 23.6</w:t>
      </w:r>
      <w:r w:rsidR="0038780D">
        <w:rPr>
          <w:rFonts w:eastAsia="Arial"/>
        </w:rPr>
        <w:t>–</w:t>
      </w:r>
      <w:r w:rsidR="00A93957" w:rsidRPr="00DC6BA9">
        <w:rPr>
          <w:rFonts w:eastAsia="Arial"/>
        </w:rPr>
        <w:t>24 GHz band. The</w:t>
      </w:r>
      <w:r w:rsidR="00A93957">
        <w:rPr>
          <w:rFonts w:eastAsia="Arial"/>
        </w:rPr>
        <w:t>se</w:t>
      </w:r>
      <w:r w:rsidR="00A93957" w:rsidRPr="00DC6BA9">
        <w:rPr>
          <w:rFonts w:eastAsia="Arial"/>
        </w:rPr>
        <w:t xml:space="preserve"> limits align with those agreed at WRC-19</w:t>
      </w:r>
      <w:r w:rsidR="006521EC">
        <w:rPr>
          <w:rFonts w:eastAsia="Arial"/>
        </w:rPr>
        <w:t xml:space="preserve"> and </w:t>
      </w:r>
      <w:r w:rsidR="00A93957">
        <w:rPr>
          <w:rFonts w:eastAsia="Arial"/>
        </w:rPr>
        <w:t>do not apply to earth stations.</w:t>
      </w:r>
    </w:p>
    <w:p w14:paraId="2B5A58CD" w14:textId="4958F2E8" w:rsidR="00E02349" w:rsidRDefault="002810FF" w:rsidP="003F463B">
      <w:pPr>
        <w:pStyle w:val="ListBullet"/>
        <w:spacing w:after="240"/>
        <w:rPr>
          <w:rFonts w:eastAsia="Arial"/>
        </w:rPr>
      </w:pPr>
      <w:r>
        <w:rPr>
          <w:rFonts w:eastAsia="Arial"/>
        </w:rPr>
        <w:t>U</w:t>
      </w:r>
      <w:r w:rsidR="00E02349">
        <w:rPr>
          <w:rFonts w:eastAsia="Arial"/>
        </w:rPr>
        <w:t xml:space="preserve">nwanted emission limits in the LCD will align with international wireless broadband equipment standards. </w:t>
      </w:r>
    </w:p>
    <w:p w14:paraId="1ECDFBF8" w14:textId="746B7DC7" w:rsidR="00A93957" w:rsidRPr="00E47F8D" w:rsidRDefault="00A93957" w:rsidP="00E47F8D">
      <w:pPr>
        <w:pStyle w:val="Paragraphbeforelist"/>
        <w:rPr>
          <w:rFonts w:eastAsia="Arial"/>
          <w:b/>
          <w:bCs/>
        </w:rPr>
      </w:pPr>
      <w:r w:rsidRPr="00E47F8D">
        <w:rPr>
          <w:rFonts w:eastAsia="Arial"/>
          <w:b/>
          <w:bCs/>
        </w:rPr>
        <w:t>Maximum power limits</w:t>
      </w:r>
      <w:r w:rsidR="0038780D" w:rsidRPr="00E47F8D">
        <w:rPr>
          <w:rFonts w:eastAsia="Arial"/>
          <w:b/>
          <w:bCs/>
        </w:rPr>
        <w:t>:</w:t>
      </w:r>
      <w:r w:rsidRPr="00E47F8D">
        <w:rPr>
          <w:rFonts w:eastAsia="Arial"/>
          <w:b/>
          <w:bCs/>
        </w:rPr>
        <w:t xml:space="preserve"> </w:t>
      </w:r>
    </w:p>
    <w:p w14:paraId="5F4813E9" w14:textId="5AC530C7" w:rsidR="00A93957" w:rsidRDefault="002810FF" w:rsidP="00E47F8D">
      <w:pPr>
        <w:pStyle w:val="ListBullet"/>
        <w:rPr>
          <w:rFonts w:eastAsia="Arial"/>
        </w:rPr>
      </w:pPr>
      <w:r>
        <w:rPr>
          <w:rFonts w:eastAsia="Arial"/>
        </w:rPr>
        <w:t>M</w:t>
      </w:r>
      <w:r w:rsidR="00A93957">
        <w:rPr>
          <w:rFonts w:eastAsia="Arial"/>
        </w:rPr>
        <w:t xml:space="preserve">aximum </w:t>
      </w:r>
      <w:r w:rsidR="00A93957" w:rsidRPr="008D4A57">
        <w:rPr>
          <w:rFonts w:eastAsia="Arial"/>
        </w:rPr>
        <w:t xml:space="preserve">total radiated power </w:t>
      </w:r>
      <w:r w:rsidR="00A93957">
        <w:rPr>
          <w:rFonts w:eastAsia="Arial"/>
        </w:rPr>
        <w:t xml:space="preserve">(TRP) </w:t>
      </w:r>
      <w:r w:rsidR="00A93957" w:rsidRPr="008D4A57">
        <w:rPr>
          <w:rFonts w:eastAsia="Arial"/>
        </w:rPr>
        <w:t>limits</w:t>
      </w:r>
      <w:r w:rsidR="00A93957">
        <w:rPr>
          <w:rFonts w:eastAsia="Arial"/>
        </w:rPr>
        <w:t xml:space="preserve"> for transmitters other than earth stations:</w:t>
      </w:r>
    </w:p>
    <w:p w14:paraId="6B30C209" w14:textId="59ED3B4D" w:rsidR="00A93957" w:rsidRDefault="00A93957" w:rsidP="00E47F8D">
      <w:pPr>
        <w:pStyle w:val="ListBullet2"/>
        <w:rPr>
          <w:rFonts w:eastAsia="Arial"/>
        </w:rPr>
      </w:pPr>
      <w:r>
        <w:rPr>
          <w:rFonts w:eastAsia="Arial"/>
        </w:rPr>
        <w:t xml:space="preserve">45 dBm/200 </w:t>
      </w:r>
      <w:r w:rsidR="00442FB1">
        <w:rPr>
          <w:rFonts w:eastAsia="Arial"/>
        </w:rPr>
        <w:t xml:space="preserve">MHz </w:t>
      </w:r>
      <w:r>
        <w:rPr>
          <w:rFonts w:eastAsia="Arial"/>
        </w:rPr>
        <w:t>for transmitters in the range 24.7</w:t>
      </w:r>
      <w:r w:rsidR="002810FF">
        <w:rPr>
          <w:rFonts w:eastAsia="Arial"/>
        </w:rPr>
        <w:t>–</w:t>
      </w:r>
      <w:r>
        <w:rPr>
          <w:rFonts w:eastAsia="Arial"/>
        </w:rPr>
        <w:t xml:space="preserve">27 GHz </w:t>
      </w:r>
    </w:p>
    <w:p w14:paraId="4890BECB" w14:textId="7D08E038" w:rsidR="00A93957" w:rsidRDefault="00A93957" w:rsidP="00E47F8D">
      <w:pPr>
        <w:pStyle w:val="ListBullet2"/>
        <w:rPr>
          <w:rFonts w:eastAsia="Arial"/>
        </w:rPr>
      </w:pPr>
      <w:r>
        <w:rPr>
          <w:rFonts w:eastAsia="Arial"/>
        </w:rPr>
        <w:t>42 dBm/200 MHz for transmitters in the range 27</w:t>
      </w:r>
      <w:r w:rsidR="002810FF">
        <w:rPr>
          <w:rFonts w:eastAsia="Arial"/>
        </w:rPr>
        <w:t>–</w:t>
      </w:r>
      <w:r>
        <w:rPr>
          <w:rFonts w:eastAsia="Arial"/>
        </w:rPr>
        <w:t>27.5</w:t>
      </w:r>
      <w:r w:rsidR="000F11AF">
        <w:rPr>
          <w:rFonts w:eastAsia="Arial"/>
        </w:rPr>
        <w:t xml:space="preserve"> GHz</w:t>
      </w:r>
      <w:r>
        <w:rPr>
          <w:rFonts w:eastAsia="Arial"/>
        </w:rPr>
        <w:t xml:space="preserve"> and located outside gateway footprint areas</w:t>
      </w:r>
    </w:p>
    <w:p w14:paraId="73F43E65" w14:textId="77777777" w:rsidR="00A93957" w:rsidRDefault="00A93957" w:rsidP="00E47F8D">
      <w:pPr>
        <w:pStyle w:val="ListBullet2"/>
        <w:rPr>
          <w:rFonts w:eastAsia="Arial"/>
        </w:rPr>
      </w:pPr>
      <w:r>
        <w:rPr>
          <w:rFonts w:eastAsia="Arial"/>
        </w:rPr>
        <w:t>30 dBm/200 MHz for transmitters in the ranges:</w:t>
      </w:r>
    </w:p>
    <w:p w14:paraId="7C0AA1EC" w14:textId="588ED015" w:rsidR="00A93957" w:rsidRDefault="00A93957" w:rsidP="00A93957">
      <w:pPr>
        <w:pStyle w:val="Bulletlevel1"/>
        <w:tabs>
          <w:tab w:val="clear" w:pos="295"/>
          <w:tab w:val="num" w:pos="1147"/>
        </w:tabs>
        <w:ind w:left="1147"/>
        <w:rPr>
          <w:rFonts w:eastAsia="Arial"/>
        </w:rPr>
      </w:pPr>
      <w:r>
        <w:rPr>
          <w:rFonts w:eastAsia="Arial"/>
        </w:rPr>
        <w:t>27</w:t>
      </w:r>
      <w:r w:rsidR="002810FF">
        <w:rPr>
          <w:rFonts w:eastAsia="Arial"/>
        </w:rPr>
        <w:t>–</w:t>
      </w:r>
      <w:r>
        <w:rPr>
          <w:rFonts w:eastAsia="Arial"/>
        </w:rPr>
        <w:t>27.5 GHz located inside gateway footprint areas</w:t>
      </w:r>
    </w:p>
    <w:p w14:paraId="3EF2D70A" w14:textId="79D1ACB0" w:rsidR="00A93957" w:rsidRDefault="00A93957" w:rsidP="00A93957">
      <w:pPr>
        <w:pStyle w:val="Bulletlevel1"/>
        <w:tabs>
          <w:tab w:val="clear" w:pos="295"/>
          <w:tab w:val="num" w:pos="1147"/>
        </w:tabs>
        <w:ind w:left="1147"/>
        <w:rPr>
          <w:rFonts w:eastAsia="Arial"/>
        </w:rPr>
      </w:pPr>
      <w:r>
        <w:rPr>
          <w:rFonts w:eastAsia="Arial"/>
        </w:rPr>
        <w:t>27.5</w:t>
      </w:r>
      <w:r w:rsidR="002810FF">
        <w:rPr>
          <w:rFonts w:eastAsia="Arial"/>
        </w:rPr>
        <w:t>–</w:t>
      </w:r>
      <w:r>
        <w:rPr>
          <w:rFonts w:eastAsia="Arial"/>
        </w:rPr>
        <w:t>29.5 GHz Australia-wide</w:t>
      </w:r>
      <w:r>
        <w:t>.</w:t>
      </w:r>
    </w:p>
    <w:p w14:paraId="053081AA" w14:textId="7BDACDD3" w:rsidR="00A93957" w:rsidRDefault="002810FF" w:rsidP="00E47F8D">
      <w:pPr>
        <w:pStyle w:val="ListBullet"/>
      </w:pPr>
      <w:r>
        <w:lastRenderedPageBreak/>
        <w:t>T</w:t>
      </w:r>
      <w:r w:rsidR="006135F3">
        <w:t xml:space="preserve">here are also additional </w:t>
      </w:r>
      <w:r w:rsidR="00EA226B">
        <w:t xml:space="preserve">conditions which will apply to transmitters which exceed </w:t>
      </w:r>
      <w:r w:rsidR="002A2F4D">
        <w:t>defined TRP levels (</w:t>
      </w:r>
      <w:r w:rsidR="00870FF2">
        <w:t>which are lower than the maximum limits outlined above</w:t>
      </w:r>
      <w:r w:rsidR="00D0713A">
        <w:t xml:space="preserve">). </w:t>
      </w:r>
      <w:r w:rsidR="00A93957">
        <w:t xml:space="preserve">See the </w:t>
      </w:r>
      <w:r w:rsidR="00A93957" w:rsidRPr="006C3D42">
        <w:rPr>
          <w:i/>
          <w:iCs/>
        </w:rPr>
        <w:fldChar w:fldCharType="begin"/>
      </w:r>
      <w:r w:rsidR="00A93957" w:rsidRPr="006C3D42">
        <w:rPr>
          <w:i/>
          <w:iCs/>
        </w:rPr>
        <w:instrText xml:space="preserve"> REF _Ref42604859 \h  \* MERGEFORMAT </w:instrText>
      </w:r>
      <w:r w:rsidR="00A93957" w:rsidRPr="006C3D42">
        <w:rPr>
          <w:i/>
          <w:iCs/>
        </w:rPr>
      </w:r>
      <w:r w:rsidR="00A93957" w:rsidRPr="006C3D42">
        <w:rPr>
          <w:i/>
          <w:iCs/>
        </w:rPr>
        <w:fldChar w:fldCharType="separate"/>
      </w:r>
      <w:r w:rsidR="00A93957" w:rsidRPr="006C3D42">
        <w:rPr>
          <w:i/>
          <w:iCs/>
        </w:rPr>
        <w:t>TRP limit and coexistence with space receive stations</w:t>
      </w:r>
      <w:r w:rsidR="00A93957" w:rsidRPr="006C3D42">
        <w:rPr>
          <w:i/>
          <w:iCs/>
        </w:rPr>
        <w:fldChar w:fldCharType="end"/>
      </w:r>
      <w:r w:rsidR="00A93957">
        <w:t xml:space="preserve"> section for further information.</w:t>
      </w:r>
    </w:p>
    <w:p w14:paraId="30EB00DE" w14:textId="3909EF84" w:rsidR="00A93957" w:rsidRDefault="002810FF" w:rsidP="00E47F8D">
      <w:pPr>
        <w:pStyle w:val="ListBullet"/>
        <w:spacing w:after="240"/>
        <w:rPr>
          <w:rFonts w:eastAsia="Arial"/>
        </w:rPr>
      </w:pPr>
      <w:r>
        <w:rPr>
          <w:rFonts w:eastAsia="Arial"/>
        </w:rPr>
        <w:t>E</w:t>
      </w:r>
      <w:r w:rsidR="00A93957">
        <w:rPr>
          <w:rFonts w:eastAsia="Arial"/>
        </w:rPr>
        <w:t>arth stations operating in the 27</w:t>
      </w:r>
      <w:r>
        <w:rPr>
          <w:rFonts w:eastAsia="Arial"/>
        </w:rPr>
        <w:t>–</w:t>
      </w:r>
      <w:r w:rsidR="00A93957">
        <w:rPr>
          <w:rFonts w:eastAsia="Arial"/>
        </w:rPr>
        <w:t xml:space="preserve">29.5 GHz band and within highly-populated areas must not exceed an </w:t>
      </w:r>
      <w:r w:rsidR="00A93957" w:rsidRPr="008D4A57">
        <w:rPr>
          <w:rFonts w:eastAsia="Arial"/>
        </w:rPr>
        <w:t>e</w:t>
      </w:r>
      <w:r w:rsidR="00A93957">
        <w:rPr>
          <w:rFonts w:eastAsia="Arial"/>
        </w:rPr>
        <w:t>quivalent</w:t>
      </w:r>
      <w:r w:rsidR="00A93957" w:rsidRPr="008D4A57">
        <w:rPr>
          <w:rFonts w:eastAsia="Arial"/>
        </w:rPr>
        <w:t xml:space="preserve"> isotropic</w:t>
      </w:r>
      <w:r w:rsidR="00A93957">
        <w:rPr>
          <w:rFonts w:eastAsia="Arial"/>
        </w:rPr>
        <w:t>ally</w:t>
      </w:r>
      <w:r w:rsidR="00A93957" w:rsidRPr="008D4A57">
        <w:rPr>
          <w:rFonts w:eastAsia="Arial"/>
        </w:rPr>
        <w:t xml:space="preserve"> radiated power (EIRP) </w:t>
      </w:r>
      <w:r w:rsidR="00A93957">
        <w:rPr>
          <w:rFonts w:eastAsia="Arial"/>
        </w:rPr>
        <w:t>of -60 dBW/Hz in the direction of the horizontal plane. This is a current requirement set out in RALI MS 38.</w:t>
      </w:r>
    </w:p>
    <w:p w14:paraId="428D21A2" w14:textId="3CC9A5D1" w:rsidR="00A93957" w:rsidRPr="007D7D17" w:rsidRDefault="002D1EFB" w:rsidP="007D7D17">
      <w:pPr>
        <w:pStyle w:val="ListBullet"/>
        <w:numPr>
          <w:ilvl w:val="0"/>
          <w:numId w:val="0"/>
        </w:numPr>
        <w:rPr>
          <w:rFonts w:eastAsia="Arial"/>
          <w:b/>
          <w:bCs/>
        </w:rPr>
      </w:pPr>
      <w:r w:rsidRPr="007D7D17">
        <w:rPr>
          <w:rFonts w:eastAsia="Arial"/>
          <w:b/>
          <w:bCs/>
        </w:rPr>
        <w:t>Regis</w:t>
      </w:r>
      <w:r w:rsidR="00C06DF2" w:rsidRPr="007D7D17">
        <w:rPr>
          <w:rFonts w:eastAsia="Arial"/>
          <w:b/>
          <w:bCs/>
        </w:rPr>
        <w:t>tration</w:t>
      </w:r>
      <w:r w:rsidR="002810FF">
        <w:rPr>
          <w:rFonts w:eastAsia="Arial"/>
          <w:b/>
          <w:bCs/>
        </w:rPr>
        <w:t xml:space="preserve">. </w:t>
      </w:r>
      <w:r w:rsidR="002810FF" w:rsidRPr="007D7D17">
        <w:rPr>
          <w:rFonts w:eastAsia="Arial"/>
        </w:rPr>
        <w:t>T</w:t>
      </w:r>
      <w:r w:rsidR="00A93957" w:rsidRPr="003D1E3A">
        <w:rPr>
          <w:rFonts w:eastAsia="Arial"/>
        </w:rPr>
        <w:t xml:space="preserve">ransmitters are to be registered before they can be </w:t>
      </w:r>
      <w:r w:rsidR="00A93957" w:rsidRPr="004B068D">
        <w:rPr>
          <w:rFonts w:eastAsia="Arial"/>
        </w:rPr>
        <w:t>operated, unless specifically exempt. The following transmitters are exempt from registration:</w:t>
      </w:r>
    </w:p>
    <w:p w14:paraId="3B502DA7" w14:textId="1EEB0EFB" w:rsidR="00A93957" w:rsidRDefault="00141AEC" w:rsidP="007D7D17">
      <w:pPr>
        <w:pStyle w:val="ListBullet"/>
        <w:rPr>
          <w:rFonts w:eastAsia="Arial"/>
        </w:rPr>
      </w:pPr>
      <w:r>
        <w:rPr>
          <w:rFonts w:eastAsia="Arial"/>
        </w:rPr>
        <w:t>t</w:t>
      </w:r>
      <w:r w:rsidR="00A93957">
        <w:rPr>
          <w:rFonts w:eastAsia="Arial"/>
        </w:rPr>
        <w:t>ransmitters with a TRP less than or equal to 23 dBm per occupied bandwidth</w:t>
      </w:r>
    </w:p>
    <w:p w14:paraId="0DF4256E" w14:textId="3AB308A0" w:rsidR="00A93957" w:rsidRDefault="00141AEC" w:rsidP="007D7D17">
      <w:pPr>
        <w:pStyle w:val="ListBullet"/>
        <w:rPr>
          <w:rFonts w:eastAsia="Arial"/>
        </w:rPr>
      </w:pPr>
      <w:r>
        <w:rPr>
          <w:rFonts w:eastAsia="Arial"/>
        </w:rPr>
        <w:t>t</w:t>
      </w:r>
      <w:r w:rsidR="00A93957">
        <w:rPr>
          <w:rFonts w:eastAsia="Arial"/>
        </w:rPr>
        <w:t>ransmitters located indoors</w:t>
      </w:r>
    </w:p>
    <w:p w14:paraId="6A4CA48E" w14:textId="1828A1CD" w:rsidR="00A93957" w:rsidRDefault="00141AEC" w:rsidP="002E6C6F">
      <w:pPr>
        <w:pStyle w:val="ListBullet"/>
        <w:spacing w:after="240"/>
        <w:rPr>
          <w:rFonts w:eastAsia="Arial"/>
        </w:rPr>
      </w:pPr>
      <w:r>
        <w:rPr>
          <w:rFonts w:eastAsia="Arial"/>
        </w:rPr>
        <w:t>f</w:t>
      </w:r>
      <w:r w:rsidR="00A93957">
        <w:rPr>
          <w:rFonts w:eastAsia="Arial"/>
        </w:rPr>
        <w:t>ixed transmitters that are not base stations and operate with a TRP greater than 23 dBm and less than or equal to 35 dBm per occupied bandwidth.</w:t>
      </w:r>
    </w:p>
    <w:p w14:paraId="1951D340" w14:textId="235E2460" w:rsidR="00A93957" w:rsidRPr="00C22A6D" w:rsidRDefault="00A93957" w:rsidP="002E6C6F">
      <w:pPr>
        <w:pStyle w:val="Paragraph"/>
        <w:rPr>
          <w:rFonts w:eastAsia="Arial"/>
        </w:rPr>
      </w:pPr>
      <w:r w:rsidRPr="002E6C6F">
        <w:rPr>
          <w:rFonts w:eastAsia="Arial"/>
          <w:b/>
          <w:bCs/>
        </w:rPr>
        <w:t>Record keeping</w:t>
      </w:r>
      <w:r w:rsidR="002810FF" w:rsidRPr="002E6C6F">
        <w:rPr>
          <w:rFonts w:eastAsia="Arial"/>
          <w:b/>
          <w:bCs/>
        </w:rPr>
        <w:t>.</w:t>
      </w:r>
      <w:r w:rsidR="002810FF">
        <w:rPr>
          <w:rFonts w:eastAsia="Arial"/>
        </w:rPr>
        <w:t xml:space="preserve"> </w:t>
      </w:r>
      <w:r w:rsidR="00A928D4">
        <w:rPr>
          <w:rFonts w:eastAsia="Arial"/>
        </w:rPr>
        <w:t>A</w:t>
      </w:r>
      <w:r>
        <w:rPr>
          <w:rFonts w:eastAsia="Arial"/>
        </w:rPr>
        <w:t xml:space="preserve">dditional record keeping requirements </w:t>
      </w:r>
      <w:r w:rsidR="00A928D4">
        <w:rPr>
          <w:rFonts w:eastAsia="Arial"/>
        </w:rPr>
        <w:t xml:space="preserve">apply to </w:t>
      </w:r>
      <w:r>
        <w:rPr>
          <w:rFonts w:eastAsia="Arial"/>
        </w:rPr>
        <w:t xml:space="preserve">outdoor transmitters (which are not base stations) that operate with a TRP in the range </w:t>
      </w:r>
      <w:r w:rsidR="002B74CC">
        <w:rPr>
          <w:rFonts w:eastAsia="Arial"/>
        </w:rPr>
        <w:br/>
      </w:r>
      <w:r>
        <w:rPr>
          <w:rFonts w:eastAsia="Arial"/>
        </w:rPr>
        <w:t>23</w:t>
      </w:r>
      <w:r w:rsidR="002B74CC">
        <w:rPr>
          <w:rFonts w:eastAsia="Arial"/>
        </w:rPr>
        <w:t>–</w:t>
      </w:r>
      <w:r>
        <w:rPr>
          <w:rFonts w:eastAsia="Arial"/>
        </w:rPr>
        <w:t>35</w:t>
      </w:r>
      <w:r w:rsidR="002B74CC">
        <w:rPr>
          <w:rFonts w:eastAsia="Arial"/>
        </w:rPr>
        <w:t> </w:t>
      </w:r>
      <w:r>
        <w:rPr>
          <w:rFonts w:eastAsia="Arial"/>
        </w:rPr>
        <w:t xml:space="preserve">dBm. </w:t>
      </w:r>
      <w:r w:rsidR="00F22729">
        <w:rPr>
          <w:rFonts w:eastAsia="Arial"/>
        </w:rPr>
        <w:t>For such transmitters</w:t>
      </w:r>
      <w:r w:rsidR="002B74CC">
        <w:rPr>
          <w:rFonts w:eastAsia="Arial"/>
        </w:rPr>
        <w:t>,</w:t>
      </w:r>
      <w:r w:rsidR="00F22729">
        <w:rPr>
          <w:rFonts w:eastAsia="Arial"/>
        </w:rPr>
        <w:t xml:space="preserve"> </w:t>
      </w:r>
      <w:r>
        <w:rPr>
          <w:rFonts w:eastAsia="Arial"/>
        </w:rPr>
        <w:t xml:space="preserve">licensees </w:t>
      </w:r>
      <w:r w:rsidR="00F22729">
        <w:rPr>
          <w:rFonts w:eastAsia="Arial"/>
        </w:rPr>
        <w:t xml:space="preserve">must </w:t>
      </w:r>
      <w:r>
        <w:rPr>
          <w:rFonts w:eastAsia="Arial"/>
        </w:rPr>
        <w:t>keep a record of transm</w:t>
      </w:r>
      <w:r w:rsidRPr="00EE79EA">
        <w:rPr>
          <w:rFonts w:eastAsia="Arial"/>
        </w:rPr>
        <w:t>itters’ key technical details and make these records available to the ACMA on request.</w:t>
      </w:r>
    </w:p>
    <w:p w14:paraId="7321F4CC" w14:textId="77777777" w:rsidR="00A93957" w:rsidRPr="002E6C6F" w:rsidRDefault="00A93957" w:rsidP="002E6C6F">
      <w:pPr>
        <w:pStyle w:val="Paragraphbeforelist"/>
        <w:rPr>
          <w:rFonts w:eastAsia="Arial"/>
          <w:b/>
          <w:bCs/>
        </w:rPr>
      </w:pPr>
      <w:r w:rsidRPr="002E6C6F">
        <w:rPr>
          <w:rFonts w:eastAsia="Arial"/>
          <w:b/>
          <w:bCs/>
        </w:rPr>
        <w:t>Fallback synchronisation requirement:</w:t>
      </w:r>
    </w:p>
    <w:p w14:paraId="78B918F0" w14:textId="6DA62BBC" w:rsidR="00A93957" w:rsidRDefault="002B74CC" w:rsidP="002E6C6F">
      <w:pPr>
        <w:pStyle w:val="ListBullet"/>
        <w:rPr>
          <w:rFonts w:eastAsia="Arial"/>
        </w:rPr>
      </w:pPr>
      <w:r>
        <w:rPr>
          <w:rFonts w:eastAsia="Arial"/>
        </w:rPr>
        <w:t>I</w:t>
      </w:r>
      <w:r w:rsidR="00A93957">
        <w:rPr>
          <w:rFonts w:eastAsia="Arial"/>
        </w:rPr>
        <w:t xml:space="preserve">f interference occurs between AWL devices (other than earth stations) </w:t>
      </w:r>
      <w:r w:rsidR="00CD47D5">
        <w:rPr>
          <w:rFonts w:eastAsia="Arial"/>
        </w:rPr>
        <w:t xml:space="preserve">and </w:t>
      </w:r>
      <w:r w:rsidR="00A93957">
        <w:rPr>
          <w:rFonts w:eastAsia="Arial"/>
        </w:rPr>
        <w:t xml:space="preserve">spectrum licensed devices, and </w:t>
      </w:r>
      <w:r w:rsidR="00FC6D73">
        <w:rPr>
          <w:rFonts w:eastAsia="Arial"/>
        </w:rPr>
        <w:t xml:space="preserve">cannot be </w:t>
      </w:r>
      <w:r w:rsidR="00A93957">
        <w:rPr>
          <w:rFonts w:eastAsia="Arial"/>
        </w:rPr>
        <w:t>resol</w:t>
      </w:r>
      <w:r w:rsidR="00FC6D73">
        <w:rPr>
          <w:rFonts w:eastAsia="Arial"/>
        </w:rPr>
        <w:t xml:space="preserve">ved </w:t>
      </w:r>
      <w:r w:rsidR="00A93957">
        <w:rPr>
          <w:rFonts w:eastAsia="Arial"/>
        </w:rPr>
        <w:t xml:space="preserve">between affected parties, </w:t>
      </w:r>
      <w:r w:rsidR="00667614">
        <w:rPr>
          <w:rFonts w:eastAsia="Arial"/>
        </w:rPr>
        <w:t xml:space="preserve">the </w:t>
      </w:r>
      <w:r w:rsidR="00A93957">
        <w:rPr>
          <w:rFonts w:eastAsia="Arial"/>
        </w:rPr>
        <w:t>AWL licensee is required to synchronise its device(s) with the affected devices operated by other licensees (limited only to those devices causing or receiving interference).</w:t>
      </w:r>
    </w:p>
    <w:p w14:paraId="6FFE9F81" w14:textId="72F21640" w:rsidR="00A93957" w:rsidRDefault="002B74CC" w:rsidP="002E6C6F">
      <w:pPr>
        <w:pStyle w:val="ListBullet"/>
        <w:rPr>
          <w:rFonts w:eastAsia="Arial"/>
        </w:rPr>
      </w:pPr>
      <w:r>
        <w:rPr>
          <w:rFonts w:eastAsia="Arial"/>
        </w:rPr>
        <w:t>T</w:t>
      </w:r>
      <w:r w:rsidR="00A93957">
        <w:rPr>
          <w:rFonts w:eastAsia="Arial"/>
        </w:rPr>
        <w:t>he uplink/downlink configuration to use when the synchronisation requirement is</w:t>
      </w:r>
      <w:r w:rsidR="00ED4C7D">
        <w:rPr>
          <w:rFonts w:eastAsia="Arial"/>
        </w:rPr>
        <w:t> </w:t>
      </w:r>
      <w:r w:rsidR="00A93957">
        <w:rPr>
          <w:rFonts w:eastAsia="Arial"/>
        </w:rPr>
        <w:t xml:space="preserve">triggered is proposed to be contained in section </w:t>
      </w:r>
      <w:r w:rsidR="00A93957" w:rsidRPr="005D52EB">
        <w:rPr>
          <w:rFonts w:eastAsia="Arial"/>
        </w:rPr>
        <w:t>3.4</w:t>
      </w:r>
      <w:r w:rsidR="00A93957">
        <w:rPr>
          <w:rFonts w:eastAsia="Arial"/>
        </w:rPr>
        <w:t xml:space="preserve"> of RALI [new] at </w:t>
      </w:r>
      <w:r w:rsidR="00A93957" w:rsidRPr="005D52EB">
        <w:rPr>
          <w:rFonts w:eastAsia="Arial"/>
          <w:b/>
        </w:rPr>
        <w:t>Attachment</w:t>
      </w:r>
      <w:r w:rsidR="00ED4C7D">
        <w:rPr>
          <w:rFonts w:eastAsia="Arial"/>
          <w:b/>
        </w:rPr>
        <w:t> </w:t>
      </w:r>
      <w:r w:rsidR="000B5A62" w:rsidRPr="005D52EB">
        <w:rPr>
          <w:rFonts w:eastAsia="Arial"/>
          <w:b/>
        </w:rPr>
        <w:t>C</w:t>
      </w:r>
      <w:r w:rsidR="00A93957">
        <w:rPr>
          <w:rFonts w:eastAsia="Arial"/>
        </w:rPr>
        <w:t>.</w:t>
      </w:r>
    </w:p>
    <w:p w14:paraId="1639FC7F" w14:textId="4C4C78C1" w:rsidR="00A93957" w:rsidRDefault="002B74CC" w:rsidP="002E6C6F">
      <w:pPr>
        <w:pStyle w:val="ListBulletLast"/>
        <w:rPr>
          <w:rFonts w:eastAsia="Arial"/>
        </w:rPr>
      </w:pPr>
      <w:r>
        <w:rPr>
          <w:rFonts w:eastAsia="Arial"/>
        </w:rPr>
        <w:t>T</w:t>
      </w:r>
      <w:r w:rsidR="00A93957">
        <w:rPr>
          <w:rFonts w:eastAsia="Arial"/>
        </w:rPr>
        <w:t>he 26/28 GHz band</w:t>
      </w:r>
      <w:r w:rsidR="00E46D0E">
        <w:rPr>
          <w:rFonts w:eastAsia="Arial"/>
        </w:rPr>
        <w:t>s</w:t>
      </w:r>
      <w:r w:rsidR="00A93957">
        <w:rPr>
          <w:rFonts w:eastAsia="Arial"/>
        </w:rPr>
        <w:t xml:space="preserve"> TLG did not come to a conclusion on the uplink/downlink configuration to use when the fallback synchronisation requirement is triggered. Two options are included in section </w:t>
      </w:r>
      <w:r w:rsidR="00A93957" w:rsidRPr="005B30A4">
        <w:rPr>
          <w:rFonts w:eastAsia="Arial"/>
        </w:rPr>
        <w:t>3.4</w:t>
      </w:r>
      <w:r w:rsidR="00A93957">
        <w:rPr>
          <w:rFonts w:eastAsia="Arial"/>
        </w:rPr>
        <w:t xml:space="preserve"> of the RALI [new]. Both these options are sourced from 3GPP documentation and, in the ACMA’s preliminary view, are suitable for synchronising devices if/when required. As the fallback synchronisation requirement can only detail a single uplink/downlink configuration, the ACMA is seeking further stakeholder views on which configuration should be adopted into the technical framework.</w:t>
      </w:r>
    </w:p>
    <w:p w14:paraId="49984584" w14:textId="77777777" w:rsidR="00A93957" w:rsidRPr="002E6C6F" w:rsidRDefault="00A93957" w:rsidP="002E6C6F">
      <w:pPr>
        <w:pStyle w:val="Paragraphbeforelist"/>
        <w:rPr>
          <w:rFonts w:eastAsia="Arial"/>
          <w:b/>
          <w:bCs/>
        </w:rPr>
      </w:pPr>
      <w:r w:rsidRPr="002E6C6F">
        <w:rPr>
          <w:rFonts w:eastAsia="Arial"/>
          <w:b/>
          <w:bCs/>
        </w:rPr>
        <w:t>Coexistence with other services:</w:t>
      </w:r>
    </w:p>
    <w:p w14:paraId="71AFA753" w14:textId="08504757" w:rsidR="00A93957" w:rsidRDefault="002B74CC" w:rsidP="002E6C6F">
      <w:pPr>
        <w:pStyle w:val="ListBullet"/>
        <w:rPr>
          <w:rFonts w:eastAsia="Arial"/>
        </w:rPr>
      </w:pPr>
      <w:r>
        <w:rPr>
          <w:rFonts w:eastAsia="Arial"/>
        </w:rPr>
        <w:t>T</w:t>
      </w:r>
      <w:r w:rsidR="00A93957">
        <w:rPr>
          <w:rFonts w:eastAsia="Arial"/>
        </w:rPr>
        <w:t>ransmitters in the frequency range 27.5</w:t>
      </w:r>
      <w:r w:rsidR="001704FC">
        <w:rPr>
          <w:rFonts w:eastAsia="Arial"/>
        </w:rPr>
        <w:t>–</w:t>
      </w:r>
      <w:r w:rsidR="00A93957">
        <w:rPr>
          <w:rFonts w:eastAsia="Arial"/>
        </w:rPr>
        <w:t xml:space="preserve">29.5 GHz are not permitted to operate while in motion. </w:t>
      </w:r>
    </w:p>
    <w:p w14:paraId="7AB31B34" w14:textId="0B2970F3" w:rsidR="00A93957" w:rsidRDefault="002B74CC" w:rsidP="002E6C6F">
      <w:pPr>
        <w:pStyle w:val="ListBullet"/>
        <w:rPr>
          <w:rFonts w:eastAsia="Arial"/>
        </w:rPr>
      </w:pPr>
      <w:r>
        <w:rPr>
          <w:rFonts w:eastAsia="Arial"/>
        </w:rPr>
        <w:t>T</w:t>
      </w:r>
      <w:r w:rsidR="00A93957">
        <w:rPr>
          <w:rFonts w:eastAsia="Arial"/>
        </w:rPr>
        <w:t xml:space="preserve">o manage coexistence with the Canberra Deep Space Communications Complex at Tidbinbilla and the </w:t>
      </w:r>
      <w:r w:rsidR="00A93957" w:rsidRPr="00646DAC">
        <w:rPr>
          <w:rFonts w:eastAsia="Arial"/>
        </w:rPr>
        <w:t>New Norcia Deep Space Ground Station</w:t>
      </w:r>
      <w:r w:rsidR="00A93957">
        <w:rPr>
          <w:rFonts w:eastAsia="Arial"/>
        </w:rPr>
        <w:t xml:space="preserve"> in Western Australia, AWL transmitters are not permitted to operate in the 25.5</w:t>
      </w:r>
      <w:r>
        <w:rPr>
          <w:rFonts w:eastAsia="Arial"/>
        </w:rPr>
        <w:t>–</w:t>
      </w:r>
      <w:r w:rsidR="00A93957">
        <w:rPr>
          <w:rFonts w:eastAsia="Arial"/>
        </w:rPr>
        <w:t xml:space="preserve">27 GHz range within the HCIS cells listed in Table </w:t>
      </w:r>
      <w:r w:rsidR="650D137E" w:rsidRPr="230960DD">
        <w:rPr>
          <w:rFonts w:eastAsia="Arial"/>
        </w:rPr>
        <w:t>2</w:t>
      </w:r>
      <w:r w:rsidR="00A93957">
        <w:rPr>
          <w:rFonts w:eastAsia="Arial"/>
        </w:rPr>
        <w:t>.</w:t>
      </w:r>
    </w:p>
    <w:p w14:paraId="44278410" w14:textId="4FDED03A" w:rsidR="00A93957" w:rsidRDefault="002B74CC" w:rsidP="002E6C6F">
      <w:pPr>
        <w:pStyle w:val="ListBullet"/>
        <w:rPr>
          <w:rFonts w:eastAsia="Arial"/>
        </w:rPr>
      </w:pPr>
      <w:r>
        <w:rPr>
          <w:rFonts w:eastAsia="Arial"/>
        </w:rPr>
        <w:t>T</w:t>
      </w:r>
      <w:r w:rsidR="00A93957">
        <w:rPr>
          <w:rFonts w:eastAsia="Arial"/>
        </w:rPr>
        <w:t>o manage coexistence with space receive stations (including domestic fixed satellite services), AWL transmitters (other than earth stations) are required to:</w:t>
      </w:r>
    </w:p>
    <w:p w14:paraId="3B02427D" w14:textId="77777777" w:rsidR="00A93957" w:rsidRDefault="00A93957">
      <w:pPr>
        <w:pStyle w:val="ListBullet2"/>
        <w:rPr>
          <w:rFonts w:eastAsia="Arial"/>
        </w:rPr>
      </w:pPr>
      <w:r>
        <w:rPr>
          <w:rFonts w:eastAsia="Arial"/>
        </w:rPr>
        <w:t>comply with antenna pointing limitations detailed in ITU-R Resolution 242 (WRC-19).</w:t>
      </w:r>
    </w:p>
    <w:p w14:paraId="60BD85BB" w14:textId="77777777" w:rsidR="00A93957" w:rsidRDefault="00A93957">
      <w:pPr>
        <w:pStyle w:val="ListBullet2"/>
      </w:pPr>
      <w:r>
        <w:t xml:space="preserve">comply with antenna pointing restrictions and EIRP masks described in the </w:t>
      </w:r>
      <w:r w:rsidRPr="006C3D42">
        <w:rPr>
          <w:i/>
          <w:iCs/>
        </w:rPr>
        <w:fldChar w:fldCharType="begin"/>
      </w:r>
      <w:r w:rsidRPr="006C3D42">
        <w:rPr>
          <w:i/>
          <w:iCs/>
        </w:rPr>
        <w:instrText xml:space="preserve"> REF _Ref42604859 \h  \* MERGEFORMAT </w:instrText>
      </w:r>
      <w:r w:rsidRPr="006C3D42">
        <w:rPr>
          <w:i/>
          <w:iCs/>
        </w:rPr>
      </w:r>
      <w:r w:rsidRPr="006C3D42">
        <w:rPr>
          <w:i/>
          <w:iCs/>
        </w:rPr>
        <w:fldChar w:fldCharType="separate"/>
      </w:r>
      <w:r w:rsidRPr="006C3D42">
        <w:rPr>
          <w:i/>
          <w:iCs/>
        </w:rPr>
        <w:t>TRP limit and coexistence with space receive stations</w:t>
      </w:r>
      <w:r w:rsidRPr="006C3D42">
        <w:rPr>
          <w:i/>
          <w:iCs/>
        </w:rPr>
        <w:fldChar w:fldCharType="end"/>
      </w:r>
      <w:r>
        <w:t xml:space="preserve"> section. </w:t>
      </w:r>
    </w:p>
    <w:p w14:paraId="40AF3E19" w14:textId="31E71285" w:rsidR="00A93957" w:rsidRDefault="00A93957" w:rsidP="00641A87">
      <w:pPr>
        <w:pStyle w:val="ListBullet"/>
        <w:rPr>
          <w:rFonts w:eastAsia="Arial"/>
        </w:rPr>
      </w:pPr>
      <w:r>
        <w:rPr>
          <w:rFonts w:eastAsia="Arial"/>
        </w:rPr>
        <w:lastRenderedPageBreak/>
        <w:t>Class licensed devices operating within the frequency range 25.1</w:t>
      </w:r>
      <w:r w:rsidR="002B74CC">
        <w:rPr>
          <w:rFonts w:eastAsia="Arial"/>
        </w:rPr>
        <w:t>–</w:t>
      </w:r>
      <w:r>
        <w:rPr>
          <w:rFonts w:eastAsia="Arial"/>
        </w:rPr>
        <w:t>27.5 GHz</w:t>
      </w:r>
      <w:r w:rsidR="00D56DA8">
        <w:rPr>
          <w:rFonts w:eastAsia="Arial"/>
        </w:rPr>
        <w:t>:</w:t>
      </w:r>
      <w:r w:rsidRPr="00720F42">
        <w:rPr>
          <w:rFonts w:eastAsia="Arial"/>
        </w:rPr>
        <w:t xml:space="preserve"> </w:t>
      </w:r>
    </w:p>
    <w:p w14:paraId="1DEE2A16" w14:textId="22E2C20E" w:rsidR="00A93957" w:rsidRDefault="00A93957" w:rsidP="002E6C6F">
      <w:pPr>
        <w:pStyle w:val="ListBullet2"/>
        <w:spacing w:after="240"/>
        <w:rPr>
          <w:rFonts w:eastAsia="Arial"/>
        </w:rPr>
      </w:pPr>
      <w:r>
        <w:rPr>
          <w:rFonts w:eastAsia="Arial"/>
        </w:rPr>
        <w:t xml:space="preserve">AWL devices must not cause harmful interference to, nor will they be afforded protection from, devices operated under the </w:t>
      </w:r>
      <w:r w:rsidRPr="002E6C6F">
        <w:rPr>
          <w:rFonts w:eastAsia="Arial"/>
          <w:iCs/>
        </w:rPr>
        <w:t>Radiocommunications (Body Scanner – Aviation Security) Class Licence 2018</w:t>
      </w:r>
      <w:r>
        <w:rPr>
          <w:rFonts w:eastAsia="Arial"/>
        </w:rPr>
        <w:t>.</w:t>
      </w:r>
      <w:r w:rsidR="007E4A83">
        <w:rPr>
          <w:rStyle w:val="FootnoteReference"/>
          <w:rFonts w:eastAsia="Arial"/>
        </w:rPr>
        <w:footnoteReference w:id="20"/>
      </w:r>
    </w:p>
    <w:p w14:paraId="7FAEB1E0" w14:textId="40905331" w:rsidR="00A93957" w:rsidRDefault="00231D6B" w:rsidP="00231D6B">
      <w:pPr>
        <w:pStyle w:val="ACMATableHeader"/>
        <w:numPr>
          <w:ilvl w:val="0"/>
          <w:numId w:val="0"/>
        </w:numPr>
        <w:rPr>
          <w:rFonts w:eastAsia="Arial" w:cs="Arial"/>
        </w:rPr>
      </w:pPr>
      <w:bookmarkStart w:id="39" w:name="_Ref42604859"/>
      <w:r>
        <w:rPr>
          <w:rFonts w:eastAsia="Arial"/>
        </w:rPr>
        <w:t xml:space="preserve">Table 2: </w:t>
      </w:r>
      <w:r w:rsidR="00A93957">
        <w:rPr>
          <w:rFonts w:eastAsia="Arial"/>
        </w:rPr>
        <w:t>Earth receive station exclusion zones</w:t>
      </w:r>
    </w:p>
    <w:tbl>
      <w:tblPr>
        <w:tblStyle w:val="TableGrid"/>
        <w:tblW w:w="8547" w:type="dxa"/>
        <w:tblLayout w:type="fixed"/>
        <w:tblLook w:val="04A0" w:firstRow="1" w:lastRow="0" w:firstColumn="1" w:lastColumn="0" w:noHBand="0" w:noVBand="1"/>
      </w:tblPr>
      <w:tblGrid>
        <w:gridCol w:w="1460"/>
        <w:gridCol w:w="7087"/>
      </w:tblGrid>
      <w:tr w:rsidR="00A93957" w:rsidRPr="007074ED" w14:paraId="0573B680" w14:textId="77777777" w:rsidTr="003D1176">
        <w:trPr>
          <w:cantSplit/>
          <w:tblHeader/>
        </w:trPr>
        <w:tc>
          <w:tcPr>
            <w:tcW w:w="1460" w:type="dxa"/>
            <w:shd w:val="clear" w:color="auto" w:fill="404040" w:themeFill="text1" w:themeFillTint="BF"/>
            <w:vAlign w:val="center"/>
          </w:tcPr>
          <w:p w14:paraId="6BEAE46B" w14:textId="77777777" w:rsidR="00A93957" w:rsidRPr="007074ED" w:rsidRDefault="00A93957" w:rsidP="003D1176">
            <w:pPr>
              <w:pStyle w:val="TableHeading0"/>
              <w:keepNext/>
              <w:keepLines/>
              <w:spacing w:before="120" w:after="120" w:line="240" w:lineRule="auto"/>
              <w:rPr>
                <w:color w:val="FFFFFF" w:themeColor="background1"/>
              </w:rPr>
            </w:pPr>
            <w:r w:rsidRPr="007074ED">
              <w:rPr>
                <w:rFonts w:eastAsia="Arial"/>
                <w:color w:val="FFFFFF" w:themeColor="background1"/>
              </w:rPr>
              <w:t>Area name</w:t>
            </w:r>
          </w:p>
        </w:tc>
        <w:tc>
          <w:tcPr>
            <w:tcW w:w="7087" w:type="dxa"/>
            <w:shd w:val="clear" w:color="auto" w:fill="404040" w:themeFill="text1" w:themeFillTint="BF"/>
            <w:vAlign w:val="center"/>
          </w:tcPr>
          <w:p w14:paraId="2D49DB6D" w14:textId="77777777" w:rsidR="00A93957" w:rsidRPr="007074ED" w:rsidRDefault="00A93957" w:rsidP="003D1176">
            <w:pPr>
              <w:pStyle w:val="TableHeading0"/>
              <w:keepNext/>
              <w:keepLines/>
              <w:spacing w:before="120" w:after="120" w:line="240" w:lineRule="auto"/>
              <w:rPr>
                <w:color w:val="FFFFFF" w:themeColor="background1"/>
              </w:rPr>
            </w:pPr>
            <w:r w:rsidRPr="007074ED">
              <w:rPr>
                <w:rFonts w:eastAsia="Arial"/>
                <w:color w:val="FFFFFF" w:themeColor="background1"/>
              </w:rPr>
              <w:t>HCIS</w:t>
            </w:r>
          </w:p>
        </w:tc>
      </w:tr>
      <w:tr w:rsidR="00A93957" w:rsidRPr="007074ED" w14:paraId="36EE3E4C" w14:textId="77777777" w:rsidTr="003D1176">
        <w:trPr>
          <w:cantSplit/>
        </w:trPr>
        <w:tc>
          <w:tcPr>
            <w:tcW w:w="1460" w:type="dxa"/>
          </w:tcPr>
          <w:p w14:paraId="432CEE11" w14:textId="77777777" w:rsidR="00A93957" w:rsidRPr="007074ED" w:rsidRDefault="00A93957" w:rsidP="003D1176">
            <w:pPr>
              <w:pStyle w:val="TableBody"/>
              <w:keepNext/>
              <w:keepLines/>
              <w:spacing w:before="120" w:after="120"/>
            </w:pPr>
            <w:r>
              <w:rPr>
                <w:rFonts w:eastAsia="Arial"/>
              </w:rPr>
              <w:t>New Norcia</w:t>
            </w:r>
          </w:p>
        </w:tc>
        <w:tc>
          <w:tcPr>
            <w:tcW w:w="7087" w:type="dxa"/>
            <w:vAlign w:val="center"/>
          </w:tcPr>
          <w:p w14:paraId="2DB5EA67" w14:textId="77777777" w:rsidR="00A93957" w:rsidRPr="007074ED" w:rsidRDefault="00A93957" w:rsidP="003D1176">
            <w:pPr>
              <w:pStyle w:val="TableBody"/>
              <w:keepNext/>
              <w:keepLines/>
              <w:spacing w:before="120" w:after="120"/>
            </w:pPr>
            <w:r>
              <w:rPr>
                <w:rFonts w:eastAsia="Arial"/>
              </w:rPr>
              <w:t xml:space="preserve">BU7K, BU7L, BU7O, BU7P, BU8E, BU8F, BU8G, BU8I, BU8J, BU8K, BU8L, BU8M, BU8N, BU8O, BU8P, BV2A, BV2B </w:t>
            </w:r>
          </w:p>
        </w:tc>
      </w:tr>
      <w:tr w:rsidR="00A93957" w:rsidRPr="007074ED" w14:paraId="787410CF" w14:textId="77777777" w:rsidTr="002E6C6F">
        <w:trPr>
          <w:cantSplit/>
        </w:trPr>
        <w:tc>
          <w:tcPr>
            <w:tcW w:w="1460" w:type="dxa"/>
            <w:shd w:val="clear" w:color="auto" w:fill="F2F2F2" w:themeFill="background1" w:themeFillShade="F2"/>
          </w:tcPr>
          <w:p w14:paraId="6CD8AB05" w14:textId="77777777" w:rsidR="00A93957" w:rsidRPr="007074ED" w:rsidRDefault="00A93957" w:rsidP="003D1176">
            <w:pPr>
              <w:pStyle w:val="TableBody"/>
              <w:keepNext/>
              <w:keepLines/>
              <w:spacing w:before="120" w:after="120"/>
            </w:pPr>
            <w:r>
              <w:rPr>
                <w:rFonts w:eastAsia="Arial"/>
              </w:rPr>
              <w:t>Tidbinbilla</w:t>
            </w:r>
          </w:p>
        </w:tc>
        <w:tc>
          <w:tcPr>
            <w:tcW w:w="7087" w:type="dxa"/>
            <w:shd w:val="clear" w:color="auto" w:fill="F2F2F2" w:themeFill="background1" w:themeFillShade="F2"/>
            <w:vAlign w:val="center"/>
          </w:tcPr>
          <w:p w14:paraId="4F25CE9C" w14:textId="77777777" w:rsidR="00A93957" w:rsidRPr="007074ED" w:rsidRDefault="00A93957" w:rsidP="003D1176">
            <w:pPr>
              <w:pStyle w:val="TableBody"/>
              <w:keepNext/>
              <w:keepLines/>
              <w:spacing w:before="120" w:after="120"/>
            </w:pPr>
            <w:r>
              <w:rPr>
                <w:rFonts w:eastAsia="Arial"/>
              </w:rPr>
              <w:t>MW4H1, MW4H2, MW4H4, MW4H5, MW4H6, MW4H7, MW4H8, MW4D7, MW4L2</w:t>
            </w:r>
          </w:p>
        </w:tc>
      </w:tr>
    </w:tbl>
    <w:p w14:paraId="17B5C2BF" w14:textId="77777777" w:rsidR="00A93957" w:rsidRPr="007C3ABD" w:rsidRDefault="00A93957" w:rsidP="00A93957"/>
    <w:p w14:paraId="32FCE271" w14:textId="77777777" w:rsidR="00A93957" w:rsidRDefault="00A93957" w:rsidP="00A93957">
      <w:pPr>
        <w:pStyle w:val="Heading4"/>
        <w:rPr>
          <w:rFonts w:eastAsia="Arial"/>
        </w:rPr>
      </w:pPr>
      <w:bookmarkStart w:id="40" w:name="_Ref46320742"/>
      <w:r>
        <w:rPr>
          <w:rFonts w:eastAsia="Arial"/>
        </w:rPr>
        <w:t>TRP limit and coexistence with space receive s</w:t>
      </w:r>
      <w:bookmarkEnd w:id="39"/>
      <w:r>
        <w:rPr>
          <w:rFonts w:eastAsia="Arial"/>
        </w:rPr>
        <w:t>tations</w:t>
      </w:r>
      <w:bookmarkEnd w:id="40"/>
    </w:p>
    <w:p w14:paraId="2A87E6B6" w14:textId="052F5F11" w:rsidR="00A93957" w:rsidRDefault="00A93957" w:rsidP="00C727BE">
      <w:pPr>
        <w:pStyle w:val="Paragraph"/>
      </w:pPr>
      <w:r>
        <w:rPr>
          <w:rFonts w:eastAsia="Arial"/>
        </w:rPr>
        <w:t xml:space="preserve">The 26/28 GHz bands are currently used by domestic and </w:t>
      </w:r>
      <w:r w:rsidR="00162589">
        <w:rPr>
          <w:rFonts w:eastAsia="Arial"/>
        </w:rPr>
        <w:t>foreign</w:t>
      </w:r>
      <w:r>
        <w:rPr>
          <w:rFonts w:eastAsia="Arial"/>
        </w:rPr>
        <w:t xml:space="preserve"> satellite services. Internationally, there are fixed-satellite and inter-satellite services operating in the entire 26/28 GHz bands. Domestically, there are fixed satellite services operated at discrete locations in the range 27</w:t>
      </w:r>
      <w:r w:rsidR="000D5F7F">
        <w:rPr>
          <w:rFonts w:eastAsia="Arial"/>
        </w:rPr>
        <w:t>–</w:t>
      </w:r>
      <w:r>
        <w:rPr>
          <w:rFonts w:eastAsia="Arial"/>
        </w:rPr>
        <w:t>29.5 GHz, including gateway uplinks operated by NBN Co Ltd (</w:t>
      </w:r>
      <w:r w:rsidR="003D1E3A">
        <w:rPr>
          <w:rFonts w:eastAsia="Arial"/>
        </w:rPr>
        <w:t>NBN</w:t>
      </w:r>
      <w:r>
        <w:rPr>
          <w:rFonts w:eastAsia="Arial"/>
        </w:rPr>
        <w:t>). These satellite services operate in the earth-to-space direction</w:t>
      </w:r>
      <w:r w:rsidR="00762235">
        <w:rPr>
          <w:rFonts w:eastAsia="Arial"/>
        </w:rPr>
        <w:t>,</w:t>
      </w:r>
      <w:r>
        <w:rPr>
          <w:rFonts w:eastAsia="Arial"/>
        </w:rPr>
        <w:t xml:space="preserve"> therefore there is a risk of interference from terrestrial services to space receive stations.</w:t>
      </w:r>
    </w:p>
    <w:p w14:paraId="3AAAAFE8" w14:textId="77777777" w:rsidR="00A93957" w:rsidRPr="008D4A57" w:rsidRDefault="00A93957" w:rsidP="00C727BE">
      <w:pPr>
        <w:pStyle w:val="Paragraph"/>
      </w:pPr>
      <w:r w:rsidRPr="00327FB2">
        <w:rPr>
          <w:rFonts w:eastAsia="Arial"/>
        </w:rPr>
        <w:t xml:space="preserve">Australia is a member of the International Telecommunication Union (ITU) and has ratified the </w:t>
      </w:r>
      <w:r w:rsidRPr="00327FB2">
        <w:rPr>
          <w:rFonts w:eastAsia="Arial"/>
          <w:i/>
        </w:rPr>
        <w:t xml:space="preserve">Constitution and Convention of the ITU. </w:t>
      </w:r>
      <w:r w:rsidRPr="00327FB2">
        <w:rPr>
          <w:rFonts w:eastAsia="Arial"/>
        </w:rPr>
        <w:t>Under the Constitution, member states are bound to comply with the</w:t>
      </w:r>
      <w:r>
        <w:rPr>
          <w:rFonts w:eastAsia="Arial"/>
        </w:rPr>
        <w:t xml:space="preserve"> </w:t>
      </w:r>
      <w:r w:rsidRPr="008D4A57">
        <w:rPr>
          <w:rFonts w:eastAsia="Arial"/>
        </w:rPr>
        <w:t>ITU’s Radio Regulations (RRs). Article 21 of the RRs (chapter 6) contains provisions which manage coexistence in frequency bands shared between terrestrial and satellite services above 1 GHz, including prescribed conducted and radiated emission limits on terrestrial services</w:t>
      </w:r>
      <w:r w:rsidRPr="008D4A57">
        <w:t>.</w:t>
      </w:r>
      <w:r w:rsidRPr="008D4A57">
        <w:rPr>
          <w:rStyle w:val="FootnoteReference"/>
        </w:rPr>
        <w:footnoteReference w:id="21"/>
      </w:r>
      <w:r w:rsidRPr="008D4A57">
        <w:t xml:space="preserve"> The ACMA must have regard to the RRs in determining domestic planning arrangements.</w:t>
      </w:r>
      <w:r>
        <w:rPr>
          <w:rStyle w:val="FootnoteReference"/>
        </w:rPr>
        <w:footnoteReference w:id="22"/>
      </w:r>
      <w:r w:rsidRPr="008D4A57">
        <w:rPr>
          <w:rFonts w:eastAsia="Arial"/>
        </w:rPr>
        <w:t xml:space="preserve"> </w:t>
      </w:r>
    </w:p>
    <w:p w14:paraId="412B1E50" w14:textId="3D6CC7CC" w:rsidR="00A93957" w:rsidRPr="008D4A57" w:rsidRDefault="00A93957" w:rsidP="00C727BE">
      <w:pPr>
        <w:pStyle w:val="Paragraphbeforelist"/>
      </w:pPr>
      <w:r w:rsidRPr="008D4A57">
        <w:rPr>
          <w:rFonts w:eastAsia="Arial"/>
        </w:rPr>
        <w:t>In the context of defining TRP</w:t>
      </w:r>
      <w:r>
        <w:rPr>
          <w:rFonts w:eastAsia="Arial"/>
        </w:rPr>
        <w:t xml:space="preserve"> limits</w:t>
      </w:r>
      <w:r w:rsidRPr="008D4A57">
        <w:rPr>
          <w:rFonts w:eastAsia="Arial"/>
        </w:rPr>
        <w:t xml:space="preserve"> and EIRP limits in certain angular directions, we </w:t>
      </w:r>
      <w:r w:rsidR="00967221">
        <w:rPr>
          <w:rFonts w:eastAsia="Arial"/>
        </w:rPr>
        <w:t xml:space="preserve">had </w:t>
      </w:r>
      <w:r w:rsidRPr="008D4A57">
        <w:rPr>
          <w:rFonts w:eastAsia="Arial"/>
        </w:rPr>
        <w:t>regard to Articles 21.2, 21.3 and 21.5 which (respectively) deal with:</w:t>
      </w:r>
    </w:p>
    <w:p w14:paraId="2E36C465" w14:textId="055EB372" w:rsidR="00A93957" w:rsidRPr="008D4A57" w:rsidRDefault="00A93957" w:rsidP="00C727BE">
      <w:pPr>
        <w:pStyle w:val="ListBullet"/>
        <w:rPr>
          <w:rFonts w:eastAsia="Arial"/>
        </w:rPr>
      </w:pPr>
      <w:r w:rsidRPr="008D4A57">
        <w:rPr>
          <w:rFonts w:eastAsia="Arial"/>
        </w:rPr>
        <w:t>EIRP limits for certain angles of separation from the geostationary orbit</w:t>
      </w:r>
    </w:p>
    <w:p w14:paraId="06192EA9" w14:textId="1D16CC98" w:rsidR="00A93957" w:rsidRPr="008D4A57" w:rsidRDefault="00A93957" w:rsidP="00C727BE">
      <w:pPr>
        <w:pStyle w:val="ListBullet"/>
        <w:rPr>
          <w:rFonts w:eastAsia="Arial"/>
        </w:rPr>
      </w:pPr>
      <w:r w:rsidRPr="008D4A57">
        <w:rPr>
          <w:rFonts w:eastAsia="Arial"/>
        </w:rPr>
        <w:t>maximum overall EIRP limits from a station in the fixed or mobile service (55 dBW)</w:t>
      </w:r>
    </w:p>
    <w:p w14:paraId="0F1FC651" w14:textId="0EB3B532" w:rsidR="00A93957" w:rsidRPr="008D4A57" w:rsidRDefault="00A93957" w:rsidP="00C727BE">
      <w:pPr>
        <w:pStyle w:val="ListBulletLast"/>
        <w:rPr>
          <w:rFonts w:eastAsia="Arial"/>
        </w:rPr>
      </w:pPr>
      <w:r w:rsidRPr="008D4A57">
        <w:rPr>
          <w:rFonts w:eastAsia="Arial"/>
        </w:rPr>
        <w:t>total power delivered to the antenna for stations in the fixed or mobile service (10</w:t>
      </w:r>
      <w:r w:rsidR="000D5F7F">
        <w:rPr>
          <w:rFonts w:eastAsia="Arial"/>
        </w:rPr>
        <w:t> </w:t>
      </w:r>
      <w:r w:rsidRPr="008D4A57">
        <w:rPr>
          <w:rFonts w:eastAsia="Arial"/>
        </w:rPr>
        <w:t>dBW above 10 GHz</w:t>
      </w:r>
      <w:r w:rsidRPr="008D4A57">
        <w:t>).</w:t>
      </w:r>
      <w:r w:rsidRPr="008D4A57">
        <w:rPr>
          <w:rStyle w:val="FootnoteReference"/>
        </w:rPr>
        <w:footnoteReference w:id="23"/>
      </w:r>
      <w:r w:rsidRPr="008D4A57">
        <w:rPr>
          <w:rFonts w:eastAsia="Arial"/>
        </w:rPr>
        <w:t xml:space="preserve">  </w:t>
      </w:r>
    </w:p>
    <w:p w14:paraId="5107B863" w14:textId="1F3AE7B4" w:rsidR="00A93957" w:rsidRPr="00D21E9B" w:rsidRDefault="00A93957" w:rsidP="00C727BE">
      <w:pPr>
        <w:pStyle w:val="Paragraph"/>
        <w:rPr>
          <w:rFonts w:eastAsia="Arial"/>
        </w:rPr>
      </w:pPr>
      <w:r w:rsidRPr="008D4A57">
        <w:rPr>
          <w:rFonts w:eastAsia="Arial"/>
        </w:rPr>
        <w:t>Article 4.4 of the RR provide</w:t>
      </w:r>
      <w:r>
        <w:rPr>
          <w:rFonts w:eastAsia="Arial"/>
        </w:rPr>
        <w:t>s</w:t>
      </w:r>
      <w:r w:rsidRPr="008D4A57">
        <w:rPr>
          <w:rFonts w:eastAsia="Arial"/>
        </w:rPr>
        <w:t xml:space="preserve"> some flexibility to allow the operation of stations which contravene the RRs </w:t>
      </w:r>
      <w:r w:rsidRPr="00C727BE">
        <w:rPr>
          <w:rFonts w:eastAsia="Arial"/>
        </w:rPr>
        <w:t>“</w:t>
      </w:r>
      <w:r w:rsidR="000D5F7F">
        <w:rPr>
          <w:rFonts w:eastAsia="Arial"/>
        </w:rPr>
        <w:t>on</w:t>
      </w:r>
      <w:r w:rsidRPr="00C727BE">
        <w:rPr>
          <w:rFonts w:eastAsia="Arial"/>
        </w:rPr>
        <w:t xml:space="preserve"> the express condition that such a station, when using such a frequency assignment, shall not cause harmful interference to, and shall not claim protection from harmful interference caused by, a station operating in accordance with the provision of the Constitution, the Convention and these Regulation</w:t>
      </w:r>
      <w:r w:rsidRPr="008D4A57">
        <w:rPr>
          <w:rFonts w:eastAsia="Arial"/>
          <w:i/>
        </w:rPr>
        <w:t xml:space="preserve">”. </w:t>
      </w:r>
      <w:r w:rsidRPr="008D4A57">
        <w:rPr>
          <w:rFonts w:eastAsia="Arial"/>
        </w:rPr>
        <w:t>In</w:t>
      </w:r>
      <w:r w:rsidR="00287BEA">
        <w:rPr>
          <w:rFonts w:eastAsia="Arial"/>
        </w:rPr>
        <w:t xml:space="preserve"> this regard</w:t>
      </w:r>
      <w:r w:rsidRPr="008D4A57">
        <w:rPr>
          <w:rFonts w:eastAsia="Arial"/>
        </w:rPr>
        <w:t xml:space="preserve">, while the proposals in this paper do not necessarily directly mirror the provisions of the </w:t>
      </w:r>
      <w:r w:rsidRPr="008D4A57">
        <w:rPr>
          <w:rFonts w:eastAsia="Arial"/>
        </w:rPr>
        <w:lastRenderedPageBreak/>
        <w:t xml:space="preserve">abovementioned Articles under chapter 6 of the RR, they are broadly aligned with those provisions. </w:t>
      </w:r>
    </w:p>
    <w:p w14:paraId="30399930" w14:textId="501D870C" w:rsidR="00A93957" w:rsidRDefault="00A93957" w:rsidP="00C727BE">
      <w:pPr>
        <w:pStyle w:val="Paragraph"/>
      </w:pPr>
      <w:r>
        <w:rPr>
          <w:rFonts w:eastAsia="Arial"/>
        </w:rPr>
        <w:t>Placing a maximum power limit on spectrum licensed transmitters is one of a number of methods to enable terrestrial services to coexist with 26/28 GHz band</w:t>
      </w:r>
      <w:r w:rsidR="00247178">
        <w:rPr>
          <w:rFonts w:eastAsia="Arial"/>
        </w:rPr>
        <w:t>s</w:t>
      </w:r>
      <w:r>
        <w:rPr>
          <w:rFonts w:eastAsia="Arial"/>
        </w:rPr>
        <w:t xml:space="preserve"> satellite services (additional methods are discussed later in this section). However, setting limits too low will unnecessarily restrict terrestrial deployments and degrade the utility of the band.</w:t>
      </w:r>
    </w:p>
    <w:p w14:paraId="2CB69D81" w14:textId="31D7A222" w:rsidR="00A93957" w:rsidRDefault="00A93957" w:rsidP="00C727BE">
      <w:pPr>
        <w:pStyle w:val="Paragraphbeforelist"/>
      </w:pPr>
      <w:r>
        <w:rPr>
          <w:rFonts w:eastAsia="Arial"/>
        </w:rPr>
        <w:t>In recognition of the domestic satellite services which currently operate in the range 27</w:t>
      </w:r>
      <w:r w:rsidR="000D5F7F">
        <w:rPr>
          <w:rFonts w:eastAsia="Arial"/>
        </w:rPr>
        <w:t>–</w:t>
      </w:r>
      <w:r>
        <w:rPr>
          <w:rFonts w:eastAsia="Arial"/>
        </w:rPr>
        <w:t>29.5 GHz, as well as the conditions contained in the ITU-R RRs, the following maximum TRP limits were proposed in the 26/28 GHz band</w:t>
      </w:r>
      <w:r w:rsidR="00C310D6">
        <w:rPr>
          <w:rFonts w:eastAsia="Arial"/>
        </w:rPr>
        <w:t>s</w:t>
      </w:r>
      <w:r>
        <w:rPr>
          <w:rFonts w:eastAsia="Arial"/>
        </w:rPr>
        <w:t xml:space="preserve"> TLG:</w:t>
      </w:r>
    </w:p>
    <w:p w14:paraId="74C53A3F" w14:textId="77777777" w:rsidR="00A93957" w:rsidRDefault="00A93957" w:rsidP="00A93957">
      <w:pPr>
        <w:pStyle w:val="ListBullet"/>
        <w:rPr>
          <w:rFonts w:eastAsia="Arial"/>
        </w:rPr>
      </w:pPr>
      <w:r>
        <w:rPr>
          <w:rFonts w:eastAsia="Arial"/>
        </w:rPr>
        <w:t>37 dBm/200 MHz for transmitters in the range:</w:t>
      </w:r>
    </w:p>
    <w:p w14:paraId="4D5881AA" w14:textId="3873BF9A" w:rsidR="00A93957" w:rsidRDefault="00A93957" w:rsidP="00C727BE">
      <w:pPr>
        <w:pStyle w:val="ListBullet2"/>
        <w:rPr>
          <w:rFonts w:eastAsia="Arial"/>
        </w:rPr>
      </w:pPr>
      <w:r>
        <w:rPr>
          <w:rFonts w:eastAsia="Arial"/>
        </w:rPr>
        <w:t>25.1</w:t>
      </w:r>
      <w:r w:rsidR="000D5F7F">
        <w:rPr>
          <w:rFonts w:eastAsia="Arial"/>
        </w:rPr>
        <w:t>–</w:t>
      </w:r>
      <w:r>
        <w:rPr>
          <w:rFonts w:eastAsia="Arial"/>
        </w:rPr>
        <w:t xml:space="preserve">27 GHz </w:t>
      </w:r>
    </w:p>
    <w:p w14:paraId="57733D7C" w14:textId="4B8A5B33" w:rsidR="00A93957" w:rsidRDefault="00A93957" w:rsidP="00C727BE">
      <w:pPr>
        <w:pStyle w:val="ListBullet2"/>
      </w:pPr>
      <w:r>
        <w:t>27</w:t>
      </w:r>
      <w:r w:rsidR="000D5F7F">
        <w:t>–</w:t>
      </w:r>
      <w:r>
        <w:t>27.5 GHz and located outside of gateway footprint areas</w:t>
      </w:r>
      <w:r w:rsidR="000D5F7F">
        <w:t>.</w:t>
      </w:r>
      <w:r>
        <w:rPr>
          <w:rStyle w:val="FootnoteReference"/>
        </w:rPr>
        <w:footnoteReference w:id="24"/>
      </w:r>
    </w:p>
    <w:p w14:paraId="7B0A9902" w14:textId="2B1863B6" w:rsidR="00A93957" w:rsidRPr="00C22A6D" w:rsidRDefault="00A93957" w:rsidP="003F3CD3">
      <w:pPr>
        <w:pStyle w:val="ListBulletLast"/>
        <w:rPr>
          <w:rFonts w:eastAsia="Arial"/>
        </w:rPr>
      </w:pPr>
      <w:r>
        <w:rPr>
          <w:rFonts w:eastAsia="Arial"/>
        </w:rPr>
        <w:t>25 dBm/200 MHz for outdoor transmitters in the range 27</w:t>
      </w:r>
      <w:r w:rsidR="000D5F7F">
        <w:rPr>
          <w:rFonts w:eastAsia="Arial"/>
        </w:rPr>
        <w:t>–</w:t>
      </w:r>
      <w:r>
        <w:rPr>
          <w:rFonts w:eastAsia="Arial"/>
        </w:rPr>
        <w:t>27.5 GHz and located</w:t>
      </w:r>
      <w:r w:rsidR="000D5F7F">
        <w:rPr>
          <w:rFonts w:eastAsia="Arial"/>
        </w:rPr>
        <w:t> </w:t>
      </w:r>
      <w:r>
        <w:rPr>
          <w:rFonts w:eastAsia="Arial"/>
        </w:rPr>
        <w:t>inside a gate</w:t>
      </w:r>
      <w:r w:rsidRPr="00EE79EA">
        <w:rPr>
          <w:rFonts w:eastAsia="Arial"/>
        </w:rPr>
        <w:t xml:space="preserve">way footprint area and </w:t>
      </w:r>
      <w:r w:rsidR="003F3CD3" w:rsidRPr="00EE79EA">
        <w:rPr>
          <w:rFonts w:eastAsia="Arial"/>
        </w:rPr>
        <w:t xml:space="preserve">outdoor transmitters in the range </w:t>
      </w:r>
      <w:r w:rsidR="000D5F7F">
        <w:rPr>
          <w:rFonts w:eastAsia="Arial"/>
        </w:rPr>
        <w:br/>
      </w:r>
      <w:r w:rsidRPr="00C22A6D">
        <w:rPr>
          <w:rFonts w:eastAsia="Arial"/>
        </w:rPr>
        <w:t>27.5</w:t>
      </w:r>
      <w:r w:rsidR="000D5F7F">
        <w:rPr>
          <w:rFonts w:eastAsia="Arial"/>
        </w:rPr>
        <w:t>–</w:t>
      </w:r>
      <w:r w:rsidRPr="00C22A6D">
        <w:rPr>
          <w:rFonts w:eastAsia="Arial"/>
        </w:rPr>
        <w:t>29.5 GHz. Additional antenna pointing restrictions were also proposed to be placed on these transmitters.</w:t>
      </w:r>
    </w:p>
    <w:p w14:paraId="609CCF32" w14:textId="7BC38E13" w:rsidR="00A93957" w:rsidRDefault="00A93957" w:rsidP="00A93957">
      <w:pPr>
        <w:pStyle w:val="Paragraph"/>
        <w:rPr>
          <w:rFonts w:eastAsia="Arial"/>
        </w:rPr>
      </w:pPr>
      <w:r>
        <w:rPr>
          <w:rFonts w:eastAsia="Arial"/>
        </w:rPr>
        <w:t>There was disagreement within the 26/28 GHz band</w:t>
      </w:r>
      <w:r w:rsidR="008716FC">
        <w:rPr>
          <w:rFonts w:eastAsia="Arial"/>
        </w:rPr>
        <w:t>s</w:t>
      </w:r>
      <w:r>
        <w:rPr>
          <w:rFonts w:eastAsia="Arial"/>
        </w:rPr>
        <w:t xml:space="preserve"> TLG on whether the proposed limits would be too restrictive and lead to increased deployment costs and a degradation of the band’s utility. It was also argued that studies considering the coexistence of terrestrial and satellite services showed large interference margins which suggested that the TRP limits can be increased while still maintaining coexistence with satellite services.</w:t>
      </w:r>
    </w:p>
    <w:p w14:paraId="7AC59989" w14:textId="19A9C21F" w:rsidR="00A93957" w:rsidRDefault="00A93957" w:rsidP="00A93957">
      <w:pPr>
        <w:pStyle w:val="Paragraph"/>
      </w:pPr>
      <w:r w:rsidRPr="007506CD">
        <w:rPr>
          <w:rFonts w:eastAsia="Arial"/>
        </w:rPr>
        <w:t xml:space="preserve">In recognition of these concerns, the ACMA indicated to the </w:t>
      </w:r>
      <w:r>
        <w:rPr>
          <w:rFonts w:eastAsia="Arial"/>
        </w:rPr>
        <w:t>26/28 GHz band</w:t>
      </w:r>
      <w:r w:rsidR="00B708BF">
        <w:rPr>
          <w:rFonts w:eastAsia="Arial"/>
        </w:rPr>
        <w:t>s</w:t>
      </w:r>
      <w:r>
        <w:rPr>
          <w:rFonts w:eastAsia="Arial"/>
        </w:rPr>
        <w:t xml:space="preserve"> </w:t>
      </w:r>
      <w:r w:rsidRPr="007506CD">
        <w:rPr>
          <w:rFonts w:eastAsia="Arial"/>
        </w:rPr>
        <w:t xml:space="preserve">TLG that higher TRP limits could be considered if this increase is accompanied </w:t>
      </w:r>
      <w:r w:rsidR="00D86FED">
        <w:rPr>
          <w:rFonts w:eastAsia="Arial"/>
        </w:rPr>
        <w:t xml:space="preserve">by </w:t>
      </w:r>
      <w:r w:rsidRPr="007506CD">
        <w:rPr>
          <w:rFonts w:eastAsia="Arial"/>
        </w:rPr>
        <w:t>additional mitigation measures to maintain coexistence with satellite services. The ACMA also noted that it would expect any additional proposals that may be brought forward after the TLG process would reflect an agreement reached between interested</w:t>
      </w:r>
      <w:r>
        <w:rPr>
          <w:rFonts w:eastAsia="Arial"/>
        </w:rPr>
        <w:t xml:space="preserve"> or </w:t>
      </w:r>
      <w:r w:rsidRPr="007506CD">
        <w:rPr>
          <w:rFonts w:eastAsia="Arial"/>
        </w:rPr>
        <w:t xml:space="preserve">affected stakeholders (specifically, stakeholders in the terrestrial wireless broadband and satellite sectors). While the ACMA is aware that discussions </w:t>
      </w:r>
      <w:r w:rsidR="000D04FB">
        <w:rPr>
          <w:rFonts w:eastAsia="Arial"/>
        </w:rPr>
        <w:t>on this matter</w:t>
      </w:r>
      <w:r w:rsidRPr="007506CD">
        <w:rPr>
          <w:rFonts w:eastAsia="Arial"/>
        </w:rPr>
        <w:t xml:space="preserve"> </w:t>
      </w:r>
      <w:r w:rsidRPr="003A2FF0">
        <w:rPr>
          <w:rFonts w:eastAsia="Arial"/>
        </w:rPr>
        <w:t>were progressing,</w:t>
      </w:r>
      <w:r w:rsidRPr="007506CD">
        <w:rPr>
          <w:rFonts w:eastAsia="Arial"/>
        </w:rPr>
        <w:t xml:space="preserve"> </w:t>
      </w:r>
      <w:r w:rsidRPr="00084C97">
        <w:rPr>
          <w:rFonts w:eastAsia="Arial"/>
        </w:rPr>
        <w:t>no agreed proposals were presented to the ACMA prior to the release of this paper.</w:t>
      </w:r>
    </w:p>
    <w:p w14:paraId="09A01DF3" w14:textId="77777777" w:rsidR="00A93957" w:rsidRPr="000D3683" w:rsidRDefault="00A93957" w:rsidP="003D1E3A">
      <w:pPr>
        <w:pStyle w:val="Heading4"/>
        <w:rPr>
          <w:rFonts w:eastAsia="Arial"/>
        </w:rPr>
      </w:pPr>
      <w:r w:rsidRPr="000D3683">
        <w:rPr>
          <w:rFonts w:eastAsia="Arial"/>
        </w:rPr>
        <w:t xml:space="preserve">Additional </w:t>
      </w:r>
      <w:r w:rsidRPr="002E6C6F">
        <w:rPr>
          <w:rFonts w:eastAsia="Arial"/>
        </w:rPr>
        <w:t>flexibility</w:t>
      </w:r>
      <w:r w:rsidRPr="000D3683">
        <w:rPr>
          <w:rFonts w:eastAsia="Arial"/>
        </w:rPr>
        <w:t xml:space="preserve"> </w:t>
      </w:r>
    </w:p>
    <w:p w14:paraId="5EA9AC72" w14:textId="4B45C5F6" w:rsidR="00A93957" w:rsidRDefault="00A93957" w:rsidP="000D3683">
      <w:pPr>
        <w:pStyle w:val="Paragraph"/>
      </w:pPr>
      <w:r>
        <w:rPr>
          <w:rFonts w:eastAsia="Arial"/>
        </w:rPr>
        <w:t>To provide additional flexibility for services deployed under a 26/28 GHz band</w:t>
      </w:r>
      <w:r w:rsidR="00584277">
        <w:rPr>
          <w:rFonts w:eastAsia="Arial"/>
        </w:rPr>
        <w:t>s</w:t>
      </w:r>
      <w:r>
        <w:rPr>
          <w:rFonts w:eastAsia="Arial"/>
        </w:rPr>
        <w:t xml:space="preserve"> AWL, while also maintaining coexistence with existing services (in particular </w:t>
      </w:r>
      <w:r w:rsidR="006F7F82">
        <w:rPr>
          <w:rFonts w:eastAsia="Arial"/>
        </w:rPr>
        <w:t>foreign</w:t>
      </w:r>
      <w:r>
        <w:rPr>
          <w:rFonts w:eastAsia="Arial"/>
        </w:rPr>
        <w:t xml:space="preserve"> and domestic satellite services) a range of TRP limits and additional mitigation measures are proposed by the ACMA in Table </w:t>
      </w:r>
      <w:r w:rsidR="008A1EA7">
        <w:rPr>
          <w:rFonts w:eastAsia="Arial"/>
        </w:rPr>
        <w:t>3</w:t>
      </w:r>
      <w:r>
        <w:rPr>
          <w:rFonts w:eastAsia="Arial"/>
        </w:rPr>
        <w:t xml:space="preserve"> (set out below). The proposed limits and conditions vary depending on frequency range and location of the transmitter to account for different coexistence scenarios.</w:t>
      </w:r>
    </w:p>
    <w:p w14:paraId="2E4981F5" w14:textId="77777777" w:rsidR="00A93957" w:rsidRDefault="00A93957" w:rsidP="000D3683">
      <w:pPr>
        <w:pStyle w:val="Paragraphbeforelist"/>
      </w:pPr>
      <w:r>
        <w:rPr>
          <w:rFonts w:eastAsia="Arial"/>
        </w:rPr>
        <w:t>In each frequency/area segment, there are two TRP limits proposed:</w:t>
      </w:r>
    </w:p>
    <w:p w14:paraId="550B6719" w14:textId="61B61216" w:rsidR="00A93957" w:rsidRDefault="00A93957">
      <w:pPr>
        <w:pStyle w:val="ListBullet"/>
        <w:rPr>
          <w:rFonts w:eastAsia="Arial"/>
        </w:rPr>
      </w:pPr>
      <w:r>
        <w:rPr>
          <w:rFonts w:eastAsia="Arial"/>
        </w:rPr>
        <w:t>a ‘baseline’ limit</w:t>
      </w:r>
    </w:p>
    <w:p w14:paraId="317F14C8" w14:textId="77777777" w:rsidR="00A93957" w:rsidRDefault="00A93957" w:rsidP="000D3683">
      <w:pPr>
        <w:pStyle w:val="ListBulletLast"/>
        <w:rPr>
          <w:rFonts w:eastAsia="Arial"/>
        </w:rPr>
      </w:pPr>
      <w:r>
        <w:rPr>
          <w:rFonts w:eastAsia="Arial"/>
        </w:rPr>
        <w:t xml:space="preserve">an ‘upper’ limit which will require adherence to the additional mitigation measures (which consist of antenna pointing restrictions and EIRP masks). </w:t>
      </w:r>
    </w:p>
    <w:p w14:paraId="734D094E" w14:textId="1239B935" w:rsidR="00A93957" w:rsidRDefault="00A93957" w:rsidP="002E6C6F">
      <w:pPr>
        <w:pStyle w:val="Paragraph"/>
        <w:keepNext/>
        <w:keepLines/>
        <w:rPr>
          <w:rFonts w:eastAsia="Arial"/>
        </w:rPr>
      </w:pPr>
      <w:r>
        <w:rPr>
          <w:rFonts w:eastAsia="Arial"/>
        </w:rPr>
        <w:lastRenderedPageBreak/>
        <w:t>The baseline limits are those proposed in the 26/28 GHz band</w:t>
      </w:r>
      <w:r w:rsidR="00E91139">
        <w:rPr>
          <w:rFonts w:eastAsia="Arial"/>
        </w:rPr>
        <w:t>s</w:t>
      </w:r>
      <w:r>
        <w:rPr>
          <w:rFonts w:eastAsia="Arial"/>
        </w:rPr>
        <w:t xml:space="preserve"> TLG</w:t>
      </w:r>
      <w:r w:rsidR="000D5F7F">
        <w:rPr>
          <w:rFonts w:eastAsia="Arial"/>
        </w:rPr>
        <w:t>—</w:t>
      </w:r>
      <w:r>
        <w:rPr>
          <w:rFonts w:eastAsia="Arial"/>
        </w:rPr>
        <w:t>anything above</w:t>
      </w:r>
      <w:r w:rsidR="000D5F7F">
        <w:rPr>
          <w:rFonts w:eastAsia="Arial"/>
        </w:rPr>
        <w:t> </w:t>
      </w:r>
      <w:r>
        <w:rPr>
          <w:rFonts w:eastAsia="Arial"/>
        </w:rPr>
        <w:t>those limits triggers the need for additional mitigations</w:t>
      </w:r>
      <w:r w:rsidR="000D5F7F">
        <w:rPr>
          <w:rFonts w:eastAsia="Arial"/>
        </w:rPr>
        <w:t>—</w:t>
      </w:r>
      <w:r>
        <w:rPr>
          <w:rFonts w:eastAsia="Arial"/>
        </w:rPr>
        <w:t xml:space="preserve">with the exception of the baseline limits for frequencies below 27 GHz which have been raised by 3dB (to 40 dBm).  </w:t>
      </w:r>
    </w:p>
    <w:p w14:paraId="6D6AEE91" w14:textId="7601DECA" w:rsidR="00A93957" w:rsidRDefault="00A93957" w:rsidP="000D3683">
      <w:pPr>
        <w:pStyle w:val="Paragraph"/>
      </w:pPr>
      <w:r>
        <w:rPr>
          <w:rFonts w:eastAsia="Arial"/>
        </w:rPr>
        <w:t xml:space="preserve">It is proposed that the TRP limits in Table </w:t>
      </w:r>
      <w:r w:rsidR="00C2054B">
        <w:rPr>
          <w:rFonts w:eastAsia="Arial"/>
        </w:rPr>
        <w:t>3</w:t>
      </w:r>
      <w:r>
        <w:rPr>
          <w:rFonts w:eastAsia="Arial"/>
        </w:rPr>
        <w:t xml:space="preserve"> will apply to all transmitters (e.g. base stations and user equipment</w:t>
      </w:r>
      <w:r>
        <w:t>).</w:t>
      </w:r>
      <w:r>
        <w:rPr>
          <w:rStyle w:val="FootnoteReference"/>
        </w:rPr>
        <w:footnoteReference w:id="25"/>
      </w:r>
      <w:r>
        <w:t xml:space="preserve"> It is also proposed that the TRP limits will apply to a device’s entire antenna array (e.g. if the antenna array is ‘subdivided’ to produce two concurrent beams using the same 200 MHz channel, then the TRP limit applies to the aggregate TRP of both beams). Further, the TRP limit is to be scaled appropriately for transmitters which operate with a bandwidth other than 200 MHz (e.g. the maximum TRP limit for a transmitter in the range 24.7</w:t>
      </w:r>
      <w:r w:rsidR="002A2AE2">
        <w:t>–</w:t>
      </w:r>
      <w:r>
        <w:t>27 GHz operating with a 100 MHz bandwidth would be 42 </w:t>
      </w:r>
      <w:r>
        <w:rPr>
          <w:rFonts w:eastAsia="Arial"/>
        </w:rPr>
        <w:t>dBm, essentially retaining a common power spectral density across all bandwidth profiles).</w:t>
      </w:r>
    </w:p>
    <w:p w14:paraId="3A4F2CFC" w14:textId="0DDEA90B" w:rsidR="00A93957" w:rsidRDefault="00A93957" w:rsidP="000D3683">
      <w:pPr>
        <w:pStyle w:val="Paragraph"/>
      </w:pPr>
      <w:r>
        <w:t>The additional mitigations (EIRP masks and antenna pointing restrictions) would apply to all outdoor transmitter types which exceed the baseline TRP limit</w:t>
      </w:r>
      <w:r w:rsidRPr="00302F4F">
        <w:t xml:space="preserve"> </w:t>
      </w:r>
      <w:r w:rsidRPr="00A373EB">
        <w:t xml:space="preserve">noting that licensees will be required to adhere to the provisions in </w:t>
      </w:r>
      <w:r w:rsidRPr="003F463B">
        <w:t>resolves</w:t>
      </w:r>
      <w:r w:rsidRPr="00A373EB">
        <w:t xml:space="preserve"> 2.1 and 2.2 of ITU-R Resolution 242 (WRC-19) for deployments in </w:t>
      </w:r>
      <w:r>
        <w:t>the range 24.7</w:t>
      </w:r>
      <w:r w:rsidR="002A2AE2">
        <w:t>–</w:t>
      </w:r>
      <w:r>
        <w:t>27.5 GHz</w:t>
      </w:r>
      <w:r w:rsidR="002A2AE2">
        <w:t>.</w:t>
      </w:r>
      <w:r w:rsidRPr="00A373EB">
        <w:rPr>
          <w:rStyle w:val="FootnoteReference"/>
        </w:rPr>
        <w:footnoteReference w:id="26"/>
      </w:r>
      <w:r>
        <w:t xml:space="preserve"> </w:t>
      </w:r>
    </w:p>
    <w:p w14:paraId="0A7D8037" w14:textId="3207B6E8" w:rsidR="00A93957" w:rsidRDefault="00A93957" w:rsidP="000D3683">
      <w:pPr>
        <w:pStyle w:val="Paragraph"/>
      </w:pPr>
      <w:r>
        <w:t>These provisions are proposed to be included in the AWL LCD</w:t>
      </w:r>
      <w:r w:rsidR="002A2AE2">
        <w:t>—</w:t>
      </w:r>
      <w:r>
        <w:t xml:space="preserve">see draft at </w:t>
      </w:r>
      <w:r w:rsidRPr="00C8062B">
        <w:rPr>
          <w:b/>
          <w:bCs/>
        </w:rPr>
        <w:t xml:space="preserve">Attachment </w:t>
      </w:r>
      <w:r w:rsidR="00612FDB" w:rsidRPr="00C8062B">
        <w:rPr>
          <w:b/>
          <w:bCs/>
        </w:rPr>
        <w:t>B</w:t>
      </w:r>
      <w:r>
        <w:t>.</w:t>
      </w:r>
    </w:p>
    <w:p w14:paraId="0BAC6818" w14:textId="6D00A6B0" w:rsidR="00A93957" w:rsidRDefault="00AE3B78" w:rsidP="003F463B">
      <w:pPr>
        <w:pStyle w:val="ACMATableHeader"/>
        <w:numPr>
          <w:ilvl w:val="0"/>
          <w:numId w:val="0"/>
        </w:numPr>
        <w:ind w:left="851" w:hanging="851"/>
        <w:rPr>
          <w:rFonts w:eastAsia="Arial" w:cs="Arial"/>
        </w:rPr>
      </w:pPr>
      <w:r>
        <w:rPr>
          <w:rFonts w:eastAsia="Arial"/>
        </w:rPr>
        <w:t xml:space="preserve">Table 3: </w:t>
      </w:r>
      <w:r w:rsidR="002A2AE2">
        <w:rPr>
          <w:rFonts w:eastAsia="Arial"/>
        </w:rPr>
        <w:t xml:space="preserve"> </w:t>
      </w:r>
      <w:r w:rsidR="00A93957">
        <w:rPr>
          <w:rFonts w:eastAsia="Arial"/>
        </w:rPr>
        <w:t>Proposed TRP limits (except earth stations) and additional mitigations</w:t>
      </w:r>
      <w:r w:rsidR="002A2AE2">
        <w:rPr>
          <w:rFonts w:eastAsia="Arial"/>
        </w:rPr>
        <w:t>—</w:t>
      </w:r>
      <w:r w:rsidR="00A93957" w:rsidRPr="05F862CF">
        <w:rPr>
          <w:rFonts w:eastAsia="Arial" w:cs="Arial"/>
        </w:rPr>
        <w:t>except earth stations</w:t>
      </w:r>
    </w:p>
    <w:tbl>
      <w:tblPr>
        <w:tblStyle w:val="TableGrid"/>
        <w:tblW w:w="0" w:type="auto"/>
        <w:tblCellMar>
          <w:top w:w="85" w:type="dxa"/>
          <w:bottom w:w="85" w:type="dxa"/>
        </w:tblCellMar>
        <w:tblLook w:val="04A0" w:firstRow="1" w:lastRow="0" w:firstColumn="1" w:lastColumn="0" w:noHBand="0" w:noVBand="1"/>
      </w:tblPr>
      <w:tblGrid>
        <w:gridCol w:w="2647"/>
        <w:gridCol w:w="1821"/>
        <w:gridCol w:w="3193"/>
      </w:tblGrid>
      <w:tr w:rsidR="002A2AE2" w:rsidRPr="002A2AE2" w14:paraId="2E59D918" w14:textId="77777777" w:rsidTr="003F463B">
        <w:trPr>
          <w:tblHeader/>
        </w:trPr>
        <w:tc>
          <w:tcPr>
            <w:tcW w:w="2647"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70221757" w14:textId="77777777" w:rsidR="00A93957" w:rsidRPr="003F463B" w:rsidRDefault="00A93957" w:rsidP="003D1176">
            <w:pPr>
              <w:spacing w:after="0" w:line="240" w:lineRule="auto"/>
              <w:rPr>
                <w:rFonts w:asciiTheme="minorHAnsi" w:hAnsiTheme="minorHAnsi"/>
                <w:b/>
                <w:bCs/>
                <w:color w:val="FFFFFF" w:themeColor="background1"/>
              </w:rPr>
            </w:pPr>
            <w:r w:rsidRPr="003F463B">
              <w:rPr>
                <w:b/>
                <w:bCs/>
                <w:color w:val="FFFFFF" w:themeColor="background1"/>
              </w:rPr>
              <w:t>Frequency/area</w:t>
            </w:r>
          </w:p>
        </w:tc>
        <w:tc>
          <w:tcPr>
            <w:tcW w:w="1821"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6E64E67" w14:textId="77777777" w:rsidR="00A93957" w:rsidRPr="003F463B" w:rsidRDefault="00A93957" w:rsidP="003D1176">
            <w:pPr>
              <w:spacing w:after="0" w:line="240" w:lineRule="auto"/>
              <w:rPr>
                <w:b/>
                <w:bCs/>
                <w:color w:val="FFFFFF" w:themeColor="background1"/>
              </w:rPr>
            </w:pPr>
            <w:r w:rsidRPr="003F463B">
              <w:rPr>
                <w:b/>
                <w:bCs/>
                <w:color w:val="FFFFFF" w:themeColor="background1"/>
              </w:rPr>
              <w:t>TRP limit</w:t>
            </w:r>
          </w:p>
        </w:tc>
        <w:tc>
          <w:tcPr>
            <w:tcW w:w="319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C5AB18B" w14:textId="77777777" w:rsidR="00A93957" w:rsidRPr="003F463B" w:rsidRDefault="00A93957" w:rsidP="003D1176">
            <w:pPr>
              <w:spacing w:after="0" w:line="240" w:lineRule="auto"/>
              <w:rPr>
                <w:b/>
                <w:bCs/>
                <w:color w:val="FFFFFF" w:themeColor="background1"/>
              </w:rPr>
            </w:pPr>
            <w:r w:rsidRPr="003F463B">
              <w:rPr>
                <w:b/>
                <w:bCs/>
                <w:color w:val="FFFFFF" w:themeColor="background1"/>
              </w:rPr>
              <w:t>Additional conditions</w:t>
            </w:r>
            <w:r w:rsidRPr="003F463B">
              <w:rPr>
                <w:rStyle w:val="FootnoteReference"/>
                <w:b/>
                <w:bCs/>
                <w:color w:val="FFFFFF" w:themeColor="background1"/>
              </w:rPr>
              <w:footnoteReference w:id="27"/>
            </w:r>
          </w:p>
        </w:tc>
      </w:tr>
      <w:tr w:rsidR="00A93957" w14:paraId="7C89A247" w14:textId="77777777" w:rsidTr="003F463B">
        <w:tc>
          <w:tcPr>
            <w:tcW w:w="2647" w:type="dxa"/>
            <w:vMerge w:val="restart"/>
            <w:tcBorders>
              <w:top w:val="single" w:sz="4" w:space="0" w:color="auto"/>
              <w:left w:val="single" w:sz="4" w:space="0" w:color="auto"/>
              <w:bottom w:val="single" w:sz="4" w:space="0" w:color="auto"/>
              <w:right w:val="single" w:sz="4" w:space="0" w:color="auto"/>
            </w:tcBorders>
            <w:hideMark/>
          </w:tcPr>
          <w:p w14:paraId="47EA3F04" w14:textId="4D07A7EC" w:rsidR="00A93957" w:rsidRDefault="00A93957" w:rsidP="003D1176">
            <w:pPr>
              <w:spacing w:after="0" w:line="240" w:lineRule="auto"/>
            </w:pPr>
            <w:r>
              <w:t>24.7</w:t>
            </w:r>
            <w:r w:rsidR="002A2AE2">
              <w:t>–</w:t>
            </w:r>
            <w:r>
              <w:t>27 GHz all areas</w:t>
            </w:r>
          </w:p>
        </w:tc>
        <w:tc>
          <w:tcPr>
            <w:tcW w:w="1821" w:type="dxa"/>
            <w:tcBorders>
              <w:top w:val="single" w:sz="4" w:space="0" w:color="auto"/>
              <w:left w:val="single" w:sz="4" w:space="0" w:color="auto"/>
              <w:bottom w:val="single" w:sz="4" w:space="0" w:color="auto"/>
              <w:right w:val="single" w:sz="4" w:space="0" w:color="auto"/>
            </w:tcBorders>
            <w:hideMark/>
          </w:tcPr>
          <w:p w14:paraId="0080595E" w14:textId="77777777" w:rsidR="00A93957" w:rsidRDefault="00A93957" w:rsidP="003D1176">
            <w:pPr>
              <w:spacing w:after="0" w:line="240" w:lineRule="auto"/>
            </w:pPr>
            <w:r>
              <w:t>40 dBm/200 MHz (baseline)</w:t>
            </w:r>
          </w:p>
        </w:tc>
        <w:tc>
          <w:tcPr>
            <w:tcW w:w="3193" w:type="dxa"/>
            <w:tcBorders>
              <w:top w:val="single" w:sz="4" w:space="0" w:color="auto"/>
              <w:left w:val="single" w:sz="4" w:space="0" w:color="auto"/>
              <w:bottom w:val="single" w:sz="4" w:space="0" w:color="auto"/>
              <w:right w:val="single" w:sz="4" w:space="0" w:color="auto"/>
            </w:tcBorders>
            <w:hideMark/>
          </w:tcPr>
          <w:p w14:paraId="56F1279D" w14:textId="77777777" w:rsidR="00A93957" w:rsidRDefault="00A93957" w:rsidP="003D1176">
            <w:pPr>
              <w:spacing w:after="0" w:line="240" w:lineRule="auto"/>
            </w:pPr>
            <w:r>
              <w:t>No extra conditions</w:t>
            </w:r>
          </w:p>
        </w:tc>
      </w:tr>
      <w:tr w:rsidR="00A93957" w14:paraId="55E3CABA" w14:textId="77777777" w:rsidTr="003F463B">
        <w:tc>
          <w:tcPr>
            <w:tcW w:w="0" w:type="auto"/>
            <w:vMerge/>
            <w:tcBorders>
              <w:top w:val="single" w:sz="4" w:space="0" w:color="auto"/>
              <w:left w:val="single" w:sz="4" w:space="0" w:color="auto"/>
              <w:bottom w:val="single" w:sz="4" w:space="0" w:color="auto"/>
              <w:right w:val="single" w:sz="4" w:space="0" w:color="auto"/>
            </w:tcBorders>
            <w:vAlign w:val="center"/>
            <w:hideMark/>
          </w:tcPr>
          <w:p w14:paraId="472366D8" w14:textId="77777777" w:rsidR="00A93957" w:rsidRDefault="00A93957" w:rsidP="003D1176">
            <w:pPr>
              <w:spacing w:after="0" w:line="240" w:lineRule="auto"/>
              <w:rPr>
                <w:sz w:val="22"/>
                <w:szCs w:val="22"/>
                <w:lang w:eastAsia="en-US"/>
              </w:rPr>
            </w:pPr>
          </w:p>
        </w:tc>
        <w:tc>
          <w:tcPr>
            <w:tcW w:w="1821" w:type="dxa"/>
            <w:tcBorders>
              <w:top w:val="single" w:sz="4" w:space="0" w:color="auto"/>
              <w:left w:val="single" w:sz="4" w:space="0" w:color="auto"/>
              <w:bottom w:val="single" w:sz="4" w:space="0" w:color="auto"/>
              <w:right w:val="single" w:sz="4" w:space="0" w:color="auto"/>
            </w:tcBorders>
            <w:hideMark/>
          </w:tcPr>
          <w:p w14:paraId="342D396C" w14:textId="77777777" w:rsidR="00A93957" w:rsidRDefault="00A93957" w:rsidP="003D1176">
            <w:pPr>
              <w:spacing w:after="0" w:line="240" w:lineRule="auto"/>
            </w:pPr>
            <w:r>
              <w:t>45 dBm/200 MHz</w:t>
            </w:r>
          </w:p>
          <w:p w14:paraId="4600AC9D" w14:textId="77777777" w:rsidR="00A93957" w:rsidRDefault="00A93957" w:rsidP="003D1176">
            <w:pPr>
              <w:spacing w:after="0" w:line="240" w:lineRule="auto"/>
            </w:pPr>
            <w:r>
              <w:t>(upper limit)</w:t>
            </w:r>
          </w:p>
        </w:tc>
        <w:tc>
          <w:tcPr>
            <w:tcW w:w="3193" w:type="dxa"/>
            <w:tcBorders>
              <w:top w:val="single" w:sz="4" w:space="0" w:color="auto"/>
              <w:left w:val="single" w:sz="4" w:space="0" w:color="auto"/>
              <w:bottom w:val="single" w:sz="4" w:space="0" w:color="auto"/>
              <w:right w:val="single" w:sz="4" w:space="0" w:color="auto"/>
            </w:tcBorders>
            <w:hideMark/>
          </w:tcPr>
          <w:p w14:paraId="22EAEEB6" w14:textId="77777777" w:rsidR="00A93957" w:rsidRDefault="00A93957" w:rsidP="003D1176">
            <w:pPr>
              <w:spacing w:after="0" w:line="240" w:lineRule="auto"/>
            </w:pPr>
            <w:r>
              <w:t xml:space="preserve">Antenna pointing restrictions* and </w:t>
            </w:r>
          </w:p>
          <w:p w14:paraId="29D47045" w14:textId="77777777" w:rsidR="00A93957" w:rsidRDefault="00A93957" w:rsidP="003D1176">
            <w:pPr>
              <w:spacing w:after="0" w:line="240" w:lineRule="auto"/>
            </w:pPr>
            <w:r w:rsidRPr="00827660">
              <w:t>EIRP mask</w:t>
            </w:r>
          </w:p>
        </w:tc>
      </w:tr>
      <w:tr w:rsidR="00A93957" w14:paraId="15E33EE2" w14:textId="77777777" w:rsidTr="003F463B">
        <w:tc>
          <w:tcPr>
            <w:tcW w:w="264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E51C3C" w14:textId="39C1D77C" w:rsidR="00A93957" w:rsidRDefault="00A93957" w:rsidP="003D1176">
            <w:pPr>
              <w:spacing w:after="0" w:line="240" w:lineRule="auto"/>
            </w:pPr>
            <w:r>
              <w:t>27</w:t>
            </w:r>
            <w:r w:rsidR="002A2AE2">
              <w:t>–</w:t>
            </w:r>
            <w:r>
              <w:t>27.5 GHz outside footprint areas</w:t>
            </w:r>
          </w:p>
        </w:tc>
        <w:tc>
          <w:tcPr>
            <w:tcW w:w="18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78FB65" w14:textId="77777777" w:rsidR="00A93957" w:rsidRDefault="00A93957" w:rsidP="003D1176">
            <w:pPr>
              <w:spacing w:after="0" w:line="240" w:lineRule="auto"/>
            </w:pPr>
            <w:r>
              <w:t>37 dBm/200 MHz (baseline)</w:t>
            </w:r>
          </w:p>
        </w:tc>
        <w:tc>
          <w:tcPr>
            <w:tcW w:w="31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51241C" w14:textId="77777777" w:rsidR="00A93957" w:rsidRDefault="00A93957" w:rsidP="003D1176">
            <w:pPr>
              <w:spacing w:after="0" w:line="240" w:lineRule="auto"/>
            </w:pPr>
            <w:r>
              <w:t>No extra conditions</w:t>
            </w:r>
          </w:p>
        </w:tc>
      </w:tr>
      <w:tr w:rsidR="00A93957" w14:paraId="3C5E1B15" w14:textId="77777777" w:rsidTr="003F463B">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F02F8E" w14:textId="77777777" w:rsidR="00A93957" w:rsidRDefault="00A93957" w:rsidP="003D1176">
            <w:pPr>
              <w:spacing w:after="0" w:line="240" w:lineRule="auto"/>
              <w:rPr>
                <w:sz w:val="22"/>
                <w:szCs w:val="22"/>
                <w:lang w:eastAsia="en-US"/>
              </w:rPr>
            </w:pPr>
          </w:p>
        </w:tc>
        <w:tc>
          <w:tcPr>
            <w:tcW w:w="18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5D310E" w14:textId="77777777" w:rsidR="00A93957" w:rsidRDefault="00A93957" w:rsidP="003D1176">
            <w:pPr>
              <w:spacing w:after="0" w:line="240" w:lineRule="auto"/>
            </w:pPr>
            <w:r>
              <w:t>42 dBm/200 MHz</w:t>
            </w:r>
          </w:p>
          <w:p w14:paraId="782FB116" w14:textId="77777777" w:rsidR="00A93957" w:rsidRDefault="00A93957" w:rsidP="003D1176">
            <w:pPr>
              <w:spacing w:after="0" w:line="240" w:lineRule="auto"/>
            </w:pPr>
            <w:r>
              <w:t>(upper limit)</w:t>
            </w:r>
          </w:p>
        </w:tc>
        <w:tc>
          <w:tcPr>
            <w:tcW w:w="31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A99260" w14:textId="77777777" w:rsidR="00A93957" w:rsidRDefault="00A93957" w:rsidP="003D1176">
            <w:pPr>
              <w:spacing w:after="0" w:line="240" w:lineRule="auto"/>
            </w:pPr>
            <w:r>
              <w:t xml:space="preserve">Antenna pointing restrictions* and </w:t>
            </w:r>
          </w:p>
          <w:p w14:paraId="7C61509A" w14:textId="77777777" w:rsidR="00A93957" w:rsidRDefault="00A93957" w:rsidP="003D1176">
            <w:pPr>
              <w:spacing w:after="0" w:line="240" w:lineRule="auto"/>
            </w:pPr>
            <w:r w:rsidRPr="00827660">
              <w:t>EIRP mask</w:t>
            </w:r>
          </w:p>
        </w:tc>
      </w:tr>
      <w:tr w:rsidR="00A93957" w14:paraId="560DFBF1" w14:textId="77777777" w:rsidTr="003F463B">
        <w:tc>
          <w:tcPr>
            <w:tcW w:w="2647" w:type="dxa"/>
            <w:vMerge w:val="restart"/>
            <w:tcBorders>
              <w:top w:val="single" w:sz="4" w:space="0" w:color="auto"/>
              <w:left w:val="single" w:sz="4" w:space="0" w:color="auto"/>
              <w:bottom w:val="single" w:sz="4" w:space="0" w:color="auto"/>
              <w:right w:val="single" w:sz="4" w:space="0" w:color="auto"/>
            </w:tcBorders>
            <w:hideMark/>
          </w:tcPr>
          <w:p w14:paraId="0141C747" w14:textId="5C748637" w:rsidR="00A93957" w:rsidRDefault="00A93957" w:rsidP="003D1176">
            <w:pPr>
              <w:spacing w:after="0" w:line="240" w:lineRule="auto"/>
            </w:pPr>
            <w:r>
              <w:t>27</w:t>
            </w:r>
            <w:r w:rsidR="002A2AE2">
              <w:t>–</w:t>
            </w:r>
            <w:r>
              <w:t>27.5 GHz inside footprint areas</w:t>
            </w:r>
          </w:p>
        </w:tc>
        <w:tc>
          <w:tcPr>
            <w:tcW w:w="1821" w:type="dxa"/>
            <w:tcBorders>
              <w:top w:val="single" w:sz="4" w:space="0" w:color="auto"/>
              <w:left w:val="single" w:sz="4" w:space="0" w:color="auto"/>
              <w:bottom w:val="single" w:sz="4" w:space="0" w:color="auto"/>
              <w:right w:val="single" w:sz="4" w:space="0" w:color="auto"/>
            </w:tcBorders>
            <w:hideMark/>
          </w:tcPr>
          <w:p w14:paraId="5386AFAE" w14:textId="77777777" w:rsidR="00A93957" w:rsidRDefault="00A93957" w:rsidP="003D1176">
            <w:pPr>
              <w:spacing w:after="0" w:line="240" w:lineRule="auto"/>
            </w:pPr>
            <w:r>
              <w:t>25 dBm/200 MHz (baseline)</w:t>
            </w:r>
          </w:p>
        </w:tc>
        <w:tc>
          <w:tcPr>
            <w:tcW w:w="3193" w:type="dxa"/>
            <w:tcBorders>
              <w:top w:val="single" w:sz="4" w:space="0" w:color="auto"/>
              <w:left w:val="single" w:sz="4" w:space="0" w:color="auto"/>
              <w:bottom w:val="single" w:sz="4" w:space="0" w:color="auto"/>
              <w:right w:val="single" w:sz="4" w:space="0" w:color="auto"/>
            </w:tcBorders>
            <w:hideMark/>
          </w:tcPr>
          <w:p w14:paraId="710E8B96" w14:textId="77777777" w:rsidR="00A93957" w:rsidRDefault="00A93957" w:rsidP="003D1176">
            <w:pPr>
              <w:spacing w:after="0" w:line="240" w:lineRule="auto"/>
            </w:pPr>
            <w:r>
              <w:t>Extra antenna restrictions developed in the TLG**</w:t>
            </w:r>
          </w:p>
        </w:tc>
      </w:tr>
      <w:tr w:rsidR="00A93957" w14:paraId="345FD22B" w14:textId="77777777" w:rsidTr="003F463B">
        <w:tc>
          <w:tcPr>
            <w:tcW w:w="0" w:type="auto"/>
            <w:vMerge/>
            <w:tcBorders>
              <w:top w:val="single" w:sz="4" w:space="0" w:color="auto"/>
              <w:left w:val="single" w:sz="4" w:space="0" w:color="auto"/>
              <w:bottom w:val="single" w:sz="4" w:space="0" w:color="auto"/>
              <w:right w:val="single" w:sz="4" w:space="0" w:color="auto"/>
            </w:tcBorders>
            <w:vAlign w:val="center"/>
            <w:hideMark/>
          </w:tcPr>
          <w:p w14:paraId="71872F87" w14:textId="77777777" w:rsidR="00A93957" w:rsidRDefault="00A93957" w:rsidP="003D1176">
            <w:pPr>
              <w:spacing w:after="0" w:line="240" w:lineRule="auto"/>
              <w:rPr>
                <w:sz w:val="22"/>
                <w:szCs w:val="22"/>
                <w:lang w:eastAsia="en-US"/>
              </w:rPr>
            </w:pPr>
          </w:p>
        </w:tc>
        <w:tc>
          <w:tcPr>
            <w:tcW w:w="1821" w:type="dxa"/>
            <w:tcBorders>
              <w:top w:val="single" w:sz="4" w:space="0" w:color="auto"/>
              <w:left w:val="single" w:sz="4" w:space="0" w:color="auto"/>
              <w:bottom w:val="single" w:sz="4" w:space="0" w:color="auto"/>
              <w:right w:val="single" w:sz="4" w:space="0" w:color="auto"/>
            </w:tcBorders>
            <w:hideMark/>
          </w:tcPr>
          <w:p w14:paraId="6A374C38" w14:textId="77777777" w:rsidR="00A93957" w:rsidRDefault="00A93957" w:rsidP="003D1176">
            <w:pPr>
              <w:spacing w:after="0" w:line="240" w:lineRule="auto"/>
            </w:pPr>
            <w:r>
              <w:t>30 dBm/200 MHz</w:t>
            </w:r>
          </w:p>
          <w:p w14:paraId="6673FC0C" w14:textId="77777777" w:rsidR="00A93957" w:rsidRDefault="00A93957" w:rsidP="003D1176">
            <w:pPr>
              <w:spacing w:after="0" w:line="240" w:lineRule="auto"/>
            </w:pPr>
            <w:r>
              <w:t>(upper limit)</w:t>
            </w:r>
          </w:p>
        </w:tc>
        <w:tc>
          <w:tcPr>
            <w:tcW w:w="3193" w:type="dxa"/>
            <w:tcBorders>
              <w:top w:val="single" w:sz="4" w:space="0" w:color="auto"/>
              <w:left w:val="single" w:sz="4" w:space="0" w:color="auto"/>
              <w:bottom w:val="single" w:sz="4" w:space="0" w:color="auto"/>
              <w:right w:val="single" w:sz="4" w:space="0" w:color="auto"/>
            </w:tcBorders>
            <w:hideMark/>
          </w:tcPr>
          <w:p w14:paraId="0A99544B" w14:textId="77777777" w:rsidR="00A93957" w:rsidRDefault="00A93957" w:rsidP="003D1176">
            <w:pPr>
              <w:spacing w:after="0" w:line="240" w:lineRule="auto"/>
            </w:pPr>
            <w:r>
              <w:t xml:space="preserve">Antenna pointing restrictions* and </w:t>
            </w:r>
          </w:p>
          <w:p w14:paraId="3743855B" w14:textId="77777777" w:rsidR="00A93957" w:rsidRDefault="00A93957" w:rsidP="003D1176">
            <w:pPr>
              <w:spacing w:after="0" w:line="240" w:lineRule="auto"/>
            </w:pPr>
            <w:r w:rsidRPr="00827660">
              <w:t>EIRP mask</w:t>
            </w:r>
          </w:p>
        </w:tc>
      </w:tr>
      <w:tr w:rsidR="00A93957" w14:paraId="27F2E581" w14:textId="77777777" w:rsidTr="003F463B">
        <w:tc>
          <w:tcPr>
            <w:tcW w:w="0" w:type="auto"/>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5B0E9ADB" w14:textId="7D4DC178" w:rsidR="00A93957" w:rsidRPr="006C718C" w:rsidRDefault="00A93957" w:rsidP="003F463B">
            <w:pPr>
              <w:keepNext/>
              <w:keepLines/>
              <w:spacing w:after="0" w:line="240" w:lineRule="auto"/>
              <w:rPr>
                <w:szCs w:val="20"/>
                <w:lang w:eastAsia="en-US"/>
              </w:rPr>
            </w:pPr>
            <w:r w:rsidRPr="006C718C">
              <w:rPr>
                <w:szCs w:val="20"/>
                <w:lang w:eastAsia="en-US"/>
              </w:rPr>
              <w:lastRenderedPageBreak/>
              <w:t>27.5</w:t>
            </w:r>
            <w:r w:rsidR="002A2AE2">
              <w:rPr>
                <w:szCs w:val="20"/>
                <w:lang w:eastAsia="en-US"/>
              </w:rPr>
              <w:t>–</w:t>
            </w:r>
            <w:r w:rsidRPr="006C718C">
              <w:rPr>
                <w:szCs w:val="20"/>
                <w:lang w:eastAsia="en-US"/>
              </w:rPr>
              <w:t>29.5 GHz</w:t>
            </w:r>
          </w:p>
        </w:tc>
        <w:tc>
          <w:tcPr>
            <w:tcW w:w="18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57983A" w14:textId="77777777" w:rsidR="00A93957" w:rsidRDefault="00A93957" w:rsidP="003F463B">
            <w:pPr>
              <w:keepNext/>
              <w:keepLines/>
              <w:spacing w:after="0" w:line="240" w:lineRule="auto"/>
            </w:pPr>
            <w:r>
              <w:t>25 dBm/200 MHz (baseline)</w:t>
            </w:r>
          </w:p>
        </w:tc>
        <w:tc>
          <w:tcPr>
            <w:tcW w:w="31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77CCA6" w14:textId="77777777" w:rsidR="00A93957" w:rsidRDefault="00A93957" w:rsidP="003F463B">
            <w:pPr>
              <w:keepNext/>
              <w:keepLines/>
              <w:spacing w:after="0" w:line="240" w:lineRule="auto"/>
            </w:pPr>
            <w:r>
              <w:t>Antenna pointing restrictions***</w:t>
            </w:r>
          </w:p>
        </w:tc>
      </w:tr>
      <w:tr w:rsidR="00A93957" w14:paraId="2D5EE186" w14:textId="77777777" w:rsidTr="003F463B">
        <w:tc>
          <w:tcPr>
            <w:tcW w:w="0" w:type="auto"/>
            <w:vMerge/>
            <w:tcBorders>
              <w:left w:val="single" w:sz="4" w:space="0" w:color="auto"/>
              <w:bottom w:val="single" w:sz="4" w:space="0" w:color="auto"/>
              <w:right w:val="single" w:sz="4" w:space="0" w:color="auto"/>
            </w:tcBorders>
            <w:shd w:val="clear" w:color="auto" w:fill="F2F2F2" w:themeFill="background1" w:themeFillShade="F2"/>
            <w:vAlign w:val="center"/>
          </w:tcPr>
          <w:p w14:paraId="2C5B609A" w14:textId="77777777" w:rsidR="00A93957" w:rsidRDefault="00A93957" w:rsidP="003F463B">
            <w:pPr>
              <w:keepNext/>
              <w:keepLines/>
              <w:spacing w:after="0" w:line="240" w:lineRule="auto"/>
              <w:rPr>
                <w:sz w:val="22"/>
                <w:szCs w:val="22"/>
                <w:lang w:eastAsia="en-US"/>
              </w:rPr>
            </w:pPr>
          </w:p>
        </w:tc>
        <w:tc>
          <w:tcPr>
            <w:tcW w:w="18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5CC83" w14:textId="77777777" w:rsidR="00A93957" w:rsidRDefault="00A93957" w:rsidP="003F463B">
            <w:pPr>
              <w:keepNext/>
              <w:keepLines/>
              <w:spacing w:after="0" w:line="240" w:lineRule="auto"/>
            </w:pPr>
            <w:r>
              <w:t>30 dBm/200 MHz</w:t>
            </w:r>
          </w:p>
          <w:p w14:paraId="35D38BE4" w14:textId="77777777" w:rsidR="00A93957" w:rsidRDefault="00A93957" w:rsidP="003F463B">
            <w:pPr>
              <w:keepNext/>
              <w:keepLines/>
              <w:spacing w:after="0" w:line="240" w:lineRule="auto"/>
            </w:pPr>
            <w:r>
              <w:t>(upper limit)</w:t>
            </w:r>
          </w:p>
        </w:tc>
        <w:tc>
          <w:tcPr>
            <w:tcW w:w="31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A7C8D" w14:textId="77777777" w:rsidR="00A93957" w:rsidRDefault="00A93957" w:rsidP="003F463B">
            <w:pPr>
              <w:keepNext/>
              <w:keepLines/>
              <w:spacing w:after="0" w:line="240" w:lineRule="auto"/>
            </w:pPr>
            <w:r>
              <w:t xml:space="preserve">Antenna pointing restrictions* and </w:t>
            </w:r>
          </w:p>
          <w:p w14:paraId="1A78F515" w14:textId="77777777" w:rsidR="00A93957" w:rsidRDefault="00A93957" w:rsidP="003F463B">
            <w:pPr>
              <w:keepNext/>
              <w:keepLines/>
              <w:spacing w:after="0" w:line="240" w:lineRule="auto"/>
            </w:pPr>
            <w:r w:rsidRPr="00827660">
              <w:t>EIRP mask</w:t>
            </w:r>
          </w:p>
        </w:tc>
      </w:tr>
    </w:tbl>
    <w:p w14:paraId="2BFEA2AE" w14:textId="77777777" w:rsidR="00A93957" w:rsidRPr="0072403B" w:rsidRDefault="00A93957" w:rsidP="003F463B">
      <w:pPr>
        <w:pStyle w:val="Tableorfigurenotemultiple"/>
      </w:pPr>
      <w:r w:rsidRPr="0072403B">
        <w:rPr>
          <w:rFonts w:eastAsia="Arial"/>
        </w:rPr>
        <w:t>* The main antenna beam is not to be mechanically or electrically steered above the horizon. This restriction applies to all outdoor transmitters.</w:t>
      </w:r>
    </w:p>
    <w:p w14:paraId="62B3AE3F" w14:textId="2B042277" w:rsidR="00A93957" w:rsidRDefault="00A93957" w:rsidP="003F463B">
      <w:pPr>
        <w:pStyle w:val="Tableorfigurenotemultiple"/>
      </w:pPr>
      <w:r w:rsidRPr="0072403B">
        <w:rPr>
          <w:rFonts w:eastAsia="Arial"/>
        </w:rPr>
        <w:t>** Outdoor base stations must not be mechanically steered above the horizon and must not direct the main beam (via electrical steering) to elevation angles greater than 5° above the horizon for more than 5% of time within a 24</w:t>
      </w:r>
      <w:r w:rsidR="000B1DEB">
        <w:rPr>
          <w:rFonts w:eastAsia="Arial"/>
        </w:rPr>
        <w:t>-</w:t>
      </w:r>
      <w:r w:rsidRPr="0072403B">
        <w:rPr>
          <w:rFonts w:eastAsia="Arial"/>
        </w:rPr>
        <w:t>hour period. Outdoor fixed transmitters, which are not base stations, must not direct their main beam to within defined angles from the geostationary orbit.</w:t>
      </w:r>
    </w:p>
    <w:p w14:paraId="22309A34" w14:textId="77777777" w:rsidR="00A93957" w:rsidRPr="0072403B" w:rsidRDefault="00A93957" w:rsidP="003F463B">
      <w:pPr>
        <w:pStyle w:val="Tableorfigurenotemultiple"/>
        <w:spacing w:after="240"/>
      </w:pPr>
      <w:r>
        <w:rPr>
          <w:rFonts w:eastAsia="Arial"/>
        </w:rPr>
        <w:t>***</w:t>
      </w:r>
      <w:r w:rsidRPr="00991D33">
        <w:rPr>
          <w:rFonts w:eastAsia="Arial"/>
        </w:rPr>
        <w:t xml:space="preserve"> </w:t>
      </w:r>
      <w:r w:rsidRPr="0072403B">
        <w:rPr>
          <w:rFonts w:eastAsia="Arial"/>
        </w:rPr>
        <w:t>The main</w:t>
      </w:r>
      <w:r>
        <w:rPr>
          <w:rFonts w:eastAsia="Arial"/>
        </w:rPr>
        <w:t xml:space="preserve"> base station</w:t>
      </w:r>
      <w:r w:rsidRPr="0072403B">
        <w:rPr>
          <w:rFonts w:eastAsia="Arial"/>
        </w:rPr>
        <w:t xml:space="preserve"> antenna beam is not to be mechanically or electrically steered above the horizon.</w:t>
      </w:r>
      <w:r w:rsidRPr="00991D33">
        <w:rPr>
          <w:rFonts w:eastAsia="Arial"/>
        </w:rPr>
        <w:t xml:space="preserve"> </w:t>
      </w:r>
      <w:r w:rsidRPr="0072403B">
        <w:rPr>
          <w:rFonts w:eastAsia="Arial"/>
        </w:rPr>
        <w:t>Outdoor fixed transmitters, which are not base stations, must not direct their main beam to within defined angles from the geostationary orbit.</w:t>
      </w:r>
    </w:p>
    <w:p w14:paraId="3D988546" w14:textId="58AAEB19" w:rsidR="00A93957" w:rsidRDefault="00A93957" w:rsidP="003F463B">
      <w:pPr>
        <w:pStyle w:val="Paragraph"/>
      </w:pPr>
      <w:r>
        <w:rPr>
          <w:rFonts w:eastAsia="Arial"/>
        </w:rPr>
        <w:t xml:space="preserve">The rationale for the proposed TRP limits and additional conditions in Table </w:t>
      </w:r>
      <w:r w:rsidR="0030073C">
        <w:rPr>
          <w:rFonts w:eastAsia="Arial"/>
        </w:rPr>
        <w:t>3</w:t>
      </w:r>
      <w:r>
        <w:rPr>
          <w:rFonts w:eastAsia="Arial"/>
        </w:rPr>
        <w:t xml:space="preserve"> is</w:t>
      </w:r>
      <w:r w:rsidR="00E233B8">
        <w:rPr>
          <w:rFonts w:eastAsia="Arial"/>
        </w:rPr>
        <w:t xml:space="preserve"> below. </w:t>
      </w:r>
    </w:p>
    <w:p w14:paraId="1F3D93BE" w14:textId="3009FCF1" w:rsidR="00A93957" w:rsidRDefault="00A93957" w:rsidP="003F463B">
      <w:pPr>
        <w:pStyle w:val="Paragraphbeforelist"/>
        <w:rPr>
          <w:rFonts w:eastAsia="Arial"/>
        </w:rPr>
      </w:pPr>
      <w:r>
        <w:rPr>
          <w:rFonts w:eastAsia="Arial"/>
        </w:rPr>
        <w:t>In the range 24.7</w:t>
      </w:r>
      <w:r w:rsidR="00E233B8">
        <w:rPr>
          <w:rFonts w:eastAsia="Arial"/>
        </w:rPr>
        <w:t>–</w:t>
      </w:r>
      <w:r>
        <w:rPr>
          <w:rFonts w:eastAsia="Arial"/>
        </w:rPr>
        <w:t>27 GHz:</w:t>
      </w:r>
    </w:p>
    <w:p w14:paraId="1859942D" w14:textId="77777777" w:rsidR="00A93957" w:rsidRDefault="00A93957" w:rsidP="003F463B">
      <w:pPr>
        <w:pStyle w:val="ListBullet"/>
        <w:rPr>
          <w:rFonts w:eastAsia="Arial"/>
        </w:rPr>
      </w:pPr>
      <w:r>
        <w:rPr>
          <w:rFonts w:eastAsia="Arial"/>
        </w:rPr>
        <w:t>40 dBm is the highest conducted power permitted by Article 21.5 of the RRs. Assuming no ohmic losses, this equates to a TRP of 40</w:t>
      </w:r>
      <w:r>
        <w:t> dBm.</w:t>
      </w:r>
      <w:r>
        <w:rPr>
          <w:rFonts w:eastAsia="Arial"/>
        </w:rPr>
        <w:t xml:space="preserve"> </w:t>
      </w:r>
    </w:p>
    <w:p w14:paraId="3F964602" w14:textId="77777777" w:rsidR="00A93957" w:rsidRDefault="00A93957" w:rsidP="003F463B">
      <w:pPr>
        <w:pStyle w:val="ListBullet"/>
        <w:rPr>
          <w:rFonts w:eastAsia="Arial"/>
        </w:rPr>
      </w:pPr>
      <w:r>
        <w:rPr>
          <w:rFonts w:eastAsia="Arial"/>
        </w:rPr>
        <w:t>A TRP limit which exceeds 40 dBm could be permitted if it is offset by additional mitigation measures which limit radiation above the horizon. These additional measures are necessary to satisfy Article 4.4 of the RRs (i.e. that a station operating in contravention of the RRs (namely Article 21.5) will not cause harmful interference to another station).</w:t>
      </w:r>
    </w:p>
    <w:p w14:paraId="03089565" w14:textId="6CB4EF6F" w:rsidR="00A93957" w:rsidRDefault="00A93957" w:rsidP="003F463B">
      <w:pPr>
        <w:pStyle w:val="ListBulletLast"/>
        <w:rPr>
          <w:rFonts w:eastAsia="Arial"/>
        </w:rPr>
      </w:pPr>
      <w:r>
        <w:rPr>
          <w:rFonts w:eastAsia="Arial"/>
        </w:rPr>
        <w:t>The majority of proponents for an increased TRP in the 26</w:t>
      </w:r>
      <w:r w:rsidR="00E81779">
        <w:rPr>
          <w:rFonts w:eastAsia="Arial"/>
        </w:rPr>
        <w:t>/28</w:t>
      </w:r>
      <w:r>
        <w:rPr>
          <w:rFonts w:eastAsia="Arial"/>
        </w:rPr>
        <w:t xml:space="preserve"> GHz band TLG indicated that a maximum TRP of 45 dBm/200 MHz would be suitable.</w:t>
      </w:r>
    </w:p>
    <w:p w14:paraId="7B57EEEC" w14:textId="0A3981BF" w:rsidR="00A93957" w:rsidRDefault="00A93957" w:rsidP="003F463B">
      <w:pPr>
        <w:pStyle w:val="Paragraphbeforelist"/>
        <w:rPr>
          <w:rFonts w:eastAsia="Arial"/>
        </w:rPr>
      </w:pPr>
      <w:r>
        <w:rPr>
          <w:rFonts w:eastAsia="Arial"/>
        </w:rPr>
        <w:t>In the range 27</w:t>
      </w:r>
      <w:r w:rsidR="003D1E3A">
        <w:rPr>
          <w:rFonts w:eastAsia="Arial"/>
        </w:rPr>
        <w:t>–</w:t>
      </w:r>
      <w:r>
        <w:rPr>
          <w:rFonts w:eastAsia="Arial"/>
        </w:rPr>
        <w:t>27.5 GHz outside gateway footprint areas:</w:t>
      </w:r>
    </w:p>
    <w:p w14:paraId="7775CC85" w14:textId="77777777" w:rsidR="00A93957" w:rsidRDefault="00A93957" w:rsidP="003F463B">
      <w:pPr>
        <w:pStyle w:val="ListBulletLast"/>
        <w:rPr>
          <w:rFonts w:eastAsia="Arial"/>
        </w:rPr>
      </w:pPr>
      <w:r>
        <w:rPr>
          <w:rFonts w:eastAsia="Arial"/>
        </w:rPr>
        <w:t>37 dBm is consistent with the outcome of the TLG. This baseline limit, and the upper limit of 42 dB, are 3 dB less than the proposed limits below 27 GHz in recognition that the frequency range is shared with domestic satellite services and that high power transmitters located near (but just outside) the gateway footprint areas will contribute to the aggregate interference level at the satellite receiver.</w:t>
      </w:r>
    </w:p>
    <w:p w14:paraId="7D33F3BD" w14:textId="548C70CB" w:rsidR="00A93957" w:rsidRDefault="00A93957" w:rsidP="003F463B">
      <w:pPr>
        <w:pStyle w:val="Paragraphbeforelist"/>
        <w:rPr>
          <w:rFonts w:eastAsia="Arial"/>
        </w:rPr>
      </w:pPr>
      <w:r>
        <w:rPr>
          <w:rFonts w:eastAsia="Arial"/>
        </w:rPr>
        <w:t>In the range 27</w:t>
      </w:r>
      <w:r w:rsidR="003D1E3A">
        <w:rPr>
          <w:rFonts w:eastAsia="Arial"/>
        </w:rPr>
        <w:t>–</w:t>
      </w:r>
      <w:r>
        <w:rPr>
          <w:rFonts w:eastAsia="Arial"/>
        </w:rPr>
        <w:t>27.5 GHz inside gateway footprint areas</w:t>
      </w:r>
      <w:r w:rsidR="003D1E3A">
        <w:rPr>
          <w:rFonts w:eastAsia="Arial"/>
        </w:rPr>
        <w:t>,</w:t>
      </w:r>
      <w:r>
        <w:rPr>
          <w:rFonts w:eastAsia="Arial"/>
        </w:rPr>
        <w:t xml:space="preserve"> and in 27.5</w:t>
      </w:r>
      <w:r w:rsidR="001704FC">
        <w:rPr>
          <w:rFonts w:eastAsia="Arial"/>
        </w:rPr>
        <w:t>–</w:t>
      </w:r>
      <w:r>
        <w:rPr>
          <w:rFonts w:eastAsia="Arial"/>
        </w:rPr>
        <w:t>29.5 GHz:</w:t>
      </w:r>
    </w:p>
    <w:p w14:paraId="4D1A8961" w14:textId="5E228AB7" w:rsidR="00A93957" w:rsidRDefault="00A93957" w:rsidP="003F463B">
      <w:pPr>
        <w:pStyle w:val="ListBullet"/>
        <w:rPr>
          <w:rFonts w:eastAsia="Arial"/>
        </w:rPr>
      </w:pPr>
      <w:r>
        <w:rPr>
          <w:rFonts w:eastAsia="Arial"/>
        </w:rPr>
        <w:t>The baseline limit is consistent with the 26/28 GHz band</w:t>
      </w:r>
      <w:r w:rsidR="00087CC7">
        <w:rPr>
          <w:rFonts w:eastAsia="Arial"/>
        </w:rPr>
        <w:t>s</w:t>
      </w:r>
      <w:r>
        <w:rPr>
          <w:rFonts w:eastAsia="Arial"/>
        </w:rPr>
        <w:t xml:space="preserve"> TLG outcome and preliminary views articulated in the decision paper.</w:t>
      </w:r>
    </w:p>
    <w:p w14:paraId="0E15217D" w14:textId="0A4648A5" w:rsidR="00A93957" w:rsidRDefault="00A93957" w:rsidP="003F463B">
      <w:pPr>
        <w:pStyle w:val="ListBulletLast"/>
        <w:rPr>
          <w:rFonts w:eastAsia="Arial"/>
        </w:rPr>
      </w:pPr>
      <w:r>
        <w:rPr>
          <w:rFonts w:eastAsia="Arial"/>
        </w:rPr>
        <w:t xml:space="preserve">The upper limit of 30 dBm/200 MHz is based on </w:t>
      </w:r>
      <w:r w:rsidR="003D1E3A">
        <w:rPr>
          <w:rFonts w:eastAsia="Arial"/>
        </w:rPr>
        <w:t xml:space="preserve">NBN’s </w:t>
      </w:r>
      <w:r>
        <w:rPr>
          <w:rFonts w:eastAsia="Arial"/>
        </w:rPr>
        <w:t>input to the 26/28 GHz band</w:t>
      </w:r>
      <w:r w:rsidR="00176BD1">
        <w:rPr>
          <w:rFonts w:eastAsia="Arial"/>
        </w:rPr>
        <w:t>s</w:t>
      </w:r>
      <w:r>
        <w:rPr>
          <w:rFonts w:eastAsia="Arial"/>
        </w:rPr>
        <w:t xml:space="preserve"> TLG which indicated that this limit, together with an appropriate EIRP mask, is acceptable to protect its satellite receivers in the 28 GHz band. As the coexistence scenario in the 27</w:t>
      </w:r>
      <w:r w:rsidR="003D1E3A">
        <w:rPr>
          <w:rFonts w:eastAsia="Arial"/>
        </w:rPr>
        <w:t>–</w:t>
      </w:r>
      <w:r>
        <w:rPr>
          <w:rFonts w:eastAsia="Arial"/>
        </w:rPr>
        <w:t>27.5 GHz segment of the 26 GHz band is almost identical to the 28 GHz band (the key difference being that mobile use is contemplated in the 26 GHz band but not the 28 GHz band), it could be considered that a TRP of 30 dBm/200 MHz plus additional mitigations would also be appropriate in the range 27</w:t>
      </w:r>
      <w:r w:rsidR="003D1E3A">
        <w:rPr>
          <w:rFonts w:eastAsia="Arial"/>
        </w:rPr>
        <w:t>–</w:t>
      </w:r>
      <w:r>
        <w:rPr>
          <w:rFonts w:eastAsia="Arial"/>
        </w:rPr>
        <w:t>27.5 GHz inside footprint areas.</w:t>
      </w:r>
    </w:p>
    <w:p w14:paraId="5BB26451" w14:textId="38950AB5" w:rsidR="00A93957" w:rsidRDefault="00A93957" w:rsidP="001A0F13">
      <w:pPr>
        <w:pStyle w:val="Paragraphbeforelist"/>
        <w:rPr>
          <w:rFonts w:eastAsia="Arial"/>
        </w:rPr>
      </w:pPr>
      <w:r>
        <w:rPr>
          <w:rFonts w:eastAsia="Arial"/>
        </w:rPr>
        <w:t xml:space="preserve">There is a unique EIRP mask proposed for each for the frequencies/area combinations detailed in Table </w:t>
      </w:r>
      <w:r w:rsidR="00FD0D1E">
        <w:rPr>
          <w:rFonts w:eastAsia="Arial"/>
        </w:rPr>
        <w:t>4</w:t>
      </w:r>
      <w:r>
        <w:rPr>
          <w:rFonts w:eastAsia="Arial"/>
        </w:rPr>
        <w:t xml:space="preserve">. These proposed masks (shown in Figure </w:t>
      </w:r>
      <w:r w:rsidR="00F72037">
        <w:rPr>
          <w:rFonts w:eastAsia="Arial"/>
        </w:rPr>
        <w:t>4</w:t>
      </w:r>
      <w:r>
        <w:rPr>
          <w:rFonts w:eastAsia="Arial"/>
        </w:rPr>
        <w:t xml:space="preserve"> and detailed in Table </w:t>
      </w:r>
      <w:r w:rsidR="00333482">
        <w:rPr>
          <w:rFonts w:eastAsia="Arial"/>
        </w:rPr>
        <w:t>4</w:t>
      </w:r>
      <w:r>
        <w:rPr>
          <w:rFonts w:eastAsia="Arial"/>
        </w:rPr>
        <w:t>) aim to provide an equivalent level of emissions above the horizon as would be permitted for transmitters operating at the baseline TRP limit. Specifically, these proposed EIRP masks are based on the EIRP levels of a notional base station transmitter consisting of:</w:t>
      </w:r>
    </w:p>
    <w:p w14:paraId="65BF6232" w14:textId="6E306B8A" w:rsidR="00A93957" w:rsidRDefault="005C1CF6">
      <w:pPr>
        <w:pStyle w:val="ListBullet"/>
        <w:rPr>
          <w:rFonts w:eastAsia="Arial"/>
        </w:rPr>
      </w:pPr>
      <w:r>
        <w:rPr>
          <w:rFonts w:eastAsia="Arial"/>
        </w:rPr>
        <w:lastRenderedPageBreak/>
        <w:t>a</w:t>
      </w:r>
      <w:r w:rsidR="00A93957">
        <w:rPr>
          <w:rFonts w:eastAsia="Arial"/>
        </w:rPr>
        <w:t xml:space="preserve"> total conducted power (into all antenna elements, inclusive of losses) of:</w:t>
      </w:r>
    </w:p>
    <w:p w14:paraId="7A271225" w14:textId="455D999D" w:rsidR="00A93957" w:rsidRDefault="00A93957" w:rsidP="000D3683">
      <w:pPr>
        <w:pStyle w:val="ListBullet2"/>
        <w:rPr>
          <w:rFonts w:eastAsia="Arial"/>
        </w:rPr>
      </w:pPr>
      <w:r>
        <w:rPr>
          <w:rFonts w:eastAsia="Arial"/>
        </w:rPr>
        <w:t>40 dBm/200 MHz for transmitters in the range 24.7</w:t>
      </w:r>
      <w:r w:rsidR="001704FC">
        <w:rPr>
          <w:rFonts w:eastAsia="Arial"/>
        </w:rPr>
        <w:t>–</w:t>
      </w:r>
      <w:r>
        <w:rPr>
          <w:rFonts w:eastAsia="Arial"/>
        </w:rPr>
        <w:t>27 GHz</w:t>
      </w:r>
    </w:p>
    <w:p w14:paraId="47F00A8E" w14:textId="32DAF44D" w:rsidR="00A93957" w:rsidRDefault="00A93957" w:rsidP="000D3683">
      <w:pPr>
        <w:pStyle w:val="ListBullet2"/>
        <w:rPr>
          <w:rFonts w:eastAsia="Arial"/>
        </w:rPr>
      </w:pPr>
      <w:r>
        <w:rPr>
          <w:rFonts w:eastAsia="Arial"/>
        </w:rPr>
        <w:t>37 dBm/200 MHz for transmitters in the range 27</w:t>
      </w:r>
      <w:r w:rsidR="001704FC">
        <w:rPr>
          <w:rFonts w:eastAsia="Arial"/>
        </w:rPr>
        <w:t>–</w:t>
      </w:r>
      <w:r>
        <w:rPr>
          <w:rFonts w:eastAsia="Arial"/>
        </w:rPr>
        <w:t>27.5 GHz located outside footprint areas</w:t>
      </w:r>
      <w:r w:rsidR="003D1E3A">
        <w:rPr>
          <w:rFonts w:eastAsia="Arial"/>
        </w:rPr>
        <w:t>.</w:t>
      </w:r>
    </w:p>
    <w:p w14:paraId="5ED1BFD4" w14:textId="77777777" w:rsidR="00A93957" w:rsidRDefault="00A93957" w:rsidP="003F463B">
      <w:pPr>
        <w:pStyle w:val="ListBullet"/>
        <w:rPr>
          <w:rFonts w:eastAsia="Arial"/>
        </w:rPr>
      </w:pPr>
      <w:r>
        <w:rPr>
          <w:rFonts w:eastAsia="Arial"/>
        </w:rPr>
        <w:t>25 dBm/200 MHz for transmitters in the range:</w:t>
      </w:r>
    </w:p>
    <w:p w14:paraId="2FB9047A" w14:textId="14DB06C4" w:rsidR="00A93957" w:rsidRDefault="00A93957" w:rsidP="003F463B">
      <w:pPr>
        <w:pStyle w:val="Bulletlevel2"/>
        <w:rPr>
          <w:rFonts w:eastAsia="Arial"/>
        </w:rPr>
      </w:pPr>
      <w:r>
        <w:rPr>
          <w:rFonts w:eastAsia="Arial"/>
        </w:rPr>
        <w:t>27</w:t>
      </w:r>
      <w:r w:rsidR="001704FC">
        <w:rPr>
          <w:rFonts w:eastAsia="Arial"/>
        </w:rPr>
        <w:t>–</w:t>
      </w:r>
      <w:r>
        <w:rPr>
          <w:rFonts w:eastAsia="Arial"/>
        </w:rPr>
        <w:t>27.5 GHz located inside footprint areas, or</w:t>
      </w:r>
    </w:p>
    <w:p w14:paraId="67ED9BB4" w14:textId="319F4A0C" w:rsidR="00A93957" w:rsidRDefault="00A93957" w:rsidP="003F463B">
      <w:pPr>
        <w:pStyle w:val="Bulletlevel2"/>
        <w:rPr>
          <w:rFonts w:eastAsia="Arial"/>
        </w:rPr>
      </w:pPr>
      <w:r>
        <w:rPr>
          <w:rFonts w:eastAsia="Arial"/>
        </w:rPr>
        <w:t>27.5</w:t>
      </w:r>
      <w:r w:rsidR="001704FC">
        <w:rPr>
          <w:rFonts w:eastAsia="Arial"/>
        </w:rPr>
        <w:t>–</w:t>
      </w:r>
      <w:r>
        <w:rPr>
          <w:rFonts w:eastAsia="Arial"/>
        </w:rPr>
        <w:t>29.5 GHz Australia-wide.</w:t>
      </w:r>
    </w:p>
    <w:p w14:paraId="217B2B00" w14:textId="66AA3E5A" w:rsidR="00A93957" w:rsidRDefault="005C1CF6" w:rsidP="00A93957">
      <w:pPr>
        <w:pStyle w:val="ListBullet"/>
        <w:rPr>
          <w:rFonts w:eastAsia="Arial"/>
        </w:rPr>
      </w:pPr>
      <w:r>
        <w:rPr>
          <w:rFonts w:eastAsia="Arial"/>
        </w:rPr>
        <w:t>a</w:t>
      </w:r>
      <w:r w:rsidR="00A93957">
        <w:rPr>
          <w:rFonts w:eastAsia="Arial"/>
        </w:rPr>
        <w:t>n 8</w:t>
      </w:r>
      <w:r w:rsidR="003D1E3A">
        <w:rPr>
          <w:rFonts w:eastAsia="Arial"/>
        </w:rPr>
        <w:t xml:space="preserve"> </w:t>
      </w:r>
      <w:r w:rsidR="00A93957">
        <w:rPr>
          <w:rFonts w:eastAsia="Arial"/>
        </w:rPr>
        <w:t>x</w:t>
      </w:r>
      <w:r w:rsidR="003D1E3A">
        <w:rPr>
          <w:rFonts w:eastAsia="Arial"/>
        </w:rPr>
        <w:t xml:space="preserve"> </w:t>
      </w:r>
      <w:r w:rsidR="00A93957">
        <w:rPr>
          <w:rFonts w:eastAsia="Arial"/>
        </w:rPr>
        <w:t>8 antenna array complying with Recommendation ITU-R M.2101</w:t>
      </w:r>
    </w:p>
    <w:p w14:paraId="0D2D53FA" w14:textId="0BDCC8A2" w:rsidR="00A93957" w:rsidRDefault="005C1CF6" w:rsidP="00A93957">
      <w:pPr>
        <w:pStyle w:val="ListBulletLast"/>
        <w:rPr>
          <w:rFonts w:eastAsia="Arial"/>
        </w:rPr>
      </w:pPr>
      <w:r>
        <w:rPr>
          <w:rFonts w:eastAsia="Arial"/>
        </w:rPr>
        <w:t>m</w:t>
      </w:r>
      <w:r w:rsidR="00A93957">
        <w:rPr>
          <w:rFonts w:eastAsia="Arial"/>
        </w:rPr>
        <w:t>ain beam pointing to the horizon with no electrical tilt/scan.</w:t>
      </w:r>
    </w:p>
    <w:p w14:paraId="6E4358E9" w14:textId="2FA747E1" w:rsidR="00967221" w:rsidRDefault="00A93957" w:rsidP="00A93957">
      <w:pPr>
        <w:pStyle w:val="Paragraph"/>
        <w:rPr>
          <w:rFonts w:eastAsia="Arial"/>
        </w:rPr>
      </w:pPr>
      <w:r>
        <w:rPr>
          <w:rFonts w:eastAsia="Arial"/>
        </w:rPr>
        <w:t>The proposed EIRP mask in the 27</w:t>
      </w:r>
      <w:r w:rsidR="003D1E3A">
        <w:rPr>
          <w:rFonts w:eastAsia="Arial"/>
        </w:rPr>
        <w:t>–</w:t>
      </w:r>
      <w:r>
        <w:rPr>
          <w:rFonts w:eastAsia="Arial"/>
        </w:rPr>
        <w:t>27.5 GHz and 27.5</w:t>
      </w:r>
      <w:r w:rsidR="003D1E3A">
        <w:rPr>
          <w:rFonts w:eastAsia="Arial"/>
        </w:rPr>
        <w:t>–</w:t>
      </w:r>
      <w:r>
        <w:rPr>
          <w:rFonts w:eastAsia="Arial"/>
        </w:rPr>
        <w:t>29.5 GHz segments (limited to inside footprint areas for 27</w:t>
      </w:r>
      <w:r w:rsidR="003C48E5">
        <w:rPr>
          <w:rFonts w:eastAsia="Arial"/>
        </w:rPr>
        <w:t>–</w:t>
      </w:r>
      <w:r>
        <w:rPr>
          <w:rFonts w:eastAsia="Arial"/>
        </w:rPr>
        <w:t xml:space="preserve">27.5 GHz) is consistent with a mask proposed by </w:t>
      </w:r>
      <w:r w:rsidR="003D1E3A">
        <w:rPr>
          <w:rFonts w:eastAsia="Arial"/>
        </w:rPr>
        <w:t xml:space="preserve">NBN </w:t>
      </w:r>
      <w:r>
        <w:rPr>
          <w:rFonts w:eastAsia="Arial"/>
        </w:rPr>
        <w:t xml:space="preserve">during the 26/28 GHz </w:t>
      </w:r>
      <w:r w:rsidR="00E0504C">
        <w:rPr>
          <w:rFonts w:eastAsia="Arial"/>
        </w:rPr>
        <w:t xml:space="preserve">bands </w:t>
      </w:r>
      <w:r>
        <w:rPr>
          <w:rFonts w:eastAsia="Arial"/>
        </w:rPr>
        <w:t xml:space="preserve">TLG. </w:t>
      </w:r>
    </w:p>
    <w:p w14:paraId="1EFB6168" w14:textId="44758C8C" w:rsidR="00A93957" w:rsidRDefault="00A93957" w:rsidP="00A93957">
      <w:pPr>
        <w:pStyle w:val="Paragraph"/>
        <w:rPr>
          <w:rFonts w:eastAsia="Arial"/>
        </w:rPr>
      </w:pPr>
      <w:r>
        <w:t>The proposed masks in the segments 27</w:t>
      </w:r>
      <w:r w:rsidR="003C48E5">
        <w:t>–</w:t>
      </w:r>
      <w:r>
        <w:t xml:space="preserve">27.5 GHz outside footprint areas and </w:t>
      </w:r>
      <w:r w:rsidR="003C48E5">
        <w:br/>
      </w:r>
      <w:r>
        <w:t>24.7</w:t>
      </w:r>
      <w:r w:rsidR="003C48E5">
        <w:t>–</w:t>
      </w:r>
      <w:r>
        <w:t>27 GHz are 12 and 15 </w:t>
      </w:r>
      <w:r>
        <w:rPr>
          <w:rFonts w:eastAsia="Arial"/>
        </w:rPr>
        <w:t>dB higher respectively (to account for the difference between the baseline TRP limits in these frequencies/areas).</w:t>
      </w:r>
    </w:p>
    <w:p w14:paraId="2CD4A67A" w14:textId="77777777" w:rsidR="00A93957" w:rsidRDefault="7D0176B0" w:rsidP="2AAE4496">
      <w:pPr>
        <w:pStyle w:val="Figureheading"/>
        <w:rPr>
          <w:rFonts w:eastAsia="Arial"/>
        </w:rPr>
      </w:pPr>
      <w:r w:rsidRPr="2AAE4496">
        <w:rPr>
          <w:rFonts w:eastAsia="Arial"/>
        </w:rPr>
        <w:t>Derivation of the proposed EIRP masks</w:t>
      </w:r>
    </w:p>
    <w:p w14:paraId="75036C09" w14:textId="3973EABC" w:rsidR="00A93957" w:rsidRDefault="00EB5C3E" w:rsidP="00A93957">
      <w:pPr>
        <w:rPr>
          <w:noProof/>
        </w:rPr>
      </w:pPr>
      <w:r w:rsidRPr="00EB5C3E">
        <w:rPr>
          <w:noProof/>
        </w:rPr>
        <w:t xml:space="preserve"> </w:t>
      </w:r>
      <w:r>
        <w:rPr>
          <w:noProof/>
        </w:rPr>
        <w:drawing>
          <wp:inline distT="0" distB="0" distL="0" distR="0" wp14:anchorId="2910D286" wp14:editId="361091C2">
            <wp:extent cx="4871085" cy="3057525"/>
            <wp:effectExtent l="0" t="0" r="5715" b="9525"/>
            <wp:docPr id="26" name="Chart 26" descr="Figure 4: Derivation of the proposed EIRP masks.">
              <a:extLst xmlns:a="http://schemas.openxmlformats.org/drawingml/2006/main">
                <a:ext uri="{FF2B5EF4-FFF2-40B4-BE49-F238E27FC236}">
                  <a16:creationId xmlns:a16="http://schemas.microsoft.com/office/drawing/2014/main" id="{0695034B-5984-4560-8647-EBA49C9482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F0073AF" w14:textId="77777777" w:rsidR="00EB6C2E" w:rsidRDefault="00EB6C2E" w:rsidP="00EB6C2E">
      <w:pPr>
        <w:pStyle w:val="ACMATableHeader"/>
        <w:numPr>
          <w:ilvl w:val="0"/>
          <w:numId w:val="0"/>
        </w:numPr>
        <w:ind w:left="964"/>
        <w:rPr>
          <w:rFonts w:eastAsia="Arial"/>
        </w:rPr>
      </w:pPr>
    </w:p>
    <w:p w14:paraId="09CC2228" w14:textId="199046FF" w:rsidR="00A93957" w:rsidRDefault="00EB6C2E" w:rsidP="00EB6C2E">
      <w:pPr>
        <w:pStyle w:val="ACMATableHeader"/>
        <w:numPr>
          <w:ilvl w:val="0"/>
          <w:numId w:val="0"/>
        </w:numPr>
        <w:ind w:left="964" w:hanging="964"/>
        <w:rPr>
          <w:rFonts w:eastAsia="Arial"/>
        </w:rPr>
      </w:pPr>
      <w:r>
        <w:rPr>
          <w:rFonts w:eastAsia="Arial"/>
        </w:rPr>
        <w:t xml:space="preserve">Table 4: </w:t>
      </w:r>
      <w:r w:rsidR="00A93957" w:rsidRPr="004E4817">
        <w:rPr>
          <w:rFonts w:eastAsia="Arial"/>
        </w:rPr>
        <w:t>Proposed</w:t>
      </w:r>
      <w:r w:rsidR="00A93957" w:rsidRPr="05F862CF">
        <w:rPr>
          <w:rFonts w:eastAsia="Arial"/>
        </w:rPr>
        <w:t xml:space="preserve"> EIRP masks</w:t>
      </w:r>
    </w:p>
    <w:tbl>
      <w:tblPr>
        <w:tblStyle w:val="TableGrid"/>
        <w:tblW w:w="5000" w:type="pct"/>
        <w:jc w:val="center"/>
        <w:tblCellMar>
          <w:top w:w="85" w:type="dxa"/>
          <w:bottom w:w="85" w:type="dxa"/>
        </w:tblCellMar>
        <w:tblLook w:val="04A0" w:firstRow="1" w:lastRow="0" w:firstColumn="1" w:lastColumn="0" w:noHBand="0" w:noVBand="1"/>
      </w:tblPr>
      <w:tblGrid>
        <w:gridCol w:w="2028"/>
        <w:gridCol w:w="1793"/>
        <w:gridCol w:w="1920"/>
        <w:gridCol w:w="1920"/>
      </w:tblGrid>
      <w:tr w:rsidR="001F669E" w:rsidRPr="001F669E" w14:paraId="6AC5BB11" w14:textId="77777777" w:rsidTr="003F463B">
        <w:trPr>
          <w:cantSplit/>
          <w:jc w:val="center"/>
        </w:trPr>
        <w:tc>
          <w:tcPr>
            <w:tcW w:w="1324"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7747191E" w14:textId="77777777" w:rsidR="00A93957" w:rsidRPr="003F463B" w:rsidRDefault="00A93957" w:rsidP="003D1176">
            <w:pPr>
              <w:keepNext/>
              <w:keepLines/>
              <w:jc w:val="center"/>
              <w:rPr>
                <w:rFonts w:eastAsiaTheme="minorEastAsia"/>
                <w:b/>
                <w:color w:val="FFFFFF" w:themeColor="background1"/>
              </w:rPr>
            </w:pPr>
          </w:p>
        </w:tc>
        <w:tc>
          <w:tcPr>
            <w:tcW w:w="3676" w:type="pct"/>
            <w:gridSpan w:val="3"/>
            <w:tcBorders>
              <w:top w:val="single" w:sz="4" w:space="0" w:color="auto"/>
              <w:left w:val="single" w:sz="4" w:space="0" w:color="auto"/>
              <w:bottom w:val="single" w:sz="4" w:space="0" w:color="auto"/>
              <w:right w:val="single" w:sz="4" w:space="0" w:color="auto"/>
            </w:tcBorders>
            <w:shd w:val="clear" w:color="auto" w:fill="404040" w:themeFill="text1" w:themeFillTint="BF"/>
          </w:tcPr>
          <w:p w14:paraId="7D9B83C3" w14:textId="77777777" w:rsidR="00A93957" w:rsidRPr="003F463B" w:rsidRDefault="00A93957" w:rsidP="003F463B">
            <w:pPr>
              <w:keepNext/>
              <w:keepLines/>
              <w:spacing w:after="120"/>
              <w:jc w:val="center"/>
              <w:rPr>
                <w:b/>
                <w:color w:val="FFFFFF" w:themeColor="background1"/>
              </w:rPr>
            </w:pPr>
            <w:r w:rsidRPr="003F463B">
              <w:rPr>
                <w:b/>
                <w:color w:val="FFFFFF" w:themeColor="background1"/>
              </w:rPr>
              <w:t>Radiated maximum true mean power</w:t>
            </w:r>
          </w:p>
          <w:p w14:paraId="521AD762" w14:textId="77777777" w:rsidR="00A93957" w:rsidRPr="003F463B" w:rsidRDefault="00A93957" w:rsidP="003D1176">
            <w:pPr>
              <w:keepNext/>
              <w:keepLines/>
              <w:jc w:val="center"/>
              <w:rPr>
                <w:rFonts w:eastAsiaTheme="minorEastAsia"/>
                <w:b/>
                <w:color w:val="FFFFFF" w:themeColor="background1"/>
              </w:rPr>
            </w:pPr>
            <w:r w:rsidRPr="003F463B">
              <w:rPr>
                <w:rFonts w:eastAsiaTheme="minorEastAsia"/>
                <w:b/>
                <w:color w:val="FFFFFF" w:themeColor="background1"/>
              </w:rPr>
              <w:t>(dBm/200 MHz EIRP)</w:t>
            </w:r>
          </w:p>
        </w:tc>
      </w:tr>
      <w:tr w:rsidR="001F669E" w:rsidRPr="001F669E" w14:paraId="5BEB95ED" w14:textId="77777777" w:rsidTr="003F463B">
        <w:trPr>
          <w:cantSplit/>
          <w:jc w:val="center"/>
        </w:trPr>
        <w:tc>
          <w:tcPr>
            <w:tcW w:w="132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A66DAB" w14:textId="77777777" w:rsidR="00A93957" w:rsidRPr="003F463B" w:rsidRDefault="00A93957" w:rsidP="003F463B">
            <w:pPr>
              <w:keepNext/>
              <w:keepLines/>
              <w:spacing w:after="120"/>
              <w:jc w:val="center"/>
              <w:rPr>
                <w:rFonts w:ascii="Times New Roman" w:eastAsiaTheme="minorEastAsia" w:hAnsi="Times New Roman"/>
                <w:b/>
                <w:color w:val="FFFFFF" w:themeColor="background1"/>
              </w:rPr>
            </w:pPr>
            <w:r w:rsidRPr="003F463B">
              <w:rPr>
                <w:rFonts w:eastAsiaTheme="minorEastAsia"/>
                <w:b/>
                <w:color w:val="FFFFFF" w:themeColor="background1"/>
              </w:rPr>
              <w:t>Elevation angle above the horizontal plane</w:t>
            </w:r>
          </w:p>
          <w:p w14:paraId="11CA0194" w14:textId="77777777" w:rsidR="00A93957" w:rsidRPr="003F463B" w:rsidRDefault="00A93957" w:rsidP="003D1176">
            <w:pPr>
              <w:keepNext/>
              <w:keepLines/>
              <w:jc w:val="center"/>
              <w:rPr>
                <w:rFonts w:eastAsiaTheme="minorEastAsia"/>
                <w:b/>
                <w:color w:val="FFFFFF" w:themeColor="background1"/>
              </w:rPr>
            </w:pPr>
            <w:r w:rsidRPr="003F463B">
              <w:rPr>
                <w:rFonts w:eastAsiaTheme="minorEastAsia"/>
                <w:b/>
                <w:color w:val="FFFFFF" w:themeColor="background1"/>
              </w:rPr>
              <w:t>(el)</w:t>
            </w:r>
          </w:p>
        </w:tc>
        <w:tc>
          <w:tcPr>
            <w:tcW w:w="1170"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AB570C" w14:textId="6C9D9D11" w:rsidR="00A93957" w:rsidRPr="003F463B" w:rsidRDefault="00A93957" w:rsidP="003D1176">
            <w:pPr>
              <w:keepNext/>
              <w:keepLines/>
              <w:jc w:val="center"/>
              <w:rPr>
                <w:rFonts w:eastAsiaTheme="minorEastAsia"/>
                <w:b/>
                <w:color w:val="FFFFFF" w:themeColor="background1"/>
              </w:rPr>
            </w:pPr>
            <w:r w:rsidRPr="003F463B">
              <w:rPr>
                <w:rFonts w:eastAsiaTheme="minorEastAsia"/>
                <w:b/>
                <w:color w:val="FFFFFF" w:themeColor="background1"/>
              </w:rPr>
              <w:t>For transmitters in the range 24.7</w:t>
            </w:r>
            <w:r w:rsidR="001F669E">
              <w:rPr>
                <w:rFonts w:eastAsiaTheme="minorEastAsia"/>
                <w:b/>
                <w:color w:val="FFFFFF" w:themeColor="background1"/>
              </w:rPr>
              <w:t>–</w:t>
            </w:r>
            <w:r w:rsidRPr="003F463B">
              <w:rPr>
                <w:rFonts w:eastAsiaTheme="minorEastAsia"/>
                <w:b/>
                <w:color w:val="FFFFFF" w:themeColor="background1"/>
              </w:rPr>
              <w:t>27 GHz</w:t>
            </w:r>
          </w:p>
        </w:tc>
        <w:tc>
          <w:tcPr>
            <w:tcW w:w="1253"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01371764" w14:textId="759F7694" w:rsidR="00A93957" w:rsidRPr="003F463B" w:rsidRDefault="00A93957" w:rsidP="003D1176">
            <w:pPr>
              <w:keepNext/>
              <w:keepLines/>
              <w:jc w:val="center"/>
              <w:rPr>
                <w:rFonts w:eastAsiaTheme="minorEastAsia"/>
                <w:b/>
                <w:color w:val="FFFFFF" w:themeColor="background1"/>
              </w:rPr>
            </w:pPr>
            <w:r w:rsidRPr="003F463B">
              <w:rPr>
                <w:rFonts w:eastAsiaTheme="minorEastAsia"/>
                <w:b/>
                <w:color w:val="FFFFFF" w:themeColor="background1"/>
              </w:rPr>
              <w:t xml:space="preserve">For transmitters in the range </w:t>
            </w:r>
            <w:r w:rsidR="001F669E">
              <w:rPr>
                <w:rFonts w:eastAsiaTheme="minorEastAsia"/>
                <w:b/>
                <w:color w:val="FFFFFF" w:themeColor="background1"/>
              </w:rPr>
              <w:br/>
            </w:r>
            <w:r w:rsidRPr="003F463B">
              <w:rPr>
                <w:rFonts w:eastAsiaTheme="minorEastAsia"/>
                <w:b/>
                <w:color w:val="FFFFFF" w:themeColor="background1"/>
              </w:rPr>
              <w:t>27</w:t>
            </w:r>
            <w:r w:rsidR="001F669E">
              <w:rPr>
                <w:rFonts w:eastAsiaTheme="minorEastAsia"/>
                <w:b/>
                <w:color w:val="FFFFFF" w:themeColor="background1"/>
              </w:rPr>
              <w:t>–</w:t>
            </w:r>
            <w:r w:rsidRPr="003F463B">
              <w:rPr>
                <w:rFonts w:eastAsiaTheme="minorEastAsia"/>
                <w:b/>
                <w:color w:val="FFFFFF" w:themeColor="background1"/>
              </w:rPr>
              <w:t>27.5 GHz and outside footprints</w:t>
            </w:r>
          </w:p>
        </w:tc>
        <w:tc>
          <w:tcPr>
            <w:tcW w:w="1253"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9891B5D" w14:textId="4EBC720C" w:rsidR="00A93957" w:rsidRPr="003F463B" w:rsidRDefault="00A93957" w:rsidP="003D1176">
            <w:pPr>
              <w:keepNext/>
              <w:keepLines/>
              <w:jc w:val="center"/>
              <w:rPr>
                <w:rFonts w:eastAsiaTheme="minorEastAsia"/>
                <w:b/>
                <w:color w:val="FFFFFF" w:themeColor="background1"/>
              </w:rPr>
            </w:pPr>
            <w:r w:rsidRPr="003F463B">
              <w:rPr>
                <w:rFonts w:eastAsiaTheme="minorEastAsia"/>
                <w:b/>
                <w:color w:val="FFFFFF" w:themeColor="background1"/>
              </w:rPr>
              <w:t xml:space="preserve">For transmitters in the range </w:t>
            </w:r>
            <w:r w:rsidR="001F669E">
              <w:rPr>
                <w:rFonts w:eastAsiaTheme="minorEastAsia"/>
                <w:b/>
                <w:color w:val="FFFFFF" w:themeColor="background1"/>
              </w:rPr>
              <w:br/>
            </w:r>
            <w:r w:rsidRPr="003F463B">
              <w:rPr>
                <w:rFonts w:eastAsiaTheme="minorEastAsia"/>
                <w:b/>
                <w:color w:val="FFFFFF" w:themeColor="background1"/>
              </w:rPr>
              <w:t>27</w:t>
            </w:r>
            <w:r w:rsidR="001F669E">
              <w:rPr>
                <w:rFonts w:eastAsiaTheme="minorEastAsia"/>
                <w:b/>
                <w:color w:val="FFFFFF" w:themeColor="background1"/>
              </w:rPr>
              <w:t>–</w:t>
            </w:r>
            <w:r w:rsidRPr="003F463B">
              <w:rPr>
                <w:rFonts w:eastAsiaTheme="minorEastAsia"/>
                <w:b/>
                <w:color w:val="FFFFFF" w:themeColor="background1"/>
              </w:rPr>
              <w:t>27.5 GHz and inside footprints, or 27.5</w:t>
            </w:r>
            <w:r w:rsidR="001F669E">
              <w:rPr>
                <w:rFonts w:eastAsiaTheme="minorEastAsia"/>
                <w:b/>
                <w:color w:val="FFFFFF" w:themeColor="background1"/>
              </w:rPr>
              <w:t>–</w:t>
            </w:r>
            <w:r w:rsidRPr="003F463B">
              <w:rPr>
                <w:rFonts w:eastAsiaTheme="minorEastAsia"/>
                <w:b/>
                <w:color w:val="FFFFFF" w:themeColor="background1"/>
              </w:rPr>
              <w:t>29.5 GHz</w:t>
            </w:r>
          </w:p>
        </w:tc>
      </w:tr>
      <w:tr w:rsidR="00A93957" w14:paraId="7B9CC3AD" w14:textId="77777777" w:rsidTr="003F463B">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77E393EA" w14:textId="77777777" w:rsidR="00A93957" w:rsidRDefault="00A93957" w:rsidP="003D1176">
            <w:pPr>
              <w:keepNext/>
              <w:keepLines/>
              <w:rPr>
                <w:rFonts w:eastAsiaTheme="minorEastAsia"/>
              </w:rPr>
            </w:pPr>
            <w:r>
              <w:rPr>
                <w:rFonts w:eastAsiaTheme="minorEastAsia"/>
              </w:rPr>
              <w:t>5 degrees ≤ el &lt; 15 degrees</w:t>
            </w:r>
          </w:p>
        </w:tc>
        <w:tc>
          <w:tcPr>
            <w:tcW w:w="1170" w:type="pct"/>
            <w:tcBorders>
              <w:top w:val="single" w:sz="4" w:space="0" w:color="auto"/>
              <w:left w:val="single" w:sz="4" w:space="0" w:color="auto"/>
              <w:bottom w:val="single" w:sz="4" w:space="0" w:color="auto"/>
              <w:right w:val="single" w:sz="4" w:space="0" w:color="auto"/>
            </w:tcBorders>
            <w:vAlign w:val="center"/>
            <w:hideMark/>
          </w:tcPr>
          <w:p w14:paraId="70AE6AA5" w14:textId="77777777" w:rsidR="00A93957" w:rsidRPr="007E5005" w:rsidRDefault="00A93957" w:rsidP="003D1176">
            <w:pPr>
              <w:keepNext/>
              <w:keepLines/>
              <w:jc w:val="center"/>
              <w:rPr>
                <w:rFonts w:eastAsiaTheme="minorEastAsia"/>
              </w:rPr>
            </w:pPr>
            <m:oMathPara>
              <m:oMath>
                <m:r>
                  <m:rPr>
                    <m:sty m:val="p"/>
                  </m:rPr>
                  <w:rPr>
                    <w:rFonts w:ascii="Cambria Math" w:eastAsiaTheme="minorEastAsia" w:hAnsi="Cambria Math"/>
                  </w:rPr>
                  <m:t>=62-1.3</m:t>
                </m:r>
                <m:d>
                  <m:dPr>
                    <m:ctrlPr>
                      <w:rPr>
                        <w:rFonts w:ascii="Cambria Math" w:eastAsiaTheme="minorEastAsia" w:hAnsi="Cambria Math"/>
                      </w:rPr>
                    </m:ctrlPr>
                  </m:dPr>
                  <m:e>
                    <m:r>
                      <w:rPr>
                        <w:rFonts w:ascii="Cambria Math" w:eastAsiaTheme="minorEastAsia" w:hAnsi="Cambria Math"/>
                      </w:rPr>
                      <m:t>el</m:t>
                    </m:r>
                    <m:r>
                      <m:rPr>
                        <m:sty m:val="p"/>
                      </m:rPr>
                      <w:rPr>
                        <w:rFonts w:ascii="Cambria Math" w:eastAsiaTheme="minorEastAsia" w:hAnsi="Cambria Math"/>
                      </w:rPr>
                      <m:t>-5</m:t>
                    </m:r>
                  </m:e>
                </m:d>
              </m:oMath>
            </m:oMathPara>
          </w:p>
        </w:tc>
        <w:tc>
          <w:tcPr>
            <w:tcW w:w="1253" w:type="pct"/>
            <w:tcBorders>
              <w:top w:val="single" w:sz="4" w:space="0" w:color="auto"/>
              <w:left w:val="single" w:sz="4" w:space="0" w:color="auto"/>
              <w:bottom w:val="single" w:sz="4" w:space="0" w:color="auto"/>
              <w:right w:val="single" w:sz="4" w:space="0" w:color="auto"/>
            </w:tcBorders>
            <w:vAlign w:val="center"/>
          </w:tcPr>
          <w:p w14:paraId="6E3E38D8" w14:textId="77777777" w:rsidR="00A93957" w:rsidRDefault="00A93957" w:rsidP="003D1176">
            <w:pPr>
              <w:keepNext/>
              <w:keepLines/>
              <w:jc w:val="center"/>
              <w:rPr>
                <w:rFonts w:eastAsiaTheme="minorEastAsia"/>
              </w:rPr>
            </w:pPr>
            <w:r>
              <w:rPr>
                <w:rFonts w:eastAsiaTheme="minorEastAsia"/>
              </w:rPr>
              <w:t>-</w:t>
            </w:r>
          </w:p>
        </w:tc>
        <w:tc>
          <w:tcPr>
            <w:tcW w:w="1253" w:type="pct"/>
            <w:tcBorders>
              <w:top w:val="single" w:sz="4" w:space="0" w:color="auto"/>
              <w:left w:val="single" w:sz="4" w:space="0" w:color="auto"/>
              <w:bottom w:val="single" w:sz="4" w:space="0" w:color="auto"/>
              <w:right w:val="single" w:sz="4" w:space="0" w:color="auto"/>
            </w:tcBorders>
            <w:vAlign w:val="center"/>
          </w:tcPr>
          <w:p w14:paraId="6417AEE0" w14:textId="77777777" w:rsidR="00A93957" w:rsidRDefault="00A93957" w:rsidP="003D1176">
            <w:pPr>
              <w:keepNext/>
              <w:keepLines/>
              <w:jc w:val="center"/>
              <w:rPr>
                <w:rFonts w:eastAsiaTheme="minorEastAsia"/>
              </w:rPr>
            </w:pPr>
            <w:r>
              <w:rPr>
                <w:rFonts w:eastAsiaTheme="minorEastAsia"/>
              </w:rPr>
              <w:t>-</w:t>
            </w:r>
          </w:p>
        </w:tc>
      </w:tr>
      <w:tr w:rsidR="00A93957" w14:paraId="7C7C725D" w14:textId="77777777" w:rsidTr="003F463B">
        <w:trPr>
          <w:cantSplit/>
          <w:jc w:val="center"/>
        </w:trPr>
        <w:tc>
          <w:tcPr>
            <w:tcW w:w="1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0BD12A" w14:textId="77777777" w:rsidR="00A93957" w:rsidRDefault="00A93957" w:rsidP="003D1176">
            <w:pPr>
              <w:keepNext/>
              <w:keepLines/>
              <w:rPr>
                <w:rFonts w:eastAsiaTheme="minorEastAsia"/>
              </w:rPr>
            </w:pPr>
            <w:r>
              <w:rPr>
                <w:rFonts w:eastAsiaTheme="minorEastAsia"/>
              </w:rPr>
              <w:t xml:space="preserve">15 degrees ≤ el &lt; 25 degrees </w:t>
            </w:r>
          </w:p>
        </w:tc>
        <w:tc>
          <w:tcPr>
            <w:tcW w:w="11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6401EB" w14:textId="77777777" w:rsidR="00A93957" w:rsidRPr="007E5005" w:rsidRDefault="00A93957" w:rsidP="003D1176">
            <w:pPr>
              <w:keepNext/>
              <w:keepLines/>
              <w:jc w:val="center"/>
              <w:rPr>
                <w:rFonts w:eastAsiaTheme="minorEastAsia"/>
              </w:rPr>
            </w:pPr>
            <w:r>
              <w:rPr>
                <w:rFonts w:eastAsiaTheme="minorEastAsia"/>
              </w:rPr>
              <w:t>49</w:t>
            </w:r>
          </w:p>
        </w:tc>
        <w:tc>
          <w:tcPr>
            <w:tcW w:w="12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AA36AF" w14:textId="77777777" w:rsidR="00A93957" w:rsidRDefault="00A93957" w:rsidP="003D1176">
            <w:pPr>
              <w:keepNext/>
              <w:keepLines/>
              <w:jc w:val="center"/>
              <w:rPr>
                <w:rFonts w:eastAsiaTheme="minorEastAsia"/>
              </w:rPr>
            </w:pPr>
            <w:r>
              <w:rPr>
                <w:rFonts w:eastAsiaTheme="minorEastAsia"/>
              </w:rPr>
              <w:t>46</w:t>
            </w:r>
          </w:p>
        </w:tc>
        <w:tc>
          <w:tcPr>
            <w:tcW w:w="12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00DF1F" w14:textId="77777777" w:rsidR="00A93957" w:rsidRDefault="00A93957" w:rsidP="003D1176">
            <w:pPr>
              <w:keepNext/>
              <w:keepLines/>
              <w:jc w:val="center"/>
              <w:rPr>
                <w:rFonts w:eastAsiaTheme="minorEastAsia"/>
              </w:rPr>
            </w:pPr>
            <w:r>
              <w:rPr>
                <w:rFonts w:eastAsiaTheme="minorEastAsia"/>
              </w:rPr>
              <w:t>34</w:t>
            </w:r>
          </w:p>
        </w:tc>
      </w:tr>
      <w:tr w:rsidR="00A93957" w14:paraId="2FF49CB9" w14:textId="77777777" w:rsidTr="003F463B">
        <w:trPr>
          <w:cantSplit/>
          <w:jc w:val="center"/>
        </w:trPr>
        <w:tc>
          <w:tcPr>
            <w:tcW w:w="1324" w:type="pct"/>
            <w:tcBorders>
              <w:top w:val="single" w:sz="4" w:space="0" w:color="auto"/>
              <w:left w:val="single" w:sz="4" w:space="0" w:color="auto"/>
              <w:bottom w:val="single" w:sz="4" w:space="0" w:color="auto"/>
              <w:right w:val="single" w:sz="4" w:space="0" w:color="auto"/>
            </w:tcBorders>
            <w:hideMark/>
          </w:tcPr>
          <w:p w14:paraId="4D3C4C46" w14:textId="77777777" w:rsidR="00A93957" w:rsidRDefault="00A93957" w:rsidP="003D1176">
            <w:pPr>
              <w:keepNext/>
              <w:keepLines/>
              <w:rPr>
                <w:rFonts w:eastAsiaTheme="minorEastAsia"/>
              </w:rPr>
            </w:pPr>
            <w:r>
              <w:rPr>
                <w:rFonts w:eastAsiaTheme="minorEastAsia"/>
              </w:rPr>
              <w:t xml:space="preserve">25 degrees ≤ el &lt; 55 degrees </w:t>
            </w:r>
          </w:p>
        </w:tc>
        <w:tc>
          <w:tcPr>
            <w:tcW w:w="1170" w:type="pct"/>
            <w:tcBorders>
              <w:top w:val="single" w:sz="4" w:space="0" w:color="auto"/>
              <w:left w:val="single" w:sz="4" w:space="0" w:color="auto"/>
              <w:bottom w:val="single" w:sz="4" w:space="0" w:color="auto"/>
              <w:right w:val="single" w:sz="4" w:space="0" w:color="auto"/>
            </w:tcBorders>
            <w:vAlign w:val="center"/>
            <w:hideMark/>
          </w:tcPr>
          <w:p w14:paraId="1D470840" w14:textId="77777777" w:rsidR="00A93957" w:rsidRPr="007E5005" w:rsidRDefault="00A93957" w:rsidP="003D1176">
            <w:pPr>
              <w:keepNext/>
              <w:keepLines/>
              <w:jc w:val="center"/>
              <w:rPr>
                <w:rFonts w:eastAsiaTheme="minorEastAsia"/>
              </w:rPr>
            </w:pPr>
            <m:oMathPara>
              <m:oMath>
                <m:r>
                  <m:rPr>
                    <m:sty m:val="p"/>
                  </m:rPr>
                  <w:rPr>
                    <w:rFonts w:ascii="Cambria Math" w:eastAsiaTheme="minorEastAsia" w:hAnsi="Cambria Math"/>
                  </w:rPr>
                  <m:t>=49-0.43</m:t>
                </m:r>
                <m:d>
                  <m:dPr>
                    <m:ctrlPr>
                      <w:rPr>
                        <w:rFonts w:ascii="Cambria Math" w:eastAsiaTheme="minorEastAsia" w:hAnsi="Cambria Math"/>
                      </w:rPr>
                    </m:ctrlPr>
                  </m:dPr>
                  <m:e>
                    <m:r>
                      <w:rPr>
                        <w:rFonts w:ascii="Cambria Math" w:eastAsiaTheme="minorEastAsia" w:hAnsi="Cambria Math"/>
                      </w:rPr>
                      <m:t>el</m:t>
                    </m:r>
                    <m:r>
                      <m:rPr>
                        <m:sty m:val="p"/>
                      </m:rPr>
                      <w:rPr>
                        <w:rFonts w:ascii="Cambria Math" w:eastAsiaTheme="minorEastAsia" w:hAnsi="Cambria Math"/>
                      </w:rPr>
                      <m:t>-25</m:t>
                    </m:r>
                  </m:e>
                </m:d>
              </m:oMath>
            </m:oMathPara>
          </w:p>
        </w:tc>
        <w:tc>
          <w:tcPr>
            <w:tcW w:w="1253" w:type="pct"/>
            <w:tcBorders>
              <w:top w:val="single" w:sz="4" w:space="0" w:color="auto"/>
              <w:left w:val="single" w:sz="4" w:space="0" w:color="auto"/>
              <w:bottom w:val="single" w:sz="4" w:space="0" w:color="auto"/>
              <w:right w:val="single" w:sz="4" w:space="0" w:color="auto"/>
            </w:tcBorders>
            <w:vAlign w:val="center"/>
          </w:tcPr>
          <w:p w14:paraId="49144B87" w14:textId="77777777" w:rsidR="00A93957" w:rsidRDefault="00A93957" w:rsidP="003D1176">
            <w:pPr>
              <w:keepNext/>
              <w:keepLines/>
              <w:jc w:val="center"/>
            </w:pPr>
            <m:oMathPara>
              <m:oMath>
                <m:r>
                  <m:rPr>
                    <m:sty m:val="p"/>
                  </m:rPr>
                  <w:rPr>
                    <w:rFonts w:ascii="Cambria Math" w:eastAsiaTheme="minorEastAsia" w:hAnsi="Cambria Math"/>
                  </w:rPr>
                  <m:t>=46-0.43</m:t>
                </m:r>
                <m:d>
                  <m:dPr>
                    <m:ctrlPr>
                      <w:rPr>
                        <w:rFonts w:ascii="Cambria Math" w:eastAsiaTheme="minorEastAsia" w:hAnsi="Cambria Math"/>
                      </w:rPr>
                    </m:ctrlPr>
                  </m:dPr>
                  <m:e>
                    <m:r>
                      <w:rPr>
                        <w:rFonts w:ascii="Cambria Math" w:eastAsiaTheme="minorEastAsia" w:hAnsi="Cambria Math"/>
                      </w:rPr>
                      <m:t>el</m:t>
                    </m:r>
                    <m:r>
                      <m:rPr>
                        <m:sty m:val="p"/>
                      </m:rPr>
                      <w:rPr>
                        <w:rFonts w:ascii="Cambria Math" w:eastAsiaTheme="minorEastAsia" w:hAnsi="Cambria Math"/>
                      </w:rPr>
                      <m:t>-25</m:t>
                    </m:r>
                  </m:e>
                </m:d>
              </m:oMath>
            </m:oMathPara>
          </w:p>
        </w:tc>
        <w:tc>
          <w:tcPr>
            <w:tcW w:w="1253" w:type="pct"/>
            <w:tcBorders>
              <w:top w:val="single" w:sz="4" w:space="0" w:color="auto"/>
              <w:left w:val="single" w:sz="4" w:space="0" w:color="auto"/>
              <w:bottom w:val="single" w:sz="4" w:space="0" w:color="auto"/>
              <w:right w:val="single" w:sz="4" w:space="0" w:color="auto"/>
            </w:tcBorders>
            <w:vAlign w:val="center"/>
          </w:tcPr>
          <w:p w14:paraId="2AA25070" w14:textId="77777777" w:rsidR="00A93957" w:rsidRDefault="00A93957" w:rsidP="003D1176">
            <w:pPr>
              <w:keepNext/>
              <w:keepLines/>
              <w:jc w:val="center"/>
              <w:rPr>
                <w:rFonts w:eastAsiaTheme="minorEastAsia"/>
              </w:rPr>
            </w:pPr>
            <m:oMathPara>
              <m:oMath>
                <m:r>
                  <w:rPr>
                    <w:rFonts w:ascii="Cambria Math" w:eastAsiaTheme="minorEastAsia" w:hAnsi="Cambria Math"/>
                  </w:rPr>
                  <m:t>=34-0.43</m:t>
                </m:r>
                <m:d>
                  <m:dPr>
                    <m:ctrlPr>
                      <w:rPr>
                        <w:rFonts w:ascii="Cambria Math" w:eastAsiaTheme="minorEastAsia" w:hAnsi="Cambria Math"/>
                        <w:i/>
                        <w:sz w:val="24"/>
                      </w:rPr>
                    </m:ctrlPr>
                  </m:dPr>
                  <m:e>
                    <m:r>
                      <w:rPr>
                        <w:rFonts w:ascii="Cambria Math" w:eastAsiaTheme="minorEastAsia" w:hAnsi="Cambria Math"/>
                      </w:rPr>
                      <m:t>el-25</m:t>
                    </m:r>
                  </m:e>
                </m:d>
              </m:oMath>
            </m:oMathPara>
          </w:p>
        </w:tc>
      </w:tr>
      <w:tr w:rsidR="00A93957" w14:paraId="48845236" w14:textId="77777777" w:rsidTr="003F463B">
        <w:trPr>
          <w:cantSplit/>
          <w:jc w:val="center"/>
        </w:trPr>
        <w:tc>
          <w:tcPr>
            <w:tcW w:w="1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2D3C59" w14:textId="77777777" w:rsidR="00A93957" w:rsidRDefault="00A93957" w:rsidP="003D1176">
            <w:pPr>
              <w:keepNext/>
              <w:keepLines/>
              <w:rPr>
                <w:rFonts w:eastAsiaTheme="minorEastAsia"/>
              </w:rPr>
            </w:pPr>
            <w:r>
              <w:rPr>
                <w:rFonts w:eastAsiaTheme="minorEastAsia"/>
              </w:rPr>
              <w:t>55 degrees ≤ el ≤ 90 degrees</w:t>
            </w:r>
          </w:p>
        </w:tc>
        <w:tc>
          <w:tcPr>
            <w:tcW w:w="11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7105B0" w14:textId="77777777" w:rsidR="00A93957" w:rsidRPr="007E5005" w:rsidRDefault="00A93957" w:rsidP="003D1176">
            <w:pPr>
              <w:keepNext/>
              <w:keepLines/>
              <w:jc w:val="center"/>
              <w:rPr>
                <w:rFonts w:eastAsiaTheme="minorEastAsia"/>
              </w:rPr>
            </w:pPr>
            <w:r>
              <w:rPr>
                <w:rFonts w:eastAsiaTheme="minorEastAsia"/>
              </w:rPr>
              <w:t>36.1</w:t>
            </w:r>
          </w:p>
        </w:tc>
        <w:tc>
          <w:tcPr>
            <w:tcW w:w="12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F4053C" w14:textId="77777777" w:rsidR="00A93957" w:rsidRDefault="00A93957" w:rsidP="003D1176">
            <w:pPr>
              <w:keepNext/>
              <w:keepLines/>
              <w:jc w:val="center"/>
              <w:rPr>
                <w:rFonts w:eastAsiaTheme="minorEastAsia"/>
              </w:rPr>
            </w:pPr>
            <w:r>
              <w:rPr>
                <w:rFonts w:eastAsiaTheme="minorEastAsia"/>
              </w:rPr>
              <w:t>33.1</w:t>
            </w:r>
          </w:p>
        </w:tc>
        <w:tc>
          <w:tcPr>
            <w:tcW w:w="12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798F88" w14:textId="77777777" w:rsidR="00A93957" w:rsidRDefault="00A93957" w:rsidP="003D1176">
            <w:pPr>
              <w:keepNext/>
              <w:keepLines/>
              <w:jc w:val="center"/>
              <w:rPr>
                <w:rFonts w:eastAsiaTheme="minorEastAsia"/>
              </w:rPr>
            </w:pPr>
            <w:r>
              <w:rPr>
                <w:rFonts w:eastAsiaTheme="minorEastAsia"/>
              </w:rPr>
              <w:t>21.1</w:t>
            </w:r>
          </w:p>
        </w:tc>
      </w:tr>
    </w:tbl>
    <w:p w14:paraId="1752BA8F" w14:textId="77777777" w:rsidR="00A93957" w:rsidRDefault="00A93957" w:rsidP="00A93957"/>
    <w:p w14:paraId="5BCBCABA" w14:textId="77777777" w:rsidR="00A93957" w:rsidRDefault="00A93957" w:rsidP="000D3683">
      <w:pPr>
        <w:pStyle w:val="Paragraph"/>
      </w:pPr>
      <w:r>
        <w:rPr>
          <w:rFonts w:eastAsia="Arial"/>
        </w:rPr>
        <w:t xml:space="preserve">Subject to consultation outcomes, changes to the proposed values for the baseline and/or upper TRP limits or the specific approach to the implementation of the additional conditions (such as the values of the antenna pointing conditions and/or the EIRP mask) could also be considered. </w:t>
      </w:r>
    </w:p>
    <w:p w14:paraId="342D260D" w14:textId="77777777" w:rsidR="00A93957" w:rsidRDefault="00A93957" w:rsidP="000D3683">
      <w:pPr>
        <w:pStyle w:val="Paragraphbeforelist"/>
      </w:pPr>
      <w:r>
        <w:rPr>
          <w:rFonts w:eastAsia="Arial"/>
        </w:rPr>
        <w:t>Alternative measures to the specific proposals outlined above could also be considered. These might include the following approaches:</w:t>
      </w:r>
    </w:p>
    <w:p w14:paraId="43198A74" w14:textId="77777777" w:rsidR="00A93957" w:rsidRPr="00C22A6D" w:rsidRDefault="00A93957">
      <w:pPr>
        <w:pStyle w:val="ListBullet"/>
        <w:rPr>
          <w:rFonts w:eastAsia="Arial"/>
        </w:rPr>
      </w:pPr>
      <w:r>
        <w:rPr>
          <w:rFonts w:eastAsia="Arial"/>
        </w:rPr>
        <w:t>restricting emissions towards the geostationary orbit or specific satellite orbital location</w:t>
      </w:r>
      <w:r w:rsidRPr="00EE79EA">
        <w:rPr>
          <w:rFonts w:eastAsia="Arial"/>
        </w:rPr>
        <w:t>s in the geostationary arc</w:t>
      </w:r>
    </w:p>
    <w:p w14:paraId="45E153CA" w14:textId="77777777" w:rsidR="00A93957" w:rsidRPr="00C22A6D" w:rsidRDefault="00A93957">
      <w:pPr>
        <w:pStyle w:val="ListBullet"/>
        <w:rPr>
          <w:rFonts w:eastAsia="Arial"/>
        </w:rPr>
      </w:pPr>
      <w:r w:rsidRPr="00C22A6D">
        <w:rPr>
          <w:rFonts w:eastAsia="Arial"/>
        </w:rPr>
        <w:t>base station deployment density limitations</w:t>
      </w:r>
    </w:p>
    <w:p w14:paraId="70584971" w14:textId="77777777" w:rsidR="00A93957" w:rsidRPr="00C22A6D" w:rsidRDefault="00A93957">
      <w:pPr>
        <w:pStyle w:val="ListBullet"/>
        <w:rPr>
          <w:rFonts w:eastAsia="Arial"/>
        </w:rPr>
      </w:pPr>
      <w:r w:rsidRPr="00C22A6D">
        <w:rPr>
          <w:rFonts w:eastAsia="Arial"/>
        </w:rPr>
        <w:t>maximum base station antenna heights</w:t>
      </w:r>
    </w:p>
    <w:p w14:paraId="060664D2" w14:textId="2E700B08" w:rsidR="00A93957" w:rsidRPr="00C22A6D" w:rsidRDefault="00A93957">
      <w:pPr>
        <w:pStyle w:val="ListBullet"/>
        <w:rPr>
          <w:rFonts w:eastAsia="Arial"/>
        </w:rPr>
      </w:pPr>
      <w:r w:rsidRPr="00C22A6D">
        <w:rPr>
          <w:rFonts w:eastAsia="Arial"/>
        </w:rPr>
        <w:t xml:space="preserve">minimum antenna performance requirements </w:t>
      </w:r>
    </w:p>
    <w:p w14:paraId="3E568E00" w14:textId="77777777" w:rsidR="00A93957" w:rsidRDefault="00A93957" w:rsidP="00DF56ED">
      <w:pPr>
        <w:pStyle w:val="ListBulletLast"/>
        <w:rPr>
          <w:rFonts w:eastAsia="Arial"/>
        </w:rPr>
      </w:pPr>
      <w:r>
        <w:rPr>
          <w:rFonts w:eastAsia="Arial"/>
        </w:rPr>
        <w:t>combinations of these (and potentially other) approaches.</w:t>
      </w:r>
    </w:p>
    <w:p w14:paraId="19927B4E" w14:textId="1B63FA97" w:rsidR="00A93957" w:rsidRDefault="00A93957">
      <w:pPr>
        <w:pStyle w:val="Paragraph"/>
        <w:rPr>
          <w:rFonts w:eastAsia="Arial"/>
        </w:rPr>
      </w:pPr>
      <w:r w:rsidRPr="005B30A4">
        <w:rPr>
          <w:rFonts w:eastAsia="Arial"/>
        </w:rPr>
        <w:t xml:space="preserve">Each of these possible additional conditions will </w:t>
      </w:r>
      <w:r>
        <w:rPr>
          <w:rFonts w:eastAsia="Arial"/>
        </w:rPr>
        <w:t>raise a different balance of risks and benefits.</w:t>
      </w:r>
      <w:r w:rsidRPr="005B30A4">
        <w:rPr>
          <w:rFonts w:eastAsia="Arial"/>
        </w:rPr>
        <w:t xml:space="preserve"> For example, restricting emissions only towards specific orbital slots would potentially adversely affect other parts of the geostationary arc and might preclude an Australian (or other) operator, e.g. </w:t>
      </w:r>
      <w:r w:rsidR="003D1E3A">
        <w:rPr>
          <w:rFonts w:eastAsia="Arial"/>
        </w:rPr>
        <w:t>NBN</w:t>
      </w:r>
      <w:r w:rsidRPr="005B30A4">
        <w:rPr>
          <w:rFonts w:eastAsia="Arial"/>
        </w:rPr>
        <w:t>, from deploying additional satellite services in the band in the future.</w:t>
      </w:r>
    </w:p>
    <w:p w14:paraId="7061D5AE" w14:textId="1B0500E1" w:rsidR="00A93957" w:rsidRDefault="00A93957" w:rsidP="005C1CF6">
      <w:pPr>
        <w:pStyle w:val="Paragraph"/>
      </w:pPr>
      <w:r>
        <w:rPr>
          <w:rFonts w:eastAsia="Arial"/>
        </w:rPr>
        <w:t xml:space="preserve">The ACMA’s current view is that the proposed arrangements shown in Table </w:t>
      </w:r>
      <w:r w:rsidR="0030073C">
        <w:rPr>
          <w:rFonts w:eastAsia="Arial"/>
        </w:rPr>
        <w:t>3</w:t>
      </w:r>
      <w:r>
        <w:rPr>
          <w:rFonts w:eastAsia="Arial"/>
        </w:rPr>
        <w:t xml:space="preserve"> represent a balanced approach where other services are protected without unnecessary restriction on AWL licensees. However, we are interested to hear views on this issue.</w:t>
      </w:r>
      <w:r w:rsidRPr="00621323">
        <w:rPr>
          <w:rFonts w:eastAsia="Arial"/>
        </w:rPr>
        <w:t xml:space="preserve"> </w:t>
      </w:r>
      <w:r w:rsidRPr="00327FB2">
        <w:rPr>
          <w:rFonts w:eastAsia="Arial"/>
        </w:rPr>
        <w:t xml:space="preserve">If the ACMA receives submissions that suggest an alternative arrangement that provides a better balance, the ACMA may decide to implement that arrangement without further consultation. However, the ACMA will carefully consider the implications for </w:t>
      </w:r>
      <w:r>
        <w:rPr>
          <w:rFonts w:eastAsia="Arial"/>
        </w:rPr>
        <w:t xml:space="preserve">incumbent and prospective licensees </w:t>
      </w:r>
      <w:r w:rsidRPr="00327FB2">
        <w:rPr>
          <w:rFonts w:eastAsia="Arial"/>
        </w:rPr>
        <w:t>before taking any such step.</w:t>
      </w:r>
    </w:p>
    <w:p w14:paraId="744F5FBB" w14:textId="163139D2" w:rsidR="00A93957" w:rsidRDefault="000B050F" w:rsidP="00305C2F">
      <w:pPr>
        <w:pStyle w:val="Heading3"/>
        <w:rPr>
          <w:rFonts w:eastAsia="Arial"/>
        </w:rPr>
      </w:pPr>
      <w:bookmarkStart w:id="41" w:name="_Device_registration_and"/>
      <w:bookmarkStart w:id="42" w:name="_Ref45711149"/>
      <w:bookmarkStart w:id="43" w:name="_Toc45799374"/>
      <w:bookmarkEnd w:id="41"/>
      <w:r>
        <w:rPr>
          <w:rFonts w:eastAsia="Arial"/>
        </w:rPr>
        <w:lastRenderedPageBreak/>
        <w:t>D</w:t>
      </w:r>
      <w:r w:rsidR="00A93957">
        <w:rPr>
          <w:rFonts w:eastAsia="Arial"/>
        </w:rPr>
        <w:t xml:space="preserve">evice </w:t>
      </w:r>
      <w:r w:rsidR="00A93957" w:rsidRPr="00305C2F">
        <w:rPr>
          <w:rFonts w:eastAsia="Arial"/>
        </w:rPr>
        <w:t>registration</w:t>
      </w:r>
      <w:r w:rsidR="00A93957">
        <w:rPr>
          <w:rFonts w:eastAsia="Arial"/>
        </w:rPr>
        <w:t xml:space="preserve"> </w:t>
      </w:r>
      <w:r w:rsidR="00951645">
        <w:rPr>
          <w:rFonts w:eastAsia="Arial"/>
        </w:rPr>
        <w:t xml:space="preserve">and licensing </w:t>
      </w:r>
      <w:r w:rsidR="00A93957">
        <w:rPr>
          <w:rFonts w:eastAsia="Arial"/>
        </w:rPr>
        <w:t xml:space="preserve">instructions </w:t>
      </w:r>
      <w:bookmarkEnd w:id="42"/>
      <w:bookmarkEnd w:id="43"/>
    </w:p>
    <w:p w14:paraId="24187BF3" w14:textId="2CC16659" w:rsidR="00A93957" w:rsidRDefault="00A93957" w:rsidP="00AC1864">
      <w:pPr>
        <w:pStyle w:val="Paragraphbeforelist"/>
      </w:pPr>
      <w:r>
        <w:rPr>
          <w:rFonts w:eastAsia="Arial"/>
        </w:rPr>
        <w:t>The RALI</w:t>
      </w:r>
      <w:r w:rsidR="009A2F94">
        <w:rPr>
          <w:rFonts w:eastAsia="Arial"/>
        </w:rPr>
        <w:t xml:space="preserve"> </w:t>
      </w:r>
      <w:r>
        <w:rPr>
          <w:rFonts w:eastAsia="Arial"/>
        </w:rPr>
        <w:t xml:space="preserve">[new] is provided in </w:t>
      </w:r>
      <w:r w:rsidRPr="0061374B">
        <w:rPr>
          <w:rFonts w:eastAsia="Arial"/>
          <w:b/>
          <w:bCs/>
        </w:rPr>
        <w:t xml:space="preserve">Attachment </w:t>
      </w:r>
      <w:r w:rsidR="00226622" w:rsidRPr="0061374B">
        <w:rPr>
          <w:rFonts w:eastAsia="Arial"/>
          <w:b/>
          <w:bCs/>
        </w:rPr>
        <w:t>C</w:t>
      </w:r>
      <w:r>
        <w:rPr>
          <w:rFonts w:eastAsia="Arial"/>
        </w:rPr>
        <w:t xml:space="preserve">. Some of the key aspects are: </w:t>
      </w:r>
    </w:p>
    <w:p w14:paraId="4AEC776E" w14:textId="7FF47953" w:rsidR="00F53B39" w:rsidRDefault="003D3B2B">
      <w:pPr>
        <w:pStyle w:val="ListBullet"/>
        <w:rPr>
          <w:rFonts w:eastAsia="Arial"/>
        </w:rPr>
      </w:pPr>
      <w:r>
        <w:rPr>
          <w:rFonts w:eastAsia="Arial"/>
        </w:rPr>
        <w:t>B</w:t>
      </w:r>
      <w:r w:rsidR="00C85B15">
        <w:rPr>
          <w:rFonts w:eastAsia="Arial"/>
        </w:rPr>
        <w:t xml:space="preserve">efore the details of a </w:t>
      </w:r>
      <w:r w:rsidR="0097406E">
        <w:rPr>
          <w:rFonts w:eastAsia="Arial"/>
        </w:rPr>
        <w:t>radiocommunications</w:t>
      </w:r>
      <w:r w:rsidR="00C85B15">
        <w:rPr>
          <w:rFonts w:eastAsia="Arial"/>
        </w:rPr>
        <w:t xml:space="preserve"> transmitter can be included in the RRL </w:t>
      </w:r>
      <w:r w:rsidR="00027CD0">
        <w:rPr>
          <w:rFonts w:eastAsia="Arial"/>
        </w:rPr>
        <w:t xml:space="preserve">it must comply with the </w:t>
      </w:r>
      <w:r w:rsidR="0097406E">
        <w:rPr>
          <w:rFonts w:eastAsia="Arial"/>
        </w:rPr>
        <w:t>coordination</w:t>
      </w:r>
      <w:r w:rsidR="00027CD0">
        <w:rPr>
          <w:rFonts w:eastAsia="Arial"/>
        </w:rPr>
        <w:t xml:space="preserve"> provisions detailed in RALI</w:t>
      </w:r>
      <w:r w:rsidR="009A2F94">
        <w:rPr>
          <w:rFonts w:eastAsia="Arial"/>
        </w:rPr>
        <w:t xml:space="preserve"> </w:t>
      </w:r>
      <w:r w:rsidR="00027CD0">
        <w:rPr>
          <w:rFonts w:eastAsia="Arial"/>
        </w:rPr>
        <w:t>[new]</w:t>
      </w:r>
      <w:r w:rsidR="00181D81">
        <w:rPr>
          <w:rFonts w:eastAsia="Arial"/>
        </w:rPr>
        <w:t xml:space="preserve"> (</w:t>
      </w:r>
      <w:r w:rsidR="003C3B14">
        <w:rPr>
          <w:rFonts w:eastAsia="Arial"/>
        </w:rPr>
        <w:t>this includes provisions contained in other relevant RALIs</w:t>
      </w:r>
      <w:r w:rsidR="0097406E">
        <w:rPr>
          <w:rFonts w:eastAsia="Arial"/>
        </w:rPr>
        <w:t xml:space="preserve"> and BoPs)</w:t>
      </w:r>
      <w:r>
        <w:rPr>
          <w:rFonts w:eastAsia="Arial"/>
        </w:rPr>
        <w:t>.</w:t>
      </w:r>
    </w:p>
    <w:p w14:paraId="5A57EC39" w14:textId="0D920FE1" w:rsidR="00A93957" w:rsidRDefault="003D3B2B">
      <w:pPr>
        <w:pStyle w:val="ListBullet"/>
        <w:rPr>
          <w:rFonts w:eastAsia="Arial"/>
        </w:rPr>
      </w:pPr>
      <w:r>
        <w:rPr>
          <w:rFonts w:eastAsia="Arial"/>
        </w:rPr>
        <w:t>I</w:t>
      </w:r>
      <w:r w:rsidR="00A93957">
        <w:rPr>
          <w:rFonts w:eastAsia="Arial"/>
        </w:rPr>
        <w:t>nterference across the area boundary between adjacent AWLs is managed through setting the following power flux density (pfd) limits which are to apply at the geographic boundary of an AWL:</w:t>
      </w:r>
    </w:p>
    <w:p w14:paraId="7A0E2377" w14:textId="687C103E" w:rsidR="00A93957" w:rsidRDefault="00A93957" w:rsidP="00305C2F">
      <w:pPr>
        <w:pStyle w:val="ListBullet2"/>
        <w:rPr>
          <w:rFonts w:eastAsia="Arial"/>
        </w:rPr>
      </w:pPr>
      <w:r>
        <w:rPr>
          <w:rFonts w:eastAsia="Arial"/>
        </w:rPr>
        <w:t>-83 dBW/m</w:t>
      </w:r>
      <w:r>
        <w:rPr>
          <w:rFonts w:eastAsia="Arial"/>
          <w:vertAlign w:val="superscript"/>
        </w:rPr>
        <w:t>2</w:t>
      </w:r>
      <w:r w:rsidR="001F3551">
        <w:rPr>
          <w:rFonts w:eastAsia="Arial"/>
        </w:rPr>
        <w:t>/MHz</w:t>
      </w:r>
      <w:r>
        <w:rPr>
          <w:rFonts w:eastAsia="Arial"/>
        </w:rPr>
        <w:t xml:space="preserve"> for transmitters which incorporate an active antenna system (AAS)</w:t>
      </w:r>
    </w:p>
    <w:p w14:paraId="0B73877E" w14:textId="47683604" w:rsidR="00A93957" w:rsidRDefault="00A93957">
      <w:pPr>
        <w:pStyle w:val="ListBullet2"/>
        <w:rPr>
          <w:rFonts w:eastAsia="Arial"/>
        </w:rPr>
      </w:pPr>
      <w:r>
        <w:rPr>
          <w:rFonts w:eastAsia="Arial"/>
        </w:rPr>
        <w:t>-91 dBW/m</w:t>
      </w:r>
      <w:r>
        <w:rPr>
          <w:rFonts w:eastAsia="Arial"/>
          <w:vertAlign w:val="superscript"/>
        </w:rPr>
        <w:t>2</w:t>
      </w:r>
      <w:r w:rsidR="003901BB">
        <w:rPr>
          <w:rFonts w:eastAsia="Arial"/>
        </w:rPr>
        <w:t>/MHz</w:t>
      </w:r>
      <w:r>
        <w:rPr>
          <w:rFonts w:eastAsia="Arial"/>
        </w:rPr>
        <w:t xml:space="preserve"> for </w:t>
      </w:r>
      <w:r w:rsidRPr="00305C2F">
        <w:rPr>
          <w:rFonts w:eastAsia="Arial"/>
        </w:rPr>
        <w:t>transmitters</w:t>
      </w:r>
      <w:r>
        <w:rPr>
          <w:rFonts w:eastAsia="Arial"/>
        </w:rPr>
        <w:t xml:space="preserve"> without AAS.</w:t>
      </w:r>
    </w:p>
    <w:p w14:paraId="6A21989B" w14:textId="3777EFE6" w:rsidR="00A93957" w:rsidRDefault="003D3B2B" w:rsidP="003F463B">
      <w:pPr>
        <w:pStyle w:val="ListBullet"/>
        <w:rPr>
          <w:rFonts w:eastAsia="Arial"/>
        </w:rPr>
      </w:pPr>
      <w:r>
        <w:rPr>
          <w:rFonts w:eastAsia="Arial"/>
        </w:rPr>
        <w:t>T</w:t>
      </w:r>
      <w:r w:rsidR="00A93957">
        <w:rPr>
          <w:rFonts w:eastAsia="Arial"/>
        </w:rPr>
        <w:t>he above pfd limits do not apply at the boundary of:</w:t>
      </w:r>
    </w:p>
    <w:p w14:paraId="25E8561D" w14:textId="0F3B1722" w:rsidR="00A93957" w:rsidRDefault="003D3B2B" w:rsidP="00AC1864">
      <w:pPr>
        <w:pStyle w:val="ListBullet2"/>
        <w:rPr>
          <w:rFonts w:eastAsia="Arial"/>
        </w:rPr>
      </w:pPr>
      <w:r>
        <w:rPr>
          <w:rFonts w:eastAsia="Arial"/>
        </w:rPr>
        <w:t>A</w:t>
      </w:r>
      <w:r w:rsidR="00A93957">
        <w:rPr>
          <w:rFonts w:eastAsia="Arial"/>
        </w:rPr>
        <w:t xml:space="preserve"> spectrum licensed area, as AWL transmitter</w:t>
      </w:r>
      <w:r w:rsidR="008E58DB">
        <w:rPr>
          <w:rFonts w:eastAsia="Arial"/>
        </w:rPr>
        <w:t>s</w:t>
      </w:r>
      <w:r w:rsidR="00A93957">
        <w:rPr>
          <w:rFonts w:eastAsia="Arial"/>
        </w:rPr>
        <w:t xml:space="preserve"> need to comply with the </w:t>
      </w:r>
      <w:r w:rsidR="662957C9" w:rsidRPr="230960DD">
        <w:rPr>
          <w:rFonts w:eastAsia="Arial"/>
        </w:rPr>
        <w:t>spectrum licence device boundary criteria (</w:t>
      </w:r>
      <w:r w:rsidR="00A93957">
        <w:rPr>
          <w:rFonts w:eastAsia="Arial"/>
        </w:rPr>
        <w:t>DBC</w:t>
      </w:r>
      <w:r w:rsidR="7088F3C5" w:rsidRPr="230960DD">
        <w:rPr>
          <w:rFonts w:eastAsia="Arial"/>
        </w:rPr>
        <w:t>)</w:t>
      </w:r>
      <w:r w:rsidR="00A93957">
        <w:rPr>
          <w:rFonts w:eastAsia="Arial"/>
        </w:rPr>
        <w:t xml:space="preserve"> at this boundary.</w:t>
      </w:r>
      <w:r w:rsidR="0042548E">
        <w:rPr>
          <w:rStyle w:val="FootnoteReference"/>
          <w:rFonts w:eastAsia="Arial"/>
        </w:rPr>
        <w:footnoteReference w:id="28"/>
      </w:r>
    </w:p>
    <w:p w14:paraId="5D3C6E46" w14:textId="12801CD5" w:rsidR="00A93957" w:rsidRDefault="003D3B2B" w:rsidP="00AC1864">
      <w:pPr>
        <w:pStyle w:val="ListBullet2"/>
      </w:pPr>
      <w:r>
        <w:t>T</w:t>
      </w:r>
      <w:r w:rsidR="00A93957">
        <w:t>he HCIS</w:t>
      </w:r>
      <w:r w:rsidR="00A93957">
        <w:rPr>
          <w:rStyle w:val="FootnoteReference"/>
        </w:rPr>
        <w:footnoteReference w:id="29"/>
      </w:r>
      <w:r w:rsidR="00A93957">
        <w:t xml:space="preserve"> cells MW4H6 and BV2A3 which contains the Canberra Deep Space Communications Complex and</w:t>
      </w:r>
      <w:r w:rsidR="00A93957" w:rsidRPr="005A5678">
        <w:t xml:space="preserve"> New Norcia Deep Space Ground </w:t>
      </w:r>
      <w:r w:rsidR="00A617AF" w:rsidRPr="005A5678">
        <w:t>Station,</w:t>
      </w:r>
      <w:r w:rsidR="00A93957" w:rsidRPr="005A5678">
        <w:t xml:space="preserve"> </w:t>
      </w:r>
      <w:r w:rsidR="00A93957">
        <w:t>respectively</w:t>
      </w:r>
      <w:r w:rsidR="00A93957" w:rsidRPr="00B96C9A">
        <w:t xml:space="preserve">. </w:t>
      </w:r>
      <w:r w:rsidR="00A93957">
        <w:t>A r</w:t>
      </w:r>
      <w:r w:rsidR="00A93957" w:rsidRPr="00B96C9A">
        <w:t>equirement to protect</w:t>
      </w:r>
      <w:r w:rsidR="00A93957">
        <w:t xml:space="preserve"> these</w:t>
      </w:r>
      <w:r w:rsidR="00A93957" w:rsidRPr="00B96C9A">
        <w:t xml:space="preserve"> </w:t>
      </w:r>
      <w:r w:rsidR="00A93957" w:rsidRPr="00450F0E">
        <w:t xml:space="preserve">earth </w:t>
      </w:r>
      <w:r w:rsidR="00A93957">
        <w:t xml:space="preserve">receive </w:t>
      </w:r>
      <w:r w:rsidR="00A93957" w:rsidRPr="00450F0E">
        <w:t>station</w:t>
      </w:r>
      <w:r w:rsidR="00A93957">
        <w:t>s will be managed through a pre-registration requirement the RALI</w:t>
      </w:r>
      <w:r w:rsidR="009A2F94">
        <w:t xml:space="preserve"> </w:t>
      </w:r>
      <w:r w:rsidR="00A93957">
        <w:t>[new]</w:t>
      </w:r>
      <w:r w:rsidR="00A617AF">
        <w:t>—</w:t>
      </w:r>
      <w:r w:rsidR="00A93957">
        <w:t xml:space="preserve">see </w:t>
      </w:r>
      <w:r w:rsidR="00A93957" w:rsidRPr="0061374B">
        <w:rPr>
          <w:b/>
          <w:bCs/>
        </w:rPr>
        <w:t xml:space="preserve">Attachment </w:t>
      </w:r>
      <w:r w:rsidR="00226622" w:rsidRPr="0061374B">
        <w:rPr>
          <w:b/>
          <w:bCs/>
        </w:rPr>
        <w:t>C</w:t>
      </w:r>
      <w:r w:rsidR="00A93957">
        <w:t>.</w:t>
      </w:r>
    </w:p>
    <w:p w14:paraId="725F682A" w14:textId="38C89012" w:rsidR="00A93957" w:rsidRPr="008B0E49" w:rsidRDefault="003D3B2B" w:rsidP="00AC1864">
      <w:pPr>
        <w:pStyle w:val="ListBullet2"/>
      </w:pPr>
      <w:r>
        <w:t>T</w:t>
      </w:r>
      <w:r w:rsidR="00A93957">
        <w:t>he licensed area for</w:t>
      </w:r>
      <w:r w:rsidR="00A93957" w:rsidRPr="008B0E49">
        <w:t xml:space="preserve"> earth stations located in sole-primary frequencies and areas, except at a boundary of a defined area for emissions in the range 27.5</w:t>
      </w:r>
      <w:r w:rsidR="001704FC">
        <w:t>–</w:t>
      </w:r>
      <w:r w:rsidR="00A93957" w:rsidRPr="008B0E49">
        <w:t>28.1 GHz</w:t>
      </w:r>
      <w:r>
        <w:t>.</w:t>
      </w:r>
    </w:p>
    <w:p w14:paraId="512C134F" w14:textId="6BF857F8" w:rsidR="00A93957" w:rsidRDefault="003D3B2B" w:rsidP="00A93957">
      <w:pPr>
        <w:pStyle w:val="ListBullet"/>
      </w:pPr>
      <w:r>
        <w:t>A</w:t>
      </w:r>
      <w:r w:rsidR="00A93957">
        <w:t xml:space="preserve">n earth station must not be included in the Register unless the regulatory assessment detailed in the document </w:t>
      </w:r>
      <w:hyperlink r:id="rId40" w:history="1">
        <w:r w:rsidR="00A93957" w:rsidRPr="004B7D1B">
          <w:rPr>
            <w:rStyle w:val="Hyperlink"/>
            <w:i/>
            <w:iCs/>
          </w:rPr>
          <w:t>Submission and processing of applications for earth and earth receiver apparatus licences from fixed earth stations</w:t>
        </w:r>
      </w:hyperlink>
      <w:r w:rsidR="00A93957" w:rsidRPr="009B0932">
        <w:t xml:space="preserve"> </w:t>
      </w:r>
      <w:r w:rsidR="009F5AC7">
        <w:t xml:space="preserve">has </w:t>
      </w:r>
      <w:r w:rsidR="00A93957" w:rsidRPr="009B0932">
        <w:t>been</w:t>
      </w:r>
      <w:r w:rsidR="004C7C5A">
        <w:t> </w:t>
      </w:r>
      <w:r w:rsidR="00A93957" w:rsidRPr="009B0932">
        <w:t>met</w:t>
      </w:r>
      <w:r w:rsidR="00A93957">
        <w:t>.</w:t>
      </w:r>
      <w:r w:rsidR="00A93957">
        <w:rPr>
          <w:rStyle w:val="FootnoteReference"/>
        </w:rPr>
        <w:footnoteReference w:id="30"/>
      </w:r>
    </w:p>
    <w:p w14:paraId="22EDA7E0" w14:textId="3153A8AD" w:rsidR="00A93957" w:rsidRDefault="003D3B2B" w:rsidP="00A93957">
      <w:pPr>
        <w:pStyle w:val="ListBullet"/>
        <w:rPr>
          <w:rFonts w:eastAsia="Arial"/>
        </w:rPr>
      </w:pPr>
      <w:r>
        <w:rPr>
          <w:rFonts w:eastAsia="Arial"/>
        </w:rPr>
        <w:t>C</w:t>
      </w:r>
      <w:r w:rsidR="00A93957">
        <w:rPr>
          <w:rFonts w:eastAsia="Arial"/>
        </w:rPr>
        <w:t>oexistence with adjacent AWL and 26 GHz band spectrum licensed services:</w:t>
      </w:r>
    </w:p>
    <w:p w14:paraId="124DFE9D" w14:textId="717AB7C2" w:rsidR="00A93957" w:rsidRDefault="003D3B2B" w:rsidP="00AC1864">
      <w:pPr>
        <w:pStyle w:val="ListBullet2"/>
        <w:rPr>
          <w:rFonts w:eastAsia="Arial"/>
        </w:rPr>
      </w:pPr>
      <w:r>
        <w:rPr>
          <w:rFonts w:eastAsia="Arial"/>
        </w:rPr>
        <w:t>N</w:t>
      </w:r>
      <w:r w:rsidR="00A93957">
        <w:rPr>
          <w:rFonts w:eastAsia="Arial"/>
        </w:rPr>
        <w:t>ew AWL-authorised devices are to be coordinated with existing devices operated under adjacent AWLs and 26 GHz band spectrum licences.</w:t>
      </w:r>
    </w:p>
    <w:p w14:paraId="552D9664" w14:textId="0BE86F30" w:rsidR="00A93957" w:rsidRDefault="003D3B2B" w:rsidP="00AC1864">
      <w:pPr>
        <w:pStyle w:val="ListBullet2"/>
        <w:rPr>
          <w:rFonts w:eastAsia="Arial"/>
        </w:rPr>
      </w:pPr>
      <w:r>
        <w:rPr>
          <w:rFonts w:eastAsia="Arial"/>
        </w:rPr>
        <w:t>I</w:t>
      </w:r>
      <w:r w:rsidR="00A93957">
        <w:rPr>
          <w:rFonts w:eastAsia="Arial"/>
        </w:rPr>
        <w:t>f interference occurs between AWL-authorised services, or between AWL and 26 GHz band spectrum-licensed services, and a negotiated solution cannot be reached:</w:t>
      </w:r>
    </w:p>
    <w:p w14:paraId="50EF4D7F" w14:textId="28E4E6FE" w:rsidR="00A93957" w:rsidRDefault="003D3B2B" w:rsidP="00A93957">
      <w:pPr>
        <w:pStyle w:val="ListBullet"/>
        <w:tabs>
          <w:tab w:val="clear" w:pos="295"/>
          <w:tab w:val="num" w:pos="863"/>
        </w:tabs>
        <w:ind w:left="863"/>
        <w:rPr>
          <w:rFonts w:eastAsia="Arial"/>
        </w:rPr>
      </w:pPr>
      <w:r>
        <w:rPr>
          <w:rFonts w:eastAsia="Arial"/>
        </w:rPr>
        <w:t>F</w:t>
      </w:r>
      <w:r w:rsidR="00A93957">
        <w:rPr>
          <w:rFonts w:eastAsia="Arial"/>
        </w:rPr>
        <w:t>or devices other than earth stations</w:t>
      </w:r>
      <w:r w:rsidR="004C7C5A">
        <w:rPr>
          <w:rFonts w:eastAsia="Arial"/>
        </w:rPr>
        <w:t>,</w:t>
      </w:r>
      <w:r w:rsidR="00A93957">
        <w:rPr>
          <w:rFonts w:eastAsia="Arial"/>
        </w:rPr>
        <w:t xml:space="preserve"> the affected devices are to synchronise their operation (limited to devices causing/receiving interference only</w:t>
      </w:r>
      <w:r w:rsidR="00A93957">
        <w:t>).</w:t>
      </w:r>
      <w:r w:rsidR="00A93957">
        <w:rPr>
          <w:rStyle w:val="FootnoteReference"/>
        </w:rPr>
        <w:footnoteReference w:id="31"/>
      </w:r>
    </w:p>
    <w:p w14:paraId="077CF2CF" w14:textId="3D405450" w:rsidR="00A93957" w:rsidRDefault="003D3B2B" w:rsidP="00A93957">
      <w:pPr>
        <w:pStyle w:val="ListBullet"/>
        <w:tabs>
          <w:tab w:val="clear" w:pos="295"/>
          <w:tab w:val="num" w:pos="863"/>
        </w:tabs>
        <w:ind w:left="863"/>
        <w:rPr>
          <w:rFonts w:eastAsia="Arial"/>
        </w:rPr>
      </w:pPr>
      <w:r>
        <w:rPr>
          <w:rFonts w:eastAsia="Arial"/>
        </w:rPr>
        <w:t>F</w:t>
      </w:r>
      <w:r w:rsidR="00A93957">
        <w:rPr>
          <w:rFonts w:eastAsia="Arial"/>
        </w:rPr>
        <w:t>or AWL-authorised FSS earth stations</w:t>
      </w:r>
      <w:r w:rsidR="004C7C5A">
        <w:rPr>
          <w:rFonts w:eastAsia="Arial"/>
        </w:rPr>
        <w:t>,</w:t>
      </w:r>
      <w:r w:rsidR="00A93957">
        <w:rPr>
          <w:rFonts w:eastAsia="Arial"/>
        </w:rPr>
        <w:t xml:space="preserve"> new earth stations must not cause interference to existing and registered receivers, except </w:t>
      </w:r>
      <w:r w:rsidR="002219AD">
        <w:rPr>
          <w:rFonts w:eastAsia="Arial"/>
        </w:rPr>
        <w:t>FWA</w:t>
      </w:r>
      <w:r w:rsidR="00A93957">
        <w:rPr>
          <w:rFonts w:eastAsia="Arial"/>
        </w:rPr>
        <w:t xml:space="preserve"> receivers in sole-primary frequencies and areas.</w:t>
      </w:r>
    </w:p>
    <w:p w14:paraId="5F7B915D" w14:textId="107F5735" w:rsidR="00A93957" w:rsidRDefault="003D3B2B" w:rsidP="00A93957">
      <w:pPr>
        <w:pStyle w:val="ListBullet"/>
        <w:rPr>
          <w:rFonts w:eastAsia="Arial"/>
        </w:rPr>
      </w:pPr>
      <w:r>
        <w:rPr>
          <w:rFonts w:eastAsia="Arial"/>
        </w:rPr>
        <w:t>C</w:t>
      </w:r>
      <w:r w:rsidR="00A93957">
        <w:rPr>
          <w:rFonts w:eastAsia="Arial"/>
        </w:rPr>
        <w:t xml:space="preserve">oexistence with earth receive stations operating in the frequency range </w:t>
      </w:r>
      <w:r w:rsidR="004C7C5A">
        <w:rPr>
          <w:rFonts w:eastAsia="Arial"/>
        </w:rPr>
        <w:br/>
      </w:r>
      <w:r w:rsidR="00A93957">
        <w:rPr>
          <w:rFonts w:eastAsia="Arial"/>
        </w:rPr>
        <w:t>25.5</w:t>
      </w:r>
      <w:r w:rsidR="004C7C5A">
        <w:rPr>
          <w:rFonts w:eastAsia="Arial"/>
        </w:rPr>
        <w:t>–</w:t>
      </w:r>
      <w:r w:rsidR="00A93957">
        <w:rPr>
          <w:rFonts w:eastAsia="Arial"/>
        </w:rPr>
        <w:t>27 GHz</w:t>
      </w:r>
      <w:r>
        <w:rPr>
          <w:rFonts w:eastAsia="Arial"/>
        </w:rPr>
        <w:t>:</w:t>
      </w:r>
    </w:p>
    <w:p w14:paraId="22849665" w14:textId="02FB24D2" w:rsidR="00A93957" w:rsidRDefault="00313111" w:rsidP="00637DB7">
      <w:pPr>
        <w:pStyle w:val="ListBullet2"/>
        <w:rPr>
          <w:rFonts w:eastAsia="Arial"/>
        </w:rPr>
      </w:pPr>
      <w:r w:rsidRPr="00313111">
        <w:rPr>
          <w:rFonts w:eastAsia="Arial"/>
        </w:rPr>
        <w:lastRenderedPageBreak/>
        <w:t xml:space="preserve">AWL licensees are required to ensure that their </w:t>
      </w:r>
      <w:r w:rsidR="00A93957">
        <w:rPr>
          <w:rFonts w:eastAsia="Arial"/>
        </w:rPr>
        <w:t xml:space="preserve">transmitters (other than low powered or indoor transmitters) </w:t>
      </w:r>
      <w:r w:rsidR="00E201E1" w:rsidRPr="00E201E1">
        <w:rPr>
          <w:rFonts w:eastAsia="Arial"/>
        </w:rPr>
        <w:t xml:space="preserve">will not exceed a defined interference threshold </w:t>
      </w:r>
      <w:r w:rsidR="004D14A8">
        <w:rPr>
          <w:rFonts w:eastAsia="Arial"/>
        </w:rPr>
        <w:t xml:space="preserve">at </w:t>
      </w:r>
      <w:r w:rsidR="0030426E" w:rsidRPr="0030426E">
        <w:rPr>
          <w:rFonts w:eastAsia="Arial"/>
        </w:rPr>
        <w:t>specified earth receive stations</w:t>
      </w:r>
      <w:r w:rsidR="0030426E">
        <w:rPr>
          <w:rFonts w:eastAsia="Arial"/>
        </w:rPr>
        <w:t>.</w:t>
      </w:r>
    </w:p>
    <w:p w14:paraId="538A72F6" w14:textId="70846B24" w:rsidR="00A93957" w:rsidRDefault="00434227" w:rsidP="00637DB7">
      <w:pPr>
        <w:pStyle w:val="ListBullet2"/>
        <w:rPr>
          <w:rFonts w:eastAsia="Arial"/>
        </w:rPr>
      </w:pPr>
      <w:r>
        <w:rPr>
          <w:rFonts w:eastAsia="Arial"/>
        </w:rPr>
        <w:t>T</w:t>
      </w:r>
      <w:r w:rsidR="00A93957">
        <w:rPr>
          <w:rFonts w:eastAsia="Arial"/>
        </w:rPr>
        <w:t>his requirement includes fixed transmitters that are not base stations and operate with a TRP greater than 23 dBm and less than or equal to 35 dBm per occupied bandwidth. As these transmitters are exempt from the registration requirement (and therefore the pre-registration requirements in RALI</w:t>
      </w:r>
      <w:r w:rsidR="009A2F94">
        <w:rPr>
          <w:rFonts w:eastAsia="Arial"/>
        </w:rPr>
        <w:t xml:space="preserve"> </w:t>
      </w:r>
      <w:r w:rsidR="00A93957">
        <w:rPr>
          <w:rFonts w:eastAsia="Arial"/>
        </w:rPr>
        <w:t xml:space="preserve">[new] would not normally apply to them) a licence condition is proposed to be included in the LCD requiring these transmitters </w:t>
      </w:r>
      <w:r w:rsidR="009E76D3">
        <w:rPr>
          <w:rFonts w:eastAsia="Arial"/>
        </w:rPr>
        <w:t xml:space="preserve">to adhere to </w:t>
      </w:r>
      <w:r w:rsidR="00A93957">
        <w:rPr>
          <w:rFonts w:eastAsia="Arial"/>
        </w:rPr>
        <w:t>the provisions in RALI</w:t>
      </w:r>
      <w:r w:rsidR="009A2F94">
        <w:rPr>
          <w:rFonts w:eastAsia="Arial"/>
        </w:rPr>
        <w:t xml:space="preserve"> </w:t>
      </w:r>
      <w:r w:rsidR="00A93957">
        <w:rPr>
          <w:rFonts w:eastAsia="Arial"/>
        </w:rPr>
        <w:t>[new].</w:t>
      </w:r>
    </w:p>
    <w:p w14:paraId="01693225" w14:textId="62423A16" w:rsidR="00A93957" w:rsidRDefault="003D3B2B" w:rsidP="00A93957">
      <w:pPr>
        <w:pStyle w:val="ListBullet"/>
        <w:rPr>
          <w:rFonts w:eastAsia="Arial"/>
        </w:rPr>
      </w:pPr>
      <w:r>
        <w:rPr>
          <w:rFonts w:eastAsia="Arial"/>
        </w:rPr>
        <w:t>C</w:t>
      </w:r>
      <w:r w:rsidR="00A93957">
        <w:rPr>
          <w:rFonts w:eastAsia="Arial"/>
        </w:rPr>
        <w:t>oexistence with passive EESS stations in the band 23.6</w:t>
      </w:r>
      <w:r w:rsidR="004C7C5A">
        <w:rPr>
          <w:rFonts w:eastAsia="Arial"/>
        </w:rPr>
        <w:t>–</w:t>
      </w:r>
      <w:r w:rsidR="00A93957">
        <w:rPr>
          <w:rFonts w:eastAsia="Arial"/>
        </w:rPr>
        <w:t>24 GHz:</w:t>
      </w:r>
    </w:p>
    <w:p w14:paraId="3BB562B3" w14:textId="21BB4D44" w:rsidR="00A93957" w:rsidRDefault="005C1CF6" w:rsidP="00637DB7">
      <w:pPr>
        <w:pStyle w:val="ListBullet2"/>
        <w:rPr>
          <w:rFonts w:eastAsia="Arial"/>
        </w:rPr>
      </w:pPr>
      <w:r>
        <w:rPr>
          <w:rFonts w:eastAsia="Arial"/>
        </w:rPr>
        <w:t>d</w:t>
      </w:r>
      <w:r w:rsidR="00A93957">
        <w:rPr>
          <w:rFonts w:eastAsia="Arial"/>
        </w:rPr>
        <w:t>eployment density limits for registered transmitters in the frequency range 24.7</w:t>
      </w:r>
      <w:r w:rsidR="004C7C5A">
        <w:rPr>
          <w:rFonts w:eastAsia="Arial"/>
        </w:rPr>
        <w:t>–</w:t>
      </w:r>
      <w:r w:rsidR="00A93957">
        <w:rPr>
          <w:rFonts w:eastAsia="Arial"/>
        </w:rPr>
        <w:t>25.1 GHz to limit potential aggregate interference to EESS satellites.</w:t>
      </w:r>
    </w:p>
    <w:p w14:paraId="38983BC7" w14:textId="2713BFC3" w:rsidR="00A93957" w:rsidRDefault="003D3B2B" w:rsidP="00A93957">
      <w:pPr>
        <w:pStyle w:val="ListBullet"/>
        <w:rPr>
          <w:rFonts w:eastAsia="Arial"/>
        </w:rPr>
      </w:pPr>
      <w:r>
        <w:rPr>
          <w:rFonts w:eastAsia="Arial"/>
        </w:rPr>
        <w:t>C</w:t>
      </w:r>
      <w:r w:rsidR="00A93957">
        <w:rPr>
          <w:rFonts w:eastAsia="Arial"/>
        </w:rPr>
        <w:t>oexistence with legacy fixed point-to-point services operating in the frequency range 27.5</w:t>
      </w:r>
      <w:r w:rsidR="004C7C5A">
        <w:rPr>
          <w:rFonts w:eastAsia="Arial"/>
        </w:rPr>
        <w:t>–</w:t>
      </w:r>
      <w:r w:rsidR="00A93957">
        <w:rPr>
          <w:rFonts w:eastAsia="Arial"/>
        </w:rPr>
        <w:t>28.5</w:t>
      </w:r>
      <w:r w:rsidR="00A93957">
        <w:t> </w:t>
      </w:r>
      <w:r w:rsidR="00A93957">
        <w:rPr>
          <w:rFonts w:eastAsia="Arial"/>
        </w:rPr>
        <w:t>GHz</w:t>
      </w:r>
      <w:r>
        <w:rPr>
          <w:rFonts w:eastAsia="Arial"/>
        </w:rPr>
        <w:t>:</w:t>
      </w:r>
    </w:p>
    <w:p w14:paraId="433A22ED" w14:textId="77777777" w:rsidR="00A93957" w:rsidRDefault="00A93957" w:rsidP="00637DB7">
      <w:pPr>
        <w:pStyle w:val="ListBullet2"/>
        <w:rPr>
          <w:rFonts w:eastAsia="Arial"/>
        </w:rPr>
      </w:pPr>
      <w:r>
        <w:rPr>
          <w:rFonts w:eastAsia="Arial"/>
        </w:rPr>
        <w:t>AWL</w:t>
      </w:r>
      <w:r w:rsidRPr="00A50A0B">
        <w:rPr>
          <w:rFonts w:eastAsia="Arial"/>
        </w:rPr>
        <w:t xml:space="preserve"> transmitters must be coordinated with existing point-to-point services using</w:t>
      </w:r>
      <w:r>
        <w:rPr>
          <w:rFonts w:eastAsia="Arial"/>
        </w:rPr>
        <w:t>:</w:t>
      </w:r>
    </w:p>
    <w:p w14:paraId="285AAB93" w14:textId="77555748" w:rsidR="00A93957" w:rsidRDefault="005C1CF6" w:rsidP="00A93957">
      <w:pPr>
        <w:pStyle w:val="Bulletlevel1"/>
        <w:tabs>
          <w:tab w:val="clear" w:pos="295"/>
          <w:tab w:val="num" w:pos="863"/>
        </w:tabs>
        <w:ind w:left="863"/>
        <w:rPr>
          <w:rFonts w:eastAsia="Arial"/>
        </w:rPr>
      </w:pPr>
      <w:r>
        <w:rPr>
          <w:rFonts w:eastAsia="Arial"/>
        </w:rPr>
        <w:t>f</w:t>
      </w:r>
      <w:r w:rsidR="00A93957">
        <w:rPr>
          <w:rFonts w:eastAsia="Arial"/>
        </w:rPr>
        <w:t>or earth station</w:t>
      </w:r>
      <w:r w:rsidR="005238A5">
        <w:rPr>
          <w:rFonts w:eastAsia="Arial"/>
        </w:rPr>
        <w:t>s</w:t>
      </w:r>
      <w:r w:rsidR="004C7C5A">
        <w:rPr>
          <w:rFonts w:eastAsia="Arial"/>
        </w:rPr>
        <w:t>,</w:t>
      </w:r>
      <w:r w:rsidR="00A93957">
        <w:rPr>
          <w:rFonts w:eastAsia="Arial"/>
        </w:rPr>
        <w:t xml:space="preserve"> the criteria in RALI MS 38</w:t>
      </w:r>
    </w:p>
    <w:p w14:paraId="3974F933" w14:textId="57DEC935" w:rsidR="00A93957" w:rsidRPr="00A50A0B" w:rsidRDefault="005C1CF6" w:rsidP="00A93957">
      <w:pPr>
        <w:pStyle w:val="Bulletlevel1"/>
        <w:tabs>
          <w:tab w:val="clear" w:pos="295"/>
          <w:tab w:val="num" w:pos="863"/>
        </w:tabs>
        <w:ind w:left="863"/>
        <w:rPr>
          <w:rFonts w:eastAsia="Arial"/>
        </w:rPr>
      </w:pPr>
      <w:r>
        <w:rPr>
          <w:rFonts w:eastAsia="Arial"/>
        </w:rPr>
        <w:t>f</w:t>
      </w:r>
      <w:r w:rsidR="00A93957">
        <w:rPr>
          <w:rFonts w:eastAsia="Arial"/>
        </w:rPr>
        <w:t>or all other transmitters</w:t>
      </w:r>
      <w:r w:rsidR="004C7C5A">
        <w:rPr>
          <w:rFonts w:eastAsia="Arial"/>
        </w:rPr>
        <w:t>,</w:t>
      </w:r>
      <w:r w:rsidR="00A93957" w:rsidRPr="00A50A0B">
        <w:rPr>
          <w:rFonts w:eastAsia="Arial"/>
        </w:rPr>
        <w:t xml:space="preserve"> the criteria detailed in section </w:t>
      </w:r>
      <w:r w:rsidR="00A93957" w:rsidRPr="005D52EB">
        <w:rPr>
          <w:rFonts w:eastAsia="Arial"/>
        </w:rPr>
        <w:t>3.7</w:t>
      </w:r>
      <w:r w:rsidR="00A93957" w:rsidRPr="00A50A0B">
        <w:rPr>
          <w:rFonts w:eastAsia="Arial"/>
        </w:rPr>
        <w:t xml:space="preserve"> of RALI [new] at </w:t>
      </w:r>
      <w:r w:rsidR="00A93957" w:rsidRPr="005D52EB">
        <w:rPr>
          <w:rFonts w:eastAsia="Arial"/>
          <w:b/>
        </w:rPr>
        <w:t xml:space="preserve">Attachment </w:t>
      </w:r>
      <w:r w:rsidR="00226622" w:rsidRPr="005D52EB">
        <w:rPr>
          <w:rFonts w:eastAsia="Arial"/>
          <w:b/>
        </w:rPr>
        <w:t>C</w:t>
      </w:r>
      <w:r w:rsidR="00A93957" w:rsidRPr="00A50A0B">
        <w:rPr>
          <w:rFonts w:eastAsia="Arial"/>
        </w:rPr>
        <w:t>.</w:t>
      </w:r>
      <w:r w:rsidR="00A93957">
        <w:rPr>
          <w:rFonts w:eastAsia="Arial"/>
        </w:rPr>
        <w:t xml:space="preserve"> This criterion has been based on unwanted emissions from wireless broadband equipment standards.</w:t>
      </w:r>
    </w:p>
    <w:p w14:paraId="5788E85A" w14:textId="1719CA9F" w:rsidR="00A93957" w:rsidRDefault="003D3B2B" w:rsidP="00A93957">
      <w:pPr>
        <w:pStyle w:val="ListBullet"/>
        <w:rPr>
          <w:rFonts w:eastAsia="Arial"/>
        </w:rPr>
      </w:pPr>
      <w:r>
        <w:rPr>
          <w:rFonts w:eastAsia="Arial"/>
        </w:rPr>
        <w:t>N</w:t>
      </w:r>
      <w:r w:rsidR="00A93957">
        <w:rPr>
          <w:rFonts w:eastAsia="Arial"/>
        </w:rPr>
        <w:t>otional receiver</w:t>
      </w:r>
      <w:r w:rsidR="004C7C5A">
        <w:rPr>
          <w:rFonts w:eastAsia="Arial"/>
        </w:rPr>
        <w:t>:</w:t>
      </w:r>
    </w:p>
    <w:p w14:paraId="3A46A1D5" w14:textId="537EE4AA" w:rsidR="00A93957" w:rsidRDefault="003D3B2B" w:rsidP="00637DB7">
      <w:pPr>
        <w:pStyle w:val="ListBullet2"/>
        <w:rPr>
          <w:rFonts w:eastAsia="Arial"/>
        </w:rPr>
      </w:pPr>
      <w:r>
        <w:rPr>
          <w:rFonts w:eastAsia="Arial"/>
        </w:rPr>
        <w:t>A</w:t>
      </w:r>
      <w:r w:rsidR="00A93957">
        <w:rPr>
          <w:rFonts w:eastAsia="Arial"/>
        </w:rPr>
        <w:t xml:space="preserve"> notional receiver performance (based on international equipment standards) is established to aid coordination </w:t>
      </w:r>
      <w:r w:rsidR="00A93957" w:rsidDel="00F0671B">
        <w:rPr>
          <w:rFonts w:eastAsia="Arial"/>
        </w:rPr>
        <w:t>with</w:t>
      </w:r>
      <w:r w:rsidR="00F0671B">
        <w:rPr>
          <w:rFonts w:eastAsia="Arial"/>
        </w:rPr>
        <w:t xml:space="preserve"> </w:t>
      </w:r>
      <w:r w:rsidR="008E483F">
        <w:rPr>
          <w:rFonts w:eastAsia="Arial"/>
        </w:rPr>
        <w:t>AWL receivers</w:t>
      </w:r>
      <w:r w:rsidR="00A93957">
        <w:rPr>
          <w:rFonts w:eastAsia="Arial"/>
        </w:rPr>
        <w:t>. While not mandatory, the ACMA will take these provisions into account in determining whether interference has occurred.</w:t>
      </w:r>
      <w:r w:rsidR="00BC0D31" w:rsidRPr="00BC0D31">
        <w:t xml:space="preserve"> </w:t>
      </w:r>
    </w:p>
    <w:p w14:paraId="42BB39C0" w14:textId="6DF7556C" w:rsidR="00A93957" w:rsidRDefault="003D3B2B" w:rsidP="00637DB7">
      <w:pPr>
        <w:pStyle w:val="ListBullet2"/>
        <w:rPr>
          <w:rFonts w:eastAsia="Arial"/>
        </w:rPr>
      </w:pPr>
      <w:r>
        <w:rPr>
          <w:rFonts w:eastAsia="Arial"/>
        </w:rPr>
        <w:t>T</w:t>
      </w:r>
      <w:r w:rsidR="00A93957">
        <w:rPr>
          <w:rFonts w:eastAsia="Arial"/>
        </w:rPr>
        <w:t xml:space="preserve">he notional receiver to be used is the same as proposed for 26 GHz spectrum licensed receivers and is specified in the draft </w:t>
      </w:r>
      <w:r w:rsidR="00A93957" w:rsidRPr="00434227">
        <w:rPr>
          <w:rFonts w:eastAsia="Arial"/>
          <w:iCs/>
        </w:rPr>
        <w:t>Radiocommunications Advisory Guidelines (Managing Interference to Spectrum Licensed Receivers</w:t>
      </w:r>
      <w:r>
        <w:rPr>
          <w:rFonts w:eastAsia="Arial"/>
          <w:iCs/>
        </w:rPr>
        <w:t xml:space="preserve"> </w:t>
      </w:r>
      <w:r w:rsidR="00A93957" w:rsidRPr="00434227">
        <w:rPr>
          <w:rFonts w:eastAsia="Arial"/>
          <w:iCs/>
        </w:rPr>
        <w:t>—</w:t>
      </w:r>
      <w:r>
        <w:rPr>
          <w:rFonts w:eastAsia="Arial"/>
          <w:iCs/>
        </w:rPr>
        <w:t xml:space="preserve"> </w:t>
      </w:r>
      <w:r w:rsidR="00A93957" w:rsidRPr="00434227">
        <w:rPr>
          <w:rFonts w:eastAsia="Arial"/>
          <w:iCs/>
        </w:rPr>
        <w:t>26 GHz Band) 2020</w:t>
      </w:r>
      <w:r w:rsidR="00A93957">
        <w:rPr>
          <w:rFonts w:eastAsia="Arial"/>
          <w:i/>
        </w:rPr>
        <w:t xml:space="preserve"> </w:t>
      </w:r>
      <w:r w:rsidR="00A93957">
        <w:rPr>
          <w:rFonts w:eastAsia="Arial"/>
        </w:rPr>
        <w:t xml:space="preserve">(available on the </w:t>
      </w:r>
      <w:hyperlink r:id="rId41" w:history="1">
        <w:r w:rsidR="00A93957" w:rsidRPr="00F27BC7">
          <w:rPr>
            <w:rStyle w:val="Hyperlink"/>
          </w:rPr>
          <w:t>ACMA website</w:t>
        </w:r>
      </w:hyperlink>
      <w:r w:rsidR="00A93957">
        <w:rPr>
          <w:rFonts w:eastAsia="Arial"/>
        </w:rPr>
        <w:t>)</w:t>
      </w:r>
      <w:r>
        <w:rPr>
          <w:rFonts w:eastAsia="Arial"/>
        </w:rPr>
        <w:t>.</w:t>
      </w:r>
    </w:p>
    <w:p w14:paraId="23A35EA2" w14:textId="4494F2FD" w:rsidR="00A93957" w:rsidRDefault="003D3B2B" w:rsidP="00A93957">
      <w:pPr>
        <w:pStyle w:val="ListBullet"/>
        <w:rPr>
          <w:rFonts w:eastAsia="Arial"/>
        </w:rPr>
      </w:pPr>
      <w:r>
        <w:rPr>
          <w:rFonts w:eastAsia="Arial"/>
        </w:rPr>
        <w:t>R</w:t>
      </w:r>
      <w:r w:rsidR="00A93957">
        <w:rPr>
          <w:rFonts w:eastAsia="Arial"/>
        </w:rPr>
        <w:t>ules about the issuing of new AWLs, including:</w:t>
      </w:r>
    </w:p>
    <w:p w14:paraId="4D722532" w14:textId="7B2B897A" w:rsidR="00A93957" w:rsidRDefault="003D3B2B" w:rsidP="00637DB7">
      <w:pPr>
        <w:pStyle w:val="ListBullet2"/>
        <w:rPr>
          <w:rFonts w:eastAsia="Arial"/>
        </w:rPr>
      </w:pPr>
      <w:r>
        <w:rPr>
          <w:rFonts w:eastAsia="Arial"/>
        </w:rPr>
        <w:t>F</w:t>
      </w:r>
      <w:r w:rsidR="00A93957">
        <w:rPr>
          <w:rFonts w:eastAsia="Arial"/>
        </w:rPr>
        <w:t>ollowing a 50 MHz channel raster (can be aggregated) and assignment priority, except for AWLs which permit only earth stations to be operated in sole-primary frequencies and areas.</w:t>
      </w:r>
    </w:p>
    <w:p w14:paraId="2F09DFC8" w14:textId="504618FD" w:rsidR="00A93957" w:rsidRDefault="003D3B2B" w:rsidP="007F030F">
      <w:pPr>
        <w:pStyle w:val="ListBullet2"/>
        <w:keepNext/>
        <w:keepLines/>
        <w:rPr>
          <w:rFonts w:eastAsia="Arial"/>
        </w:rPr>
      </w:pPr>
      <w:r>
        <w:rPr>
          <w:rFonts w:eastAsia="Arial"/>
        </w:rPr>
        <w:t>G</w:t>
      </w:r>
      <w:r w:rsidR="7D0176B0">
        <w:rPr>
          <w:rFonts w:eastAsia="Arial"/>
        </w:rPr>
        <w:t xml:space="preserve">eographic areas must consist of whole HCIS cells. </w:t>
      </w:r>
      <w:r w:rsidR="7D0176B0" w:rsidRPr="000E2BA5">
        <w:t>The smallest geographic area authorised by an AWL is a single HCIS level 00 cell comprising an area of 20x15 seconds</w:t>
      </w:r>
      <w:r w:rsidR="7D0176B0">
        <w:t xml:space="preserve"> (equating to approximately 500m by 500m).</w:t>
      </w:r>
      <w:r w:rsidR="00A93957">
        <w:rPr>
          <w:rStyle w:val="FootnoteReference"/>
        </w:rPr>
        <w:footnoteReference w:id="32"/>
      </w:r>
    </w:p>
    <w:p w14:paraId="28DAD5B9" w14:textId="3555BA86" w:rsidR="00A93957" w:rsidRDefault="00A93957" w:rsidP="00637DB7">
      <w:pPr>
        <w:pStyle w:val="ListBullet2"/>
        <w:rPr>
          <w:rFonts w:eastAsia="Arial"/>
        </w:rPr>
      </w:pPr>
      <w:r>
        <w:rPr>
          <w:rFonts w:eastAsia="Arial"/>
        </w:rPr>
        <w:t xml:space="preserve">AWLs must not overlap in frequency and area, except for </w:t>
      </w:r>
      <w:r w:rsidR="00B82289">
        <w:rPr>
          <w:rFonts w:eastAsia="Arial"/>
        </w:rPr>
        <w:t xml:space="preserve">the scenarios </w:t>
      </w:r>
      <w:r w:rsidR="008444DE">
        <w:rPr>
          <w:rFonts w:eastAsia="Arial"/>
        </w:rPr>
        <w:t>discussed in the</w:t>
      </w:r>
      <w:r w:rsidR="003D3B2B">
        <w:rPr>
          <w:rFonts w:eastAsia="Arial"/>
        </w:rPr>
        <w:t xml:space="preserve"> </w:t>
      </w:r>
      <w:hyperlink w:anchor="_Key_aspects" w:history="1">
        <w:r w:rsidR="003D3B2B" w:rsidRPr="003D3B2B">
          <w:rPr>
            <w:rStyle w:val="Hyperlink"/>
            <w:rFonts w:eastAsia="Arial"/>
          </w:rPr>
          <w:t>Key aspects</w:t>
        </w:r>
      </w:hyperlink>
      <w:r w:rsidR="008444DE">
        <w:rPr>
          <w:rFonts w:eastAsia="Arial"/>
        </w:rPr>
        <w:t xml:space="preserve"> section</w:t>
      </w:r>
      <w:r>
        <w:rPr>
          <w:rFonts w:eastAsia="Arial"/>
        </w:rPr>
        <w:t>.</w:t>
      </w:r>
    </w:p>
    <w:p w14:paraId="72253A7C" w14:textId="34E18491" w:rsidR="00A93957" w:rsidRDefault="003D3B2B" w:rsidP="00637DB7">
      <w:pPr>
        <w:pStyle w:val="ListBullet2"/>
      </w:pPr>
      <w:r>
        <w:rPr>
          <w:rFonts w:eastAsia="Arial"/>
        </w:rPr>
        <w:t>R</w:t>
      </w:r>
      <w:r w:rsidR="00A93957">
        <w:rPr>
          <w:rFonts w:eastAsia="Arial"/>
        </w:rPr>
        <w:t>estrictions on issuing new AWLs in specific areas to manage coexistence with earth receive stations.</w:t>
      </w:r>
    </w:p>
    <w:p w14:paraId="55C464D5" w14:textId="5179B915" w:rsidR="00AE2778" w:rsidRDefault="00AE2778" w:rsidP="00AE2778">
      <w:pPr>
        <w:pStyle w:val="Heading1"/>
      </w:pPr>
      <w:bookmarkStart w:id="44" w:name="_Appendix_C_–"/>
      <w:bookmarkStart w:id="45" w:name="_Toc348105641"/>
      <w:bookmarkStart w:id="46" w:name="_Toc48723216"/>
      <w:bookmarkEnd w:id="44"/>
      <w:r>
        <w:lastRenderedPageBreak/>
        <w:t>Appendix C</w:t>
      </w:r>
      <w:r w:rsidR="00305C2F">
        <w:t>—</w:t>
      </w:r>
      <w:bookmarkEnd w:id="45"/>
      <w:r>
        <w:t>International allocations</w:t>
      </w:r>
      <w:bookmarkEnd w:id="46"/>
    </w:p>
    <w:p w14:paraId="4D510A7E" w14:textId="7018A2FE" w:rsidR="2AAE4496" w:rsidRDefault="41E9D9AB" w:rsidP="007F030F">
      <w:pPr>
        <w:pStyle w:val="CommentText"/>
        <w:spacing w:before="120"/>
        <w:rPr>
          <w:rFonts w:cs="Arial"/>
          <w:color w:val="000000" w:themeColor="text1"/>
        </w:rPr>
      </w:pPr>
      <w:r w:rsidRPr="2AAE4496">
        <w:rPr>
          <w:rFonts w:cs="Arial"/>
          <w:color w:val="000000" w:themeColor="text1"/>
        </w:rPr>
        <w:t xml:space="preserve">Some </w:t>
      </w:r>
      <w:r w:rsidR="001C3A4F">
        <w:rPr>
          <w:rFonts w:cs="Arial"/>
          <w:color w:val="000000" w:themeColor="text1"/>
        </w:rPr>
        <w:t xml:space="preserve">overseas </w:t>
      </w:r>
      <w:r w:rsidRPr="2AAE4496">
        <w:rPr>
          <w:rFonts w:cs="Arial"/>
          <w:color w:val="000000" w:themeColor="text1"/>
        </w:rPr>
        <w:t xml:space="preserve">regulators have already undertaken allocations of mmWave spectrum. Table </w:t>
      </w:r>
      <w:r w:rsidR="000A47D5">
        <w:rPr>
          <w:rFonts w:cs="Arial"/>
          <w:color w:val="000000" w:themeColor="text1"/>
        </w:rPr>
        <w:t>5</w:t>
      </w:r>
      <w:r w:rsidRPr="2AAE4496">
        <w:rPr>
          <w:rFonts w:cs="Arial"/>
          <w:color w:val="000000" w:themeColor="text1"/>
        </w:rPr>
        <w:t xml:space="preserve"> below shows a summary of the spectrum amounts obtained by participants.</w:t>
      </w:r>
    </w:p>
    <w:p w14:paraId="0FA61624" w14:textId="727DF143" w:rsidR="00AE2778" w:rsidRPr="00B568DA" w:rsidRDefault="00637DB7" w:rsidP="00E67120">
      <w:pPr>
        <w:pStyle w:val="ACMATableHeader"/>
        <w:numPr>
          <w:ilvl w:val="0"/>
          <w:numId w:val="51"/>
        </w:numPr>
      </w:pPr>
      <w:r>
        <w:t xml:space="preserve"> </w:t>
      </w:r>
      <w:r w:rsidR="41E9D9AB">
        <w:t>Allocation amounts in international mmWave spectrum allocations</w:t>
      </w:r>
    </w:p>
    <w:tbl>
      <w:tblPr>
        <w:tblStyle w:val="ListTable3-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1494"/>
        <w:gridCol w:w="1772"/>
        <w:gridCol w:w="1417"/>
        <w:gridCol w:w="1439"/>
        <w:gridCol w:w="1539"/>
      </w:tblGrid>
      <w:tr w:rsidR="00AE2778" w:rsidRPr="00AC4AF5" w14:paraId="1FF679E9" w14:textId="77777777" w:rsidTr="00574B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pct"/>
            <w:tcBorders>
              <w:bottom w:val="none" w:sz="0" w:space="0" w:color="auto"/>
              <w:right w:val="none" w:sz="0" w:space="0" w:color="auto"/>
            </w:tcBorders>
            <w:shd w:val="clear" w:color="auto" w:fill="404040" w:themeFill="text1" w:themeFillTint="BF"/>
          </w:tcPr>
          <w:p w14:paraId="71AC1F3E" w14:textId="77777777" w:rsidR="00AE2778" w:rsidRPr="00DE4BC7" w:rsidRDefault="00AE2778" w:rsidP="009825C4">
            <w:pPr>
              <w:pStyle w:val="TableBody"/>
            </w:pPr>
            <w:r w:rsidRPr="00DE4BC7">
              <w:t>Country</w:t>
            </w:r>
          </w:p>
        </w:tc>
        <w:tc>
          <w:tcPr>
            <w:tcW w:w="0" w:type="pct"/>
            <w:shd w:val="clear" w:color="auto" w:fill="404040" w:themeFill="text1" w:themeFillTint="BF"/>
          </w:tcPr>
          <w:p w14:paraId="73378841" w14:textId="77777777" w:rsidR="00AE2778" w:rsidRPr="00DE4BC7" w:rsidRDefault="00AE2778" w:rsidP="009825C4">
            <w:pPr>
              <w:pStyle w:val="TableBody"/>
              <w:cnfStyle w:val="100000000000" w:firstRow="1" w:lastRow="0" w:firstColumn="0" w:lastColumn="0" w:oddVBand="0" w:evenVBand="0" w:oddHBand="0" w:evenHBand="0" w:firstRowFirstColumn="0" w:firstRowLastColumn="0" w:lastRowFirstColumn="0" w:lastRowLastColumn="0"/>
            </w:pPr>
            <w:r w:rsidRPr="00DE4BC7">
              <w:t>Allocation method</w:t>
            </w:r>
          </w:p>
        </w:tc>
        <w:tc>
          <w:tcPr>
            <w:tcW w:w="0" w:type="pct"/>
            <w:shd w:val="clear" w:color="auto" w:fill="404040" w:themeFill="text1" w:themeFillTint="BF"/>
          </w:tcPr>
          <w:p w14:paraId="347313D5" w14:textId="65C6FF64" w:rsidR="00AE2778" w:rsidRPr="00DE4BC7" w:rsidRDefault="00AE2778" w:rsidP="009825C4">
            <w:pPr>
              <w:pStyle w:val="TableBody"/>
              <w:cnfStyle w:val="100000000000" w:firstRow="1" w:lastRow="0" w:firstColumn="0" w:lastColumn="0" w:oddVBand="0" w:evenVBand="0" w:oddHBand="0" w:evenHBand="0" w:firstRowFirstColumn="0" w:firstRowLastColumn="0" w:lastRowFirstColumn="0" w:lastRowLastColumn="0"/>
            </w:pPr>
            <w:r w:rsidRPr="00ED0095">
              <w:t>Date</w:t>
            </w:r>
          </w:p>
        </w:tc>
        <w:tc>
          <w:tcPr>
            <w:tcW w:w="0" w:type="pct"/>
            <w:shd w:val="clear" w:color="auto" w:fill="404040" w:themeFill="text1" w:themeFillTint="BF"/>
          </w:tcPr>
          <w:p w14:paraId="3DCCB3B6" w14:textId="77777777" w:rsidR="00AE2778" w:rsidRPr="00DE4BC7" w:rsidRDefault="00AE2778" w:rsidP="009825C4">
            <w:pPr>
              <w:pStyle w:val="TableBody"/>
              <w:cnfStyle w:val="100000000000" w:firstRow="1" w:lastRow="0" w:firstColumn="0" w:lastColumn="0" w:oddVBand="0" w:evenVBand="0" w:oddHBand="0" w:evenHBand="0" w:firstRowFirstColumn="0" w:firstRowLastColumn="0" w:lastRowFirstColumn="0" w:lastRowLastColumn="0"/>
            </w:pPr>
            <w:r w:rsidRPr="00DE4BC7">
              <w:t>Spectrum supply (MHz)</w:t>
            </w:r>
          </w:p>
        </w:tc>
        <w:tc>
          <w:tcPr>
            <w:tcW w:w="0" w:type="pct"/>
            <w:shd w:val="clear" w:color="auto" w:fill="404040" w:themeFill="text1" w:themeFillTint="BF"/>
          </w:tcPr>
          <w:p w14:paraId="71172515" w14:textId="77777777" w:rsidR="00AE2778" w:rsidRPr="00DE4BC7" w:rsidRDefault="00AE2778" w:rsidP="009825C4">
            <w:pPr>
              <w:pStyle w:val="TableBody"/>
              <w:cnfStyle w:val="100000000000" w:firstRow="1" w:lastRow="0" w:firstColumn="0" w:lastColumn="0" w:oddVBand="0" w:evenVBand="0" w:oddHBand="0" w:evenHBand="0" w:firstRowFirstColumn="0" w:firstRowLastColumn="0" w:lastRowFirstColumn="0" w:lastRowLastColumn="0"/>
            </w:pPr>
            <w:r w:rsidRPr="00DE4BC7">
              <w:t>Spectrum amounts per participant (MHz)</w:t>
            </w:r>
          </w:p>
        </w:tc>
      </w:tr>
      <w:tr w:rsidR="00AE2778" w:rsidRPr="00AC4AF5" w14:paraId="713A5A54" w14:textId="77777777" w:rsidTr="00574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one" w:sz="0" w:space="0" w:color="auto"/>
              <w:right w:val="none" w:sz="0" w:space="0" w:color="auto"/>
            </w:tcBorders>
          </w:tcPr>
          <w:p w14:paraId="4DAFAD0C" w14:textId="77777777" w:rsidR="00AE2778" w:rsidRPr="007F030F" w:rsidRDefault="00AE2778" w:rsidP="009825C4">
            <w:pPr>
              <w:pStyle w:val="TableBody"/>
              <w:rPr>
                <w:b w:val="0"/>
                <w:bCs w:val="0"/>
              </w:rPr>
            </w:pPr>
            <w:r w:rsidRPr="00DE2887">
              <w:t>South Korea (28 GHz)</w:t>
            </w:r>
          </w:p>
        </w:tc>
        <w:tc>
          <w:tcPr>
            <w:tcW w:w="0" w:type="pct"/>
            <w:tcBorders>
              <w:top w:val="none" w:sz="0" w:space="0" w:color="auto"/>
              <w:bottom w:val="none" w:sz="0" w:space="0" w:color="auto"/>
            </w:tcBorders>
          </w:tcPr>
          <w:p w14:paraId="678E712F"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Auction</w:t>
            </w:r>
          </w:p>
        </w:tc>
        <w:tc>
          <w:tcPr>
            <w:tcW w:w="0" w:type="pct"/>
            <w:tcBorders>
              <w:top w:val="none" w:sz="0" w:space="0" w:color="auto"/>
              <w:bottom w:val="none" w:sz="0" w:space="0" w:color="auto"/>
            </w:tcBorders>
          </w:tcPr>
          <w:p w14:paraId="5E991162"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t>18 June 2018</w:t>
            </w:r>
          </w:p>
        </w:tc>
        <w:tc>
          <w:tcPr>
            <w:tcW w:w="0" w:type="pct"/>
            <w:tcBorders>
              <w:top w:val="none" w:sz="0" w:space="0" w:color="auto"/>
              <w:bottom w:val="none" w:sz="0" w:space="0" w:color="auto"/>
            </w:tcBorders>
          </w:tcPr>
          <w:p w14:paraId="313CB95D"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2,400</w:t>
            </w:r>
          </w:p>
        </w:tc>
        <w:tc>
          <w:tcPr>
            <w:tcW w:w="0" w:type="pct"/>
            <w:tcBorders>
              <w:top w:val="none" w:sz="0" w:space="0" w:color="auto"/>
              <w:bottom w:val="none" w:sz="0" w:space="0" w:color="auto"/>
            </w:tcBorders>
          </w:tcPr>
          <w:p w14:paraId="019FF9AF"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800</w:t>
            </w:r>
          </w:p>
        </w:tc>
      </w:tr>
      <w:tr w:rsidR="00AE2778" w:rsidRPr="00AC4AF5" w14:paraId="74FB41CC" w14:textId="77777777" w:rsidTr="00574B57">
        <w:tc>
          <w:tcPr>
            <w:cnfStyle w:val="001000000000" w:firstRow="0" w:lastRow="0" w:firstColumn="1" w:lastColumn="0" w:oddVBand="0" w:evenVBand="0" w:oddHBand="0" w:evenHBand="0" w:firstRowFirstColumn="0" w:firstRowLastColumn="0" w:lastRowFirstColumn="0" w:lastRowLastColumn="0"/>
            <w:tcW w:w="0" w:type="pct"/>
            <w:tcBorders>
              <w:right w:val="none" w:sz="0" w:space="0" w:color="auto"/>
            </w:tcBorders>
            <w:shd w:val="clear" w:color="auto" w:fill="F2F2F2" w:themeFill="background1" w:themeFillShade="F2"/>
          </w:tcPr>
          <w:p w14:paraId="66A84BB7" w14:textId="5C2AF5F8" w:rsidR="00AE2778" w:rsidRPr="007F030F" w:rsidRDefault="00AE2778" w:rsidP="009825C4">
            <w:pPr>
              <w:pStyle w:val="TableBody"/>
              <w:rPr>
                <w:b w:val="0"/>
                <w:bCs w:val="0"/>
              </w:rPr>
            </w:pPr>
            <w:r w:rsidRPr="00DE2887">
              <w:t xml:space="preserve">Japan </w:t>
            </w:r>
            <w:r w:rsidR="00DE2887">
              <w:rPr>
                <w:b w:val="0"/>
                <w:bCs w:val="0"/>
              </w:rPr>
              <w:br/>
            </w:r>
            <w:r w:rsidRPr="00DE2887">
              <w:t>(28 GHz)</w:t>
            </w:r>
          </w:p>
        </w:tc>
        <w:tc>
          <w:tcPr>
            <w:tcW w:w="0" w:type="pct"/>
            <w:shd w:val="clear" w:color="auto" w:fill="F2F2F2" w:themeFill="background1" w:themeFillShade="F2"/>
          </w:tcPr>
          <w:p w14:paraId="616D92F4"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Tender</w:t>
            </w:r>
          </w:p>
        </w:tc>
        <w:tc>
          <w:tcPr>
            <w:tcW w:w="0" w:type="pct"/>
            <w:shd w:val="clear" w:color="auto" w:fill="F2F2F2" w:themeFill="background1" w:themeFillShade="F2"/>
          </w:tcPr>
          <w:p w14:paraId="43AB94EC"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April 2019</w:t>
            </w:r>
          </w:p>
        </w:tc>
        <w:tc>
          <w:tcPr>
            <w:tcW w:w="0" w:type="pct"/>
            <w:shd w:val="clear" w:color="auto" w:fill="F2F2F2" w:themeFill="background1" w:themeFillShade="F2"/>
          </w:tcPr>
          <w:p w14:paraId="287D0C5C"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1,600</w:t>
            </w:r>
          </w:p>
        </w:tc>
        <w:tc>
          <w:tcPr>
            <w:tcW w:w="0" w:type="pct"/>
            <w:shd w:val="clear" w:color="auto" w:fill="F2F2F2" w:themeFill="background1" w:themeFillShade="F2"/>
          </w:tcPr>
          <w:p w14:paraId="604FEB1B"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400</w:t>
            </w:r>
          </w:p>
        </w:tc>
      </w:tr>
      <w:tr w:rsidR="00AE2778" w:rsidRPr="00AC4AF5" w14:paraId="6D4D1696" w14:textId="77777777" w:rsidTr="00574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one" w:sz="0" w:space="0" w:color="auto"/>
              <w:right w:val="none" w:sz="0" w:space="0" w:color="auto"/>
            </w:tcBorders>
          </w:tcPr>
          <w:p w14:paraId="66182AE4" w14:textId="2129D05B" w:rsidR="00AE2778" w:rsidRPr="007F030F" w:rsidRDefault="00AE2778" w:rsidP="009825C4">
            <w:pPr>
              <w:pStyle w:val="TableBody"/>
              <w:rPr>
                <w:b w:val="0"/>
                <w:bCs w:val="0"/>
              </w:rPr>
            </w:pPr>
            <w:r w:rsidRPr="00DE2887">
              <w:t xml:space="preserve">Italy </w:t>
            </w:r>
            <w:r w:rsidR="00DE2887">
              <w:rPr>
                <w:b w:val="0"/>
                <w:bCs w:val="0"/>
              </w:rPr>
              <w:br/>
            </w:r>
            <w:r w:rsidRPr="00DE2887">
              <w:t>(26 GHz)</w:t>
            </w:r>
          </w:p>
        </w:tc>
        <w:tc>
          <w:tcPr>
            <w:tcW w:w="0" w:type="pct"/>
            <w:tcBorders>
              <w:top w:val="none" w:sz="0" w:space="0" w:color="auto"/>
              <w:bottom w:val="none" w:sz="0" w:space="0" w:color="auto"/>
            </w:tcBorders>
          </w:tcPr>
          <w:p w14:paraId="4832495D"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Auction</w:t>
            </w:r>
          </w:p>
        </w:tc>
        <w:tc>
          <w:tcPr>
            <w:tcW w:w="0" w:type="pct"/>
            <w:tcBorders>
              <w:top w:val="none" w:sz="0" w:space="0" w:color="auto"/>
              <w:bottom w:val="none" w:sz="0" w:space="0" w:color="auto"/>
            </w:tcBorders>
          </w:tcPr>
          <w:p w14:paraId="4C355B23"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t>2 October 2018</w:t>
            </w:r>
          </w:p>
        </w:tc>
        <w:tc>
          <w:tcPr>
            <w:tcW w:w="0" w:type="pct"/>
            <w:tcBorders>
              <w:top w:val="none" w:sz="0" w:space="0" w:color="auto"/>
              <w:bottom w:val="none" w:sz="0" w:space="0" w:color="auto"/>
            </w:tcBorders>
          </w:tcPr>
          <w:p w14:paraId="35F62C33"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1,000</w:t>
            </w:r>
          </w:p>
        </w:tc>
        <w:tc>
          <w:tcPr>
            <w:tcW w:w="0" w:type="pct"/>
            <w:tcBorders>
              <w:top w:val="none" w:sz="0" w:space="0" w:color="auto"/>
              <w:bottom w:val="none" w:sz="0" w:space="0" w:color="auto"/>
            </w:tcBorders>
          </w:tcPr>
          <w:p w14:paraId="400A7C3D"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200</w:t>
            </w:r>
          </w:p>
        </w:tc>
      </w:tr>
      <w:tr w:rsidR="00AE2778" w:rsidRPr="00AC4AF5" w14:paraId="7558CAEE" w14:textId="77777777" w:rsidTr="00574B57">
        <w:tc>
          <w:tcPr>
            <w:cnfStyle w:val="001000000000" w:firstRow="0" w:lastRow="0" w:firstColumn="1" w:lastColumn="0" w:oddVBand="0" w:evenVBand="0" w:oddHBand="0" w:evenHBand="0" w:firstRowFirstColumn="0" w:firstRowLastColumn="0" w:lastRowFirstColumn="0" w:lastRowLastColumn="0"/>
            <w:tcW w:w="0" w:type="pct"/>
            <w:tcBorders>
              <w:right w:val="none" w:sz="0" w:space="0" w:color="auto"/>
            </w:tcBorders>
            <w:shd w:val="clear" w:color="auto" w:fill="F2F2F2" w:themeFill="background1" w:themeFillShade="F2"/>
          </w:tcPr>
          <w:p w14:paraId="41685DF2" w14:textId="4145786D" w:rsidR="00AE2778" w:rsidRPr="007F030F" w:rsidRDefault="00AE2778" w:rsidP="009825C4">
            <w:pPr>
              <w:pStyle w:val="TableBody"/>
              <w:rPr>
                <w:b w:val="0"/>
                <w:bCs w:val="0"/>
              </w:rPr>
            </w:pPr>
            <w:r w:rsidRPr="00DE2887">
              <w:t xml:space="preserve">Hong Kong </w:t>
            </w:r>
            <w:r w:rsidR="00DE2887">
              <w:rPr>
                <w:b w:val="0"/>
                <w:bCs w:val="0"/>
              </w:rPr>
              <w:br/>
            </w:r>
            <w:r w:rsidRPr="00DE2887">
              <w:t>(26 and 28 GHz)</w:t>
            </w:r>
          </w:p>
        </w:tc>
        <w:tc>
          <w:tcPr>
            <w:tcW w:w="0" w:type="pct"/>
            <w:shd w:val="clear" w:color="auto" w:fill="F2F2F2" w:themeFill="background1" w:themeFillShade="F2"/>
          </w:tcPr>
          <w:p w14:paraId="5BE8E4A7"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Administrative</w:t>
            </w:r>
          </w:p>
        </w:tc>
        <w:tc>
          <w:tcPr>
            <w:tcW w:w="0" w:type="pct"/>
            <w:shd w:val="clear" w:color="auto" w:fill="F2F2F2" w:themeFill="background1" w:themeFillShade="F2"/>
          </w:tcPr>
          <w:p w14:paraId="1098CF69"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27 March 2019</w:t>
            </w:r>
          </w:p>
        </w:tc>
        <w:tc>
          <w:tcPr>
            <w:tcW w:w="0" w:type="pct"/>
            <w:shd w:val="clear" w:color="auto" w:fill="F2F2F2" w:themeFill="background1" w:themeFillShade="F2"/>
          </w:tcPr>
          <w:p w14:paraId="5159A278"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1,200</w:t>
            </w:r>
          </w:p>
        </w:tc>
        <w:tc>
          <w:tcPr>
            <w:tcW w:w="0" w:type="pct"/>
            <w:shd w:val="clear" w:color="auto" w:fill="F2F2F2" w:themeFill="background1" w:themeFillShade="F2"/>
          </w:tcPr>
          <w:p w14:paraId="76BABFB0"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400</w:t>
            </w:r>
          </w:p>
        </w:tc>
      </w:tr>
      <w:tr w:rsidR="00AE2778" w:rsidRPr="00AC4AF5" w14:paraId="2134811A" w14:textId="77777777" w:rsidTr="00574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one" w:sz="0" w:space="0" w:color="auto"/>
              <w:right w:val="none" w:sz="0" w:space="0" w:color="auto"/>
            </w:tcBorders>
          </w:tcPr>
          <w:p w14:paraId="6A6E005F" w14:textId="4A47D865" w:rsidR="00AE2778" w:rsidRPr="007F030F" w:rsidRDefault="00AE2778" w:rsidP="009825C4">
            <w:pPr>
              <w:pStyle w:val="TableBody"/>
              <w:rPr>
                <w:b w:val="0"/>
                <w:bCs w:val="0"/>
              </w:rPr>
            </w:pPr>
            <w:r w:rsidRPr="00DE2887">
              <w:t xml:space="preserve">USA </w:t>
            </w:r>
            <w:r w:rsidR="00DE2887">
              <w:rPr>
                <w:b w:val="0"/>
                <w:bCs w:val="0"/>
              </w:rPr>
              <w:br/>
            </w:r>
            <w:r w:rsidRPr="00DE2887">
              <w:t>(28 GHz)</w:t>
            </w:r>
          </w:p>
        </w:tc>
        <w:tc>
          <w:tcPr>
            <w:tcW w:w="0" w:type="pct"/>
            <w:tcBorders>
              <w:top w:val="none" w:sz="0" w:space="0" w:color="auto"/>
              <w:bottom w:val="none" w:sz="0" w:space="0" w:color="auto"/>
            </w:tcBorders>
          </w:tcPr>
          <w:p w14:paraId="19113CB7"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Auction</w:t>
            </w:r>
          </w:p>
        </w:tc>
        <w:tc>
          <w:tcPr>
            <w:tcW w:w="0" w:type="pct"/>
            <w:tcBorders>
              <w:top w:val="none" w:sz="0" w:space="0" w:color="auto"/>
              <w:bottom w:val="none" w:sz="0" w:space="0" w:color="auto"/>
            </w:tcBorders>
          </w:tcPr>
          <w:p w14:paraId="45530A27"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t>24 January 2019</w:t>
            </w:r>
          </w:p>
        </w:tc>
        <w:tc>
          <w:tcPr>
            <w:tcW w:w="0" w:type="pct"/>
            <w:tcBorders>
              <w:top w:val="none" w:sz="0" w:space="0" w:color="auto"/>
              <w:bottom w:val="none" w:sz="0" w:space="0" w:color="auto"/>
            </w:tcBorders>
          </w:tcPr>
          <w:p w14:paraId="1DB9538F"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850</w:t>
            </w:r>
          </w:p>
        </w:tc>
        <w:tc>
          <w:tcPr>
            <w:tcW w:w="0" w:type="pct"/>
            <w:tcBorders>
              <w:top w:val="none" w:sz="0" w:space="0" w:color="auto"/>
              <w:bottom w:val="none" w:sz="0" w:space="0" w:color="auto"/>
            </w:tcBorders>
          </w:tcPr>
          <w:p w14:paraId="69C7632C"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up to 1,850~</w:t>
            </w:r>
          </w:p>
        </w:tc>
      </w:tr>
      <w:tr w:rsidR="00AE2778" w:rsidRPr="00AC4AF5" w14:paraId="5091A0FD" w14:textId="77777777" w:rsidTr="00574B57">
        <w:tc>
          <w:tcPr>
            <w:cnfStyle w:val="001000000000" w:firstRow="0" w:lastRow="0" w:firstColumn="1" w:lastColumn="0" w:oddVBand="0" w:evenVBand="0" w:oddHBand="0" w:evenHBand="0" w:firstRowFirstColumn="0" w:firstRowLastColumn="0" w:lastRowFirstColumn="0" w:lastRowLastColumn="0"/>
            <w:tcW w:w="0" w:type="pct"/>
            <w:tcBorders>
              <w:right w:val="none" w:sz="0" w:space="0" w:color="auto"/>
            </w:tcBorders>
            <w:shd w:val="clear" w:color="auto" w:fill="F2F2F2" w:themeFill="background1" w:themeFillShade="F2"/>
          </w:tcPr>
          <w:p w14:paraId="76498E6B" w14:textId="0364BA33" w:rsidR="00AE2778" w:rsidRPr="007F030F" w:rsidRDefault="00AE2778" w:rsidP="009825C4">
            <w:pPr>
              <w:pStyle w:val="TableBody"/>
              <w:rPr>
                <w:b w:val="0"/>
                <w:bCs w:val="0"/>
              </w:rPr>
            </w:pPr>
            <w:r w:rsidRPr="00DE2887">
              <w:t xml:space="preserve">USA </w:t>
            </w:r>
            <w:r w:rsidR="00DE2887">
              <w:rPr>
                <w:b w:val="0"/>
                <w:bCs w:val="0"/>
              </w:rPr>
              <w:br/>
            </w:r>
            <w:r w:rsidRPr="00DE2887">
              <w:t>(24 GHz)</w:t>
            </w:r>
          </w:p>
        </w:tc>
        <w:tc>
          <w:tcPr>
            <w:tcW w:w="0" w:type="pct"/>
            <w:shd w:val="clear" w:color="auto" w:fill="F2F2F2" w:themeFill="background1" w:themeFillShade="F2"/>
          </w:tcPr>
          <w:p w14:paraId="7EE9A61D"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Auction</w:t>
            </w:r>
          </w:p>
        </w:tc>
        <w:tc>
          <w:tcPr>
            <w:tcW w:w="0" w:type="pct"/>
            <w:shd w:val="clear" w:color="auto" w:fill="F2F2F2" w:themeFill="background1" w:themeFillShade="F2"/>
          </w:tcPr>
          <w:p w14:paraId="6496A17E"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28 May 2019</w:t>
            </w:r>
          </w:p>
        </w:tc>
        <w:tc>
          <w:tcPr>
            <w:tcW w:w="0" w:type="pct"/>
            <w:shd w:val="clear" w:color="auto" w:fill="F2F2F2" w:themeFill="background1" w:themeFillShade="F2"/>
          </w:tcPr>
          <w:p w14:paraId="01BE3B77"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700</w:t>
            </w:r>
          </w:p>
        </w:tc>
        <w:tc>
          <w:tcPr>
            <w:tcW w:w="0" w:type="pct"/>
            <w:shd w:val="clear" w:color="auto" w:fill="F2F2F2" w:themeFill="background1" w:themeFillShade="F2"/>
          </w:tcPr>
          <w:p w14:paraId="79FBEBCA"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up to 1,850~</w:t>
            </w:r>
          </w:p>
        </w:tc>
      </w:tr>
      <w:tr w:rsidR="00AE2778" w:rsidRPr="00AC4AF5" w14:paraId="28723B43" w14:textId="77777777" w:rsidTr="00574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one" w:sz="0" w:space="0" w:color="auto"/>
              <w:right w:val="none" w:sz="0" w:space="0" w:color="auto"/>
            </w:tcBorders>
          </w:tcPr>
          <w:p w14:paraId="7DD9FD5F" w14:textId="28FC831F" w:rsidR="00AE2778" w:rsidRPr="007F030F" w:rsidRDefault="00AE2778" w:rsidP="009825C4">
            <w:pPr>
              <w:pStyle w:val="TableBody"/>
              <w:rPr>
                <w:b w:val="0"/>
                <w:bCs w:val="0"/>
              </w:rPr>
            </w:pPr>
            <w:r w:rsidRPr="00DE2887">
              <w:t xml:space="preserve">USA </w:t>
            </w:r>
            <w:r w:rsidR="00DE2887">
              <w:rPr>
                <w:b w:val="0"/>
                <w:bCs w:val="0"/>
              </w:rPr>
              <w:br/>
            </w:r>
            <w:r w:rsidRPr="00DE2887">
              <w:t>(37</w:t>
            </w:r>
            <w:r w:rsidR="001704FC">
              <w:rPr>
                <w:b w:val="0"/>
                <w:bCs w:val="0"/>
              </w:rPr>
              <w:t>–</w:t>
            </w:r>
            <w:r w:rsidRPr="00DE2887">
              <w:t>47 GHz)</w:t>
            </w:r>
          </w:p>
        </w:tc>
        <w:tc>
          <w:tcPr>
            <w:tcW w:w="0" w:type="pct"/>
            <w:tcBorders>
              <w:top w:val="none" w:sz="0" w:space="0" w:color="auto"/>
              <w:bottom w:val="none" w:sz="0" w:space="0" w:color="auto"/>
            </w:tcBorders>
          </w:tcPr>
          <w:p w14:paraId="2EDA2232"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Auction</w:t>
            </w:r>
          </w:p>
        </w:tc>
        <w:tc>
          <w:tcPr>
            <w:tcW w:w="0" w:type="pct"/>
            <w:tcBorders>
              <w:top w:val="none" w:sz="0" w:space="0" w:color="auto"/>
              <w:bottom w:val="none" w:sz="0" w:space="0" w:color="auto"/>
            </w:tcBorders>
          </w:tcPr>
          <w:p w14:paraId="015E953C"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t>5 March 2020</w:t>
            </w:r>
          </w:p>
        </w:tc>
        <w:tc>
          <w:tcPr>
            <w:tcW w:w="0" w:type="pct"/>
            <w:tcBorders>
              <w:top w:val="none" w:sz="0" w:space="0" w:color="auto"/>
              <w:bottom w:val="none" w:sz="0" w:space="0" w:color="auto"/>
            </w:tcBorders>
          </w:tcPr>
          <w:p w14:paraId="248FD3B3"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3,400</w:t>
            </w:r>
          </w:p>
        </w:tc>
        <w:tc>
          <w:tcPr>
            <w:tcW w:w="0" w:type="pct"/>
            <w:tcBorders>
              <w:top w:val="none" w:sz="0" w:space="0" w:color="auto"/>
              <w:bottom w:val="none" w:sz="0" w:space="0" w:color="auto"/>
            </w:tcBorders>
          </w:tcPr>
          <w:p w14:paraId="3CB936A5"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up to 1,850~</w:t>
            </w:r>
          </w:p>
        </w:tc>
      </w:tr>
      <w:tr w:rsidR="00AE2778" w:rsidRPr="00AC4AF5" w14:paraId="51E23703" w14:textId="77777777" w:rsidTr="00574B57">
        <w:tc>
          <w:tcPr>
            <w:cnfStyle w:val="001000000000" w:firstRow="0" w:lastRow="0" w:firstColumn="1" w:lastColumn="0" w:oddVBand="0" w:evenVBand="0" w:oddHBand="0" w:evenHBand="0" w:firstRowFirstColumn="0" w:firstRowLastColumn="0" w:lastRowFirstColumn="0" w:lastRowLastColumn="0"/>
            <w:tcW w:w="0" w:type="pct"/>
            <w:tcBorders>
              <w:right w:val="none" w:sz="0" w:space="0" w:color="auto"/>
            </w:tcBorders>
            <w:shd w:val="clear" w:color="auto" w:fill="F2F2F2" w:themeFill="background1" w:themeFillShade="F2"/>
          </w:tcPr>
          <w:p w14:paraId="415836EE" w14:textId="2C24CECF" w:rsidR="00AE2778" w:rsidRPr="007F030F" w:rsidRDefault="00AE2778" w:rsidP="009825C4">
            <w:pPr>
              <w:pStyle w:val="TableBody"/>
              <w:rPr>
                <w:b w:val="0"/>
                <w:bCs w:val="0"/>
              </w:rPr>
            </w:pPr>
            <w:r w:rsidRPr="00DE2887">
              <w:t xml:space="preserve">Singapore </w:t>
            </w:r>
            <w:r w:rsidR="00DE2887">
              <w:rPr>
                <w:b w:val="0"/>
                <w:bCs w:val="0"/>
              </w:rPr>
              <w:br/>
            </w:r>
            <w:r w:rsidRPr="00DE2887">
              <w:t>(26 and 28 GHz)</w:t>
            </w:r>
          </w:p>
        </w:tc>
        <w:tc>
          <w:tcPr>
            <w:tcW w:w="0" w:type="pct"/>
            <w:shd w:val="clear" w:color="auto" w:fill="F2F2F2" w:themeFill="background1" w:themeFillShade="F2"/>
          </w:tcPr>
          <w:p w14:paraId="70402E23"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Tender</w:t>
            </w:r>
          </w:p>
        </w:tc>
        <w:tc>
          <w:tcPr>
            <w:tcW w:w="0" w:type="pct"/>
            <w:shd w:val="clear" w:color="auto" w:fill="F2F2F2" w:themeFill="background1" w:themeFillShade="F2"/>
          </w:tcPr>
          <w:p w14:paraId="6936E135"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April 2020</w:t>
            </w:r>
          </w:p>
        </w:tc>
        <w:tc>
          <w:tcPr>
            <w:tcW w:w="0" w:type="pct"/>
            <w:shd w:val="clear" w:color="auto" w:fill="F2F2F2" w:themeFill="background1" w:themeFillShade="F2"/>
          </w:tcPr>
          <w:p w14:paraId="796AAF0D"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3,200</w:t>
            </w:r>
          </w:p>
        </w:tc>
        <w:tc>
          <w:tcPr>
            <w:tcW w:w="0" w:type="pct"/>
            <w:shd w:val="clear" w:color="auto" w:fill="F2F2F2" w:themeFill="background1" w:themeFillShade="F2"/>
          </w:tcPr>
          <w:p w14:paraId="0CCA8F25"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rsidRPr="00AC4AF5">
              <w:t>800^</w:t>
            </w:r>
          </w:p>
        </w:tc>
      </w:tr>
      <w:tr w:rsidR="00AE2778" w:rsidRPr="00AC4AF5" w14:paraId="5B5F32F9" w14:textId="77777777" w:rsidTr="00574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one" w:sz="0" w:space="0" w:color="auto"/>
              <w:right w:val="none" w:sz="0" w:space="0" w:color="auto"/>
            </w:tcBorders>
          </w:tcPr>
          <w:p w14:paraId="6E654D3F" w14:textId="583CB627" w:rsidR="00AE2778" w:rsidRPr="007F030F" w:rsidRDefault="00AE2778" w:rsidP="009825C4">
            <w:pPr>
              <w:pStyle w:val="TableBody"/>
              <w:rPr>
                <w:b w:val="0"/>
                <w:bCs w:val="0"/>
              </w:rPr>
            </w:pPr>
            <w:r w:rsidRPr="00DE2887">
              <w:t xml:space="preserve">Taiwan </w:t>
            </w:r>
            <w:r w:rsidR="00DE2887">
              <w:rPr>
                <w:b w:val="0"/>
                <w:bCs w:val="0"/>
              </w:rPr>
              <w:br/>
            </w:r>
            <w:r w:rsidRPr="00DE2887">
              <w:t>(28 GHz)</w:t>
            </w:r>
          </w:p>
        </w:tc>
        <w:tc>
          <w:tcPr>
            <w:tcW w:w="0" w:type="pct"/>
            <w:tcBorders>
              <w:top w:val="none" w:sz="0" w:space="0" w:color="auto"/>
              <w:bottom w:val="none" w:sz="0" w:space="0" w:color="auto"/>
            </w:tcBorders>
          </w:tcPr>
          <w:p w14:paraId="3F515DF3"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Auction</w:t>
            </w:r>
          </w:p>
        </w:tc>
        <w:tc>
          <w:tcPr>
            <w:tcW w:w="0" w:type="pct"/>
            <w:tcBorders>
              <w:top w:val="none" w:sz="0" w:space="0" w:color="auto"/>
              <w:bottom w:val="none" w:sz="0" w:space="0" w:color="auto"/>
            </w:tcBorders>
          </w:tcPr>
          <w:p w14:paraId="2F8E1B0E"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t>16 January 2020</w:t>
            </w:r>
          </w:p>
        </w:tc>
        <w:tc>
          <w:tcPr>
            <w:tcW w:w="0" w:type="pct"/>
            <w:tcBorders>
              <w:top w:val="none" w:sz="0" w:space="0" w:color="auto"/>
              <w:bottom w:val="none" w:sz="0" w:space="0" w:color="auto"/>
            </w:tcBorders>
          </w:tcPr>
          <w:p w14:paraId="79B0B183"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2,500</w:t>
            </w:r>
          </w:p>
        </w:tc>
        <w:tc>
          <w:tcPr>
            <w:tcW w:w="0" w:type="pct"/>
            <w:tcBorders>
              <w:top w:val="none" w:sz="0" w:space="0" w:color="auto"/>
              <w:bottom w:val="none" w:sz="0" w:space="0" w:color="auto"/>
            </w:tcBorders>
          </w:tcPr>
          <w:p w14:paraId="0A96EF18" w14:textId="77777777" w:rsidR="00AE2778" w:rsidRPr="00AC4AF5" w:rsidRDefault="00AE2778" w:rsidP="009825C4">
            <w:pPr>
              <w:pStyle w:val="TableBody"/>
              <w:cnfStyle w:val="000000100000" w:firstRow="0" w:lastRow="0" w:firstColumn="0" w:lastColumn="0" w:oddVBand="0" w:evenVBand="0" w:oddHBand="1" w:evenHBand="0" w:firstRowFirstColumn="0" w:firstRowLastColumn="0" w:lastRowFirstColumn="0" w:lastRowLastColumn="0"/>
            </w:pPr>
            <w:r w:rsidRPr="00AC4AF5">
              <w:t>up to 800</w:t>
            </w:r>
          </w:p>
        </w:tc>
      </w:tr>
      <w:tr w:rsidR="00AE2778" w:rsidRPr="00AC4AF5" w14:paraId="5F222D1B" w14:textId="77777777" w:rsidTr="00574B57">
        <w:tc>
          <w:tcPr>
            <w:cnfStyle w:val="001000000000" w:firstRow="0" w:lastRow="0" w:firstColumn="1" w:lastColumn="0" w:oddVBand="0" w:evenVBand="0" w:oddHBand="0" w:evenHBand="0" w:firstRowFirstColumn="0" w:firstRowLastColumn="0" w:lastRowFirstColumn="0" w:lastRowLastColumn="0"/>
            <w:tcW w:w="0" w:type="pct"/>
            <w:tcBorders>
              <w:right w:val="none" w:sz="0" w:space="0" w:color="auto"/>
            </w:tcBorders>
            <w:shd w:val="clear" w:color="auto" w:fill="F2F2F2" w:themeFill="background1" w:themeFillShade="F2"/>
          </w:tcPr>
          <w:p w14:paraId="6E3370B1" w14:textId="72378D82" w:rsidR="00AE2778" w:rsidRPr="007F030F" w:rsidRDefault="00AE2778" w:rsidP="009825C4">
            <w:pPr>
              <w:pStyle w:val="TableBody"/>
              <w:rPr>
                <w:b w:val="0"/>
                <w:bCs w:val="0"/>
              </w:rPr>
            </w:pPr>
            <w:r w:rsidRPr="00DE2887">
              <w:t xml:space="preserve">Finland </w:t>
            </w:r>
            <w:r w:rsidR="00DE2887">
              <w:rPr>
                <w:b w:val="0"/>
                <w:bCs w:val="0"/>
              </w:rPr>
              <w:br/>
            </w:r>
            <w:r w:rsidRPr="00DE2887">
              <w:t>(26 GHz)</w:t>
            </w:r>
          </w:p>
        </w:tc>
        <w:tc>
          <w:tcPr>
            <w:tcW w:w="0" w:type="pct"/>
            <w:shd w:val="clear" w:color="auto" w:fill="F2F2F2" w:themeFill="background1" w:themeFillShade="F2"/>
          </w:tcPr>
          <w:p w14:paraId="46772844"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Auction</w:t>
            </w:r>
          </w:p>
        </w:tc>
        <w:tc>
          <w:tcPr>
            <w:tcW w:w="0" w:type="pct"/>
            <w:shd w:val="clear" w:color="auto" w:fill="F2F2F2" w:themeFill="background1" w:themeFillShade="F2"/>
          </w:tcPr>
          <w:p w14:paraId="64509D2E" w14:textId="5D141AA4"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8 June 2020</w:t>
            </w:r>
            <w:r w:rsidR="00DE2887">
              <w:br/>
            </w:r>
            <w:r w:rsidR="00DE2887">
              <w:br/>
            </w:r>
            <w:r>
              <w:t>(</w:t>
            </w:r>
            <w:r w:rsidRPr="003E5602">
              <w:t xml:space="preserve">The lower part of the band, </w:t>
            </w:r>
            <w:r w:rsidR="00DE2887">
              <w:br/>
            </w:r>
            <w:r w:rsidRPr="003E5602">
              <w:t>24.25</w:t>
            </w:r>
            <w:r w:rsidR="00DE2887">
              <w:t>–</w:t>
            </w:r>
            <w:r w:rsidRPr="003E5602">
              <w:t>25.1</w:t>
            </w:r>
            <w:r w:rsidR="00DE2887">
              <w:t> </w:t>
            </w:r>
            <w:r w:rsidRPr="003E5602">
              <w:t>GHz, was excluded from the auction</w:t>
            </w:r>
            <w:r>
              <w:t>)</w:t>
            </w:r>
          </w:p>
        </w:tc>
        <w:tc>
          <w:tcPr>
            <w:tcW w:w="0" w:type="pct"/>
            <w:shd w:val="clear" w:color="auto" w:fill="F2F2F2" w:themeFill="background1" w:themeFillShade="F2"/>
          </w:tcPr>
          <w:p w14:paraId="03AADDCF"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2,400</w:t>
            </w:r>
          </w:p>
        </w:tc>
        <w:tc>
          <w:tcPr>
            <w:tcW w:w="0" w:type="pct"/>
            <w:shd w:val="clear" w:color="auto" w:fill="F2F2F2" w:themeFill="background1" w:themeFillShade="F2"/>
          </w:tcPr>
          <w:p w14:paraId="4D0BF77C" w14:textId="77777777" w:rsidR="00AE2778" w:rsidRPr="00AC4AF5" w:rsidRDefault="00AE2778" w:rsidP="009825C4">
            <w:pPr>
              <w:pStyle w:val="TableBody"/>
              <w:cnfStyle w:val="000000000000" w:firstRow="0" w:lastRow="0" w:firstColumn="0" w:lastColumn="0" w:oddVBand="0" w:evenVBand="0" w:oddHBand="0" w:evenHBand="0" w:firstRowFirstColumn="0" w:firstRowLastColumn="0" w:lastRowFirstColumn="0" w:lastRowLastColumn="0"/>
            </w:pPr>
            <w:r>
              <w:t>800</w:t>
            </w:r>
          </w:p>
        </w:tc>
      </w:tr>
    </w:tbl>
    <w:p w14:paraId="3D295593" w14:textId="674EEAE1" w:rsidR="00AE2778" w:rsidRDefault="00AE2778" w:rsidP="007F030F">
      <w:pPr>
        <w:pStyle w:val="Tableorfigurenotemultiple"/>
      </w:pPr>
      <w:r>
        <w:t>~ The 1,850 MHz threshold applies to spectrum held across all the mmWave bands (24, 28, 37</w:t>
      </w:r>
      <w:r w:rsidR="00DE2887">
        <w:t>–</w:t>
      </w:r>
      <w:r>
        <w:t>47 GHz) and triggers an FCC market review rather than functioning as a limit during the auction.</w:t>
      </w:r>
    </w:p>
    <w:p w14:paraId="75C4D066" w14:textId="77777777" w:rsidR="00AE2778" w:rsidRDefault="00AE2778" w:rsidP="007F030F">
      <w:pPr>
        <w:pStyle w:val="Tableorfigurenotemultiple"/>
        <w:rPr>
          <w:bCs/>
          <w:color w:val="000000" w:themeColor="text1"/>
          <w:sz w:val="22"/>
          <w:szCs w:val="22"/>
        </w:rPr>
      </w:pPr>
      <w:r>
        <w:t>^ The Singaporean regulator, IMDA, has announced 4 x 800 MHz blocks will be allocated in 2020.</w:t>
      </w:r>
    </w:p>
    <w:p w14:paraId="05E4B661" w14:textId="77777777" w:rsidR="00A93957" w:rsidRPr="00A93957" w:rsidRDefault="00A93957" w:rsidP="007F030F">
      <w:pPr>
        <w:pStyle w:val="Tableorfigurenotemultiple"/>
      </w:pPr>
    </w:p>
    <w:sectPr w:rsidR="00A93957" w:rsidRPr="00A93957" w:rsidSect="00C77380">
      <w:headerReference w:type="even" r:id="rId42"/>
      <w:headerReference w:type="default" r:id="rId43"/>
      <w:footerReference w:type="even" r:id="rId44"/>
      <w:footerReference w:type="default" r:id="rId45"/>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97DCE" w14:textId="77777777" w:rsidR="009A2F94" w:rsidRDefault="009A2F94">
      <w:r>
        <w:separator/>
      </w:r>
    </w:p>
  </w:endnote>
  <w:endnote w:type="continuationSeparator" w:id="0">
    <w:p w14:paraId="44FC6CC7" w14:textId="77777777" w:rsidR="009A2F94" w:rsidRDefault="009A2F94">
      <w:r>
        <w:continuationSeparator/>
      </w:r>
    </w:p>
  </w:endnote>
  <w:endnote w:type="continuationNotice" w:id="1">
    <w:p w14:paraId="678BC318" w14:textId="77777777" w:rsidR="009A2F94" w:rsidRDefault="009A2F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29440" w14:textId="77777777" w:rsidR="009A2F94" w:rsidRDefault="009A2F94" w:rsidP="005E250B">
    <w:pPr>
      <w:pStyle w:val="Footer"/>
      <w:jc w:val="right"/>
    </w:pPr>
    <w:r>
      <w:rPr>
        <w:noProof/>
      </w:rPr>
      <w:drawing>
        <wp:inline distT="0" distB="0" distL="0" distR="0" wp14:anchorId="7300B668" wp14:editId="16A18882">
          <wp:extent cx="1066800" cy="277368"/>
          <wp:effectExtent l="0" t="0" r="0" b="0"/>
          <wp:docPr id="1416536617"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72949" w14:textId="77777777" w:rsidR="009A2F94" w:rsidRDefault="009A2F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B9187" w14:textId="77777777" w:rsidR="009A2F94" w:rsidRDefault="009A2F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30468" w14:textId="77777777" w:rsidR="009A2F94" w:rsidRPr="00622A3B" w:rsidRDefault="009A2F9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074CE51F" w14:textId="77777777" w:rsidR="009A2F94" w:rsidRPr="00A5474E" w:rsidRDefault="009A2F94"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0ED86" w14:textId="77777777" w:rsidR="009A2F94" w:rsidRPr="00622A3B" w:rsidRDefault="009A2F9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5E8529C2" w14:textId="77777777" w:rsidR="009A2F94" w:rsidRPr="00A5474E" w:rsidRDefault="009A2F94"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2AD55" w14:textId="77777777" w:rsidR="009A2F94" w:rsidRPr="00622A3B" w:rsidRDefault="009A2F94"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6E8075DC" w14:textId="77777777" w:rsidR="009A2F94" w:rsidRPr="00A5474E" w:rsidRDefault="009A2F94"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0FDE1" w14:textId="77777777" w:rsidR="009A2F94" w:rsidRPr="00622A3B" w:rsidRDefault="009A2F94"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6BF88331" w14:textId="77777777" w:rsidR="009A2F94" w:rsidRPr="00A5474E" w:rsidRDefault="009A2F94"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9A093" w14:textId="77777777" w:rsidR="009A2F94" w:rsidRPr="00622A3B" w:rsidRDefault="009A2F94"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051227AF" w14:textId="77777777" w:rsidR="009A2F94" w:rsidRPr="00A5474E" w:rsidRDefault="009A2F94"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6DC8B" w14:textId="77777777" w:rsidR="009A2F94" w:rsidRDefault="009A2F94">
      <w:r>
        <w:separator/>
      </w:r>
    </w:p>
  </w:footnote>
  <w:footnote w:type="continuationSeparator" w:id="0">
    <w:p w14:paraId="219DFF15" w14:textId="77777777" w:rsidR="009A2F94" w:rsidRDefault="009A2F94">
      <w:r>
        <w:continuationSeparator/>
      </w:r>
    </w:p>
  </w:footnote>
  <w:footnote w:type="continuationNotice" w:id="1">
    <w:p w14:paraId="1A88EDBC" w14:textId="77777777" w:rsidR="009A2F94" w:rsidRDefault="009A2F94">
      <w:pPr>
        <w:spacing w:after="0" w:line="240" w:lineRule="auto"/>
      </w:pPr>
    </w:p>
  </w:footnote>
  <w:footnote w:id="2">
    <w:p w14:paraId="38C0A595" w14:textId="78468538" w:rsidR="009A2F94" w:rsidRDefault="009A2F94">
      <w:pPr>
        <w:pStyle w:val="FootnoteText"/>
      </w:pPr>
      <w:r>
        <w:rPr>
          <w:rStyle w:val="FootnoteReference"/>
        </w:rPr>
        <w:footnoteRef/>
      </w:r>
      <w:r>
        <w:t xml:space="preserve"> </w:t>
      </w:r>
      <w:r w:rsidRPr="00473A88">
        <w:t>The mmWave bands are in ’high-band’ spectrum, above 6 GHz, and until recently were unused for widespread wireless broadband purpose</w:t>
      </w:r>
      <w:r>
        <w:t>.</w:t>
      </w:r>
    </w:p>
  </w:footnote>
  <w:footnote w:id="3">
    <w:p w14:paraId="7AFF38EC" w14:textId="14813722" w:rsidR="009A2F94" w:rsidRDefault="009A2F94">
      <w:pPr>
        <w:pStyle w:val="FootnoteText"/>
      </w:pPr>
      <w:r>
        <w:rPr>
          <w:rStyle w:val="FootnoteReference"/>
        </w:rPr>
        <w:footnoteRef/>
      </w:r>
      <w:r>
        <w:t xml:space="preserve"> </w:t>
      </w:r>
      <w:r>
        <w:rPr>
          <w:rFonts w:cs="Arial"/>
          <w:snapToGrid w:val="0"/>
          <w:lang w:eastAsia="en-US"/>
        </w:rPr>
        <w:t xml:space="preserve">Based on stakeholder feedback, we will consider facilitating this change to the draft framework by amending relevant instruments, such as the </w:t>
      </w:r>
      <w:r w:rsidRPr="00AD1939">
        <w:rPr>
          <w:rFonts w:cs="Arial"/>
          <w:snapToGrid w:val="0"/>
          <w:lang w:eastAsia="en-US"/>
        </w:rPr>
        <w:t>Radiocommunications (Interpretation) Determination 2015</w:t>
      </w:r>
      <w:r w:rsidRPr="003B5258">
        <w:t>.</w:t>
      </w:r>
      <w:r>
        <w:t xml:space="preserve"> </w:t>
      </w:r>
    </w:p>
  </w:footnote>
  <w:footnote w:id="4">
    <w:p w14:paraId="5333D43D" w14:textId="252B5850" w:rsidR="009A2F94" w:rsidRDefault="009A2F94">
      <w:pPr>
        <w:pStyle w:val="FootnoteText"/>
      </w:pPr>
      <w:r>
        <w:rPr>
          <w:rStyle w:val="FootnoteReference"/>
        </w:rPr>
        <w:footnoteRef/>
      </w:r>
      <w:r>
        <w:t xml:space="preserve"> </w:t>
      </w:r>
      <w:r w:rsidRPr="00C36250">
        <w:t xml:space="preserve">For example, </w:t>
      </w:r>
      <w:r>
        <w:t xml:space="preserve">in April 2020, </w:t>
      </w:r>
      <w:r w:rsidRPr="00C36250">
        <w:t xml:space="preserve">Fujitsu was awarded </w:t>
      </w:r>
      <w:r>
        <w:t>Japan’s</w:t>
      </w:r>
      <w:r w:rsidRPr="00C36250">
        <w:t xml:space="preserve"> first commercial local 5G licence. Fujitsu </w:t>
      </w:r>
      <w:r>
        <w:t xml:space="preserve">says it </w:t>
      </w:r>
      <w:r w:rsidRPr="00C36250">
        <w:t>will be using its licence to power an AI-based security system in its Shin-Kawasaki Technology Square office, which covers an area of approximately 28,000 square metres.</w:t>
      </w:r>
    </w:p>
  </w:footnote>
  <w:footnote w:id="5">
    <w:p w14:paraId="174862B7" w14:textId="5CFCF8E1" w:rsidR="009A2F94" w:rsidRDefault="009A2F94" w:rsidP="2AAE4496">
      <w:pPr>
        <w:pStyle w:val="FootnoteText"/>
        <w:rPr>
          <w:highlight w:val="yellow"/>
        </w:rPr>
      </w:pPr>
      <w:r>
        <w:rPr>
          <w:rStyle w:val="FootnoteReference"/>
        </w:rPr>
        <w:footnoteRef/>
      </w:r>
      <w:r>
        <w:t xml:space="preserve"> </w:t>
      </w:r>
      <w:r w:rsidRPr="006D48DE">
        <w:t>The HCIS is the system used by the ACMA to define geographic areas for radiocommunications licensing and is based on the Australian Spectrum Map Grid (ASMG</w:t>
      </w:r>
      <w:r>
        <w:t>).</w:t>
      </w:r>
      <w:r w:rsidRPr="00B1357C">
        <w:t xml:space="preserve"> HCIS is a naming convention developed by the ACMA that applies unique ‘names’ to each of the cells that make up the </w:t>
      </w:r>
      <w:r>
        <w:t>ASMG.</w:t>
      </w:r>
      <w:r w:rsidRPr="00B1357C">
        <w:t xml:space="preserve"> </w:t>
      </w:r>
      <w:r>
        <w:t>M</w:t>
      </w:r>
      <w:r w:rsidRPr="00B1357C">
        <w:t xml:space="preserve">ore information is on the </w:t>
      </w:r>
      <w:hyperlink r:id="rId1" w:history="1">
        <w:r w:rsidRPr="00726011">
          <w:rPr>
            <w:rStyle w:val="Hyperlink"/>
          </w:rPr>
          <w:t>ACMA website</w:t>
        </w:r>
      </w:hyperlink>
      <w:r w:rsidRPr="00726011">
        <w:t>.</w:t>
      </w:r>
    </w:p>
  </w:footnote>
  <w:footnote w:id="6">
    <w:p w14:paraId="4FFF7F42" w14:textId="2195DADE" w:rsidR="009A2F94" w:rsidRDefault="009A2F94" w:rsidP="00124C58">
      <w:pPr>
        <w:pStyle w:val="FootnoteText"/>
      </w:pPr>
      <w:r>
        <w:rPr>
          <w:rStyle w:val="FootnoteReference"/>
        </w:rPr>
        <w:footnoteRef/>
      </w:r>
      <w:r>
        <w:t xml:space="preserve"> The taxation arrangements for PMTS Class B licences that use the $/MHz/Pop pricing construct assume a population from at least a HCIS 02 cell. If more than one HCIS 02 cell is authorised, the populations from those cells are added together to estimate the population in the tax calculation. However, the AWL pricing arrangements assume that the minimum cell size is HCIS 00.</w:t>
      </w:r>
    </w:p>
  </w:footnote>
  <w:footnote w:id="7">
    <w:p w14:paraId="17C1DC06" w14:textId="0445CDF9" w:rsidR="009A2F94" w:rsidRDefault="009A2F94" w:rsidP="00124C58">
      <w:pPr>
        <w:pStyle w:val="FootnoteText"/>
        <w:rPr>
          <w:sz w:val="18"/>
        </w:rPr>
      </w:pPr>
      <w:r>
        <w:rPr>
          <w:rStyle w:val="FootnoteReference"/>
          <w:rFonts w:cs="Arial"/>
        </w:rPr>
        <w:footnoteRef/>
      </w:r>
      <w:r>
        <w:rPr>
          <w:rFonts w:cs="Arial"/>
        </w:rPr>
        <w:t xml:space="preserve"> Prices have been adjusted to reflect a one-year licence in Australian dollars. As the auctions have occurred over the last two years, we have assumed a weighted average cost of capital of 5.5 per cent and cash flows of 2.5 per cent. The ACMA is mindful that economic circumstances are changing, and particularly the WACC may be lower for some of the more recent auctions. However, given the low tax rates calculated and accounting for rounding, there would only be marginal differences in the estimates prices outlined in Table 1.</w:t>
      </w:r>
      <w:r w:rsidRPr="008C283F">
        <w:t xml:space="preserve"> </w:t>
      </w:r>
      <w:r w:rsidRPr="008C283F">
        <w:rPr>
          <w:rFonts w:cs="Arial"/>
        </w:rPr>
        <w:t xml:space="preserve">The </w:t>
      </w:r>
      <w:r>
        <w:rPr>
          <w:rFonts w:cs="Arial"/>
        </w:rPr>
        <w:t>one</w:t>
      </w:r>
      <w:r w:rsidRPr="008C283F">
        <w:rPr>
          <w:rFonts w:cs="Arial"/>
        </w:rPr>
        <w:t xml:space="preserve">-year price conversion uses the duration adjustment formula exhibited in </w:t>
      </w:r>
      <w:hyperlink r:id="rId2" w:history="1">
        <w:r w:rsidRPr="00ED3B6F">
          <w:rPr>
            <w:rStyle w:val="Hyperlink"/>
            <w:rFonts w:cs="Arial"/>
          </w:rPr>
          <w:t>https://www.legislation.gov.au/Details/F2013L00011/Explanatory%20Statement/Text</w:t>
        </w:r>
      </w:hyperlink>
      <w:r w:rsidRPr="008C283F">
        <w:rPr>
          <w:rFonts w:cs="Arial"/>
        </w:rPr>
        <w:t>. Note the only difference relates to the previous WACC of 8.4 per cent</w:t>
      </w:r>
      <w:r>
        <w:rPr>
          <w:rFonts w:cs="Arial"/>
        </w:rPr>
        <w:t>,</w:t>
      </w:r>
      <w:r w:rsidRPr="008C283F">
        <w:rPr>
          <w:rFonts w:cs="Arial"/>
        </w:rPr>
        <w:t xml:space="preserve"> which is now 5.5 per cent.</w:t>
      </w:r>
    </w:p>
  </w:footnote>
  <w:footnote w:id="8">
    <w:p w14:paraId="2F93CCF6" w14:textId="30BA2A35" w:rsidR="009A2F94" w:rsidRDefault="009A2F94">
      <w:pPr>
        <w:pStyle w:val="FootnoteText"/>
      </w:pPr>
      <w:r>
        <w:rPr>
          <w:rStyle w:val="FootnoteReference"/>
        </w:rPr>
        <w:footnoteRef/>
      </w:r>
      <w:r>
        <w:t xml:space="preserve"> </w:t>
      </w:r>
      <w:r w:rsidRPr="005523D8">
        <w:t xml:space="preserve">The US </w:t>
      </w:r>
      <w:r>
        <w:t>‘</w:t>
      </w:r>
      <w:r w:rsidRPr="005523D8">
        <w:t>Auction 102</w:t>
      </w:r>
      <w:r>
        <w:t>’</w:t>
      </w:r>
      <w:r w:rsidRPr="005523D8">
        <w:t xml:space="preserve"> sold 700 MHz in two different categories: 500 MHz and 200 MHz blocks</w:t>
      </w:r>
      <w:r>
        <w:t>,</w:t>
      </w:r>
      <w:r w:rsidRPr="005523D8">
        <w:t xml:space="preserve"> with lot sizes of 100 MH</w:t>
      </w:r>
      <w:r>
        <w:t>z</w:t>
      </w:r>
      <w:r w:rsidRPr="005523D8">
        <w:t>. Th</w:t>
      </w:r>
      <w:r>
        <w:t xml:space="preserve">ese results </w:t>
      </w:r>
      <w:r w:rsidRPr="005523D8">
        <w:t xml:space="preserve">reflect </w:t>
      </w:r>
      <w:r>
        <w:t>the a</w:t>
      </w:r>
      <w:r w:rsidRPr="005523D8">
        <w:t xml:space="preserve">verage </w:t>
      </w:r>
      <w:r>
        <w:t xml:space="preserve">prices paid </w:t>
      </w:r>
      <w:r w:rsidRPr="005523D8">
        <w:t>within each categor</w:t>
      </w:r>
      <w:r>
        <w:t>y</w:t>
      </w:r>
      <w:r w:rsidRPr="005523D8">
        <w:t>.</w:t>
      </w:r>
    </w:p>
  </w:footnote>
  <w:footnote w:id="9">
    <w:p w14:paraId="03228BE1" w14:textId="10BF30BF" w:rsidR="009A2F94" w:rsidRDefault="009A2F94" w:rsidP="0020677E">
      <w:r w:rsidRPr="00481456">
        <w:rPr>
          <w:rFonts w:eastAsiaTheme="minorHAnsi" w:cs="Arial"/>
          <w:sz w:val="16"/>
          <w:szCs w:val="20"/>
          <w:vertAlign w:val="superscript"/>
          <w:lang w:eastAsia="en-US"/>
        </w:rPr>
        <w:footnoteRef/>
      </w:r>
      <w:r w:rsidRPr="009659D4">
        <w:rPr>
          <w:rFonts w:eastAsiaTheme="minorHAnsi" w:cs="Arial"/>
          <w:sz w:val="16"/>
          <w:szCs w:val="20"/>
          <w:lang w:eastAsia="en-US"/>
        </w:rPr>
        <w:t xml:space="preserve"> The guiding principles can be found in the ACMA’s consultation concerning the </w:t>
      </w:r>
      <w:hyperlink r:id="rId3" w:history="1">
        <w:r w:rsidRPr="009B769A">
          <w:rPr>
            <w:rStyle w:val="Hyperlink"/>
            <w:rFonts w:eastAsiaTheme="minorHAnsi" w:cs="Arial"/>
            <w:sz w:val="16"/>
            <w:szCs w:val="20"/>
            <w:lang w:eastAsia="en-US"/>
          </w:rPr>
          <w:t>implementation of the Spectrum Pricing Review</w:t>
        </w:r>
      </w:hyperlink>
      <w:r>
        <w:rPr>
          <w:rFonts w:eastAsiaTheme="minorHAnsi" w:cs="Arial"/>
          <w:sz w:val="16"/>
          <w:szCs w:val="20"/>
          <w:lang w:eastAsia="en-US"/>
        </w:rPr>
        <w:t>.</w:t>
      </w:r>
    </w:p>
  </w:footnote>
  <w:footnote w:id="10">
    <w:p w14:paraId="4F9ECEBC" w14:textId="77777777" w:rsidR="009A2F94" w:rsidRDefault="009A2F94" w:rsidP="00A93957">
      <w:pPr>
        <w:pStyle w:val="FootnoteText"/>
      </w:pPr>
      <w:r>
        <w:rPr>
          <w:rStyle w:val="FootnoteReference"/>
        </w:rPr>
        <w:footnoteRef/>
      </w:r>
      <w:r>
        <w:t xml:space="preserve"> Existing LCDs are available on the Federal Register of Legislation </w:t>
      </w:r>
      <w:hyperlink r:id="rId4" w:history="1">
        <w:r w:rsidRPr="00000203">
          <w:rPr>
            <w:rStyle w:val="Hyperlink"/>
          </w:rPr>
          <w:t>website</w:t>
        </w:r>
      </w:hyperlink>
      <w:r>
        <w:t>.</w:t>
      </w:r>
    </w:p>
  </w:footnote>
  <w:footnote w:id="11">
    <w:p w14:paraId="1A6DD193" w14:textId="1D46486F" w:rsidR="009A2F94" w:rsidRDefault="009A2F94" w:rsidP="00A93957">
      <w:pPr>
        <w:pStyle w:val="FootnoteText"/>
      </w:pPr>
      <w:r>
        <w:rPr>
          <w:rStyle w:val="FootnoteReference"/>
        </w:rPr>
        <w:footnoteRef/>
      </w:r>
      <w:r>
        <w:t xml:space="preserve"> If a licence contains conditions which are inconsistent with a relevant LCD, then the licence condition takes precedence.</w:t>
      </w:r>
    </w:p>
  </w:footnote>
  <w:footnote w:id="12">
    <w:p w14:paraId="7E0ABBF9" w14:textId="11BDD35A" w:rsidR="009A2F94" w:rsidRDefault="009A2F94">
      <w:pPr>
        <w:pStyle w:val="FootnoteText"/>
      </w:pPr>
      <w:r>
        <w:rPr>
          <w:rStyle w:val="FootnoteReference"/>
        </w:rPr>
        <w:footnoteRef/>
      </w:r>
      <w:r>
        <w:t xml:space="preserve"> Radiocommunications Assignment and Licensing Instructions or RALIs. Existing RALIs are available on the </w:t>
      </w:r>
      <w:hyperlink r:id="rId5" w:history="1">
        <w:r w:rsidRPr="0098240F">
          <w:rPr>
            <w:rStyle w:val="Hyperlink"/>
          </w:rPr>
          <w:t>ACMA website</w:t>
        </w:r>
      </w:hyperlink>
      <w:r>
        <w:t>.</w:t>
      </w:r>
    </w:p>
  </w:footnote>
  <w:footnote w:id="13">
    <w:p w14:paraId="0E8CEFAF" w14:textId="329BF7B2" w:rsidR="009A2F94" w:rsidRDefault="009A2F94">
      <w:pPr>
        <w:pStyle w:val="FootnoteText"/>
      </w:pPr>
      <w:r>
        <w:rPr>
          <w:rStyle w:val="FootnoteReference"/>
        </w:rPr>
        <w:footnoteRef/>
      </w:r>
      <w:r>
        <w:t xml:space="preserve"> Business Operating Procedures or BoPs—existing BoPs are available on the </w:t>
      </w:r>
      <w:hyperlink r:id="rId6" w:history="1">
        <w:r w:rsidRPr="00AC6072">
          <w:rPr>
            <w:rStyle w:val="Hyperlink"/>
          </w:rPr>
          <w:t>ACMA website</w:t>
        </w:r>
      </w:hyperlink>
      <w:r>
        <w:t>.</w:t>
      </w:r>
    </w:p>
  </w:footnote>
  <w:footnote w:id="14">
    <w:p w14:paraId="5EA24A85" w14:textId="6BF0DE3D" w:rsidR="009A2F94" w:rsidRDefault="009A2F94">
      <w:pPr>
        <w:pStyle w:val="FootnoteText"/>
      </w:pPr>
      <w:r>
        <w:rPr>
          <w:rStyle w:val="FootnoteReference"/>
        </w:rPr>
        <w:footnoteRef/>
      </w:r>
      <w:r>
        <w:t xml:space="preserve"> Specified </w:t>
      </w:r>
      <w:r w:rsidRPr="00F307E9">
        <w:t xml:space="preserve">areas means </w:t>
      </w:r>
      <w:r w:rsidRPr="00557AF3">
        <w:t>large population centres</w:t>
      </w:r>
      <w:r>
        <w:t xml:space="preserve"> as </w:t>
      </w:r>
      <w:r w:rsidRPr="003C74CD">
        <w:t xml:space="preserve">named in the </w:t>
      </w:r>
      <w:hyperlink r:id="rId7" w:history="1">
        <w:r w:rsidR="00C10D4A" w:rsidRPr="00700B86">
          <w:rPr>
            <w:rStyle w:val="Hyperlink"/>
          </w:rPr>
          <w:t>Radiocommunications (Spectrum Re-allocation</w:t>
        </w:r>
        <w:r w:rsidR="00C10D4A">
          <w:rPr>
            <w:rStyle w:val="Hyperlink"/>
          </w:rPr>
          <w:t>—</w:t>
        </w:r>
        <w:r w:rsidR="00C10D4A" w:rsidRPr="00700B86">
          <w:rPr>
            <w:rStyle w:val="Hyperlink"/>
          </w:rPr>
          <w:t xml:space="preserve">26GHz Band) Declaration 2019 (the </w:t>
        </w:r>
        <w:r w:rsidR="00C10D4A">
          <w:rPr>
            <w:rStyle w:val="Hyperlink"/>
          </w:rPr>
          <w:t>R</w:t>
        </w:r>
        <w:r w:rsidR="00C10D4A" w:rsidRPr="00700B86">
          <w:rPr>
            <w:rStyle w:val="Hyperlink"/>
          </w:rPr>
          <w:t xml:space="preserve">e-allocation </w:t>
        </w:r>
        <w:r w:rsidR="00C10D4A">
          <w:rPr>
            <w:rStyle w:val="Hyperlink"/>
          </w:rPr>
          <w:t>D</w:t>
        </w:r>
        <w:r w:rsidR="00C10D4A" w:rsidRPr="00700B86">
          <w:rPr>
            <w:rStyle w:val="Hyperlink"/>
          </w:rPr>
          <w:t>eclaration)</w:t>
        </w:r>
      </w:hyperlink>
      <w:r w:rsidR="00C10D4A" w:rsidRPr="00B966DE">
        <w:t>.</w:t>
      </w:r>
    </w:p>
  </w:footnote>
  <w:footnote w:id="15">
    <w:p w14:paraId="0B2BAE9D" w14:textId="2FEB9670" w:rsidR="009A2F94" w:rsidRDefault="009A2F94">
      <w:pPr>
        <w:pStyle w:val="FootnoteText"/>
      </w:pPr>
      <w:r>
        <w:rPr>
          <w:rStyle w:val="FootnoteReference"/>
        </w:rPr>
        <w:footnoteRef/>
      </w:r>
      <w:r>
        <w:t xml:space="preserve"> ‘Specified</w:t>
      </w:r>
      <w:r w:rsidRPr="00D22AC6">
        <w:t xml:space="preserve"> areas</w:t>
      </w:r>
      <w:r>
        <w:t>’</w:t>
      </w:r>
      <w:r w:rsidRPr="00D22AC6">
        <w:t xml:space="preserve"> </w:t>
      </w:r>
      <w:r>
        <w:t>in A2, A3, A4 and A5 are</w:t>
      </w:r>
      <w:r w:rsidRPr="00D22AC6">
        <w:t xml:space="preserve"> </w:t>
      </w:r>
      <w:r>
        <w:t xml:space="preserve">large population centres as </w:t>
      </w:r>
      <w:r w:rsidRPr="00D22AC6">
        <w:t xml:space="preserve">named in </w:t>
      </w:r>
      <w:r>
        <w:t xml:space="preserve">the </w:t>
      </w:r>
      <w:hyperlink r:id="rId8" w:history="1">
        <w:r w:rsidRPr="00700B86">
          <w:rPr>
            <w:rStyle w:val="Hyperlink"/>
          </w:rPr>
          <w:t>Radiocommunications (Spectrum Re-allocation</w:t>
        </w:r>
        <w:r>
          <w:rPr>
            <w:rStyle w:val="Hyperlink"/>
          </w:rPr>
          <w:t>—</w:t>
        </w:r>
        <w:r w:rsidRPr="00700B86">
          <w:rPr>
            <w:rStyle w:val="Hyperlink"/>
          </w:rPr>
          <w:t xml:space="preserve">26GHz Band) Declaration 2019 (the </w:t>
        </w:r>
        <w:r>
          <w:rPr>
            <w:rStyle w:val="Hyperlink"/>
          </w:rPr>
          <w:t>R</w:t>
        </w:r>
        <w:r w:rsidRPr="00700B86">
          <w:rPr>
            <w:rStyle w:val="Hyperlink"/>
          </w:rPr>
          <w:t xml:space="preserve">e-allocation </w:t>
        </w:r>
        <w:r>
          <w:rPr>
            <w:rStyle w:val="Hyperlink"/>
          </w:rPr>
          <w:t>D</w:t>
        </w:r>
        <w:r w:rsidRPr="00700B86">
          <w:rPr>
            <w:rStyle w:val="Hyperlink"/>
          </w:rPr>
          <w:t>eclaration)</w:t>
        </w:r>
      </w:hyperlink>
      <w:r w:rsidRPr="00B966DE">
        <w:t>.</w:t>
      </w:r>
    </w:p>
  </w:footnote>
  <w:footnote w:id="16">
    <w:p w14:paraId="3B4AF42F" w14:textId="7BF71668" w:rsidR="009A2F94" w:rsidRDefault="009A2F94">
      <w:pPr>
        <w:pStyle w:val="FootnoteText"/>
      </w:pPr>
      <w:r>
        <w:rPr>
          <w:rStyle w:val="FootnoteReference"/>
        </w:rPr>
        <w:footnoteRef/>
      </w:r>
      <w:r>
        <w:t xml:space="preserve"> For both A4 and A5 c</w:t>
      </w:r>
      <w:r w:rsidRPr="005155FA">
        <w:t>lass licensed ubiquitous FSS earth stations are contingent on the</w:t>
      </w:r>
      <w:r>
        <w:t xml:space="preserve"> </w:t>
      </w:r>
      <w:r w:rsidRPr="005155FA">
        <w:t>appropriate space receive apparatus licence being in place. Expansion of regulatory arrangements supporting ubiquitous earth stations below 28.3 GHz requires amendment to the CSO class licence which will be subject to a separate consultation process. The extent of any expansion will be determined by the viability of different types of ubiquitous earth stations to coexist with primary uses.</w:t>
      </w:r>
      <w:r>
        <w:t xml:space="preserve"> </w:t>
      </w:r>
    </w:p>
  </w:footnote>
  <w:footnote w:id="17">
    <w:p w14:paraId="03157899" w14:textId="4AE2FC9C" w:rsidR="009A2F94" w:rsidRDefault="009A2F94">
      <w:pPr>
        <w:pStyle w:val="FootnoteText"/>
      </w:pPr>
      <w:r>
        <w:rPr>
          <w:rStyle w:val="FootnoteReference"/>
        </w:rPr>
        <w:footnoteRef/>
      </w:r>
      <w:r>
        <w:t xml:space="preserve"> </w:t>
      </w:r>
      <w:r w:rsidRPr="00D44DB3">
        <w:t>AWL receiver means a radiocommunications receiver for reception of radio emission from area-wide stations and that do not require an area-wide receive licence.</w:t>
      </w:r>
    </w:p>
  </w:footnote>
  <w:footnote w:id="18">
    <w:p w14:paraId="721EB3B1" w14:textId="74B2F31A" w:rsidR="009A2F94" w:rsidRDefault="009A2F94" w:rsidP="00A93957">
      <w:pPr>
        <w:pStyle w:val="FootnoteText"/>
      </w:pPr>
      <w:r>
        <w:rPr>
          <w:rStyle w:val="FootnoteReference"/>
        </w:rPr>
        <w:footnoteRef/>
      </w:r>
      <w:r>
        <w:t xml:space="preserve"> All the arrangements in RALI MS 38 will still apply for FSS earth stations operating in the range </w:t>
      </w:r>
      <w:r>
        <w:br/>
        <w:t xml:space="preserve">29.5–30 GHz. </w:t>
      </w:r>
    </w:p>
  </w:footnote>
  <w:footnote w:id="19">
    <w:p w14:paraId="1EE09440" w14:textId="77777777" w:rsidR="009A2F94" w:rsidRDefault="009A2F94" w:rsidP="00A93957">
      <w:pPr>
        <w:pStyle w:val="FootnoteText"/>
      </w:pPr>
      <w:r>
        <w:rPr>
          <w:rStyle w:val="FootnoteReference"/>
        </w:rPr>
        <w:footnoteRef/>
      </w:r>
      <w:r>
        <w:t xml:space="preserve"> FWA is a subset of the wireless broadband service, limited to operation at fixed locations only.</w:t>
      </w:r>
    </w:p>
  </w:footnote>
  <w:footnote w:id="20">
    <w:p w14:paraId="703B65A8" w14:textId="460B00D5" w:rsidR="009A2F94" w:rsidRDefault="009A2F94">
      <w:pPr>
        <w:pStyle w:val="FootnoteText"/>
      </w:pPr>
      <w:r>
        <w:rPr>
          <w:rStyle w:val="FootnoteReference"/>
        </w:rPr>
        <w:footnoteRef/>
      </w:r>
      <w:r>
        <w:t xml:space="preserve"> </w:t>
      </w:r>
      <w:r w:rsidRPr="007E4A83">
        <w:t>This arrangement will avoid the need for changes to body scanner operating requirements, noting that the risk of interference is extremely small.</w:t>
      </w:r>
    </w:p>
  </w:footnote>
  <w:footnote w:id="21">
    <w:p w14:paraId="399EFE31" w14:textId="77777777" w:rsidR="009A2F94" w:rsidRDefault="009A2F94" w:rsidP="00A93957">
      <w:pPr>
        <w:pStyle w:val="FootnoteText"/>
      </w:pPr>
      <w:r>
        <w:rPr>
          <w:rStyle w:val="FootnoteReference"/>
        </w:rPr>
        <w:footnoteRef/>
      </w:r>
      <w:r>
        <w:t xml:space="preserve"> Copies of the ITU-R Radio Regulations are available on the </w:t>
      </w:r>
      <w:hyperlink r:id="rId9" w:history="1">
        <w:r w:rsidRPr="00DA0E1E">
          <w:rPr>
            <w:rStyle w:val="Hyperlink"/>
          </w:rPr>
          <w:t>ITU-R website</w:t>
        </w:r>
      </w:hyperlink>
      <w:r>
        <w:t>.</w:t>
      </w:r>
    </w:p>
  </w:footnote>
  <w:footnote w:id="22">
    <w:p w14:paraId="238A6343" w14:textId="77777777" w:rsidR="009A2F94" w:rsidRDefault="009A2F94" w:rsidP="00A93957">
      <w:pPr>
        <w:pStyle w:val="FootnoteText"/>
      </w:pPr>
      <w:r>
        <w:rPr>
          <w:rStyle w:val="FootnoteReference"/>
        </w:rPr>
        <w:footnoteRef/>
      </w:r>
      <w:r>
        <w:t xml:space="preserve"> See section 299 of the Act.</w:t>
      </w:r>
    </w:p>
  </w:footnote>
  <w:footnote w:id="23">
    <w:p w14:paraId="0F0EC36E" w14:textId="77777777" w:rsidR="009A2F94" w:rsidRDefault="009A2F94" w:rsidP="00A93957">
      <w:pPr>
        <w:pStyle w:val="FootnoteText"/>
      </w:pPr>
      <w:r>
        <w:rPr>
          <w:rStyle w:val="FootnoteReference"/>
        </w:rPr>
        <w:footnoteRef/>
      </w:r>
      <w:r>
        <w:t xml:space="preserve"> How Article 21.5 should be applied to transmitters which employ modern beam-steering antennas and wide channel bandwidths was discussed during WRC-19. This issue will continue to be discussed internationally in preparation for the 2023 World Radiocommunication Conference.</w:t>
      </w:r>
    </w:p>
  </w:footnote>
  <w:footnote w:id="24">
    <w:p w14:paraId="446C0E61" w14:textId="40DDB186" w:rsidR="009A2F94" w:rsidRDefault="009A2F94" w:rsidP="00A93957">
      <w:pPr>
        <w:pStyle w:val="FootnoteText"/>
      </w:pPr>
      <w:r>
        <w:rPr>
          <w:rStyle w:val="FootnoteReference"/>
        </w:rPr>
        <w:footnoteRef/>
      </w:r>
      <w:r>
        <w:t xml:space="preserve"> The gateway footprints areas are defined in the draft LCD amendment determination at </w:t>
      </w:r>
      <w:r w:rsidRPr="00C209B0">
        <w:t xml:space="preserve">Attachment </w:t>
      </w:r>
      <w:r>
        <w:t>B</w:t>
      </w:r>
      <w:r w:rsidRPr="00C209B0">
        <w:t>.</w:t>
      </w:r>
    </w:p>
  </w:footnote>
  <w:footnote w:id="25">
    <w:p w14:paraId="00707AA8" w14:textId="77777777" w:rsidR="009A2F94" w:rsidRDefault="009A2F94" w:rsidP="00A93957">
      <w:pPr>
        <w:pStyle w:val="FootnoteText"/>
      </w:pPr>
      <w:r>
        <w:rPr>
          <w:rStyle w:val="FootnoteReference"/>
        </w:rPr>
        <w:footnoteRef/>
      </w:r>
      <w:r>
        <w:t xml:space="preserve"> Licensees will still need to comply with the licence condition which requires transmitters to be registered before operation unless specifically exempt. </w:t>
      </w:r>
    </w:p>
  </w:footnote>
  <w:footnote w:id="26">
    <w:p w14:paraId="761E2338" w14:textId="77777777" w:rsidR="009A2F94" w:rsidRPr="00A373EB" w:rsidRDefault="009A2F94" w:rsidP="00A93957">
      <w:pPr>
        <w:pStyle w:val="FootnoteText"/>
      </w:pPr>
      <w:r w:rsidRPr="00A373EB">
        <w:rPr>
          <w:rStyle w:val="FootnoteReference"/>
        </w:rPr>
        <w:footnoteRef/>
      </w:r>
      <w:r w:rsidRPr="00A373EB">
        <w:t xml:space="preserve"> </w:t>
      </w:r>
      <w:r w:rsidRPr="00B61B30">
        <w:t xml:space="preserve">ITU-R Resolution 242 (WRC-19) is contained in the Final Acts of WRC-19, available from the </w:t>
      </w:r>
      <w:hyperlink r:id="rId10" w:history="1">
        <w:r w:rsidRPr="00A373EB">
          <w:rPr>
            <w:rStyle w:val="Hyperlink"/>
          </w:rPr>
          <w:t>ITU-R website</w:t>
        </w:r>
      </w:hyperlink>
      <w:r w:rsidRPr="00A373EB">
        <w:t>.</w:t>
      </w:r>
    </w:p>
  </w:footnote>
  <w:footnote w:id="27">
    <w:p w14:paraId="7D3A1147" w14:textId="1025235C" w:rsidR="009A2F94" w:rsidRDefault="009A2F94" w:rsidP="00A93957">
      <w:pPr>
        <w:pStyle w:val="FootnoteText"/>
      </w:pPr>
      <w:r>
        <w:rPr>
          <w:rStyle w:val="FootnoteReference"/>
        </w:rPr>
        <w:footnoteRef/>
      </w:r>
      <w:r>
        <w:t xml:space="preserve"> </w:t>
      </w:r>
      <w:r w:rsidRPr="00A373EB">
        <w:t xml:space="preserve">In addition to adhering to </w:t>
      </w:r>
      <w:r w:rsidRPr="00A373EB">
        <w:rPr>
          <w:i/>
          <w:iCs/>
        </w:rPr>
        <w:t xml:space="preserve">resolves </w:t>
      </w:r>
      <w:r w:rsidRPr="00A373EB">
        <w:t>2.1 and 2.2 of ITU-R Resolution 242 (WRC-19)</w:t>
      </w:r>
      <w:r>
        <w:t xml:space="preserve"> for transmitters in the range 24.7–27.5 GHz</w:t>
      </w:r>
      <w:r w:rsidRPr="00A373EB">
        <w:t>.</w:t>
      </w:r>
    </w:p>
  </w:footnote>
  <w:footnote w:id="28">
    <w:p w14:paraId="56ED7FEC" w14:textId="03D044C5" w:rsidR="009A2F94" w:rsidRDefault="009A2F94">
      <w:pPr>
        <w:pStyle w:val="FootnoteText"/>
      </w:pPr>
      <w:r>
        <w:rPr>
          <w:rStyle w:val="FootnoteReference"/>
        </w:rPr>
        <w:footnoteRef/>
      </w:r>
      <w:r>
        <w:t xml:space="preserve"> The proposed 26 GHz spectrum licence DBC is detailed in the draft </w:t>
      </w:r>
      <w:r w:rsidRPr="00DB5068">
        <w:t>Radiocommunications (Unacceptable Levels of Interference – 26 GHz Band) Determination 2020</w:t>
      </w:r>
      <w:r>
        <w:t xml:space="preserve">, available on the </w:t>
      </w:r>
      <w:hyperlink r:id="rId11" w:history="1">
        <w:r w:rsidRPr="00852509">
          <w:rPr>
            <w:rStyle w:val="Hyperlink"/>
          </w:rPr>
          <w:t>ACMA website</w:t>
        </w:r>
      </w:hyperlink>
      <w:r>
        <w:t>.</w:t>
      </w:r>
    </w:p>
  </w:footnote>
  <w:footnote w:id="29">
    <w:p w14:paraId="37B5D8CA" w14:textId="77777777" w:rsidR="009A2F94" w:rsidRDefault="009A2F94" w:rsidP="00A93957">
      <w:pPr>
        <w:pStyle w:val="FootnoteText"/>
      </w:pPr>
      <w:r>
        <w:rPr>
          <w:rStyle w:val="FootnoteReference"/>
        </w:rPr>
        <w:footnoteRef/>
      </w:r>
      <w:r>
        <w:t xml:space="preserve"> Hierarchical Cell Identification Scheme or HCIS is a way of describing geographic areas within the </w:t>
      </w:r>
      <w:hyperlink r:id="rId12" w:history="1">
        <w:r w:rsidRPr="005A69F6">
          <w:rPr>
            <w:rStyle w:val="Hyperlink"/>
          </w:rPr>
          <w:t>Australian Spectrum Map Grid</w:t>
        </w:r>
      </w:hyperlink>
      <w:r>
        <w:t>.</w:t>
      </w:r>
    </w:p>
  </w:footnote>
  <w:footnote w:id="30">
    <w:p w14:paraId="564A8AEF" w14:textId="18BCBEA4" w:rsidR="009A2F94" w:rsidRDefault="009A2F94" w:rsidP="00A93957">
      <w:pPr>
        <w:pStyle w:val="FootnoteText"/>
      </w:pPr>
      <w:r>
        <w:rPr>
          <w:rStyle w:val="FootnoteReference"/>
        </w:rPr>
        <w:footnoteRef/>
      </w:r>
      <w:r>
        <w:t xml:space="preserve"> This document will be modified to include the procedural differences between AWLs and </w:t>
      </w:r>
      <w:r w:rsidRPr="00DB5068">
        <w:t>fixed-earth</w:t>
      </w:r>
      <w:r>
        <w:t xml:space="preserve"> apparatus licences—in particular, to outline that these regulatory procedures apply after licence issue for AWLs as opposed to pre licence issue for </w:t>
      </w:r>
      <w:r w:rsidRPr="00DB5068">
        <w:t>fixed earth</w:t>
      </w:r>
      <w:r>
        <w:t xml:space="preserve"> licences.</w:t>
      </w:r>
    </w:p>
  </w:footnote>
  <w:footnote w:id="31">
    <w:p w14:paraId="04C0CC98" w14:textId="77777777" w:rsidR="009A2F94" w:rsidRDefault="009A2F94" w:rsidP="00A93957">
      <w:pPr>
        <w:pStyle w:val="FootnoteText"/>
      </w:pPr>
      <w:r>
        <w:rPr>
          <w:rStyle w:val="FootnoteReference"/>
        </w:rPr>
        <w:footnoteRef/>
      </w:r>
      <w:r>
        <w:t xml:space="preserve"> Licence conditions for AWLs in the 26/28 GHz band will be consulted on in a separate process.</w:t>
      </w:r>
    </w:p>
  </w:footnote>
  <w:footnote w:id="32">
    <w:p w14:paraId="7375878E" w14:textId="1BEA5BBE" w:rsidR="009A2F94" w:rsidRDefault="009A2F94" w:rsidP="00A93957">
      <w:pPr>
        <w:pStyle w:val="FootnoteText"/>
      </w:pPr>
      <w:r>
        <w:rPr>
          <w:rStyle w:val="FootnoteReference"/>
        </w:rPr>
        <w:footnoteRef/>
      </w:r>
      <w:r>
        <w:t xml:space="preserve"> The ASMG has been updated to include additional HCIS levels—level 0 cells comprising an area of 1 x 1 minutes and level 00 cells comprising an area of 20 x 15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5AD82" w14:textId="77777777" w:rsidR="009A2F94" w:rsidRPr="00A5474E" w:rsidRDefault="009A2F94" w:rsidP="00A5474E">
    <w:pPr>
      <w:pStyle w:val="Header"/>
    </w:pPr>
    <w:r>
      <w:rPr>
        <w:noProof/>
      </w:rPr>
      <w:drawing>
        <wp:inline distT="0" distB="0" distL="0" distR="0" wp14:anchorId="0A8669D5" wp14:editId="67E08EA0">
          <wp:extent cx="6210298" cy="571134"/>
          <wp:effectExtent l="0" t="0" r="0" b="0"/>
          <wp:docPr id="1558470133"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6210298"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6508" w14:textId="77777777" w:rsidR="009A2F94" w:rsidRPr="00A5474E" w:rsidRDefault="009A2F94"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A3919" w14:textId="77777777" w:rsidR="009A2F94" w:rsidRDefault="009A2F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FF7AB" w14:textId="77777777" w:rsidR="009A2F94" w:rsidRDefault="009A2F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9A2F94" w14:paraId="3401F9B4" w14:textId="77777777" w:rsidTr="00FB12EB">
      <w:trPr>
        <w:trHeight w:hRule="exact" w:val="988"/>
      </w:trPr>
      <w:tc>
        <w:tcPr>
          <w:tcW w:w="7678" w:type="dxa"/>
          <w:shd w:val="clear" w:color="auto" w:fill="auto"/>
        </w:tcPr>
        <w:p w14:paraId="06F9B0D8" w14:textId="77777777" w:rsidR="009A2F94" w:rsidRDefault="009A2F94" w:rsidP="00971914">
          <w:pPr>
            <w:pStyle w:val="Header"/>
          </w:pPr>
        </w:p>
      </w:tc>
    </w:tr>
    <w:tr w:rsidR="009A2F94" w14:paraId="72243DE8" w14:textId="77777777" w:rsidTr="00FB12EB">
      <w:tc>
        <w:tcPr>
          <w:tcW w:w="7678" w:type="dxa"/>
          <w:shd w:val="clear" w:color="auto" w:fill="auto"/>
        </w:tcPr>
        <w:p w14:paraId="4AD540D0" w14:textId="77777777" w:rsidR="009A2F94" w:rsidRDefault="009A2F94" w:rsidP="00971914">
          <w:pPr>
            <w:pStyle w:val="GridTable31"/>
          </w:pPr>
          <w:r>
            <w:t xml:space="preserve">Contents </w:t>
          </w:r>
          <w:r w:rsidRPr="00915B1C">
            <w:rPr>
              <w:b w:val="0"/>
              <w:spacing w:val="0"/>
              <w:sz w:val="28"/>
              <w:szCs w:val="28"/>
            </w:rPr>
            <w:t>(Continued)</w:t>
          </w:r>
        </w:p>
      </w:tc>
    </w:tr>
    <w:tr w:rsidR="009A2F94" w14:paraId="72E3B8D3" w14:textId="77777777" w:rsidTr="00FB12EB">
      <w:trPr>
        <w:trHeight w:val="1220"/>
      </w:trPr>
      <w:tc>
        <w:tcPr>
          <w:tcW w:w="7678" w:type="dxa"/>
          <w:shd w:val="clear" w:color="auto" w:fill="auto"/>
        </w:tcPr>
        <w:p w14:paraId="7367DF05" w14:textId="77777777" w:rsidR="009A2F94" w:rsidRDefault="009A2F94" w:rsidP="00971914"/>
      </w:tc>
    </w:tr>
  </w:tbl>
  <w:p w14:paraId="25367A27" w14:textId="77777777" w:rsidR="009A2F94" w:rsidRDefault="009A2F9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9A2F94" w14:paraId="56FDD8B0" w14:textId="77777777" w:rsidTr="00FB12EB">
      <w:trPr>
        <w:trHeight w:hRule="exact" w:val="988"/>
      </w:trPr>
      <w:tc>
        <w:tcPr>
          <w:tcW w:w="7678" w:type="dxa"/>
          <w:shd w:val="clear" w:color="auto" w:fill="auto"/>
        </w:tcPr>
        <w:p w14:paraId="2BD9A0E2" w14:textId="77777777" w:rsidR="009A2F94" w:rsidRDefault="009A2F94" w:rsidP="00971914">
          <w:pPr>
            <w:pStyle w:val="Header"/>
          </w:pPr>
        </w:p>
      </w:tc>
    </w:tr>
    <w:tr w:rsidR="009A2F94" w14:paraId="2C1F2901" w14:textId="77777777" w:rsidTr="00FB12EB">
      <w:tc>
        <w:tcPr>
          <w:tcW w:w="7678" w:type="dxa"/>
          <w:shd w:val="clear" w:color="auto" w:fill="auto"/>
        </w:tcPr>
        <w:p w14:paraId="636EC8ED" w14:textId="77777777" w:rsidR="009A2F94" w:rsidRDefault="009A2F94" w:rsidP="00971914">
          <w:pPr>
            <w:pStyle w:val="GridTable31"/>
          </w:pPr>
          <w:r>
            <w:t xml:space="preserve">Contents </w:t>
          </w:r>
          <w:r w:rsidRPr="00915B1C">
            <w:rPr>
              <w:b w:val="0"/>
              <w:spacing w:val="0"/>
              <w:sz w:val="28"/>
              <w:szCs w:val="28"/>
            </w:rPr>
            <w:t>(Continued)</w:t>
          </w:r>
        </w:p>
      </w:tc>
    </w:tr>
    <w:tr w:rsidR="009A2F94" w14:paraId="185BFB25" w14:textId="77777777" w:rsidTr="00FB12EB">
      <w:trPr>
        <w:trHeight w:val="1220"/>
      </w:trPr>
      <w:tc>
        <w:tcPr>
          <w:tcW w:w="7678" w:type="dxa"/>
          <w:shd w:val="clear" w:color="auto" w:fill="auto"/>
        </w:tcPr>
        <w:p w14:paraId="4274DD56" w14:textId="77777777" w:rsidR="009A2F94" w:rsidRDefault="009A2F94" w:rsidP="00971914"/>
      </w:tc>
    </w:tr>
  </w:tbl>
  <w:p w14:paraId="1BBE782F" w14:textId="77777777" w:rsidR="009A2F94" w:rsidRPr="00A5474E" w:rsidRDefault="009A2F94"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D0761" w14:textId="77777777" w:rsidR="009A2F94" w:rsidRDefault="009A2F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7882D" w14:textId="77777777" w:rsidR="009A2F94" w:rsidRDefault="009A2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8D7A0C3A"/>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A53A5296"/>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5B04358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4067C73"/>
    <w:multiLevelType w:val="hybridMultilevel"/>
    <w:tmpl w:val="51A6D124"/>
    <w:lvl w:ilvl="0" w:tplc="F6FCC69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F1374D"/>
    <w:multiLevelType w:val="hybridMultilevel"/>
    <w:tmpl w:val="31E45484"/>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476B74"/>
    <w:multiLevelType w:val="hybridMultilevel"/>
    <w:tmpl w:val="FE2696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5593E59"/>
    <w:multiLevelType w:val="hybridMultilevel"/>
    <w:tmpl w:val="39ACDFA6"/>
    <w:lvl w:ilvl="0" w:tplc="F6FCC69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1D46F2"/>
    <w:multiLevelType w:val="hybridMultilevel"/>
    <w:tmpl w:val="ED2AF9CE"/>
    <w:lvl w:ilvl="0" w:tplc="E6E2FB66">
      <w:start w:val="1"/>
      <w:numFmt w:val="decimal"/>
      <w:lvlText w:val="%1."/>
      <w:lvlJc w:val="left"/>
      <w:pPr>
        <w:ind w:left="720" w:hanging="360"/>
      </w:pPr>
    </w:lvl>
    <w:lvl w:ilvl="1" w:tplc="1CA68A70">
      <w:start w:val="1"/>
      <w:numFmt w:val="lowerLetter"/>
      <w:lvlText w:val="%2."/>
      <w:lvlJc w:val="left"/>
      <w:pPr>
        <w:ind w:left="1440" w:hanging="360"/>
      </w:pPr>
    </w:lvl>
    <w:lvl w:ilvl="2" w:tplc="7FFC7FF4">
      <w:start w:val="1"/>
      <w:numFmt w:val="lowerRoman"/>
      <w:lvlText w:val="%3."/>
      <w:lvlJc w:val="right"/>
      <w:pPr>
        <w:ind w:left="2160" w:hanging="180"/>
      </w:pPr>
    </w:lvl>
    <w:lvl w:ilvl="3" w:tplc="49B62D86">
      <w:start w:val="1"/>
      <w:numFmt w:val="decimal"/>
      <w:lvlText w:val="%4."/>
      <w:lvlJc w:val="left"/>
      <w:pPr>
        <w:ind w:left="2880" w:hanging="360"/>
      </w:pPr>
    </w:lvl>
    <w:lvl w:ilvl="4" w:tplc="BFC2EDDC">
      <w:start w:val="1"/>
      <w:numFmt w:val="lowerLetter"/>
      <w:lvlText w:val="%5."/>
      <w:lvlJc w:val="left"/>
      <w:pPr>
        <w:ind w:left="3600" w:hanging="360"/>
      </w:pPr>
    </w:lvl>
    <w:lvl w:ilvl="5" w:tplc="907A373A">
      <w:start w:val="1"/>
      <w:numFmt w:val="lowerRoman"/>
      <w:lvlText w:val="%6."/>
      <w:lvlJc w:val="right"/>
      <w:pPr>
        <w:ind w:left="4320" w:hanging="180"/>
      </w:pPr>
    </w:lvl>
    <w:lvl w:ilvl="6" w:tplc="2140EE26">
      <w:start w:val="1"/>
      <w:numFmt w:val="decimal"/>
      <w:lvlText w:val="%7."/>
      <w:lvlJc w:val="left"/>
      <w:pPr>
        <w:ind w:left="5040" w:hanging="360"/>
      </w:pPr>
    </w:lvl>
    <w:lvl w:ilvl="7" w:tplc="BD84033A">
      <w:start w:val="1"/>
      <w:numFmt w:val="lowerLetter"/>
      <w:lvlText w:val="%8."/>
      <w:lvlJc w:val="left"/>
      <w:pPr>
        <w:ind w:left="5760" w:hanging="360"/>
      </w:pPr>
    </w:lvl>
    <w:lvl w:ilvl="8" w:tplc="329E64FA">
      <w:start w:val="1"/>
      <w:numFmt w:val="lowerRoman"/>
      <w:lvlText w:val="%9."/>
      <w:lvlJc w:val="right"/>
      <w:pPr>
        <w:ind w:left="6480" w:hanging="180"/>
      </w:pPr>
    </w:lvl>
  </w:abstractNum>
  <w:abstractNum w:abstractNumId="11" w15:restartNumberingAfterBreak="0">
    <w:nsid w:val="19E925F1"/>
    <w:multiLevelType w:val="hybridMultilevel"/>
    <w:tmpl w:val="9AEAA62A"/>
    <w:lvl w:ilvl="0" w:tplc="2A5A04E8">
      <w:start w:val="1"/>
      <w:numFmt w:val="bullet"/>
      <w:lvlText w:val=""/>
      <w:lvlJc w:val="left"/>
      <w:pPr>
        <w:ind w:left="720" w:hanging="360"/>
      </w:pPr>
      <w:rPr>
        <w:rFonts w:ascii="Symbol" w:hAnsi="Symbol" w:hint="default"/>
      </w:rPr>
    </w:lvl>
    <w:lvl w:ilvl="1" w:tplc="7E562C2E">
      <w:start w:val="1"/>
      <w:numFmt w:val="bullet"/>
      <w:lvlText w:val="o"/>
      <w:lvlJc w:val="left"/>
      <w:pPr>
        <w:ind w:left="1440" w:hanging="360"/>
      </w:pPr>
      <w:rPr>
        <w:rFonts w:ascii="Courier New" w:hAnsi="Courier New" w:hint="default"/>
      </w:rPr>
    </w:lvl>
    <w:lvl w:ilvl="2" w:tplc="526A1828">
      <w:start w:val="1"/>
      <w:numFmt w:val="bullet"/>
      <w:lvlText w:val=""/>
      <w:lvlJc w:val="left"/>
      <w:pPr>
        <w:ind w:left="2160" w:hanging="360"/>
      </w:pPr>
      <w:rPr>
        <w:rFonts w:ascii="Wingdings" w:hAnsi="Wingdings" w:hint="default"/>
      </w:rPr>
    </w:lvl>
    <w:lvl w:ilvl="3" w:tplc="160EA05A">
      <w:start w:val="1"/>
      <w:numFmt w:val="bullet"/>
      <w:lvlText w:val=""/>
      <w:lvlJc w:val="left"/>
      <w:pPr>
        <w:ind w:left="2880" w:hanging="360"/>
      </w:pPr>
      <w:rPr>
        <w:rFonts w:ascii="Symbol" w:hAnsi="Symbol" w:hint="default"/>
      </w:rPr>
    </w:lvl>
    <w:lvl w:ilvl="4" w:tplc="20A6F132">
      <w:start w:val="1"/>
      <w:numFmt w:val="bullet"/>
      <w:lvlText w:val="o"/>
      <w:lvlJc w:val="left"/>
      <w:pPr>
        <w:ind w:left="3600" w:hanging="360"/>
      </w:pPr>
      <w:rPr>
        <w:rFonts w:ascii="Courier New" w:hAnsi="Courier New" w:hint="default"/>
      </w:rPr>
    </w:lvl>
    <w:lvl w:ilvl="5" w:tplc="8DC066E8">
      <w:start w:val="1"/>
      <w:numFmt w:val="bullet"/>
      <w:lvlText w:val=""/>
      <w:lvlJc w:val="left"/>
      <w:pPr>
        <w:ind w:left="4320" w:hanging="360"/>
      </w:pPr>
      <w:rPr>
        <w:rFonts w:ascii="Wingdings" w:hAnsi="Wingdings" w:hint="default"/>
      </w:rPr>
    </w:lvl>
    <w:lvl w:ilvl="6" w:tplc="548E4A5C">
      <w:start w:val="1"/>
      <w:numFmt w:val="bullet"/>
      <w:lvlText w:val=""/>
      <w:lvlJc w:val="left"/>
      <w:pPr>
        <w:ind w:left="5040" w:hanging="360"/>
      </w:pPr>
      <w:rPr>
        <w:rFonts w:ascii="Symbol" w:hAnsi="Symbol" w:hint="default"/>
      </w:rPr>
    </w:lvl>
    <w:lvl w:ilvl="7" w:tplc="134A5D04">
      <w:start w:val="1"/>
      <w:numFmt w:val="bullet"/>
      <w:lvlText w:val="o"/>
      <w:lvlJc w:val="left"/>
      <w:pPr>
        <w:ind w:left="5760" w:hanging="360"/>
      </w:pPr>
      <w:rPr>
        <w:rFonts w:ascii="Courier New" w:hAnsi="Courier New" w:hint="default"/>
      </w:rPr>
    </w:lvl>
    <w:lvl w:ilvl="8" w:tplc="E35243E0">
      <w:start w:val="1"/>
      <w:numFmt w:val="bullet"/>
      <w:lvlText w:val=""/>
      <w:lvlJc w:val="left"/>
      <w:pPr>
        <w:ind w:left="6480" w:hanging="360"/>
      </w:pPr>
      <w:rPr>
        <w:rFonts w:ascii="Wingdings" w:hAnsi="Wingdings" w:hint="default"/>
      </w:rPr>
    </w:lvl>
  </w:abstractNum>
  <w:abstractNum w:abstractNumId="12" w15:restartNumberingAfterBreak="0">
    <w:nsid w:val="1C6054E2"/>
    <w:multiLevelType w:val="hybridMultilevel"/>
    <w:tmpl w:val="60C867E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D49419D"/>
    <w:multiLevelType w:val="hybridMultilevel"/>
    <w:tmpl w:val="8BEC6446"/>
    <w:lvl w:ilvl="0" w:tplc="FA94A91C">
      <w:start w:val="1"/>
      <w:numFmt w:val="decimal"/>
      <w:lvlText w:val="%1."/>
      <w:lvlJc w:val="left"/>
      <w:pPr>
        <w:ind w:left="360" w:hanging="360"/>
      </w:pPr>
      <w:rPr>
        <w:rFonts w:ascii="Arial" w:hAnsi="Arial" w:cs="Arial" w:hint="default"/>
      </w:rPr>
    </w:lvl>
    <w:lvl w:ilvl="1" w:tplc="F6FCC69A">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1D725F38"/>
    <w:multiLevelType w:val="hybridMultilevel"/>
    <w:tmpl w:val="61BE0AF8"/>
    <w:lvl w:ilvl="0" w:tplc="3DC877D0">
      <w:start w:val="1"/>
      <w:numFmt w:val="bullet"/>
      <w:lvlText w:val="&gt;"/>
      <w:lvlJc w:val="left"/>
      <w:pPr>
        <w:ind w:left="720" w:hanging="360"/>
      </w:pPr>
      <w:rPr>
        <w:rFonts w:ascii="HelveticaNeueLT Std Lt" w:hAnsi="HelveticaNeueLT Std Lt" w:hint="default"/>
      </w:rPr>
    </w:lvl>
    <w:lvl w:ilvl="1" w:tplc="FAAA10E4">
      <w:start w:val="1"/>
      <w:numFmt w:val="bullet"/>
      <w:lvlText w:val="o"/>
      <w:lvlJc w:val="left"/>
      <w:pPr>
        <w:ind w:left="1440" w:hanging="360"/>
      </w:pPr>
      <w:rPr>
        <w:rFonts w:ascii="Courier New" w:hAnsi="Courier New" w:hint="default"/>
      </w:rPr>
    </w:lvl>
    <w:lvl w:ilvl="2" w:tplc="54F4A35C">
      <w:start w:val="1"/>
      <w:numFmt w:val="bullet"/>
      <w:lvlText w:val=""/>
      <w:lvlJc w:val="left"/>
      <w:pPr>
        <w:ind w:left="2160" w:hanging="360"/>
      </w:pPr>
      <w:rPr>
        <w:rFonts w:ascii="Wingdings" w:hAnsi="Wingdings" w:hint="default"/>
      </w:rPr>
    </w:lvl>
    <w:lvl w:ilvl="3" w:tplc="8772C5F2">
      <w:start w:val="1"/>
      <w:numFmt w:val="bullet"/>
      <w:lvlText w:val=""/>
      <w:lvlJc w:val="left"/>
      <w:pPr>
        <w:ind w:left="2880" w:hanging="360"/>
      </w:pPr>
      <w:rPr>
        <w:rFonts w:ascii="Symbol" w:hAnsi="Symbol" w:hint="default"/>
      </w:rPr>
    </w:lvl>
    <w:lvl w:ilvl="4" w:tplc="577A37D8">
      <w:start w:val="1"/>
      <w:numFmt w:val="bullet"/>
      <w:lvlText w:val="o"/>
      <w:lvlJc w:val="left"/>
      <w:pPr>
        <w:ind w:left="3600" w:hanging="360"/>
      </w:pPr>
      <w:rPr>
        <w:rFonts w:ascii="Courier New" w:hAnsi="Courier New" w:hint="default"/>
      </w:rPr>
    </w:lvl>
    <w:lvl w:ilvl="5" w:tplc="E4E4BE74">
      <w:start w:val="1"/>
      <w:numFmt w:val="bullet"/>
      <w:lvlText w:val=""/>
      <w:lvlJc w:val="left"/>
      <w:pPr>
        <w:ind w:left="4320" w:hanging="360"/>
      </w:pPr>
      <w:rPr>
        <w:rFonts w:ascii="Wingdings" w:hAnsi="Wingdings" w:hint="default"/>
      </w:rPr>
    </w:lvl>
    <w:lvl w:ilvl="6" w:tplc="F8521F5C">
      <w:start w:val="1"/>
      <w:numFmt w:val="bullet"/>
      <w:lvlText w:val=""/>
      <w:lvlJc w:val="left"/>
      <w:pPr>
        <w:ind w:left="5040" w:hanging="360"/>
      </w:pPr>
      <w:rPr>
        <w:rFonts w:ascii="Symbol" w:hAnsi="Symbol" w:hint="default"/>
      </w:rPr>
    </w:lvl>
    <w:lvl w:ilvl="7" w:tplc="82EAD034">
      <w:start w:val="1"/>
      <w:numFmt w:val="bullet"/>
      <w:lvlText w:val="o"/>
      <w:lvlJc w:val="left"/>
      <w:pPr>
        <w:ind w:left="5760" w:hanging="360"/>
      </w:pPr>
      <w:rPr>
        <w:rFonts w:ascii="Courier New" w:hAnsi="Courier New" w:hint="default"/>
      </w:rPr>
    </w:lvl>
    <w:lvl w:ilvl="8" w:tplc="11E28350">
      <w:start w:val="1"/>
      <w:numFmt w:val="bullet"/>
      <w:lvlText w:val=""/>
      <w:lvlJc w:val="left"/>
      <w:pPr>
        <w:ind w:left="6480" w:hanging="360"/>
      </w:pPr>
      <w:rPr>
        <w:rFonts w:ascii="Wingdings" w:hAnsi="Wingdings" w:hint="default"/>
      </w:rPr>
    </w:lvl>
  </w:abstractNum>
  <w:abstractNum w:abstractNumId="15" w15:restartNumberingAfterBreak="0">
    <w:nsid w:val="1F925863"/>
    <w:multiLevelType w:val="multilevel"/>
    <w:tmpl w:val="1F2A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04941B5"/>
    <w:multiLevelType w:val="hybridMultilevel"/>
    <w:tmpl w:val="F9B89C52"/>
    <w:lvl w:ilvl="0" w:tplc="0144DD8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09642BA"/>
    <w:multiLevelType w:val="hybridMultilevel"/>
    <w:tmpl w:val="FFFFFFFF"/>
    <w:lvl w:ilvl="0" w:tplc="32A40522">
      <w:start w:val="1"/>
      <w:numFmt w:val="decimal"/>
      <w:lvlText w:val="%1."/>
      <w:lvlJc w:val="left"/>
      <w:pPr>
        <w:ind w:left="720" w:hanging="360"/>
      </w:pPr>
    </w:lvl>
    <w:lvl w:ilvl="1" w:tplc="4EF46360">
      <w:start w:val="1"/>
      <w:numFmt w:val="lowerLetter"/>
      <w:lvlText w:val="%2."/>
      <w:lvlJc w:val="left"/>
      <w:pPr>
        <w:ind w:left="1440" w:hanging="360"/>
      </w:pPr>
    </w:lvl>
    <w:lvl w:ilvl="2" w:tplc="D0FAB148">
      <w:start w:val="1"/>
      <w:numFmt w:val="lowerRoman"/>
      <w:lvlText w:val="%3."/>
      <w:lvlJc w:val="right"/>
      <w:pPr>
        <w:ind w:left="2160" w:hanging="180"/>
      </w:pPr>
    </w:lvl>
    <w:lvl w:ilvl="3" w:tplc="973A035A">
      <w:start w:val="1"/>
      <w:numFmt w:val="decimal"/>
      <w:lvlText w:val="%4."/>
      <w:lvlJc w:val="left"/>
      <w:pPr>
        <w:ind w:left="2880" w:hanging="360"/>
      </w:pPr>
    </w:lvl>
    <w:lvl w:ilvl="4" w:tplc="EA3CAB34">
      <w:start w:val="1"/>
      <w:numFmt w:val="lowerLetter"/>
      <w:lvlText w:val="%5."/>
      <w:lvlJc w:val="left"/>
      <w:pPr>
        <w:ind w:left="3600" w:hanging="360"/>
      </w:pPr>
    </w:lvl>
    <w:lvl w:ilvl="5" w:tplc="8ABCC626">
      <w:start w:val="1"/>
      <w:numFmt w:val="lowerRoman"/>
      <w:lvlText w:val="%6."/>
      <w:lvlJc w:val="right"/>
      <w:pPr>
        <w:ind w:left="4320" w:hanging="180"/>
      </w:pPr>
    </w:lvl>
    <w:lvl w:ilvl="6" w:tplc="17DCC4AC">
      <w:start w:val="1"/>
      <w:numFmt w:val="decimal"/>
      <w:lvlText w:val="%7."/>
      <w:lvlJc w:val="left"/>
      <w:pPr>
        <w:ind w:left="5040" w:hanging="360"/>
      </w:pPr>
    </w:lvl>
    <w:lvl w:ilvl="7" w:tplc="8A3A55A8">
      <w:start w:val="1"/>
      <w:numFmt w:val="lowerLetter"/>
      <w:lvlText w:val="%8."/>
      <w:lvlJc w:val="left"/>
      <w:pPr>
        <w:ind w:left="5760" w:hanging="360"/>
      </w:pPr>
    </w:lvl>
    <w:lvl w:ilvl="8" w:tplc="A98CDFC8">
      <w:start w:val="1"/>
      <w:numFmt w:val="lowerRoman"/>
      <w:lvlText w:val="%9."/>
      <w:lvlJc w:val="right"/>
      <w:pPr>
        <w:ind w:left="6480" w:hanging="180"/>
      </w:pPr>
    </w:lvl>
  </w:abstractNum>
  <w:abstractNum w:abstractNumId="18" w15:restartNumberingAfterBreak="0">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DB5474C"/>
    <w:multiLevelType w:val="hybridMultilevel"/>
    <w:tmpl w:val="FAA2AC6C"/>
    <w:lvl w:ilvl="0" w:tplc="1D78DE9A">
      <w:numFmt w:val="bullet"/>
      <w:lvlText w:val="-"/>
      <w:lvlJc w:val="left"/>
      <w:pPr>
        <w:ind w:left="720" w:hanging="360"/>
      </w:pPr>
      <w:rPr>
        <w:rFonts w:ascii="Calibri" w:eastAsiaTheme="minorEastAsia"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1"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22" w15:restartNumberingAfterBreak="0">
    <w:nsid w:val="32ED67C9"/>
    <w:multiLevelType w:val="hybridMultilevel"/>
    <w:tmpl w:val="BA5AA354"/>
    <w:lvl w:ilvl="0" w:tplc="64B4BDD4">
      <w:start w:val="1"/>
      <w:numFmt w:val="decimal"/>
      <w:lvlText w:val="%1."/>
      <w:lvlJc w:val="left"/>
      <w:pPr>
        <w:ind w:left="720" w:hanging="360"/>
      </w:pPr>
    </w:lvl>
    <w:lvl w:ilvl="1" w:tplc="0C325480">
      <w:start w:val="1"/>
      <w:numFmt w:val="lowerLetter"/>
      <w:lvlText w:val="%2."/>
      <w:lvlJc w:val="left"/>
      <w:pPr>
        <w:ind w:left="1440" w:hanging="360"/>
      </w:pPr>
    </w:lvl>
    <w:lvl w:ilvl="2" w:tplc="3E62C8E8">
      <w:start w:val="1"/>
      <w:numFmt w:val="lowerRoman"/>
      <w:lvlText w:val="%3."/>
      <w:lvlJc w:val="right"/>
      <w:pPr>
        <w:ind w:left="2160" w:hanging="180"/>
      </w:pPr>
    </w:lvl>
    <w:lvl w:ilvl="3" w:tplc="1C2C3D22">
      <w:start w:val="1"/>
      <w:numFmt w:val="decimal"/>
      <w:lvlText w:val="%4."/>
      <w:lvlJc w:val="left"/>
      <w:pPr>
        <w:ind w:left="2880" w:hanging="360"/>
      </w:pPr>
    </w:lvl>
    <w:lvl w:ilvl="4" w:tplc="B5DC692A">
      <w:start w:val="1"/>
      <w:numFmt w:val="lowerLetter"/>
      <w:lvlText w:val="%5."/>
      <w:lvlJc w:val="left"/>
      <w:pPr>
        <w:ind w:left="3600" w:hanging="360"/>
      </w:pPr>
    </w:lvl>
    <w:lvl w:ilvl="5" w:tplc="D5825C76">
      <w:start w:val="1"/>
      <w:numFmt w:val="lowerRoman"/>
      <w:lvlText w:val="%6."/>
      <w:lvlJc w:val="right"/>
      <w:pPr>
        <w:ind w:left="4320" w:hanging="180"/>
      </w:pPr>
    </w:lvl>
    <w:lvl w:ilvl="6" w:tplc="B5BA1056">
      <w:start w:val="1"/>
      <w:numFmt w:val="decimal"/>
      <w:lvlText w:val="%7."/>
      <w:lvlJc w:val="left"/>
      <w:pPr>
        <w:ind w:left="5040" w:hanging="360"/>
      </w:pPr>
    </w:lvl>
    <w:lvl w:ilvl="7" w:tplc="1B841CAA">
      <w:start w:val="1"/>
      <w:numFmt w:val="lowerLetter"/>
      <w:lvlText w:val="%8."/>
      <w:lvlJc w:val="left"/>
      <w:pPr>
        <w:ind w:left="5760" w:hanging="360"/>
      </w:pPr>
    </w:lvl>
    <w:lvl w:ilvl="8" w:tplc="13DE7B7E">
      <w:start w:val="1"/>
      <w:numFmt w:val="lowerRoman"/>
      <w:lvlText w:val="%9."/>
      <w:lvlJc w:val="right"/>
      <w:pPr>
        <w:ind w:left="6480" w:hanging="180"/>
      </w:pPr>
    </w:lvl>
  </w:abstractNum>
  <w:abstractNum w:abstractNumId="23" w15:restartNumberingAfterBreak="0">
    <w:nsid w:val="32EF4616"/>
    <w:multiLevelType w:val="hybridMultilevel"/>
    <w:tmpl w:val="467EBEAA"/>
    <w:lvl w:ilvl="0" w:tplc="E4482DE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7020905"/>
    <w:multiLevelType w:val="hybridMultilevel"/>
    <w:tmpl w:val="1BD635D2"/>
    <w:lvl w:ilvl="0" w:tplc="FA94A91C">
      <w:start w:val="1"/>
      <w:numFmt w:val="decimal"/>
      <w:lvlText w:val="%1."/>
      <w:lvlJc w:val="left"/>
      <w:pPr>
        <w:ind w:left="360" w:hanging="360"/>
      </w:pPr>
      <w:rPr>
        <w:rFonts w:ascii="Arial" w:hAnsi="Arial" w:cs="Aria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5" w15:restartNumberingAfterBreak="0">
    <w:nsid w:val="381B268A"/>
    <w:multiLevelType w:val="hybridMultilevel"/>
    <w:tmpl w:val="355C8E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A807561"/>
    <w:multiLevelType w:val="hybridMultilevel"/>
    <w:tmpl w:val="395A9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F567801"/>
    <w:multiLevelType w:val="hybridMultilevel"/>
    <w:tmpl w:val="FFFFFFFF"/>
    <w:lvl w:ilvl="0" w:tplc="3D1E1C8A">
      <w:start w:val="1"/>
      <w:numFmt w:val="decimal"/>
      <w:lvlText w:val="%1."/>
      <w:lvlJc w:val="left"/>
      <w:pPr>
        <w:ind w:left="720" w:hanging="360"/>
      </w:pPr>
    </w:lvl>
    <w:lvl w:ilvl="1" w:tplc="227C53EC">
      <w:start w:val="1"/>
      <w:numFmt w:val="lowerLetter"/>
      <w:lvlText w:val="%2."/>
      <w:lvlJc w:val="left"/>
      <w:pPr>
        <w:ind w:left="1440" w:hanging="360"/>
      </w:pPr>
    </w:lvl>
    <w:lvl w:ilvl="2" w:tplc="1B8AE55C">
      <w:start w:val="1"/>
      <w:numFmt w:val="lowerRoman"/>
      <w:lvlText w:val="%3."/>
      <w:lvlJc w:val="right"/>
      <w:pPr>
        <w:ind w:left="2160" w:hanging="180"/>
      </w:pPr>
    </w:lvl>
    <w:lvl w:ilvl="3" w:tplc="A2D69928">
      <w:start w:val="1"/>
      <w:numFmt w:val="decimal"/>
      <w:lvlText w:val="%4."/>
      <w:lvlJc w:val="left"/>
      <w:pPr>
        <w:ind w:left="2880" w:hanging="360"/>
      </w:pPr>
    </w:lvl>
    <w:lvl w:ilvl="4" w:tplc="2CAAF762">
      <w:start w:val="1"/>
      <w:numFmt w:val="lowerLetter"/>
      <w:lvlText w:val="%5."/>
      <w:lvlJc w:val="left"/>
      <w:pPr>
        <w:ind w:left="3600" w:hanging="360"/>
      </w:pPr>
    </w:lvl>
    <w:lvl w:ilvl="5" w:tplc="2C7E623C">
      <w:start w:val="1"/>
      <w:numFmt w:val="lowerRoman"/>
      <w:lvlText w:val="%6."/>
      <w:lvlJc w:val="right"/>
      <w:pPr>
        <w:ind w:left="4320" w:hanging="180"/>
      </w:pPr>
    </w:lvl>
    <w:lvl w:ilvl="6" w:tplc="19EA8F7E">
      <w:start w:val="1"/>
      <w:numFmt w:val="decimal"/>
      <w:lvlText w:val="%7."/>
      <w:lvlJc w:val="left"/>
      <w:pPr>
        <w:ind w:left="5040" w:hanging="360"/>
      </w:pPr>
    </w:lvl>
    <w:lvl w:ilvl="7" w:tplc="3C8C4006">
      <w:start w:val="1"/>
      <w:numFmt w:val="lowerLetter"/>
      <w:lvlText w:val="%8."/>
      <w:lvlJc w:val="left"/>
      <w:pPr>
        <w:ind w:left="5760" w:hanging="360"/>
      </w:pPr>
    </w:lvl>
    <w:lvl w:ilvl="8" w:tplc="B0BEDA1E">
      <w:start w:val="1"/>
      <w:numFmt w:val="lowerRoman"/>
      <w:lvlText w:val="%9."/>
      <w:lvlJc w:val="right"/>
      <w:pPr>
        <w:ind w:left="6480" w:hanging="180"/>
      </w:pPr>
    </w:lvl>
  </w:abstractNum>
  <w:abstractNum w:abstractNumId="28" w15:restartNumberingAfterBreak="0">
    <w:nsid w:val="416C0371"/>
    <w:multiLevelType w:val="hybridMultilevel"/>
    <w:tmpl w:val="FFFFFFFF"/>
    <w:lvl w:ilvl="0" w:tplc="54B0517C">
      <w:start w:val="1"/>
      <w:numFmt w:val="bullet"/>
      <w:lvlText w:val=""/>
      <w:lvlJc w:val="left"/>
      <w:pPr>
        <w:ind w:left="720" w:hanging="360"/>
      </w:pPr>
      <w:rPr>
        <w:rFonts w:ascii="Symbol" w:hAnsi="Symbol" w:hint="default"/>
      </w:rPr>
    </w:lvl>
    <w:lvl w:ilvl="1" w:tplc="746A9266">
      <w:start w:val="1"/>
      <w:numFmt w:val="bullet"/>
      <w:lvlText w:val="o"/>
      <w:lvlJc w:val="left"/>
      <w:pPr>
        <w:ind w:left="1440" w:hanging="360"/>
      </w:pPr>
      <w:rPr>
        <w:rFonts w:ascii="Courier New" w:hAnsi="Courier New" w:hint="default"/>
      </w:rPr>
    </w:lvl>
    <w:lvl w:ilvl="2" w:tplc="E7844F84">
      <w:start w:val="1"/>
      <w:numFmt w:val="bullet"/>
      <w:lvlText w:val=""/>
      <w:lvlJc w:val="left"/>
      <w:pPr>
        <w:ind w:left="2160" w:hanging="360"/>
      </w:pPr>
      <w:rPr>
        <w:rFonts w:ascii="Wingdings" w:hAnsi="Wingdings" w:hint="default"/>
      </w:rPr>
    </w:lvl>
    <w:lvl w:ilvl="3" w:tplc="CCC8AF50">
      <w:start w:val="1"/>
      <w:numFmt w:val="bullet"/>
      <w:lvlText w:val=""/>
      <w:lvlJc w:val="left"/>
      <w:pPr>
        <w:ind w:left="2880" w:hanging="360"/>
      </w:pPr>
      <w:rPr>
        <w:rFonts w:ascii="Symbol" w:hAnsi="Symbol" w:hint="default"/>
      </w:rPr>
    </w:lvl>
    <w:lvl w:ilvl="4" w:tplc="16366A82">
      <w:start w:val="1"/>
      <w:numFmt w:val="bullet"/>
      <w:lvlText w:val="o"/>
      <w:lvlJc w:val="left"/>
      <w:pPr>
        <w:ind w:left="3600" w:hanging="360"/>
      </w:pPr>
      <w:rPr>
        <w:rFonts w:ascii="Courier New" w:hAnsi="Courier New" w:hint="default"/>
      </w:rPr>
    </w:lvl>
    <w:lvl w:ilvl="5" w:tplc="9C98E0BA">
      <w:start w:val="1"/>
      <w:numFmt w:val="bullet"/>
      <w:lvlText w:val=""/>
      <w:lvlJc w:val="left"/>
      <w:pPr>
        <w:ind w:left="4320" w:hanging="360"/>
      </w:pPr>
      <w:rPr>
        <w:rFonts w:ascii="Wingdings" w:hAnsi="Wingdings" w:hint="default"/>
      </w:rPr>
    </w:lvl>
    <w:lvl w:ilvl="6" w:tplc="C6A423AA">
      <w:start w:val="1"/>
      <w:numFmt w:val="bullet"/>
      <w:lvlText w:val=""/>
      <w:lvlJc w:val="left"/>
      <w:pPr>
        <w:ind w:left="5040" w:hanging="360"/>
      </w:pPr>
      <w:rPr>
        <w:rFonts w:ascii="Symbol" w:hAnsi="Symbol" w:hint="default"/>
      </w:rPr>
    </w:lvl>
    <w:lvl w:ilvl="7" w:tplc="8ACC3E60">
      <w:start w:val="1"/>
      <w:numFmt w:val="bullet"/>
      <w:lvlText w:val="o"/>
      <w:lvlJc w:val="left"/>
      <w:pPr>
        <w:ind w:left="5760" w:hanging="360"/>
      </w:pPr>
      <w:rPr>
        <w:rFonts w:ascii="Courier New" w:hAnsi="Courier New" w:hint="default"/>
      </w:rPr>
    </w:lvl>
    <w:lvl w:ilvl="8" w:tplc="59BE48A8">
      <w:start w:val="1"/>
      <w:numFmt w:val="bullet"/>
      <w:lvlText w:val=""/>
      <w:lvlJc w:val="left"/>
      <w:pPr>
        <w:ind w:left="6480" w:hanging="360"/>
      </w:pPr>
      <w:rPr>
        <w:rFonts w:ascii="Wingdings" w:hAnsi="Wingdings" w:hint="default"/>
      </w:rPr>
    </w:lvl>
  </w:abstractNum>
  <w:abstractNum w:abstractNumId="29" w15:restartNumberingAfterBreak="0">
    <w:nsid w:val="47E864F8"/>
    <w:multiLevelType w:val="multilevel"/>
    <w:tmpl w:val="B5004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E17053D"/>
    <w:multiLevelType w:val="hybridMultilevel"/>
    <w:tmpl w:val="584A88EC"/>
    <w:lvl w:ilvl="0" w:tplc="47F03368">
      <w:start w:val="1"/>
      <w:numFmt w:val="bullet"/>
      <w:lvlText w:val="&gt;"/>
      <w:lvlJc w:val="left"/>
      <w:pPr>
        <w:ind w:left="720" w:hanging="360"/>
      </w:pPr>
      <w:rPr>
        <w:rFonts w:ascii="HelveticaNeueLT Std Lt" w:hAnsi="HelveticaNeueLT Std Lt" w:hint="default"/>
      </w:rPr>
    </w:lvl>
    <w:lvl w:ilvl="1" w:tplc="81E0E3B2">
      <w:start w:val="1"/>
      <w:numFmt w:val="bullet"/>
      <w:lvlText w:val="o"/>
      <w:lvlJc w:val="left"/>
      <w:pPr>
        <w:ind w:left="1440" w:hanging="360"/>
      </w:pPr>
      <w:rPr>
        <w:rFonts w:ascii="Courier New" w:hAnsi="Courier New" w:hint="default"/>
      </w:rPr>
    </w:lvl>
    <w:lvl w:ilvl="2" w:tplc="BFB4EDD2">
      <w:start w:val="1"/>
      <w:numFmt w:val="bullet"/>
      <w:lvlText w:val=""/>
      <w:lvlJc w:val="left"/>
      <w:pPr>
        <w:ind w:left="2160" w:hanging="360"/>
      </w:pPr>
      <w:rPr>
        <w:rFonts w:ascii="Wingdings" w:hAnsi="Wingdings" w:hint="default"/>
      </w:rPr>
    </w:lvl>
    <w:lvl w:ilvl="3" w:tplc="3C22356A">
      <w:start w:val="1"/>
      <w:numFmt w:val="bullet"/>
      <w:lvlText w:val=""/>
      <w:lvlJc w:val="left"/>
      <w:pPr>
        <w:ind w:left="2880" w:hanging="360"/>
      </w:pPr>
      <w:rPr>
        <w:rFonts w:ascii="Symbol" w:hAnsi="Symbol" w:hint="default"/>
      </w:rPr>
    </w:lvl>
    <w:lvl w:ilvl="4" w:tplc="732E11F8">
      <w:start w:val="1"/>
      <w:numFmt w:val="bullet"/>
      <w:lvlText w:val="o"/>
      <w:lvlJc w:val="left"/>
      <w:pPr>
        <w:ind w:left="3600" w:hanging="360"/>
      </w:pPr>
      <w:rPr>
        <w:rFonts w:ascii="Courier New" w:hAnsi="Courier New" w:hint="default"/>
      </w:rPr>
    </w:lvl>
    <w:lvl w:ilvl="5" w:tplc="D7BE48C2">
      <w:start w:val="1"/>
      <w:numFmt w:val="bullet"/>
      <w:lvlText w:val=""/>
      <w:lvlJc w:val="left"/>
      <w:pPr>
        <w:ind w:left="4320" w:hanging="360"/>
      </w:pPr>
      <w:rPr>
        <w:rFonts w:ascii="Wingdings" w:hAnsi="Wingdings" w:hint="default"/>
      </w:rPr>
    </w:lvl>
    <w:lvl w:ilvl="6" w:tplc="A5A66828">
      <w:start w:val="1"/>
      <w:numFmt w:val="bullet"/>
      <w:lvlText w:val=""/>
      <w:lvlJc w:val="left"/>
      <w:pPr>
        <w:ind w:left="5040" w:hanging="360"/>
      </w:pPr>
      <w:rPr>
        <w:rFonts w:ascii="Symbol" w:hAnsi="Symbol" w:hint="default"/>
      </w:rPr>
    </w:lvl>
    <w:lvl w:ilvl="7" w:tplc="36301632">
      <w:start w:val="1"/>
      <w:numFmt w:val="bullet"/>
      <w:lvlText w:val="o"/>
      <w:lvlJc w:val="left"/>
      <w:pPr>
        <w:ind w:left="5760" w:hanging="360"/>
      </w:pPr>
      <w:rPr>
        <w:rFonts w:ascii="Courier New" w:hAnsi="Courier New" w:hint="default"/>
      </w:rPr>
    </w:lvl>
    <w:lvl w:ilvl="8" w:tplc="DECE143A">
      <w:start w:val="1"/>
      <w:numFmt w:val="bullet"/>
      <w:lvlText w:val=""/>
      <w:lvlJc w:val="left"/>
      <w:pPr>
        <w:ind w:left="6480" w:hanging="360"/>
      </w:pPr>
      <w:rPr>
        <w:rFonts w:ascii="Wingdings" w:hAnsi="Wingdings" w:hint="default"/>
      </w:rPr>
    </w:lvl>
  </w:abstractNum>
  <w:abstractNum w:abstractNumId="31" w15:restartNumberingAfterBreak="0">
    <w:nsid w:val="4EA130AA"/>
    <w:multiLevelType w:val="hybridMultilevel"/>
    <w:tmpl w:val="33966F52"/>
    <w:lvl w:ilvl="0" w:tplc="CB3C5F7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2891ED4"/>
    <w:multiLevelType w:val="multilevel"/>
    <w:tmpl w:val="D3A6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AA21F0"/>
    <w:multiLevelType w:val="hybridMultilevel"/>
    <w:tmpl w:val="E062C426"/>
    <w:lvl w:ilvl="0" w:tplc="7ACEA006">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047ACF"/>
    <w:multiLevelType w:val="hybridMultilevel"/>
    <w:tmpl w:val="60925242"/>
    <w:lvl w:ilvl="0" w:tplc="FE9EAA6A">
      <w:start w:val="1"/>
      <w:numFmt w:val="bullet"/>
      <w:lvlText w:val="&gt;"/>
      <w:lvlJc w:val="left"/>
      <w:pPr>
        <w:ind w:left="360" w:hanging="360"/>
      </w:pPr>
      <w:rPr>
        <w:rFonts w:ascii="Vrinda" w:hAnsi="Vrinda" w:hint="default"/>
        <w:b w:val="0"/>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071478"/>
    <w:multiLevelType w:val="hybridMultilevel"/>
    <w:tmpl w:val="85BCE5B8"/>
    <w:lvl w:ilvl="0" w:tplc="409044FA">
      <w:start w:val="1"/>
      <w:numFmt w:val="decimal"/>
      <w:pStyle w:val="ACMAFigureHeader"/>
      <w:lvlText w:val="Figure %1: "/>
      <w:lvlJc w:val="left"/>
      <w:pPr>
        <w:tabs>
          <w:tab w:val="num" w:pos="1021"/>
        </w:tabs>
        <w:ind w:left="1021" w:hanging="1021"/>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757AE6"/>
    <w:multiLevelType w:val="hybridMultilevel"/>
    <w:tmpl w:val="FF5E6800"/>
    <w:lvl w:ilvl="0" w:tplc="2DEC2A7E">
      <w:start w:val="1"/>
      <w:numFmt w:val="decimal"/>
      <w:pStyle w:val="Caption"/>
      <w:lvlText w:val="Table %1:"/>
      <w:lvlJc w:val="left"/>
      <w:pPr>
        <w:tabs>
          <w:tab w:val="num" w:pos="964"/>
        </w:tabs>
        <w:ind w:left="964"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0B7394"/>
    <w:multiLevelType w:val="hybridMultilevel"/>
    <w:tmpl w:val="D07CC50A"/>
    <w:lvl w:ilvl="0" w:tplc="0804E31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F2B67F5"/>
    <w:multiLevelType w:val="hybridMultilevel"/>
    <w:tmpl w:val="F5E88BB8"/>
    <w:lvl w:ilvl="0" w:tplc="F6FCC69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0"/>
  </w:num>
  <w:num w:numId="2">
    <w:abstractNumId w:val="14"/>
  </w:num>
  <w:num w:numId="3">
    <w:abstractNumId w:val="22"/>
  </w:num>
  <w:num w:numId="4">
    <w:abstractNumId w:val="10"/>
  </w:num>
  <w:num w:numId="5">
    <w:abstractNumId w:val="11"/>
  </w:num>
  <w:num w:numId="6">
    <w:abstractNumId w:val="3"/>
  </w:num>
  <w:num w:numId="7">
    <w:abstractNumId w:val="1"/>
  </w:num>
  <w:num w:numId="8">
    <w:abstractNumId w:val="2"/>
  </w:num>
  <w:num w:numId="9">
    <w:abstractNumId w:val="0"/>
  </w:num>
  <w:num w:numId="10">
    <w:abstractNumId w:val="20"/>
  </w:num>
  <w:num w:numId="11">
    <w:abstractNumId w:val="36"/>
  </w:num>
  <w:num w:numId="12">
    <w:abstractNumId w:val="33"/>
  </w:num>
  <w:num w:numId="13">
    <w:abstractNumId w:val="35"/>
  </w:num>
  <w:num w:numId="14">
    <w:abstractNumId w:val="37"/>
  </w:num>
  <w:num w:numId="15">
    <w:abstractNumId w:val="6"/>
  </w:num>
  <w:num w:numId="16">
    <w:abstractNumId w:val="4"/>
  </w:num>
  <w:num w:numId="17">
    <w:abstractNumId w:val="3"/>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1"/>
  </w:num>
  <w:num w:numId="22">
    <w:abstractNumId w:val="3"/>
  </w:num>
  <w:num w:numId="23">
    <w:abstractNumId w:val="39"/>
  </w:num>
  <w:num w:numId="24">
    <w:abstractNumId w:val="31"/>
  </w:num>
  <w:num w:numId="25">
    <w:abstractNumId w:val="3"/>
  </w:num>
  <w:num w:numId="26">
    <w:abstractNumId w:val="3"/>
  </w:num>
  <w:num w:numId="27">
    <w:abstractNumId w:val="3"/>
  </w:num>
  <w:num w:numId="28">
    <w:abstractNumId w:val="13"/>
  </w:num>
  <w:num w:numId="29">
    <w:abstractNumId w:val="38"/>
  </w:num>
  <w:num w:numId="30">
    <w:abstractNumId w:val="9"/>
  </w:num>
  <w:num w:numId="31">
    <w:abstractNumId w:val="8"/>
  </w:num>
  <w:num w:numId="32">
    <w:abstractNumId w:val="5"/>
  </w:num>
  <w:num w:numId="33">
    <w:abstractNumId w:val="27"/>
  </w:num>
  <w:num w:numId="34">
    <w:abstractNumId w:val="17"/>
  </w:num>
  <w:num w:numId="35">
    <w:abstractNumId w:val="28"/>
  </w:num>
  <w:num w:numId="36">
    <w:abstractNumId w:val="18"/>
  </w:num>
  <w:num w:numId="37">
    <w:abstractNumId w:val="23"/>
  </w:num>
  <w:num w:numId="38">
    <w:abstractNumId w:val="34"/>
  </w:num>
  <w:num w:numId="39">
    <w:abstractNumId w:val="25"/>
  </w:num>
  <w:num w:numId="40">
    <w:abstractNumId w:val="26"/>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16"/>
  </w:num>
  <w:num w:numId="45">
    <w:abstractNumId w:val="16"/>
  </w:num>
  <w:num w:numId="46">
    <w:abstractNumId w:val="15"/>
  </w:num>
  <w:num w:numId="47">
    <w:abstractNumId w:val="32"/>
  </w:num>
  <w:num w:numId="48">
    <w:abstractNumId w:val="7"/>
  </w:num>
  <w:num w:numId="49">
    <w:abstractNumId w:val="12"/>
  </w:num>
  <w:num w:numId="50">
    <w:abstractNumId w:val="19"/>
  </w:num>
  <w:num w:numId="51">
    <w:abstractNumId w:val="33"/>
    <w:lvlOverride w:ilvl="0">
      <w:startOverride w:val="5"/>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1024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172"/>
    <w:rsid w:val="00000162"/>
    <w:rsid w:val="00000524"/>
    <w:rsid w:val="0000068E"/>
    <w:rsid w:val="000006A0"/>
    <w:rsid w:val="0000102B"/>
    <w:rsid w:val="000026A5"/>
    <w:rsid w:val="00002DCC"/>
    <w:rsid w:val="00003A8C"/>
    <w:rsid w:val="00003BCF"/>
    <w:rsid w:val="000040A3"/>
    <w:rsid w:val="00004939"/>
    <w:rsid w:val="00005044"/>
    <w:rsid w:val="00006287"/>
    <w:rsid w:val="00006555"/>
    <w:rsid w:val="00006717"/>
    <w:rsid w:val="000067C2"/>
    <w:rsid w:val="0000685A"/>
    <w:rsid w:val="0000698C"/>
    <w:rsid w:val="00007515"/>
    <w:rsid w:val="000077F6"/>
    <w:rsid w:val="0000796A"/>
    <w:rsid w:val="00010667"/>
    <w:rsid w:val="000107A9"/>
    <w:rsid w:val="00010820"/>
    <w:rsid w:val="00011F59"/>
    <w:rsid w:val="000129D5"/>
    <w:rsid w:val="000134A8"/>
    <w:rsid w:val="00013713"/>
    <w:rsid w:val="0001381E"/>
    <w:rsid w:val="000138FF"/>
    <w:rsid w:val="0001394A"/>
    <w:rsid w:val="0001417B"/>
    <w:rsid w:val="000147AC"/>
    <w:rsid w:val="00014C96"/>
    <w:rsid w:val="00015823"/>
    <w:rsid w:val="00015979"/>
    <w:rsid w:val="00015AE7"/>
    <w:rsid w:val="00015C2A"/>
    <w:rsid w:val="00015C3E"/>
    <w:rsid w:val="00015CEB"/>
    <w:rsid w:val="00016E21"/>
    <w:rsid w:val="00016FE0"/>
    <w:rsid w:val="0001719C"/>
    <w:rsid w:val="00017263"/>
    <w:rsid w:val="00017421"/>
    <w:rsid w:val="00017804"/>
    <w:rsid w:val="00017AB4"/>
    <w:rsid w:val="00017B74"/>
    <w:rsid w:val="00017F43"/>
    <w:rsid w:val="00020383"/>
    <w:rsid w:val="00020869"/>
    <w:rsid w:val="00020A21"/>
    <w:rsid w:val="0002119C"/>
    <w:rsid w:val="000215E4"/>
    <w:rsid w:val="00021BF4"/>
    <w:rsid w:val="00021EA4"/>
    <w:rsid w:val="0002224E"/>
    <w:rsid w:val="000226E1"/>
    <w:rsid w:val="000242C4"/>
    <w:rsid w:val="000245E5"/>
    <w:rsid w:val="00024AA9"/>
    <w:rsid w:val="00024BAC"/>
    <w:rsid w:val="00025238"/>
    <w:rsid w:val="00025B80"/>
    <w:rsid w:val="00026103"/>
    <w:rsid w:val="00026528"/>
    <w:rsid w:val="00026554"/>
    <w:rsid w:val="00026991"/>
    <w:rsid w:val="00026F91"/>
    <w:rsid w:val="00027336"/>
    <w:rsid w:val="00027CD0"/>
    <w:rsid w:val="000303BE"/>
    <w:rsid w:val="000304E9"/>
    <w:rsid w:val="0003075B"/>
    <w:rsid w:val="00031112"/>
    <w:rsid w:val="0003125F"/>
    <w:rsid w:val="0003137E"/>
    <w:rsid w:val="00031571"/>
    <w:rsid w:val="000316F1"/>
    <w:rsid w:val="00031BFF"/>
    <w:rsid w:val="000320ED"/>
    <w:rsid w:val="00032621"/>
    <w:rsid w:val="00032820"/>
    <w:rsid w:val="00032963"/>
    <w:rsid w:val="000335BC"/>
    <w:rsid w:val="0003362F"/>
    <w:rsid w:val="000337EA"/>
    <w:rsid w:val="00033BD3"/>
    <w:rsid w:val="0003457D"/>
    <w:rsid w:val="000348A8"/>
    <w:rsid w:val="00034EE3"/>
    <w:rsid w:val="00035241"/>
    <w:rsid w:val="00035516"/>
    <w:rsid w:val="00035BBB"/>
    <w:rsid w:val="00035EBF"/>
    <w:rsid w:val="0003719C"/>
    <w:rsid w:val="00037498"/>
    <w:rsid w:val="00037719"/>
    <w:rsid w:val="00040230"/>
    <w:rsid w:val="000405F7"/>
    <w:rsid w:val="000411A0"/>
    <w:rsid w:val="00041F4D"/>
    <w:rsid w:val="00042185"/>
    <w:rsid w:val="00043CAA"/>
    <w:rsid w:val="000449DF"/>
    <w:rsid w:val="00044BDA"/>
    <w:rsid w:val="00044F3A"/>
    <w:rsid w:val="00044FC5"/>
    <w:rsid w:val="00045148"/>
    <w:rsid w:val="0004553B"/>
    <w:rsid w:val="0004588A"/>
    <w:rsid w:val="00045BD4"/>
    <w:rsid w:val="00046C60"/>
    <w:rsid w:val="0004764C"/>
    <w:rsid w:val="00050102"/>
    <w:rsid w:val="0005011A"/>
    <w:rsid w:val="000502BC"/>
    <w:rsid w:val="0005045A"/>
    <w:rsid w:val="00050635"/>
    <w:rsid w:val="00050949"/>
    <w:rsid w:val="00050CC2"/>
    <w:rsid w:val="00050DEC"/>
    <w:rsid w:val="00051C1E"/>
    <w:rsid w:val="0005268C"/>
    <w:rsid w:val="000533F3"/>
    <w:rsid w:val="000539F9"/>
    <w:rsid w:val="00053E3B"/>
    <w:rsid w:val="00054294"/>
    <w:rsid w:val="0005430B"/>
    <w:rsid w:val="00054927"/>
    <w:rsid w:val="00054C27"/>
    <w:rsid w:val="00055037"/>
    <w:rsid w:val="00055483"/>
    <w:rsid w:val="0005589B"/>
    <w:rsid w:val="00055EC3"/>
    <w:rsid w:val="000563CE"/>
    <w:rsid w:val="00056E5D"/>
    <w:rsid w:val="00057573"/>
    <w:rsid w:val="00057618"/>
    <w:rsid w:val="00057628"/>
    <w:rsid w:val="0005770C"/>
    <w:rsid w:val="00060AFF"/>
    <w:rsid w:val="00060C28"/>
    <w:rsid w:val="00060DE1"/>
    <w:rsid w:val="00060FC4"/>
    <w:rsid w:val="00060FED"/>
    <w:rsid w:val="000610CC"/>
    <w:rsid w:val="000616A1"/>
    <w:rsid w:val="00061A09"/>
    <w:rsid w:val="0006267E"/>
    <w:rsid w:val="00062CFD"/>
    <w:rsid w:val="00062E87"/>
    <w:rsid w:val="0006329B"/>
    <w:rsid w:val="000640DC"/>
    <w:rsid w:val="00064E19"/>
    <w:rsid w:val="00064EF5"/>
    <w:rsid w:val="000659B6"/>
    <w:rsid w:val="00065D9D"/>
    <w:rsid w:val="0006612A"/>
    <w:rsid w:val="00066413"/>
    <w:rsid w:val="0006686F"/>
    <w:rsid w:val="0006722A"/>
    <w:rsid w:val="000673C0"/>
    <w:rsid w:val="00067D06"/>
    <w:rsid w:val="00067D0F"/>
    <w:rsid w:val="000707D2"/>
    <w:rsid w:val="00070BBD"/>
    <w:rsid w:val="00070C7E"/>
    <w:rsid w:val="00070D8C"/>
    <w:rsid w:val="000713A0"/>
    <w:rsid w:val="00072075"/>
    <w:rsid w:val="00072092"/>
    <w:rsid w:val="0007260D"/>
    <w:rsid w:val="0007292F"/>
    <w:rsid w:val="00072C7C"/>
    <w:rsid w:val="0007311B"/>
    <w:rsid w:val="00073122"/>
    <w:rsid w:val="000732CF"/>
    <w:rsid w:val="00073E33"/>
    <w:rsid w:val="000741E2"/>
    <w:rsid w:val="00074627"/>
    <w:rsid w:val="00074F31"/>
    <w:rsid w:val="0007517F"/>
    <w:rsid w:val="00075325"/>
    <w:rsid w:val="00075706"/>
    <w:rsid w:val="000759A7"/>
    <w:rsid w:val="00075B96"/>
    <w:rsid w:val="00075C98"/>
    <w:rsid w:val="0007644A"/>
    <w:rsid w:val="000766B7"/>
    <w:rsid w:val="00076BF8"/>
    <w:rsid w:val="0007718A"/>
    <w:rsid w:val="000772A9"/>
    <w:rsid w:val="000779E2"/>
    <w:rsid w:val="00077B7E"/>
    <w:rsid w:val="000804F1"/>
    <w:rsid w:val="00080E3A"/>
    <w:rsid w:val="00081320"/>
    <w:rsid w:val="00081447"/>
    <w:rsid w:val="0008151D"/>
    <w:rsid w:val="0008196A"/>
    <w:rsid w:val="00082CE8"/>
    <w:rsid w:val="00083345"/>
    <w:rsid w:val="000839C7"/>
    <w:rsid w:val="00084501"/>
    <w:rsid w:val="00084604"/>
    <w:rsid w:val="00085483"/>
    <w:rsid w:val="00085492"/>
    <w:rsid w:val="00085541"/>
    <w:rsid w:val="0008556F"/>
    <w:rsid w:val="000857FE"/>
    <w:rsid w:val="000859E8"/>
    <w:rsid w:val="00085FEA"/>
    <w:rsid w:val="000860BD"/>
    <w:rsid w:val="00086C93"/>
    <w:rsid w:val="00087CC7"/>
    <w:rsid w:val="00087EAB"/>
    <w:rsid w:val="00087EF3"/>
    <w:rsid w:val="00090958"/>
    <w:rsid w:val="000915ED"/>
    <w:rsid w:val="00091D21"/>
    <w:rsid w:val="0009209D"/>
    <w:rsid w:val="0009240F"/>
    <w:rsid w:val="000925DB"/>
    <w:rsid w:val="000928CC"/>
    <w:rsid w:val="00094299"/>
    <w:rsid w:val="0009441F"/>
    <w:rsid w:val="0009463C"/>
    <w:rsid w:val="000948D6"/>
    <w:rsid w:val="00094D86"/>
    <w:rsid w:val="00095AAE"/>
    <w:rsid w:val="00095F85"/>
    <w:rsid w:val="00095FC6"/>
    <w:rsid w:val="00096189"/>
    <w:rsid w:val="00096781"/>
    <w:rsid w:val="000969BD"/>
    <w:rsid w:val="000969BF"/>
    <w:rsid w:val="00096C06"/>
    <w:rsid w:val="00097117"/>
    <w:rsid w:val="000971FB"/>
    <w:rsid w:val="00097710"/>
    <w:rsid w:val="00097815"/>
    <w:rsid w:val="00097F1D"/>
    <w:rsid w:val="000A063D"/>
    <w:rsid w:val="000A0985"/>
    <w:rsid w:val="000A0C22"/>
    <w:rsid w:val="000A0D61"/>
    <w:rsid w:val="000A11B5"/>
    <w:rsid w:val="000A130C"/>
    <w:rsid w:val="000A1400"/>
    <w:rsid w:val="000A1537"/>
    <w:rsid w:val="000A169D"/>
    <w:rsid w:val="000A1D7F"/>
    <w:rsid w:val="000A2A72"/>
    <w:rsid w:val="000A2D50"/>
    <w:rsid w:val="000A39B6"/>
    <w:rsid w:val="000A3A6B"/>
    <w:rsid w:val="000A3C43"/>
    <w:rsid w:val="000A3EA9"/>
    <w:rsid w:val="000A42D8"/>
    <w:rsid w:val="000A47D5"/>
    <w:rsid w:val="000A4A51"/>
    <w:rsid w:val="000A5A3B"/>
    <w:rsid w:val="000A5D2B"/>
    <w:rsid w:val="000A628C"/>
    <w:rsid w:val="000A749F"/>
    <w:rsid w:val="000A7756"/>
    <w:rsid w:val="000B050F"/>
    <w:rsid w:val="000B0A5D"/>
    <w:rsid w:val="000B0D67"/>
    <w:rsid w:val="000B0E03"/>
    <w:rsid w:val="000B1A22"/>
    <w:rsid w:val="000B1DEB"/>
    <w:rsid w:val="000B28A8"/>
    <w:rsid w:val="000B2C13"/>
    <w:rsid w:val="000B33BE"/>
    <w:rsid w:val="000B34EE"/>
    <w:rsid w:val="000B375B"/>
    <w:rsid w:val="000B3B5C"/>
    <w:rsid w:val="000B4065"/>
    <w:rsid w:val="000B464F"/>
    <w:rsid w:val="000B4664"/>
    <w:rsid w:val="000B47CB"/>
    <w:rsid w:val="000B58C4"/>
    <w:rsid w:val="000B5A62"/>
    <w:rsid w:val="000B5DE3"/>
    <w:rsid w:val="000B6ED6"/>
    <w:rsid w:val="000B795B"/>
    <w:rsid w:val="000C037C"/>
    <w:rsid w:val="000C041B"/>
    <w:rsid w:val="000C061B"/>
    <w:rsid w:val="000C082E"/>
    <w:rsid w:val="000C0A57"/>
    <w:rsid w:val="000C177A"/>
    <w:rsid w:val="000C1B23"/>
    <w:rsid w:val="000C203D"/>
    <w:rsid w:val="000C230C"/>
    <w:rsid w:val="000C24BB"/>
    <w:rsid w:val="000C284E"/>
    <w:rsid w:val="000C292F"/>
    <w:rsid w:val="000C2BAD"/>
    <w:rsid w:val="000C2C70"/>
    <w:rsid w:val="000C2DF8"/>
    <w:rsid w:val="000C4495"/>
    <w:rsid w:val="000C48CF"/>
    <w:rsid w:val="000C4B02"/>
    <w:rsid w:val="000C52DF"/>
    <w:rsid w:val="000C5336"/>
    <w:rsid w:val="000C565E"/>
    <w:rsid w:val="000C568F"/>
    <w:rsid w:val="000C602F"/>
    <w:rsid w:val="000C62AF"/>
    <w:rsid w:val="000C6AB4"/>
    <w:rsid w:val="000C73FC"/>
    <w:rsid w:val="000D02AD"/>
    <w:rsid w:val="000D04FB"/>
    <w:rsid w:val="000D06C9"/>
    <w:rsid w:val="000D0BB4"/>
    <w:rsid w:val="000D0C5E"/>
    <w:rsid w:val="000D0F1C"/>
    <w:rsid w:val="000D18EC"/>
    <w:rsid w:val="000D2CBA"/>
    <w:rsid w:val="000D33C7"/>
    <w:rsid w:val="000D3683"/>
    <w:rsid w:val="000D42C8"/>
    <w:rsid w:val="000D44D4"/>
    <w:rsid w:val="000D478F"/>
    <w:rsid w:val="000D47C6"/>
    <w:rsid w:val="000D4A90"/>
    <w:rsid w:val="000D4BE5"/>
    <w:rsid w:val="000D4CD0"/>
    <w:rsid w:val="000D51F2"/>
    <w:rsid w:val="000D55CE"/>
    <w:rsid w:val="000D59C5"/>
    <w:rsid w:val="000D5F7F"/>
    <w:rsid w:val="000D616E"/>
    <w:rsid w:val="000D653C"/>
    <w:rsid w:val="000D6602"/>
    <w:rsid w:val="000D6605"/>
    <w:rsid w:val="000D71D9"/>
    <w:rsid w:val="000D76E0"/>
    <w:rsid w:val="000D7AC1"/>
    <w:rsid w:val="000D7E8B"/>
    <w:rsid w:val="000D7EE0"/>
    <w:rsid w:val="000E0376"/>
    <w:rsid w:val="000E0A69"/>
    <w:rsid w:val="000E1044"/>
    <w:rsid w:val="000E14AC"/>
    <w:rsid w:val="000E162A"/>
    <w:rsid w:val="000E177B"/>
    <w:rsid w:val="000E1C36"/>
    <w:rsid w:val="000E1CF9"/>
    <w:rsid w:val="000E1D68"/>
    <w:rsid w:val="000E2891"/>
    <w:rsid w:val="000E2936"/>
    <w:rsid w:val="000E29EB"/>
    <w:rsid w:val="000E3BBE"/>
    <w:rsid w:val="000E3E0C"/>
    <w:rsid w:val="000E4449"/>
    <w:rsid w:val="000E46E0"/>
    <w:rsid w:val="000E48E8"/>
    <w:rsid w:val="000E4E2C"/>
    <w:rsid w:val="000E5148"/>
    <w:rsid w:val="000E54FC"/>
    <w:rsid w:val="000E57F2"/>
    <w:rsid w:val="000E5A7A"/>
    <w:rsid w:val="000E5BA8"/>
    <w:rsid w:val="000E6097"/>
    <w:rsid w:val="000E611B"/>
    <w:rsid w:val="000E6570"/>
    <w:rsid w:val="000E7269"/>
    <w:rsid w:val="000F032A"/>
    <w:rsid w:val="000F0FC3"/>
    <w:rsid w:val="000F1135"/>
    <w:rsid w:val="000F11AF"/>
    <w:rsid w:val="000F13CA"/>
    <w:rsid w:val="000F1460"/>
    <w:rsid w:val="000F19B8"/>
    <w:rsid w:val="000F289A"/>
    <w:rsid w:val="000F2C41"/>
    <w:rsid w:val="000F32F2"/>
    <w:rsid w:val="000F348E"/>
    <w:rsid w:val="000F348F"/>
    <w:rsid w:val="000F3621"/>
    <w:rsid w:val="000F3A17"/>
    <w:rsid w:val="000F3D25"/>
    <w:rsid w:val="000F4B55"/>
    <w:rsid w:val="000F507D"/>
    <w:rsid w:val="000F50DC"/>
    <w:rsid w:val="000F5517"/>
    <w:rsid w:val="000F5ADB"/>
    <w:rsid w:val="000F5B77"/>
    <w:rsid w:val="000F62D0"/>
    <w:rsid w:val="000F76FE"/>
    <w:rsid w:val="00100456"/>
    <w:rsid w:val="00100FB4"/>
    <w:rsid w:val="001014D1"/>
    <w:rsid w:val="00101761"/>
    <w:rsid w:val="001021A5"/>
    <w:rsid w:val="00102CA5"/>
    <w:rsid w:val="00103236"/>
    <w:rsid w:val="00103632"/>
    <w:rsid w:val="00103829"/>
    <w:rsid w:val="00104CC6"/>
    <w:rsid w:val="00104EBD"/>
    <w:rsid w:val="001055B0"/>
    <w:rsid w:val="001064F5"/>
    <w:rsid w:val="001068C7"/>
    <w:rsid w:val="00106D9F"/>
    <w:rsid w:val="00106DC0"/>
    <w:rsid w:val="00106F71"/>
    <w:rsid w:val="0010772A"/>
    <w:rsid w:val="001077D8"/>
    <w:rsid w:val="00107A2C"/>
    <w:rsid w:val="00107A3C"/>
    <w:rsid w:val="00107B73"/>
    <w:rsid w:val="00107B9F"/>
    <w:rsid w:val="00107BC2"/>
    <w:rsid w:val="001101DB"/>
    <w:rsid w:val="0011058F"/>
    <w:rsid w:val="001108E4"/>
    <w:rsid w:val="00111802"/>
    <w:rsid w:val="00111FCE"/>
    <w:rsid w:val="00112BB9"/>
    <w:rsid w:val="0011365A"/>
    <w:rsid w:val="00113996"/>
    <w:rsid w:val="001139CA"/>
    <w:rsid w:val="0011406B"/>
    <w:rsid w:val="00114836"/>
    <w:rsid w:val="00114949"/>
    <w:rsid w:val="001155DC"/>
    <w:rsid w:val="00115FEE"/>
    <w:rsid w:val="0011643D"/>
    <w:rsid w:val="001168CE"/>
    <w:rsid w:val="00116DC7"/>
    <w:rsid w:val="00117306"/>
    <w:rsid w:val="00117D8F"/>
    <w:rsid w:val="001201CA"/>
    <w:rsid w:val="00120588"/>
    <w:rsid w:val="001208B7"/>
    <w:rsid w:val="00121314"/>
    <w:rsid w:val="00121727"/>
    <w:rsid w:val="00121AD6"/>
    <w:rsid w:val="001229A5"/>
    <w:rsid w:val="00122FD0"/>
    <w:rsid w:val="00123D63"/>
    <w:rsid w:val="0012489B"/>
    <w:rsid w:val="00124C58"/>
    <w:rsid w:val="0012504E"/>
    <w:rsid w:val="00125FFC"/>
    <w:rsid w:val="001266F7"/>
    <w:rsid w:val="00127244"/>
    <w:rsid w:val="00127597"/>
    <w:rsid w:val="00127AE1"/>
    <w:rsid w:val="00127D66"/>
    <w:rsid w:val="00127EFC"/>
    <w:rsid w:val="00130017"/>
    <w:rsid w:val="00130F04"/>
    <w:rsid w:val="00130F91"/>
    <w:rsid w:val="001311FA"/>
    <w:rsid w:val="00131EFC"/>
    <w:rsid w:val="00132081"/>
    <w:rsid w:val="00132169"/>
    <w:rsid w:val="00132AD4"/>
    <w:rsid w:val="00132E57"/>
    <w:rsid w:val="001331ED"/>
    <w:rsid w:val="00133BC1"/>
    <w:rsid w:val="00133FF4"/>
    <w:rsid w:val="001349ED"/>
    <w:rsid w:val="00134C49"/>
    <w:rsid w:val="00135067"/>
    <w:rsid w:val="001355D3"/>
    <w:rsid w:val="00135C9E"/>
    <w:rsid w:val="001360D4"/>
    <w:rsid w:val="00136A5E"/>
    <w:rsid w:val="00137424"/>
    <w:rsid w:val="001374FD"/>
    <w:rsid w:val="00137CAF"/>
    <w:rsid w:val="00137DE9"/>
    <w:rsid w:val="00140318"/>
    <w:rsid w:val="00140A9C"/>
    <w:rsid w:val="00140ACF"/>
    <w:rsid w:val="00140E63"/>
    <w:rsid w:val="001411CD"/>
    <w:rsid w:val="00141848"/>
    <w:rsid w:val="00141AD9"/>
    <w:rsid w:val="00141AEC"/>
    <w:rsid w:val="00142C96"/>
    <w:rsid w:val="00142D46"/>
    <w:rsid w:val="00143771"/>
    <w:rsid w:val="00143D16"/>
    <w:rsid w:val="00143E81"/>
    <w:rsid w:val="001441C4"/>
    <w:rsid w:val="001451BB"/>
    <w:rsid w:val="0014565F"/>
    <w:rsid w:val="001457DB"/>
    <w:rsid w:val="00146BC2"/>
    <w:rsid w:val="00146CE6"/>
    <w:rsid w:val="001470B4"/>
    <w:rsid w:val="00147323"/>
    <w:rsid w:val="00147691"/>
    <w:rsid w:val="001479E0"/>
    <w:rsid w:val="00147CC1"/>
    <w:rsid w:val="00150049"/>
    <w:rsid w:val="00150DB6"/>
    <w:rsid w:val="00151BAF"/>
    <w:rsid w:val="00151FD0"/>
    <w:rsid w:val="00152903"/>
    <w:rsid w:val="00152C32"/>
    <w:rsid w:val="00152DC0"/>
    <w:rsid w:val="00153935"/>
    <w:rsid w:val="00153DED"/>
    <w:rsid w:val="00153FD5"/>
    <w:rsid w:val="00154004"/>
    <w:rsid w:val="0015402C"/>
    <w:rsid w:val="001548F4"/>
    <w:rsid w:val="00154E62"/>
    <w:rsid w:val="00155005"/>
    <w:rsid w:val="0015614F"/>
    <w:rsid w:val="001568AE"/>
    <w:rsid w:val="00156D6E"/>
    <w:rsid w:val="001570F1"/>
    <w:rsid w:val="00157509"/>
    <w:rsid w:val="001577C2"/>
    <w:rsid w:val="001577DD"/>
    <w:rsid w:val="00160C74"/>
    <w:rsid w:val="00161172"/>
    <w:rsid w:val="00161B6B"/>
    <w:rsid w:val="001620FB"/>
    <w:rsid w:val="001622EB"/>
    <w:rsid w:val="00162589"/>
    <w:rsid w:val="001629AF"/>
    <w:rsid w:val="00162A4D"/>
    <w:rsid w:val="00162D52"/>
    <w:rsid w:val="00163107"/>
    <w:rsid w:val="001633C4"/>
    <w:rsid w:val="001637D1"/>
    <w:rsid w:val="00163B08"/>
    <w:rsid w:val="00163C0E"/>
    <w:rsid w:val="00163C41"/>
    <w:rsid w:val="00164108"/>
    <w:rsid w:val="0016448C"/>
    <w:rsid w:val="00164D95"/>
    <w:rsid w:val="00164E78"/>
    <w:rsid w:val="0016507E"/>
    <w:rsid w:val="00165397"/>
    <w:rsid w:val="00165744"/>
    <w:rsid w:val="0016600B"/>
    <w:rsid w:val="00166631"/>
    <w:rsid w:val="00166B9B"/>
    <w:rsid w:val="00166DDD"/>
    <w:rsid w:val="001671BD"/>
    <w:rsid w:val="00167A37"/>
    <w:rsid w:val="00167AFF"/>
    <w:rsid w:val="001701A4"/>
    <w:rsid w:val="001704D5"/>
    <w:rsid w:val="001704FC"/>
    <w:rsid w:val="00170B1E"/>
    <w:rsid w:val="001711FD"/>
    <w:rsid w:val="00171223"/>
    <w:rsid w:val="00171591"/>
    <w:rsid w:val="00171832"/>
    <w:rsid w:val="00171986"/>
    <w:rsid w:val="00171BDD"/>
    <w:rsid w:val="00171D25"/>
    <w:rsid w:val="00171D37"/>
    <w:rsid w:val="00173981"/>
    <w:rsid w:val="00173FDE"/>
    <w:rsid w:val="00174172"/>
    <w:rsid w:val="00174288"/>
    <w:rsid w:val="001749FC"/>
    <w:rsid w:val="00174C6E"/>
    <w:rsid w:val="001755BE"/>
    <w:rsid w:val="001756EA"/>
    <w:rsid w:val="001759E6"/>
    <w:rsid w:val="001764C9"/>
    <w:rsid w:val="00176BD0"/>
    <w:rsid w:val="00176BD1"/>
    <w:rsid w:val="0017719D"/>
    <w:rsid w:val="001804FE"/>
    <w:rsid w:val="00181310"/>
    <w:rsid w:val="00181D81"/>
    <w:rsid w:val="00182198"/>
    <w:rsid w:val="0018219D"/>
    <w:rsid w:val="00182467"/>
    <w:rsid w:val="00182EAC"/>
    <w:rsid w:val="00183479"/>
    <w:rsid w:val="00183573"/>
    <w:rsid w:val="00183CF9"/>
    <w:rsid w:val="00183FD7"/>
    <w:rsid w:val="001852DC"/>
    <w:rsid w:val="00185A35"/>
    <w:rsid w:val="00185CAB"/>
    <w:rsid w:val="001863B1"/>
    <w:rsid w:val="0018681E"/>
    <w:rsid w:val="00186A8F"/>
    <w:rsid w:val="0018705C"/>
    <w:rsid w:val="001875B7"/>
    <w:rsid w:val="00187708"/>
    <w:rsid w:val="00187869"/>
    <w:rsid w:val="00187876"/>
    <w:rsid w:val="00187A6A"/>
    <w:rsid w:val="00187CB3"/>
    <w:rsid w:val="00187CC4"/>
    <w:rsid w:val="0019050A"/>
    <w:rsid w:val="00190907"/>
    <w:rsid w:val="00190CFB"/>
    <w:rsid w:val="00190E0D"/>
    <w:rsid w:val="001910D4"/>
    <w:rsid w:val="00191C1B"/>
    <w:rsid w:val="001921A8"/>
    <w:rsid w:val="0019243C"/>
    <w:rsid w:val="001928C7"/>
    <w:rsid w:val="00192D39"/>
    <w:rsid w:val="00192E3C"/>
    <w:rsid w:val="00192EE2"/>
    <w:rsid w:val="00192EEF"/>
    <w:rsid w:val="00192FD6"/>
    <w:rsid w:val="00193562"/>
    <w:rsid w:val="00193703"/>
    <w:rsid w:val="00193862"/>
    <w:rsid w:val="00193D34"/>
    <w:rsid w:val="0019409D"/>
    <w:rsid w:val="00194351"/>
    <w:rsid w:val="00194DBA"/>
    <w:rsid w:val="0019589B"/>
    <w:rsid w:val="00195953"/>
    <w:rsid w:val="0019622F"/>
    <w:rsid w:val="00197140"/>
    <w:rsid w:val="0019717A"/>
    <w:rsid w:val="001971CC"/>
    <w:rsid w:val="001972FC"/>
    <w:rsid w:val="001976E3"/>
    <w:rsid w:val="001A00AC"/>
    <w:rsid w:val="001A0DF5"/>
    <w:rsid w:val="001A0F13"/>
    <w:rsid w:val="001A1A9D"/>
    <w:rsid w:val="001A23F5"/>
    <w:rsid w:val="001A24A3"/>
    <w:rsid w:val="001A24BF"/>
    <w:rsid w:val="001A319D"/>
    <w:rsid w:val="001A3A51"/>
    <w:rsid w:val="001A3C4F"/>
    <w:rsid w:val="001A3C67"/>
    <w:rsid w:val="001A3CF6"/>
    <w:rsid w:val="001A4333"/>
    <w:rsid w:val="001A43D1"/>
    <w:rsid w:val="001A44EC"/>
    <w:rsid w:val="001A4B40"/>
    <w:rsid w:val="001A4DA1"/>
    <w:rsid w:val="001A5373"/>
    <w:rsid w:val="001A54DD"/>
    <w:rsid w:val="001A6287"/>
    <w:rsid w:val="001A64BD"/>
    <w:rsid w:val="001A64C2"/>
    <w:rsid w:val="001A6B5E"/>
    <w:rsid w:val="001A7A39"/>
    <w:rsid w:val="001A7B9C"/>
    <w:rsid w:val="001A7D7D"/>
    <w:rsid w:val="001B02CE"/>
    <w:rsid w:val="001B13EA"/>
    <w:rsid w:val="001B1D9E"/>
    <w:rsid w:val="001B2119"/>
    <w:rsid w:val="001B2509"/>
    <w:rsid w:val="001B2619"/>
    <w:rsid w:val="001B2B33"/>
    <w:rsid w:val="001B2E78"/>
    <w:rsid w:val="001B40D6"/>
    <w:rsid w:val="001B47A9"/>
    <w:rsid w:val="001B489B"/>
    <w:rsid w:val="001B4DEC"/>
    <w:rsid w:val="001B511E"/>
    <w:rsid w:val="001B56C9"/>
    <w:rsid w:val="001B58AA"/>
    <w:rsid w:val="001B5B3E"/>
    <w:rsid w:val="001B5E70"/>
    <w:rsid w:val="001B65BB"/>
    <w:rsid w:val="001B670A"/>
    <w:rsid w:val="001B6AE4"/>
    <w:rsid w:val="001B7029"/>
    <w:rsid w:val="001B7089"/>
    <w:rsid w:val="001B7B5C"/>
    <w:rsid w:val="001B7E48"/>
    <w:rsid w:val="001C01FD"/>
    <w:rsid w:val="001C0CDC"/>
    <w:rsid w:val="001C17CE"/>
    <w:rsid w:val="001C1A80"/>
    <w:rsid w:val="001C1D4F"/>
    <w:rsid w:val="001C1E16"/>
    <w:rsid w:val="001C22D2"/>
    <w:rsid w:val="001C232E"/>
    <w:rsid w:val="001C2AE6"/>
    <w:rsid w:val="001C2F4C"/>
    <w:rsid w:val="001C36CA"/>
    <w:rsid w:val="001C37F0"/>
    <w:rsid w:val="001C37FD"/>
    <w:rsid w:val="001C39DE"/>
    <w:rsid w:val="001C3A4F"/>
    <w:rsid w:val="001C3B8B"/>
    <w:rsid w:val="001C42E4"/>
    <w:rsid w:val="001C44A3"/>
    <w:rsid w:val="001C44D1"/>
    <w:rsid w:val="001C471E"/>
    <w:rsid w:val="001C4771"/>
    <w:rsid w:val="001C4862"/>
    <w:rsid w:val="001C48A3"/>
    <w:rsid w:val="001C4AC6"/>
    <w:rsid w:val="001C551A"/>
    <w:rsid w:val="001C58FB"/>
    <w:rsid w:val="001C5A27"/>
    <w:rsid w:val="001C661F"/>
    <w:rsid w:val="001C6AEE"/>
    <w:rsid w:val="001C6BC1"/>
    <w:rsid w:val="001C7630"/>
    <w:rsid w:val="001C76D9"/>
    <w:rsid w:val="001D0289"/>
    <w:rsid w:val="001D03A5"/>
    <w:rsid w:val="001D134B"/>
    <w:rsid w:val="001D13E4"/>
    <w:rsid w:val="001D16C9"/>
    <w:rsid w:val="001D18F6"/>
    <w:rsid w:val="001D241A"/>
    <w:rsid w:val="001D3247"/>
    <w:rsid w:val="001D4478"/>
    <w:rsid w:val="001D59B0"/>
    <w:rsid w:val="001D6148"/>
    <w:rsid w:val="001D6686"/>
    <w:rsid w:val="001D6AB3"/>
    <w:rsid w:val="001D6D15"/>
    <w:rsid w:val="001D7330"/>
    <w:rsid w:val="001D734D"/>
    <w:rsid w:val="001D7E89"/>
    <w:rsid w:val="001D7F38"/>
    <w:rsid w:val="001E0989"/>
    <w:rsid w:val="001E117C"/>
    <w:rsid w:val="001E1633"/>
    <w:rsid w:val="001E1CF9"/>
    <w:rsid w:val="001E2941"/>
    <w:rsid w:val="001E2B21"/>
    <w:rsid w:val="001E301B"/>
    <w:rsid w:val="001E3164"/>
    <w:rsid w:val="001E336A"/>
    <w:rsid w:val="001E34A8"/>
    <w:rsid w:val="001E370A"/>
    <w:rsid w:val="001E3AC4"/>
    <w:rsid w:val="001E3C71"/>
    <w:rsid w:val="001E4594"/>
    <w:rsid w:val="001E48E8"/>
    <w:rsid w:val="001E4AE6"/>
    <w:rsid w:val="001E5ACC"/>
    <w:rsid w:val="001E621A"/>
    <w:rsid w:val="001E6FA9"/>
    <w:rsid w:val="001E701E"/>
    <w:rsid w:val="001E747B"/>
    <w:rsid w:val="001E76F0"/>
    <w:rsid w:val="001E78F7"/>
    <w:rsid w:val="001F09A9"/>
    <w:rsid w:val="001F2C97"/>
    <w:rsid w:val="001F2DFD"/>
    <w:rsid w:val="001F3551"/>
    <w:rsid w:val="001F3F3C"/>
    <w:rsid w:val="001F417F"/>
    <w:rsid w:val="001F4DBF"/>
    <w:rsid w:val="001F50F7"/>
    <w:rsid w:val="001F531C"/>
    <w:rsid w:val="001F5557"/>
    <w:rsid w:val="001F5B55"/>
    <w:rsid w:val="001F5C6F"/>
    <w:rsid w:val="001F5D70"/>
    <w:rsid w:val="001F617F"/>
    <w:rsid w:val="001F6673"/>
    <w:rsid w:val="001F669E"/>
    <w:rsid w:val="001F7172"/>
    <w:rsid w:val="001F74C4"/>
    <w:rsid w:val="001F753E"/>
    <w:rsid w:val="001F7558"/>
    <w:rsid w:val="001F792B"/>
    <w:rsid w:val="001F7941"/>
    <w:rsid w:val="0020051D"/>
    <w:rsid w:val="002007B5"/>
    <w:rsid w:val="00201EE2"/>
    <w:rsid w:val="002021C8"/>
    <w:rsid w:val="00202499"/>
    <w:rsid w:val="002029C6"/>
    <w:rsid w:val="00203DED"/>
    <w:rsid w:val="00203FFC"/>
    <w:rsid w:val="00204CA6"/>
    <w:rsid w:val="002053C1"/>
    <w:rsid w:val="00205B57"/>
    <w:rsid w:val="00205C7A"/>
    <w:rsid w:val="00205D0D"/>
    <w:rsid w:val="00205E5C"/>
    <w:rsid w:val="0020677E"/>
    <w:rsid w:val="002073D8"/>
    <w:rsid w:val="00210647"/>
    <w:rsid w:val="00210FA6"/>
    <w:rsid w:val="002110FD"/>
    <w:rsid w:val="002116E6"/>
    <w:rsid w:val="00212051"/>
    <w:rsid w:val="002122C1"/>
    <w:rsid w:val="0021426C"/>
    <w:rsid w:val="00214C9B"/>
    <w:rsid w:val="002157E0"/>
    <w:rsid w:val="00215F13"/>
    <w:rsid w:val="002161D0"/>
    <w:rsid w:val="00216597"/>
    <w:rsid w:val="00216A57"/>
    <w:rsid w:val="00216F4A"/>
    <w:rsid w:val="00216F8F"/>
    <w:rsid w:val="002170EE"/>
    <w:rsid w:val="00217448"/>
    <w:rsid w:val="00217522"/>
    <w:rsid w:val="00217A2C"/>
    <w:rsid w:val="00217BB5"/>
    <w:rsid w:val="00217CE6"/>
    <w:rsid w:val="00220091"/>
    <w:rsid w:val="00220873"/>
    <w:rsid w:val="00220E22"/>
    <w:rsid w:val="00221478"/>
    <w:rsid w:val="002219AD"/>
    <w:rsid w:val="00222025"/>
    <w:rsid w:val="002223F5"/>
    <w:rsid w:val="002232BE"/>
    <w:rsid w:val="0022334F"/>
    <w:rsid w:val="00224160"/>
    <w:rsid w:val="00224191"/>
    <w:rsid w:val="00224ED5"/>
    <w:rsid w:val="00224F7D"/>
    <w:rsid w:val="002257A6"/>
    <w:rsid w:val="00225C95"/>
    <w:rsid w:val="00226622"/>
    <w:rsid w:val="00226819"/>
    <w:rsid w:val="00226C77"/>
    <w:rsid w:val="00226DE0"/>
    <w:rsid w:val="00227B75"/>
    <w:rsid w:val="002309AC"/>
    <w:rsid w:val="002311F3"/>
    <w:rsid w:val="00231D6B"/>
    <w:rsid w:val="002325AD"/>
    <w:rsid w:val="00232C5B"/>
    <w:rsid w:val="00233101"/>
    <w:rsid w:val="00233817"/>
    <w:rsid w:val="00233929"/>
    <w:rsid w:val="0023393B"/>
    <w:rsid w:val="00233D6F"/>
    <w:rsid w:val="00233DE3"/>
    <w:rsid w:val="002347F5"/>
    <w:rsid w:val="00234C36"/>
    <w:rsid w:val="0023563F"/>
    <w:rsid w:val="002362C4"/>
    <w:rsid w:val="002366CC"/>
    <w:rsid w:val="002367FF"/>
    <w:rsid w:val="002373B7"/>
    <w:rsid w:val="00237865"/>
    <w:rsid w:val="00237DD2"/>
    <w:rsid w:val="0024068D"/>
    <w:rsid w:val="00240AE0"/>
    <w:rsid w:val="00240CE9"/>
    <w:rsid w:val="00241808"/>
    <w:rsid w:val="0024183C"/>
    <w:rsid w:val="00241B30"/>
    <w:rsid w:val="00241BF9"/>
    <w:rsid w:val="00241E30"/>
    <w:rsid w:val="002422A3"/>
    <w:rsid w:val="00242A64"/>
    <w:rsid w:val="002434BA"/>
    <w:rsid w:val="002437C6"/>
    <w:rsid w:val="00243C80"/>
    <w:rsid w:val="002440AC"/>
    <w:rsid w:val="002445D9"/>
    <w:rsid w:val="0024489F"/>
    <w:rsid w:val="002448BA"/>
    <w:rsid w:val="00244CE4"/>
    <w:rsid w:val="00244E4F"/>
    <w:rsid w:val="002453EE"/>
    <w:rsid w:val="00245A73"/>
    <w:rsid w:val="00246089"/>
    <w:rsid w:val="00246093"/>
    <w:rsid w:val="00246269"/>
    <w:rsid w:val="00246494"/>
    <w:rsid w:val="00246554"/>
    <w:rsid w:val="00246702"/>
    <w:rsid w:val="00246AD1"/>
    <w:rsid w:val="00246DDA"/>
    <w:rsid w:val="00246F91"/>
    <w:rsid w:val="00247178"/>
    <w:rsid w:val="002473F1"/>
    <w:rsid w:val="002474A2"/>
    <w:rsid w:val="00247838"/>
    <w:rsid w:val="0024785F"/>
    <w:rsid w:val="0024795A"/>
    <w:rsid w:val="00247B13"/>
    <w:rsid w:val="00247C59"/>
    <w:rsid w:val="00247F2E"/>
    <w:rsid w:val="00250017"/>
    <w:rsid w:val="00250231"/>
    <w:rsid w:val="00250ADC"/>
    <w:rsid w:val="00250B07"/>
    <w:rsid w:val="00250F9A"/>
    <w:rsid w:val="00251832"/>
    <w:rsid w:val="00252C2A"/>
    <w:rsid w:val="00253336"/>
    <w:rsid w:val="00253BEB"/>
    <w:rsid w:val="00255083"/>
    <w:rsid w:val="00255524"/>
    <w:rsid w:val="00255997"/>
    <w:rsid w:val="00255A8F"/>
    <w:rsid w:val="00257516"/>
    <w:rsid w:val="00257553"/>
    <w:rsid w:val="00257B26"/>
    <w:rsid w:val="00260669"/>
    <w:rsid w:val="002606A4"/>
    <w:rsid w:val="002607AB"/>
    <w:rsid w:val="00260E12"/>
    <w:rsid w:val="00260E61"/>
    <w:rsid w:val="00260FB2"/>
    <w:rsid w:val="0026100A"/>
    <w:rsid w:val="002611FD"/>
    <w:rsid w:val="00261C7B"/>
    <w:rsid w:val="00261CDC"/>
    <w:rsid w:val="00261F26"/>
    <w:rsid w:val="00262128"/>
    <w:rsid w:val="00262A50"/>
    <w:rsid w:val="00262A8D"/>
    <w:rsid w:val="00262DD7"/>
    <w:rsid w:val="00262F16"/>
    <w:rsid w:val="00263297"/>
    <w:rsid w:val="002636F0"/>
    <w:rsid w:val="002653A2"/>
    <w:rsid w:val="0026577F"/>
    <w:rsid w:val="002661BC"/>
    <w:rsid w:val="0026650D"/>
    <w:rsid w:val="00266A98"/>
    <w:rsid w:val="00267C43"/>
    <w:rsid w:val="002701FE"/>
    <w:rsid w:val="002707D9"/>
    <w:rsid w:val="00270E57"/>
    <w:rsid w:val="00271543"/>
    <w:rsid w:val="0027165D"/>
    <w:rsid w:val="00271D3B"/>
    <w:rsid w:val="002725D3"/>
    <w:rsid w:val="002732FF"/>
    <w:rsid w:val="0027350B"/>
    <w:rsid w:val="00273CEB"/>
    <w:rsid w:val="0027484D"/>
    <w:rsid w:val="00274CF9"/>
    <w:rsid w:val="0027506B"/>
    <w:rsid w:val="00275339"/>
    <w:rsid w:val="00275F5F"/>
    <w:rsid w:val="002778F3"/>
    <w:rsid w:val="0028037D"/>
    <w:rsid w:val="00280393"/>
    <w:rsid w:val="0028040A"/>
    <w:rsid w:val="00280CDD"/>
    <w:rsid w:val="002810FF"/>
    <w:rsid w:val="0028142E"/>
    <w:rsid w:val="002814D2"/>
    <w:rsid w:val="00281A89"/>
    <w:rsid w:val="00281B2C"/>
    <w:rsid w:val="00281B6E"/>
    <w:rsid w:val="00281B72"/>
    <w:rsid w:val="00281BB1"/>
    <w:rsid w:val="00281C89"/>
    <w:rsid w:val="00281D13"/>
    <w:rsid w:val="00282136"/>
    <w:rsid w:val="002821CC"/>
    <w:rsid w:val="0028282F"/>
    <w:rsid w:val="00282FC1"/>
    <w:rsid w:val="0028350B"/>
    <w:rsid w:val="002835B4"/>
    <w:rsid w:val="002836AB"/>
    <w:rsid w:val="002838C0"/>
    <w:rsid w:val="0028416F"/>
    <w:rsid w:val="00284399"/>
    <w:rsid w:val="00284AE1"/>
    <w:rsid w:val="00284B6F"/>
    <w:rsid w:val="00284FC1"/>
    <w:rsid w:val="00284FF4"/>
    <w:rsid w:val="002851A6"/>
    <w:rsid w:val="002864ED"/>
    <w:rsid w:val="002867B9"/>
    <w:rsid w:val="00286D4F"/>
    <w:rsid w:val="0028794D"/>
    <w:rsid w:val="00287AD6"/>
    <w:rsid w:val="00287BEA"/>
    <w:rsid w:val="00287C8F"/>
    <w:rsid w:val="00290037"/>
    <w:rsid w:val="00290246"/>
    <w:rsid w:val="00290304"/>
    <w:rsid w:val="00290BFA"/>
    <w:rsid w:val="00292292"/>
    <w:rsid w:val="002925A1"/>
    <w:rsid w:val="00292D61"/>
    <w:rsid w:val="002936ED"/>
    <w:rsid w:val="00293726"/>
    <w:rsid w:val="00293907"/>
    <w:rsid w:val="002939FE"/>
    <w:rsid w:val="00293C9D"/>
    <w:rsid w:val="002940B3"/>
    <w:rsid w:val="0029530A"/>
    <w:rsid w:val="002956FA"/>
    <w:rsid w:val="0029593B"/>
    <w:rsid w:val="002959F9"/>
    <w:rsid w:val="002962AE"/>
    <w:rsid w:val="00296333"/>
    <w:rsid w:val="00296A83"/>
    <w:rsid w:val="00296DE2"/>
    <w:rsid w:val="00297036"/>
    <w:rsid w:val="00297040"/>
    <w:rsid w:val="00297084"/>
    <w:rsid w:val="00297126"/>
    <w:rsid w:val="00297311"/>
    <w:rsid w:val="0029799F"/>
    <w:rsid w:val="00297AD4"/>
    <w:rsid w:val="00297C0C"/>
    <w:rsid w:val="00297FC5"/>
    <w:rsid w:val="002A0417"/>
    <w:rsid w:val="002A05CC"/>
    <w:rsid w:val="002A067A"/>
    <w:rsid w:val="002A1224"/>
    <w:rsid w:val="002A14FF"/>
    <w:rsid w:val="002A16D8"/>
    <w:rsid w:val="002A1BC8"/>
    <w:rsid w:val="002A1BEF"/>
    <w:rsid w:val="002A1D96"/>
    <w:rsid w:val="002A2AE2"/>
    <w:rsid w:val="002A2B70"/>
    <w:rsid w:val="002A2D6C"/>
    <w:rsid w:val="002A2E06"/>
    <w:rsid w:val="002A2F4D"/>
    <w:rsid w:val="002A311B"/>
    <w:rsid w:val="002A3263"/>
    <w:rsid w:val="002A39A0"/>
    <w:rsid w:val="002A3A10"/>
    <w:rsid w:val="002A3EF2"/>
    <w:rsid w:val="002A431D"/>
    <w:rsid w:val="002A4845"/>
    <w:rsid w:val="002A500C"/>
    <w:rsid w:val="002A58B6"/>
    <w:rsid w:val="002A5E78"/>
    <w:rsid w:val="002A5EC2"/>
    <w:rsid w:val="002A6696"/>
    <w:rsid w:val="002A6B9D"/>
    <w:rsid w:val="002A6EFF"/>
    <w:rsid w:val="002A795F"/>
    <w:rsid w:val="002A7FC7"/>
    <w:rsid w:val="002B03D2"/>
    <w:rsid w:val="002B05D6"/>
    <w:rsid w:val="002B09CB"/>
    <w:rsid w:val="002B0DED"/>
    <w:rsid w:val="002B0EBC"/>
    <w:rsid w:val="002B19A2"/>
    <w:rsid w:val="002B2E77"/>
    <w:rsid w:val="002B381A"/>
    <w:rsid w:val="002B42D8"/>
    <w:rsid w:val="002B4428"/>
    <w:rsid w:val="002B444A"/>
    <w:rsid w:val="002B4475"/>
    <w:rsid w:val="002B4D5B"/>
    <w:rsid w:val="002B4FCC"/>
    <w:rsid w:val="002B517F"/>
    <w:rsid w:val="002B58C3"/>
    <w:rsid w:val="002B5D90"/>
    <w:rsid w:val="002B6AC4"/>
    <w:rsid w:val="002B6ACF"/>
    <w:rsid w:val="002B6C76"/>
    <w:rsid w:val="002B6FDE"/>
    <w:rsid w:val="002B7408"/>
    <w:rsid w:val="002B74CC"/>
    <w:rsid w:val="002B799C"/>
    <w:rsid w:val="002B7B09"/>
    <w:rsid w:val="002B7CFD"/>
    <w:rsid w:val="002C0530"/>
    <w:rsid w:val="002C085C"/>
    <w:rsid w:val="002C0BBF"/>
    <w:rsid w:val="002C10CD"/>
    <w:rsid w:val="002C13E8"/>
    <w:rsid w:val="002C210F"/>
    <w:rsid w:val="002C237D"/>
    <w:rsid w:val="002C2DD4"/>
    <w:rsid w:val="002C3115"/>
    <w:rsid w:val="002C36F7"/>
    <w:rsid w:val="002C3778"/>
    <w:rsid w:val="002C3EDF"/>
    <w:rsid w:val="002C4301"/>
    <w:rsid w:val="002C4E6A"/>
    <w:rsid w:val="002C5BCD"/>
    <w:rsid w:val="002C633C"/>
    <w:rsid w:val="002C7BAE"/>
    <w:rsid w:val="002C7EEF"/>
    <w:rsid w:val="002D096A"/>
    <w:rsid w:val="002D0A62"/>
    <w:rsid w:val="002D0C64"/>
    <w:rsid w:val="002D170E"/>
    <w:rsid w:val="002D1E7B"/>
    <w:rsid w:val="002D1EFB"/>
    <w:rsid w:val="002D266D"/>
    <w:rsid w:val="002D2989"/>
    <w:rsid w:val="002D29D7"/>
    <w:rsid w:val="002D2DE2"/>
    <w:rsid w:val="002D34D0"/>
    <w:rsid w:val="002D3600"/>
    <w:rsid w:val="002D3EDE"/>
    <w:rsid w:val="002D4136"/>
    <w:rsid w:val="002D4816"/>
    <w:rsid w:val="002D4F7C"/>
    <w:rsid w:val="002D53C7"/>
    <w:rsid w:val="002D5904"/>
    <w:rsid w:val="002D6334"/>
    <w:rsid w:val="002D6A73"/>
    <w:rsid w:val="002D7337"/>
    <w:rsid w:val="002D7CAE"/>
    <w:rsid w:val="002E0CF8"/>
    <w:rsid w:val="002E114B"/>
    <w:rsid w:val="002E118A"/>
    <w:rsid w:val="002E1815"/>
    <w:rsid w:val="002E1DDE"/>
    <w:rsid w:val="002E2246"/>
    <w:rsid w:val="002E225C"/>
    <w:rsid w:val="002E2597"/>
    <w:rsid w:val="002E2D90"/>
    <w:rsid w:val="002E33CE"/>
    <w:rsid w:val="002E3696"/>
    <w:rsid w:val="002E382F"/>
    <w:rsid w:val="002E41A3"/>
    <w:rsid w:val="002E41B8"/>
    <w:rsid w:val="002E41C2"/>
    <w:rsid w:val="002E4DDC"/>
    <w:rsid w:val="002E5257"/>
    <w:rsid w:val="002E596B"/>
    <w:rsid w:val="002E6250"/>
    <w:rsid w:val="002E6C6F"/>
    <w:rsid w:val="002E6F33"/>
    <w:rsid w:val="002E7DB3"/>
    <w:rsid w:val="002F059A"/>
    <w:rsid w:val="002F0661"/>
    <w:rsid w:val="002F09A0"/>
    <w:rsid w:val="002F14A0"/>
    <w:rsid w:val="002F2BD3"/>
    <w:rsid w:val="002F31E8"/>
    <w:rsid w:val="002F341B"/>
    <w:rsid w:val="002F3BE9"/>
    <w:rsid w:val="002F4478"/>
    <w:rsid w:val="002F44F3"/>
    <w:rsid w:val="002F45BE"/>
    <w:rsid w:val="002F51DB"/>
    <w:rsid w:val="002F58D4"/>
    <w:rsid w:val="002F5BFF"/>
    <w:rsid w:val="002F5E18"/>
    <w:rsid w:val="002F5FA4"/>
    <w:rsid w:val="002F649C"/>
    <w:rsid w:val="002F65FC"/>
    <w:rsid w:val="002F673B"/>
    <w:rsid w:val="002F689D"/>
    <w:rsid w:val="002F6E22"/>
    <w:rsid w:val="002F6F2D"/>
    <w:rsid w:val="002F7306"/>
    <w:rsid w:val="002F7C6D"/>
    <w:rsid w:val="00300341"/>
    <w:rsid w:val="0030073C"/>
    <w:rsid w:val="0030082C"/>
    <w:rsid w:val="0030190D"/>
    <w:rsid w:val="00302480"/>
    <w:rsid w:val="00302485"/>
    <w:rsid w:val="00302758"/>
    <w:rsid w:val="00302938"/>
    <w:rsid w:val="003029AA"/>
    <w:rsid w:val="003033BB"/>
    <w:rsid w:val="00303694"/>
    <w:rsid w:val="00303AD6"/>
    <w:rsid w:val="0030426E"/>
    <w:rsid w:val="00304603"/>
    <w:rsid w:val="00304BAC"/>
    <w:rsid w:val="003052CF"/>
    <w:rsid w:val="00305C2F"/>
    <w:rsid w:val="00306464"/>
    <w:rsid w:val="00306E29"/>
    <w:rsid w:val="003074C6"/>
    <w:rsid w:val="00307BE0"/>
    <w:rsid w:val="0031060A"/>
    <w:rsid w:val="00310C1A"/>
    <w:rsid w:val="00310DA9"/>
    <w:rsid w:val="00310DDF"/>
    <w:rsid w:val="00310E02"/>
    <w:rsid w:val="00310F17"/>
    <w:rsid w:val="0031162D"/>
    <w:rsid w:val="003117A2"/>
    <w:rsid w:val="00311D41"/>
    <w:rsid w:val="00311DC0"/>
    <w:rsid w:val="00311E7B"/>
    <w:rsid w:val="003126A7"/>
    <w:rsid w:val="00312C40"/>
    <w:rsid w:val="00313111"/>
    <w:rsid w:val="0031376C"/>
    <w:rsid w:val="00313CA2"/>
    <w:rsid w:val="00314018"/>
    <w:rsid w:val="00315C3C"/>
    <w:rsid w:val="00315D04"/>
    <w:rsid w:val="00316407"/>
    <w:rsid w:val="00316544"/>
    <w:rsid w:val="003165E6"/>
    <w:rsid w:val="00316DB2"/>
    <w:rsid w:val="0031707B"/>
    <w:rsid w:val="00317083"/>
    <w:rsid w:val="00317A1A"/>
    <w:rsid w:val="00317F35"/>
    <w:rsid w:val="00320D19"/>
    <w:rsid w:val="00320DB1"/>
    <w:rsid w:val="003215B5"/>
    <w:rsid w:val="00322075"/>
    <w:rsid w:val="003221CF"/>
    <w:rsid w:val="0032272F"/>
    <w:rsid w:val="003233ED"/>
    <w:rsid w:val="003236B5"/>
    <w:rsid w:val="00323BB1"/>
    <w:rsid w:val="00324D9F"/>
    <w:rsid w:val="003250FF"/>
    <w:rsid w:val="00325590"/>
    <w:rsid w:val="00325A5E"/>
    <w:rsid w:val="00325BDF"/>
    <w:rsid w:val="00325CA6"/>
    <w:rsid w:val="00326180"/>
    <w:rsid w:val="00326192"/>
    <w:rsid w:val="00326684"/>
    <w:rsid w:val="00327859"/>
    <w:rsid w:val="00327948"/>
    <w:rsid w:val="0033000F"/>
    <w:rsid w:val="0033012E"/>
    <w:rsid w:val="0033041F"/>
    <w:rsid w:val="003309FA"/>
    <w:rsid w:val="00331087"/>
    <w:rsid w:val="00331202"/>
    <w:rsid w:val="00331640"/>
    <w:rsid w:val="003318AD"/>
    <w:rsid w:val="00331B56"/>
    <w:rsid w:val="00331C7E"/>
    <w:rsid w:val="00331E7F"/>
    <w:rsid w:val="00332011"/>
    <w:rsid w:val="0033226A"/>
    <w:rsid w:val="003322DD"/>
    <w:rsid w:val="00332518"/>
    <w:rsid w:val="00332925"/>
    <w:rsid w:val="00332E3F"/>
    <w:rsid w:val="00333270"/>
    <w:rsid w:val="003332ED"/>
    <w:rsid w:val="00333482"/>
    <w:rsid w:val="0033452B"/>
    <w:rsid w:val="00334545"/>
    <w:rsid w:val="003350E5"/>
    <w:rsid w:val="003354A8"/>
    <w:rsid w:val="00335BA2"/>
    <w:rsid w:val="00335D03"/>
    <w:rsid w:val="00335E39"/>
    <w:rsid w:val="003368DC"/>
    <w:rsid w:val="003373B6"/>
    <w:rsid w:val="003375EE"/>
    <w:rsid w:val="0034000F"/>
    <w:rsid w:val="00340DE0"/>
    <w:rsid w:val="00340FB4"/>
    <w:rsid w:val="00341585"/>
    <w:rsid w:val="0034190E"/>
    <w:rsid w:val="00341EB9"/>
    <w:rsid w:val="003420B5"/>
    <w:rsid w:val="00342338"/>
    <w:rsid w:val="003423DC"/>
    <w:rsid w:val="003424C4"/>
    <w:rsid w:val="003425B5"/>
    <w:rsid w:val="003427D5"/>
    <w:rsid w:val="00342E73"/>
    <w:rsid w:val="00343320"/>
    <w:rsid w:val="00343349"/>
    <w:rsid w:val="0034445B"/>
    <w:rsid w:val="00344516"/>
    <w:rsid w:val="00344A6D"/>
    <w:rsid w:val="00344E1B"/>
    <w:rsid w:val="00345228"/>
    <w:rsid w:val="003457DC"/>
    <w:rsid w:val="00345927"/>
    <w:rsid w:val="0034595B"/>
    <w:rsid w:val="003459DB"/>
    <w:rsid w:val="00345CA0"/>
    <w:rsid w:val="00345D62"/>
    <w:rsid w:val="00346995"/>
    <w:rsid w:val="0034719D"/>
    <w:rsid w:val="00347BDD"/>
    <w:rsid w:val="00350223"/>
    <w:rsid w:val="00350584"/>
    <w:rsid w:val="00350C90"/>
    <w:rsid w:val="0035126D"/>
    <w:rsid w:val="00351426"/>
    <w:rsid w:val="00351857"/>
    <w:rsid w:val="00351C45"/>
    <w:rsid w:val="0035202F"/>
    <w:rsid w:val="00352491"/>
    <w:rsid w:val="0035268A"/>
    <w:rsid w:val="00352C1D"/>
    <w:rsid w:val="00353EC6"/>
    <w:rsid w:val="00354202"/>
    <w:rsid w:val="003545E8"/>
    <w:rsid w:val="00354BE5"/>
    <w:rsid w:val="0035514B"/>
    <w:rsid w:val="003556DF"/>
    <w:rsid w:val="003559D2"/>
    <w:rsid w:val="00355B63"/>
    <w:rsid w:val="00355DC6"/>
    <w:rsid w:val="00356006"/>
    <w:rsid w:val="0035645C"/>
    <w:rsid w:val="003569E1"/>
    <w:rsid w:val="00356CF7"/>
    <w:rsid w:val="003573E6"/>
    <w:rsid w:val="0035749B"/>
    <w:rsid w:val="0035752A"/>
    <w:rsid w:val="00357707"/>
    <w:rsid w:val="00357B7E"/>
    <w:rsid w:val="00360373"/>
    <w:rsid w:val="00360C93"/>
    <w:rsid w:val="003610E1"/>
    <w:rsid w:val="003611DF"/>
    <w:rsid w:val="00361D6D"/>
    <w:rsid w:val="00361E53"/>
    <w:rsid w:val="003623FC"/>
    <w:rsid w:val="00362B3A"/>
    <w:rsid w:val="00362BAB"/>
    <w:rsid w:val="0036383A"/>
    <w:rsid w:val="00363976"/>
    <w:rsid w:val="0036420C"/>
    <w:rsid w:val="0036436F"/>
    <w:rsid w:val="00364860"/>
    <w:rsid w:val="00364AC4"/>
    <w:rsid w:val="00364D6B"/>
    <w:rsid w:val="00364FC3"/>
    <w:rsid w:val="003651BF"/>
    <w:rsid w:val="003655DC"/>
    <w:rsid w:val="00365910"/>
    <w:rsid w:val="003662FB"/>
    <w:rsid w:val="00366B84"/>
    <w:rsid w:val="003671BE"/>
    <w:rsid w:val="003671EA"/>
    <w:rsid w:val="00367CA6"/>
    <w:rsid w:val="00370406"/>
    <w:rsid w:val="00370796"/>
    <w:rsid w:val="003707B3"/>
    <w:rsid w:val="003711FA"/>
    <w:rsid w:val="003721BC"/>
    <w:rsid w:val="00372485"/>
    <w:rsid w:val="003724ED"/>
    <w:rsid w:val="003727B6"/>
    <w:rsid w:val="00373200"/>
    <w:rsid w:val="00373395"/>
    <w:rsid w:val="003742DE"/>
    <w:rsid w:val="00374767"/>
    <w:rsid w:val="003747F5"/>
    <w:rsid w:val="00374E4B"/>
    <w:rsid w:val="00374E81"/>
    <w:rsid w:val="00375727"/>
    <w:rsid w:val="003757DB"/>
    <w:rsid w:val="00375936"/>
    <w:rsid w:val="00375EDC"/>
    <w:rsid w:val="00375EF5"/>
    <w:rsid w:val="00376309"/>
    <w:rsid w:val="003767A5"/>
    <w:rsid w:val="00376E72"/>
    <w:rsid w:val="00376EBA"/>
    <w:rsid w:val="00377757"/>
    <w:rsid w:val="00377835"/>
    <w:rsid w:val="00377F68"/>
    <w:rsid w:val="003809B8"/>
    <w:rsid w:val="003809E3"/>
    <w:rsid w:val="00381A9E"/>
    <w:rsid w:val="00381ADA"/>
    <w:rsid w:val="00381AF2"/>
    <w:rsid w:val="00381D15"/>
    <w:rsid w:val="003820C3"/>
    <w:rsid w:val="00382110"/>
    <w:rsid w:val="00382195"/>
    <w:rsid w:val="003823C4"/>
    <w:rsid w:val="00383005"/>
    <w:rsid w:val="003835E9"/>
    <w:rsid w:val="003843C9"/>
    <w:rsid w:val="00384803"/>
    <w:rsid w:val="003849FD"/>
    <w:rsid w:val="00385254"/>
    <w:rsid w:val="00385A95"/>
    <w:rsid w:val="0038609B"/>
    <w:rsid w:val="00386C9E"/>
    <w:rsid w:val="00386D2B"/>
    <w:rsid w:val="00386D8C"/>
    <w:rsid w:val="003876B8"/>
    <w:rsid w:val="0038780D"/>
    <w:rsid w:val="00387924"/>
    <w:rsid w:val="003901BB"/>
    <w:rsid w:val="0039068D"/>
    <w:rsid w:val="00390959"/>
    <w:rsid w:val="0039113F"/>
    <w:rsid w:val="003913AD"/>
    <w:rsid w:val="003919A4"/>
    <w:rsid w:val="00392313"/>
    <w:rsid w:val="00392604"/>
    <w:rsid w:val="0039317E"/>
    <w:rsid w:val="003933E8"/>
    <w:rsid w:val="00393957"/>
    <w:rsid w:val="00393B3A"/>
    <w:rsid w:val="00394031"/>
    <w:rsid w:val="00394787"/>
    <w:rsid w:val="0039478F"/>
    <w:rsid w:val="003947F3"/>
    <w:rsid w:val="00394DC1"/>
    <w:rsid w:val="00394FBB"/>
    <w:rsid w:val="003953AD"/>
    <w:rsid w:val="00395F66"/>
    <w:rsid w:val="00396117"/>
    <w:rsid w:val="0039629E"/>
    <w:rsid w:val="0039629F"/>
    <w:rsid w:val="0039692F"/>
    <w:rsid w:val="00396DC2"/>
    <w:rsid w:val="00396FF8"/>
    <w:rsid w:val="00397717"/>
    <w:rsid w:val="00397777"/>
    <w:rsid w:val="003A04DB"/>
    <w:rsid w:val="003A078F"/>
    <w:rsid w:val="003A07D4"/>
    <w:rsid w:val="003A0CAF"/>
    <w:rsid w:val="003A0E52"/>
    <w:rsid w:val="003A10D6"/>
    <w:rsid w:val="003A194E"/>
    <w:rsid w:val="003A1A51"/>
    <w:rsid w:val="003A1CB0"/>
    <w:rsid w:val="003A2478"/>
    <w:rsid w:val="003A2930"/>
    <w:rsid w:val="003A2E56"/>
    <w:rsid w:val="003A3488"/>
    <w:rsid w:val="003A3A8F"/>
    <w:rsid w:val="003A41DE"/>
    <w:rsid w:val="003A4DA7"/>
    <w:rsid w:val="003A5068"/>
    <w:rsid w:val="003A524A"/>
    <w:rsid w:val="003A5711"/>
    <w:rsid w:val="003A5B4C"/>
    <w:rsid w:val="003A5F5B"/>
    <w:rsid w:val="003A6044"/>
    <w:rsid w:val="003A6B3C"/>
    <w:rsid w:val="003A6C7F"/>
    <w:rsid w:val="003A6F9C"/>
    <w:rsid w:val="003A789A"/>
    <w:rsid w:val="003A7B28"/>
    <w:rsid w:val="003B0927"/>
    <w:rsid w:val="003B1261"/>
    <w:rsid w:val="003B12EC"/>
    <w:rsid w:val="003B1337"/>
    <w:rsid w:val="003B1562"/>
    <w:rsid w:val="003B2042"/>
    <w:rsid w:val="003B25C7"/>
    <w:rsid w:val="003B2672"/>
    <w:rsid w:val="003B2707"/>
    <w:rsid w:val="003B2EE5"/>
    <w:rsid w:val="003B3191"/>
    <w:rsid w:val="003B365D"/>
    <w:rsid w:val="003B38AA"/>
    <w:rsid w:val="003B3973"/>
    <w:rsid w:val="003B3BBC"/>
    <w:rsid w:val="003B408D"/>
    <w:rsid w:val="003B4977"/>
    <w:rsid w:val="003B4DC5"/>
    <w:rsid w:val="003B5071"/>
    <w:rsid w:val="003B5258"/>
    <w:rsid w:val="003B55C1"/>
    <w:rsid w:val="003B5720"/>
    <w:rsid w:val="003B5C4C"/>
    <w:rsid w:val="003B6251"/>
    <w:rsid w:val="003B6496"/>
    <w:rsid w:val="003B6758"/>
    <w:rsid w:val="003B6C70"/>
    <w:rsid w:val="003B6CAA"/>
    <w:rsid w:val="003B6E94"/>
    <w:rsid w:val="003B7257"/>
    <w:rsid w:val="003B772C"/>
    <w:rsid w:val="003C01A4"/>
    <w:rsid w:val="003C03B8"/>
    <w:rsid w:val="003C0EC6"/>
    <w:rsid w:val="003C193D"/>
    <w:rsid w:val="003C1A27"/>
    <w:rsid w:val="003C23DB"/>
    <w:rsid w:val="003C23FB"/>
    <w:rsid w:val="003C25C3"/>
    <w:rsid w:val="003C27D5"/>
    <w:rsid w:val="003C34B6"/>
    <w:rsid w:val="003C34E4"/>
    <w:rsid w:val="003C3B14"/>
    <w:rsid w:val="003C3C64"/>
    <w:rsid w:val="003C3F81"/>
    <w:rsid w:val="003C48E5"/>
    <w:rsid w:val="003C55B6"/>
    <w:rsid w:val="003C562D"/>
    <w:rsid w:val="003C598D"/>
    <w:rsid w:val="003C59A7"/>
    <w:rsid w:val="003C5D77"/>
    <w:rsid w:val="003C6B12"/>
    <w:rsid w:val="003C7260"/>
    <w:rsid w:val="003C73B5"/>
    <w:rsid w:val="003C7414"/>
    <w:rsid w:val="003C74CD"/>
    <w:rsid w:val="003C7635"/>
    <w:rsid w:val="003C763C"/>
    <w:rsid w:val="003C7688"/>
    <w:rsid w:val="003C77E0"/>
    <w:rsid w:val="003C7C4D"/>
    <w:rsid w:val="003D037B"/>
    <w:rsid w:val="003D0831"/>
    <w:rsid w:val="003D088F"/>
    <w:rsid w:val="003D1176"/>
    <w:rsid w:val="003D1182"/>
    <w:rsid w:val="003D17D7"/>
    <w:rsid w:val="003D185D"/>
    <w:rsid w:val="003D1CC8"/>
    <w:rsid w:val="003D1E3A"/>
    <w:rsid w:val="003D220E"/>
    <w:rsid w:val="003D2678"/>
    <w:rsid w:val="003D3428"/>
    <w:rsid w:val="003D3B2B"/>
    <w:rsid w:val="003D44AE"/>
    <w:rsid w:val="003D615D"/>
    <w:rsid w:val="003D61FB"/>
    <w:rsid w:val="003D64CA"/>
    <w:rsid w:val="003D71A3"/>
    <w:rsid w:val="003E02ED"/>
    <w:rsid w:val="003E0CB6"/>
    <w:rsid w:val="003E1528"/>
    <w:rsid w:val="003E1F9E"/>
    <w:rsid w:val="003E2380"/>
    <w:rsid w:val="003E2B8A"/>
    <w:rsid w:val="003E2CC0"/>
    <w:rsid w:val="003E3B80"/>
    <w:rsid w:val="003E3CB8"/>
    <w:rsid w:val="003E3E31"/>
    <w:rsid w:val="003E45A5"/>
    <w:rsid w:val="003E46A4"/>
    <w:rsid w:val="003E47BC"/>
    <w:rsid w:val="003E514D"/>
    <w:rsid w:val="003E575A"/>
    <w:rsid w:val="003E5E94"/>
    <w:rsid w:val="003E6507"/>
    <w:rsid w:val="003E6CBB"/>
    <w:rsid w:val="003E7790"/>
    <w:rsid w:val="003F0293"/>
    <w:rsid w:val="003F0436"/>
    <w:rsid w:val="003F0909"/>
    <w:rsid w:val="003F0934"/>
    <w:rsid w:val="003F10EE"/>
    <w:rsid w:val="003F16F6"/>
    <w:rsid w:val="003F1DC0"/>
    <w:rsid w:val="003F236F"/>
    <w:rsid w:val="003F27E2"/>
    <w:rsid w:val="003F2A92"/>
    <w:rsid w:val="003F2BBA"/>
    <w:rsid w:val="003F358B"/>
    <w:rsid w:val="003F3611"/>
    <w:rsid w:val="003F3CD3"/>
    <w:rsid w:val="003F401A"/>
    <w:rsid w:val="003F463B"/>
    <w:rsid w:val="003F4C52"/>
    <w:rsid w:val="003F4DC7"/>
    <w:rsid w:val="003F4F73"/>
    <w:rsid w:val="003F4FB8"/>
    <w:rsid w:val="003F5235"/>
    <w:rsid w:val="003F540A"/>
    <w:rsid w:val="003F5C3D"/>
    <w:rsid w:val="003F61A1"/>
    <w:rsid w:val="003F6235"/>
    <w:rsid w:val="003F657A"/>
    <w:rsid w:val="003F6E3F"/>
    <w:rsid w:val="003F7332"/>
    <w:rsid w:val="003F738D"/>
    <w:rsid w:val="003F7934"/>
    <w:rsid w:val="00400804"/>
    <w:rsid w:val="004009A1"/>
    <w:rsid w:val="004016CA"/>
    <w:rsid w:val="0040188C"/>
    <w:rsid w:val="004022E3"/>
    <w:rsid w:val="00402611"/>
    <w:rsid w:val="004027E4"/>
    <w:rsid w:val="00404572"/>
    <w:rsid w:val="004046ED"/>
    <w:rsid w:val="00404BEB"/>
    <w:rsid w:val="00405537"/>
    <w:rsid w:val="00405695"/>
    <w:rsid w:val="00405D58"/>
    <w:rsid w:val="00405E41"/>
    <w:rsid w:val="00406362"/>
    <w:rsid w:val="004068D0"/>
    <w:rsid w:val="00406C68"/>
    <w:rsid w:val="00406DB1"/>
    <w:rsid w:val="0041071D"/>
    <w:rsid w:val="004114D1"/>
    <w:rsid w:val="00411AD1"/>
    <w:rsid w:val="00412319"/>
    <w:rsid w:val="00412346"/>
    <w:rsid w:val="00413380"/>
    <w:rsid w:val="00413DF0"/>
    <w:rsid w:val="004142BA"/>
    <w:rsid w:val="00414AFC"/>
    <w:rsid w:val="004151A7"/>
    <w:rsid w:val="004151F8"/>
    <w:rsid w:val="00415310"/>
    <w:rsid w:val="00415889"/>
    <w:rsid w:val="00415A25"/>
    <w:rsid w:val="00415FB7"/>
    <w:rsid w:val="00416442"/>
    <w:rsid w:val="00416B16"/>
    <w:rsid w:val="0041701C"/>
    <w:rsid w:val="00417ABD"/>
    <w:rsid w:val="00417B64"/>
    <w:rsid w:val="00417BA5"/>
    <w:rsid w:val="0042037C"/>
    <w:rsid w:val="00420874"/>
    <w:rsid w:val="00420BD1"/>
    <w:rsid w:val="00420BD4"/>
    <w:rsid w:val="00420D14"/>
    <w:rsid w:val="00420E01"/>
    <w:rsid w:val="004213A3"/>
    <w:rsid w:val="00421709"/>
    <w:rsid w:val="004219D1"/>
    <w:rsid w:val="00421E66"/>
    <w:rsid w:val="00423158"/>
    <w:rsid w:val="00423763"/>
    <w:rsid w:val="00423F57"/>
    <w:rsid w:val="00424286"/>
    <w:rsid w:val="00424AC3"/>
    <w:rsid w:val="00424B4F"/>
    <w:rsid w:val="00424D08"/>
    <w:rsid w:val="0042548E"/>
    <w:rsid w:val="00425A23"/>
    <w:rsid w:val="00425A3A"/>
    <w:rsid w:val="00425AFE"/>
    <w:rsid w:val="00425EC5"/>
    <w:rsid w:val="00426204"/>
    <w:rsid w:val="0042652A"/>
    <w:rsid w:val="0042655A"/>
    <w:rsid w:val="00426617"/>
    <w:rsid w:val="004266CB"/>
    <w:rsid w:val="004267FC"/>
    <w:rsid w:val="00427427"/>
    <w:rsid w:val="0042762F"/>
    <w:rsid w:val="00427920"/>
    <w:rsid w:val="00427CE7"/>
    <w:rsid w:val="00427DC7"/>
    <w:rsid w:val="00430899"/>
    <w:rsid w:val="00430C4C"/>
    <w:rsid w:val="00430D8D"/>
    <w:rsid w:val="00430F6E"/>
    <w:rsid w:val="00431122"/>
    <w:rsid w:val="00431613"/>
    <w:rsid w:val="00431792"/>
    <w:rsid w:val="00431BEF"/>
    <w:rsid w:val="0043209E"/>
    <w:rsid w:val="004321B2"/>
    <w:rsid w:val="0043297A"/>
    <w:rsid w:val="00432A23"/>
    <w:rsid w:val="00432EB2"/>
    <w:rsid w:val="00433776"/>
    <w:rsid w:val="004339D3"/>
    <w:rsid w:val="00434227"/>
    <w:rsid w:val="004355B8"/>
    <w:rsid w:val="0043630E"/>
    <w:rsid w:val="0043696A"/>
    <w:rsid w:val="0043714F"/>
    <w:rsid w:val="00440621"/>
    <w:rsid w:val="0044262E"/>
    <w:rsid w:val="00442DE2"/>
    <w:rsid w:val="00442FB1"/>
    <w:rsid w:val="004436D6"/>
    <w:rsid w:val="004438B5"/>
    <w:rsid w:val="0044405A"/>
    <w:rsid w:val="004449CC"/>
    <w:rsid w:val="00444E3F"/>
    <w:rsid w:val="00445052"/>
    <w:rsid w:val="00445C50"/>
    <w:rsid w:val="00446EE3"/>
    <w:rsid w:val="00447037"/>
    <w:rsid w:val="00447134"/>
    <w:rsid w:val="00447D89"/>
    <w:rsid w:val="00450407"/>
    <w:rsid w:val="004505F4"/>
    <w:rsid w:val="0045112C"/>
    <w:rsid w:val="00451139"/>
    <w:rsid w:val="0045124D"/>
    <w:rsid w:val="004514EB"/>
    <w:rsid w:val="00451567"/>
    <w:rsid w:val="0045164A"/>
    <w:rsid w:val="00451A52"/>
    <w:rsid w:val="00451B73"/>
    <w:rsid w:val="00451DF0"/>
    <w:rsid w:val="004520D4"/>
    <w:rsid w:val="00452247"/>
    <w:rsid w:val="004529B8"/>
    <w:rsid w:val="00452F54"/>
    <w:rsid w:val="0045346A"/>
    <w:rsid w:val="004538A5"/>
    <w:rsid w:val="00453DAB"/>
    <w:rsid w:val="00454596"/>
    <w:rsid w:val="00454795"/>
    <w:rsid w:val="004547C0"/>
    <w:rsid w:val="00455001"/>
    <w:rsid w:val="00455197"/>
    <w:rsid w:val="004554DE"/>
    <w:rsid w:val="00455FF6"/>
    <w:rsid w:val="0045605D"/>
    <w:rsid w:val="00456ECE"/>
    <w:rsid w:val="00456F60"/>
    <w:rsid w:val="00457647"/>
    <w:rsid w:val="004602E6"/>
    <w:rsid w:val="00460847"/>
    <w:rsid w:val="00461045"/>
    <w:rsid w:val="0046135B"/>
    <w:rsid w:val="00461829"/>
    <w:rsid w:val="00461D47"/>
    <w:rsid w:val="004620BC"/>
    <w:rsid w:val="0046244F"/>
    <w:rsid w:val="00462950"/>
    <w:rsid w:val="00463787"/>
    <w:rsid w:val="00463F79"/>
    <w:rsid w:val="00464872"/>
    <w:rsid w:val="00464EFC"/>
    <w:rsid w:val="004650EA"/>
    <w:rsid w:val="004657AA"/>
    <w:rsid w:val="00465B5C"/>
    <w:rsid w:val="00465D00"/>
    <w:rsid w:val="004661F8"/>
    <w:rsid w:val="00467854"/>
    <w:rsid w:val="004679BD"/>
    <w:rsid w:val="00467DA6"/>
    <w:rsid w:val="0047026C"/>
    <w:rsid w:val="00470A52"/>
    <w:rsid w:val="00470AEF"/>
    <w:rsid w:val="00470C15"/>
    <w:rsid w:val="004718CC"/>
    <w:rsid w:val="004727A1"/>
    <w:rsid w:val="00472853"/>
    <w:rsid w:val="00472BF2"/>
    <w:rsid w:val="0047342A"/>
    <w:rsid w:val="00473840"/>
    <w:rsid w:val="00473A88"/>
    <w:rsid w:val="00473ACE"/>
    <w:rsid w:val="00473D9F"/>
    <w:rsid w:val="00473EB5"/>
    <w:rsid w:val="00473FEA"/>
    <w:rsid w:val="004740CA"/>
    <w:rsid w:val="00474F7D"/>
    <w:rsid w:val="004751E7"/>
    <w:rsid w:val="00475460"/>
    <w:rsid w:val="0047570D"/>
    <w:rsid w:val="0047593E"/>
    <w:rsid w:val="0047625A"/>
    <w:rsid w:val="00476FE4"/>
    <w:rsid w:val="004771A3"/>
    <w:rsid w:val="004771B5"/>
    <w:rsid w:val="00477592"/>
    <w:rsid w:val="00477666"/>
    <w:rsid w:val="004777CD"/>
    <w:rsid w:val="00480281"/>
    <w:rsid w:val="004802BC"/>
    <w:rsid w:val="00480BA8"/>
    <w:rsid w:val="004811C4"/>
    <w:rsid w:val="00481456"/>
    <w:rsid w:val="00481695"/>
    <w:rsid w:val="0048216C"/>
    <w:rsid w:val="004841D6"/>
    <w:rsid w:val="00484CC8"/>
    <w:rsid w:val="004850E1"/>
    <w:rsid w:val="00485462"/>
    <w:rsid w:val="00485499"/>
    <w:rsid w:val="004854EC"/>
    <w:rsid w:val="004855A1"/>
    <w:rsid w:val="00485D0A"/>
    <w:rsid w:val="00486135"/>
    <w:rsid w:val="004873A0"/>
    <w:rsid w:val="00487D9A"/>
    <w:rsid w:val="00487FF0"/>
    <w:rsid w:val="00490554"/>
    <w:rsid w:val="0049083D"/>
    <w:rsid w:val="00490F09"/>
    <w:rsid w:val="00490FD2"/>
    <w:rsid w:val="0049102B"/>
    <w:rsid w:val="00492800"/>
    <w:rsid w:val="00492823"/>
    <w:rsid w:val="00492BBF"/>
    <w:rsid w:val="0049318F"/>
    <w:rsid w:val="004933D1"/>
    <w:rsid w:val="00494349"/>
    <w:rsid w:val="004943DC"/>
    <w:rsid w:val="00495073"/>
    <w:rsid w:val="004953D1"/>
    <w:rsid w:val="0049588F"/>
    <w:rsid w:val="00495A96"/>
    <w:rsid w:val="00495BB3"/>
    <w:rsid w:val="00497255"/>
    <w:rsid w:val="004A0F04"/>
    <w:rsid w:val="004A1ED4"/>
    <w:rsid w:val="004A2A9F"/>
    <w:rsid w:val="004A2CDF"/>
    <w:rsid w:val="004A31A4"/>
    <w:rsid w:val="004A3848"/>
    <w:rsid w:val="004A414C"/>
    <w:rsid w:val="004A4601"/>
    <w:rsid w:val="004A463F"/>
    <w:rsid w:val="004A48D6"/>
    <w:rsid w:val="004A4D39"/>
    <w:rsid w:val="004A54C2"/>
    <w:rsid w:val="004A56BB"/>
    <w:rsid w:val="004A6926"/>
    <w:rsid w:val="004A69E5"/>
    <w:rsid w:val="004A70D6"/>
    <w:rsid w:val="004A7F6F"/>
    <w:rsid w:val="004B068D"/>
    <w:rsid w:val="004B08A8"/>
    <w:rsid w:val="004B08C6"/>
    <w:rsid w:val="004B155B"/>
    <w:rsid w:val="004B1751"/>
    <w:rsid w:val="004B1D01"/>
    <w:rsid w:val="004B1FD1"/>
    <w:rsid w:val="004B28DD"/>
    <w:rsid w:val="004B2D1D"/>
    <w:rsid w:val="004B3244"/>
    <w:rsid w:val="004B32AF"/>
    <w:rsid w:val="004B35F6"/>
    <w:rsid w:val="004B3688"/>
    <w:rsid w:val="004B3C99"/>
    <w:rsid w:val="004B40D2"/>
    <w:rsid w:val="004B4275"/>
    <w:rsid w:val="004B49D6"/>
    <w:rsid w:val="004B5031"/>
    <w:rsid w:val="004B5222"/>
    <w:rsid w:val="004B5278"/>
    <w:rsid w:val="004B55D3"/>
    <w:rsid w:val="004B6741"/>
    <w:rsid w:val="004B6A26"/>
    <w:rsid w:val="004B6E06"/>
    <w:rsid w:val="004B6FCC"/>
    <w:rsid w:val="004B7286"/>
    <w:rsid w:val="004B7584"/>
    <w:rsid w:val="004B7CF1"/>
    <w:rsid w:val="004C0253"/>
    <w:rsid w:val="004C064A"/>
    <w:rsid w:val="004C10C1"/>
    <w:rsid w:val="004C15C0"/>
    <w:rsid w:val="004C1894"/>
    <w:rsid w:val="004C1D05"/>
    <w:rsid w:val="004C1F83"/>
    <w:rsid w:val="004C2631"/>
    <w:rsid w:val="004C28F0"/>
    <w:rsid w:val="004C29F1"/>
    <w:rsid w:val="004C39D6"/>
    <w:rsid w:val="004C522B"/>
    <w:rsid w:val="004C5BC4"/>
    <w:rsid w:val="004C5C9D"/>
    <w:rsid w:val="004C5CE4"/>
    <w:rsid w:val="004C5DE8"/>
    <w:rsid w:val="004C628F"/>
    <w:rsid w:val="004C6AF1"/>
    <w:rsid w:val="004C6D3E"/>
    <w:rsid w:val="004C7147"/>
    <w:rsid w:val="004C7B18"/>
    <w:rsid w:val="004C7C5A"/>
    <w:rsid w:val="004D0B84"/>
    <w:rsid w:val="004D0DC4"/>
    <w:rsid w:val="004D14A8"/>
    <w:rsid w:val="004D20AC"/>
    <w:rsid w:val="004D2638"/>
    <w:rsid w:val="004D290B"/>
    <w:rsid w:val="004D3FCA"/>
    <w:rsid w:val="004D404E"/>
    <w:rsid w:val="004D40A8"/>
    <w:rsid w:val="004D43F6"/>
    <w:rsid w:val="004D4B8A"/>
    <w:rsid w:val="004D5020"/>
    <w:rsid w:val="004D55DE"/>
    <w:rsid w:val="004D56FF"/>
    <w:rsid w:val="004D591A"/>
    <w:rsid w:val="004D5A58"/>
    <w:rsid w:val="004D5D25"/>
    <w:rsid w:val="004D603C"/>
    <w:rsid w:val="004D636D"/>
    <w:rsid w:val="004D6B8C"/>
    <w:rsid w:val="004D6E32"/>
    <w:rsid w:val="004D7A81"/>
    <w:rsid w:val="004E0080"/>
    <w:rsid w:val="004E086A"/>
    <w:rsid w:val="004E14E9"/>
    <w:rsid w:val="004E1878"/>
    <w:rsid w:val="004E1F84"/>
    <w:rsid w:val="004E2A8E"/>
    <w:rsid w:val="004E2B09"/>
    <w:rsid w:val="004E30F5"/>
    <w:rsid w:val="004E313A"/>
    <w:rsid w:val="004E3433"/>
    <w:rsid w:val="004E38E7"/>
    <w:rsid w:val="004E39D3"/>
    <w:rsid w:val="004E4067"/>
    <w:rsid w:val="004E47B6"/>
    <w:rsid w:val="004E4C9A"/>
    <w:rsid w:val="004E508A"/>
    <w:rsid w:val="004E52E7"/>
    <w:rsid w:val="004E5896"/>
    <w:rsid w:val="004E5E10"/>
    <w:rsid w:val="004E5E4C"/>
    <w:rsid w:val="004E616D"/>
    <w:rsid w:val="004E632C"/>
    <w:rsid w:val="004E65AF"/>
    <w:rsid w:val="004E6742"/>
    <w:rsid w:val="004E68EF"/>
    <w:rsid w:val="004E6EF5"/>
    <w:rsid w:val="004E7424"/>
    <w:rsid w:val="004F00A5"/>
    <w:rsid w:val="004F0691"/>
    <w:rsid w:val="004F0C55"/>
    <w:rsid w:val="004F11D1"/>
    <w:rsid w:val="004F12B4"/>
    <w:rsid w:val="004F152D"/>
    <w:rsid w:val="004F1593"/>
    <w:rsid w:val="004F1643"/>
    <w:rsid w:val="004F1BDE"/>
    <w:rsid w:val="004F1FCF"/>
    <w:rsid w:val="004F2786"/>
    <w:rsid w:val="004F2CEE"/>
    <w:rsid w:val="004F30E9"/>
    <w:rsid w:val="004F329B"/>
    <w:rsid w:val="004F3805"/>
    <w:rsid w:val="004F3C16"/>
    <w:rsid w:val="004F3C8E"/>
    <w:rsid w:val="004F3E09"/>
    <w:rsid w:val="004F556E"/>
    <w:rsid w:val="004F591C"/>
    <w:rsid w:val="004F5A9F"/>
    <w:rsid w:val="004F6520"/>
    <w:rsid w:val="004F7162"/>
    <w:rsid w:val="004F792F"/>
    <w:rsid w:val="004F7953"/>
    <w:rsid w:val="004F7F44"/>
    <w:rsid w:val="005001D3"/>
    <w:rsid w:val="00500E83"/>
    <w:rsid w:val="00501449"/>
    <w:rsid w:val="00501660"/>
    <w:rsid w:val="005017B2"/>
    <w:rsid w:val="005018C9"/>
    <w:rsid w:val="0050225C"/>
    <w:rsid w:val="0050246E"/>
    <w:rsid w:val="005030CD"/>
    <w:rsid w:val="00503360"/>
    <w:rsid w:val="005036C2"/>
    <w:rsid w:val="005037B4"/>
    <w:rsid w:val="00503B95"/>
    <w:rsid w:val="00504395"/>
    <w:rsid w:val="005047EE"/>
    <w:rsid w:val="005049EE"/>
    <w:rsid w:val="00504B13"/>
    <w:rsid w:val="00504ED4"/>
    <w:rsid w:val="005051BB"/>
    <w:rsid w:val="00505568"/>
    <w:rsid w:val="00505904"/>
    <w:rsid w:val="00506EBB"/>
    <w:rsid w:val="00507645"/>
    <w:rsid w:val="005079BF"/>
    <w:rsid w:val="0051015D"/>
    <w:rsid w:val="00510A56"/>
    <w:rsid w:val="00510CC9"/>
    <w:rsid w:val="00511107"/>
    <w:rsid w:val="00511506"/>
    <w:rsid w:val="00511DED"/>
    <w:rsid w:val="00512599"/>
    <w:rsid w:val="0051269A"/>
    <w:rsid w:val="00512AF8"/>
    <w:rsid w:val="00512BBF"/>
    <w:rsid w:val="0051314D"/>
    <w:rsid w:val="005137C0"/>
    <w:rsid w:val="0051380A"/>
    <w:rsid w:val="00513D71"/>
    <w:rsid w:val="0051493F"/>
    <w:rsid w:val="00514DD4"/>
    <w:rsid w:val="00515377"/>
    <w:rsid w:val="0051557D"/>
    <w:rsid w:val="005155FA"/>
    <w:rsid w:val="0051570F"/>
    <w:rsid w:val="00516019"/>
    <w:rsid w:val="00516286"/>
    <w:rsid w:val="00516B25"/>
    <w:rsid w:val="0051739B"/>
    <w:rsid w:val="005178A8"/>
    <w:rsid w:val="005200A8"/>
    <w:rsid w:val="005207C1"/>
    <w:rsid w:val="00520952"/>
    <w:rsid w:val="00520BFA"/>
    <w:rsid w:val="005219E7"/>
    <w:rsid w:val="00521D5B"/>
    <w:rsid w:val="00521F0A"/>
    <w:rsid w:val="005220C5"/>
    <w:rsid w:val="00522127"/>
    <w:rsid w:val="00522592"/>
    <w:rsid w:val="00522902"/>
    <w:rsid w:val="00522AF6"/>
    <w:rsid w:val="00522FCD"/>
    <w:rsid w:val="00523032"/>
    <w:rsid w:val="0052373F"/>
    <w:rsid w:val="005238A5"/>
    <w:rsid w:val="00523A8E"/>
    <w:rsid w:val="00524613"/>
    <w:rsid w:val="00524657"/>
    <w:rsid w:val="0052569D"/>
    <w:rsid w:val="00525EFE"/>
    <w:rsid w:val="00527040"/>
    <w:rsid w:val="005272A0"/>
    <w:rsid w:val="0053034C"/>
    <w:rsid w:val="005306DD"/>
    <w:rsid w:val="00531109"/>
    <w:rsid w:val="00531240"/>
    <w:rsid w:val="00531B9A"/>
    <w:rsid w:val="00531D15"/>
    <w:rsid w:val="00532922"/>
    <w:rsid w:val="00532934"/>
    <w:rsid w:val="00533145"/>
    <w:rsid w:val="005337AB"/>
    <w:rsid w:val="00533F20"/>
    <w:rsid w:val="005346A1"/>
    <w:rsid w:val="00534C5D"/>
    <w:rsid w:val="0053560C"/>
    <w:rsid w:val="00535699"/>
    <w:rsid w:val="00535E71"/>
    <w:rsid w:val="00536137"/>
    <w:rsid w:val="005361F6"/>
    <w:rsid w:val="00536D10"/>
    <w:rsid w:val="00537119"/>
    <w:rsid w:val="00537604"/>
    <w:rsid w:val="00537607"/>
    <w:rsid w:val="00537E3D"/>
    <w:rsid w:val="005400E0"/>
    <w:rsid w:val="00540533"/>
    <w:rsid w:val="005406C8"/>
    <w:rsid w:val="005409A2"/>
    <w:rsid w:val="00540F05"/>
    <w:rsid w:val="0054170B"/>
    <w:rsid w:val="00542130"/>
    <w:rsid w:val="00542227"/>
    <w:rsid w:val="00542377"/>
    <w:rsid w:val="005430D8"/>
    <w:rsid w:val="00544017"/>
    <w:rsid w:val="005440F8"/>
    <w:rsid w:val="00544236"/>
    <w:rsid w:val="00544320"/>
    <w:rsid w:val="005448FE"/>
    <w:rsid w:val="00544F52"/>
    <w:rsid w:val="00545261"/>
    <w:rsid w:val="0054575F"/>
    <w:rsid w:val="00546795"/>
    <w:rsid w:val="00546C52"/>
    <w:rsid w:val="00546CD7"/>
    <w:rsid w:val="00547432"/>
    <w:rsid w:val="005476EB"/>
    <w:rsid w:val="00547FCF"/>
    <w:rsid w:val="00551782"/>
    <w:rsid w:val="00551D9B"/>
    <w:rsid w:val="00551EEB"/>
    <w:rsid w:val="005522BF"/>
    <w:rsid w:val="0055363F"/>
    <w:rsid w:val="00553CA3"/>
    <w:rsid w:val="00553EF7"/>
    <w:rsid w:val="00554BE2"/>
    <w:rsid w:val="00554CE1"/>
    <w:rsid w:val="00554F10"/>
    <w:rsid w:val="005552B8"/>
    <w:rsid w:val="00555B23"/>
    <w:rsid w:val="00555C08"/>
    <w:rsid w:val="005562F7"/>
    <w:rsid w:val="00556B74"/>
    <w:rsid w:val="00556BDA"/>
    <w:rsid w:val="00557206"/>
    <w:rsid w:val="00557267"/>
    <w:rsid w:val="00557720"/>
    <w:rsid w:val="00557988"/>
    <w:rsid w:val="005579C2"/>
    <w:rsid w:val="005579F9"/>
    <w:rsid w:val="00557C7A"/>
    <w:rsid w:val="00560157"/>
    <w:rsid w:val="005606E3"/>
    <w:rsid w:val="00560FB6"/>
    <w:rsid w:val="005610D3"/>
    <w:rsid w:val="00561130"/>
    <w:rsid w:val="00561D24"/>
    <w:rsid w:val="00561EB5"/>
    <w:rsid w:val="00561ECB"/>
    <w:rsid w:val="00561F61"/>
    <w:rsid w:val="005625EB"/>
    <w:rsid w:val="0056395E"/>
    <w:rsid w:val="00563EF1"/>
    <w:rsid w:val="00563F07"/>
    <w:rsid w:val="005647B2"/>
    <w:rsid w:val="0056493F"/>
    <w:rsid w:val="00564FB0"/>
    <w:rsid w:val="00565087"/>
    <w:rsid w:val="00565926"/>
    <w:rsid w:val="00565FCB"/>
    <w:rsid w:val="005661D3"/>
    <w:rsid w:val="00566805"/>
    <w:rsid w:val="00566A61"/>
    <w:rsid w:val="00566AB4"/>
    <w:rsid w:val="00567061"/>
    <w:rsid w:val="005674F4"/>
    <w:rsid w:val="00567B42"/>
    <w:rsid w:val="00567EE1"/>
    <w:rsid w:val="0057046A"/>
    <w:rsid w:val="00570BDC"/>
    <w:rsid w:val="005721BD"/>
    <w:rsid w:val="005724FC"/>
    <w:rsid w:val="00572AF5"/>
    <w:rsid w:val="00572B8F"/>
    <w:rsid w:val="00572C06"/>
    <w:rsid w:val="00572FAF"/>
    <w:rsid w:val="005735B4"/>
    <w:rsid w:val="005737CD"/>
    <w:rsid w:val="00573812"/>
    <w:rsid w:val="0057383B"/>
    <w:rsid w:val="00573845"/>
    <w:rsid w:val="005742BE"/>
    <w:rsid w:val="0057443A"/>
    <w:rsid w:val="0057470C"/>
    <w:rsid w:val="00574B57"/>
    <w:rsid w:val="00575532"/>
    <w:rsid w:val="00575AC5"/>
    <w:rsid w:val="0057605D"/>
    <w:rsid w:val="00576068"/>
    <w:rsid w:val="0057632C"/>
    <w:rsid w:val="005768EB"/>
    <w:rsid w:val="00576BDE"/>
    <w:rsid w:val="005803C6"/>
    <w:rsid w:val="005807F6"/>
    <w:rsid w:val="00580B08"/>
    <w:rsid w:val="005810AC"/>
    <w:rsid w:val="00581347"/>
    <w:rsid w:val="00581664"/>
    <w:rsid w:val="005816D4"/>
    <w:rsid w:val="00581A3A"/>
    <w:rsid w:val="00581AC9"/>
    <w:rsid w:val="00582733"/>
    <w:rsid w:val="00582E60"/>
    <w:rsid w:val="00582EF4"/>
    <w:rsid w:val="0058339F"/>
    <w:rsid w:val="0058365D"/>
    <w:rsid w:val="00583BCE"/>
    <w:rsid w:val="00584277"/>
    <w:rsid w:val="005847A4"/>
    <w:rsid w:val="0058489F"/>
    <w:rsid w:val="005848FB"/>
    <w:rsid w:val="005849F8"/>
    <w:rsid w:val="00584A77"/>
    <w:rsid w:val="00585319"/>
    <w:rsid w:val="005859D3"/>
    <w:rsid w:val="00586D52"/>
    <w:rsid w:val="00587AD5"/>
    <w:rsid w:val="005901AF"/>
    <w:rsid w:val="005907C3"/>
    <w:rsid w:val="00590D0A"/>
    <w:rsid w:val="00591EDD"/>
    <w:rsid w:val="00592C31"/>
    <w:rsid w:val="00592F59"/>
    <w:rsid w:val="005938DF"/>
    <w:rsid w:val="005942AE"/>
    <w:rsid w:val="005947FE"/>
    <w:rsid w:val="00594A59"/>
    <w:rsid w:val="00594E9C"/>
    <w:rsid w:val="0059595D"/>
    <w:rsid w:val="00595A15"/>
    <w:rsid w:val="005963D7"/>
    <w:rsid w:val="005973B0"/>
    <w:rsid w:val="00597585"/>
    <w:rsid w:val="005A02F3"/>
    <w:rsid w:val="005A0448"/>
    <w:rsid w:val="005A099B"/>
    <w:rsid w:val="005A09C6"/>
    <w:rsid w:val="005A0BD2"/>
    <w:rsid w:val="005A0D3D"/>
    <w:rsid w:val="005A1508"/>
    <w:rsid w:val="005A29B2"/>
    <w:rsid w:val="005A2D9C"/>
    <w:rsid w:val="005A2EC5"/>
    <w:rsid w:val="005A2FC6"/>
    <w:rsid w:val="005A3597"/>
    <w:rsid w:val="005A3821"/>
    <w:rsid w:val="005A3A41"/>
    <w:rsid w:val="005A4009"/>
    <w:rsid w:val="005A4364"/>
    <w:rsid w:val="005A52CB"/>
    <w:rsid w:val="005A5434"/>
    <w:rsid w:val="005A55FE"/>
    <w:rsid w:val="005A580F"/>
    <w:rsid w:val="005A5B75"/>
    <w:rsid w:val="005A6A11"/>
    <w:rsid w:val="005A6B1E"/>
    <w:rsid w:val="005A7110"/>
    <w:rsid w:val="005A7164"/>
    <w:rsid w:val="005A7AE8"/>
    <w:rsid w:val="005A7DD8"/>
    <w:rsid w:val="005B0888"/>
    <w:rsid w:val="005B10A1"/>
    <w:rsid w:val="005B19CF"/>
    <w:rsid w:val="005B1B09"/>
    <w:rsid w:val="005B1B2D"/>
    <w:rsid w:val="005B1E74"/>
    <w:rsid w:val="005B22C0"/>
    <w:rsid w:val="005B2F0D"/>
    <w:rsid w:val="005B37F4"/>
    <w:rsid w:val="005B43ED"/>
    <w:rsid w:val="005B497F"/>
    <w:rsid w:val="005B4B8C"/>
    <w:rsid w:val="005B4BC3"/>
    <w:rsid w:val="005B4CEF"/>
    <w:rsid w:val="005B504A"/>
    <w:rsid w:val="005B55BC"/>
    <w:rsid w:val="005B7187"/>
    <w:rsid w:val="005B74A2"/>
    <w:rsid w:val="005B7924"/>
    <w:rsid w:val="005B798E"/>
    <w:rsid w:val="005B7BF1"/>
    <w:rsid w:val="005C09A0"/>
    <w:rsid w:val="005C0A37"/>
    <w:rsid w:val="005C0B54"/>
    <w:rsid w:val="005C0D07"/>
    <w:rsid w:val="005C134D"/>
    <w:rsid w:val="005C140B"/>
    <w:rsid w:val="005C1CF6"/>
    <w:rsid w:val="005C1FEE"/>
    <w:rsid w:val="005C2088"/>
    <w:rsid w:val="005C25C7"/>
    <w:rsid w:val="005C3009"/>
    <w:rsid w:val="005C3190"/>
    <w:rsid w:val="005C34EF"/>
    <w:rsid w:val="005C35DA"/>
    <w:rsid w:val="005C449F"/>
    <w:rsid w:val="005C47D7"/>
    <w:rsid w:val="005C4B7E"/>
    <w:rsid w:val="005C521B"/>
    <w:rsid w:val="005C54B0"/>
    <w:rsid w:val="005C54FE"/>
    <w:rsid w:val="005C5590"/>
    <w:rsid w:val="005C5D49"/>
    <w:rsid w:val="005C6000"/>
    <w:rsid w:val="005C612A"/>
    <w:rsid w:val="005C670B"/>
    <w:rsid w:val="005C6D60"/>
    <w:rsid w:val="005D046C"/>
    <w:rsid w:val="005D0B1E"/>
    <w:rsid w:val="005D0EDA"/>
    <w:rsid w:val="005D105F"/>
    <w:rsid w:val="005D1312"/>
    <w:rsid w:val="005D2502"/>
    <w:rsid w:val="005D2A65"/>
    <w:rsid w:val="005D2CA5"/>
    <w:rsid w:val="005D3820"/>
    <w:rsid w:val="005D3EBC"/>
    <w:rsid w:val="005D40BB"/>
    <w:rsid w:val="005D464C"/>
    <w:rsid w:val="005D47F3"/>
    <w:rsid w:val="005D49BF"/>
    <w:rsid w:val="005D4AA5"/>
    <w:rsid w:val="005D52EB"/>
    <w:rsid w:val="005D57FB"/>
    <w:rsid w:val="005D62D7"/>
    <w:rsid w:val="005D6786"/>
    <w:rsid w:val="005D6C1E"/>
    <w:rsid w:val="005D6F4E"/>
    <w:rsid w:val="005D72AB"/>
    <w:rsid w:val="005D7621"/>
    <w:rsid w:val="005D7C73"/>
    <w:rsid w:val="005D7F78"/>
    <w:rsid w:val="005E01D9"/>
    <w:rsid w:val="005E0BBC"/>
    <w:rsid w:val="005E1274"/>
    <w:rsid w:val="005E1830"/>
    <w:rsid w:val="005E1A8A"/>
    <w:rsid w:val="005E21C6"/>
    <w:rsid w:val="005E250B"/>
    <w:rsid w:val="005E2A7C"/>
    <w:rsid w:val="005E2C77"/>
    <w:rsid w:val="005E3309"/>
    <w:rsid w:val="005E3ACD"/>
    <w:rsid w:val="005E3ADB"/>
    <w:rsid w:val="005E3DF5"/>
    <w:rsid w:val="005E456F"/>
    <w:rsid w:val="005E460B"/>
    <w:rsid w:val="005E4ACB"/>
    <w:rsid w:val="005E4E0C"/>
    <w:rsid w:val="005E4FD1"/>
    <w:rsid w:val="005E559A"/>
    <w:rsid w:val="005E5726"/>
    <w:rsid w:val="005E5F06"/>
    <w:rsid w:val="005E7226"/>
    <w:rsid w:val="005E74B6"/>
    <w:rsid w:val="005E7504"/>
    <w:rsid w:val="005E7A57"/>
    <w:rsid w:val="005E7E0E"/>
    <w:rsid w:val="005F1486"/>
    <w:rsid w:val="005F16ED"/>
    <w:rsid w:val="005F174C"/>
    <w:rsid w:val="005F1ACD"/>
    <w:rsid w:val="005F1CDA"/>
    <w:rsid w:val="005F2312"/>
    <w:rsid w:val="005F24B0"/>
    <w:rsid w:val="005F2C8E"/>
    <w:rsid w:val="005F37D9"/>
    <w:rsid w:val="005F41FB"/>
    <w:rsid w:val="005F4796"/>
    <w:rsid w:val="005F4894"/>
    <w:rsid w:val="005F4AAD"/>
    <w:rsid w:val="005F4B94"/>
    <w:rsid w:val="005F4BAB"/>
    <w:rsid w:val="005F52C6"/>
    <w:rsid w:val="005F53CE"/>
    <w:rsid w:val="005F5832"/>
    <w:rsid w:val="005F753A"/>
    <w:rsid w:val="005F7B5A"/>
    <w:rsid w:val="006000F6"/>
    <w:rsid w:val="006005A7"/>
    <w:rsid w:val="00600859"/>
    <w:rsid w:val="00600EEF"/>
    <w:rsid w:val="00601068"/>
    <w:rsid w:val="006011FF"/>
    <w:rsid w:val="006017F0"/>
    <w:rsid w:val="00601F5A"/>
    <w:rsid w:val="006022C8"/>
    <w:rsid w:val="00602652"/>
    <w:rsid w:val="00602853"/>
    <w:rsid w:val="00602F5F"/>
    <w:rsid w:val="00603BA3"/>
    <w:rsid w:val="00603C0E"/>
    <w:rsid w:val="00603D5F"/>
    <w:rsid w:val="00603F11"/>
    <w:rsid w:val="00603FEF"/>
    <w:rsid w:val="00604315"/>
    <w:rsid w:val="00604A5B"/>
    <w:rsid w:val="00604D50"/>
    <w:rsid w:val="00604E26"/>
    <w:rsid w:val="0060523F"/>
    <w:rsid w:val="006052CF"/>
    <w:rsid w:val="00605428"/>
    <w:rsid w:val="00605D47"/>
    <w:rsid w:val="006068EF"/>
    <w:rsid w:val="00607590"/>
    <w:rsid w:val="00607B8D"/>
    <w:rsid w:val="00607E36"/>
    <w:rsid w:val="00610384"/>
    <w:rsid w:val="00610D9A"/>
    <w:rsid w:val="00610E1A"/>
    <w:rsid w:val="0061159C"/>
    <w:rsid w:val="006116AD"/>
    <w:rsid w:val="006118A2"/>
    <w:rsid w:val="00611F5C"/>
    <w:rsid w:val="0061274F"/>
    <w:rsid w:val="00612FDB"/>
    <w:rsid w:val="006131E2"/>
    <w:rsid w:val="006133DC"/>
    <w:rsid w:val="006135F3"/>
    <w:rsid w:val="00613730"/>
    <w:rsid w:val="0061374B"/>
    <w:rsid w:val="00613B87"/>
    <w:rsid w:val="00614046"/>
    <w:rsid w:val="00614052"/>
    <w:rsid w:val="0061472D"/>
    <w:rsid w:val="00614985"/>
    <w:rsid w:val="00614FC6"/>
    <w:rsid w:val="00614FF6"/>
    <w:rsid w:val="0061507A"/>
    <w:rsid w:val="00615677"/>
    <w:rsid w:val="00616E09"/>
    <w:rsid w:val="006179E1"/>
    <w:rsid w:val="00620AFA"/>
    <w:rsid w:val="00620B68"/>
    <w:rsid w:val="0062103B"/>
    <w:rsid w:val="006214BE"/>
    <w:rsid w:val="00621C46"/>
    <w:rsid w:val="00621E68"/>
    <w:rsid w:val="00621EEB"/>
    <w:rsid w:val="00622675"/>
    <w:rsid w:val="0062284C"/>
    <w:rsid w:val="00622978"/>
    <w:rsid w:val="00622A3B"/>
    <w:rsid w:val="00622B1A"/>
    <w:rsid w:val="00622BEB"/>
    <w:rsid w:val="00622EEA"/>
    <w:rsid w:val="00623320"/>
    <w:rsid w:val="00623920"/>
    <w:rsid w:val="0062396C"/>
    <w:rsid w:val="00623C65"/>
    <w:rsid w:val="00623FF9"/>
    <w:rsid w:val="00624480"/>
    <w:rsid w:val="006245A2"/>
    <w:rsid w:val="00625958"/>
    <w:rsid w:val="00625AA5"/>
    <w:rsid w:val="00625C99"/>
    <w:rsid w:val="00625ECD"/>
    <w:rsid w:val="00626299"/>
    <w:rsid w:val="00626E82"/>
    <w:rsid w:val="00626FC8"/>
    <w:rsid w:val="00627799"/>
    <w:rsid w:val="00627CD1"/>
    <w:rsid w:val="00627D4E"/>
    <w:rsid w:val="006309F5"/>
    <w:rsid w:val="00630A72"/>
    <w:rsid w:val="00631C96"/>
    <w:rsid w:val="00631E6A"/>
    <w:rsid w:val="006328EE"/>
    <w:rsid w:val="00632B89"/>
    <w:rsid w:val="00633200"/>
    <w:rsid w:val="006332A5"/>
    <w:rsid w:val="0063346D"/>
    <w:rsid w:val="00633B6B"/>
    <w:rsid w:val="00634478"/>
    <w:rsid w:val="0063581E"/>
    <w:rsid w:val="0063616C"/>
    <w:rsid w:val="00636393"/>
    <w:rsid w:val="006365DB"/>
    <w:rsid w:val="006374A5"/>
    <w:rsid w:val="00637DB7"/>
    <w:rsid w:val="0064018C"/>
    <w:rsid w:val="0064043E"/>
    <w:rsid w:val="0064060C"/>
    <w:rsid w:val="006406A6"/>
    <w:rsid w:val="00641A87"/>
    <w:rsid w:val="00641DA8"/>
    <w:rsid w:val="006421AA"/>
    <w:rsid w:val="00642783"/>
    <w:rsid w:val="00642AEE"/>
    <w:rsid w:val="00644373"/>
    <w:rsid w:val="00644874"/>
    <w:rsid w:val="00644AE9"/>
    <w:rsid w:val="00644D3B"/>
    <w:rsid w:val="00644E1F"/>
    <w:rsid w:val="00645915"/>
    <w:rsid w:val="00646201"/>
    <w:rsid w:val="00646CC4"/>
    <w:rsid w:val="00646D43"/>
    <w:rsid w:val="006474F7"/>
    <w:rsid w:val="00647D9D"/>
    <w:rsid w:val="0065055D"/>
    <w:rsid w:val="006505FC"/>
    <w:rsid w:val="006506D3"/>
    <w:rsid w:val="00650B84"/>
    <w:rsid w:val="00651394"/>
    <w:rsid w:val="0065165B"/>
    <w:rsid w:val="006519C3"/>
    <w:rsid w:val="00651AE6"/>
    <w:rsid w:val="006521EC"/>
    <w:rsid w:val="00652608"/>
    <w:rsid w:val="00652B30"/>
    <w:rsid w:val="0065311A"/>
    <w:rsid w:val="00653B4C"/>
    <w:rsid w:val="00653DDE"/>
    <w:rsid w:val="00654012"/>
    <w:rsid w:val="006552D7"/>
    <w:rsid w:val="00655426"/>
    <w:rsid w:val="00655ACC"/>
    <w:rsid w:val="0065631C"/>
    <w:rsid w:val="00656345"/>
    <w:rsid w:val="00656B3B"/>
    <w:rsid w:val="00656DC6"/>
    <w:rsid w:val="006570A6"/>
    <w:rsid w:val="006570DD"/>
    <w:rsid w:val="00657DAF"/>
    <w:rsid w:val="00660EC6"/>
    <w:rsid w:val="00661032"/>
    <w:rsid w:val="006615E4"/>
    <w:rsid w:val="006618BC"/>
    <w:rsid w:val="00661CC8"/>
    <w:rsid w:val="00662A45"/>
    <w:rsid w:val="00662E7B"/>
    <w:rsid w:val="00663A2B"/>
    <w:rsid w:val="00663ED8"/>
    <w:rsid w:val="00663FAE"/>
    <w:rsid w:val="00664110"/>
    <w:rsid w:val="00664778"/>
    <w:rsid w:val="00664CA7"/>
    <w:rsid w:val="00664D17"/>
    <w:rsid w:val="00665176"/>
    <w:rsid w:val="00665360"/>
    <w:rsid w:val="006654D2"/>
    <w:rsid w:val="0066607E"/>
    <w:rsid w:val="006661BB"/>
    <w:rsid w:val="00666219"/>
    <w:rsid w:val="00666520"/>
    <w:rsid w:val="006666DE"/>
    <w:rsid w:val="00666EAF"/>
    <w:rsid w:val="00667039"/>
    <w:rsid w:val="006670E9"/>
    <w:rsid w:val="00667614"/>
    <w:rsid w:val="0066787C"/>
    <w:rsid w:val="00667A44"/>
    <w:rsid w:val="00667C5B"/>
    <w:rsid w:val="00667E35"/>
    <w:rsid w:val="00667F66"/>
    <w:rsid w:val="006706E5"/>
    <w:rsid w:val="00671193"/>
    <w:rsid w:val="0067140F"/>
    <w:rsid w:val="00671C96"/>
    <w:rsid w:val="00671D0D"/>
    <w:rsid w:val="006721B0"/>
    <w:rsid w:val="00672FCA"/>
    <w:rsid w:val="00673349"/>
    <w:rsid w:val="00673580"/>
    <w:rsid w:val="00674678"/>
    <w:rsid w:val="006746E6"/>
    <w:rsid w:val="00675045"/>
    <w:rsid w:val="0067519C"/>
    <w:rsid w:val="006751B7"/>
    <w:rsid w:val="0067526D"/>
    <w:rsid w:val="00675AB2"/>
    <w:rsid w:val="006760BD"/>
    <w:rsid w:val="00676574"/>
    <w:rsid w:val="00680C28"/>
    <w:rsid w:val="00681B06"/>
    <w:rsid w:val="0068249B"/>
    <w:rsid w:val="006824F0"/>
    <w:rsid w:val="006829E5"/>
    <w:rsid w:val="00682ECB"/>
    <w:rsid w:val="00683605"/>
    <w:rsid w:val="00684957"/>
    <w:rsid w:val="00685118"/>
    <w:rsid w:val="0068566A"/>
    <w:rsid w:val="00685925"/>
    <w:rsid w:val="00687EBC"/>
    <w:rsid w:val="00690102"/>
    <w:rsid w:val="0069087E"/>
    <w:rsid w:val="0069151E"/>
    <w:rsid w:val="006917D7"/>
    <w:rsid w:val="00691EB8"/>
    <w:rsid w:val="006925BD"/>
    <w:rsid w:val="00692CDE"/>
    <w:rsid w:val="00693073"/>
    <w:rsid w:val="00693D46"/>
    <w:rsid w:val="00694ADC"/>
    <w:rsid w:val="0069572A"/>
    <w:rsid w:val="00695754"/>
    <w:rsid w:val="00695D2C"/>
    <w:rsid w:val="006968C1"/>
    <w:rsid w:val="006977FF"/>
    <w:rsid w:val="00697A9C"/>
    <w:rsid w:val="006A01FA"/>
    <w:rsid w:val="006A061C"/>
    <w:rsid w:val="006A06B9"/>
    <w:rsid w:val="006A0E9E"/>
    <w:rsid w:val="006A1609"/>
    <w:rsid w:val="006A16B2"/>
    <w:rsid w:val="006A23C4"/>
    <w:rsid w:val="006A2589"/>
    <w:rsid w:val="006A25C7"/>
    <w:rsid w:val="006A2C2C"/>
    <w:rsid w:val="006A2FEE"/>
    <w:rsid w:val="006A393E"/>
    <w:rsid w:val="006A3DE6"/>
    <w:rsid w:val="006A400F"/>
    <w:rsid w:val="006A48A9"/>
    <w:rsid w:val="006A4AAD"/>
    <w:rsid w:val="006A4C81"/>
    <w:rsid w:val="006A4CCA"/>
    <w:rsid w:val="006A5A2D"/>
    <w:rsid w:val="006A65A3"/>
    <w:rsid w:val="006A6D72"/>
    <w:rsid w:val="006A6DA2"/>
    <w:rsid w:val="006A6FCA"/>
    <w:rsid w:val="006A7A93"/>
    <w:rsid w:val="006A7AB2"/>
    <w:rsid w:val="006B0C3B"/>
    <w:rsid w:val="006B0CF3"/>
    <w:rsid w:val="006B16C7"/>
    <w:rsid w:val="006B2623"/>
    <w:rsid w:val="006B4725"/>
    <w:rsid w:val="006B4F60"/>
    <w:rsid w:val="006B52DE"/>
    <w:rsid w:val="006B5717"/>
    <w:rsid w:val="006B5733"/>
    <w:rsid w:val="006B582F"/>
    <w:rsid w:val="006B5B15"/>
    <w:rsid w:val="006B5B2C"/>
    <w:rsid w:val="006B5EB2"/>
    <w:rsid w:val="006B71D8"/>
    <w:rsid w:val="006B737B"/>
    <w:rsid w:val="006B7C76"/>
    <w:rsid w:val="006B7D6B"/>
    <w:rsid w:val="006C01E9"/>
    <w:rsid w:val="006C04D9"/>
    <w:rsid w:val="006C0638"/>
    <w:rsid w:val="006C0BD8"/>
    <w:rsid w:val="006C0CEB"/>
    <w:rsid w:val="006C1631"/>
    <w:rsid w:val="006C1FDC"/>
    <w:rsid w:val="006C257D"/>
    <w:rsid w:val="006C279D"/>
    <w:rsid w:val="006C30AF"/>
    <w:rsid w:val="006C31B3"/>
    <w:rsid w:val="006C39A0"/>
    <w:rsid w:val="006C3B1E"/>
    <w:rsid w:val="006C3FC9"/>
    <w:rsid w:val="006C45B1"/>
    <w:rsid w:val="006C47FD"/>
    <w:rsid w:val="006C48A5"/>
    <w:rsid w:val="006C582B"/>
    <w:rsid w:val="006C5C19"/>
    <w:rsid w:val="006C60A7"/>
    <w:rsid w:val="006C6758"/>
    <w:rsid w:val="006C69B5"/>
    <w:rsid w:val="006C70A0"/>
    <w:rsid w:val="006C745B"/>
    <w:rsid w:val="006C7535"/>
    <w:rsid w:val="006D01F3"/>
    <w:rsid w:val="006D0BF8"/>
    <w:rsid w:val="006D0E8F"/>
    <w:rsid w:val="006D1220"/>
    <w:rsid w:val="006D1BD1"/>
    <w:rsid w:val="006D1E5D"/>
    <w:rsid w:val="006D27A5"/>
    <w:rsid w:val="006D27CB"/>
    <w:rsid w:val="006D28F4"/>
    <w:rsid w:val="006D2E97"/>
    <w:rsid w:val="006D2F08"/>
    <w:rsid w:val="006D382F"/>
    <w:rsid w:val="006D40BC"/>
    <w:rsid w:val="006D40CF"/>
    <w:rsid w:val="006D4476"/>
    <w:rsid w:val="006D566E"/>
    <w:rsid w:val="006D576C"/>
    <w:rsid w:val="006D5865"/>
    <w:rsid w:val="006D58E1"/>
    <w:rsid w:val="006D6866"/>
    <w:rsid w:val="006D7CB5"/>
    <w:rsid w:val="006D7FEB"/>
    <w:rsid w:val="006E0D86"/>
    <w:rsid w:val="006E1275"/>
    <w:rsid w:val="006E1544"/>
    <w:rsid w:val="006E1B84"/>
    <w:rsid w:val="006E1D57"/>
    <w:rsid w:val="006E2E64"/>
    <w:rsid w:val="006E2EE6"/>
    <w:rsid w:val="006E35C2"/>
    <w:rsid w:val="006E4814"/>
    <w:rsid w:val="006E4952"/>
    <w:rsid w:val="006E4B1B"/>
    <w:rsid w:val="006E4CD7"/>
    <w:rsid w:val="006E4F2A"/>
    <w:rsid w:val="006E516A"/>
    <w:rsid w:val="006E5445"/>
    <w:rsid w:val="006E5AA6"/>
    <w:rsid w:val="006E64E8"/>
    <w:rsid w:val="006E6873"/>
    <w:rsid w:val="006E714A"/>
    <w:rsid w:val="006E716E"/>
    <w:rsid w:val="006E79FF"/>
    <w:rsid w:val="006E7BE7"/>
    <w:rsid w:val="006E7D93"/>
    <w:rsid w:val="006F04BF"/>
    <w:rsid w:val="006F077E"/>
    <w:rsid w:val="006F08B8"/>
    <w:rsid w:val="006F1313"/>
    <w:rsid w:val="006F1729"/>
    <w:rsid w:val="006F1772"/>
    <w:rsid w:val="006F1B04"/>
    <w:rsid w:val="006F27B6"/>
    <w:rsid w:val="006F2AAB"/>
    <w:rsid w:val="006F2E3B"/>
    <w:rsid w:val="006F3014"/>
    <w:rsid w:val="006F37A4"/>
    <w:rsid w:val="006F3DD8"/>
    <w:rsid w:val="006F4DA8"/>
    <w:rsid w:val="006F4F70"/>
    <w:rsid w:val="006F5A9D"/>
    <w:rsid w:val="006F6B91"/>
    <w:rsid w:val="006F6C3D"/>
    <w:rsid w:val="006F6CC2"/>
    <w:rsid w:val="006F742F"/>
    <w:rsid w:val="006F7C09"/>
    <w:rsid w:val="006F7F82"/>
    <w:rsid w:val="0070056E"/>
    <w:rsid w:val="00700731"/>
    <w:rsid w:val="0070110B"/>
    <w:rsid w:val="0070133D"/>
    <w:rsid w:val="00701813"/>
    <w:rsid w:val="00701B23"/>
    <w:rsid w:val="007021C1"/>
    <w:rsid w:val="007029A3"/>
    <w:rsid w:val="00703428"/>
    <w:rsid w:val="00703774"/>
    <w:rsid w:val="007038B6"/>
    <w:rsid w:val="00703977"/>
    <w:rsid w:val="00703A8A"/>
    <w:rsid w:val="00705470"/>
    <w:rsid w:val="00705562"/>
    <w:rsid w:val="00705F97"/>
    <w:rsid w:val="00706496"/>
    <w:rsid w:val="00706674"/>
    <w:rsid w:val="007066EA"/>
    <w:rsid w:val="00706939"/>
    <w:rsid w:val="00706E4E"/>
    <w:rsid w:val="0070791C"/>
    <w:rsid w:val="007079CE"/>
    <w:rsid w:val="00707FB2"/>
    <w:rsid w:val="00710390"/>
    <w:rsid w:val="00710858"/>
    <w:rsid w:val="00710D30"/>
    <w:rsid w:val="00711510"/>
    <w:rsid w:val="0071164B"/>
    <w:rsid w:val="00711959"/>
    <w:rsid w:val="00711AC6"/>
    <w:rsid w:val="00711B4B"/>
    <w:rsid w:val="00711E4D"/>
    <w:rsid w:val="0071204C"/>
    <w:rsid w:val="00712A74"/>
    <w:rsid w:val="00712F1A"/>
    <w:rsid w:val="0071383C"/>
    <w:rsid w:val="00713AF5"/>
    <w:rsid w:val="00713EC6"/>
    <w:rsid w:val="007141A7"/>
    <w:rsid w:val="00714551"/>
    <w:rsid w:val="00714F69"/>
    <w:rsid w:val="007150E9"/>
    <w:rsid w:val="007151A7"/>
    <w:rsid w:val="007154DD"/>
    <w:rsid w:val="00715722"/>
    <w:rsid w:val="007157D8"/>
    <w:rsid w:val="00715A3F"/>
    <w:rsid w:val="00715BAF"/>
    <w:rsid w:val="00715BB7"/>
    <w:rsid w:val="00715CBC"/>
    <w:rsid w:val="00715E4E"/>
    <w:rsid w:val="00716167"/>
    <w:rsid w:val="00716984"/>
    <w:rsid w:val="007177E4"/>
    <w:rsid w:val="007177F5"/>
    <w:rsid w:val="00720F01"/>
    <w:rsid w:val="00720F80"/>
    <w:rsid w:val="00721032"/>
    <w:rsid w:val="007211E2"/>
    <w:rsid w:val="007211F9"/>
    <w:rsid w:val="00721210"/>
    <w:rsid w:val="007215DE"/>
    <w:rsid w:val="00721B55"/>
    <w:rsid w:val="00721CD3"/>
    <w:rsid w:val="007226DE"/>
    <w:rsid w:val="00723241"/>
    <w:rsid w:val="0072348E"/>
    <w:rsid w:val="00723695"/>
    <w:rsid w:val="0072458A"/>
    <w:rsid w:val="00725065"/>
    <w:rsid w:val="007257CA"/>
    <w:rsid w:val="00725DB8"/>
    <w:rsid w:val="0072600E"/>
    <w:rsid w:val="00726011"/>
    <w:rsid w:val="00726A31"/>
    <w:rsid w:val="00726CE4"/>
    <w:rsid w:val="00726D7B"/>
    <w:rsid w:val="00726EC4"/>
    <w:rsid w:val="00726F75"/>
    <w:rsid w:val="00727B74"/>
    <w:rsid w:val="00727EF0"/>
    <w:rsid w:val="0073059A"/>
    <w:rsid w:val="00730B1A"/>
    <w:rsid w:val="00731FEB"/>
    <w:rsid w:val="0073213F"/>
    <w:rsid w:val="00732415"/>
    <w:rsid w:val="007327A6"/>
    <w:rsid w:val="00732BA1"/>
    <w:rsid w:val="00733D1B"/>
    <w:rsid w:val="00733E6F"/>
    <w:rsid w:val="00733ED9"/>
    <w:rsid w:val="00734143"/>
    <w:rsid w:val="007343C8"/>
    <w:rsid w:val="0073474B"/>
    <w:rsid w:val="00735ED8"/>
    <w:rsid w:val="00736898"/>
    <w:rsid w:val="00736B01"/>
    <w:rsid w:val="00737E47"/>
    <w:rsid w:val="00737FC0"/>
    <w:rsid w:val="0074076A"/>
    <w:rsid w:val="00740EAC"/>
    <w:rsid w:val="00741623"/>
    <w:rsid w:val="00741B0A"/>
    <w:rsid w:val="007421F1"/>
    <w:rsid w:val="00742252"/>
    <w:rsid w:val="00742350"/>
    <w:rsid w:val="007424B8"/>
    <w:rsid w:val="007426BE"/>
    <w:rsid w:val="007427CE"/>
    <w:rsid w:val="00742E81"/>
    <w:rsid w:val="0074314D"/>
    <w:rsid w:val="0074321C"/>
    <w:rsid w:val="00743434"/>
    <w:rsid w:val="00744784"/>
    <w:rsid w:val="00744956"/>
    <w:rsid w:val="00744E1D"/>
    <w:rsid w:val="00745317"/>
    <w:rsid w:val="00745A5C"/>
    <w:rsid w:val="00745AF5"/>
    <w:rsid w:val="00745BC8"/>
    <w:rsid w:val="0074605F"/>
    <w:rsid w:val="00746B43"/>
    <w:rsid w:val="00747028"/>
    <w:rsid w:val="00747301"/>
    <w:rsid w:val="00747429"/>
    <w:rsid w:val="00747601"/>
    <w:rsid w:val="00747E94"/>
    <w:rsid w:val="00747FB1"/>
    <w:rsid w:val="0075027A"/>
    <w:rsid w:val="00750517"/>
    <w:rsid w:val="0075059D"/>
    <w:rsid w:val="00750B69"/>
    <w:rsid w:val="00750D68"/>
    <w:rsid w:val="00751058"/>
    <w:rsid w:val="00751120"/>
    <w:rsid w:val="0075186D"/>
    <w:rsid w:val="00752430"/>
    <w:rsid w:val="0075256A"/>
    <w:rsid w:val="0075309E"/>
    <w:rsid w:val="007532CB"/>
    <w:rsid w:val="0075357B"/>
    <w:rsid w:val="00753680"/>
    <w:rsid w:val="00753D25"/>
    <w:rsid w:val="00754677"/>
    <w:rsid w:val="00754C83"/>
    <w:rsid w:val="00755772"/>
    <w:rsid w:val="0075642B"/>
    <w:rsid w:val="007567F2"/>
    <w:rsid w:val="00756BD7"/>
    <w:rsid w:val="007575C8"/>
    <w:rsid w:val="00757722"/>
    <w:rsid w:val="007579A0"/>
    <w:rsid w:val="00757DDB"/>
    <w:rsid w:val="007600A8"/>
    <w:rsid w:val="00760539"/>
    <w:rsid w:val="0076056D"/>
    <w:rsid w:val="00760FAC"/>
    <w:rsid w:val="0076131B"/>
    <w:rsid w:val="0076197A"/>
    <w:rsid w:val="00761E5C"/>
    <w:rsid w:val="00762235"/>
    <w:rsid w:val="00762329"/>
    <w:rsid w:val="0076301C"/>
    <w:rsid w:val="00763189"/>
    <w:rsid w:val="00763949"/>
    <w:rsid w:val="00764326"/>
    <w:rsid w:val="007648A7"/>
    <w:rsid w:val="00764F8A"/>
    <w:rsid w:val="00765022"/>
    <w:rsid w:val="007651F0"/>
    <w:rsid w:val="007655FE"/>
    <w:rsid w:val="00765781"/>
    <w:rsid w:val="00765D80"/>
    <w:rsid w:val="00765DF8"/>
    <w:rsid w:val="00766646"/>
    <w:rsid w:val="00766749"/>
    <w:rsid w:val="0076726B"/>
    <w:rsid w:val="00767698"/>
    <w:rsid w:val="00767C1B"/>
    <w:rsid w:val="0077009D"/>
    <w:rsid w:val="007708BC"/>
    <w:rsid w:val="00770AFC"/>
    <w:rsid w:val="00770B3F"/>
    <w:rsid w:val="00770D38"/>
    <w:rsid w:val="007711B8"/>
    <w:rsid w:val="007712BC"/>
    <w:rsid w:val="007714A9"/>
    <w:rsid w:val="007722DD"/>
    <w:rsid w:val="00772A88"/>
    <w:rsid w:val="00773024"/>
    <w:rsid w:val="00773036"/>
    <w:rsid w:val="00773312"/>
    <w:rsid w:val="00773575"/>
    <w:rsid w:val="00774253"/>
    <w:rsid w:val="0077485D"/>
    <w:rsid w:val="00774DBC"/>
    <w:rsid w:val="00774F88"/>
    <w:rsid w:val="00774FDB"/>
    <w:rsid w:val="00775030"/>
    <w:rsid w:val="007751AE"/>
    <w:rsid w:val="00775891"/>
    <w:rsid w:val="00775CAB"/>
    <w:rsid w:val="0077609F"/>
    <w:rsid w:val="007766BC"/>
    <w:rsid w:val="007767F0"/>
    <w:rsid w:val="007768BA"/>
    <w:rsid w:val="00776A1E"/>
    <w:rsid w:val="00776AA4"/>
    <w:rsid w:val="007773AA"/>
    <w:rsid w:val="0077740E"/>
    <w:rsid w:val="0077787C"/>
    <w:rsid w:val="00777BA2"/>
    <w:rsid w:val="00780016"/>
    <w:rsid w:val="007810F2"/>
    <w:rsid w:val="00781408"/>
    <w:rsid w:val="00781A72"/>
    <w:rsid w:val="00782DD9"/>
    <w:rsid w:val="00783272"/>
    <w:rsid w:val="00783C9F"/>
    <w:rsid w:val="00784F7F"/>
    <w:rsid w:val="0078509A"/>
    <w:rsid w:val="007856EC"/>
    <w:rsid w:val="00785B42"/>
    <w:rsid w:val="00785B79"/>
    <w:rsid w:val="007868E6"/>
    <w:rsid w:val="00786929"/>
    <w:rsid w:val="00786BB5"/>
    <w:rsid w:val="00786F62"/>
    <w:rsid w:val="00786F9F"/>
    <w:rsid w:val="00787077"/>
    <w:rsid w:val="00787146"/>
    <w:rsid w:val="007878BD"/>
    <w:rsid w:val="00787ABB"/>
    <w:rsid w:val="00790019"/>
    <w:rsid w:val="00790483"/>
    <w:rsid w:val="00790631"/>
    <w:rsid w:val="007907EE"/>
    <w:rsid w:val="00790D0F"/>
    <w:rsid w:val="00790D2B"/>
    <w:rsid w:val="00791989"/>
    <w:rsid w:val="00791D18"/>
    <w:rsid w:val="00791FEA"/>
    <w:rsid w:val="0079251E"/>
    <w:rsid w:val="00792617"/>
    <w:rsid w:val="00792D4C"/>
    <w:rsid w:val="00793F6C"/>
    <w:rsid w:val="007942F1"/>
    <w:rsid w:val="00794501"/>
    <w:rsid w:val="00794B0A"/>
    <w:rsid w:val="00794B3E"/>
    <w:rsid w:val="00794BE8"/>
    <w:rsid w:val="00794CB2"/>
    <w:rsid w:val="00794F2E"/>
    <w:rsid w:val="00795A27"/>
    <w:rsid w:val="00795EC3"/>
    <w:rsid w:val="007965BA"/>
    <w:rsid w:val="007969F5"/>
    <w:rsid w:val="00796F25"/>
    <w:rsid w:val="00797089"/>
    <w:rsid w:val="0079789C"/>
    <w:rsid w:val="00797E4C"/>
    <w:rsid w:val="007A0412"/>
    <w:rsid w:val="007A0755"/>
    <w:rsid w:val="007A1419"/>
    <w:rsid w:val="007A14EE"/>
    <w:rsid w:val="007A1571"/>
    <w:rsid w:val="007A175F"/>
    <w:rsid w:val="007A2131"/>
    <w:rsid w:val="007A244B"/>
    <w:rsid w:val="007A2872"/>
    <w:rsid w:val="007A293A"/>
    <w:rsid w:val="007A29ED"/>
    <w:rsid w:val="007A2B4B"/>
    <w:rsid w:val="007A2E98"/>
    <w:rsid w:val="007A3521"/>
    <w:rsid w:val="007A3892"/>
    <w:rsid w:val="007A3BA3"/>
    <w:rsid w:val="007A4125"/>
    <w:rsid w:val="007A43DD"/>
    <w:rsid w:val="007A44F6"/>
    <w:rsid w:val="007A4B77"/>
    <w:rsid w:val="007A5BEB"/>
    <w:rsid w:val="007A5C32"/>
    <w:rsid w:val="007A6147"/>
    <w:rsid w:val="007A61C1"/>
    <w:rsid w:val="007A66FE"/>
    <w:rsid w:val="007A6CC0"/>
    <w:rsid w:val="007A6F60"/>
    <w:rsid w:val="007A7796"/>
    <w:rsid w:val="007A7FEC"/>
    <w:rsid w:val="007B00BA"/>
    <w:rsid w:val="007B00C3"/>
    <w:rsid w:val="007B0F58"/>
    <w:rsid w:val="007B1442"/>
    <w:rsid w:val="007B1499"/>
    <w:rsid w:val="007B1517"/>
    <w:rsid w:val="007B1BBF"/>
    <w:rsid w:val="007B2378"/>
    <w:rsid w:val="007B268E"/>
    <w:rsid w:val="007B2960"/>
    <w:rsid w:val="007B2E4D"/>
    <w:rsid w:val="007B354E"/>
    <w:rsid w:val="007B355D"/>
    <w:rsid w:val="007B3784"/>
    <w:rsid w:val="007B3D57"/>
    <w:rsid w:val="007B4279"/>
    <w:rsid w:val="007B4867"/>
    <w:rsid w:val="007B48B7"/>
    <w:rsid w:val="007B4E5F"/>
    <w:rsid w:val="007B4F4E"/>
    <w:rsid w:val="007B570F"/>
    <w:rsid w:val="007B5F12"/>
    <w:rsid w:val="007B6CF2"/>
    <w:rsid w:val="007B6F58"/>
    <w:rsid w:val="007B7492"/>
    <w:rsid w:val="007B7980"/>
    <w:rsid w:val="007B7F7F"/>
    <w:rsid w:val="007C0361"/>
    <w:rsid w:val="007C046D"/>
    <w:rsid w:val="007C09CC"/>
    <w:rsid w:val="007C0DEF"/>
    <w:rsid w:val="007C1126"/>
    <w:rsid w:val="007C203E"/>
    <w:rsid w:val="007C207B"/>
    <w:rsid w:val="007C21C5"/>
    <w:rsid w:val="007C22EC"/>
    <w:rsid w:val="007C336F"/>
    <w:rsid w:val="007C33F5"/>
    <w:rsid w:val="007C4082"/>
    <w:rsid w:val="007C46FB"/>
    <w:rsid w:val="007C5402"/>
    <w:rsid w:val="007C5573"/>
    <w:rsid w:val="007C5D5A"/>
    <w:rsid w:val="007C607F"/>
    <w:rsid w:val="007C66E4"/>
    <w:rsid w:val="007C6F96"/>
    <w:rsid w:val="007C76AB"/>
    <w:rsid w:val="007C79DD"/>
    <w:rsid w:val="007C79E8"/>
    <w:rsid w:val="007C7FD1"/>
    <w:rsid w:val="007D01F3"/>
    <w:rsid w:val="007D07A0"/>
    <w:rsid w:val="007D0879"/>
    <w:rsid w:val="007D0B91"/>
    <w:rsid w:val="007D1151"/>
    <w:rsid w:val="007D1A97"/>
    <w:rsid w:val="007D1D28"/>
    <w:rsid w:val="007D1D45"/>
    <w:rsid w:val="007D1E63"/>
    <w:rsid w:val="007D206A"/>
    <w:rsid w:val="007D2734"/>
    <w:rsid w:val="007D2CD6"/>
    <w:rsid w:val="007D3063"/>
    <w:rsid w:val="007D3141"/>
    <w:rsid w:val="007D3CEB"/>
    <w:rsid w:val="007D41AB"/>
    <w:rsid w:val="007D42F1"/>
    <w:rsid w:val="007D57F7"/>
    <w:rsid w:val="007D5A04"/>
    <w:rsid w:val="007D5EEF"/>
    <w:rsid w:val="007D6880"/>
    <w:rsid w:val="007D6C68"/>
    <w:rsid w:val="007D6D17"/>
    <w:rsid w:val="007D793C"/>
    <w:rsid w:val="007D79BF"/>
    <w:rsid w:val="007D7D17"/>
    <w:rsid w:val="007E0C79"/>
    <w:rsid w:val="007E0EF6"/>
    <w:rsid w:val="007E0FFE"/>
    <w:rsid w:val="007E2448"/>
    <w:rsid w:val="007E24DE"/>
    <w:rsid w:val="007E271E"/>
    <w:rsid w:val="007E3885"/>
    <w:rsid w:val="007E3C1C"/>
    <w:rsid w:val="007E468F"/>
    <w:rsid w:val="007E47A4"/>
    <w:rsid w:val="007E4A83"/>
    <w:rsid w:val="007E4EAB"/>
    <w:rsid w:val="007E4F7E"/>
    <w:rsid w:val="007E52EE"/>
    <w:rsid w:val="007E545E"/>
    <w:rsid w:val="007E54D0"/>
    <w:rsid w:val="007E5FA1"/>
    <w:rsid w:val="007E62EA"/>
    <w:rsid w:val="007E7183"/>
    <w:rsid w:val="007E7683"/>
    <w:rsid w:val="007F030F"/>
    <w:rsid w:val="007F0D86"/>
    <w:rsid w:val="007F0DDE"/>
    <w:rsid w:val="007F1A07"/>
    <w:rsid w:val="007F1C15"/>
    <w:rsid w:val="007F1D0D"/>
    <w:rsid w:val="007F21D3"/>
    <w:rsid w:val="007F286A"/>
    <w:rsid w:val="007F2876"/>
    <w:rsid w:val="007F2C82"/>
    <w:rsid w:val="007F31B6"/>
    <w:rsid w:val="007F3521"/>
    <w:rsid w:val="007F3F01"/>
    <w:rsid w:val="007F41D4"/>
    <w:rsid w:val="007F49FA"/>
    <w:rsid w:val="007F4AD9"/>
    <w:rsid w:val="007F50D5"/>
    <w:rsid w:val="007F54C4"/>
    <w:rsid w:val="007F598F"/>
    <w:rsid w:val="007F6340"/>
    <w:rsid w:val="007F65F9"/>
    <w:rsid w:val="007F669F"/>
    <w:rsid w:val="007F67A7"/>
    <w:rsid w:val="007F67BE"/>
    <w:rsid w:val="007F686E"/>
    <w:rsid w:val="007F6C35"/>
    <w:rsid w:val="007F6C58"/>
    <w:rsid w:val="007F6DFE"/>
    <w:rsid w:val="007F6E9A"/>
    <w:rsid w:val="007F706D"/>
    <w:rsid w:val="007F79D7"/>
    <w:rsid w:val="007F7B2E"/>
    <w:rsid w:val="007F7E1F"/>
    <w:rsid w:val="007F7FAF"/>
    <w:rsid w:val="00800CCD"/>
    <w:rsid w:val="00800EE8"/>
    <w:rsid w:val="008019E0"/>
    <w:rsid w:val="008021A5"/>
    <w:rsid w:val="008022BB"/>
    <w:rsid w:val="0080247E"/>
    <w:rsid w:val="00802A63"/>
    <w:rsid w:val="00803FBD"/>
    <w:rsid w:val="008044D4"/>
    <w:rsid w:val="0080463E"/>
    <w:rsid w:val="0080525C"/>
    <w:rsid w:val="0080606C"/>
    <w:rsid w:val="0080682B"/>
    <w:rsid w:val="00806B26"/>
    <w:rsid w:val="00807D75"/>
    <w:rsid w:val="00807DB4"/>
    <w:rsid w:val="00810AB4"/>
    <w:rsid w:val="00810EDD"/>
    <w:rsid w:val="00811650"/>
    <w:rsid w:val="00812002"/>
    <w:rsid w:val="008120B5"/>
    <w:rsid w:val="00812460"/>
    <w:rsid w:val="008131EA"/>
    <w:rsid w:val="0081321B"/>
    <w:rsid w:val="00813377"/>
    <w:rsid w:val="00814577"/>
    <w:rsid w:val="00814D0E"/>
    <w:rsid w:val="00815A9F"/>
    <w:rsid w:val="008172F3"/>
    <w:rsid w:val="008176CD"/>
    <w:rsid w:val="00817A9D"/>
    <w:rsid w:val="00817B56"/>
    <w:rsid w:val="00817E7A"/>
    <w:rsid w:val="00817F4B"/>
    <w:rsid w:val="00820442"/>
    <w:rsid w:val="0082061B"/>
    <w:rsid w:val="00820EAA"/>
    <w:rsid w:val="0082126A"/>
    <w:rsid w:val="008218F1"/>
    <w:rsid w:val="00821A88"/>
    <w:rsid w:val="00822000"/>
    <w:rsid w:val="008226CD"/>
    <w:rsid w:val="0082275E"/>
    <w:rsid w:val="0082322E"/>
    <w:rsid w:val="008234E6"/>
    <w:rsid w:val="00823680"/>
    <w:rsid w:val="008237BB"/>
    <w:rsid w:val="0082389A"/>
    <w:rsid w:val="008239AC"/>
    <w:rsid w:val="00824125"/>
    <w:rsid w:val="00824456"/>
    <w:rsid w:val="0082495D"/>
    <w:rsid w:val="00824B41"/>
    <w:rsid w:val="0082513D"/>
    <w:rsid w:val="0082535C"/>
    <w:rsid w:val="00825614"/>
    <w:rsid w:val="00825AD1"/>
    <w:rsid w:val="008261A8"/>
    <w:rsid w:val="0082641E"/>
    <w:rsid w:val="00826EDD"/>
    <w:rsid w:val="008272EA"/>
    <w:rsid w:val="00827CBB"/>
    <w:rsid w:val="008301A9"/>
    <w:rsid w:val="0083076D"/>
    <w:rsid w:val="00831032"/>
    <w:rsid w:val="008314E9"/>
    <w:rsid w:val="00831AC3"/>
    <w:rsid w:val="00831B2E"/>
    <w:rsid w:val="008324D6"/>
    <w:rsid w:val="0083298A"/>
    <w:rsid w:val="00832A66"/>
    <w:rsid w:val="00832BD0"/>
    <w:rsid w:val="00832F2F"/>
    <w:rsid w:val="0083372A"/>
    <w:rsid w:val="00833E82"/>
    <w:rsid w:val="008345AB"/>
    <w:rsid w:val="00834601"/>
    <w:rsid w:val="00834BF8"/>
    <w:rsid w:val="00834C78"/>
    <w:rsid w:val="00834CF8"/>
    <w:rsid w:val="00834F8A"/>
    <w:rsid w:val="00835329"/>
    <w:rsid w:val="008358EA"/>
    <w:rsid w:val="00835B17"/>
    <w:rsid w:val="00835B58"/>
    <w:rsid w:val="008366CA"/>
    <w:rsid w:val="00836F13"/>
    <w:rsid w:val="00836FCE"/>
    <w:rsid w:val="00837249"/>
    <w:rsid w:val="008372C1"/>
    <w:rsid w:val="00837695"/>
    <w:rsid w:val="00837EC0"/>
    <w:rsid w:val="00837F30"/>
    <w:rsid w:val="0084022C"/>
    <w:rsid w:val="00840605"/>
    <w:rsid w:val="008408FF"/>
    <w:rsid w:val="008412AC"/>
    <w:rsid w:val="0084174A"/>
    <w:rsid w:val="00842AF9"/>
    <w:rsid w:val="00842D9D"/>
    <w:rsid w:val="00842DF4"/>
    <w:rsid w:val="008435E5"/>
    <w:rsid w:val="008436CE"/>
    <w:rsid w:val="008444DE"/>
    <w:rsid w:val="00844B71"/>
    <w:rsid w:val="00844C8B"/>
    <w:rsid w:val="00844D3A"/>
    <w:rsid w:val="00844F07"/>
    <w:rsid w:val="0084531F"/>
    <w:rsid w:val="008457DD"/>
    <w:rsid w:val="00845EBD"/>
    <w:rsid w:val="0084656B"/>
    <w:rsid w:val="0084657C"/>
    <w:rsid w:val="00846EDD"/>
    <w:rsid w:val="00846F2F"/>
    <w:rsid w:val="0084770C"/>
    <w:rsid w:val="00847B70"/>
    <w:rsid w:val="00847ECD"/>
    <w:rsid w:val="00850D07"/>
    <w:rsid w:val="0085114D"/>
    <w:rsid w:val="00851970"/>
    <w:rsid w:val="00851F3F"/>
    <w:rsid w:val="00851F56"/>
    <w:rsid w:val="00852042"/>
    <w:rsid w:val="00852328"/>
    <w:rsid w:val="00852509"/>
    <w:rsid w:val="008525C0"/>
    <w:rsid w:val="00852A9F"/>
    <w:rsid w:val="00852E6D"/>
    <w:rsid w:val="00852EE9"/>
    <w:rsid w:val="00853137"/>
    <w:rsid w:val="008533F2"/>
    <w:rsid w:val="0085442D"/>
    <w:rsid w:val="00854BE6"/>
    <w:rsid w:val="0085509F"/>
    <w:rsid w:val="0085533C"/>
    <w:rsid w:val="008555A5"/>
    <w:rsid w:val="00856043"/>
    <w:rsid w:val="00856B29"/>
    <w:rsid w:val="00856CD4"/>
    <w:rsid w:val="00856EDC"/>
    <w:rsid w:val="00856FF3"/>
    <w:rsid w:val="008573B3"/>
    <w:rsid w:val="00857FF6"/>
    <w:rsid w:val="0086028C"/>
    <w:rsid w:val="00860517"/>
    <w:rsid w:val="00860552"/>
    <w:rsid w:val="00860C8B"/>
    <w:rsid w:val="00861342"/>
    <w:rsid w:val="0086166D"/>
    <w:rsid w:val="00861B58"/>
    <w:rsid w:val="008623B5"/>
    <w:rsid w:val="008623CE"/>
    <w:rsid w:val="008628E1"/>
    <w:rsid w:val="00862B97"/>
    <w:rsid w:val="00863067"/>
    <w:rsid w:val="0086359A"/>
    <w:rsid w:val="00863A37"/>
    <w:rsid w:val="008640F2"/>
    <w:rsid w:val="008641E7"/>
    <w:rsid w:val="00864E8D"/>
    <w:rsid w:val="0086545E"/>
    <w:rsid w:val="0086566E"/>
    <w:rsid w:val="00866141"/>
    <w:rsid w:val="008666B9"/>
    <w:rsid w:val="00866B63"/>
    <w:rsid w:val="00866DFF"/>
    <w:rsid w:val="0086721E"/>
    <w:rsid w:val="00867D1A"/>
    <w:rsid w:val="00867F1F"/>
    <w:rsid w:val="00867F67"/>
    <w:rsid w:val="0087014E"/>
    <w:rsid w:val="008701EF"/>
    <w:rsid w:val="008702E8"/>
    <w:rsid w:val="008705A5"/>
    <w:rsid w:val="0087077B"/>
    <w:rsid w:val="00870947"/>
    <w:rsid w:val="00870A5A"/>
    <w:rsid w:val="00870ABA"/>
    <w:rsid w:val="00870C0F"/>
    <w:rsid w:val="00870FF2"/>
    <w:rsid w:val="008710E1"/>
    <w:rsid w:val="008716E5"/>
    <w:rsid w:val="008716FC"/>
    <w:rsid w:val="00871AFA"/>
    <w:rsid w:val="00871B1F"/>
    <w:rsid w:val="00871B2E"/>
    <w:rsid w:val="00872268"/>
    <w:rsid w:val="008725F1"/>
    <w:rsid w:val="008732EE"/>
    <w:rsid w:val="00873321"/>
    <w:rsid w:val="008734DD"/>
    <w:rsid w:val="00873657"/>
    <w:rsid w:val="0087370F"/>
    <w:rsid w:val="00873790"/>
    <w:rsid w:val="00873E38"/>
    <w:rsid w:val="00874791"/>
    <w:rsid w:val="008749D3"/>
    <w:rsid w:val="0087504D"/>
    <w:rsid w:val="008754A3"/>
    <w:rsid w:val="00875FC1"/>
    <w:rsid w:val="00876053"/>
    <w:rsid w:val="0087672B"/>
    <w:rsid w:val="00877005"/>
    <w:rsid w:val="00877E29"/>
    <w:rsid w:val="00877E42"/>
    <w:rsid w:val="00877F8E"/>
    <w:rsid w:val="0088022B"/>
    <w:rsid w:val="008802FF"/>
    <w:rsid w:val="00880754"/>
    <w:rsid w:val="008813E0"/>
    <w:rsid w:val="008817B6"/>
    <w:rsid w:val="008819FC"/>
    <w:rsid w:val="00881CA9"/>
    <w:rsid w:val="008826D7"/>
    <w:rsid w:val="00882F16"/>
    <w:rsid w:val="00883628"/>
    <w:rsid w:val="008839B1"/>
    <w:rsid w:val="00884235"/>
    <w:rsid w:val="00884426"/>
    <w:rsid w:val="00884D5D"/>
    <w:rsid w:val="00884EE0"/>
    <w:rsid w:val="00885300"/>
    <w:rsid w:val="00885544"/>
    <w:rsid w:val="00885806"/>
    <w:rsid w:val="00885923"/>
    <w:rsid w:val="00885CFE"/>
    <w:rsid w:val="008861E6"/>
    <w:rsid w:val="0088634E"/>
    <w:rsid w:val="008864BF"/>
    <w:rsid w:val="008867F2"/>
    <w:rsid w:val="008868E0"/>
    <w:rsid w:val="0088749F"/>
    <w:rsid w:val="00887649"/>
    <w:rsid w:val="008876C4"/>
    <w:rsid w:val="008904FF"/>
    <w:rsid w:val="0089066A"/>
    <w:rsid w:val="008907F8"/>
    <w:rsid w:val="00891495"/>
    <w:rsid w:val="00891839"/>
    <w:rsid w:val="00892046"/>
    <w:rsid w:val="008925B5"/>
    <w:rsid w:val="00893145"/>
    <w:rsid w:val="00893AB8"/>
    <w:rsid w:val="00894584"/>
    <w:rsid w:val="0089469B"/>
    <w:rsid w:val="0089493A"/>
    <w:rsid w:val="008955AD"/>
    <w:rsid w:val="00895A0F"/>
    <w:rsid w:val="00896AD2"/>
    <w:rsid w:val="00896E02"/>
    <w:rsid w:val="0089739E"/>
    <w:rsid w:val="008976B1"/>
    <w:rsid w:val="00897C56"/>
    <w:rsid w:val="008A04C8"/>
    <w:rsid w:val="008A0B9B"/>
    <w:rsid w:val="008A12CA"/>
    <w:rsid w:val="008A1EA7"/>
    <w:rsid w:val="008A1F3E"/>
    <w:rsid w:val="008A2339"/>
    <w:rsid w:val="008A2A2A"/>
    <w:rsid w:val="008A2B00"/>
    <w:rsid w:val="008A2FC6"/>
    <w:rsid w:val="008A312B"/>
    <w:rsid w:val="008A3F48"/>
    <w:rsid w:val="008A40C4"/>
    <w:rsid w:val="008A46F0"/>
    <w:rsid w:val="008A4937"/>
    <w:rsid w:val="008A5242"/>
    <w:rsid w:val="008A5370"/>
    <w:rsid w:val="008A5CF1"/>
    <w:rsid w:val="008A5F68"/>
    <w:rsid w:val="008A6913"/>
    <w:rsid w:val="008A6D23"/>
    <w:rsid w:val="008A7B09"/>
    <w:rsid w:val="008A7D91"/>
    <w:rsid w:val="008A7F37"/>
    <w:rsid w:val="008B001B"/>
    <w:rsid w:val="008B0639"/>
    <w:rsid w:val="008B06F0"/>
    <w:rsid w:val="008B1398"/>
    <w:rsid w:val="008B14AF"/>
    <w:rsid w:val="008B19FF"/>
    <w:rsid w:val="008B1B46"/>
    <w:rsid w:val="008B293E"/>
    <w:rsid w:val="008B2B5E"/>
    <w:rsid w:val="008B2BEC"/>
    <w:rsid w:val="008B2D82"/>
    <w:rsid w:val="008B3754"/>
    <w:rsid w:val="008B41B1"/>
    <w:rsid w:val="008B48AF"/>
    <w:rsid w:val="008B4E83"/>
    <w:rsid w:val="008B6188"/>
    <w:rsid w:val="008B70F3"/>
    <w:rsid w:val="008B71C4"/>
    <w:rsid w:val="008B7600"/>
    <w:rsid w:val="008B76DF"/>
    <w:rsid w:val="008C0FD4"/>
    <w:rsid w:val="008C10F4"/>
    <w:rsid w:val="008C1B73"/>
    <w:rsid w:val="008C1E72"/>
    <w:rsid w:val="008C24CD"/>
    <w:rsid w:val="008C2576"/>
    <w:rsid w:val="008C283F"/>
    <w:rsid w:val="008C285E"/>
    <w:rsid w:val="008C2AC9"/>
    <w:rsid w:val="008C2D84"/>
    <w:rsid w:val="008C2F4A"/>
    <w:rsid w:val="008C3FFF"/>
    <w:rsid w:val="008C4063"/>
    <w:rsid w:val="008C491C"/>
    <w:rsid w:val="008C4D43"/>
    <w:rsid w:val="008C52CF"/>
    <w:rsid w:val="008C5714"/>
    <w:rsid w:val="008C58CC"/>
    <w:rsid w:val="008C5E9E"/>
    <w:rsid w:val="008C5F4A"/>
    <w:rsid w:val="008C60C6"/>
    <w:rsid w:val="008C65F7"/>
    <w:rsid w:val="008C687C"/>
    <w:rsid w:val="008C6C57"/>
    <w:rsid w:val="008C71E8"/>
    <w:rsid w:val="008C74BF"/>
    <w:rsid w:val="008C7967"/>
    <w:rsid w:val="008C7985"/>
    <w:rsid w:val="008D002A"/>
    <w:rsid w:val="008D0114"/>
    <w:rsid w:val="008D15D2"/>
    <w:rsid w:val="008D1D8D"/>
    <w:rsid w:val="008D22B2"/>
    <w:rsid w:val="008D2ABE"/>
    <w:rsid w:val="008D2FF0"/>
    <w:rsid w:val="008D3DB4"/>
    <w:rsid w:val="008D45FA"/>
    <w:rsid w:val="008D473D"/>
    <w:rsid w:val="008D47C6"/>
    <w:rsid w:val="008D47D4"/>
    <w:rsid w:val="008D486F"/>
    <w:rsid w:val="008D499B"/>
    <w:rsid w:val="008D615F"/>
    <w:rsid w:val="008D6F22"/>
    <w:rsid w:val="008D7B28"/>
    <w:rsid w:val="008E0428"/>
    <w:rsid w:val="008E0827"/>
    <w:rsid w:val="008E0D3D"/>
    <w:rsid w:val="008E0D96"/>
    <w:rsid w:val="008E2399"/>
    <w:rsid w:val="008E2771"/>
    <w:rsid w:val="008E343B"/>
    <w:rsid w:val="008E3563"/>
    <w:rsid w:val="008E3A0F"/>
    <w:rsid w:val="008E3C6B"/>
    <w:rsid w:val="008E464B"/>
    <w:rsid w:val="008E4672"/>
    <w:rsid w:val="008E4767"/>
    <w:rsid w:val="008E483F"/>
    <w:rsid w:val="008E4D18"/>
    <w:rsid w:val="008E50FD"/>
    <w:rsid w:val="008E52E6"/>
    <w:rsid w:val="008E5336"/>
    <w:rsid w:val="008E58DB"/>
    <w:rsid w:val="008E5B16"/>
    <w:rsid w:val="008E68F0"/>
    <w:rsid w:val="008E69FA"/>
    <w:rsid w:val="008E7113"/>
    <w:rsid w:val="008E739D"/>
    <w:rsid w:val="008E76A7"/>
    <w:rsid w:val="008E77AB"/>
    <w:rsid w:val="008E7A8C"/>
    <w:rsid w:val="008E7DEF"/>
    <w:rsid w:val="008E7E46"/>
    <w:rsid w:val="008E7FAB"/>
    <w:rsid w:val="008F02B2"/>
    <w:rsid w:val="008F079B"/>
    <w:rsid w:val="008F0E60"/>
    <w:rsid w:val="008F0F39"/>
    <w:rsid w:val="008F0FCF"/>
    <w:rsid w:val="008F1E41"/>
    <w:rsid w:val="008F2770"/>
    <w:rsid w:val="008F2B9D"/>
    <w:rsid w:val="008F2CA0"/>
    <w:rsid w:val="008F2F9A"/>
    <w:rsid w:val="008F3601"/>
    <w:rsid w:val="008F496B"/>
    <w:rsid w:val="008F4BCE"/>
    <w:rsid w:val="008F53E7"/>
    <w:rsid w:val="008F58CC"/>
    <w:rsid w:val="008F5AD5"/>
    <w:rsid w:val="008F6077"/>
    <w:rsid w:val="008F6228"/>
    <w:rsid w:val="008F63F2"/>
    <w:rsid w:val="008F6487"/>
    <w:rsid w:val="008F6ADC"/>
    <w:rsid w:val="008F6CBC"/>
    <w:rsid w:val="008F6F82"/>
    <w:rsid w:val="008F716A"/>
    <w:rsid w:val="008F7437"/>
    <w:rsid w:val="008F7D63"/>
    <w:rsid w:val="008F7E18"/>
    <w:rsid w:val="00900228"/>
    <w:rsid w:val="00900ABD"/>
    <w:rsid w:val="00900CBF"/>
    <w:rsid w:val="00900ECC"/>
    <w:rsid w:val="00901383"/>
    <w:rsid w:val="0090203B"/>
    <w:rsid w:val="00902196"/>
    <w:rsid w:val="009021C7"/>
    <w:rsid w:val="009021EC"/>
    <w:rsid w:val="009022F4"/>
    <w:rsid w:val="00902F16"/>
    <w:rsid w:val="00903059"/>
    <w:rsid w:val="00903086"/>
    <w:rsid w:val="0090327A"/>
    <w:rsid w:val="00903285"/>
    <w:rsid w:val="0090392C"/>
    <w:rsid w:val="009048BF"/>
    <w:rsid w:val="009052F9"/>
    <w:rsid w:val="0090536D"/>
    <w:rsid w:val="00905825"/>
    <w:rsid w:val="00905D43"/>
    <w:rsid w:val="0090671C"/>
    <w:rsid w:val="009069D3"/>
    <w:rsid w:val="00906F40"/>
    <w:rsid w:val="0090731E"/>
    <w:rsid w:val="009073C6"/>
    <w:rsid w:val="00907578"/>
    <w:rsid w:val="00910A1B"/>
    <w:rsid w:val="00910E16"/>
    <w:rsid w:val="00911237"/>
    <w:rsid w:val="00911465"/>
    <w:rsid w:val="0091162A"/>
    <w:rsid w:val="00911631"/>
    <w:rsid w:val="00912709"/>
    <w:rsid w:val="00912D3E"/>
    <w:rsid w:val="00912E46"/>
    <w:rsid w:val="00913ACF"/>
    <w:rsid w:val="00914065"/>
    <w:rsid w:val="0091409E"/>
    <w:rsid w:val="00914420"/>
    <w:rsid w:val="0091462E"/>
    <w:rsid w:val="00915B1C"/>
    <w:rsid w:val="00915B7B"/>
    <w:rsid w:val="00916158"/>
    <w:rsid w:val="0091626A"/>
    <w:rsid w:val="009169BA"/>
    <w:rsid w:val="00916A7C"/>
    <w:rsid w:val="0091700A"/>
    <w:rsid w:val="009171FF"/>
    <w:rsid w:val="009172D2"/>
    <w:rsid w:val="009174F3"/>
    <w:rsid w:val="009176BF"/>
    <w:rsid w:val="00917871"/>
    <w:rsid w:val="0091797D"/>
    <w:rsid w:val="00917AC0"/>
    <w:rsid w:val="009201F6"/>
    <w:rsid w:val="009202E8"/>
    <w:rsid w:val="009204ED"/>
    <w:rsid w:val="00920E89"/>
    <w:rsid w:val="00921A4F"/>
    <w:rsid w:val="00922B57"/>
    <w:rsid w:val="0092317D"/>
    <w:rsid w:val="00923CBA"/>
    <w:rsid w:val="009243E0"/>
    <w:rsid w:val="00924D10"/>
    <w:rsid w:val="00925C03"/>
    <w:rsid w:val="00926620"/>
    <w:rsid w:val="00926703"/>
    <w:rsid w:val="00927691"/>
    <w:rsid w:val="00927A5F"/>
    <w:rsid w:val="00927DB4"/>
    <w:rsid w:val="00930510"/>
    <w:rsid w:val="009309C7"/>
    <w:rsid w:val="00930A29"/>
    <w:rsid w:val="00930D60"/>
    <w:rsid w:val="009314BC"/>
    <w:rsid w:val="009318E1"/>
    <w:rsid w:val="00931F79"/>
    <w:rsid w:val="00931F96"/>
    <w:rsid w:val="009321C1"/>
    <w:rsid w:val="0093249E"/>
    <w:rsid w:val="009326AF"/>
    <w:rsid w:val="00932D7E"/>
    <w:rsid w:val="00932FCF"/>
    <w:rsid w:val="00933126"/>
    <w:rsid w:val="00933268"/>
    <w:rsid w:val="009335A9"/>
    <w:rsid w:val="00933C57"/>
    <w:rsid w:val="00934016"/>
    <w:rsid w:val="009343CA"/>
    <w:rsid w:val="00934727"/>
    <w:rsid w:val="009347BE"/>
    <w:rsid w:val="00935358"/>
    <w:rsid w:val="00935712"/>
    <w:rsid w:val="00935B63"/>
    <w:rsid w:val="00936D73"/>
    <w:rsid w:val="00936E95"/>
    <w:rsid w:val="00937CA4"/>
    <w:rsid w:val="00937DA8"/>
    <w:rsid w:val="00937FFD"/>
    <w:rsid w:val="009403CB"/>
    <w:rsid w:val="0094078F"/>
    <w:rsid w:val="00940832"/>
    <w:rsid w:val="00940FA3"/>
    <w:rsid w:val="009417CE"/>
    <w:rsid w:val="00941FB0"/>
    <w:rsid w:val="009426D4"/>
    <w:rsid w:val="00942E2E"/>
    <w:rsid w:val="009432F2"/>
    <w:rsid w:val="00943479"/>
    <w:rsid w:val="00943636"/>
    <w:rsid w:val="00943A6C"/>
    <w:rsid w:val="00943BE1"/>
    <w:rsid w:val="00943C95"/>
    <w:rsid w:val="00944009"/>
    <w:rsid w:val="0094520E"/>
    <w:rsid w:val="00945387"/>
    <w:rsid w:val="00946E7B"/>
    <w:rsid w:val="00947DB1"/>
    <w:rsid w:val="00947F25"/>
    <w:rsid w:val="00950159"/>
    <w:rsid w:val="0095021F"/>
    <w:rsid w:val="00951645"/>
    <w:rsid w:val="009516AA"/>
    <w:rsid w:val="00951B68"/>
    <w:rsid w:val="00952304"/>
    <w:rsid w:val="0095230C"/>
    <w:rsid w:val="009524BE"/>
    <w:rsid w:val="00952796"/>
    <w:rsid w:val="00952917"/>
    <w:rsid w:val="00952A4F"/>
    <w:rsid w:val="00953DC9"/>
    <w:rsid w:val="00954175"/>
    <w:rsid w:val="00954747"/>
    <w:rsid w:val="00954871"/>
    <w:rsid w:val="0095490B"/>
    <w:rsid w:val="009551A7"/>
    <w:rsid w:val="00955E7A"/>
    <w:rsid w:val="0095775D"/>
    <w:rsid w:val="00957B4B"/>
    <w:rsid w:val="00957D4E"/>
    <w:rsid w:val="009602C2"/>
    <w:rsid w:val="00960A33"/>
    <w:rsid w:val="00960AF2"/>
    <w:rsid w:val="00961036"/>
    <w:rsid w:val="00961636"/>
    <w:rsid w:val="009629A1"/>
    <w:rsid w:val="00963468"/>
    <w:rsid w:val="009638E4"/>
    <w:rsid w:val="00963A3E"/>
    <w:rsid w:val="009644BE"/>
    <w:rsid w:val="0096470D"/>
    <w:rsid w:val="009648D2"/>
    <w:rsid w:val="00965739"/>
    <w:rsid w:val="00965A15"/>
    <w:rsid w:val="00965F73"/>
    <w:rsid w:val="009669F4"/>
    <w:rsid w:val="00967221"/>
    <w:rsid w:val="009672E9"/>
    <w:rsid w:val="009673C7"/>
    <w:rsid w:val="00967930"/>
    <w:rsid w:val="00967B38"/>
    <w:rsid w:val="00967D0E"/>
    <w:rsid w:val="00967D89"/>
    <w:rsid w:val="00970504"/>
    <w:rsid w:val="00970746"/>
    <w:rsid w:val="0097132F"/>
    <w:rsid w:val="00971914"/>
    <w:rsid w:val="00972326"/>
    <w:rsid w:val="0097273F"/>
    <w:rsid w:val="00972FB8"/>
    <w:rsid w:val="009739FA"/>
    <w:rsid w:val="00973D0E"/>
    <w:rsid w:val="0097406E"/>
    <w:rsid w:val="00974363"/>
    <w:rsid w:val="00974413"/>
    <w:rsid w:val="0097579A"/>
    <w:rsid w:val="00975F48"/>
    <w:rsid w:val="009764B5"/>
    <w:rsid w:val="00976806"/>
    <w:rsid w:val="00977EE2"/>
    <w:rsid w:val="00977F00"/>
    <w:rsid w:val="00980591"/>
    <w:rsid w:val="0098071E"/>
    <w:rsid w:val="0098081B"/>
    <w:rsid w:val="0098144E"/>
    <w:rsid w:val="00981898"/>
    <w:rsid w:val="00981BA3"/>
    <w:rsid w:val="00982352"/>
    <w:rsid w:val="0098240F"/>
    <w:rsid w:val="009825C4"/>
    <w:rsid w:val="00982AB5"/>
    <w:rsid w:val="00982F21"/>
    <w:rsid w:val="009835DE"/>
    <w:rsid w:val="00983666"/>
    <w:rsid w:val="00983BE1"/>
    <w:rsid w:val="00983E6A"/>
    <w:rsid w:val="009844A3"/>
    <w:rsid w:val="00984793"/>
    <w:rsid w:val="00984B0F"/>
    <w:rsid w:val="00984CBC"/>
    <w:rsid w:val="00985525"/>
    <w:rsid w:val="00985817"/>
    <w:rsid w:val="00985A02"/>
    <w:rsid w:val="00985D36"/>
    <w:rsid w:val="00985F38"/>
    <w:rsid w:val="009861B9"/>
    <w:rsid w:val="009861F3"/>
    <w:rsid w:val="00986463"/>
    <w:rsid w:val="00986569"/>
    <w:rsid w:val="009866B6"/>
    <w:rsid w:val="009867BB"/>
    <w:rsid w:val="00986F32"/>
    <w:rsid w:val="0099015F"/>
    <w:rsid w:val="009903B9"/>
    <w:rsid w:val="00990571"/>
    <w:rsid w:val="00991196"/>
    <w:rsid w:val="00991849"/>
    <w:rsid w:val="00991E48"/>
    <w:rsid w:val="00992C30"/>
    <w:rsid w:val="009939E1"/>
    <w:rsid w:val="0099420C"/>
    <w:rsid w:val="00994A5A"/>
    <w:rsid w:val="00994E26"/>
    <w:rsid w:val="009955A7"/>
    <w:rsid w:val="0099577C"/>
    <w:rsid w:val="0099652E"/>
    <w:rsid w:val="00996815"/>
    <w:rsid w:val="00996D9D"/>
    <w:rsid w:val="00996DE6"/>
    <w:rsid w:val="0099743B"/>
    <w:rsid w:val="009975C9"/>
    <w:rsid w:val="00997608"/>
    <w:rsid w:val="00997DC5"/>
    <w:rsid w:val="009A021C"/>
    <w:rsid w:val="009A0C64"/>
    <w:rsid w:val="009A189D"/>
    <w:rsid w:val="009A1B95"/>
    <w:rsid w:val="009A1E16"/>
    <w:rsid w:val="009A2323"/>
    <w:rsid w:val="009A25CC"/>
    <w:rsid w:val="009A25FE"/>
    <w:rsid w:val="009A2C04"/>
    <w:rsid w:val="009A2F94"/>
    <w:rsid w:val="009A328E"/>
    <w:rsid w:val="009A390F"/>
    <w:rsid w:val="009A3A08"/>
    <w:rsid w:val="009A3B44"/>
    <w:rsid w:val="009A5B5B"/>
    <w:rsid w:val="009A5F8F"/>
    <w:rsid w:val="009A60D7"/>
    <w:rsid w:val="009A6743"/>
    <w:rsid w:val="009A6B9E"/>
    <w:rsid w:val="009A6CC3"/>
    <w:rsid w:val="009A7E98"/>
    <w:rsid w:val="009B0424"/>
    <w:rsid w:val="009B131C"/>
    <w:rsid w:val="009B1466"/>
    <w:rsid w:val="009B1D64"/>
    <w:rsid w:val="009B1E8E"/>
    <w:rsid w:val="009B1ED1"/>
    <w:rsid w:val="009B24A5"/>
    <w:rsid w:val="009B2601"/>
    <w:rsid w:val="009B298C"/>
    <w:rsid w:val="009B323F"/>
    <w:rsid w:val="009B3346"/>
    <w:rsid w:val="009B374F"/>
    <w:rsid w:val="009B380A"/>
    <w:rsid w:val="009B3E0D"/>
    <w:rsid w:val="009B4119"/>
    <w:rsid w:val="009B4132"/>
    <w:rsid w:val="009B41E9"/>
    <w:rsid w:val="009B4E9E"/>
    <w:rsid w:val="009B5509"/>
    <w:rsid w:val="009B56FD"/>
    <w:rsid w:val="009B594B"/>
    <w:rsid w:val="009B5DEF"/>
    <w:rsid w:val="009B5F82"/>
    <w:rsid w:val="009B62D2"/>
    <w:rsid w:val="009B6630"/>
    <w:rsid w:val="009B66BB"/>
    <w:rsid w:val="009B66D9"/>
    <w:rsid w:val="009B66F8"/>
    <w:rsid w:val="009B689B"/>
    <w:rsid w:val="009B69B1"/>
    <w:rsid w:val="009B6E1A"/>
    <w:rsid w:val="009B7367"/>
    <w:rsid w:val="009B769A"/>
    <w:rsid w:val="009C0799"/>
    <w:rsid w:val="009C0BE5"/>
    <w:rsid w:val="009C1690"/>
    <w:rsid w:val="009C1B86"/>
    <w:rsid w:val="009C1BF0"/>
    <w:rsid w:val="009C1F52"/>
    <w:rsid w:val="009C230D"/>
    <w:rsid w:val="009C25B2"/>
    <w:rsid w:val="009C2F4F"/>
    <w:rsid w:val="009C3391"/>
    <w:rsid w:val="009C3419"/>
    <w:rsid w:val="009C3C05"/>
    <w:rsid w:val="009C4447"/>
    <w:rsid w:val="009C463A"/>
    <w:rsid w:val="009C495E"/>
    <w:rsid w:val="009C521F"/>
    <w:rsid w:val="009C560B"/>
    <w:rsid w:val="009C5708"/>
    <w:rsid w:val="009C5A99"/>
    <w:rsid w:val="009C5AE5"/>
    <w:rsid w:val="009C5DCE"/>
    <w:rsid w:val="009C6881"/>
    <w:rsid w:val="009C6A8B"/>
    <w:rsid w:val="009C6CC9"/>
    <w:rsid w:val="009C75B1"/>
    <w:rsid w:val="009C7759"/>
    <w:rsid w:val="009C7952"/>
    <w:rsid w:val="009C7BBD"/>
    <w:rsid w:val="009C7C65"/>
    <w:rsid w:val="009C7F5C"/>
    <w:rsid w:val="009D043D"/>
    <w:rsid w:val="009D07C8"/>
    <w:rsid w:val="009D1187"/>
    <w:rsid w:val="009D146D"/>
    <w:rsid w:val="009D1564"/>
    <w:rsid w:val="009D160A"/>
    <w:rsid w:val="009D1759"/>
    <w:rsid w:val="009D19F3"/>
    <w:rsid w:val="009D1A3D"/>
    <w:rsid w:val="009D1B36"/>
    <w:rsid w:val="009D23C7"/>
    <w:rsid w:val="009D29D2"/>
    <w:rsid w:val="009D33B9"/>
    <w:rsid w:val="009D37BC"/>
    <w:rsid w:val="009D4093"/>
    <w:rsid w:val="009D42F1"/>
    <w:rsid w:val="009D4518"/>
    <w:rsid w:val="009D4C85"/>
    <w:rsid w:val="009D4E46"/>
    <w:rsid w:val="009D5165"/>
    <w:rsid w:val="009D56D0"/>
    <w:rsid w:val="009D58DB"/>
    <w:rsid w:val="009D5C39"/>
    <w:rsid w:val="009D5CB6"/>
    <w:rsid w:val="009D62A2"/>
    <w:rsid w:val="009D6C71"/>
    <w:rsid w:val="009D6ECD"/>
    <w:rsid w:val="009D7169"/>
    <w:rsid w:val="009D732D"/>
    <w:rsid w:val="009D7CA0"/>
    <w:rsid w:val="009D7EA7"/>
    <w:rsid w:val="009D7F85"/>
    <w:rsid w:val="009E0127"/>
    <w:rsid w:val="009E0631"/>
    <w:rsid w:val="009E0AEF"/>
    <w:rsid w:val="009E0DEB"/>
    <w:rsid w:val="009E16D0"/>
    <w:rsid w:val="009E174E"/>
    <w:rsid w:val="009E186A"/>
    <w:rsid w:val="009E1A96"/>
    <w:rsid w:val="009E1BEB"/>
    <w:rsid w:val="009E1E1E"/>
    <w:rsid w:val="009E2051"/>
    <w:rsid w:val="009E23B0"/>
    <w:rsid w:val="009E317C"/>
    <w:rsid w:val="009E32C2"/>
    <w:rsid w:val="009E33F5"/>
    <w:rsid w:val="009E38FD"/>
    <w:rsid w:val="009E3B66"/>
    <w:rsid w:val="009E457B"/>
    <w:rsid w:val="009E4C7E"/>
    <w:rsid w:val="009E4E98"/>
    <w:rsid w:val="009E4FBB"/>
    <w:rsid w:val="009E50C2"/>
    <w:rsid w:val="009E55BB"/>
    <w:rsid w:val="009E5D81"/>
    <w:rsid w:val="009E6D0A"/>
    <w:rsid w:val="009E723B"/>
    <w:rsid w:val="009E75A9"/>
    <w:rsid w:val="009E76D3"/>
    <w:rsid w:val="009E7BEE"/>
    <w:rsid w:val="009F03C2"/>
    <w:rsid w:val="009F0DCB"/>
    <w:rsid w:val="009F128B"/>
    <w:rsid w:val="009F13D6"/>
    <w:rsid w:val="009F1549"/>
    <w:rsid w:val="009F1704"/>
    <w:rsid w:val="009F1ACB"/>
    <w:rsid w:val="009F23AF"/>
    <w:rsid w:val="009F32B4"/>
    <w:rsid w:val="009F401A"/>
    <w:rsid w:val="009F42A9"/>
    <w:rsid w:val="009F4C6B"/>
    <w:rsid w:val="009F4D8C"/>
    <w:rsid w:val="009F5530"/>
    <w:rsid w:val="009F5AC7"/>
    <w:rsid w:val="009F6112"/>
    <w:rsid w:val="009F673A"/>
    <w:rsid w:val="009F69CF"/>
    <w:rsid w:val="009F6C36"/>
    <w:rsid w:val="009F718A"/>
    <w:rsid w:val="009F78A8"/>
    <w:rsid w:val="009F7D00"/>
    <w:rsid w:val="009F7E88"/>
    <w:rsid w:val="00A0075A"/>
    <w:rsid w:val="00A010A7"/>
    <w:rsid w:val="00A012A8"/>
    <w:rsid w:val="00A01395"/>
    <w:rsid w:val="00A01ECF"/>
    <w:rsid w:val="00A021AF"/>
    <w:rsid w:val="00A02654"/>
    <w:rsid w:val="00A02AD6"/>
    <w:rsid w:val="00A02C09"/>
    <w:rsid w:val="00A02C78"/>
    <w:rsid w:val="00A02F5C"/>
    <w:rsid w:val="00A0321A"/>
    <w:rsid w:val="00A03234"/>
    <w:rsid w:val="00A033FC"/>
    <w:rsid w:val="00A03CAB"/>
    <w:rsid w:val="00A03EEB"/>
    <w:rsid w:val="00A046DC"/>
    <w:rsid w:val="00A04710"/>
    <w:rsid w:val="00A04B53"/>
    <w:rsid w:val="00A04DF1"/>
    <w:rsid w:val="00A052B9"/>
    <w:rsid w:val="00A07096"/>
    <w:rsid w:val="00A072F0"/>
    <w:rsid w:val="00A07318"/>
    <w:rsid w:val="00A07BFA"/>
    <w:rsid w:val="00A07C1D"/>
    <w:rsid w:val="00A07F34"/>
    <w:rsid w:val="00A10ABF"/>
    <w:rsid w:val="00A10F4C"/>
    <w:rsid w:val="00A11370"/>
    <w:rsid w:val="00A11C20"/>
    <w:rsid w:val="00A1209C"/>
    <w:rsid w:val="00A124A4"/>
    <w:rsid w:val="00A12692"/>
    <w:rsid w:val="00A12B86"/>
    <w:rsid w:val="00A12D36"/>
    <w:rsid w:val="00A12F54"/>
    <w:rsid w:val="00A132F8"/>
    <w:rsid w:val="00A138F7"/>
    <w:rsid w:val="00A13A3C"/>
    <w:rsid w:val="00A13C39"/>
    <w:rsid w:val="00A15339"/>
    <w:rsid w:val="00A15517"/>
    <w:rsid w:val="00A1551F"/>
    <w:rsid w:val="00A15CB4"/>
    <w:rsid w:val="00A15F35"/>
    <w:rsid w:val="00A16405"/>
    <w:rsid w:val="00A16898"/>
    <w:rsid w:val="00A169A5"/>
    <w:rsid w:val="00A1765D"/>
    <w:rsid w:val="00A17A6A"/>
    <w:rsid w:val="00A208B0"/>
    <w:rsid w:val="00A210AD"/>
    <w:rsid w:val="00A210C2"/>
    <w:rsid w:val="00A21864"/>
    <w:rsid w:val="00A21BCD"/>
    <w:rsid w:val="00A21FF2"/>
    <w:rsid w:val="00A224CE"/>
    <w:rsid w:val="00A22522"/>
    <w:rsid w:val="00A2271C"/>
    <w:rsid w:val="00A22ED8"/>
    <w:rsid w:val="00A2355D"/>
    <w:rsid w:val="00A23630"/>
    <w:rsid w:val="00A23A79"/>
    <w:rsid w:val="00A2484E"/>
    <w:rsid w:val="00A24953"/>
    <w:rsid w:val="00A24AFD"/>
    <w:rsid w:val="00A24F5C"/>
    <w:rsid w:val="00A250F8"/>
    <w:rsid w:val="00A2600D"/>
    <w:rsid w:val="00A261D2"/>
    <w:rsid w:val="00A26392"/>
    <w:rsid w:val="00A26C20"/>
    <w:rsid w:val="00A271D7"/>
    <w:rsid w:val="00A2776F"/>
    <w:rsid w:val="00A3008F"/>
    <w:rsid w:val="00A30711"/>
    <w:rsid w:val="00A31F13"/>
    <w:rsid w:val="00A3210E"/>
    <w:rsid w:val="00A322F9"/>
    <w:rsid w:val="00A327AC"/>
    <w:rsid w:val="00A32CF2"/>
    <w:rsid w:val="00A32F96"/>
    <w:rsid w:val="00A3331B"/>
    <w:rsid w:val="00A357B8"/>
    <w:rsid w:val="00A360B8"/>
    <w:rsid w:val="00A364D3"/>
    <w:rsid w:val="00A36CFC"/>
    <w:rsid w:val="00A37D54"/>
    <w:rsid w:val="00A403D0"/>
    <w:rsid w:val="00A40871"/>
    <w:rsid w:val="00A40DDE"/>
    <w:rsid w:val="00A40E18"/>
    <w:rsid w:val="00A40EBA"/>
    <w:rsid w:val="00A40F26"/>
    <w:rsid w:val="00A41148"/>
    <w:rsid w:val="00A412AB"/>
    <w:rsid w:val="00A4193E"/>
    <w:rsid w:val="00A41F1F"/>
    <w:rsid w:val="00A424DD"/>
    <w:rsid w:val="00A42584"/>
    <w:rsid w:val="00A43138"/>
    <w:rsid w:val="00A4318C"/>
    <w:rsid w:val="00A440E0"/>
    <w:rsid w:val="00A442D6"/>
    <w:rsid w:val="00A442EF"/>
    <w:rsid w:val="00A447DE"/>
    <w:rsid w:val="00A44CE2"/>
    <w:rsid w:val="00A457D3"/>
    <w:rsid w:val="00A4587D"/>
    <w:rsid w:val="00A458F1"/>
    <w:rsid w:val="00A45993"/>
    <w:rsid w:val="00A45D78"/>
    <w:rsid w:val="00A45EDE"/>
    <w:rsid w:val="00A46CEB"/>
    <w:rsid w:val="00A46E96"/>
    <w:rsid w:val="00A4704F"/>
    <w:rsid w:val="00A47873"/>
    <w:rsid w:val="00A5064B"/>
    <w:rsid w:val="00A50952"/>
    <w:rsid w:val="00A512BA"/>
    <w:rsid w:val="00A515E9"/>
    <w:rsid w:val="00A51858"/>
    <w:rsid w:val="00A51D1A"/>
    <w:rsid w:val="00A51DE5"/>
    <w:rsid w:val="00A52283"/>
    <w:rsid w:val="00A5282B"/>
    <w:rsid w:val="00A52B25"/>
    <w:rsid w:val="00A52DA0"/>
    <w:rsid w:val="00A53047"/>
    <w:rsid w:val="00A534A0"/>
    <w:rsid w:val="00A5351F"/>
    <w:rsid w:val="00A5418D"/>
    <w:rsid w:val="00A542AD"/>
    <w:rsid w:val="00A5474E"/>
    <w:rsid w:val="00A54F59"/>
    <w:rsid w:val="00A5529A"/>
    <w:rsid w:val="00A56AF9"/>
    <w:rsid w:val="00A56B05"/>
    <w:rsid w:val="00A57540"/>
    <w:rsid w:val="00A577AF"/>
    <w:rsid w:val="00A57ADF"/>
    <w:rsid w:val="00A600B8"/>
    <w:rsid w:val="00A612E2"/>
    <w:rsid w:val="00A617AF"/>
    <w:rsid w:val="00A61B01"/>
    <w:rsid w:val="00A61C11"/>
    <w:rsid w:val="00A61E9D"/>
    <w:rsid w:val="00A62578"/>
    <w:rsid w:val="00A6275B"/>
    <w:rsid w:val="00A62DD6"/>
    <w:rsid w:val="00A62E25"/>
    <w:rsid w:val="00A631FF"/>
    <w:rsid w:val="00A63297"/>
    <w:rsid w:val="00A64020"/>
    <w:rsid w:val="00A64234"/>
    <w:rsid w:val="00A6454E"/>
    <w:rsid w:val="00A6471F"/>
    <w:rsid w:val="00A64C3D"/>
    <w:rsid w:val="00A6506F"/>
    <w:rsid w:val="00A65841"/>
    <w:rsid w:val="00A65A29"/>
    <w:rsid w:val="00A665D7"/>
    <w:rsid w:val="00A6684C"/>
    <w:rsid w:val="00A67739"/>
    <w:rsid w:val="00A7092A"/>
    <w:rsid w:val="00A70973"/>
    <w:rsid w:val="00A70A8D"/>
    <w:rsid w:val="00A70ADF"/>
    <w:rsid w:val="00A70D06"/>
    <w:rsid w:val="00A71466"/>
    <w:rsid w:val="00A71B87"/>
    <w:rsid w:val="00A71C78"/>
    <w:rsid w:val="00A71F10"/>
    <w:rsid w:val="00A7262A"/>
    <w:rsid w:val="00A72A1C"/>
    <w:rsid w:val="00A735DD"/>
    <w:rsid w:val="00A737B5"/>
    <w:rsid w:val="00A73C93"/>
    <w:rsid w:val="00A743F0"/>
    <w:rsid w:val="00A745E2"/>
    <w:rsid w:val="00A747AE"/>
    <w:rsid w:val="00A74B5E"/>
    <w:rsid w:val="00A74B90"/>
    <w:rsid w:val="00A756C8"/>
    <w:rsid w:val="00A75E7A"/>
    <w:rsid w:val="00A76334"/>
    <w:rsid w:val="00A77577"/>
    <w:rsid w:val="00A77919"/>
    <w:rsid w:val="00A80A05"/>
    <w:rsid w:val="00A81BED"/>
    <w:rsid w:val="00A81EC4"/>
    <w:rsid w:val="00A821EE"/>
    <w:rsid w:val="00A824E8"/>
    <w:rsid w:val="00A82661"/>
    <w:rsid w:val="00A82B64"/>
    <w:rsid w:val="00A82E5D"/>
    <w:rsid w:val="00A836FC"/>
    <w:rsid w:val="00A84AE2"/>
    <w:rsid w:val="00A851A2"/>
    <w:rsid w:val="00A85676"/>
    <w:rsid w:val="00A859D0"/>
    <w:rsid w:val="00A85CD1"/>
    <w:rsid w:val="00A86062"/>
    <w:rsid w:val="00A8652B"/>
    <w:rsid w:val="00A86661"/>
    <w:rsid w:val="00A87E30"/>
    <w:rsid w:val="00A90ABF"/>
    <w:rsid w:val="00A9105A"/>
    <w:rsid w:val="00A91875"/>
    <w:rsid w:val="00A91D7E"/>
    <w:rsid w:val="00A923AC"/>
    <w:rsid w:val="00A9287A"/>
    <w:rsid w:val="00A928D4"/>
    <w:rsid w:val="00A9351C"/>
    <w:rsid w:val="00A93957"/>
    <w:rsid w:val="00A94376"/>
    <w:rsid w:val="00A94E6B"/>
    <w:rsid w:val="00A953B7"/>
    <w:rsid w:val="00A95445"/>
    <w:rsid w:val="00A9555E"/>
    <w:rsid w:val="00A959BE"/>
    <w:rsid w:val="00A95E40"/>
    <w:rsid w:val="00A96006"/>
    <w:rsid w:val="00A967FD"/>
    <w:rsid w:val="00A96B0D"/>
    <w:rsid w:val="00A97641"/>
    <w:rsid w:val="00AA030D"/>
    <w:rsid w:val="00AA148F"/>
    <w:rsid w:val="00AA1719"/>
    <w:rsid w:val="00AA17BF"/>
    <w:rsid w:val="00AA1D20"/>
    <w:rsid w:val="00AA221A"/>
    <w:rsid w:val="00AA29B3"/>
    <w:rsid w:val="00AA2B9D"/>
    <w:rsid w:val="00AA2C73"/>
    <w:rsid w:val="00AA2DE5"/>
    <w:rsid w:val="00AA3759"/>
    <w:rsid w:val="00AA4690"/>
    <w:rsid w:val="00AA4D36"/>
    <w:rsid w:val="00AA4FB7"/>
    <w:rsid w:val="00AA4FEB"/>
    <w:rsid w:val="00AA504B"/>
    <w:rsid w:val="00AA50F8"/>
    <w:rsid w:val="00AA556B"/>
    <w:rsid w:val="00AA6550"/>
    <w:rsid w:val="00AA65CD"/>
    <w:rsid w:val="00AA6A50"/>
    <w:rsid w:val="00AA77E0"/>
    <w:rsid w:val="00AA7B8D"/>
    <w:rsid w:val="00AA7F9B"/>
    <w:rsid w:val="00AB0166"/>
    <w:rsid w:val="00AB0DA0"/>
    <w:rsid w:val="00AB0FB0"/>
    <w:rsid w:val="00AB156C"/>
    <w:rsid w:val="00AB18CD"/>
    <w:rsid w:val="00AB320A"/>
    <w:rsid w:val="00AB345D"/>
    <w:rsid w:val="00AB3EEA"/>
    <w:rsid w:val="00AB4172"/>
    <w:rsid w:val="00AB4684"/>
    <w:rsid w:val="00AB4F20"/>
    <w:rsid w:val="00AB4F6E"/>
    <w:rsid w:val="00AB5AE3"/>
    <w:rsid w:val="00AB5AF0"/>
    <w:rsid w:val="00AB643E"/>
    <w:rsid w:val="00AB6814"/>
    <w:rsid w:val="00AB6E31"/>
    <w:rsid w:val="00AB72FC"/>
    <w:rsid w:val="00AB7B24"/>
    <w:rsid w:val="00AB7D52"/>
    <w:rsid w:val="00AB7E7F"/>
    <w:rsid w:val="00AC04BA"/>
    <w:rsid w:val="00AC0997"/>
    <w:rsid w:val="00AC0E39"/>
    <w:rsid w:val="00AC1550"/>
    <w:rsid w:val="00AC1662"/>
    <w:rsid w:val="00AC1864"/>
    <w:rsid w:val="00AC1936"/>
    <w:rsid w:val="00AC1ABC"/>
    <w:rsid w:val="00AC335C"/>
    <w:rsid w:val="00AC3710"/>
    <w:rsid w:val="00AC434F"/>
    <w:rsid w:val="00AC4BD4"/>
    <w:rsid w:val="00AC6072"/>
    <w:rsid w:val="00AC68BE"/>
    <w:rsid w:val="00AC6B5E"/>
    <w:rsid w:val="00AC7159"/>
    <w:rsid w:val="00AD08CD"/>
    <w:rsid w:val="00AD0B0B"/>
    <w:rsid w:val="00AD1939"/>
    <w:rsid w:val="00AD24F3"/>
    <w:rsid w:val="00AD3082"/>
    <w:rsid w:val="00AD32B4"/>
    <w:rsid w:val="00AD3429"/>
    <w:rsid w:val="00AD3FB1"/>
    <w:rsid w:val="00AD4108"/>
    <w:rsid w:val="00AD418D"/>
    <w:rsid w:val="00AD41A1"/>
    <w:rsid w:val="00AD438C"/>
    <w:rsid w:val="00AD4625"/>
    <w:rsid w:val="00AD4788"/>
    <w:rsid w:val="00AD481F"/>
    <w:rsid w:val="00AD4AD0"/>
    <w:rsid w:val="00AD5436"/>
    <w:rsid w:val="00AD5BB9"/>
    <w:rsid w:val="00AD5BE2"/>
    <w:rsid w:val="00AD5C00"/>
    <w:rsid w:val="00AD60CD"/>
    <w:rsid w:val="00AD6BBB"/>
    <w:rsid w:val="00AD6C8C"/>
    <w:rsid w:val="00AD7643"/>
    <w:rsid w:val="00AD77C4"/>
    <w:rsid w:val="00AD78FD"/>
    <w:rsid w:val="00AD7A13"/>
    <w:rsid w:val="00AE029E"/>
    <w:rsid w:val="00AE091D"/>
    <w:rsid w:val="00AE09EB"/>
    <w:rsid w:val="00AE10EA"/>
    <w:rsid w:val="00AE26DF"/>
    <w:rsid w:val="00AE2772"/>
    <w:rsid w:val="00AE2778"/>
    <w:rsid w:val="00AE3B60"/>
    <w:rsid w:val="00AE3B78"/>
    <w:rsid w:val="00AE3F21"/>
    <w:rsid w:val="00AE4578"/>
    <w:rsid w:val="00AE495F"/>
    <w:rsid w:val="00AE4ED1"/>
    <w:rsid w:val="00AE53A1"/>
    <w:rsid w:val="00AE5A3D"/>
    <w:rsid w:val="00AE60AB"/>
    <w:rsid w:val="00AE63FD"/>
    <w:rsid w:val="00AE6592"/>
    <w:rsid w:val="00AE6823"/>
    <w:rsid w:val="00AE6840"/>
    <w:rsid w:val="00AE6943"/>
    <w:rsid w:val="00AE6B7F"/>
    <w:rsid w:val="00AE6E75"/>
    <w:rsid w:val="00AE7ABA"/>
    <w:rsid w:val="00AF0926"/>
    <w:rsid w:val="00AF0A68"/>
    <w:rsid w:val="00AF0D34"/>
    <w:rsid w:val="00AF1A99"/>
    <w:rsid w:val="00AF2484"/>
    <w:rsid w:val="00AF31BE"/>
    <w:rsid w:val="00AF388D"/>
    <w:rsid w:val="00AF3E71"/>
    <w:rsid w:val="00AF3F92"/>
    <w:rsid w:val="00AF433A"/>
    <w:rsid w:val="00AF4342"/>
    <w:rsid w:val="00AF4B68"/>
    <w:rsid w:val="00AF51A2"/>
    <w:rsid w:val="00AF52D5"/>
    <w:rsid w:val="00AF5731"/>
    <w:rsid w:val="00AF5C97"/>
    <w:rsid w:val="00AF5F04"/>
    <w:rsid w:val="00AF60FE"/>
    <w:rsid w:val="00AF63E7"/>
    <w:rsid w:val="00AF6991"/>
    <w:rsid w:val="00AF6B3E"/>
    <w:rsid w:val="00AF6E17"/>
    <w:rsid w:val="00AF71CA"/>
    <w:rsid w:val="00AF74DA"/>
    <w:rsid w:val="00AF7891"/>
    <w:rsid w:val="00B007B7"/>
    <w:rsid w:val="00B00D80"/>
    <w:rsid w:val="00B0118B"/>
    <w:rsid w:val="00B0165D"/>
    <w:rsid w:val="00B01B60"/>
    <w:rsid w:val="00B01B96"/>
    <w:rsid w:val="00B01D5F"/>
    <w:rsid w:val="00B01D99"/>
    <w:rsid w:val="00B01E46"/>
    <w:rsid w:val="00B025A8"/>
    <w:rsid w:val="00B0293F"/>
    <w:rsid w:val="00B02D98"/>
    <w:rsid w:val="00B02FD5"/>
    <w:rsid w:val="00B031F3"/>
    <w:rsid w:val="00B037C7"/>
    <w:rsid w:val="00B039EF"/>
    <w:rsid w:val="00B0492A"/>
    <w:rsid w:val="00B052A4"/>
    <w:rsid w:val="00B05818"/>
    <w:rsid w:val="00B05D13"/>
    <w:rsid w:val="00B05E7F"/>
    <w:rsid w:val="00B06404"/>
    <w:rsid w:val="00B068AF"/>
    <w:rsid w:val="00B06B46"/>
    <w:rsid w:val="00B06B51"/>
    <w:rsid w:val="00B070CB"/>
    <w:rsid w:val="00B0717F"/>
    <w:rsid w:val="00B07504"/>
    <w:rsid w:val="00B079A2"/>
    <w:rsid w:val="00B07D46"/>
    <w:rsid w:val="00B10566"/>
    <w:rsid w:val="00B105C4"/>
    <w:rsid w:val="00B10D70"/>
    <w:rsid w:val="00B10DF5"/>
    <w:rsid w:val="00B11240"/>
    <w:rsid w:val="00B11533"/>
    <w:rsid w:val="00B11F4F"/>
    <w:rsid w:val="00B125DE"/>
    <w:rsid w:val="00B12D66"/>
    <w:rsid w:val="00B13FDD"/>
    <w:rsid w:val="00B14A5F"/>
    <w:rsid w:val="00B14C10"/>
    <w:rsid w:val="00B14E14"/>
    <w:rsid w:val="00B14F33"/>
    <w:rsid w:val="00B152BB"/>
    <w:rsid w:val="00B152F9"/>
    <w:rsid w:val="00B15368"/>
    <w:rsid w:val="00B15C70"/>
    <w:rsid w:val="00B15F23"/>
    <w:rsid w:val="00B15F35"/>
    <w:rsid w:val="00B16299"/>
    <w:rsid w:val="00B167DC"/>
    <w:rsid w:val="00B171C9"/>
    <w:rsid w:val="00B17581"/>
    <w:rsid w:val="00B20DFE"/>
    <w:rsid w:val="00B210FC"/>
    <w:rsid w:val="00B21268"/>
    <w:rsid w:val="00B21A45"/>
    <w:rsid w:val="00B21B81"/>
    <w:rsid w:val="00B21DCC"/>
    <w:rsid w:val="00B2270F"/>
    <w:rsid w:val="00B22808"/>
    <w:rsid w:val="00B22EB2"/>
    <w:rsid w:val="00B23142"/>
    <w:rsid w:val="00B2368D"/>
    <w:rsid w:val="00B240C5"/>
    <w:rsid w:val="00B24F99"/>
    <w:rsid w:val="00B251C1"/>
    <w:rsid w:val="00B25C8C"/>
    <w:rsid w:val="00B260D0"/>
    <w:rsid w:val="00B264DC"/>
    <w:rsid w:val="00B265D6"/>
    <w:rsid w:val="00B2698A"/>
    <w:rsid w:val="00B26C87"/>
    <w:rsid w:val="00B26C9F"/>
    <w:rsid w:val="00B26FBE"/>
    <w:rsid w:val="00B27390"/>
    <w:rsid w:val="00B27442"/>
    <w:rsid w:val="00B2754C"/>
    <w:rsid w:val="00B27AFC"/>
    <w:rsid w:val="00B30359"/>
    <w:rsid w:val="00B306B2"/>
    <w:rsid w:val="00B308D4"/>
    <w:rsid w:val="00B309B1"/>
    <w:rsid w:val="00B31167"/>
    <w:rsid w:val="00B313DD"/>
    <w:rsid w:val="00B32287"/>
    <w:rsid w:val="00B329D8"/>
    <w:rsid w:val="00B32AFD"/>
    <w:rsid w:val="00B32BB9"/>
    <w:rsid w:val="00B33AE1"/>
    <w:rsid w:val="00B33B47"/>
    <w:rsid w:val="00B341BD"/>
    <w:rsid w:val="00B34244"/>
    <w:rsid w:val="00B3491F"/>
    <w:rsid w:val="00B34ADE"/>
    <w:rsid w:val="00B34D0A"/>
    <w:rsid w:val="00B35166"/>
    <w:rsid w:val="00B3580C"/>
    <w:rsid w:val="00B35F31"/>
    <w:rsid w:val="00B36298"/>
    <w:rsid w:val="00B36750"/>
    <w:rsid w:val="00B3685E"/>
    <w:rsid w:val="00B37B5E"/>
    <w:rsid w:val="00B37C38"/>
    <w:rsid w:val="00B40AE8"/>
    <w:rsid w:val="00B40CE1"/>
    <w:rsid w:val="00B41A39"/>
    <w:rsid w:val="00B41CA4"/>
    <w:rsid w:val="00B41F8C"/>
    <w:rsid w:val="00B4267D"/>
    <w:rsid w:val="00B4288C"/>
    <w:rsid w:val="00B42C1F"/>
    <w:rsid w:val="00B42C72"/>
    <w:rsid w:val="00B4314B"/>
    <w:rsid w:val="00B43262"/>
    <w:rsid w:val="00B432EC"/>
    <w:rsid w:val="00B437CB"/>
    <w:rsid w:val="00B44066"/>
    <w:rsid w:val="00B440A2"/>
    <w:rsid w:val="00B440F3"/>
    <w:rsid w:val="00B44100"/>
    <w:rsid w:val="00B44301"/>
    <w:rsid w:val="00B44FC0"/>
    <w:rsid w:val="00B45AEE"/>
    <w:rsid w:val="00B46836"/>
    <w:rsid w:val="00B46CBA"/>
    <w:rsid w:val="00B46F94"/>
    <w:rsid w:val="00B4701B"/>
    <w:rsid w:val="00B478ED"/>
    <w:rsid w:val="00B47EB5"/>
    <w:rsid w:val="00B5003A"/>
    <w:rsid w:val="00B50042"/>
    <w:rsid w:val="00B507D3"/>
    <w:rsid w:val="00B5080A"/>
    <w:rsid w:val="00B50852"/>
    <w:rsid w:val="00B50EA0"/>
    <w:rsid w:val="00B52B90"/>
    <w:rsid w:val="00B532A0"/>
    <w:rsid w:val="00B532E7"/>
    <w:rsid w:val="00B53700"/>
    <w:rsid w:val="00B545D0"/>
    <w:rsid w:val="00B54782"/>
    <w:rsid w:val="00B55707"/>
    <w:rsid w:val="00B562D0"/>
    <w:rsid w:val="00B57DAD"/>
    <w:rsid w:val="00B57E21"/>
    <w:rsid w:val="00B6003C"/>
    <w:rsid w:val="00B6047D"/>
    <w:rsid w:val="00B6050D"/>
    <w:rsid w:val="00B60DC3"/>
    <w:rsid w:val="00B61C2F"/>
    <w:rsid w:val="00B61F03"/>
    <w:rsid w:val="00B62156"/>
    <w:rsid w:val="00B62467"/>
    <w:rsid w:val="00B62522"/>
    <w:rsid w:val="00B626E4"/>
    <w:rsid w:val="00B636E4"/>
    <w:rsid w:val="00B6399B"/>
    <w:rsid w:val="00B63BAB"/>
    <w:rsid w:val="00B644F3"/>
    <w:rsid w:val="00B64664"/>
    <w:rsid w:val="00B64E65"/>
    <w:rsid w:val="00B64F9A"/>
    <w:rsid w:val="00B65BA6"/>
    <w:rsid w:val="00B65D0D"/>
    <w:rsid w:val="00B65EAA"/>
    <w:rsid w:val="00B65ED6"/>
    <w:rsid w:val="00B6610E"/>
    <w:rsid w:val="00B66394"/>
    <w:rsid w:val="00B66950"/>
    <w:rsid w:val="00B66BDC"/>
    <w:rsid w:val="00B674E1"/>
    <w:rsid w:val="00B67AD6"/>
    <w:rsid w:val="00B705D6"/>
    <w:rsid w:val="00B708BF"/>
    <w:rsid w:val="00B70A71"/>
    <w:rsid w:val="00B71799"/>
    <w:rsid w:val="00B7180E"/>
    <w:rsid w:val="00B7194A"/>
    <w:rsid w:val="00B71D02"/>
    <w:rsid w:val="00B72595"/>
    <w:rsid w:val="00B72BC5"/>
    <w:rsid w:val="00B72DA9"/>
    <w:rsid w:val="00B72F4A"/>
    <w:rsid w:val="00B73431"/>
    <w:rsid w:val="00B7367D"/>
    <w:rsid w:val="00B7419C"/>
    <w:rsid w:val="00B749BF"/>
    <w:rsid w:val="00B75AD1"/>
    <w:rsid w:val="00B75D58"/>
    <w:rsid w:val="00B76133"/>
    <w:rsid w:val="00B76591"/>
    <w:rsid w:val="00B76897"/>
    <w:rsid w:val="00B772AE"/>
    <w:rsid w:val="00B7774B"/>
    <w:rsid w:val="00B80693"/>
    <w:rsid w:val="00B80B1E"/>
    <w:rsid w:val="00B80CA3"/>
    <w:rsid w:val="00B80E5F"/>
    <w:rsid w:val="00B80E82"/>
    <w:rsid w:val="00B80E8A"/>
    <w:rsid w:val="00B80F9C"/>
    <w:rsid w:val="00B810B1"/>
    <w:rsid w:val="00B81E20"/>
    <w:rsid w:val="00B82082"/>
    <w:rsid w:val="00B82289"/>
    <w:rsid w:val="00B82B46"/>
    <w:rsid w:val="00B82D72"/>
    <w:rsid w:val="00B83034"/>
    <w:rsid w:val="00B83238"/>
    <w:rsid w:val="00B83717"/>
    <w:rsid w:val="00B83766"/>
    <w:rsid w:val="00B8377A"/>
    <w:rsid w:val="00B83C27"/>
    <w:rsid w:val="00B8429D"/>
    <w:rsid w:val="00B84547"/>
    <w:rsid w:val="00B84BC3"/>
    <w:rsid w:val="00B84BDD"/>
    <w:rsid w:val="00B84E8B"/>
    <w:rsid w:val="00B8500E"/>
    <w:rsid w:val="00B850BF"/>
    <w:rsid w:val="00B85275"/>
    <w:rsid w:val="00B85572"/>
    <w:rsid w:val="00B85855"/>
    <w:rsid w:val="00B858E8"/>
    <w:rsid w:val="00B8604E"/>
    <w:rsid w:val="00B86AE1"/>
    <w:rsid w:val="00B86B55"/>
    <w:rsid w:val="00B86E5A"/>
    <w:rsid w:val="00B8728D"/>
    <w:rsid w:val="00B87ABF"/>
    <w:rsid w:val="00B87EF0"/>
    <w:rsid w:val="00B9121A"/>
    <w:rsid w:val="00B92812"/>
    <w:rsid w:val="00B9316F"/>
    <w:rsid w:val="00B9395F"/>
    <w:rsid w:val="00B93DFF"/>
    <w:rsid w:val="00B93F74"/>
    <w:rsid w:val="00B947B5"/>
    <w:rsid w:val="00B94940"/>
    <w:rsid w:val="00B94A83"/>
    <w:rsid w:val="00B96833"/>
    <w:rsid w:val="00B97040"/>
    <w:rsid w:val="00B97155"/>
    <w:rsid w:val="00B976DB"/>
    <w:rsid w:val="00B9792F"/>
    <w:rsid w:val="00BA0813"/>
    <w:rsid w:val="00BA0A29"/>
    <w:rsid w:val="00BA31E3"/>
    <w:rsid w:val="00BA366F"/>
    <w:rsid w:val="00BA3D2C"/>
    <w:rsid w:val="00BA40A5"/>
    <w:rsid w:val="00BA44F3"/>
    <w:rsid w:val="00BA461F"/>
    <w:rsid w:val="00BA4DC3"/>
    <w:rsid w:val="00BA4F70"/>
    <w:rsid w:val="00BA5BD4"/>
    <w:rsid w:val="00BA610F"/>
    <w:rsid w:val="00BA653A"/>
    <w:rsid w:val="00BA67E5"/>
    <w:rsid w:val="00BA68DB"/>
    <w:rsid w:val="00BA7118"/>
    <w:rsid w:val="00BA7294"/>
    <w:rsid w:val="00BA72FA"/>
    <w:rsid w:val="00BA7832"/>
    <w:rsid w:val="00BA7AC4"/>
    <w:rsid w:val="00BA7BB7"/>
    <w:rsid w:val="00BB003E"/>
    <w:rsid w:val="00BB0A99"/>
    <w:rsid w:val="00BB1204"/>
    <w:rsid w:val="00BB1CF5"/>
    <w:rsid w:val="00BB1DA9"/>
    <w:rsid w:val="00BB233D"/>
    <w:rsid w:val="00BB2A62"/>
    <w:rsid w:val="00BB34BB"/>
    <w:rsid w:val="00BB3B04"/>
    <w:rsid w:val="00BB45A1"/>
    <w:rsid w:val="00BB4E60"/>
    <w:rsid w:val="00BB511D"/>
    <w:rsid w:val="00BB5476"/>
    <w:rsid w:val="00BB5ECC"/>
    <w:rsid w:val="00BB6335"/>
    <w:rsid w:val="00BB6851"/>
    <w:rsid w:val="00BB7686"/>
    <w:rsid w:val="00BB7751"/>
    <w:rsid w:val="00BB7802"/>
    <w:rsid w:val="00BB79E4"/>
    <w:rsid w:val="00BB7B1A"/>
    <w:rsid w:val="00BB7F5E"/>
    <w:rsid w:val="00BC02DC"/>
    <w:rsid w:val="00BC04A8"/>
    <w:rsid w:val="00BC0D31"/>
    <w:rsid w:val="00BC16B9"/>
    <w:rsid w:val="00BC2019"/>
    <w:rsid w:val="00BC22F9"/>
    <w:rsid w:val="00BC23F9"/>
    <w:rsid w:val="00BC2E80"/>
    <w:rsid w:val="00BC32F3"/>
    <w:rsid w:val="00BC3421"/>
    <w:rsid w:val="00BC37A1"/>
    <w:rsid w:val="00BC396B"/>
    <w:rsid w:val="00BC4438"/>
    <w:rsid w:val="00BC4792"/>
    <w:rsid w:val="00BC5B10"/>
    <w:rsid w:val="00BC6499"/>
    <w:rsid w:val="00BC6CE3"/>
    <w:rsid w:val="00BC6D98"/>
    <w:rsid w:val="00BC6FE4"/>
    <w:rsid w:val="00BC7188"/>
    <w:rsid w:val="00BC732C"/>
    <w:rsid w:val="00BC746F"/>
    <w:rsid w:val="00BD0503"/>
    <w:rsid w:val="00BD08D5"/>
    <w:rsid w:val="00BD0A1B"/>
    <w:rsid w:val="00BD0AAC"/>
    <w:rsid w:val="00BD10C6"/>
    <w:rsid w:val="00BD11B1"/>
    <w:rsid w:val="00BD1211"/>
    <w:rsid w:val="00BD1765"/>
    <w:rsid w:val="00BD23AB"/>
    <w:rsid w:val="00BD2554"/>
    <w:rsid w:val="00BD3222"/>
    <w:rsid w:val="00BD3260"/>
    <w:rsid w:val="00BD3821"/>
    <w:rsid w:val="00BD3B79"/>
    <w:rsid w:val="00BD3BC3"/>
    <w:rsid w:val="00BD441E"/>
    <w:rsid w:val="00BD4421"/>
    <w:rsid w:val="00BD4934"/>
    <w:rsid w:val="00BD4F26"/>
    <w:rsid w:val="00BD5245"/>
    <w:rsid w:val="00BD5BF0"/>
    <w:rsid w:val="00BD7120"/>
    <w:rsid w:val="00BD7374"/>
    <w:rsid w:val="00BE03EE"/>
    <w:rsid w:val="00BE0CC7"/>
    <w:rsid w:val="00BE19C5"/>
    <w:rsid w:val="00BE1D2B"/>
    <w:rsid w:val="00BE2580"/>
    <w:rsid w:val="00BE266D"/>
    <w:rsid w:val="00BE26B0"/>
    <w:rsid w:val="00BE2769"/>
    <w:rsid w:val="00BE35B8"/>
    <w:rsid w:val="00BE3938"/>
    <w:rsid w:val="00BE422C"/>
    <w:rsid w:val="00BE447C"/>
    <w:rsid w:val="00BE4C11"/>
    <w:rsid w:val="00BE4F6D"/>
    <w:rsid w:val="00BE55B7"/>
    <w:rsid w:val="00BE561F"/>
    <w:rsid w:val="00BE594B"/>
    <w:rsid w:val="00BE5E73"/>
    <w:rsid w:val="00BE5EFE"/>
    <w:rsid w:val="00BE5F19"/>
    <w:rsid w:val="00BE69FD"/>
    <w:rsid w:val="00BE71C0"/>
    <w:rsid w:val="00BE7753"/>
    <w:rsid w:val="00BE7824"/>
    <w:rsid w:val="00BE7A75"/>
    <w:rsid w:val="00BE7C84"/>
    <w:rsid w:val="00BF01E8"/>
    <w:rsid w:val="00BF08F2"/>
    <w:rsid w:val="00BF1612"/>
    <w:rsid w:val="00BF23C8"/>
    <w:rsid w:val="00BF2F60"/>
    <w:rsid w:val="00BF307E"/>
    <w:rsid w:val="00BF30E5"/>
    <w:rsid w:val="00BF3429"/>
    <w:rsid w:val="00BF34C6"/>
    <w:rsid w:val="00BF37D7"/>
    <w:rsid w:val="00BF3C76"/>
    <w:rsid w:val="00BF3E54"/>
    <w:rsid w:val="00BF418F"/>
    <w:rsid w:val="00BF44F8"/>
    <w:rsid w:val="00BF4502"/>
    <w:rsid w:val="00BF46DE"/>
    <w:rsid w:val="00BF5295"/>
    <w:rsid w:val="00BF5673"/>
    <w:rsid w:val="00BF58F2"/>
    <w:rsid w:val="00BF5C37"/>
    <w:rsid w:val="00BF5CB3"/>
    <w:rsid w:val="00BF610C"/>
    <w:rsid w:val="00BF6558"/>
    <w:rsid w:val="00BF661B"/>
    <w:rsid w:val="00BF6948"/>
    <w:rsid w:val="00BF6F14"/>
    <w:rsid w:val="00BF764A"/>
    <w:rsid w:val="00BF7973"/>
    <w:rsid w:val="00C0042F"/>
    <w:rsid w:val="00C004EF"/>
    <w:rsid w:val="00C0060B"/>
    <w:rsid w:val="00C00A84"/>
    <w:rsid w:val="00C00C21"/>
    <w:rsid w:val="00C01A6C"/>
    <w:rsid w:val="00C01C98"/>
    <w:rsid w:val="00C01F42"/>
    <w:rsid w:val="00C0274B"/>
    <w:rsid w:val="00C0277D"/>
    <w:rsid w:val="00C02F26"/>
    <w:rsid w:val="00C03604"/>
    <w:rsid w:val="00C0416D"/>
    <w:rsid w:val="00C04240"/>
    <w:rsid w:val="00C046EC"/>
    <w:rsid w:val="00C0470B"/>
    <w:rsid w:val="00C04A23"/>
    <w:rsid w:val="00C04EBC"/>
    <w:rsid w:val="00C053A1"/>
    <w:rsid w:val="00C05D8D"/>
    <w:rsid w:val="00C06016"/>
    <w:rsid w:val="00C06433"/>
    <w:rsid w:val="00C06542"/>
    <w:rsid w:val="00C06DF2"/>
    <w:rsid w:val="00C06E68"/>
    <w:rsid w:val="00C07259"/>
    <w:rsid w:val="00C079A9"/>
    <w:rsid w:val="00C10ACC"/>
    <w:rsid w:val="00C10D4A"/>
    <w:rsid w:val="00C11A81"/>
    <w:rsid w:val="00C124D1"/>
    <w:rsid w:val="00C14134"/>
    <w:rsid w:val="00C14376"/>
    <w:rsid w:val="00C14B0E"/>
    <w:rsid w:val="00C14FE1"/>
    <w:rsid w:val="00C1579A"/>
    <w:rsid w:val="00C15945"/>
    <w:rsid w:val="00C16198"/>
    <w:rsid w:val="00C17022"/>
    <w:rsid w:val="00C174D6"/>
    <w:rsid w:val="00C2036A"/>
    <w:rsid w:val="00C2054B"/>
    <w:rsid w:val="00C2083D"/>
    <w:rsid w:val="00C21176"/>
    <w:rsid w:val="00C21183"/>
    <w:rsid w:val="00C21936"/>
    <w:rsid w:val="00C22079"/>
    <w:rsid w:val="00C222CF"/>
    <w:rsid w:val="00C22A6D"/>
    <w:rsid w:val="00C22C7C"/>
    <w:rsid w:val="00C23301"/>
    <w:rsid w:val="00C233C9"/>
    <w:rsid w:val="00C24297"/>
    <w:rsid w:val="00C2441F"/>
    <w:rsid w:val="00C24514"/>
    <w:rsid w:val="00C24667"/>
    <w:rsid w:val="00C24A53"/>
    <w:rsid w:val="00C24BDE"/>
    <w:rsid w:val="00C24DF6"/>
    <w:rsid w:val="00C2606F"/>
    <w:rsid w:val="00C2694F"/>
    <w:rsid w:val="00C26EF8"/>
    <w:rsid w:val="00C27427"/>
    <w:rsid w:val="00C27811"/>
    <w:rsid w:val="00C27DCB"/>
    <w:rsid w:val="00C3037A"/>
    <w:rsid w:val="00C30F92"/>
    <w:rsid w:val="00C30FB4"/>
    <w:rsid w:val="00C310D6"/>
    <w:rsid w:val="00C31179"/>
    <w:rsid w:val="00C31E9C"/>
    <w:rsid w:val="00C328B0"/>
    <w:rsid w:val="00C32B75"/>
    <w:rsid w:val="00C32CA1"/>
    <w:rsid w:val="00C32E72"/>
    <w:rsid w:val="00C336C3"/>
    <w:rsid w:val="00C34993"/>
    <w:rsid w:val="00C34A05"/>
    <w:rsid w:val="00C34C32"/>
    <w:rsid w:val="00C35205"/>
    <w:rsid w:val="00C35718"/>
    <w:rsid w:val="00C35964"/>
    <w:rsid w:val="00C35BD0"/>
    <w:rsid w:val="00C35CCE"/>
    <w:rsid w:val="00C36250"/>
    <w:rsid w:val="00C362ED"/>
    <w:rsid w:val="00C363AD"/>
    <w:rsid w:val="00C368EF"/>
    <w:rsid w:val="00C3756D"/>
    <w:rsid w:val="00C376FE"/>
    <w:rsid w:val="00C37873"/>
    <w:rsid w:val="00C37C21"/>
    <w:rsid w:val="00C37DEB"/>
    <w:rsid w:val="00C401F7"/>
    <w:rsid w:val="00C402C5"/>
    <w:rsid w:val="00C4032F"/>
    <w:rsid w:val="00C4036F"/>
    <w:rsid w:val="00C403CB"/>
    <w:rsid w:val="00C4079F"/>
    <w:rsid w:val="00C40B36"/>
    <w:rsid w:val="00C41B16"/>
    <w:rsid w:val="00C41F21"/>
    <w:rsid w:val="00C42534"/>
    <w:rsid w:val="00C4266C"/>
    <w:rsid w:val="00C429D7"/>
    <w:rsid w:val="00C43374"/>
    <w:rsid w:val="00C435B9"/>
    <w:rsid w:val="00C43B8D"/>
    <w:rsid w:val="00C43D13"/>
    <w:rsid w:val="00C44047"/>
    <w:rsid w:val="00C4432F"/>
    <w:rsid w:val="00C44745"/>
    <w:rsid w:val="00C45155"/>
    <w:rsid w:val="00C45397"/>
    <w:rsid w:val="00C468E8"/>
    <w:rsid w:val="00C46E2D"/>
    <w:rsid w:val="00C470B4"/>
    <w:rsid w:val="00C4790E"/>
    <w:rsid w:val="00C50AFE"/>
    <w:rsid w:val="00C50C53"/>
    <w:rsid w:val="00C50F07"/>
    <w:rsid w:val="00C51C43"/>
    <w:rsid w:val="00C52283"/>
    <w:rsid w:val="00C52A37"/>
    <w:rsid w:val="00C52B52"/>
    <w:rsid w:val="00C52C18"/>
    <w:rsid w:val="00C52FCB"/>
    <w:rsid w:val="00C54479"/>
    <w:rsid w:val="00C545FA"/>
    <w:rsid w:val="00C5473B"/>
    <w:rsid w:val="00C5495B"/>
    <w:rsid w:val="00C5498F"/>
    <w:rsid w:val="00C54C2A"/>
    <w:rsid w:val="00C54E9D"/>
    <w:rsid w:val="00C54EC3"/>
    <w:rsid w:val="00C55235"/>
    <w:rsid w:val="00C554B2"/>
    <w:rsid w:val="00C556CB"/>
    <w:rsid w:val="00C55B00"/>
    <w:rsid w:val="00C55CB9"/>
    <w:rsid w:val="00C56B80"/>
    <w:rsid w:val="00C57590"/>
    <w:rsid w:val="00C57C38"/>
    <w:rsid w:val="00C57E76"/>
    <w:rsid w:val="00C617C0"/>
    <w:rsid w:val="00C617D6"/>
    <w:rsid w:val="00C61A95"/>
    <w:rsid w:val="00C61C08"/>
    <w:rsid w:val="00C62466"/>
    <w:rsid w:val="00C626D6"/>
    <w:rsid w:val="00C628B3"/>
    <w:rsid w:val="00C62DDD"/>
    <w:rsid w:val="00C63ACB"/>
    <w:rsid w:val="00C63CD0"/>
    <w:rsid w:val="00C64280"/>
    <w:rsid w:val="00C64CD0"/>
    <w:rsid w:val="00C65BC9"/>
    <w:rsid w:val="00C65E68"/>
    <w:rsid w:val="00C65F61"/>
    <w:rsid w:val="00C6684F"/>
    <w:rsid w:val="00C6686E"/>
    <w:rsid w:val="00C66AC4"/>
    <w:rsid w:val="00C671BB"/>
    <w:rsid w:val="00C67A1D"/>
    <w:rsid w:val="00C701DD"/>
    <w:rsid w:val="00C70A8F"/>
    <w:rsid w:val="00C70E70"/>
    <w:rsid w:val="00C70F6B"/>
    <w:rsid w:val="00C71233"/>
    <w:rsid w:val="00C713A6"/>
    <w:rsid w:val="00C714F0"/>
    <w:rsid w:val="00C71763"/>
    <w:rsid w:val="00C727BE"/>
    <w:rsid w:val="00C72BCE"/>
    <w:rsid w:val="00C730FF"/>
    <w:rsid w:val="00C73111"/>
    <w:rsid w:val="00C73157"/>
    <w:rsid w:val="00C73B51"/>
    <w:rsid w:val="00C7422F"/>
    <w:rsid w:val="00C74288"/>
    <w:rsid w:val="00C756DC"/>
    <w:rsid w:val="00C75F8D"/>
    <w:rsid w:val="00C76E1D"/>
    <w:rsid w:val="00C76F81"/>
    <w:rsid w:val="00C77380"/>
    <w:rsid w:val="00C800AC"/>
    <w:rsid w:val="00C802C7"/>
    <w:rsid w:val="00C80366"/>
    <w:rsid w:val="00C804B0"/>
    <w:rsid w:val="00C8062B"/>
    <w:rsid w:val="00C808B6"/>
    <w:rsid w:val="00C80A8E"/>
    <w:rsid w:val="00C80C9A"/>
    <w:rsid w:val="00C80F0B"/>
    <w:rsid w:val="00C8155B"/>
    <w:rsid w:val="00C81F8A"/>
    <w:rsid w:val="00C8259E"/>
    <w:rsid w:val="00C83E02"/>
    <w:rsid w:val="00C84199"/>
    <w:rsid w:val="00C845E8"/>
    <w:rsid w:val="00C8490B"/>
    <w:rsid w:val="00C84C6C"/>
    <w:rsid w:val="00C84CA8"/>
    <w:rsid w:val="00C85066"/>
    <w:rsid w:val="00C85989"/>
    <w:rsid w:val="00C85B15"/>
    <w:rsid w:val="00C85BEE"/>
    <w:rsid w:val="00C85E9F"/>
    <w:rsid w:val="00C865D8"/>
    <w:rsid w:val="00C8702F"/>
    <w:rsid w:val="00C87581"/>
    <w:rsid w:val="00C87931"/>
    <w:rsid w:val="00C87D49"/>
    <w:rsid w:val="00C87E8A"/>
    <w:rsid w:val="00C90028"/>
    <w:rsid w:val="00C90A19"/>
    <w:rsid w:val="00C90C95"/>
    <w:rsid w:val="00C90D13"/>
    <w:rsid w:val="00C913D6"/>
    <w:rsid w:val="00C91464"/>
    <w:rsid w:val="00C9156A"/>
    <w:rsid w:val="00C91AC6"/>
    <w:rsid w:val="00C91B89"/>
    <w:rsid w:val="00C92811"/>
    <w:rsid w:val="00C92C68"/>
    <w:rsid w:val="00C92E61"/>
    <w:rsid w:val="00C9332D"/>
    <w:rsid w:val="00C946FC"/>
    <w:rsid w:val="00C95FAD"/>
    <w:rsid w:val="00C969D2"/>
    <w:rsid w:val="00C96AF1"/>
    <w:rsid w:val="00C96B2D"/>
    <w:rsid w:val="00C96DA4"/>
    <w:rsid w:val="00C96DAB"/>
    <w:rsid w:val="00C970DC"/>
    <w:rsid w:val="00C9731F"/>
    <w:rsid w:val="00C97736"/>
    <w:rsid w:val="00C97C14"/>
    <w:rsid w:val="00C97E43"/>
    <w:rsid w:val="00C97EB3"/>
    <w:rsid w:val="00CA049C"/>
    <w:rsid w:val="00CA059E"/>
    <w:rsid w:val="00CA05F8"/>
    <w:rsid w:val="00CA1167"/>
    <w:rsid w:val="00CA19BD"/>
    <w:rsid w:val="00CA1C2C"/>
    <w:rsid w:val="00CA2883"/>
    <w:rsid w:val="00CA2B55"/>
    <w:rsid w:val="00CA345A"/>
    <w:rsid w:val="00CA3C80"/>
    <w:rsid w:val="00CA41CC"/>
    <w:rsid w:val="00CA45C8"/>
    <w:rsid w:val="00CA4D83"/>
    <w:rsid w:val="00CA53DA"/>
    <w:rsid w:val="00CA5C7C"/>
    <w:rsid w:val="00CA6111"/>
    <w:rsid w:val="00CA6178"/>
    <w:rsid w:val="00CA695D"/>
    <w:rsid w:val="00CA6C11"/>
    <w:rsid w:val="00CA6E57"/>
    <w:rsid w:val="00CA766D"/>
    <w:rsid w:val="00CA7E1E"/>
    <w:rsid w:val="00CB01B4"/>
    <w:rsid w:val="00CB1C94"/>
    <w:rsid w:val="00CB1E82"/>
    <w:rsid w:val="00CB2163"/>
    <w:rsid w:val="00CB244D"/>
    <w:rsid w:val="00CB2684"/>
    <w:rsid w:val="00CB3068"/>
    <w:rsid w:val="00CB44D3"/>
    <w:rsid w:val="00CB47F4"/>
    <w:rsid w:val="00CB494A"/>
    <w:rsid w:val="00CB4966"/>
    <w:rsid w:val="00CB4BA8"/>
    <w:rsid w:val="00CB52D7"/>
    <w:rsid w:val="00CB5A8E"/>
    <w:rsid w:val="00CB5CA7"/>
    <w:rsid w:val="00CB5CFD"/>
    <w:rsid w:val="00CB646D"/>
    <w:rsid w:val="00CB6EB9"/>
    <w:rsid w:val="00CB7569"/>
    <w:rsid w:val="00CB774D"/>
    <w:rsid w:val="00CB7776"/>
    <w:rsid w:val="00CC01C0"/>
    <w:rsid w:val="00CC06F7"/>
    <w:rsid w:val="00CC0B11"/>
    <w:rsid w:val="00CC0CA9"/>
    <w:rsid w:val="00CC0DC9"/>
    <w:rsid w:val="00CC0E46"/>
    <w:rsid w:val="00CC27E4"/>
    <w:rsid w:val="00CC29DD"/>
    <w:rsid w:val="00CC2C4C"/>
    <w:rsid w:val="00CC2D0E"/>
    <w:rsid w:val="00CC3067"/>
    <w:rsid w:val="00CC343D"/>
    <w:rsid w:val="00CC49CC"/>
    <w:rsid w:val="00CC5976"/>
    <w:rsid w:val="00CC6077"/>
    <w:rsid w:val="00CC638C"/>
    <w:rsid w:val="00CC6732"/>
    <w:rsid w:val="00CC7025"/>
    <w:rsid w:val="00CC77F3"/>
    <w:rsid w:val="00CC78CA"/>
    <w:rsid w:val="00CC7968"/>
    <w:rsid w:val="00CC7AB4"/>
    <w:rsid w:val="00CD0627"/>
    <w:rsid w:val="00CD0882"/>
    <w:rsid w:val="00CD1697"/>
    <w:rsid w:val="00CD19DE"/>
    <w:rsid w:val="00CD19F4"/>
    <w:rsid w:val="00CD1B38"/>
    <w:rsid w:val="00CD1F91"/>
    <w:rsid w:val="00CD2898"/>
    <w:rsid w:val="00CD2DCB"/>
    <w:rsid w:val="00CD3ED3"/>
    <w:rsid w:val="00CD4042"/>
    <w:rsid w:val="00CD47D5"/>
    <w:rsid w:val="00CD4E1D"/>
    <w:rsid w:val="00CD4E53"/>
    <w:rsid w:val="00CD4F62"/>
    <w:rsid w:val="00CD5226"/>
    <w:rsid w:val="00CD5290"/>
    <w:rsid w:val="00CD61DE"/>
    <w:rsid w:val="00CD675D"/>
    <w:rsid w:val="00CD6ACF"/>
    <w:rsid w:val="00CD7031"/>
    <w:rsid w:val="00CD7226"/>
    <w:rsid w:val="00CD7595"/>
    <w:rsid w:val="00CD77E8"/>
    <w:rsid w:val="00CD7EC1"/>
    <w:rsid w:val="00CE0716"/>
    <w:rsid w:val="00CE09B9"/>
    <w:rsid w:val="00CE0C0E"/>
    <w:rsid w:val="00CE1D82"/>
    <w:rsid w:val="00CE2659"/>
    <w:rsid w:val="00CE2B61"/>
    <w:rsid w:val="00CE2CE5"/>
    <w:rsid w:val="00CE2E87"/>
    <w:rsid w:val="00CE32F4"/>
    <w:rsid w:val="00CE330F"/>
    <w:rsid w:val="00CE38C7"/>
    <w:rsid w:val="00CE3945"/>
    <w:rsid w:val="00CE3C96"/>
    <w:rsid w:val="00CE3F94"/>
    <w:rsid w:val="00CE4033"/>
    <w:rsid w:val="00CE416E"/>
    <w:rsid w:val="00CE42BF"/>
    <w:rsid w:val="00CE43F5"/>
    <w:rsid w:val="00CE5194"/>
    <w:rsid w:val="00CE51A8"/>
    <w:rsid w:val="00CE586C"/>
    <w:rsid w:val="00CE5BFA"/>
    <w:rsid w:val="00CE61F3"/>
    <w:rsid w:val="00CE6DC3"/>
    <w:rsid w:val="00CE6E05"/>
    <w:rsid w:val="00CE7334"/>
    <w:rsid w:val="00CE7E2F"/>
    <w:rsid w:val="00CF0514"/>
    <w:rsid w:val="00CF0681"/>
    <w:rsid w:val="00CF0782"/>
    <w:rsid w:val="00CF0BFE"/>
    <w:rsid w:val="00CF1155"/>
    <w:rsid w:val="00CF2EE5"/>
    <w:rsid w:val="00CF2FB8"/>
    <w:rsid w:val="00CF3074"/>
    <w:rsid w:val="00CF328C"/>
    <w:rsid w:val="00CF369B"/>
    <w:rsid w:val="00CF4B22"/>
    <w:rsid w:val="00CF5619"/>
    <w:rsid w:val="00CF576B"/>
    <w:rsid w:val="00CF6B15"/>
    <w:rsid w:val="00CF7863"/>
    <w:rsid w:val="00CF7906"/>
    <w:rsid w:val="00CF7EF7"/>
    <w:rsid w:val="00D0077D"/>
    <w:rsid w:val="00D00E28"/>
    <w:rsid w:val="00D017F7"/>
    <w:rsid w:val="00D018E5"/>
    <w:rsid w:val="00D0269E"/>
    <w:rsid w:val="00D0291F"/>
    <w:rsid w:val="00D02930"/>
    <w:rsid w:val="00D02E87"/>
    <w:rsid w:val="00D031A2"/>
    <w:rsid w:val="00D0395C"/>
    <w:rsid w:val="00D05122"/>
    <w:rsid w:val="00D05D6C"/>
    <w:rsid w:val="00D0621C"/>
    <w:rsid w:val="00D063BA"/>
    <w:rsid w:val="00D066F1"/>
    <w:rsid w:val="00D06FC8"/>
    <w:rsid w:val="00D0713A"/>
    <w:rsid w:val="00D07A1F"/>
    <w:rsid w:val="00D07E57"/>
    <w:rsid w:val="00D10284"/>
    <w:rsid w:val="00D103B6"/>
    <w:rsid w:val="00D10629"/>
    <w:rsid w:val="00D109B1"/>
    <w:rsid w:val="00D10CE3"/>
    <w:rsid w:val="00D1161A"/>
    <w:rsid w:val="00D116EF"/>
    <w:rsid w:val="00D11DED"/>
    <w:rsid w:val="00D121DD"/>
    <w:rsid w:val="00D1353B"/>
    <w:rsid w:val="00D13D87"/>
    <w:rsid w:val="00D14743"/>
    <w:rsid w:val="00D14B88"/>
    <w:rsid w:val="00D15264"/>
    <w:rsid w:val="00D15810"/>
    <w:rsid w:val="00D15BDC"/>
    <w:rsid w:val="00D15DAB"/>
    <w:rsid w:val="00D16894"/>
    <w:rsid w:val="00D16D4E"/>
    <w:rsid w:val="00D16FE3"/>
    <w:rsid w:val="00D17794"/>
    <w:rsid w:val="00D17C08"/>
    <w:rsid w:val="00D20652"/>
    <w:rsid w:val="00D20928"/>
    <w:rsid w:val="00D20ECB"/>
    <w:rsid w:val="00D21A53"/>
    <w:rsid w:val="00D21F31"/>
    <w:rsid w:val="00D224BE"/>
    <w:rsid w:val="00D227D7"/>
    <w:rsid w:val="00D23173"/>
    <w:rsid w:val="00D2394A"/>
    <w:rsid w:val="00D23CAF"/>
    <w:rsid w:val="00D24230"/>
    <w:rsid w:val="00D2498C"/>
    <w:rsid w:val="00D2545D"/>
    <w:rsid w:val="00D260A9"/>
    <w:rsid w:val="00D2669D"/>
    <w:rsid w:val="00D27311"/>
    <w:rsid w:val="00D275CF"/>
    <w:rsid w:val="00D27C2C"/>
    <w:rsid w:val="00D27C79"/>
    <w:rsid w:val="00D27D69"/>
    <w:rsid w:val="00D27F41"/>
    <w:rsid w:val="00D3058B"/>
    <w:rsid w:val="00D31366"/>
    <w:rsid w:val="00D316BF"/>
    <w:rsid w:val="00D31753"/>
    <w:rsid w:val="00D31C7B"/>
    <w:rsid w:val="00D323DF"/>
    <w:rsid w:val="00D33401"/>
    <w:rsid w:val="00D334E1"/>
    <w:rsid w:val="00D3369B"/>
    <w:rsid w:val="00D340F2"/>
    <w:rsid w:val="00D34236"/>
    <w:rsid w:val="00D35CB0"/>
    <w:rsid w:val="00D35FA4"/>
    <w:rsid w:val="00D36441"/>
    <w:rsid w:val="00D36BF8"/>
    <w:rsid w:val="00D371F8"/>
    <w:rsid w:val="00D37562"/>
    <w:rsid w:val="00D3778E"/>
    <w:rsid w:val="00D3790C"/>
    <w:rsid w:val="00D40163"/>
    <w:rsid w:val="00D40355"/>
    <w:rsid w:val="00D403AB"/>
    <w:rsid w:val="00D404B8"/>
    <w:rsid w:val="00D404D6"/>
    <w:rsid w:val="00D4064E"/>
    <w:rsid w:val="00D406C1"/>
    <w:rsid w:val="00D4181F"/>
    <w:rsid w:val="00D42383"/>
    <w:rsid w:val="00D426EC"/>
    <w:rsid w:val="00D42727"/>
    <w:rsid w:val="00D430E5"/>
    <w:rsid w:val="00D4345C"/>
    <w:rsid w:val="00D442F9"/>
    <w:rsid w:val="00D44B58"/>
    <w:rsid w:val="00D44C26"/>
    <w:rsid w:val="00D44D83"/>
    <w:rsid w:val="00D44DB3"/>
    <w:rsid w:val="00D44E9B"/>
    <w:rsid w:val="00D45426"/>
    <w:rsid w:val="00D459EA"/>
    <w:rsid w:val="00D467AD"/>
    <w:rsid w:val="00D469AD"/>
    <w:rsid w:val="00D47AEB"/>
    <w:rsid w:val="00D47B6C"/>
    <w:rsid w:val="00D47F77"/>
    <w:rsid w:val="00D50DB9"/>
    <w:rsid w:val="00D50F64"/>
    <w:rsid w:val="00D51302"/>
    <w:rsid w:val="00D51A07"/>
    <w:rsid w:val="00D520EC"/>
    <w:rsid w:val="00D52C43"/>
    <w:rsid w:val="00D53977"/>
    <w:rsid w:val="00D54455"/>
    <w:rsid w:val="00D547DC"/>
    <w:rsid w:val="00D54CFF"/>
    <w:rsid w:val="00D552BC"/>
    <w:rsid w:val="00D555E9"/>
    <w:rsid w:val="00D55712"/>
    <w:rsid w:val="00D55AB4"/>
    <w:rsid w:val="00D55E9D"/>
    <w:rsid w:val="00D56677"/>
    <w:rsid w:val="00D56DA8"/>
    <w:rsid w:val="00D57131"/>
    <w:rsid w:val="00D57BF8"/>
    <w:rsid w:val="00D608C1"/>
    <w:rsid w:val="00D60FD3"/>
    <w:rsid w:val="00D610D5"/>
    <w:rsid w:val="00D611F9"/>
    <w:rsid w:val="00D61243"/>
    <w:rsid w:val="00D613E7"/>
    <w:rsid w:val="00D61678"/>
    <w:rsid w:val="00D617AB"/>
    <w:rsid w:val="00D61E40"/>
    <w:rsid w:val="00D62451"/>
    <w:rsid w:val="00D627CD"/>
    <w:rsid w:val="00D638A2"/>
    <w:rsid w:val="00D64295"/>
    <w:rsid w:val="00D64795"/>
    <w:rsid w:val="00D6479F"/>
    <w:rsid w:val="00D6507F"/>
    <w:rsid w:val="00D658EC"/>
    <w:rsid w:val="00D65BD2"/>
    <w:rsid w:val="00D65BFF"/>
    <w:rsid w:val="00D667CC"/>
    <w:rsid w:val="00D66C29"/>
    <w:rsid w:val="00D67BF2"/>
    <w:rsid w:val="00D7090B"/>
    <w:rsid w:val="00D71391"/>
    <w:rsid w:val="00D7296E"/>
    <w:rsid w:val="00D72D3E"/>
    <w:rsid w:val="00D730BC"/>
    <w:rsid w:val="00D737CC"/>
    <w:rsid w:val="00D73912"/>
    <w:rsid w:val="00D73D31"/>
    <w:rsid w:val="00D743A5"/>
    <w:rsid w:val="00D7464A"/>
    <w:rsid w:val="00D747DF"/>
    <w:rsid w:val="00D7484D"/>
    <w:rsid w:val="00D74871"/>
    <w:rsid w:val="00D74A73"/>
    <w:rsid w:val="00D74AD7"/>
    <w:rsid w:val="00D74ED6"/>
    <w:rsid w:val="00D755A7"/>
    <w:rsid w:val="00D75AE2"/>
    <w:rsid w:val="00D75FAD"/>
    <w:rsid w:val="00D76640"/>
    <w:rsid w:val="00D76C90"/>
    <w:rsid w:val="00D76D7D"/>
    <w:rsid w:val="00D77590"/>
    <w:rsid w:val="00D77E8B"/>
    <w:rsid w:val="00D8036D"/>
    <w:rsid w:val="00D80AA7"/>
    <w:rsid w:val="00D80AF6"/>
    <w:rsid w:val="00D81172"/>
    <w:rsid w:val="00D81D00"/>
    <w:rsid w:val="00D831AD"/>
    <w:rsid w:val="00D83475"/>
    <w:rsid w:val="00D83846"/>
    <w:rsid w:val="00D83BE5"/>
    <w:rsid w:val="00D8422F"/>
    <w:rsid w:val="00D8455B"/>
    <w:rsid w:val="00D8473D"/>
    <w:rsid w:val="00D84791"/>
    <w:rsid w:val="00D84CFA"/>
    <w:rsid w:val="00D84D32"/>
    <w:rsid w:val="00D84E0B"/>
    <w:rsid w:val="00D85094"/>
    <w:rsid w:val="00D85226"/>
    <w:rsid w:val="00D868AE"/>
    <w:rsid w:val="00D86FED"/>
    <w:rsid w:val="00D870DC"/>
    <w:rsid w:val="00D87517"/>
    <w:rsid w:val="00D87848"/>
    <w:rsid w:val="00D87B94"/>
    <w:rsid w:val="00D90038"/>
    <w:rsid w:val="00D91881"/>
    <w:rsid w:val="00D91884"/>
    <w:rsid w:val="00D92016"/>
    <w:rsid w:val="00D923C3"/>
    <w:rsid w:val="00D92442"/>
    <w:rsid w:val="00D9263F"/>
    <w:rsid w:val="00D92BF4"/>
    <w:rsid w:val="00D92D49"/>
    <w:rsid w:val="00D92EC1"/>
    <w:rsid w:val="00D9333D"/>
    <w:rsid w:val="00D9362B"/>
    <w:rsid w:val="00D93B91"/>
    <w:rsid w:val="00D93C62"/>
    <w:rsid w:val="00D93EC7"/>
    <w:rsid w:val="00D945B7"/>
    <w:rsid w:val="00D945C9"/>
    <w:rsid w:val="00D94EA6"/>
    <w:rsid w:val="00D95131"/>
    <w:rsid w:val="00D968B0"/>
    <w:rsid w:val="00D96DEA"/>
    <w:rsid w:val="00D9760C"/>
    <w:rsid w:val="00D97D75"/>
    <w:rsid w:val="00D97FD7"/>
    <w:rsid w:val="00DA055E"/>
    <w:rsid w:val="00DA1729"/>
    <w:rsid w:val="00DA221D"/>
    <w:rsid w:val="00DA2258"/>
    <w:rsid w:val="00DA29F1"/>
    <w:rsid w:val="00DA31D3"/>
    <w:rsid w:val="00DA36EF"/>
    <w:rsid w:val="00DA4E41"/>
    <w:rsid w:val="00DA53DA"/>
    <w:rsid w:val="00DA55CD"/>
    <w:rsid w:val="00DA593D"/>
    <w:rsid w:val="00DA6004"/>
    <w:rsid w:val="00DA63B3"/>
    <w:rsid w:val="00DA66EE"/>
    <w:rsid w:val="00DA68C2"/>
    <w:rsid w:val="00DA76FC"/>
    <w:rsid w:val="00DA7B86"/>
    <w:rsid w:val="00DA7E7D"/>
    <w:rsid w:val="00DB0124"/>
    <w:rsid w:val="00DB0A88"/>
    <w:rsid w:val="00DB0AD6"/>
    <w:rsid w:val="00DB117A"/>
    <w:rsid w:val="00DB1743"/>
    <w:rsid w:val="00DB1ED8"/>
    <w:rsid w:val="00DB2221"/>
    <w:rsid w:val="00DB26A7"/>
    <w:rsid w:val="00DB26B5"/>
    <w:rsid w:val="00DB2992"/>
    <w:rsid w:val="00DB299A"/>
    <w:rsid w:val="00DB2C79"/>
    <w:rsid w:val="00DB3A4E"/>
    <w:rsid w:val="00DB3A89"/>
    <w:rsid w:val="00DB3FE1"/>
    <w:rsid w:val="00DB41EE"/>
    <w:rsid w:val="00DB4597"/>
    <w:rsid w:val="00DB5068"/>
    <w:rsid w:val="00DB5173"/>
    <w:rsid w:val="00DB5610"/>
    <w:rsid w:val="00DB5750"/>
    <w:rsid w:val="00DB5DA7"/>
    <w:rsid w:val="00DB6202"/>
    <w:rsid w:val="00DB68CC"/>
    <w:rsid w:val="00DB691C"/>
    <w:rsid w:val="00DB6C29"/>
    <w:rsid w:val="00DB7081"/>
    <w:rsid w:val="00DB7145"/>
    <w:rsid w:val="00DB7873"/>
    <w:rsid w:val="00DB7D41"/>
    <w:rsid w:val="00DC187B"/>
    <w:rsid w:val="00DC1A5E"/>
    <w:rsid w:val="00DC25D8"/>
    <w:rsid w:val="00DC2C29"/>
    <w:rsid w:val="00DC2E6D"/>
    <w:rsid w:val="00DC32DE"/>
    <w:rsid w:val="00DC343D"/>
    <w:rsid w:val="00DC3D91"/>
    <w:rsid w:val="00DC437C"/>
    <w:rsid w:val="00DC4990"/>
    <w:rsid w:val="00DC4EFA"/>
    <w:rsid w:val="00DC509D"/>
    <w:rsid w:val="00DC56A7"/>
    <w:rsid w:val="00DC5948"/>
    <w:rsid w:val="00DC5AFF"/>
    <w:rsid w:val="00DC6614"/>
    <w:rsid w:val="00DC66AD"/>
    <w:rsid w:val="00DC68CC"/>
    <w:rsid w:val="00DC6B53"/>
    <w:rsid w:val="00DC7265"/>
    <w:rsid w:val="00DC7455"/>
    <w:rsid w:val="00DC75A2"/>
    <w:rsid w:val="00DC77A0"/>
    <w:rsid w:val="00DD10E0"/>
    <w:rsid w:val="00DD1177"/>
    <w:rsid w:val="00DD1A43"/>
    <w:rsid w:val="00DD1B93"/>
    <w:rsid w:val="00DD3E98"/>
    <w:rsid w:val="00DD467A"/>
    <w:rsid w:val="00DD4BF8"/>
    <w:rsid w:val="00DD52C4"/>
    <w:rsid w:val="00DD5465"/>
    <w:rsid w:val="00DD569B"/>
    <w:rsid w:val="00DD5A98"/>
    <w:rsid w:val="00DD6479"/>
    <w:rsid w:val="00DD67F7"/>
    <w:rsid w:val="00DD73C2"/>
    <w:rsid w:val="00DD7540"/>
    <w:rsid w:val="00DD78FB"/>
    <w:rsid w:val="00DD7F3D"/>
    <w:rsid w:val="00DE01A8"/>
    <w:rsid w:val="00DE05E1"/>
    <w:rsid w:val="00DE08DC"/>
    <w:rsid w:val="00DE0D8E"/>
    <w:rsid w:val="00DE0FB8"/>
    <w:rsid w:val="00DE1359"/>
    <w:rsid w:val="00DE171D"/>
    <w:rsid w:val="00DE1863"/>
    <w:rsid w:val="00DE1A5A"/>
    <w:rsid w:val="00DE2024"/>
    <w:rsid w:val="00DE2145"/>
    <w:rsid w:val="00DE2176"/>
    <w:rsid w:val="00DE2887"/>
    <w:rsid w:val="00DE2EF8"/>
    <w:rsid w:val="00DE2FBD"/>
    <w:rsid w:val="00DE30F0"/>
    <w:rsid w:val="00DE3129"/>
    <w:rsid w:val="00DE319B"/>
    <w:rsid w:val="00DE342D"/>
    <w:rsid w:val="00DE3612"/>
    <w:rsid w:val="00DE378F"/>
    <w:rsid w:val="00DE3BAA"/>
    <w:rsid w:val="00DE41D0"/>
    <w:rsid w:val="00DE440D"/>
    <w:rsid w:val="00DE5145"/>
    <w:rsid w:val="00DE5766"/>
    <w:rsid w:val="00DE5AC1"/>
    <w:rsid w:val="00DE733C"/>
    <w:rsid w:val="00DF03DB"/>
    <w:rsid w:val="00DF0943"/>
    <w:rsid w:val="00DF106B"/>
    <w:rsid w:val="00DF1B24"/>
    <w:rsid w:val="00DF229D"/>
    <w:rsid w:val="00DF252B"/>
    <w:rsid w:val="00DF34FE"/>
    <w:rsid w:val="00DF41B3"/>
    <w:rsid w:val="00DF41FA"/>
    <w:rsid w:val="00DF45AB"/>
    <w:rsid w:val="00DF475F"/>
    <w:rsid w:val="00DF51EF"/>
    <w:rsid w:val="00DF52A5"/>
    <w:rsid w:val="00DF55B7"/>
    <w:rsid w:val="00DF56AA"/>
    <w:rsid w:val="00DF56AF"/>
    <w:rsid w:val="00DF56ED"/>
    <w:rsid w:val="00DF7141"/>
    <w:rsid w:val="00DF7271"/>
    <w:rsid w:val="00DF7353"/>
    <w:rsid w:val="00DF73BD"/>
    <w:rsid w:val="00DF7838"/>
    <w:rsid w:val="00DF78E7"/>
    <w:rsid w:val="00DF7979"/>
    <w:rsid w:val="00E003CC"/>
    <w:rsid w:val="00E008F4"/>
    <w:rsid w:val="00E0126C"/>
    <w:rsid w:val="00E01B27"/>
    <w:rsid w:val="00E01DE3"/>
    <w:rsid w:val="00E02349"/>
    <w:rsid w:val="00E03C57"/>
    <w:rsid w:val="00E041F7"/>
    <w:rsid w:val="00E04425"/>
    <w:rsid w:val="00E044AA"/>
    <w:rsid w:val="00E046F9"/>
    <w:rsid w:val="00E0493A"/>
    <w:rsid w:val="00E04C6B"/>
    <w:rsid w:val="00E0504C"/>
    <w:rsid w:val="00E055CF"/>
    <w:rsid w:val="00E05ABE"/>
    <w:rsid w:val="00E060F8"/>
    <w:rsid w:val="00E06A13"/>
    <w:rsid w:val="00E0745A"/>
    <w:rsid w:val="00E076C5"/>
    <w:rsid w:val="00E108BC"/>
    <w:rsid w:val="00E11024"/>
    <w:rsid w:val="00E110E0"/>
    <w:rsid w:val="00E13039"/>
    <w:rsid w:val="00E130F4"/>
    <w:rsid w:val="00E13286"/>
    <w:rsid w:val="00E13578"/>
    <w:rsid w:val="00E142B9"/>
    <w:rsid w:val="00E150BF"/>
    <w:rsid w:val="00E15371"/>
    <w:rsid w:val="00E1580B"/>
    <w:rsid w:val="00E15AE5"/>
    <w:rsid w:val="00E161FD"/>
    <w:rsid w:val="00E1621D"/>
    <w:rsid w:val="00E16774"/>
    <w:rsid w:val="00E170FB"/>
    <w:rsid w:val="00E1725F"/>
    <w:rsid w:val="00E177C4"/>
    <w:rsid w:val="00E1780A"/>
    <w:rsid w:val="00E17B65"/>
    <w:rsid w:val="00E17FDA"/>
    <w:rsid w:val="00E201A5"/>
    <w:rsid w:val="00E201E1"/>
    <w:rsid w:val="00E20660"/>
    <w:rsid w:val="00E208F6"/>
    <w:rsid w:val="00E21056"/>
    <w:rsid w:val="00E223EC"/>
    <w:rsid w:val="00E22A2E"/>
    <w:rsid w:val="00E233B8"/>
    <w:rsid w:val="00E23594"/>
    <w:rsid w:val="00E24104"/>
    <w:rsid w:val="00E247C7"/>
    <w:rsid w:val="00E24E16"/>
    <w:rsid w:val="00E252E9"/>
    <w:rsid w:val="00E2557B"/>
    <w:rsid w:val="00E257BB"/>
    <w:rsid w:val="00E25D77"/>
    <w:rsid w:val="00E27133"/>
    <w:rsid w:val="00E27C85"/>
    <w:rsid w:val="00E302D0"/>
    <w:rsid w:val="00E308B9"/>
    <w:rsid w:val="00E31B26"/>
    <w:rsid w:val="00E324A1"/>
    <w:rsid w:val="00E32D44"/>
    <w:rsid w:val="00E3317A"/>
    <w:rsid w:val="00E33D5F"/>
    <w:rsid w:val="00E33EA8"/>
    <w:rsid w:val="00E34E3B"/>
    <w:rsid w:val="00E35477"/>
    <w:rsid w:val="00E35707"/>
    <w:rsid w:val="00E357B0"/>
    <w:rsid w:val="00E35907"/>
    <w:rsid w:val="00E359CD"/>
    <w:rsid w:val="00E35AF6"/>
    <w:rsid w:val="00E360D9"/>
    <w:rsid w:val="00E36AA1"/>
    <w:rsid w:val="00E36E39"/>
    <w:rsid w:val="00E3715D"/>
    <w:rsid w:val="00E3728C"/>
    <w:rsid w:val="00E37485"/>
    <w:rsid w:val="00E37609"/>
    <w:rsid w:val="00E3760C"/>
    <w:rsid w:val="00E37E7C"/>
    <w:rsid w:val="00E4029E"/>
    <w:rsid w:val="00E403F0"/>
    <w:rsid w:val="00E40AF5"/>
    <w:rsid w:val="00E40B29"/>
    <w:rsid w:val="00E40EF2"/>
    <w:rsid w:val="00E410E1"/>
    <w:rsid w:val="00E41ECB"/>
    <w:rsid w:val="00E42069"/>
    <w:rsid w:val="00E42676"/>
    <w:rsid w:val="00E42B85"/>
    <w:rsid w:val="00E42E4B"/>
    <w:rsid w:val="00E43021"/>
    <w:rsid w:val="00E4372A"/>
    <w:rsid w:val="00E43A65"/>
    <w:rsid w:val="00E44012"/>
    <w:rsid w:val="00E44239"/>
    <w:rsid w:val="00E445E7"/>
    <w:rsid w:val="00E44BC6"/>
    <w:rsid w:val="00E45096"/>
    <w:rsid w:val="00E4522E"/>
    <w:rsid w:val="00E454E9"/>
    <w:rsid w:val="00E46304"/>
    <w:rsid w:val="00E4645D"/>
    <w:rsid w:val="00E46D0E"/>
    <w:rsid w:val="00E46D46"/>
    <w:rsid w:val="00E46D8A"/>
    <w:rsid w:val="00E47755"/>
    <w:rsid w:val="00E47C1A"/>
    <w:rsid w:val="00E47F8D"/>
    <w:rsid w:val="00E50421"/>
    <w:rsid w:val="00E504EB"/>
    <w:rsid w:val="00E5093C"/>
    <w:rsid w:val="00E50C2D"/>
    <w:rsid w:val="00E50F85"/>
    <w:rsid w:val="00E5163C"/>
    <w:rsid w:val="00E51B6C"/>
    <w:rsid w:val="00E523F8"/>
    <w:rsid w:val="00E531EA"/>
    <w:rsid w:val="00E53664"/>
    <w:rsid w:val="00E543C2"/>
    <w:rsid w:val="00E5447C"/>
    <w:rsid w:val="00E548CA"/>
    <w:rsid w:val="00E54976"/>
    <w:rsid w:val="00E54B2F"/>
    <w:rsid w:val="00E54BEA"/>
    <w:rsid w:val="00E54F0C"/>
    <w:rsid w:val="00E54FDB"/>
    <w:rsid w:val="00E5579E"/>
    <w:rsid w:val="00E5617D"/>
    <w:rsid w:val="00E562B5"/>
    <w:rsid w:val="00E563D7"/>
    <w:rsid w:val="00E5663A"/>
    <w:rsid w:val="00E56FE2"/>
    <w:rsid w:val="00E5711C"/>
    <w:rsid w:val="00E571C5"/>
    <w:rsid w:val="00E57406"/>
    <w:rsid w:val="00E57972"/>
    <w:rsid w:val="00E579D9"/>
    <w:rsid w:val="00E603BF"/>
    <w:rsid w:val="00E6173E"/>
    <w:rsid w:val="00E61FBF"/>
    <w:rsid w:val="00E6204C"/>
    <w:rsid w:val="00E6249A"/>
    <w:rsid w:val="00E62B47"/>
    <w:rsid w:val="00E62E2A"/>
    <w:rsid w:val="00E633BF"/>
    <w:rsid w:val="00E634A0"/>
    <w:rsid w:val="00E63AED"/>
    <w:rsid w:val="00E64477"/>
    <w:rsid w:val="00E64C96"/>
    <w:rsid w:val="00E656B2"/>
    <w:rsid w:val="00E65A98"/>
    <w:rsid w:val="00E65D88"/>
    <w:rsid w:val="00E65DC2"/>
    <w:rsid w:val="00E65F70"/>
    <w:rsid w:val="00E6610F"/>
    <w:rsid w:val="00E663F4"/>
    <w:rsid w:val="00E664F5"/>
    <w:rsid w:val="00E666F2"/>
    <w:rsid w:val="00E66759"/>
    <w:rsid w:val="00E66DD4"/>
    <w:rsid w:val="00E67120"/>
    <w:rsid w:val="00E67F9A"/>
    <w:rsid w:val="00E704DE"/>
    <w:rsid w:val="00E706AC"/>
    <w:rsid w:val="00E70802"/>
    <w:rsid w:val="00E70E33"/>
    <w:rsid w:val="00E712DA"/>
    <w:rsid w:val="00E71707"/>
    <w:rsid w:val="00E71872"/>
    <w:rsid w:val="00E71A7D"/>
    <w:rsid w:val="00E72834"/>
    <w:rsid w:val="00E72954"/>
    <w:rsid w:val="00E72B90"/>
    <w:rsid w:val="00E72ED1"/>
    <w:rsid w:val="00E7374B"/>
    <w:rsid w:val="00E748CC"/>
    <w:rsid w:val="00E74C16"/>
    <w:rsid w:val="00E74DB9"/>
    <w:rsid w:val="00E75391"/>
    <w:rsid w:val="00E75415"/>
    <w:rsid w:val="00E763FD"/>
    <w:rsid w:val="00E76D57"/>
    <w:rsid w:val="00E76F62"/>
    <w:rsid w:val="00E76FE3"/>
    <w:rsid w:val="00E775B1"/>
    <w:rsid w:val="00E77613"/>
    <w:rsid w:val="00E80602"/>
    <w:rsid w:val="00E810A7"/>
    <w:rsid w:val="00E810E5"/>
    <w:rsid w:val="00E8152A"/>
    <w:rsid w:val="00E81779"/>
    <w:rsid w:val="00E81B48"/>
    <w:rsid w:val="00E82948"/>
    <w:rsid w:val="00E8307D"/>
    <w:rsid w:val="00E83185"/>
    <w:rsid w:val="00E8325C"/>
    <w:rsid w:val="00E83281"/>
    <w:rsid w:val="00E832D4"/>
    <w:rsid w:val="00E83466"/>
    <w:rsid w:val="00E8352F"/>
    <w:rsid w:val="00E83E7F"/>
    <w:rsid w:val="00E84B86"/>
    <w:rsid w:val="00E84C0C"/>
    <w:rsid w:val="00E84E58"/>
    <w:rsid w:val="00E8526A"/>
    <w:rsid w:val="00E8526E"/>
    <w:rsid w:val="00E853A4"/>
    <w:rsid w:val="00E85616"/>
    <w:rsid w:val="00E85722"/>
    <w:rsid w:val="00E85EDC"/>
    <w:rsid w:val="00E85F7D"/>
    <w:rsid w:val="00E86841"/>
    <w:rsid w:val="00E86892"/>
    <w:rsid w:val="00E86CA4"/>
    <w:rsid w:val="00E86D7D"/>
    <w:rsid w:val="00E870B5"/>
    <w:rsid w:val="00E8721C"/>
    <w:rsid w:val="00E8726C"/>
    <w:rsid w:val="00E8735B"/>
    <w:rsid w:val="00E87A91"/>
    <w:rsid w:val="00E87CDC"/>
    <w:rsid w:val="00E87D73"/>
    <w:rsid w:val="00E90D7F"/>
    <w:rsid w:val="00E90F6C"/>
    <w:rsid w:val="00E91139"/>
    <w:rsid w:val="00E913A6"/>
    <w:rsid w:val="00E91468"/>
    <w:rsid w:val="00E91B9D"/>
    <w:rsid w:val="00E92499"/>
    <w:rsid w:val="00E93629"/>
    <w:rsid w:val="00E9386D"/>
    <w:rsid w:val="00E9388D"/>
    <w:rsid w:val="00E93B5C"/>
    <w:rsid w:val="00E94CEC"/>
    <w:rsid w:val="00E94FAC"/>
    <w:rsid w:val="00E952B4"/>
    <w:rsid w:val="00E957F2"/>
    <w:rsid w:val="00E95A4B"/>
    <w:rsid w:val="00E961B5"/>
    <w:rsid w:val="00E96A4F"/>
    <w:rsid w:val="00E96A7E"/>
    <w:rsid w:val="00E9709B"/>
    <w:rsid w:val="00E9718A"/>
    <w:rsid w:val="00E97832"/>
    <w:rsid w:val="00E978CE"/>
    <w:rsid w:val="00E97A03"/>
    <w:rsid w:val="00EA004B"/>
    <w:rsid w:val="00EA04EF"/>
    <w:rsid w:val="00EA226B"/>
    <w:rsid w:val="00EA2747"/>
    <w:rsid w:val="00EA3045"/>
    <w:rsid w:val="00EA3832"/>
    <w:rsid w:val="00EA39E0"/>
    <w:rsid w:val="00EA44DF"/>
    <w:rsid w:val="00EA4677"/>
    <w:rsid w:val="00EA4B80"/>
    <w:rsid w:val="00EA4E70"/>
    <w:rsid w:val="00EA62B9"/>
    <w:rsid w:val="00EA639A"/>
    <w:rsid w:val="00EA6469"/>
    <w:rsid w:val="00EA654D"/>
    <w:rsid w:val="00EA6BC0"/>
    <w:rsid w:val="00EA6C0D"/>
    <w:rsid w:val="00EA6C79"/>
    <w:rsid w:val="00EA6F19"/>
    <w:rsid w:val="00EB0455"/>
    <w:rsid w:val="00EB0F98"/>
    <w:rsid w:val="00EB2066"/>
    <w:rsid w:val="00EB21A6"/>
    <w:rsid w:val="00EB27DD"/>
    <w:rsid w:val="00EB2B66"/>
    <w:rsid w:val="00EB2BE0"/>
    <w:rsid w:val="00EB2BE1"/>
    <w:rsid w:val="00EB2D1A"/>
    <w:rsid w:val="00EB2DC2"/>
    <w:rsid w:val="00EB376B"/>
    <w:rsid w:val="00EB3DF8"/>
    <w:rsid w:val="00EB44B1"/>
    <w:rsid w:val="00EB44D3"/>
    <w:rsid w:val="00EB49F2"/>
    <w:rsid w:val="00EB4FC4"/>
    <w:rsid w:val="00EB5603"/>
    <w:rsid w:val="00EB5C3E"/>
    <w:rsid w:val="00EB6392"/>
    <w:rsid w:val="00EB6926"/>
    <w:rsid w:val="00EB6C2E"/>
    <w:rsid w:val="00EB7090"/>
    <w:rsid w:val="00EB75A5"/>
    <w:rsid w:val="00EB7678"/>
    <w:rsid w:val="00EB76CB"/>
    <w:rsid w:val="00EC01F0"/>
    <w:rsid w:val="00EC1BBE"/>
    <w:rsid w:val="00EC1D8C"/>
    <w:rsid w:val="00EC209E"/>
    <w:rsid w:val="00EC2427"/>
    <w:rsid w:val="00EC24D3"/>
    <w:rsid w:val="00EC2708"/>
    <w:rsid w:val="00EC2A7F"/>
    <w:rsid w:val="00EC2B68"/>
    <w:rsid w:val="00EC2BB4"/>
    <w:rsid w:val="00EC2F98"/>
    <w:rsid w:val="00EC3338"/>
    <w:rsid w:val="00EC3794"/>
    <w:rsid w:val="00EC3A79"/>
    <w:rsid w:val="00EC3AEF"/>
    <w:rsid w:val="00EC3E49"/>
    <w:rsid w:val="00EC4200"/>
    <w:rsid w:val="00EC483E"/>
    <w:rsid w:val="00EC4C77"/>
    <w:rsid w:val="00EC4C86"/>
    <w:rsid w:val="00EC5781"/>
    <w:rsid w:val="00EC5CD7"/>
    <w:rsid w:val="00EC5FE5"/>
    <w:rsid w:val="00EC65CF"/>
    <w:rsid w:val="00EC68CF"/>
    <w:rsid w:val="00EC6A25"/>
    <w:rsid w:val="00EC72DC"/>
    <w:rsid w:val="00EC7D93"/>
    <w:rsid w:val="00EC7FE7"/>
    <w:rsid w:val="00ED1224"/>
    <w:rsid w:val="00ED1751"/>
    <w:rsid w:val="00ED1DCC"/>
    <w:rsid w:val="00ED2B10"/>
    <w:rsid w:val="00ED3B6F"/>
    <w:rsid w:val="00ED4C7D"/>
    <w:rsid w:val="00ED4EEE"/>
    <w:rsid w:val="00ED58F7"/>
    <w:rsid w:val="00ED5E72"/>
    <w:rsid w:val="00ED63D5"/>
    <w:rsid w:val="00ED65AF"/>
    <w:rsid w:val="00ED67BE"/>
    <w:rsid w:val="00ED689B"/>
    <w:rsid w:val="00ED6D6A"/>
    <w:rsid w:val="00ED71B0"/>
    <w:rsid w:val="00ED7766"/>
    <w:rsid w:val="00ED7A86"/>
    <w:rsid w:val="00EE02B6"/>
    <w:rsid w:val="00EE073E"/>
    <w:rsid w:val="00EE15AB"/>
    <w:rsid w:val="00EE1672"/>
    <w:rsid w:val="00EE2091"/>
    <w:rsid w:val="00EE2754"/>
    <w:rsid w:val="00EE2845"/>
    <w:rsid w:val="00EE2D64"/>
    <w:rsid w:val="00EE2E45"/>
    <w:rsid w:val="00EE2E51"/>
    <w:rsid w:val="00EE3DFC"/>
    <w:rsid w:val="00EE497B"/>
    <w:rsid w:val="00EE54AB"/>
    <w:rsid w:val="00EE556A"/>
    <w:rsid w:val="00EE5B48"/>
    <w:rsid w:val="00EE5D18"/>
    <w:rsid w:val="00EE5FB3"/>
    <w:rsid w:val="00EE6035"/>
    <w:rsid w:val="00EE65E0"/>
    <w:rsid w:val="00EE667E"/>
    <w:rsid w:val="00EE6D3D"/>
    <w:rsid w:val="00EE70E2"/>
    <w:rsid w:val="00EE73C8"/>
    <w:rsid w:val="00EE7427"/>
    <w:rsid w:val="00EE7936"/>
    <w:rsid w:val="00EE79EA"/>
    <w:rsid w:val="00EE7F79"/>
    <w:rsid w:val="00EF16A3"/>
    <w:rsid w:val="00EF17EC"/>
    <w:rsid w:val="00EF1E7C"/>
    <w:rsid w:val="00EF1F8C"/>
    <w:rsid w:val="00EF21C1"/>
    <w:rsid w:val="00EF221F"/>
    <w:rsid w:val="00EF22CC"/>
    <w:rsid w:val="00EF2528"/>
    <w:rsid w:val="00EF3659"/>
    <w:rsid w:val="00EF3679"/>
    <w:rsid w:val="00EF464E"/>
    <w:rsid w:val="00EF471B"/>
    <w:rsid w:val="00EF487C"/>
    <w:rsid w:val="00EF48C9"/>
    <w:rsid w:val="00EF4932"/>
    <w:rsid w:val="00EF5578"/>
    <w:rsid w:val="00EF5C96"/>
    <w:rsid w:val="00EF715A"/>
    <w:rsid w:val="00EF7C56"/>
    <w:rsid w:val="00F00614"/>
    <w:rsid w:val="00F009DC"/>
    <w:rsid w:val="00F01653"/>
    <w:rsid w:val="00F018D0"/>
    <w:rsid w:val="00F01BB6"/>
    <w:rsid w:val="00F01CC3"/>
    <w:rsid w:val="00F01FAE"/>
    <w:rsid w:val="00F0284E"/>
    <w:rsid w:val="00F02AE1"/>
    <w:rsid w:val="00F040E5"/>
    <w:rsid w:val="00F0437D"/>
    <w:rsid w:val="00F04414"/>
    <w:rsid w:val="00F0463F"/>
    <w:rsid w:val="00F04C11"/>
    <w:rsid w:val="00F05428"/>
    <w:rsid w:val="00F05863"/>
    <w:rsid w:val="00F058F3"/>
    <w:rsid w:val="00F06638"/>
    <w:rsid w:val="00F0671B"/>
    <w:rsid w:val="00F06E14"/>
    <w:rsid w:val="00F07319"/>
    <w:rsid w:val="00F07681"/>
    <w:rsid w:val="00F07B9B"/>
    <w:rsid w:val="00F101B1"/>
    <w:rsid w:val="00F10E82"/>
    <w:rsid w:val="00F11426"/>
    <w:rsid w:val="00F11CE7"/>
    <w:rsid w:val="00F11D13"/>
    <w:rsid w:val="00F1219C"/>
    <w:rsid w:val="00F13E35"/>
    <w:rsid w:val="00F14247"/>
    <w:rsid w:val="00F14846"/>
    <w:rsid w:val="00F148DC"/>
    <w:rsid w:val="00F149B5"/>
    <w:rsid w:val="00F158A3"/>
    <w:rsid w:val="00F159ED"/>
    <w:rsid w:val="00F15E06"/>
    <w:rsid w:val="00F167FA"/>
    <w:rsid w:val="00F17712"/>
    <w:rsid w:val="00F179D4"/>
    <w:rsid w:val="00F20A23"/>
    <w:rsid w:val="00F20ACC"/>
    <w:rsid w:val="00F2158D"/>
    <w:rsid w:val="00F21725"/>
    <w:rsid w:val="00F21D02"/>
    <w:rsid w:val="00F22031"/>
    <w:rsid w:val="00F22729"/>
    <w:rsid w:val="00F227FE"/>
    <w:rsid w:val="00F22A23"/>
    <w:rsid w:val="00F22DBD"/>
    <w:rsid w:val="00F22E8B"/>
    <w:rsid w:val="00F2311C"/>
    <w:rsid w:val="00F23AF2"/>
    <w:rsid w:val="00F23CFB"/>
    <w:rsid w:val="00F23E3F"/>
    <w:rsid w:val="00F23FB5"/>
    <w:rsid w:val="00F241DA"/>
    <w:rsid w:val="00F24592"/>
    <w:rsid w:val="00F24B9D"/>
    <w:rsid w:val="00F251CD"/>
    <w:rsid w:val="00F25B8B"/>
    <w:rsid w:val="00F25B97"/>
    <w:rsid w:val="00F25F41"/>
    <w:rsid w:val="00F26665"/>
    <w:rsid w:val="00F26C93"/>
    <w:rsid w:val="00F27140"/>
    <w:rsid w:val="00F27578"/>
    <w:rsid w:val="00F276A0"/>
    <w:rsid w:val="00F278C9"/>
    <w:rsid w:val="00F27F89"/>
    <w:rsid w:val="00F303F1"/>
    <w:rsid w:val="00F307E9"/>
    <w:rsid w:val="00F30B5E"/>
    <w:rsid w:val="00F31521"/>
    <w:rsid w:val="00F31DD8"/>
    <w:rsid w:val="00F328C2"/>
    <w:rsid w:val="00F32F51"/>
    <w:rsid w:val="00F332EE"/>
    <w:rsid w:val="00F3352F"/>
    <w:rsid w:val="00F3369C"/>
    <w:rsid w:val="00F336B5"/>
    <w:rsid w:val="00F33C56"/>
    <w:rsid w:val="00F3438C"/>
    <w:rsid w:val="00F34585"/>
    <w:rsid w:val="00F347C7"/>
    <w:rsid w:val="00F34848"/>
    <w:rsid w:val="00F34F51"/>
    <w:rsid w:val="00F3559E"/>
    <w:rsid w:val="00F35B75"/>
    <w:rsid w:val="00F35DA3"/>
    <w:rsid w:val="00F369E3"/>
    <w:rsid w:val="00F37206"/>
    <w:rsid w:val="00F37874"/>
    <w:rsid w:val="00F40651"/>
    <w:rsid w:val="00F408F8"/>
    <w:rsid w:val="00F40AFE"/>
    <w:rsid w:val="00F40B6C"/>
    <w:rsid w:val="00F40E8B"/>
    <w:rsid w:val="00F41165"/>
    <w:rsid w:val="00F411E8"/>
    <w:rsid w:val="00F41821"/>
    <w:rsid w:val="00F41898"/>
    <w:rsid w:val="00F41A52"/>
    <w:rsid w:val="00F42044"/>
    <w:rsid w:val="00F42D46"/>
    <w:rsid w:val="00F42FDE"/>
    <w:rsid w:val="00F435FC"/>
    <w:rsid w:val="00F43757"/>
    <w:rsid w:val="00F43C68"/>
    <w:rsid w:val="00F43C98"/>
    <w:rsid w:val="00F4496C"/>
    <w:rsid w:val="00F44EA8"/>
    <w:rsid w:val="00F44F3A"/>
    <w:rsid w:val="00F4532F"/>
    <w:rsid w:val="00F46C14"/>
    <w:rsid w:val="00F476B5"/>
    <w:rsid w:val="00F47D11"/>
    <w:rsid w:val="00F47E05"/>
    <w:rsid w:val="00F5095C"/>
    <w:rsid w:val="00F50FE0"/>
    <w:rsid w:val="00F5131B"/>
    <w:rsid w:val="00F51808"/>
    <w:rsid w:val="00F51811"/>
    <w:rsid w:val="00F51D9F"/>
    <w:rsid w:val="00F51F10"/>
    <w:rsid w:val="00F529A5"/>
    <w:rsid w:val="00F52B09"/>
    <w:rsid w:val="00F52B2F"/>
    <w:rsid w:val="00F5310D"/>
    <w:rsid w:val="00F53618"/>
    <w:rsid w:val="00F53AC4"/>
    <w:rsid w:val="00F53B39"/>
    <w:rsid w:val="00F53E01"/>
    <w:rsid w:val="00F53FB6"/>
    <w:rsid w:val="00F5462C"/>
    <w:rsid w:val="00F5513B"/>
    <w:rsid w:val="00F5532A"/>
    <w:rsid w:val="00F55A78"/>
    <w:rsid w:val="00F55BEE"/>
    <w:rsid w:val="00F60434"/>
    <w:rsid w:val="00F60517"/>
    <w:rsid w:val="00F6095D"/>
    <w:rsid w:val="00F60F00"/>
    <w:rsid w:val="00F6117B"/>
    <w:rsid w:val="00F614C0"/>
    <w:rsid w:val="00F61725"/>
    <w:rsid w:val="00F61761"/>
    <w:rsid w:val="00F61B39"/>
    <w:rsid w:val="00F62C48"/>
    <w:rsid w:val="00F62E80"/>
    <w:rsid w:val="00F62F26"/>
    <w:rsid w:val="00F63512"/>
    <w:rsid w:val="00F63714"/>
    <w:rsid w:val="00F63FEB"/>
    <w:rsid w:val="00F64312"/>
    <w:rsid w:val="00F647A8"/>
    <w:rsid w:val="00F64A4E"/>
    <w:rsid w:val="00F64C73"/>
    <w:rsid w:val="00F65086"/>
    <w:rsid w:val="00F65AAD"/>
    <w:rsid w:val="00F65AE6"/>
    <w:rsid w:val="00F65BCC"/>
    <w:rsid w:val="00F65F4D"/>
    <w:rsid w:val="00F6637A"/>
    <w:rsid w:val="00F673D6"/>
    <w:rsid w:val="00F67445"/>
    <w:rsid w:val="00F67547"/>
    <w:rsid w:val="00F6762A"/>
    <w:rsid w:val="00F6773A"/>
    <w:rsid w:val="00F67A21"/>
    <w:rsid w:val="00F67F29"/>
    <w:rsid w:val="00F67F2E"/>
    <w:rsid w:val="00F70178"/>
    <w:rsid w:val="00F703E1"/>
    <w:rsid w:val="00F70BE9"/>
    <w:rsid w:val="00F70C39"/>
    <w:rsid w:val="00F70EE7"/>
    <w:rsid w:val="00F71E2D"/>
    <w:rsid w:val="00F72037"/>
    <w:rsid w:val="00F723A1"/>
    <w:rsid w:val="00F72482"/>
    <w:rsid w:val="00F72FA5"/>
    <w:rsid w:val="00F7329E"/>
    <w:rsid w:val="00F73562"/>
    <w:rsid w:val="00F735BE"/>
    <w:rsid w:val="00F7380D"/>
    <w:rsid w:val="00F7443C"/>
    <w:rsid w:val="00F746A0"/>
    <w:rsid w:val="00F74780"/>
    <w:rsid w:val="00F74814"/>
    <w:rsid w:val="00F7486F"/>
    <w:rsid w:val="00F74C46"/>
    <w:rsid w:val="00F75534"/>
    <w:rsid w:val="00F7576E"/>
    <w:rsid w:val="00F75F90"/>
    <w:rsid w:val="00F76062"/>
    <w:rsid w:val="00F763E7"/>
    <w:rsid w:val="00F764F2"/>
    <w:rsid w:val="00F76942"/>
    <w:rsid w:val="00F7720F"/>
    <w:rsid w:val="00F77275"/>
    <w:rsid w:val="00F77978"/>
    <w:rsid w:val="00F77C42"/>
    <w:rsid w:val="00F80F8E"/>
    <w:rsid w:val="00F817DC"/>
    <w:rsid w:val="00F8219D"/>
    <w:rsid w:val="00F82305"/>
    <w:rsid w:val="00F83848"/>
    <w:rsid w:val="00F83A9C"/>
    <w:rsid w:val="00F83BC3"/>
    <w:rsid w:val="00F840E5"/>
    <w:rsid w:val="00F8472B"/>
    <w:rsid w:val="00F847F4"/>
    <w:rsid w:val="00F84B10"/>
    <w:rsid w:val="00F85AEB"/>
    <w:rsid w:val="00F85F00"/>
    <w:rsid w:val="00F86357"/>
    <w:rsid w:val="00F86ECD"/>
    <w:rsid w:val="00F87436"/>
    <w:rsid w:val="00F87AF1"/>
    <w:rsid w:val="00F87DC3"/>
    <w:rsid w:val="00F90487"/>
    <w:rsid w:val="00F9087A"/>
    <w:rsid w:val="00F90DFC"/>
    <w:rsid w:val="00F90ECF"/>
    <w:rsid w:val="00F92D3E"/>
    <w:rsid w:val="00F93343"/>
    <w:rsid w:val="00F936A4"/>
    <w:rsid w:val="00F93871"/>
    <w:rsid w:val="00F93C87"/>
    <w:rsid w:val="00F93E6E"/>
    <w:rsid w:val="00F94436"/>
    <w:rsid w:val="00F947A8"/>
    <w:rsid w:val="00F947B2"/>
    <w:rsid w:val="00F94DA3"/>
    <w:rsid w:val="00F9539A"/>
    <w:rsid w:val="00F96038"/>
    <w:rsid w:val="00F96B1F"/>
    <w:rsid w:val="00F975E9"/>
    <w:rsid w:val="00F977BF"/>
    <w:rsid w:val="00F977E9"/>
    <w:rsid w:val="00F97813"/>
    <w:rsid w:val="00F97830"/>
    <w:rsid w:val="00F979D0"/>
    <w:rsid w:val="00FA0EA6"/>
    <w:rsid w:val="00FA0F8E"/>
    <w:rsid w:val="00FA12AA"/>
    <w:rsid w:val="00FA1B7D"/>
    <w:rsid w:val="00FA1FE7"/>
    <w:rsid w:val="00FA317C"/>
    <w:rsid w:val="00FA408F"/>
    <w:rsid w:val="00FA4207"/>
    <w:rsid w:val="00FA4925"/>
    <w:rsid w:val="00FA58AA"/>
    <w:rsid w:val="00FA5F4C"/>
    <w:rsid w:val="00FA5F73"/>
    <w:rsid w:val="00FA6113"/>
    <w:rsid w:val="00FA668E"/>
    <w:rsid w:val="00FA71D9"/>
    <w:rsid w:val="00FA7B72"/>
    <w:rsid w:val="00FB0503"/>
    <w:rsid w:val="00FB12EB"/>
    <w:rsid w:val="00FB1938"/>
    <w:rsid w:val="00FB2381"/>
    <w:rsid w:val="00FB2864"/>
    <w:rsid w:val="00FB28B7"/>
    <w:rsid w:val="00FB2E49"/>
    <w:rsid w:val="00FB2F44"/>
    <w:rsid w:val="00FB37FB"/>
    <w:rsid w:val="00FB391A"/>
    <w:rsid w:val="00FB4504"/>
    <w:rsid w:val="00FB4725"/>
    <w:rsid w:val="00FB477F"/>
    <w:rsid w:val="00FB4915"/>
    <w:rsid w:val="00FB49F0"/>
    <w:rsid w:val="00FB5AB8"/>
    <w:rsid w:val="00FB6317"/>
    <w:rsid w:val="00FB661D"/>
    <w:rsid w:val="00FB67F2"/>
    <w:rsid w:val="00FB6B3A"/>
    <w:rsid w:val="00FB6BD0"/>
    <w:rsid w:val="00FB71A4"/>
    <w:rsid w:val="00FB73DC"/>
    <w:rsid w:val="00FB78D0"/>
    <w:rsid w:val="00FB7954"/>
    <w:rsid w:val="00FC004A"/>
    <w:rsid w:val="00FC014B"/>
    <w:rsid w:val="00FC07B9"/>
    <w:rsid w:val="00FC0A11"/>
    <w:rsid w:val="00FC0F76"/>
    <w:rsid w:val="00FC18FC"/>
    <w:rsid w:val="00FC1B05"/>
    <w:rsid w:val="00FC1D42"/>
    <w:rsid w:val="00FC1E56"/>
    <w:rsid w:val="00FC23E3"/>
    <w:rsid w:val="00FC25BC"/>
    <w:rsid w:val="00FC2926"/>
    <w:rsid w:val="00FC2D71"/>
    <w:rsid w:val="00FC2D9E"/>
    <w:rsid w:val="00FC3050"/>
    <w:rsid w:val="00FC3B5B"/>
    <w:rsid w:val="00FC3E88"/>
    <w:rsid w:val="00FC3EC6"/>
    <w:rsid w:val="00FC4100"/>
    <w:rsid w:val="00FC410C"/>
    <w:rsid w:val="00FC4256"/>
    <w:rsid w:val="00FC468F"/>
    <w:rsid w:val="00FC4BD3"/>
    <w:rsid w:val="00FC4E21"/>
    <w:rsid w:val="00FC502E"/>
    <w:rsid w:val="00FC5F6D"/>
    <w:rsid w:val="00FC6210"/>
    <w:rsid w:val="00FC68B5"/>
    <w:rsid w:val="00FC6D73"/>
    <w:rsid w:val="00FC7465"/>
    <w:rsid w:val="00FC77A1"/>
    <w:rsid w:val="00FD0107"/>
    <w:rsid w:val="00FD015E"/>
    <w:rsid w:val="00FD0224"/>
    <w:rsid w:val="00FD0A3C"/>
    <w:rsid w:val="00FD0D1E"/>
    <w:rsid w:val="00FD10AB"/>
    <w:rsid w:val="00FD13EB"/>
    <w:rsid w:val="00FD1951"/>
    <w:rsid w:val="00FD2152"/>
    <w:rsid w:val="00FD21A2"/>
    <w:rsid w:val="00FD21C5"/>
    <w:rsid w:val="00FD21C8"/>
    <w:rsid w:val="00FD2A8F"/>
    <w:rsid w:val="00FD2C2F"/>
    <w:rsid w:val="00FD2EC1"/>
    <w:rsid w:val="00FD394A"/>
    <w:rsid w:val="00FD3B31"/>
    <w:rsid w:val="00FD42D0"/>
    <w:rsid w:val="00FD5117"/>
    <w:rsid w:val="00FD6C2B"/>
    <w:rsid w:val="00FD6E08"/>
    <w:rsid w:val="00FD6EDF"/>
    <w:rsid w:val="00FD7215"/>
    <w:rsid w:val="00FD7653"/>
    <w:rsid w:val="00FD789B"/>
    <w:rsid w:val="00FD7F48"/>
    <w:rsid w:val="00FE0396"/>
    <w:rsid w:val="00FE0398"/>
    <w:rsid w:val="00FE03C2"/>
    <w:rsid w:val="00FE04FB"/>
    <w:rsid w:val="00FE0A96"/>
    <w:rsid w:val="00FE0D33"/>
    <w:rsid w:val="00FE0D45"/>
    <w:rsid w:val="00FE12C0"/>
    <w:rsid w:val="00FE1823"/>
    <w:rsid w:val="00FE1B63"/>
    <w:rsid w:val="00FE1C35"/>
    <w:rsid w:val="00FE247E"/>
    <w:rsid w:val="00FE2708"/>
    <w:rsid w:val="00FE371C"/>
    <w:rsid w:val="00FE375F"/>
    <w:rsid w:val="00FE39B6"/>
    <w:rsid w:val="00FE3F37"/>
    <w:rsid w:val="00FE487A"/>
    <w:rsid w:val="00FE4962"/>
    <w:rsid w:val="00FE51B7"/>
    <w:rsid w:val="00FE56C3"/>
    <w:rsid w:val="00FE59DC"/>
    <w:rsid w:val="00FE5A33"/>
    <w:rsid w:val="00FE6A66"/>
    <w:rsid w:val="00FE6EDD"/>
    <w:rsid w:val="00FE7022"/>
    <w:rsid w:val="00FE703F"/>
    <w:rsid w:val="00FE71B3"/>
    <w:rsid w:val="00FE7345"/>
    <w:rsid w:val="00FE7935"/>
    <w:rsid w:val="00FE7C9C"/>
    <w:rsid w:val="00FF03DE"/>
    <w:rsid w:val="00FF0569"/>
    <w:rsid w:val="00FF0643"/>
    <w:rsid w:val="00FF06D4"/>
    <w:rsid w:val="00FF0DDC"/>
    <w:rsid w:val="00FF206E"/>
    <w:rsid w:val="00FF2595"/>
    <w:rsid w:val="00FF2F0E"/>
    <w:rsid w:val="00FF3058"/>
    <w:rsid w:val="00FF354C"/>
    <w:rsid w:val="00FF3C69"/>
    <w:rsid w:val="00FF4061"/>
    <w:rsid w:val="00FF4528"/>
    <w:rsid w:val="00FF46EF"/>
    <w:rsid w:val="00FF4CB1"/>
    <w:rsid w:val="00FF4D48"/>
    <w:rsid w:val="00FF4D93"/>
    <w:rsid w:val="00FF52EF"/>
    <w:rsid w:val="00FF5DB1"/>
    <w:rsid w:val="00FF5EAC"/>
    <w:rsid w:val="00FF5F85"/>
    <w:rsid w:val="00FF6196"/>
    <w:rsid w:val="00FF6580"/>
    <w:rsid w:val="00FF66D6"/>
    <w:rsid w:val="00FF6E0A"/>
    <w:rsid w:val="00FF6E5A"/>
    <w:rsid w:val="00FF7053"/>
    <w:rsid w:val="00FF77B2"/>
    <w:rsid w:val="00FF7AD2"/>
    <w:rsid w:val="00FF7EE9"/>
    <w:rsid w:val="019CEF08"/>
    <w:rsid w:val="01B20B5B"/>
    <w:rsid w:val="01BDD50A"/>
    <w:rsid w:val="0409E411"/>
    <w:rsid w:val="0412734D"/>
    <w:rsid w:val="05F862CF"/>
    <w:rsid w:val="060E871F"/>
    <w:rsid w:val="0625C536"/>
    <w:rsid w:val="06FF9135"/>
    <w:rsid w:val="070DEF96"/>
    <w:rsid w:val="076A3826"/>
    <w:rsid w:val="079AB3E9"/>
    <w:rsid w:val="0862DDB4"/>
    <w:rsid w:val="0AB0A236"/>
    <w:rsid w:val="0B11DD6E"/>
    <w:rsid w:val="0BFA33E5"/>
    <w:rsid w:val="0C2E4C25"/>
    <w:rsid w:val="0D366368"/>
    <w:rsid w:val="0F65A3E5"/>
    <w:rsid w:val="0F8203A0"/>
    <w:rsid w:val="10C8C4F0"/>
    <w:rsid w:val="1140A0A3"/>
    <w:rsid w:val="145474B8"/>
    <w:rsid w:val="14A56E85"/>
    <w:rsid w:val="159858B0"/>
    <w:rsid w:val="161F0D9E"/>
    <w:rsid w:val="167D2F82"/>
    <w:rsid w:val="176899B1"/>
    <w:rsid w:val="17FE6596"/>
    <w:rsid w:val="18007545"/>
    <w:rsid w:val="184198FA"/>
    <w:rsid w:val="191807CC"/>
    <w:rsid w:val="1B745AE8"/>
    <w:rsid w:val="1B82D986"/>
    <w:rsid w:val="1C57EFCA"/>
    <w:rsid w:val="1E016543"/>
    <w:rsid w:val="1E11DAB8"/>
    <w:rsid w:val="1F1856EF"/>
    <w:rsid w:val="1F5D574B"/>
    <w:rsid w:val="21F9CF15"/>
    <w:rsid w:val="230960DD"/>
    <w:rsid w:val="23CD80F3"/>
    <w:rsid w:val="241592C1"/>
    <w:rsid w:val="24684DDD"/>
    <w:rsid w:val="24A00E81"/>
    <w:rsid w:val="26CA5F06"/>
    <w:rsid w:val="27616B73"/>
    <w:rsid w:val="27CC12B8"/>
    <w:rsid w:val="2904974F"/>
    <w:rsid w:val="298B7CA4"/>
    <w:rsid w:val="2AA73FDB"/>
    <w:rsid w:val="2AAE4496"/>
    <w:rsid w:val="2C60ADBB"/>
    <w:rsid w:val="2CD57F08"/>
    <w:rsid w:val="2D1BD1D7"/>
    <w:rsid w:val="2EA5DE04"/>
    <w:rsid w:val="2EB9F3F0"/>
    <w:rsid w:val="2F6C7762"/>
    <w:rsid w:val="312AA421"/>
    <w:rsid w:val="31DF2EA7"/>
    <w:rsid w:val="326E0079"/>
    <w:rsid w:val="330D3AB7"/>
    <w:rsid w:val="334D6C96"/>
    <w:rsid w:val="33CB355D"/>
    <w:rsid w:val="33CFA547"/>
    <w:rsid w:val="3403729E"/>
    <w:rsid w:val="35663030"/>
    <w:rsid w:val="3572A22B"/>
    <w:rsid w:val="35A6773F"/>
    <w:rsid w:val="36A71235"/>
    <w:rsid w:val="37668FD0"/>
    <w:rsid w:val="3795650C"/>
    <w:rsid w:val="37FA6D62"/>
    <w:rsid w:val="38DEA911"/>
    <w:rsid w:val="398E190A"/>
    <w:rsid w:val="3A7D0EDA"/>
    <w:rsid w:val="3A9D2E76"/>
    <w:rsid w:val="3ADE8067"/>
    <w:rsid w:val="3E6EBE52"/>
    <w:rsid w:val="3F3E02AA"/>
    <w:rsid w:val="3FBD696A"/>
    <w:rsid w:val="3FCAA5F4"/>
    <w:rsid w:val="40848D64"/>
    <w:rsid w:val="411EE66B"/>
    <w:rsid w:val="41C2F35E"/>
    <w:rsid w:val="41E9D9AB"/>
    <w:rsid w:val="423F577B"/>
    <w:rsid w:val="42E25D9F"/>
    <w:rsid w:val="441B8161"/>
    <w:rsid w:val="443A86AA"/>
    <w:rsid w:val="44C44FCE"/>
    <w:rsid w:val="467077E9"/>
    <w:rsid w:val="469399B1"/>
    <w:rsid w:val="471E36FD"/>
    <w:rsid w:val="474C8455"/>
    <w:rsid w:val="4774E310"/>
    <w:rsid w:val="4A22B875"/>
    <w:rsid w:val="4A8AFA65"/>
    <w:rsid w:val="4B3B7895"/>
    <w:rsid w:val="4B5586BC"/>
    <w:rsid w:val="4C7311E4"/>
    <w:rsid w:val="4D0C02BF"/>
    <w:rsid w:val="4E01CE44"/>
    <w:rsid w:val="4EDE8558"/>
    <w:rsid w:val="4FB49E4D"/>
    <w:rsid w:val="4FCBEE57"/>
    <w:rsid w:val="519B0AD2"/>
    <w:rsid w:val="5258000E"/>
    <w:rsid w:val="5329415C"/>
    <w:rsid w:val="567701A3"/>
    <w:rsid w:val="57BE8FFE"/>
    <w:rsid w:val="584BF392"/>
    <w:rsid w:val="58F671A7"/>
    <w:rsid w:val="5AD706A6"/>
    <w:rsid w:val="5B337A39"/>
    <w:rsid w:val="5CB1736A"/>
    <w:rsid w:val="5DFFC05C"/>
    <w:rsid w:val="619F3AFB"/>
    <w:rsid w:val="62091A3B"/>
    <w:rsid w:val="62C20F96"/>
    <w:rsid w:val="62E7BE5C"/>
    <w:rsid w:val="62FAC59E"/>
    <w:rsid w:val="6306651A"/>
    <w:rsid w:val="630D2B1D"/>
    <w:rsid w:val="642CFF35"/>
    <w:rsid w:val="650D137E"/>
    <w:rsid w:val="65A7EDCC"/>
    <w:rsid w:val="662957C9"/>
    <w:rsid w:val="6720E15A"/>
    <w:rsid w:val="68209484"/>
    <w:rsid w:val="68FE3F76"/>
    <w:rsid w:val="69EF7CDD"/>
    <w:rsid w:val="6ACF8839"/>
    <w:rsid w:val="6B08C133"/>
    <w:rsid w:val="6B3FAF71"/>
    <w:rsid w:val="6B724FD4"/>
    <w:rsid w:val="6C1F4129"/>
    <w:rsid w:val="6EA2464B"/>
    <w:rsid w:val="6F130D04"/>
    <w:rsid w:val="6F18AC87"/>
    <w:rsid w:val="6F80633C"/>
    <w:rsid w:val="6FA5F7B7"/>
    <w:rsid w:val="7006E029"/>
    <w:rsid w:val="7088F3C5"/>
    <w:rsid w:val="70A9DACF"/>
    <w:rsid w:val="72A77F9A"/>
    <w:rsid w:val="737F799E"/>
    <w:rsid w:val="75EABCA5"/>
    <w:rsid w:val="76C2EBF3"/>
    <w:rsid w:val="77FC05EF"/>
    <w:rsid w:val="78C2DE91"/>
    <w:rsid w:val="79581733"/>
    <w:rsid w:val="7B780790"/>
    <w:rsid w:val="7C0B3909"/>
    <w:rsid w:val="7D0176B0"/>
    <w:rsid w:val="7F0D058F"/>
    <w:rsid w:val="7FEC344B"/>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red,#4d4d4f"/>
    </o:shapedefaults>
    <o:shapelayout v:ext="edit">
      <o:idmap v:ext="edit" data="1"/>
    </o:shapelayout>
  </w:shapeDefaults>
  <w:decimalSymbol w:val="."/>
  <w:listSeparator w:val=","/>
  <w14:docId w14:val="3036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10"/>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10"/>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10"/>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10"/>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uiPriority w:val="35"/>
    <w:qFormat/>
    <w:rsid w:val="00E8152A"/>
    <w:pPr>
      <w:numPr>
        <w:numId w:val="14"/>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qFormat/>
    <w:rsid w:val="001C6AEE"/>
    <w:pPr>
      <w:numPr>
        <w:numId w:val="6"/>
      </w:numPr>
      <w:spacing w:after="80"/>
    </w:pPr>
  </w:style>
  <w:style w:type="paragraph" w:styleId="ListBullet2">
    <w:name w:val="List Bullet 2"/>
    <w:basedOn w:val="Normal"/>
    <w:qFormat/>
    <w:rsid w:val="001C6AEE"/>
    <w:pPr>
      <w:numPr>
        <w:numId w:val="7"/>
      </w:numPr>
      <w:spacing w:after="80"/>
    </w:pPr>
  </w:style>
  <w:style w:type="paragraph" w:styleId="ListNumber">
    <w:name w:val="List Number"/>
    <w:basedOn w:val="Normal"/>
    <w:qFormat/>
    <w:rsid w:val="00C24A53"/>
    <w:pPr>
      <w:numPr>
        <w:numId w:val="8"/>
      </w:numPr>
      <w:spacing w:after="80"/>
    </w:pPr>
  </w:style>
  <w:style w:type="paragraph" w:styleId="ListNumber2">
    <w:name w:val="List Number 2"/>
    <w:basedOn w:val="Normal"/>
    <w:qFormat/>
    <w:rsid w:val="004A70D6"/>
    <w:pPr>
      <w:numPr>
        <w:numId w:val="9"/>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Style 13,FR"/>
    <w:basedOn w:val="DefaultParagraphFont"/>
    <w:uiPriority w:val="99"/>
    <w:qForma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rsid w:val="00D61243"/>
    <w:pPr>
      <w:spacing w:after="0"/>
    </w:pPr>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qFormat/>
    <w:rsid w:val="003F10EE"/>
    <w:pPr>
      <w:numPr>
        <w:numId w:val="12"/>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11"/>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13"/>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uiPriority w:val="99"/>
    <w:rsid w:val="00971914"/>
    <w:rPr>
      <w:rFonts w:ascii="Arial" w:hAnsi="Arial"/>
      <w:sz w:val="16"/>
    </w:rPr>
  </w:style>
  <w:style w:type="character" w:customStyle="1" w:styleId="Heading1Char">
    <w:name w:val="Heading 1 Char"/>
    <w:basedOn w:val="DefaultParagraphFont"/>
    <w:link w:val="Heading1"/>
    <w:rsid w:val="00F5310D"/>
    <w:rPr>
      <w:rFonts w:ascii="Arial" w:hAnsi="Arial" w:cs="Arial"/>
      <w:bCs/>
      <w:color w:val="323232"/>
      <w:kern w:val="32"/>
      <w:sz w:val="53"/>
      <w:szCs w:val="32"/>
    </w:rPr>
  </w:style>
  <w:style w:type="character" w:customStyle="1" w:styleId="Heading2Char">
    <w:name w:val="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21"/>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character" w:customStyle="1" w:styleId="ListBulletChar">
    <w:name w:val="List Bullet Char"/>
    <w:aliases w:val="List Bullet 1 Char"/>
    <w:basedOn w:val="DefaultParagraphFont"/>
    <w:link w:val="ListBullet"/>
    <w:locked/>
    <w:rsid w:val="00D116EF"/>
    <w:rPr>
      <w:rFonts w:ascii="Arial" w:hAnsi="Arial"/>
      <w:sz w:val="20"/>
    </w:rPr>
  </w:style>
  <w:style w:type="table" w:styleId="ListTable3-Accent1">
    <w:name w:val="List Table 3 Accent 1"/>
    <w:basedOn w:val="TableNormal"/>
    <w:uiPriority w:val="48"/>
    <w:rsid w:val="008F63F2"/>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ListParagraph">
    <w:name w:val="List Paragraph"/>
    <w:basedOn w:val="Normal"/>
    <w:uiPriority w:val="34"/>
    <w:qFormat/>
    <w:rsid w:val="00884EE0"/>
    <w:pPr>
      <w:ind w:left="720"/>
      <w:contextualSpacing/>
    </w:pPr>
  </w:style>
  <w:style w:type="paragraph" w:customStyle="1" w:styleId="paragraph0">
    <w:name w:val="paragraph"/>
    <w:basedOn w:val="Normal"/>
    <w:rsid w:val="00E8726C"/>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E8726C"/>
  </w:style>
  <w:style w:type="character" w:customStyle="1" w:styleId="eop">
    <w:name w:val="eop"/>
    <w:basedOn w:val="DefaultParagraphFont"/>
    <w:rsid w:val="00E8726C"/>
  </w:style>
  <w:style w:type="paragraph" w:customStyle="1" w:styleId="acthead5">
    <w:name w:val="acthead5"/>
    <w:basedOn w:val="Normal"/>
    <w:rsid w:val="00B80B1E"/>
    <w:pPr>
      <w:spacing w:before="100" w:beforeAutospacing="1" w:after="100" w:afterAutospacing="1" w:line="240" w:lineRule="auto"/>
    </w:pPr>
    <w:rPr>
      <w:rFonts w:ascii="Times New Roman" w:hAnsi="Times New Roman"/>
      <w:sz w:val="24"/>
    </w:rPr>
  </w:style>
  <w:style w:type="character" w:customStyle="1" w:styleId="charsectno">
    <w:name w:val="charsectno"/>
    <w:basedOn w:val="DefaultParagraphFont"/>
    <w:rsid w:val="00B80B1E"/>
  </w:style>
  <w:style w:type="paragraph" w:customStyle="1" w:styleId="subsection">
    <w:name w:val="subsection"/>
    <w:basedOn w:val="Normal"/>
    <w:rsid w:val="00B80B1E"/>
    <w:pPr>
      <w:spacing w:before="100" w:beforeAutospacing="1" w:after="100" w:afterAutospacing="1" w:line="240" w:lineRule="auto"/>
    </w:pPr>
    <w:rPr>
      <w:rFonts w:ascii="Times New Roman" w:hAnsi="Times New Roman"/>
      <w:sz w:val="24"/>
    </w:rPr>
  </w:style>
  <w:style w:type="paragraph" w:styleId="NormalWeb">
    <w:name w:val="Normal (Web)"/>
    <w:basedOn w:val="Normal"/>
    <w:semiHidden/>
    <w:unhideWhenUsed/>
    <w:rsid w:val="00DA68C2"/>
    <w:pPr>
      <w:spacing w:before="100" w:beforeAutospacing="1" w:after="100" w:afterAutospacing="1" w:line="240" w:lineRule="auto"/>
    </w:pPr>
    <w:rPr>
      <w:rFonts w:ascii="Times New Roman" w:hAnsi="Times New Roman"/>
      <w:sz w:val="24"/>
    </w:rPr>
  </w:style>
  <w:style w:type="paragraph" w:styleId="Revision">
    <w:name w:val="Revision"/>
    <w:hidden/>
    <w:semiHidden/>
    <w:rsid w:val="00E85616"/>
    <w:rPr>
      <w:rFonts w:ascii="Arial" w:hAnsi="Arial"/>
      <w:sz w:val="20"/>
    </w:rPr>
  </w:style>
  <w:style w:type="paragraph" w:customStyle="1" w:styleId="ACMASpaceaftertable">
    <w:name w:val="ACMA_Space after table"/>
    <w:basedOn w:val="Normal"/>
    <w:qFormat/>
    <w:rsid w:val="008E3C6B"/>
    <w:rPr>
      <w:rFonts w:cs="Arial"/>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rsid w:val="008E3C6B"/>
    <w:rPr>
      <w:rFonts w:ascii="Arial" w:hAnsi="Arial"/>
      <w:sz w:val="16"/>
      <w:szCs w:val="16"/>
    </w:rPr>
  </w:style>
  <w:style w:type="paragraph" w:customStyle="1" w:styleId="TableHeading0">
    <w:name w:val="Table Heading"/>
    <w:basedOn w:val="Normal"/>
    <w:qFormat/>
    <w:rsid w:val="008E3C6B"/>
    <w:pPr>
      <w:spacing w:after="0"/>
    </w:pPr>
    <w:rPr>
      <w:b/>
    </w:rPr>
  </w:style>
  <w:style w:type="paragraph" w:customStyle="1" w:styleId="ACMANumberedList">
    <w:name w:val="ACMA Numbered List"/>
    <w:rsid w:val="008E3C6B"/>
    <w:pPr>
      <w:numPr>
        <w:numId w:val="36"/>
      </w:numPr>
      <w:spacing w:before="20" w:after="20"/>
    </w:pPr>
    <w:rPr>
      <w:szCs w:val="20"/>
      <w:lang w:eastAsia="en-US"/>
    </w:rPr>
  </w:style>
  <w:style w:type="table" w:styleId="GridTable4">
    <w:name w:val="Grid Table 4"/>
    <w:basedOn w:val="TableNormal"/>
    <w:uiPriority w:val="49"/>
    <w:rsid w:val="008E3C6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form">
    <w:name w:val="TableText form"/>
    <w:basedOn w:val="Normal"/>
    <w:qFormat/>
    <w:rsid w:val="008E3C6B"/>
    <w:pPr>
      <w:spacing w:before="40" w:line="240" w:lineRule="auto"/>
    </w:pPr>
    <w:rPr>
      <w:rFonts w:eastAsiaTheme="majorEastAsia" w:cs="Arial"/>
      <w:bCs/>
      <w:szCs w:val="20"/>
      <w:lang w:eastAsia="en-US"/>
    </w:rPr>
  </w:style>
  <w:style w:type="character" w:customStyle="1" w:styleId="textrun">
    <w:name w:val="textrun"/>
    <w:basedOn w:val="DefaultParagraphFont"/>
    <w:rsid w:val="003835E9"/>
  </w:style>
  <w:style w:type="paragraph" w:customStyle="1" w:styleId="BulletLevel3">
    <w:name w:val="Bullet Level 3"/>
    <w:basedOn w:val="ListBullet"/>
    <w:link w:val="BulletLevel3Char"/>
    <w:qFormat/>
    <w:rsid w:val="00BA4F70"/>
    <w:pPr>
      <w:tabs>
        <w:tab w:val="clear" w:pos="295"/>
        <w:tab w:val="num" w:pos="1147"/>
      </w:tabs>
      <w:ind w:left="1147"/>
    </w:pPr>
    <w:rPr>
      <w:rFonts w:eastAsia="Arial"/>
    </w:rPr>
  </w:style>
  <w:style w:type="character" w:customStyle="1" w:styleId="BulletLevel3Char">
    <w:name w:val="Bullet Level 3 Char"/>
    <w:basedOn w:val="ListBulletChar"/>
    <w:link w:val="BulletLevel3"/>
    <w:rsid w:val="00BA4F70"/>
    <w:rPr>
      <w:rFonts w:ascii="Arial" w:eastAsia="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33156252">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587740142">
      <w:bodyDiv w:val="1"/>
      <w:marLeft w:val="0"/>
      <w:marRight w:val="0"/>
      <w:marTop w:val="0"/>
      <w:marBottom w:val="0"/>
      <w:divBdr>
        <w:top w:val="none" w:sz="0" w:space="0" w:color="auto"/>
        <w:left w:val="none" w:sz="0" w:space="0" w:color="auto"/>
        <w:bottom w:val="none" w:sz="0" w:space="0" w:color="auto"/>
        <w:right w:val="none" w:sz="0" w:space="0" w:color="auto"/>
      </w:divBdr>
    </w:div>
    <w:div w:id="694424619">
      <w:bodyDiv w:val="1"/>
      <w:marLeft w:val="0"/>
      <w:marRight w:val="0"/>
      <w:marTop w:val="0"/>
      <w:marBottom w:val="0"/>
      <w:divBdr>
        <w:top w:val="none" w:sz="0" w:space="0" w:color="auto"/>
        <w:left w:val="none" w:sz="0" w:space="0" w:color="auto"/>
        <w:bottom w:val="none" w:sz="0" w:space="0" w:color="auto"/>
        <w:right w:val="none" w:sz="0" w:space="0" w:color="auto"/>
      </w:divBdr>
      <w:divsChild>
        <w:div w:id="416944527">
          <w:marLeft w:val="0"/>
          <w:marRight w:val="0"/>
          <w:marTop w:val="0"/>
          <w:marBottom w:val="0"/>
          <w:divBdr>
            <w:top w:val="none" w:sz="0" w:space="0" w:color="auto"/>
            <w:left w:val="none" w:sz="0" w:space="0" w:color="auto"/>
            <w:bottom w:val="none" w:sz="0" w:space="0" w:color="auto"/>
            <w:right w:val="none" w:sz="0" w:space="0" w:color="auto"/>
          </w:divBdr>
        </w:div>
        <w:div w:id="578060116">
          <w:marLeft w:val="0"/>
          <w:marRight w:val="0"/>
          <w:marTop w:val="0"/>
          <w:marBottom w:val="0"/>
          <w:divBdr>
            <w:top w:val="none" w:sz="0" w:space="0" w:color="auto"/>
            <w:left w:val="none" w:sz="0" w:space="0" w:color="auto"/>
            <w:bottom w:val="none" w:sz="0" w:space="0" w:color="auto"/>
            <w:right w:val="none" w:sz="0" w:space="0" w:color="auto"/>
          </w:divBdr>
        </w:div>
        <w:div w:id="608780455">
          <w:marLeft w:val="0"/>
          <w:marRight w:val="0"/>
          <w:marTop w:val="0"/>
          <w:marBottom w:val="0"/>
          <w:divBdr>
            <w:top w:val="none" w:sz="0" w:space="0" w:color="auto"/>
            <w:left w:val="none" w:sz="0" w:space="0" w:color="auto"/>
            <w:bottom w:val="none" w:sz="0" w:space="0" w:color="auto"/>
            <w:right w:val="none" w:sz="0" w:space="0" w:color="auto"/>
          </w:divBdr>
        </w:div>
        <w:div w:id="1119496691">
          <w:marLeft w:val="0"/>
          <w:marRight w:val="0"/>
          <w:marTop w:val="0"/>
          <w:marBottom w:val="0"/>
          <w:divBdr>
            <w:top w:val="none" w:sz="0" w:space="0" w:color="auto"/>
            <w:left w:val="none" w:sz="0" w:space="0" w:color="auto"/>
            <w:bottom w:val="none" w:sz="0" w:space="0" w:color="auto"/>
            <w:right w:val="none" w:sz="0" w:space="0" w:color="auto"/>
          </w:divBdr>
        </w:div>
        <w:div w:id="1367410834">
          <w:marLeft w:val="0"/>
          <w:marRight w:val="0"/>
          <w:marTop w:val="0"/>
          <w:marBottom w:val="0"/>
          <w:divBdr>
            <w:top w:val="none" w:sz="0" w:space="0" w:color="auto"/>
            <w:left w:val="none" w:sz="0" w:space="0" w:color="auto"/>
            <w:bottom w:val="none" w:sz="0" w:space="0" w:color="auto"/>
            <w:right w:val="none" w:sz="0" w:space="0" w:color="auto"/>
          </w:divBdr>
        </w:div>
        <w:div w:id="1444424984">
          <w:marLeft w:val="0"/>
          <w:marRight w:val="0"/>
          <w:marTop w:val="0"/>
          <w:marBottom w:val="0"/>
          <w:divBdr>
            <w:top w:val="none" w:sz="0" w:space="0" w:color="auto"/>
            <w:left w:val="none" w:sz="0" w:space="0" w:color="auto"/>
            <w:bottom w:val="none" w:sz="0" w:space="0" w:color="auto"/>
            <w:right w:val="none" w:sz="0" w:space="0" w:color="auto"/>
          </w:divBdr>
        </w:div>
        <w:div w:id="1503660511">
          <w:marLeft w:val="0"/>
          <w:marRight w:val="0"/>
          <w:marTop w:val="0"/>
          <w:marBottom w:val="0"/>
          <w:divBdr>
            <w:top w:val="none" w:sz="0" w:space="0" w:color="auto"/>
            <w:left w:val="none" w:sz="0" w:space="0" w:color="auto"/>
            <w:bottom w:val="none" w:sz="0" w:space="0" w:color="auto"/>
            <w:right w:val="none" w:sz="0" w:space="0" w:color="auto"/>
          </w:divBdr>
        </w:div>
        <w:div w:id="1690713222">
          <w:marLeft w:val="0"/>
          <w:marRight w:val="0"/>
          <w:marTop w:val="0"/>
          <w:marBottom w:val="0"/>
          <w:divBdr>
            <w:top w:val="none" w:sz="0" w:space="0" w:color="auto"/>
            <w:left w:val="none" w:sz="0" w:space="0" w:color="auto"/>
            <w:bottom w:val="none" w:sz="0" w:space="0" w:color="auto"/>
            <w:right w:val="none" w:sz="0" w:space="0" w:color="auto"/>
          </w:divBdr>
          <w:divsChild>
            <w:div w:id="245923077">
              <w:marLeft w:val="0"/>
              <w:marRight w:val="0"/>
              <w:marTop w:val="0"/>
              <w:marBottom w:val="0"/>
              <w:divBdr>
                <w:top w:val="none" w:sz="0" w:space="0" w:color="auto"/>
                <w:left w:val="none" w:sz="0" w:space="0" w:color="auto"/>
                <w:bottom w:val="none" w:sz="0" w:space="0" w:color="auto"/>
                <w:right w:val="none" w:sz="0" w:space="0" w:color="auto"/>
              </w:divBdr>
            </w:div>
            <w:div w:id="1619871269">
              <w:marLeft w:val="0"/>
              <w:marRight w:val="0"/>
              <w:marTop w:val="0"/>
              <w:marBottom w:val="0"/>
              <w:divBdr>
                <w:top w:val="none" w:sz="0" w:space="0" w:color="auto"/>
                <w:left w:val="none" w:sz="0" w:space="0" w:color="auto"/>
                <w:bottom w:val="none" w:sz="0" w:space="0" w:color="auto"/>
                <w:right w:val="none" w:sz="0" w:space="0" w:color="auto"/>
              </w:divBdr>
            </w:div>
            <w:div w:id="1801531841">
              <w:marLeft w:val="0"/>
              <w:marRight w:val="0"/>
              <w:marTop w:val="0"/>
              <w:marBottom w:val="0"/>
              <w:divBdr>
                <w:top w:val="none" w:sz="0" w:space="0" w:color="auto"/>
                <w:left w:val="none" w:sz="0" w:space="0" w:color="auto"/>
                <w:bottom w:val="none" w:sz="0" w:space="0" w:color="auto"/>
                <w:right w:val="none" w:sz="0" w:space="0" w:color="auto"/>
              </w:divBdr>
            </w:div>
          </w:divsChild>
        </w:div>
        <w:div w:id="1861238743">
          <w:marLeft w:val="0"/>
          <w:marRight w:val="0"/>
          <w:marTop w:val="0"/>
          <w:marBottom w:val="0"/>
          <w:divBdr>
            <w:top w:val="none" w:sz="0" w:space="0" w:color="auto"/>
            <w:left w:val="none" w:sz="0" w:space="0" w:color="auto"/>
            <w:bottom w:val="none" w:sz="0" w:space="0" w:color="auto"/>
            <w:right w:val="none" w:sz="0" w:space="0" w:color="auto"/>
          </w:divBdr>
        </w:div>
        <w:div w:id="2120489875">
          <w:marLeft w:val="0"/>
          <w:marRight w:val="0"/>
          <w:marTop w:val="0"/>
          <w:marBottom w:val="0"/>
          <w:divBdr>
            <w:top w:val="none" w:sz="0" w:space="0" w:color="auto"/>
            <w:left w:val="none" w:sz="0" w:space="0" w:color="auto"/>
            <w:bottom w:val="none" w:sz="0" w:space="0" w:color="auto"/>
            <w:right w:val="none" w:sz="0" w:space="0" w:color="auto"/>
          </w:divBdr>
        </w:div>
      </w:divsChild>
    </w:div>
    <w:div w:id="1030691675">
      <w:bodyDiv w:val="1"/>
      <w:marLeft w:val="0"/>
      <w:marRight w:val="0"/>
      <w:marTop w:val="0"/>
      <w:marBottom w:val="0"/>
      <w:divBdr>
        <w:top w:val="none" w:sz="0" w:space="0" w:color="auto"/>
        <w:left w:val="none" w:sz="0" w:space="0" w:color="auto"/>
        <w:bottom w:val="none" w:sz="0" w:space="0" w:color="auto"/>
        <w:right w:val="none" w:sz="0" w:space="0" w:color="auto"/>
      </w:divBdr>
      <w:divsChild>
        <w:div w:id="584650684">
          <w:marLeft w:val="0"/>
          <w:marRight w:val="0"/>
          <w:marTop w:val="0"/>
          <w:marBottom w:val="0"/>
          <w:divBdr>
            <w:top w:val="none" w:sz="0" w:space="0" w:color="auto"/>
            <w:left w:val="none" w:sz="0" w:space="0" w:color="auto"/>
            <w:bottom w:val="none" w:sz="0" w:space="0" w:color="auto"/>
            <w:right w:val="none" w:sz="0" w:space="0" w:color="auto"/>
          </w:divBdr>
          <w:divsChild>
            <w:div w:id="2081368892">
              <w:marLeft w:val="0"/>
              <w:marRight w:val="0"/>
              <w:marTop w:val="0"/>
              <w:marBottom w:val="0"/>
              <w:divBdr>
                <w:top w:val="none" w:sz="0" w:space="0" w:color="auto"/>
                <w:left w:val="none" w:sz="0" w:space="0" w:color="auto"/>
                <w:bottom w:val="none" w:sz="0" w:space="0" w:color="auto"/>
                <w:right w:val="none" w:sz="0" w:space="0" w:color="auto"/>
              </w:divBdr>
              <w:divsChild>
                <w:div w:id="2080592972">
                  <w:marLeft w:val="0"/>
                  <w:marRight w:val="0"/>
                  <w:marTop w:val="0"/>
                  <w:marBottom w:val="0"/>
                  <w:divBdr>
                    <w:top w:val="none" w:sz="0" w:space="0" w:color="auto"/>
                    <w:left w:val="none" w:sz="0" w:space="0" w:color="auto"/>
                    <w:bottom w:val="none" w:sz="0" w:space="0" w:color="auto"/>
                    <w:right w:val="none" w:sz="0" w:space="0" w:color="auto"/>
                  </w:divBdr>
                  <w:divsChild>
                    <w:div w:id="1407458696">
                      <w:marLeft w:val="0"/>
                      <w:marRight w:val="0"/>
                      <w:marTop w:val="0"/>
                      <w:marBottom w:val="0"/>
                      <w:divBdr>
                        <w:top w:val="none" w:sz="0" w:space="0" w:color="auto"/>
                        <w:left w:val="none" w:sz="0" w:space="0" w:color="auto"/>
                        <w:bottom w:val="none" w:sz="0" w:space="0" w:color="auto"/>
                        <w:right w:val="none" w:sz="0" w:space="0" w:color="auto"/>
                      </w:divBdr>
                      <w:divsChild>
                        <w:div w:id="2050914598">
                          <w:marLeft w:val="0"/>
                          <w:marRight w:val="0"/>
                          <w:marTop w:val="0"/>
                          <w:marBottom w:val="0"/>
                          <w:divBdr>
                            <w:top w:val="none" w:sz="0" w:space="0" w:color="auto"/>
                            <w:left w:val="none" w:sz="0" w:space="0" w:color="auto"/>
                            <w:bottom w:val="none" w:sz="0" w:space="0" w:color="auto"/>
                            <w:right w:val="none" w:sz="0" w:space="0" w:color="auto"/>
                          </w:divBdr>
                          <w:divsChild>
                            <w:div w:id="983924615">
                              <w:marLeft w:val="0"/>
                              <w:marRight w:val="0"/>
                              <w:marTop w:val="0"/>
                              <w:marBottom w:val="0"/>
                              <w:divBdr>
                                <w:top w:val="none" w:sz="0" w:space="0" w:color="auto"/>
                                <w:left w:val="none" w:sz="0" w:space="0" w:color="auto"/>
                                <w:bottom w:val="none" w:sz="0" w:space="0" w:color="auto"/>
                                <w:right w:val="none" w:sz="0" w:space="0" w:color="auto"/>
                              </w:divBdr>
                              <w:divsChild>
                                <w:div w:id="1914002900">
                                  <w:marLeft w:val="0"/>
                                  <w:marRight w:val="0"/>
                                  <w:marTop w:val="0"/>
                                  <w:marBottom w:val="0"/>
                                  <w:divBdr>
                                    <w:top w:val="none" w:sz="0" w:space="0" w:color="auto"/>
                                    <w:left w:val="none" w:sz="0" w:space="0" w:color="auto"/>
                                    <w:bottom w:val="none" w:sz="0" w:space="0" w:color="auto"/>
                                    <w:right w:val="none" w:sz="0" w:space="0" w:color="auto"/>
                                  </w:divBdr>
                                  <w:divsChild>
                                    <w:div w:id="656765706">
                                      <w:marLeft w:val="0"/>
                                      <w:marRight w:val="0"/>
                                      <w:marTop w:val="0"/>
                                      <w:marBottom w:val="0"/>
                                      <w:divBdr>
                                        <w:top w:val="none" w:sz="0" w:space="0" w:color="auto"/>
                                        <w:left w:val="none" w:sz="0" w:space="0" w:color="auto"/>
                                        <w:bottom w:val="none" w:sz="0" w:space="0" w:color="auto"/>
                                        <w:right w:val="none" w:sz="0" w:space="0" w:color="auto"/>
                                      </w:divBdr>
                                      <w:divsChild>
                                        <w:div w:id="643235914">
                                          <w:marLeft w:val="0"/>
                                          <w:marRight w:val="0"/>
                                          <w:marTop w:val="0"/>
                                          <w:marBottom w:val="0"/>
                                          <w:divBdr>
                                            <w:top w:val="none" w:sz="0" w:space="0" w:color="auto"/>
                                            <w:left w:val="none" w:sz="0" w:space="0" w:color="auto"/>
                                            <w:bottom w:val="none" w:sz="0" w:space="0" w:color="auto"/>
                                            <w:right w:val="none" w:sz="0" w:space="0" w:color="auto"/>
                                          </w:divBdr>
                                          <w:divsChild>
                                            <w:div w:id="1843232528">
                                              <w:marLeft w:val="0"/>
                                              <w:marRight w:val="0"/>
                                              <w:marTop w:val="0"/>
                                              <w:marBottom w:val="0"/>
                                              <w:divBdr>
                                                <w:top w:val="none" w:sz="0" w:space="0" w:color="auto"/>
                                                <w:left w:val="none" w:sz="0" w:space="0" w:color="auto"/>
                                                <w:bottom w:val="none" w:sz="0" w:space="0" w:color="auto"/>
                                                <w:right w:val="none" w:sz="0" w:space="0" w:color="auto"/>
                                              </w:divBdr>
                                              <w:divsChild>
                                                <w:div w:id="1673681719">
                                                  <w:marLeft w:val="0"/>
                                                  <w:marRight w:val="0"/>
                                                  <w:marTop w:val="0"/>
                                                  <w:marBottom w:val="0"/>
                                                  <w:divBdr>
                                                    <w:top w:val="none" w:sz="0" w:space="0" w:color="auto"/>
                                                    <w:left w:val="none" w:sz="0" w:space="0" w:color="auto"/>
                                                    <w:bottom w:val="none" w:sz="0" w:space="0" w:color="auto"/>
                                                    <w:right w:val="none" w:sz="0" w:space="0" w:color="auto"/>
                                                  </w:divBdr>
                                                  <w:divsChild>
                                                    <w:div w:id="954865468">
                                                      <w:marLeft w:val="0"/>
                                                      <w:marRight w:val="0"/>
                                                      <w:marTop w:val="0"/>
                                                      <w:marBottom w:val="0"/>
                                                      <w:divBdr>
                                                        <w:top w:val="none" w:sz="0" w:space="0" w:color="auto"/>
                                                        <w:left w:val="none" w:sz="0" w:space="0" w:color="auto"/>
                                                        <w:bottom w:val="none" w:sz="0" w:space="0" w:color="auto"/>
                                                        <w:right w:val="none" w:sz="0" w:space="0" w:color="auto"/>
                                                      </w:divBdr>
                                                      <w:divsChild>
                                                        <w:div w:id="9244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7669888">
      <w:bodyDiv w:val="1"/>
      <w:marLeft w:val="0"/>
      <w:marRight w:val="0"/>
      <w:marTop w:val="0"/>
      <w:marBottom w:val="0"/>
      <w:divBdr>
        <w:top w:val="none" w:sz="0" w:space="0" w:color="auto"/>
        <w:left w:val="none" w:sz="0" w:space="0" w:color="auto"/>
        <w:bottom w:val="none" w:sz="0" w:space="0" w:color="auto"/>
        <w:right w:val="none" w:sz="0" w:space="0" w:color="auto"/>
      </w:divBdr>
      <w:divsChild>
        <w:div w:id="562716815">
          <w:marLeft w:val="0"/>
          <w:marRight w:val="0"/>
          <w:marTop w:val="0"/>
          <w:marBottom w:val="0"/>
          <w:divBdr>
            <w:top w:val="none" w:sz="0" w:space="0" w:color="auto"/>
            <w:left w:val="none" w:sz="0" w:space="0" w:color="auto"/>
            <w:bottom w:val="none" w:sz="0" w:space="0" w:color="auto"/>
            <w:right w:val="none" w:sz="0" w:space="0" w:color="auto"/>
          </w:divBdr>
        </w:div>
        <w:div w:id="1977030372">
          <w:marLeft w:val="0"/>
          <w:marRight w:val="0"/>
          <w:marTop w:val="0"/>
          <w:marBottom w:val="0"/>
          <w:divBdr>
            <w:top w:val="none" w:sz="0" w:space="0" w:color="auto"/>
            <w:left w:val="none" w:sz="0" w:space="0" w:color="auto"/>
            <w:bottom w:val="none" w:sz="0" w:space="0" w:color="auto"/>
            <w:right w:val="none" w:sz="0" w:space="0" w:color="auto"/>
          </w:divBdr>
        </w:div>
        <w:div w:id="2015448733">
          <w:marLeft w:val="0"/>
          <w:marRight w:val="0"/>
          <w:marTop w:val="0"/>
          <w:marBottom w:val="0"/>
          <w:divBdr>
            <w:top w:val="none" w:sz="0" w:space="0" w:color="auto"/>
            <w:left w:val="none" w:sz="0" w:space="0" w:color="auto"/>
            <w:bottom w:val="none" w:sz="0" w:space="0" w:color="auto"/>
            <w:right w:val="none" w:sz="0" w:space="0" w:color="auto"/>
          </w:divBdr>
        </w:div>
        <w:div w:id="2125613332">
          <w:marLeft w:val="0"/>
          <w:marRight w:val="0"/>
          <w:marTop w:val="0"/>
          <w:marBottom w:val="0"/>
          <w:divBdr>
            <w:top w:val="none" w:sz="0" w:space="0" w:color="auto"/>
            <w:left w:val="none" w:sz="0" w:space="0" w:color="auto"/>
            <w:bottom w:val="none" w:sz="0" w:space="0" w:color="auto"/>
            <w:right w:val="none" w:sz="0" w:space="0" w:color="auto"/>
          </w:divBdr>
        </w:div>
      </w:divsChild>
    </w:div>
    <w:div w:id="1159035305">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98307666">
      <w:bodyDiv w:val="1"/>
      <w:marLeft w:val="0"/>
      <w:marRight w:val="0"/>
      <w:marTop w:val="0"/>
      <w:marBottom w:val="0"/>
      <w:divBdr>
        <w:top w:val="none" w:sz="0" w:space="0" w:color="auto"/>
        <w:left w:val="none" w:sz="0" w:space="0" w:color="auto"/>
        <w:bottom w:val="none" w:sz="0" w:space="0" w:color="auto"/>
        <w:right w:val="none" w:sz="0" w:space="0" w:color="auto"/>
      </w:divBdr>
    </w:div>
    <w:div w:id="1507473072">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801536820">
      <w:bodyDiv w:val="1"/>
      <w:marLeft w:val="0"/>
      <w:marRight w:val="0"/>
      <w:marTop w:val="0"/>
      <w:marBottom w:val="0"/>
      <w:divBdr>
        <w:top w:val="none" w:sz="0" w:space="0" w:color="auto"/>
        <w:left w:val="none" w:sz="0" w:space="0" w:color="auto"/>
        <w:bottom w:val="none" w:sz="0" w:space="0" w:color="auto"/>
        <w:right w:val="none" w:sz="0" w:space="0" w:color="auto"/>
      </w:divBdr>
    </w:div>
    <w:div w:id="1877740167">
      <w:bodyDiv w:val="1"/>
      <w:marLeft w:val="0"/>
      <w:marRight w:val="0"/>
      <w:marTop w:val="0"/>
      <w:marBottom w:val="0"/>
      <w:divBdr>
        <w:top w:val="none" w:sz="0" w:space="0" w:color="auto"/>
        <w:left w:val="none" w:sz="0" w:space="0" w:color="auto"/>
        <w:bottom w:val="none" w:sz="0" w:space="0" w:color="auto"/>
        <w:right w:val="none" w:sz="0" w:space="0" w:color="auto"/>
      </w:divBdr>
    </w:div>
    <w:div w:id="19126199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 w:id="1928535363">
      <w:bodyDiv w:val="1"/>
      <w:marLeft w:val="0"/>
      <w:marRight w:val="0"/>
      <w:marTop w:val="0"/>
      <w:marBottom w:val="0"/>
      <w:divBdr>
        <w:top w:val="none" w:sz="0" w:space="0" w:color="auto"/>
        <w:left w:val="none" w:sz="0" w:space="0" w:color="auto"/>
        <w:bottom w:val="none" w:sz="0" w:space="0" w:color="auto"/>
        <w:right w:val="none" w:sz="0" w:space="0" w:color="auto"/>
      </w:divBdr>
      <w:divsChild>
        <w:div w:id="334921563">
          <w:marLeft w:val="0"/>
          <w:marRight w:val="0"/>
          <w:marTop w:val="0"/>
          <w:marBottom w:val="0"/>
          <w:divBdr>
            <w:top w:val="none" w:sz="0" w:space="0" w:color="auto"/>
            <w:left w:val="none" w:sz="0" w:space="0" w:color="auto"/>
            <w:bottom w:val="none" w:sz="0" w:space="0" w:color="auto"/>
            <w:right w:val="none" w:sz="0" w:space="0" w:color="auto"/>
          </w:divBdr>
          <w:divsChild>
            <w:div w:id="614213662">
              <w:marLeft w:val="0"/>
              <w:marRight w:val="0"/>
              <w:marTop w:val="0"/>
              <w:marBottom w:val="0"/>
              <w:divBdr>
                <w:top w:val="none" w:sz="0" w:space="0" w:color="auto"/>
                <w:left w:val="none" w:sz="0" w:space="0" w:color="auto"/>
                <w:bottom w:val="none" w:sz="0" w:space="0" w:color="auto"/>
                <w:right w:val="none" w:sz="0" w:space="0" w:color="auto"/>
              </w:divBdr>
              <w:divsChild>
                <w:div w:id="195625034">
                  <w:marLeft w:val="0"/>
                  <w:marRight w:val="0"/>
                  <w:marTop w:val="0"/>
                  <w:marBottom w:val="0"/>
                  <w:divBdr>
                    <w:top w:val="none" w:sz="0" w:space="0" w:color="auto"/>
                    <w:left w:val="none" w:sz="0" w:space="0" w:color="auto"/>
                    <w:bottom w:val="none" w:sz="0" w:space="0" w:color="auto"/>
                    <w:right w:val="none" w:sz="0" w:space="0" w:color="auto"/>
                  </w:divBdr>
                  <w:divsChild>
                    <w:div w:id="684482280">
                      <w:marLeft w:val="0"/>
                      <w:marRight w:val="0"/>
                      <w:marTop w:val="0"/>
                      <w:marBottom w:val="0"/>
                      <w:divBdr>
                        <w:top w:val="none" w:sz="0" w:space="0" w:color="auto"/>
                        <w:left w:val="none" w:sz="0" w:space="0" w:color="auto"/>
                        <w:bottom w:val="none" w:sz="0" w:space="0" w:color="auto"/>
                        <w:right w:val="none" w:sz="0" w:space="0" w:color="auto"/>
                      </w:divBdr>
                      <w:divsChild>
                        <w:div w:id="421685887">
                          <w:marLeft w:val="0"/>
                          <w:marRight w:val="0"/>
                          <w:marTop w:val="0"/>
                          <w:marBottom w:val="0"/>
                          <w:divBdr>
                            <w:top w:val="none" w:sz="0" w:space="0" w:color="auto"/>
                            <w:left w:val="none" w:sz="0" w:space="0" w:color="auto"/>
                            <w:bottom w:val="none" w:sz="0" w:space="0" w:color="auto"/>
                            <w:right w:val="none" w:sz="0" w:space="0" w:color="auto"/>
                          </w:divBdr>
                          <w:divsChild>
                            <w:div w:id="1929381345">
                              <w:marLeft w:val="0"/>
                              <w:marRight w:val="0"/>
                              <w:marTop w:val="0"/>
                              <w:marBottom w:val="0"/>
                              <w:divBdr>
                                <w:top w:val="none" w:sz="0" w:space="0" w:color="auto"/>
                                <w:left w:val="none" w:sz="0" w:space="0" w:color="auto"/>
                                <w:bottom w:val="none" w:sz="0" w:space="0" w:color="auto"/>
                                <w:right w:val="none" w:sz="0" w:space="0" w:color="auto"/>
                              </w:divBdr>
                              <w:divsChild>
                                <w:div w:id="680544874">
                                  <w:marLeft w:val="0"/>
                                  <w:marRight w:val="0"/>
                                  <w:marTop w:val="0"/>
                                  <w:marBottom w:val="0"/>
                                  <w:divBdr>
                                    <w:top w:val="none" w:sz="0" w:space="0" w:color="auto"/>
                                    <w:left w:val="none" w:sz="0" w:space="0" w:color="auto"/>
                                    <w:bottom w:val="none" w:sz="0" w:space="0" w:color="auto"/>
                                    <w:right w:val="none" w:sz="0" w:space="0" w:color="auto"/>
                                  </w:divBdr>
                                  <w:divsChild>
                                    <w:div w:id="379596250">
                                      <w:marLeft w:val="0"/>
                                      <w:marRight w:val="0"/>
                                      <w:marTop w:val="0"/>
                                      <w:marBottom w:val="0"/>
                                      <w:divBdr>
                                        <w:top w:val="none" w:sz="0" w:space="0" w:color="auto"/>
                                        <w:left w:val="none" w:sz="0" w:space="0" w:color="auto"/>
                                        <w:bottom w:val="none" w:sz="0" w:space="0" w:color="auto"/>
                                        <w:right w:val="none" w:sz="0" w:space="0" w:color="auto"/>
                                      </w:divBdr>
                                      <w:divsChild>
                                        <w:div w:id="727728753">
                                          <w:marLeft w:val="0"/>
                                          <w:marRight w:val="0"/>
                                          <w:marTop w:val="0"/>
                                          <w:marBottom w:val="0"/>
                                          <w:divBdr>
                                            <w:top w:val="none" w:sz="0" w:space="0" w:color="auto"/>
                                            <w:left w:val="none" w:sz="0" w:space="0" w:color="auto"/>
                                            <w:bottom w:val="none" w:sz="0" w:space="0" w:color="auto"/>
                                            <w:right w:val="none" w:sz="0" w:space="0" w:color="auto"/>
                                          </w:divBdr>
                                          <w:divsChild>
                                            <w:div w:id="1144658500">
                                              <w:marLeft w:val="0"/>
                                              <w:marRight w:val="0"/>
                                              <w:marTop w:val="0"/>
                                              <w:marBottom w:val="0"/>
                                              <w:divBdr>
                                                <w:top w:val="none" w:sz="0" w:space="0" w:color="auto"/>
                                                <w:left w:val="none" w:sz="0" w:space="0" w:color="auto"/>
                                                <w:bottom w:val="none" w:sz="0" w:space="0" w:color="auto"/>
                                                <w:right w:val="none" w:sz="0" w:space="0" w:color="auto"/>
                                              </w:divBdr>
                                              <w:divsChild>
                                                <w:div w:id="1961642671">
                                                  <w:marLeft w:val="0"/>
                                                  <w:marRight w:val="0"/>
                                                  <w:marTop w:val="0"/>
                                                  <w:marBottom w:val="0"/>
                                                  <w:divBdr>
                                                    <w:top w:val="none" w:sz="0" w:space="0" w:color="auto"/>
                                                    <w:left w:val="none" w:sz="0" w:space="0" w:color="auto"/>
                                                    <w:bottom w:val="none" w:sz="0" w:space="0" w:color="auto"/>
                                                    <w:right w:val="none" w:sz="0" w:space="0" w:color="auto"/>
                                                  </w:divBdr>
                                                  <w:divsChild>
                                                    <w:div w:id="1454055442">
                                                      <w:marLeft w:val="0"/>
                                                      <w:marRight w:val="0"/>
                                                      <w:marTop w:val="0"/>
                                                      <w:marBottom w:val="0"/>
                                                      <w:divBdr>
                                                        <w:top w:val="none" w:sz="0" w:space="0" w:color="auto"/>
                                                        <w:left w:val="none" w:sz="0" w:space="0" w:color="auto"/>
                                                        <w:bottom w:val="none" w:sz="0" w:space="0" w:color="auto"/>
                                                        <w:right w:val="none" w:sz="0" w:space="0" w:color="auto"/>
                                                      </w:divBdr>
                                                      <w:divsChild>
                                                        <w:div w:id="48818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spectrum-licence-technical-liaison-groups" TargetMode="External"/><Relationship Id="rId39"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s://www.acma.gov.au/consultations/2020-02/implementation-spectrum-pricing-review-consultation-072020" TargetMode="External"/><Relationship Id="rId42" Type="http://schemas.openxmlformats.org/officeDocument/2006/relationships/header" Target="header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19-08/planning-options-28-ghz-band-consultation-092019" TargetMode="External"/><Relationship Id="rId33" Type="http://schemas.openxmlformats.org/officeDocument/2006/relationships/hyperlink" Target="https://www.acma.gov.au/privacy-policy" TargetMode="External"/><Relationship Id="rId38" Type="http://schemas.openxmlformats.org/officeDocument/2006/relationships/hyperlink" Target="https://www.acma.gov.au/publications/2019-10/report/business-operating-procedure-submission-and-processing-applications-earth-and-earth-receive-apparatus-licences-fixed-earth-stations"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acma.gov.au/consultations/2020-08/proposed-licensing-arrangements-26-ghz-and-28-ghz-bands-consultation-252020" TargetMode="External"/><Relationship Id="rId41" Type="http://schemas.openxmlformats.org/officeDocument/2006/relationships/hyperlink" Target="https://www.acma.gov.au/consultations/2020-07/26-ghz-band-spectrum-licence-draft-legislative-instruments-consultation-19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consultations/2019-08/options-wireless-broadband-26-ghz-band-consultation-322018" TargetMode="External"/><Relationship Id="rId32" Type="http://schemas.openxmlformats.org/officeDocument/2006/relationships/hyperlink" Target="https://www.acma.gov.au/publication-submissions" TargetMode="External"/><Relationship Id="rId37" Type="http://schemas.openxmlformats.org/officeDocument/2006/relationships/hyperlink" Target="https://www.acma.gov.au/business-operating-procedures-spectrum" TargetMode="External"/><Relationship Id="rId40" Type="http://schemas.openxmlformats.org/officeDocument/2006/relationships/hyperlink" Target="https://www.acma.gov.au/publications/2019-10/report/business-operating-procedure-submission-and-processing-applications-earth-and-earth-receive-apparatus-licences-fixed-earth-stations"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acma.gov.au/consultations/2020-08/proposed-licensing-arrangements-26-ghz-and-28-ghz-bands-consultation-252020" TargetMode="External"/><Relationship Id="rId36" Type="http://schemas.openxmlformats.org/officeDocument/2006/relationships/image" Target="media/image4.emf"/><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mailto:licensingdesign@acma.gov.au"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legislation.gov.au/Details/F2019L01374" TargetMode="External"/><Relationship Id="rId30" Type="http://schemas.openxmlformats.org/officeDocument/2006/relationships/hyperlink" Target="https://www.acma.gov.au/have-your-say" TargetMode="External"/><Relationship Id="rId35" Type="http://schemas.openxmlformats.org/officeDocument/2006/relationships/hyperlink" Target="https://www.legislation.gov.au/Details/F2018C00916" TargetMode="External"/><Relationship Id="rId43" Type="http://schemas.openxmlformats.org/officeDocument/2006/relationships/header" Target="header8.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au/Details/F2019L01374" TargetMode="External"/><Relationship Id="rId3" Type="http://schemas.openxmlformats.org/officeDocument/2006/relationships/hyperlink" Target="https://www.acma.gov.au/consultations/2020-02/implementation-spectrum-pricing-review-consultation-072020" TargetMode="External"/><Relationship Id="rId7" Type="http://schemas.openxmlformats.org/officeDocument/2006/relationships/hyperlink" Target="https://www.legislation.gov.au/Details/F2019L01374" TargetMode="External"/><Relationship Id="rId12" Type="http://schemas.openxmlformats.org/officeDocument/2006/relationships/hyperlink" Target="https://www.acma.gov.au/sites/default/files/2019-08/australian-spectrum-map-grid-2012%20pdf.pdf" TargetMode="External"/><Relationship Id="rId2" Type="http://schemas.openxmlformats.org/officeDocument/2006/relationships/hyperlink" Target="https://www.legislation.gov.au/Details/F2013L00011/Explanatory%20Statement/Text" TargetMode="External"/><Relationship Id="rId1" Type="http://schemas.openxmlformats.org/officeDocument/2006/relationships/hyperlink" Target="https://www.acma.gov.au/australian-spectrum-map-grid" TargetMode="External"/><Relationship Id="rId6" Type="http://schemas.openxmlformats.org/officeDocument/2006/relationships/hyperlink" Target="https://www.acma.gov.au/business-operating-procedures-spectrum" TargetMode="External"/><Relationship Id="rId11" Type="http://schemas.openxmlformats.org/officeDocument/2006/relationships/hyperlink" Target="https://www.acma.gov.au/consultations/2020-07/26-ghz-band-spectrum-licence-draft-legislative-instruments-consultation-192020" TargetMode="External"/><Relationship Id="rId5" Type="http://schemas.openxmlformats.org/officeDocument/2006/relationships/hyperlink" Target="https://www.acma.gov.au/ralis-frequency-coordination" TargetMode="External"/><Relationship Id="rId10" Type="http://schemas.openxmlformats.org/officeDocument/2006/relationships/hyperlink" Target="https://www.itu.int/pub/R-ACT-WRC.14-2019/en" TargetMode="External"/><Relationship Id="rId4" Type="http://schemas.openxmlformats.org/officeDocument/2006/relationships/hyperlink" Target="https://www.legislation.gov.au/Browse/Results/ByTitle/LegislativeInstruments/InForce/Ra/0/0/Principal" TargetMode="External"/><Relationship Id="rId9" Type="http://schemas.openxmlformats.org/officeDocument/2006/relationships/hyperlink" Target="https://www.itu.int/pub/R-REG-RR-20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dgocenta\OneDrive%20-%20Australian%20Communications%20and%20Media%20Authority\Documents\My%20Documents\26%20GHz%20band\FSS%20sharing\FSS%20uplinks\NBN_Sat_Mask.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EIRP (for TRP = 40 dBm/200 MHz)</c:v>
          </c:tx>
          <c:spPr>
            <a:ln w="19050" cap="rnd">
              <a:solidFill>
                <a:schemeClr val="accent1"/>
              </a:solidFill>
              <a:round/>
            </a:ln>
            <a:effectLst/>
          </c:spPr>
          <c:marker>
            <c:symbol val="none"/>
          </c:marker>
          <c:xVal>
            <c:numRef>
              <c:f>Sheet2!$F$2:$F$92</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Sheet2!$J$2:$J$92</c:f>
              <c:numCache>
                <c:formatCode>General</c:formatCode>
                <c:ptCount val="91"/>
                <c:pt idx="0">
                  <c:v>63.061799739838904</c:v>
                </c:pt>
                <c:pt idx="1">
                  <c:v>62.990305990770096</c:v>
                </c:pt>
                <c:pt idx="2">
                  <c:v>62.774549289297696</c:v>
                </c:pt>
                <c:pt idx="3">
                  <c:v>62.410582639797902</c:v>
                </c:pt>
                <c:pt idx="4">
                  <c:v>61.891400023780001</c:v>
                </c:pt>
                <c:pt idx="5">
                  <c:v>61.206195528736401</c:v>
                </c:pt>
                <c:pt idx="6">
                  <c:v>60.3390861416379</c:v>
                </c:pt>
                <c:pt idx="7">
                  <c:v>59.2669337990068</c:v>
                </c:pt>
                <c:pt idx="8">
                  <c:v>57.9555190763326</c:v>
                </c:pt>
                <c:pt idx="9">
                  <c:v>56.352422023511295</c:v>
                </c:pt>
                <c:pt idx="10">
                  <c:v>54.372605484766801</c:v>
                </c:pt>
                <c:pt idx="11">
                  <c:v>51.865465572846603</c:v>
                </c:pt>
                <c:pt idx="12">
                  <c:v>48.524615969948492</c:v>
                </c:pt>
                <c:pt idx="13">
                  <c:v>43.553422712875147</c:v>
                </c:pt>
                <c:pt idx="14">
                  <c:v>33.172943279552349</c:v>
                </c:pt>
                <c:pt idx="15">
                  <c:v>33.294072255019891</c:v>
                </c:pt>
                <c:pt idx="16">
                  <c:v>41.827720828356362</c:v>
                </c:pt>
                <c:pt idx="17">
                  <c:v>45.35691613515295</c:v>
                </c:pt>
                <c:pt idx="18">
                  <c:v>47.293909280935218</c:v>
                </c:pt>
                <c:pt idx="19">
                  <c:v>48.385272112319349</c:v>
                </c:pt>
                <c:pt idx="20">
                  <c:v>48.914084256209478</c:v>
                </c:pt>
                <c:pt idx="21">
                  <c:v>49.011044556827137</c:v>
                </c:pt>
                <c:pt idx="22">
                  <c:v>48.738478407503599</c:v>
                </c:pt>
                <c:pt idx="23">
                  <c:v>48.119068956667064</c:v>
                </c:pt>
                <c:pt idx="24">
                  <c:v>47.144650905140402</c:v>
                </c:pt>
                <c:pt idx="25">
                  <c:v>45.773270725369613</c:v>
                </c:pt>
                <c:pt idx="26">
                  <c:v>43.911931533193858</c:v>
                </c:pt>
                <c:pt idx="27">
                  <c:v>41.366947531595571</c:v>
                </c:pt>
                <c:pt idx="28">
                  <c:v>37.684900372468661</c:v>
                </c:pt>
                <c:pt idx="29">
                  <c:v>31.39669670616173</c:v>
                </c:pt>
                <c:pt idx="30">
                  <c:v>-251.54556799464598</c:v>
                </c:pt>
                <c:pt idx="31">
                  <c:v>30.55671186498779</c:v>
                </c:pt>
                <c:pt idx="32">
                  <c:v>36.009902132898119</c:v>
                </c:pt>
                <c:pt idx="33">
                  <c:v>38.867170147716628</c:v>
                </c:pt>
                <c:pt idx="34">
                  <c:v>40.60350098865915</c:v>
                </c:pt>
                <c:pt idx="35">
                  <c:v>41.679276793872042</c:v>
                </c:pt>
                <c:pt idx="36">
                  <c:v>42.296859952205502</c:v>
                </c:pt>
                <c:pt idx="37">
                  <c:v>42.560635643224252</c:v>
                </c:pt>
                <c:pt idx="38">
                  <c:v>42.528319695608772</c:v>
                </c:pt>
                <c:pt idx="39">
                  <c:v>42.231166616604682</c:v>
                </c:pt>
                <c:pt idx="40">
                  <c:v>41.682556904149827</c:v>
                </c:pt>
                <c:pt idx="41">
                  <c:v>40.881038159358226</c:v>
                </c:pt>
                <c:pt idx="42">
                  <c:v>39.809608530389113</c:v>
                </c:pt>
                <c:pt idx="43">
                  <c:v>38.430824534071377</c:v>
                </c:pt>
                <c:pt idx="44">
                  <c:v>36.674650818176822</c:v>
                </c:pt>
                <c:pt idx="45">
                  <c:v>34.409405896092402</c:v>
                </c:pt>
                <c:pt idx="46">
                  <c:v>31.362717178911872</c:v>
                </c:pt>
                <c:pt idx="47">
                  <c:v>26.839811771517702</c:v>
                </c:pt>
                <c:pt idx="48">
                  <c:v>17.876943129924801</c:v>
                </c:pt>
                <c:pt idx="49">
                  <c:v>14.280717028784299</c:v>
                </c:pt>
                <c:pt idx="50">
                  <c:v>24.531399335220001</c:v>
                </c:pt>
                <c:pt idx="51">
                  <c:v>28.6451553641472</c:v>
                </c:pt>
                <c:pt idx="52">
                  <c:v>31.060221039659552</c:v>
                </c:pt>
                <c:pt idx="53">
                  <c:v>32.639347816390128</c:v>
                </c:pt>
                <c:pt idx="54">
                  <c:v>33.707112419181819</c:v>
                </c:pt>
                <c:pt idx="55">
                  <c:v>34.421771025116101</c:v>
                </c:pt>
                <c:pt idx="56">
                  <c:v>34.872720201891781</c:v>
                </c:pt>
                <c:pt idx="57">
                  <c:v>35.115550764212237</c:v>
                </c:pt>
                <c:pt idx="58">
                  <c:v>35.187248014613587</c:v>
                </c:pt>
                <c:pt idx="59">
                  <c:v>35.113668508134992</c:v>
                </c:pt>
                <c:pt idx="60">
                  <c:v>34.91356938919612</c:v>
                </c:pt>
                <c:pt idx="61">
                  <c:v>34.6009350120028</c:v>
                </c:pt>
                <c:pt idx="62">
                  <c:v>34.186393912633548</c:v>
                </c:pt>
                <c:pt idx="63">
                  <c:v>33.678117965840492</c:v>
                </c:pt>
                <c:pt idx="64">
                  <c:v>33.08241054673816</c:v>
                </c:pt>
                <c:pt idx="65">
                  <c:v>32.404098790531009</c:v>
                </c:pt>
                <c:pt idx="66">
                  <c:v>31.646796709787282</c:v>
                </c:pt>
                <c:pt idx="67">
                  <c:v>30.813079054328128</c:v>
                </c:pt>
                <c:pt idx="68">
                  <c:v>29.904590068593201</c:v>
                </c:pt>
                <c:pt idx="69">
                  <c:v>28.922101565870598</c:v>
                </c:pt>
                <c:pt idx="70">
                  <c:v>27.865528271682102</c:v>
                </c:pt>
                <c:pt idx="71">
                  <c:v>26.7339036416938</c:v>
                </c:pt>
                <c:pt idx="72">
                  <c:v>25.525315356212602</c:v>
                </c:pt>
                <c:pt idx="73">
                  <c:v>24.2367957014018</c:v>
                </c:pt>
                <c:pt idx="74">
                  <c:v>22.864157365035499</c:v>
                </c:pt>
                <c:pt idx="75">
                  <c:v>21.401758937051699</c:v>
                </c:pt>
                <c:pt idx="76">
                  <c:v>19.842175332813898</c:v>
                </c:pt>
                <c:pt idx="77">
                  <c:v>18.1757343385894</c:v>
                </c:pt>
                <c:pt idx="78">
                  <c:v>16.3898577867113</c:v>
                </c:pt>
                <c:pt idx="79">
                  <c:v>14.468107572195599</c:v>
                </c:pt>
                <c:pt idx="80">
                  <c:v>12.3887692933667</c:v>
                </c:pt>
                <c:pt idx="81">
                  <c:v>10.122681893398902</c:v>
                </c:pt>
                <c:pt idx="82">
                  <c:v>7.6297794423999008</c:v>
                </c:pt>
                <c:pt idx="83">
                  <c:v>4.8533083018743994</c:v>
                </c:pt>
                <c:pt idx="84">
                  <c:v>1.709553873251501</c:v>
                </c:pt>
                <c:pt idx="85">
                  <c:v>-1.931885735929697</c:v>
                </c:pt>
                <c:pt idx="86">
                  <c:v>-6.2901197381688974</c:v>
                </c:pt>
                <c:pt idx="87">
                  <c:v>-11.7766029054063</c:v>
                </c:pt>
                <c:pt idx="88">
                  <c:v>-19.315863825245103</c:v>
                </c:pt>
                <c:pt idx="89">
                  <c:v>-31.859048266403207</c:v>
                </c:pt>
                <c:pt idx="90">
                  <c:v>-284.20450029877298</c:v>
                </c:pt>
              </c:numCache>
            </c:numRef>
          </c:yVal>
          <c:smooth val="0"/>
          <c:extLst>
            <c:ext xmlns:c16="http://schemas.microsoft.com/office/drawing/2014/chart" uri="{C3380CC4-5D6E-409C-BE32-E72D297353CC}">
              <c16:uniqueId val="{00000000-1B13-43DE-8C81-217BAEC8A544}"/>
            </c:ext>
          </c:extLst>
        </c:ser>
        <c:ser>
          <c:idx val="1"/>
          <c:order val="1"/>
          <c:tx>
            <c:v>Mask for 24.7–27 GHz</c:v>
          </c:tx>
          <c:spPr>
            <a:ln w="19050" cap="rnd">
              <a:solidFill>
                <a:srgbClr val="FF0000"/>
              </a:solidFill>
              <a:round/>
            </a:ln>
            <a:effectLst/>
          </c:spPr>
          <c:marker>
            <c:symbol val="none"/>
          </c:marker>
          <c:xVal>
            <c:numRef>
              <c:f>Sheet2!$A$2:$A$87</c:f>
              <c:numCache>
                <c:formatCode>General</c:formatCode>
                <c:ptCount val="86"/>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pt idx="17">
                  <c:v>22</c:v>
                </c:pt>
                <c:pt idx="18">
                  <c:v>23</c:v>
                </c:pt>
                <c:pt idx="19">
                  <c:v>24</c:v>
                </c:pt>
                <c:pt idx="20">
                  <c:v>25</c:v>
                </c:pt>
                <c:pt idx="21">
                  <c:v>26</c:v>
                </c:pt>
                <c:pt idx="22">
                  <c:v>27</c:v>
                </c:pt>
                <c:pt idx="23">
                  <c:v>28</c:v>
                </c:pt>
                <c:pt idx="24">
                  <c:v>29</c:v>
                </c:pt>
                <c:pt idx="25">
                  <c:v>30</c:v>
                </c:pt>
                <c:pt idx="26">
                  <c:v>31</c:v>
                </c:pt>
                <c:pt idx="27">
                  <c:v>32</c:v>
                </c:pt>
                <c:pt idx="28">
                  <c:v>33</c:v>
                </c:pt>
                <c:pt idx="29">
                  <c:v>34</c:v>
                </c:pt>
                <c:pt idx="30">
                  <c:v>35</c:v>
                </c:pt>
                <c:pt idx="31">
                  <c:v>36</c:v>
                </c:pt>
                <c:pt idx="32">
                  <c:v>37</c:v>
                </c:pt>
                <c:pt idx="33">
                  <c:v>38</c:v>
                </c:pt>
                <c:pt idx="34">
                  <c:v>39</c:v>
                </c:pt>
                <c:pt idx="35">
                  <c:v>40</c:v>
                </c:pt>
                <c:pt idx="36">
                  <c:v>41</c:v>
                </c:pt>
                <c:pt idx="37">
                  <c:v>42</c:v>
                </c:pt>
                <c:pt idx="38">
                  <c:v>43</c:v>
                </c:pt>
                <c:pt idx="39">
                  <c:v>44</c:v>
                </c:pt>
                <c:pt idx="40">
                  <c:v>45</c:v>
                </c:pt>
                <c:pt idx="41">
                  <c:v>46</c:v>
                </c:pt>
                <c:pt idx="42">
                  <c:v>47</c:v>
                </c:pt>
                <c:pt idx="43">
                  <c:v>48</c:v>
                </c:pt>
                <c:pt idx="44">
                  <c:v>49</c:v>
                </c:pt>
                <c:pt idx="45">
                  <c:v>50</c:v>
                </c:pt>
                <c:pt idx="46">
                  <c:v>51</c:v>
                </c:pt>
                <c:pt idx="47">
                  <c:v>52</c:v>
                </c:pt>
                <c:pt idx="48">
                  <c:v>53</c:v>
                </c:pt>
                <c:pt idx="49">
                  <c:v>54</c:v>
                </c:pt>
                <c:pt idx="50">
                  <c:v>55</c:v>
                </c:pt>
                <c:pt idx="51">
                  <c:v>56</c:v>
                </c:pt>
                <c:pt idx="52">
                  <c:v>57</c:v>
                </c:pt>
                <c:pt idx="53">
                  <c:v>58</c:v>
                </c:pt>
                <c:pt idx="54">
                  <c:v>59</c:v>
                </c:pt>
                <c:pt idx="55">
                  <c:v>60</c:v>
                </c:pt>
                <c:pt idx="56">
                  <c:v>61</c:v>
                </c:pt>
                <c:pt idx="57">
                  <c:v>62</c:v>
                </c:pt>
                <c:pt idx="58">
                  <c:v>63</c:v>
                </c:pt>
                <c:pt idx="59">
                  <c:v>64</c:v>
                </c:pt>
                <c:pt idx="60">
                  <c:v>65</c:v>
                </c:pt>
                <c:pt idx="61">
                  <c:v>66</c:v>
                </c:pt>
                <c:pt idx="62">
                  <c:v>67</c:v>
                </c:pt>
                <c:pt idx="63">
                  <c:v>68</c:v>
                </c:pt>
                <c:pt idx="64">
                  <c:v>69</c:v>
                </c:pt>
                <c:pt idx="65">
                  <c:v>70</c:v>
                </c:pt>
                <c:pt idx="66">
                  <c:v>71</c:v>
                </c:pt>
                <c:pt idx="67">
                  <c:v>72</c:v>
                </c:pt>
                <c:pt idx="68">
                  <c:v>73</c:v>
                </c:pt>
                <c:pt idx="69">
                  <c:v>74</c:v>
                </c:pt>
                <c:pt idx="70">
                  <c:v>75</c:v>
                </c:pt>
                <c:pt idx="71">
                  <c:v>76</c:v>
                </c:pt>
                <c:pt idx="72">
                  <c:v>77</c:v>
                </c:pt>
                <c:pt idx="73">
                  <c:v>78</c:v>
                </c:pt>
                <c:pt idx="74">
                  <c:v>79</c:v>
                </c:pt>
                <c:pt idx="75">
                  <c:v>80</c:v>
                </c:pt>
                <c:pt idx="76">
                  <c:v>81</c:v>
                </c:pt>
                <c:pt idx="77">
                  <c:v>82</c:v>
                </c:pt>
                <c:pt idx="78">
                  <c:v>83</c:v>
                </c:pt>
                <c:pt idx="79">
                  <c:v>84</c:v>
                </c:pt>
                <c:pt idx="80">
                  <c:v>85</c:v>
                </c:pt>
                <c:pt idx="81">
                  <c:v>86</c:v>
                </c:pt>
                <c:pt idx="82">
                  <c:v>87</c:v>
                </c:pt>
                <c:pt idx="83">
                  <c:v>88</c:v>
                </c:pt>
                <c:pt idx="84">
                  <c:v>89</c:v>
                </c:pt>
                <c:pt idx="85">
                  <c:v>90</c:v>
                </c:pt>
              </c:numCache>
            </c:numRef>
          </c:xVal>
          <c:yVal>
            <c:numRef>
              <c:f>Sheet2!$C$2:$C$87</c:f>
              <c:numCache>
                <c:formatCode>General</c:formatCode>
                <c:ptCount val="86"/>
                <c:pt idx="0">
                  <c:v>62</c:v>
                </c:pt>
                <c:pt idx="1">
                  <c:v>60.7</c:v>
                </c:pt>
                <c:pt idx="2">
                  <c:v>59.4</c:v>
                </c:pt>
                <c:pt idx="3">
                  <c:v>58.1</c:v>
                </c:pt>
                <c:pt idx="4">
                  <c:v>56.8</c:v>
                </c:pt>
                <c:pt idx="5">
                  <c:v>55.5</c:v>
                </c:pt>
                <c:pt idx="6">
                  <c:v>54.2</c:v>
                </c:pt>
                <c:pt idx="7">
                  <c:v>52.9</c:v>
                </c:pt>
                <c:pt idx="8">
                  <c:v>51.6</c:v>
                </c:pt>
                <c:pt idx="9">
                  <c:v>50.3</c:v>
                </c:pt>
                <c:pt idx="10">
                  <c:v>49</c:v>
                </c:pt>
                <c:pt idx="11">
                  <c:v>49</c:v>
                </c:pt>
                <c:pt idx="12">
                  <c:v>49</c:v>
                </c:pt>
                <c:pt idx="13">
                  <c:v>49</c:v>
                </c:pt>
                <c:pt idx="14">
                  <c:v>49</c:v>
                </c:pt>
                <c:pt idx="15">
                  <c:v>49</c:v>
                </c:pt>
                <c:pt idx="16">
                  <c:v>49</c:v>
                </c:pt>
                <c:pt idx="17">
                  <c:v>49</c:v>
                </c:pt>
                <c:pt idx="18">
                  <c:v>49</c:v>
                </c:pt>
                <c:pt idx="19">
                  <c:v>49</c:v>
                </c:pt>
                <c:pt idx="20">
                  <c:v>49</c:v>
                </c:pt>
                <c:pt idx="21">
                  <c:v>48.57</c:v>
                </c:pt>
                <c:pt idx="22">
                  <c:v>48.14</c:v>
                </c:pt>
                <c:pt idx="23">
                  <c:v>47.71</c:v>
                </c:pt>
                <c:pt idx="24">
                  <c:v>47.28</c:v>
                </c:pt>
                <c:pt idx="25">
                  <c:v>46.85</c:v>
                </c:pt>
                <c:pt idx="26">
                  <c:v>46.42</c:v>
                </c:pt>
                <c:pt idx="27">
                  <c:v>45.99</c:v>
                </c:pt>
                <c:pt idx="28">
                  <c:v>45.56</c:v>
                </c:pt>
                <c:pt idx="29">
                  <c:v>45.13</c:v>
                </c:pt>
                <c:pt idx="30">
                  <c:v>44.7</c:v>
                </c:pt>
                <c:pt idx="31">
                  <c:v>44.27</c:v>
                </c:pt>
                <c:pt idx="32">
                  <c:v>43.84</c:v>
                </c:pt>
                <c:pt idx="33">
                  <c:v>43.41</c:v>
                </c:pt>
                <c:pt idx="34">
                  <c:v>42.980000000000004</c:v>
                </c:pt>
                <c:pt idx="35">
                  <c:v>42.55</c:v>
                </c:pt>
                <c:pt idx="36">
                  <c:v>42.12</c:v>
                </c:pt>
                <c:pt idx="37">
                  <c:v>41.69</c:v>
                </c:pt>
                <c:pt idx="38">
                  <c:v>41.26</c:v>
                </c:pt>
                <c:pt idx="39">
                  <c:v>40.83</c:v>
                </c:pt>
                <c:pt idx="40">
                  <c:v>40.4</c:v>
                </c:pt>
                <c:pt idx="41">
                  <c:v>39.97</c:v>
                </c:pt>
                <c:pt idx="42">
                  <c:v>39.54</c:v>
                </c:pt>
                <c:pt idx="43">
                  <c:v>39.11</c:v>
                </c:pt>
                <c:pt idx="44">
                  <c:v>38.68</c:v>
                </c:pt>
                <c:pt idx="45">
                  <c:v>38.25</c:v>
                </c:pt>
                <c:pt idx="46">
                  <c:v>37.82</c:v>
                </c:pt>
                <c:pt idx="47">
                  <c:v>37.39</c:v>
                </c:pt>
                <c:pt idx="48">
                  <c:v>36.96</c:v>
                </c:pt>
                <c:pt idx="49">
                  <c:v>36.53</c:v>
                </c:pt>
                <c:pt idx="50">
                  <c:v>36.1</c:v>
                </c:pt>
                <c:pt idx="51">
                  <c:v>36.1</c:v>
                </c:pt>
                <c:pt idx="52">
                  <c:v>36.1</c:v>
                </c:pt>
                <c:pt idx="53">
                  <c:v>36.1</c:v>
                </c:pt>
                <c:pt idx="54">
                  <c:v>36.1</c:v>
                </c:pt>
                <c:pt idx="55">
                  <c:v>36.1</c:v>
                </c:pt>
                <c:pt idx="56">
                  <c:v>36.1</c:v>
                </c:pt>
                <c:pt idx="57">
                  <c:v>36.1</c:v>
                </c:pt>
                <c:pt idx="58">
                  <c:v>36.1</c:v>
                </c:pt>
                <c:pt idx="59">
                  <c:v>36.1</c:v>
                </c:pt>
                <c:pt idx="60">
                  <c:v>36.1</c:v>
                </c:pt>
                <c:pt idx="61">
                  <c:v>36.1</c:v>
                </c:pt>
                <c:pt idx="62">
                  <c:v>36.1</c:v>
                </c:pt>
                <c:pt idx="63">
                  <c:v>36.1</c:v>
                </c:pt>
                <c:pt idx="64">
                  <c:v>36.1</c:v>
                </c:pt>
                <c:pt idx="65">
                  <c:v>36.1</c:v>
                </c:pt>
                <c:pt idx="66">
                  <c:v>36.1</c:v>
                </c:pt>
                <c:pt idx="67">
                  <c:v>36.1</c:v>
                </c:pt>
                <c:pt idx="68">
                  <c:v>36.1</c:v>
                </c:pt>
                <c:pt idx="69">
                  <c:v>36.1</c:v>
                </c:pt>
                <c:pt idx="70">
                  <c:v>36.1</c:v>
                </c:pt>
                <c:pt idx="71">
                  <c:v>36.1</c:v>
                </c:pt>
                <c:pt idx="72">
                  <c:v>36.1</c:v>
                </c:pt>
                <c:pt idx="73">
                  <c:v>36.1</c:v>
                </c:pt>
                <c:pt idx="74">
                  <c:v>36.1</c:v>
                </c:pt>
                <c:pt idx="75">
                  <c:v>36.1</c:v>
                </c:pt>
                <c:pt idx="76">
                  <c:v>36.1</c:v>
                </c:pt>
                <c:pt idx="77">
                  <c:v>36.1</c:v>
                </c:pt>
                <c:pt idx="78">
                  <c:v>36.1</c:v>
                </c:pt>
                <c:pt idx="79">
                  <c:v>36.1</c:v>
                </c:pt>
                <c:pt idx="80">
                  <c:v>36.1</c:v>
                </c:pt>
                <c:pt idx="81">
                  <c:v>36.1</c:v>
                </c:pt>
                <c:pt idx="82">
                  <c:v>36.1</c:v>
                </c:pt>
                <c:pt idx="83">
                  <c:v>36.1</c:v>
                </c:pt>
                <c:pt idx="84">
                  <c:v>36.1</c:v>
                </c:pt>
                <c:pt idx="85">
                  <c:v>36.1</c:v>
                </c:pt>
              </c:numCache>
            </c:numRef>
          </c:yVal>
          <c:smooth val="0"/>
          <c:extLst>
            <c:ext xmlns:c16="http://schemas.microsoft.com/office/drawing/2014/chart" uri="{C3380CC4-5D6E-409C-BE32-E72D297353CC}">
              <c16:uniqueId val="{00000001-1B13-43DE-8C81-217BAEC8A544}"/>
            </c:ext>
          </c:extLst>
        </c:ser>
        <c:ser>
          <c:idx val="4"/>
          <c:order val="2"/>
          <c:tx>
            <c:v>EIRP (for TRP = 37 dBm/200 MHz</c:v>
          </c:tx>
          <c:spPr>
            <a:ln w="19050" cap="rnd">
              <a:solidFill>
                <a:srgbClr val="0070C0"/>
              </a:solidFill>
              <a:prstDash val="dash"/>
              <a:round/>
            </a:ln>
            <a:effectLst/>
          </c:spPr>
          <c:marker>
            <c:symbol val="none"/>
          </c:marker>
          <c:xVal>
            <c:numRef>
              <c:f>Sheet2!$F$2:$F$92</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Sheet2!$I$2:$I$92</c:f>
              <c:numCache>
                <c:formatCode>General</c:formatCode>
                <c:ptCount val="91"/>
                <c:pt idx="0">
                  <c:v>60.061799739838904</c:v>
                </c:pt>
                <c:pt idx="1">
                  <c:v>59.990305990770096</c:v>
                </c:pt>
                <c:pt idx="2">
                  <c:v>59.774549289297696</c:v>
                </c:pt>
                <c:pt idx="3">
                  <c:v>59.410582639797902</c:v>
                </c:pt>
                <c:pt idx="4">
                  <c:v>58.891400023780001</c:v>
                </c:pt>
                <c:pt idx="5">
                  <c:v>58.206195528736401</c:v>
                </c:pt>
                <c:pt idx="6">
                  <c:v>57.3390861416379</c:v>
                </c:pt>
                <c:pt idx="7">
                  <c:v>56.2669337990068</c:v>
                </c:pt>
                <c:pt idx="8">
                  <c:v>54.9555190763326</c:v>
                </c:pt>
                <c:pt idx="9">
                  <c:v>53.352422023511295</c:v>
                </c:pt>
                <c:pt idx="10">
                  <c:v>51.372605484766801</c:v>
                </c:pt>
                <c:pt idx="11">
                  <c:v>48.865465572846603</c:v>
                </c:pt>
                <c:pt idx="12">
                  <c:v>45.524615969948492</c:v>
                </c:pt>
                <c:pt idx="13">
                  <c:v>40.553422712875147</c:v>
                </c:pt>
                <c:pt idx="14">
                  <c:v>30.172943279552349</c:v>
                </c:pt>
                <c:pt idx="15">
                  <c:v>30.294072255019891</c:v>
                </c:pt>
                <c:pt idx="16">
                  <c:v>38.827720828356362</c:v>
                </c:pt>
                <c:pt idx="17">
                  <c:v>42.35691613515295</c:v>
                </c:pt>
                <c:pt idx="18">
                  <c:v>44.293909280935218</c:v>
                </c:pt>
                <c:pt idx="19">
                  <c:v>45.385272112319349</c:v>
                </c:pt>
                <c:pt idx="20">
                  <c:v>45.914084256209478</c:v>
                </c:pt>
                <c:pt idx="21">
                  <c:v>46.011044556827137</c:v>
                </c:pt>
                <c:pt idx="22">
                  <c:v>45.738478407503599</c:v>
                </c:pt>
                <c:pt idx="23">
                  <c:v>45.119068956667064</c:v>
                </c:pt>
                <c:pt idx="24">
                  <c:v>44.144650905140402</c:v>
                </c:pt>
                <c:pt idx="25">
                  <c:v>42.773270725369613</c:v>
                </c:pt>
                <c:pt idx="26">
                  <c:v>40.911931533193858</c:v>
                </c:pt>
                <c:pt idx="27">
                  <c:v>38.366947531595571</c:v>
                </c:pt>
                <c:pt idx="28">
                  <c:v>34.684900372468661</c:v>
                </c:pt>
                <c:pt idx="29">
                  <c:v>28.39669670616173</c:v>
                </c:pt>
                <c:pt idx="30">
                  <c:v>-254.54556799464598</c:v>
                </c:pt>
                <c:pt idx="31">
                  <c:v>27.55671186498779</c:v>
                </c:pt>
                <c:pt idx="32">
                  <c:v>33.009902132898119</c:v>
                </c:pt>
                <c:pt idx="33">
                  <c:v>35.867170147716628</c:v>
                </c:pt>
                <c:pt idx="34">
                  <c:v>37.60350098865915</c:v>
                </c:pt>
                <c:pt idx="35">
                  <c:v>38.679276793872042</c:v>
                </c:pt>
                <c:pt idx="36">
                  <c:v>39.296859952205502</c:v>
                </c:pt>
                <c:pt idx="37">
                  <c:v>39.560635643224252</c:v>
                </c:pt>
                <c:pt idx="38">
                  <c:v>39.528319695608772</c:v>
                </c:pt>
                <c:pt idx="39">
                  <c:v>39.231166616604682</c:v>
                </c:pt>
                <c:pt idx="40">
                  <c:v>38.682556904149827</c:v>
                </c:pt>
                <c:pt idx="41">
                  <c:v>37.881038159358226</c:v>
                </c:pt>
                <c:pt idx="42">
                  <c:v>36.809608530389113</c:v>
                </c:pt>
                <c:pt idx="43">
                  <c:v>35.430824534071377</c:v>
                </c:pt>
                <c:pt idx="44">
                  <c:v>33.674650818176822</c:v>
                </c:pt>
                <c:pt idx="45">
                  <c:v>31.409405896092402</c:v>
                </c:pt>
                <c:pt idx="46">
                  <c:v>28.362717178911872</c:v>
                </c:pt>
                <c:pt idx="47">
                  <c:v>23.839811771517702</c:v>
                </c:pt>
                <c:pt idx="48">
                  <c:v>14.876943129924801</c:v>
                </c:pt>
                <c:pt idx="49">
                  <c:v>11.280717028784299</c:v>
                </c:pt>
                <c:pt idx="50">
                  <c:v>21.531399335220001</c:v>
                </c:pt>
                <c:pt idx="51">
                  <c:v>25.6451553641472</c:v>
                </c:pt>
                <c:pt idx="52">
                  <c:v>28.060221039659552</c:v>
                </c:pt>
                <c:pt idx="53">
                  <c:v>29.639347816390128</c:v>
                </c:pt>
                <c:pt idx="54">
                  <c:v>30.707112419181819</c:v>
                </c:pt>
                <c:pt idx="55">
                  <c:v>31.421771025116101</c:v>
                </c:pt>
                <c:pt idx="56">
                  <c:v>31.872720201891781</c:v>
                </c:pt>
                <c:pt idx="57">
                  <c:v>32.115550764212237</c:v>
                </c:pt>
                <c:pt idx="58">
                  <c:v>32.187248014613587</c:v>
                </c:pt>
                <c:pt idx="59">
                  <c:v>32.113668508134992</c:v>
                </c:pt>
                <c:pt idx="60">
                  <c:v>31.91356938919612</c:v>
                </c:pt>
                <c:pt idx="61">
                  <c:v>31.6009350120028</c:v>
                </c:pt>
                <c:pt idx="62">
                  <c:v>31.186393912633548</c:v>
                </c:pt>
                <c:pt idx="63">
                  <c:v>30.678117965840489</c:v>
                </c:pt>
                <c:pt idx="64">
                  <c:v>30.08241054673816</c:v>
                </c:pt>
                <c:pt idx="65">
                  <c:v>29.404098790531009</c:v>
                </c:pt>
                <c:pt idx="66">
                  <c:v>28.646796709787282</c:v>
                </c:pt>
                <c:pt idx="67">
                  <c:v>27.813079054328128</c:v>
                </c:pt>
                <c:pt idx="68">
                  <c:v>26.904590068593201</c:v>
                </c:pt>
                <c:pt idx="69">
                  <c:v>25.922101565870598</c:v>
                </c:pt>
                <c:pt idx="70">
                  <c:v>24.865528271682102</c:v>
                </c:pt>
                <c:pt idx="71">
                  <c:v>23.7339036416938</c:v>
                </c:pt>
                <c:pt idx="72">
                  <c:v>22.525315356212602</c:v>
                </c:pt>
                <c:pt idx="73">
                  <c:v>21.2367957014018</c:v>
                </c:pt>
                <c:pt idx="74">
                  <c:v>19.864157365035499</c:v>
                </c:pt>
                <c:pt idx="75">
                  <c:v>18.401758937051699</c:v>
                </c:pt>
                <c:pt idx="76">
                  <c:v>16.842175332813898</c:v>
                </c:pt>
                <c:pt idx="77">
                  <c:v>15.1757343385894</c:v>
                </c:pt>
                <c:pt idx="78">
                  <c:v>13.3898577867113</c:v>
                </c:pt>
                <c:pt idx="79">
                  <c:v>11.468107572195599</c:v>
                </c:pt>
                <c:pt idx="80">
                  <c:v>9.3887692933666997</c:v>
                </c:pt>
                <c:pt idx="81">
                  <c:v>7.1226818933989016</c:v>
                </c:pt>
                <c:pt idx="82">
                  <c:v>4.6297794423999008</c:v>
                </c:pt>
                <c:pt idx="83">
                  <c:v>1.8533083018743994</c:v>
                </c:pt>
                <c:pt idx="84">
                  <c:v>-1.290446126748499</c:v>
                </c:pt>
                <c:pt idx="85">
                  <c:v>-4.931885735929697</c:v>
                </c:pt>
                <c:pt idx="86">
                  <c:v>-9.2901197381688974</c:v>
                </c:pt>
                <c:pt idx="87">
                  <c:v>-14.7766029054063</c:v>
                </c:pt>
                <c:pt idx="88">
                  <c:v>-22.315863825245103</c:v>
                </c:pt>
                <c:pt idx="89">
                  <c:v>-34.859048266403207</c:v>
                </c:pt>
                <c:pt idx="90">
                  <c:v>-287.20450029877298</c:v>
                </c:pt>
              </c:numCache>
            </c:numRef>
          </c:yVal>
          <c:smooth val="0"/>
          <c:extLst>
            <c:ext xmlns:c16="http://schemas.microsoft.com/office/drawing/2014/chart" uri="{C3380CC4-5D6E-409C-BE32-E72D297353CC}">
              <c16:uniqueId val="{00000002-1B13-43DE-8C81-217BAEC8A544}"/>
            </c:ext>
          </c:extLst>
        </c:ser>
        <c:ser>
          <c:idx val="5"/>
          <c:order val="3"/>
          <c:tx>
            <c:v>Mask for 27–27.5 GHz (outside footprint)</c:v>
          </c:tx>
          <c:spPr>
            <a:ln w="19050" cap="rnd">
              <a:solidFill>
                <a:srgbClr val="FF0000"/>
              </a:solidFill>
              <a:prstDash val="dash"/>
              <a:round/>
            </a:ln>
            <a:effectLst/>
          </c:spPr>
          <c:marker>
            <c:symbol val="none"/>
          </c:marker>
          <c:xVal>
            <c:numRef>
              <c:f>Sheet2!$A$12:$A$87</c:f>
              <c:numCache>
                <c:formatCode>General</c:formatCode>
                <c:ptCount val="76"/>
                <c:pt idx="0">
                  <c:v>15</c:v>
                </c:pt>
                <c:pt idx="1">
                  <c:v>16</c:v>
                </c:pt>
                <c:pt idx="2">
                  <c:v>17</c:v>
                </c:pt>
                <c:pt idx="3">
                  <c:v>18</c:v>
                </c:pt>
                <c:pt idx="4">
                  <c:v>19</c:v>
                </c:pt>
                <c:pt idx="5">
                  <c:v>20</c:v>
                </c:pt>
                <c:pt idx="6">
                  <c:v>21</c:v>
                </c:pt>
                <c:pt idx="7">
                  <c:v>22</c:v>
                </c:pt>
                <c:pt idx="8">
                  <c:v>23</c:v>
                </c:pt>
                <c:pt idx="9">
                  <c:v>24</c:v>
                </c:pt>
                <c:pt idx="10">
                  <c:v>25</c:v>
                </c:pt>
                <c:pt idx="11">
                  <c:v>26</c:v>
                </c:pt>
                <c:pt idx="12">
                  <c:v>27</c:v>
                </c:pt>
                <c:pt idx="13">
                  <c:v>28</c:v>
                </c:pt>
                <c:pt idx="14">
                  <c:v>29</c:v>
                </c:pt>
                <c:pt idx="15">
                  <c:v>30</c:v>
                </c:pt>
                <c:pt idx="16">
                  <c:v>31</c:v>
                </c:pt>
                <c:pt idx="17">
                  <c:v>32</c:v>
                </c:pt>
                <c:pt idx="18">
                  <c:v>33</c:v>
                </c:pt>
                <c:pt idx="19">
                  <c:v>34</c:v>
                </c:pt>
                <c:pt idx="20">
                  <c:v>35</c:v>
                </c:pt>
                <c:pt idx="21">
                  <c:v>36</c:v>
                </c:pt>
                <c:pt idx="22">
                  <c:v>37</c:v>
                </c:pt>
                <c:pt idx="23">
                  <c:v>38</c:v>
                </c:pt>
                <c:pt idx="24">
                  <c:v>39</c:v>
                </c:pt>
                <c:pt idx="25">
                  <c:v>40</c:v>
                </c:pt>
                <c:pt idx="26">
                  <c:v>41</c:v>
                </c:pt>
                <c:pt idx="27">
                  <c:v>42</c:v>
                </c:pt>
                <c:pt idx="28">
                  <c:v>43</c:v>
                </c:pt>
                <c:pt idx="29">
                  <c:v>44</c:v>
                </c:pt>
                <c:pt idx="30">
                  <c:v>45</c:v>
                </c:pt>
                <c:pt idx="31">
                  <c:v>46</c:v>
                </c:pt>
                <c:pt idx="32">
                  <c:v>47</c:v>
                </c:pt>
                <c:pt idx="33">
                  <c:v>48</c:v>
                </c:pt>
                <c:pt idx="34">
                  <c:v>49</c:v>
                </c:pt>
                <c:pt idx="35">
                  <c:v>50</c:v>
                </c:pt>
                <c:pt idx="36">
                  <c:v>51</c:v>
                </c:pt>
                <c:pt idx="37">
                  <c:v>52</c:v>
                </c:pt>
                <c:pt idx="38">
                  <c:v>53</c:v>
                </c:pt>
                <c:pt idx="39">
                  <c:v>54</c:v>
                </c:pt>
                <c:pt idx="40">
                  <c:v>55</c:v>
                </c:pt>
                <c:pt idx="41">
                  <c:v>56</c:v>
                </c:pt>
                <c:pt idx="42">
                  <c:v>57</c:v>
                </c:pt>
                <c:pt idx="43">
                  <c:v>58</c:v>
                </c:pt>
                <c:pt idx="44">
                  <c:v>59</c:v>
                </c:pt>
                <c:pt idx="45">
                  <c:v>60</c:v>
                </c:pt>
                <c:pt idx="46">
                  <c:v>61</c:v>
                </c:pt>
                <c:pt idx="47">
                  <c:v>62</c:v>
                </c:pt>
                <c:pt idx="48">
                  <c:v>63</c:v>
                </c:pt>
                <c:pt idx="49">
                  <c:v>64</c:v>
                </c:pt>
                <c:pt idx="50">
                  <c:v>65</c:v>
                </c:pt>
                <c:pt idx="51">
                  <c:v>66</c:v>
                </c:pt>
                <c:pt idx="52">
                  <c:v>67</c:v>
                </c:pt>
                <c:pt idx="53">
                  <c:v>68</c:v>
                </c:pt>
                <c:pt idx="54">
                  <c:v>69</c:v>
                </c:pt>
                <c:pt idx="55">
                  <c:v>70</c:v>
                </c:pt>
                <c:pt idx="56">
                  <c:v>71</c:v>
                </c:pt>
                <c:pt idx="57">
                  <c:v>72</c:v>
                </c:pt>
                <c:pt idx="58">
                  <c:v>73</c:v>
                </c:pt>
                <c:pt idx="59">
                  <c:v>74</c:v>
                </c:pt>
                <c:pt idx="60">
                  <c:v>75</c:v>
                </c:pt>
                <c:pt idx="61">
                  <c:v>76</c:v>
                </c:pt>
                <c:pt idx="62">
                  <c:v>77</c:v>
                </c:pt>
                <c:pt idx="63">
                  <c:v>78</c:v>
                </c:pt>
                <c:pt idx="64">
                  <c:v>79</c:v>
                </c:pt>
                <c:pt idx="65">
                  <c:v>80</c:v>
                </c:pt>
                <c:pt idx="66">
                  <c:v>81</c:v>
                </c:pt>
                <c:pt idx="67">
                  <c:v>82</c:v>
                </c:pt>
                <c:pt idx="68">
                  <c:v>83</c:v>
                </c:pt>
                <c:pt idx="69">
                  <c:v>84</c:v>
                </c:pt>
                <c:pt idx="70">
                  <c:v>85</c:v>
                </c:pt>
                <c:pt idx="71">
                  <c:v>86</c:v>
                </c:pt>
                <c:pt idx="72">
                  <c:v>87</c:v>
                </c:pt>
                <c:pt idx="73">
                  <c:v>88</c:v>
                </c:pt>
                <c:pt idx="74">
                  <c:v>89</c:v>
                </c:pt>
                <c:pt idx="75">
                  <c:v>90</c:v>
                </c:pt>
              </c:numCache>
            </c:numRef>
          </c:xVal>
          <c:yVal>
            <c:numRef>
              <c:f>Sheet2!$D$12:$D$87</c:f>
              <c:numCache>
                <c:formatCode>General</c:formatCode>
                <c:ptCount val="76"/>
                <c:pt idx="0">
                  <c:v>46</c:v>
                </c:pt>
                <c:pt idx="1">
                  <c:v>46</c:v>
                </c:pt>
                <c:pt idx="2">
                  <c:v>46</c:v>
                </c:pt>
                <c:pt idx="3">
                  <c:v>46</c:v>
                </c:pt>
                <c:pt idx="4">
                  <c:v>46</c:v>
                </c:pt>
                <c:pt idx="5">
                  <c:v>46</c:v>
                </c:pt>
                <c:pt idx="6">
                  <c:v>46</c:v>
                </c:pt>
                <c:pt idx="7">
                  <c:v>46</c:v>
                </c:pt>
                <c:pt idx="8">
                  <c:v>46</c:v>
                </c:pt>
                <c:pt idx="9">
                  <c:v>46</c:v>
                </c:pt>
                <c:pt idx="10">
                  <c:v>46</c:v>
                </c:pt>
                <c:pt idx="11">
                  <c:v>45.57</c:v>
                </c:pt>
                <c:pt idx="12">
                  <c:v>45.14</c:v>
                </c:pt>
                <c:pt idx="13">
                  <c:v>44.71</c:v>
                </c:pt>
                <c:pt idx="14">
                  <c:v>44.28</c:v>
                </c:pt>
                <c:pt idx="15">
                  <c:v>43.85</c:v>
                </c:pt>
                <c:pt idx="16">
                  <c:v>43.42</c:v>
                </c:pt>
                <c:pt idx="17">
                  <c:v>42.99</c:v>
                </c:pt>
                <c:pt idx="18">
                  <c:v>42.56</c:v>
                </c:pt>
                <c:pt idx="19">
                  <c:v>42.13</c:v>
                </c:pt>
                <c:pt idx="20">
                  <c:v>41.7</c:v>
                </c:pt>
                <c:pt idx="21">
                  <c:v>41.27</c:v>
                </c:pt>
                <c:pt idx="22">
                  <c:v>40.840000000000003</c:v>
                </c:pt>
                <c:pt idx="23">
                  <c:v>40.409999999999997</c:v>
                </c:pt>
                <c:pt idx="24">
                  <c:v>39.980000000000004</c:v>
                </c:pt>
                <c:pt idx="25">
                  <c:v>39.549999999999997</c:v>
                </c:pt>
                <c:pt idx="26">
                  <c:v>39.119999999999997</c:v>
                </c:pt>
                <c:pt idx="27">
                  <c:v>38.69</c:v>
                </c:pt>
                <c:pt idx="28">
                  <c:v>38.26</c:v>
                </c:pt>
                <c:pt idx="29">
                  <c:v>37.83</c:v>
                </c:pt>
                <c:pt idx="30">
                  <c:v>37.4</c:v>
                </c:pt>
                <c:pt idx="31">
                  <c:v>36.97</c:v>
                </c:pt>
                <c:pt idx="32">
                  <c:v>36.54</c:v>
                </c:pt>
                <c:pt idx="33">
                  <c:v>36.11</c:v>
                </c:pt>
                <c:pt idx="34">
                  <c:v>35.68</c:v>
                </c:pt>
                <c:pt idx="35">
                  <c:v>35.25</c:v>
                </c:pt>
                <c:pt idx="36">
                  <c:v>34.82</c:v>
                </c:pt>
                <c:pt idx="37">
                  <c:v>34.39</c:v>
                </c:pt>
                <c:pt idx="38">
                  <c:v>33.96</c:v>
                </c:pt>
                <c:pt idx="39">
                  <c:v>33.53</c:v>
                </c:pt>
                <c:pt idx="40">
                  <c:v>33.1</c:v>
                </c:pt>
                <c:pt idx="41">
                  <c:v>33.1</c:v>
                </c:pt>
                <c:pt idx="42">
                  <c:v>33.1</c:v>
                </c:pt>
                <c:pt idx="43">
                  <c:v>33.1</c:v>
                </c:pt>
                <c:pt idx="44">
                  <c:v>33.1</c:v>
                </c:pt>
                <c:pt idx="45">
                  <c:v>33.1</c:v>
                </c:pt>
                <c:pt idx="46">
                  <c:v>33.1</c:v>
                </c:pt>
                <c:pt idx="47">
                  <c:v>33.1</c:v>
                </c:pt>
                <c:pt idx="48">
                  <c:v>33.1</c:v>
                </c:pt>
                <c:pt idx="49">
                  <c:v>33.1</c:v>
                </c:pt>
                <c:pt idx="50">
                  <c:v>33.1</c:v>
                </c:pt>
                <c:pt idx="51">
                  <c:v>33.1</c:v>
                </c:pt>
                <c:pt idx="52">
                  <c:v>33.1</c:v>
                </c:pt>
                <c:pt idx="53">
                  <c:v>33.1</c:v>
                </c:pt>
                <c:pt idx="54">
                  <c:v>33.1</c:v>
                </c:pt>
                <c:pt idx="55">
                  <c:v>33.1</c:v>
                </c:pt>
                <c:pt idx="56">
                  <c:v>33.1</c:v>
                </c:pt>
                <c:pt idx="57">
                  <c:v>33.1</c:v>
                </c:pt>
                <c:pt idx="58">
                  <c:v>33.1</c:v>
                </c:pt>
                <c:pt idx="59">
                  <c:v>33.1</c:v>
                </c:pt>
                <c:pt idx="60">
                  <c:v>33.1</c:v>
                </c:pt>
                <c:pt idx="61">
                  <c:v>33.1</c:v>
                </c:pt>
                <c:pt idx="62">
                  <c:v>33.1</c:v>
                </c:pt>
                <c:pt idx="63">
                  <c:v>33.1</c:v>
                </c:pt>
                <c:pt idx="64">
                  <c:v>33.1</c:v>
                </c:pt>
                <c:pt idx="65">
                  <c:v>33.1</c:v>
                </c:pt>
                <c:pt idx="66">
                  <c:v>33.1</c:v>
                </c:pt>
                <c:pt idx="67">
                  <c:v>33.1</c:v>
                </c:pt>
                <c:pt idx="68">
                  <c:v>33.1</c:v>
                </c:pt>
                <c:pt idx="69">
                  <c:v>33.1</c:v>
                </c:pt>
                <c:pt idx="70">
                  <c:v>33.1</c:v>
                </c:pt>
                <c:pt idx="71">
                  <c:v>33.1</c:v>
                </c:pt>
                <c:pt idx="72">
                  <c:v>33.1</c:v>
                </c:pt>
                <c:pt idx="73">
                  <c:v>33.1</c:v>
                </c:pt>
                <c:pt idx="74">
                  <c:v>33.1</c:v>
                </c:pt>
                <c:pt idx="75">
                  <c:v>33.1</c:v>
                </c:pt>
              </c:numCache>
            </c:numRef>
          </c:yVal>
          <c:smooth val="0"/>
          <c:extLst>
            <c:ext xmlns:c16="http://schemas.microsoft.com/office/drawing/2014/chart" uri="{C3380CC4-5D6E-409C-BE32-E72D297353CC}">
              <c16:uniqueId val="{00000003-1B13-43DE-8C81-217BAEC8A544}"/>
            </c:ext>
          </c:extLst>
        </c:ser>
        <c:ser>
          <c:idx val="3"/>
          <c:order val="4"/>
          <c:tx>
            <c:v>EIRP (for TRP = 25 dBm/200 MHz)</c:v>
          </c:tx>
          <c:spPr>
            <a:ln w="19050" cap="rnd">
              <a:solidFill>
                <a:srgbClr val="0070C0"/>
              </a:solidFill>
              <a:prstDash val="sysDot"/>
              <a:round/>
            </a:ln>
            <a:effectLst/>
          </c:spPr>
          <c:marker>
            <c:symbol val="none"/>
          </c:marker>
          <c:xVal>
            <c:numRef>
              <c:f>Sheet2!$F$2:$F$87</c:f>
              <c:numCache>
                <c:formatCode>General</c:formatCode>
                <c:ptCount val="8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numCache>
            </c:numRef>
          </c:xVal>
          <c:yVal>
            <c:numRef>
              <c:f>Sheet2!$H$2:$H$92</c:f>
              <c:numCache>
                <c:formatCode>General</c:formatCode>
                <c:ptCount val="91"/>
                <c:pt idx="0">
                  <c:v>48.061799739838904</c:v>
                </c:pt>
                <c:pt idx="1">
                  <c:v>47.990305990770096</c:v>
                </c:pt>
                <c:pt idx="2">
                  <c:v>47.774549289297696</c:v>
                </c:pt>
                <c:pt idx="3">
                  <c:v>47.410582639797902</c:v>
                </c:pt>
                <c:pt idx="4">
                  <c:v>46.891400023780001</c:v>
                </c:pt>
                <c:pt idx="5">
                  <c:v>46.206195528736401</c:v>
                </c:pt>
                <c:pt idx="6">
                  <c:v>45.3390861416379</c:v>
                </c:pt>
                <c:pt idx="7">
                  <c:v>44.2669337990068</c:v>
                </c:pt>
                <c:pt idx="8">
                  <c:v>42.9555190763326</c:v>
                </c:pt>
                <c:pt idx="9">
                  <c:v>41.352422023511295</c:v>
                </c:pt>
                <c:pt idx="10">
                  <c:v>39.372605484766801</c:v>
                </c:pt>
                <c:pt idx="11">
                  <c:v>36.865465572846603</c:v>
                </c:pt>
                <c:pt idx="12">
                  <c:v>33.524615969948492</c:v>
                </c:pt>
                <c:pt idx="13">
                  <c:v>28.55342271287515</c:v>
                </c:pt>
                <c:pt idx="14">
                  <c:v>18.172943279552349</c:v>
                </c:pt>
                <c:pt idx="15">
                  <c:v>18.294072255019891</c:v>
                </c:pt>
                <c:pt idx="16">
                  <c:v>26.827720828356359</c:v>
                </c:pt>
                <c:pt idx="17">
                  <c:v>30.35691613515295</c:v>
                </c:pt>
                <c:pt idx="18">
                  <c:v>32.293909280935218</c:v>
                </c:pt>
                <c:pt idx="19">
                  <c:v>33.385272112319349</c:v>
                </c:pt>
                <c:pt idx="20">
                  <c:v>33.914084256209478</c:v>
                </c:pt>
                <c:pt idx="21">
                  <c:v>34.011044556827137</c:v>
                </c:pt>
                <c:pt idx="22">
                  <c:v>33.738478407503599</c:v>
                </c:pt>
                <c:pt idx="23">
                  <c:v>33.119068956667064</c:v>
                </c:pt>
                <c:pt idx="24">
                  <c:v>32.144650905140402</c:v>
                </c:pt>
                <c:pt idx="25">
                  <c:v>30.77327072536961</c:v>
                </c:pt>
                <c:pt idx="26">
                  <c:v>28.911931533193858</c:v>
                </c:pt>
                <c:pt idx="27">
                  <c:v>26.366947531595571</c:v>
                </c:pt>
                <c:pt idx="28">
                  <c:v>22.684900372468661</c:v>
                </c:pt>
                <c:pt idx="29">
                  <c:v>16.39669670616173</c:v>
                </c:pt>
                <c:pt idx="30">
                  <c:v>-266.54556799464598</c:v>
                </c:pt>
                <c:pt idx="31">
                  <c:v>15.55671186498779</c:v>
                </c:pt>
                <c:pt idx="32">
                  <c:v>21.009902132898119</c:v>
                </c:pt>
                <c:pt idx="33">
                  <c:v>23.867170147716632</c:v>
                </c:pt>
                <c:pt idx="34">
                  <c:v>25.603500988659153</c:v>
                </c:pt>
                <c:pt idx="35">
                  <c:v>26.679276793872042</c:v>
                </c:pt>
                <c:pt idx="36">
                  <c:v>27.296859952205502</c:v>
                </c:pt>
                <c:pt idx="37">
                  <c:v>27.560635643224249</c:v>
                </c:pt>
                <c:pt idx="38">
                  <c:v>27.528319695608769</c:v>
                </c:pt>
                <c:pt idx="39">
                  <c:v>27.231166616604682</c:v>
                </c:pt>
                <c:pt idx="40">
                  <c:v>26.682556904149831</c:v>
                </c:pt>
                <c:pt idx="41">
                  <c:v>25.881038159358226</c:v>
                </c:pt>
                <c:pt idx="42">
                  <c:v>24.809608530389117</c:v>
                </c:pt>
                <c:pt idx="43">
                  <c:v>23.43082453407138</c:v>
                </c:pt>
                <c:pt idx="44">
                  <c:v>21.674650818176818</c:v>
                </c:pt>
                <c:pt idx="45">
                  <c:v>19.409405896092402</c:v>
                </c:pt>
                <c:pt idx="46">
                  <c:v>16.362717178911872</c:v>
                </c:pt>
                <c:pt idx="47">
                  <c:v>11.8398117715177</c:v>
                </c:pt>
                <c:pt idx="48">
                  <c:v>2.8769431299248005</c:v>
                </c:pt>
                <c:pt idx="49">
                  <c:v>-0.71928297121570139</c:v>
                </c:pt>
                <c:pt idx="50">
                  <c:v>9.5313993352199997</c:v>
                </c:pt>
                <c:pt idx="51">
                  <c:v>13.6451553641472</c:v>
                </c:pt>
                <c:pt idx="52">
                  <c:v>16.060221039659552</c:v>
                </c:pt>
                <c:pt idx="53">
                  <c:v>17.639347816390128</c:v>
                </c:pt>
                <c:pt idx="54">
                  <c:v>18.707112419181819</c:v>
                </c:pt>
                <c:pt idx="55">
                  <c:v>19.421771025116101</c:v>
                </c:pt>
                <c:pt idx="56">
                  <c:v>19.872720201891781</c:v>
                </c:pt>
                <c:pt idx="57">
                  <c:v>20.115550764212241</c:v>
                </c:pt>
                <c:pt idx="58">
                  <c:v>20.187248014613591</c:v>
                </c:pt>
                <c:pt idx="59">
                  <c:v>20.113668508134989</c:v>
                </c:pt>
                <c:pt idx="60">
                  <c:v>19.91356938919612</c:v>
                </c:pt>
                <c:pt idx="61">
                  <c:v>19.6009350120028</c:v>
                </c:pt>
                <c:pt idx="62">
                  <c:v>19.186393912633548</c:v>
                </c:pt>
                <c:pt idx="63">
                  <c:v>18.678117965840489</c:v>
                </c:pt>
                <c:pt idx="64">
                  <c:v>18.08241054673816</c:v>
                </c:pt>
                <c:pt idx="65">
                  <c:v>17.404098790531009</c:v>
                </c:pt>
                <c:pt idx="66">
                  <c:v>16.646796709787282</c:v>
                </c:pt>
                <c:pt idx="67">
                  <c:v>15.81307905432813</c:v>
                </c:pt>
                <c:pt idx="68">
                  <c:v>14.904590068593199</c:v>
                </c:pt>
                <c:pt idx="69">
                  <c:v>13.9221015658706</c:v>
                </c:pt>
                <c:pt idx="70">
                  <c:v>12.8655282716821</c:v>
                </c:pt>
                <c:pt idx="71">
                  <c:v>11.7339036416938</c:v>
                </c:pt>
                <c:pt idx="72">
                  <c:v>10.5253153562126</c:v>
                </c:pt>
                <c:pt idx="73">
                  <c:v>9.2367957014017996</c:v>
                </c:pt>
                <c:pt idx="74">
                  <c:v>7.8641573650354992</c:v>
                </c:pt>
                <c:pt idx="75">
                  <c:v>6.4017589370516994</c:v>
                </c:pt>
                <c:pt idx="76">
                  <c:v>4.8421753328138983</c:v>
                </c:pt>
                <c:pt idx="77">
                  <c:v>3.1757343385894004</c:v>
                </c:pt>
                <c:pt idx="78">
                  <c:v>1.3898577867112998</c:v>
                </c:pt>
                <c:pt idx="79">
                  <c:v>-0.53189242780440082</c:v>
                </c:pt>
                <c:pt idx="80">
                  <c:v>-2.6112307066333003</c:v>
                </c:pt>
                <c:pt idx="81">
                  <c:v>-4.8773181066010984</c:v>
                </c:pt>
                <c:pt idx="82">
                  <c:v>-7.3702205576000992</c:v>
                </c:pt>
                <c:pt idx="83">
                  <c:v>-10.146691698125601</c:v>
                </c:pt>
                <c:pt idx="84">
                  <c:v>-13.290446126748499</c:v>
                </c:pt>
                <c:pt idx="85">
                  <c:v>-16.931885735929697</c:v>
                </c:pt>
                <c:pt idx="86">
                  <c:v>-21.290119738168897</c:v>
                </c:pt>
                <c:pt idx="87">
                  <c:v>-26.7766029054063</c:v>
                </c:pt>
                <c:pt idx="88">
                  <c:v>-34.315863825245103</c:v>
                </c:pt>
                <c:pt idx="89">
                  <c:v>-46.859048266403207</c:v>
                </c:pt>
                <c:pt idx="90">
                  <c:v>-299.20450029877298</c:v>
                </c:pt>
              </c:numCache>
            </c:numRef>
          </c:yVal>
          <c:smooth val="0"/>
          <c:extLst>
            <c:ext xmlns:c16="http://schemas.microsoft.com/office/drawing/2014/chart" uri="{C3380CC4-5D6E-409C-BE32-E72D297353CC}">
              <c16:uniqueId val="{00000004-1B13-43DE-8C81-217BAEC8A544}"/>
            </c:ext>
          </c:extLst>
        </c:ser>
        <c:ser>
          <c:idx val="2"/>
          <c:order val="5"/>
          <c:tx>
            <c:v>Mask for 27–27.5 GHz (inside footprint) and in 27.5–29.5 GHz</c:v>
          </c:tx>
          <c:spPr>
            <a:ln w="19050" cap="rnd">
              <a:solidFill>
                <a:srgbClr val="FF0000"/>
              </a:solidFill>
              <a:prstDash val="sysDot"/>
              <a:round/>
            </a:ln>
            <a:effectLst/>
          </c:spPr>
          <c:marker>
            <c:symbol val="none"/>
          </c:marker>
          <c:xVal>
            <c:numRef>
              <c:f>Sheet2!$A$2:$A$87</c:f>
              <c:numCache>
                <c:formatCode>General</c:formatCode>
                <c:ptCount val="86"/>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pt idx="17">
                  <c:v>22</c:v>
                </c:pt>
                <c:pt idx="18">
                  <c:v>23</c:v>
                </c:pt>
                <c:pt idx="19">
                  <c:v>24</c:v>
                </c:pt>
                <c:pt idx="20">
                  <c:v>25</c:v>
                </c:pt>
                <c:pt idx="21">
                  <c:v>26</c:v>
                </c:pt>
                <c:pt idx="22">
                  <c:v>27</c:v>
                </c:pt>
                <c:pt idx="23">
                  <c:v>28</c:v>
                </c:pt>
                <c:pt idx="24">
                  <c:v>29</c:v>
                </c:pt>
                <c:pt idx="25">
                  <c:v>30</c:v>
                </c:pt>
                <c:pt idx="26">
                  <c:v>31</c:v>
                </c:pt>
                <c:pt idx="27">
                  <c:v>32</c:v>
                </c:pt>
                <c:pt idx="28">
                  <c:v>33</c:v>
                </c:pt>
                <c:pt idx="29">
                  <c:v>34</c:v>
                </c:pt>
                <c:pt idx="30">
                  <c:v>35</c:v>
                </c:pt>
                <c:pt idx="31">
                  <c:v>36</c:v>
                </c:pt>
                <c:pt idx="32">
                  <c:v>37</c:v>
                </c:pt>
                <c:pt idx="33">
                  <c:v>38</c:v>
                </c:pt>
                <c:pt idx="34">
                  <c:v>39</c:v>
                </c:pt>
                <c:pt idx="35">
                  <c:v>40</c:v>
                </c:pt>
                <c:pt idx="36">
                  <c:v>41</c:v>
                </c:pt>
                <c:pt idx="37">
                  <c:v>42</c:v>
                </c:pt>
                <c:pt idx="38">
                  <c:v>43</c:v>
                </c:pt>
                <c:pt idx="39">
                  <c:v>44</c:v>
                </c:pt>
                <c:pt idx="40">
                  <c:v>45</c:v>
                </c:pt>
                <c:pt idx="41">
                  <c:v>46</c:v>
                </c:pt>
                <c:pt idx="42">
                  <c:v>47</c:v>
                </c:pt>
                <c:pt idx="43">
                  <c:v>48</c:v>
                </c:pt>
                <c:pt idx="44">
                  <c:v>49</c:v>
                </c:pt>
                <c:pt idx="45">
                  <c:v>50</c:v>
                </c:pt>
                <c:pt idx="46">
                  <c:v>51</c:v>
                </c:pt>
                <c:pt idx="47">
                  <c:v>52</c:v>
                </c:pt>
                <c:pt idx="48">
                  <c:v>53</c:v>
                </c:pt>
                <c:pt idx="49">
                  <c:v>54</c:v>
                </c:pt>
                <c:pt idx="50">
                  <c:v>55</c:v>
                </c:pt>
                <c:pt idx="51">
                  <c:v>56</c:v>
                </c:pt>
                <c:pt idx="52">
                  <c:v>57</c:v>
                </c:pt>
                <c:pt idx="53">
                  <c:v>58</c:v>
                </c:pt>
                <c:pt idx="54">
                  <c:v>59</c:v>
                </c:pt>
                <c:pt idx="55">
                  <c:v>60</c:v>
                </c:pt>
                <c:pt idx="56">
                  <c:v>61</c:v>
                </c:pt>
                <c:pt idx="57">
                  <c:v>62</c:v>
                </c:pt>
                <c:pt idx="58">
                  <c:v>63</c:v>
                </c:pt>
                <c:pt idx="59">
                  <c:v>64</c:v>
                </c:pt>
                <c:pt idx="60">
                  <c:v>65</c:v>
                </c:pt>
                <c:pt idx="61">
                  <c:v>66</c:v>
                </c:pt>
                <c:pt idx="62">
                  <c:v>67</c:v>
                </c:pt>
                <c:pt idx="63">
                  <c:v>68</c:v>
                </c:pt>
                <c:pt idx="64">
                  <c:v>69</c:v>
                </c:pt>
                <c:pt idx="65">
                  <c:v>70</c:v>
                </c:pt>
                <c:pt idx="66">
                  <c:v>71</c:v>
                </c:pt>
                <c:pt idx="67">
                  <c:v>72</c:v>
                </c:pt>
                <c:pt idx="68">
                  <c:v>73</c:v>
                </c:pt>
                <c:pt idx="69">
                  <c:v>74</c:v>
                </c:pt>
                <c:pt idx="70">
                  <c:v>75</c:v>
                </c:pt>
                <c:pt idx="71">
                  <c:v>76</c:v>
                </c:pt>
                <c:pt idx="72">
                  <c:v>77</c:v>
                </c:pt>
                <c:pt idx="73">
                  <c:v>78</c:v>
                </c:pt>
                <c:pt idx="74">
                  <c:v>79</c:v>
                </c:pt>
                <c:pt idx="75">
                  <c:v>80</c:v>
                </c:pt>
                <c:pt idx="76">
                  <c:v>81</c:v>
                </c:pt>
                <c:pt idx="77">
                  <c:v>82</c:v>
                </c:pt>
                <c:pt idx="78">
                  <c:v>83</c:v>
                </c:pt>
                <c:pt idx="79">
                  <c:v>84</c:v>
                </c:pt>
                <c:pt idx="80">
                  <c:v>85</c:v>
                </c:pt>
                <c:pt idx="81">
                  <c:v>86</c:v>
                </c:pt>
                <c:pt idx="82">
                  <c:v>87</c:v>
                </c:pt>
                <c:pt idx="83">
                  <c:v>88</c:v>
                </c:pt>
                <c:pt idx="84">
                  <c:v>89</c:v>
                </c:pt>
                <c:pt idx="85">
                  <c:v>90</c:v>
                </c:pt>
              </c:numCache>
            </c:numRef>
          </c:xVal>
          <c:yVal>
            <c:numRef>
              <c:f>Sheet2!$B$2:$B$87</c:f>
              <c:numCache>
                <c:formatCode>General</c:formatCode>
                <c:ptCount val="86"/>
                <c:pt idx="10">
                  <c:v>34</c:v>
                </c:pt>
                <c:pt idx="11">
                  <c:v>34</c:v>
                </c:pt>
                <c:pt idx="12">
                  <c:v>34</c:v>
                </c:pt>
                <c:pt idx="13">
                  <c:v>34</c:v>
                </c:pt>
                <c:pt idx="14">
                  <c:v>34</c:v>
                </c:pt>
                <c:pt idx="15">
                  <c:v>34</c:v>
                </c:pt>
                <c:pt idx="16">
                  <c:v>34</c:v>
                </c:pt>
                <c:pt idx="17">
                  <c:v>34</c:v>
                </c:pt>
                <c:pt idx="18">
                  <c:v>34</c:v>
                </c:pt>
                <c:pt idx="19">
                  <c:v>34</c:v>
                </c:pt>
                <c:pt idx="20">
                  <c:v>34</c:v>
                </c:pt>
                <c:pt idx="21">
                  <c:v>33.57</c:v>
                </c:pt>
                <c:pt idx="22">
                  <c:v>33.14</c:v>
                </c:pt>
                <c:pt idx="23">
                  <c:v>32.71</c:v>
                </c:pt>
                <c:pt idx="24">
                  <c:v>32.28</c:v>
                </c:pt>
                <c:pt idx="25">
                  <c:v>31.85</c:v>
                </c:pt>
                <c:pt idx="26">
                  <c:v>31.42</c:v>
                </c:pt>
                <c:pt idx="27">
                  <c:v>30.990000000000002</c:v>
                </c:pt>
                <c:pt idx="28">
                  <c:v>30.56</c:v>
                </c:pt>
                <c:pt idx="29">
                  <c:v>30.13</c:v>
                </c:pt>
                <c:pt idx="30">
                  <c:v>29.7</c:v>
                </c:pt>
                <c:pt idx="31">
                  <c:v>29.27</c:v>
                </c:pt>
                <c:pt idx="32">
                  <c:v>28.84</c:v>
                </c:pt>
                <c:pt idx="33">
                  <c:v>28.41</c:v>
                </c:pt>
                <c:pt idx="34">
                  <c:v>27.98</c:v>
                </c:pt>
                <c:pt idx="35">
                  <c:v>27.55</c:v>
                </c:pt>
                <c:pt idx="36">
                  <c:v>27.12</c:v>
                </c:pt>
                <c:pt idx="37">
                  <c:v>26.69</c:v>
                </c:pt>
                <c:pt idx="38">
                  <c:v>26.259999999999998</c:v>
                </c:pt>
                <c:pt idx="39">
                  <c:v>25.83</c:v>
                </c:pt>
                <c:pt idx="40">
                  <c:v>25.4</c:v>
                </c:pt>
                <c:pt idx="41">
                  <c:v>24.97</c:v>
                </c:pt>
                <c:pt idx="42">
                  <c:v>24.54</c:v>
                </c:pt>
                <c:pt idx="43">
                  <c:v>24.11</c:v>
                </c:pt>
                <c:pt idx="44">
                  <c:v>23.68</c:v>
                </c:pt>
                <c:pt idx="45">
                  <c:v>23.25</c:v>
                </c:pt>
                <c:pt idx="46">
                  <c:v>22.82</c:v>
                </c:pt>
                <c:pt idx="47">
                  <c:v>22.39</c:v>
                </c:pt>
                <c:pt idx="48">
                  <c:v>21.96</c:v>
                </c:pt>
                <c:pt idx="49">
                  <c:v>21.53</c:v>
                </c:pt>
                <c:pt idx="50">
                  <c:v>21.1</c:v>
                </c:pt>
                <c:pt idx="51">
                  <c:v>21.1</c:v>
                </c:pt>
                <c:pt idx="52">
                  <c:v>21.1</c:v>
                </c:pt>
                <c:pt idx="53">
                  <c:v>21.1</c:v>
                </c:pt>
                <c:pt idx="54">
                  <c:v>21.1</c:v>
                </c:pt>
                <c:pt idx="55">
                  <c:v>21.1</c:v>
                </c:pt>
                <c:pt idx="56">
                  <c:v>21.1</c:v>
                </c:pt>
                <c:pt idx="57">
                  <c:v>21.1</c:v>
                </c:pt>
                <c:pt idx="58">
                  <c:v>21.1</c:v>
                </c:pt>
                <c:pt idx="59">
                  <c:v>21.1</c:v>
                </c:pt>
                <c:pt idx="60">
                  <c:v>21.1</c:v>
                </c:pt>
                <c:pt idx="61">
                  <c:v>21.1</c:v>
                </c:pt>
                <c:pt idx="62">
                  <c:v>21.1</c:v>
                </c:pt>
                <c:pt idx="63">
                  <c:v>21.1</c:v>
                </c:pt>
                <c:pt idx="64">
                  <c:v>21.1</c:v>
                </c:pt>
                <c:pt idx="65">
                  <c:v>21.1</c:v>
                </c:pt>
                <c:pt idx="66">
                  <c:v>21.1</c:v>
                </c:pt>
                <c:pt idx="67">
                  <c:v>21.1</c:v>
                </c:pt>
                <c:pt idx="68">
                  <c:v>21.1</c:v>
                </c:pt>
                <c:pt idx="69">
                  <c:v>21.1</c:v>
                </c:pt>
                <c:pt idx="70">
                  <c:v>21.1</c:v>
                </c:pt>
                <c:pt idx="71">
                  <c:v>21.1</c:v>
                </c:pt>
                <c:pt idx="72">
                  <c:v>21.1</c:v>
                </c:pt>
                <c:pt idx="73">
                  <c:v>21.1</c:v>
                </c:pt>
                <c:pt idx="74">
                  <c:v>21.1</c:v>
                </c:pt>
                <c:pt idx="75">
                  <c:v>21.1</c:v>
                </c:pt>
                <c:pt idx="76">
                  <c:v>21.1</c:v>
                </c:pt>
                <c:pt idx="77">
                  <c:v>21.1</c:v>
                </c:pt>
                <c:pt idx="78">
                  <c:v>21.1</c:v>
                </c:pt>
                <c:pt idx="79">
                  <c:v>21.1</c:v>
                </c:pt>
                <c:pt idx="80">
                  <c:v>21.1</c:v>
                </c:pt>
                <c:pt idx="81">
                  <c:v>21.1</c:v>
                </c:pt>
                <c:pt idx="82">
                  <c:v>21.1</c:v>
                </c:pt>
                <c:pt idx="83">
                  <c:v>21.1</c:v>
                </c:pt>
                <c:pt idx="84">
                  <c:v>21.1</c:v>
                </c:pt>
                <c:pt idx="85">
                  <c:v>21.1</c:v>
                </c:pt>
              </c:numCache>
            </c:numRef>
          </c:yVal>
          <c:smooth val="0"/>
          <c:extLst>
            <c:ext xmlns:c16="http://schemas.microsoft.com/office/drawing/2014/chart" uri="{C3380CC4-5D6E-409C-BE32-E72D297353CC}">
              <c16:uniqueId val="{00000005-1B13-43DE-8C81-217BAEC8A544}"/>
            </c:ext>
          </c:extLst>
        </c:ser>
        <c:dLbls>
          <c:showLegendKey val="0"/>
          <c:showVal val="0"/>
          <c:showCatName val="0"/>
          <c:showSerName val="0"/>
          <c:showPercent val="0"/>
          <c:showBubbleSize val="0"/>
        </c:dLbls>
        <c:axId val="839208992"/>
        <c:axId val="839209320"/>
      </c:scatterChart>
      <c:valAx>
        <c:axId val="8392089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degrees</a:t>
                </a:r>
                <a:r>
                  <a:rPr lang="en-AU" baseline="0"/>
                  <a:t> above horizon</a:t>
                </a:r>
                <a:endParaRPr lang="en-AU"/>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9209320"/>
        <c:crosses val="autoZero"/>
        <c:crossBetween val="midCat"/>
      </c:valAx>
      <c:valAx>
        <c:axId val="83920932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EIRP</a:t>
                </a:r>
                <a:r>
                  <a:rPr lang="en-AU" baseline="0"/>
                  <a:t> (dBm/200 MHz)</a:t>
                </a:r>
                <a:endParaRPr lang="en-A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9208992"/>
        <c:crosses val="autoZero"/>
        <c:crossBetween val="midCat"/>
      </c:valAx>
      <c:spPr>
        <a:noFill/>
        <a:ln>
          <a:noFill/>
        </a:ln>
        <a:effectLst/>
      </c:spPr>
    </c:plotArea>
    <c:legend>
      <c:legendPos val="r"/>
      <c:layout>
        <c:manualLayout>
          <c:xMode val="edge"/>
          <c:yMode val="edge"/>
          <c:x val="0.66067005605527307"/>
          <c:y val="4.4907891186498891E-2"/>
          <c:w val="0.32368661191500459"/>
          <c:h val="0.935106008945143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EED8A-4771-4A02-AEFF-6C02CC83B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9304</Words>
  <Characters>53035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2020-08-19T02:25:00Z</dcterms:created>
  <dcterms:modified xsi:type="dcterms:W3CDTF">2020-08-19T06:00:00Z</dcterms:modified>
  <cp:category/>
</cp:coreProperties>
</file>