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569" w:rsidRPr="00692271" w:rsidRDefault="00BA7569" w:rsidP="00BA7569">
      <w:pPr>
        <w:spacing w:after="200" w:line="276" w:lineRule="auto"/>
      </w:pPr>
      <w:r w:rsidRPr="00692271">
        <w:rPr>
          <w:noProof/>
          <w:lang w:eastAsia="en-AU"/>
        </w:rPr>
        <w:drawing>
          <wp:inline distT="0" distB="0" distL="0" distR="0" wp14:anchorId="62215023" wp14:editId="330C445A">
            <wp:extent cx="2787015" cy="936625"/>
            <wp:effectExtent l="19050" t="0" r="0" b="0"/>
            <wp:docPr id="1" name="Picture 1" descr="ACMA_LOGO_BLACK_5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MA_LOGO_BLACK_55mm"/>
                    <pic:cNvPicPr>
                      <a:picLocks noChangeAspect="1" noChangeArrowheads="1"/>
                    </pic:cNvPicPr>
                  </pic:nvPicPr>
                  <pic:blipFill>
                    <a:blip r:embed="rId7" cstate="print"/>
                    <a:srcRect/>
                    <a:stretch>
                      <a:fillRect/>
                    </a:stretch>
                  </pic:blipFill>
                  <pic:spPr bwMode="auto">
                    <a:xfrm>
                      <a:off x="0" y="0"/>
                      <a:ext cx="2787015" cy="936625"/>
                    </a:xfrm>
                    <a:prstGeom prst="rect">
                      <a:avLst/>
                    </a:prstGeom>
                    <a:noFill/>
                    <a:ln w="9525">
                      <a:noFill/>
                      <a:miter lim="800000"/>
                      <a:headEnd/>
                      <a:tailEnd/>
                    </a:ln>
                  </pic:spPr>
                </pic:pic>
              </a:graphicData>
            </a:graphic>
          </wp:inline>
        </w:drawing>
      </w:r>
    </w:p>
    <w:p w:rsidR="00BA7569" w:rsidRPr="00692271" w:rsidRDefault="00BA7569" w:rsidP="00BA7569">
      <w:pPr>
        <w:keepNext/>
        <w:suppressAutoHyphens/>
        <w:spacing w:before="320" w:after="0" w:line="240" w:lineRule="auto"/>
        <w:jc w:val="center"/>
        <w:outlineLvl w:val="1"/>
        <w:rPr>
          <w:rFonts w:ascii="Arial" w:eastAsia="Times New Roman" w:hAnsi="Arial" w:cs="Arial"/>
          <w:b/>
          <w:sz w:val="40"/>
          <w:szCs w:val="40"/>
        </w:rPr>
      </w:pPr>
      <w:r w:rsidRPr="00692271">
        <w:rPr>
          <w:rFonts w:ascii="Arial" w:eastAsia="Times New Roman" w:hAnsi="Arial" w:cs="Arial"/>
          <w:b/>
          <w:sz w:val="40"/>
          <w:szCs w:val="40"/>
        </w:rPr>
        <w:t xml:space="preserve">Direction under subsection 121(1) of </w:t>
      </w:r>
      <w:r w:rsidRPr="00692271">
        <w:rPr>
          <w:rFonts w:ascii="Arial" w:eastAsia="Times New Roman" w:hAnsi="Arial" w:cs="Arial"/>
          <w:b/>
          <w:sz w:val="40"/>
          <w:szCs w:val="40"/>
        </w:rPr>
        <w:br/>
        <w:t>the</w:t>
      </w:r>
      <w:r w:rsidRPr="00692271">
        <w:rPr>
          <w:rFonts w:ascii="Arial" w:eastAsia="Times New Roman" w:hAnsi="Arial" w:cs="Arial"/>
          <w:b/>
          <w:i/>
          <w:sz w:val="40"/>
          <w:szCs w:val="40"/>
        </w:rPr>
        <w:t xml:space="preserve"> Telecommunications </w:t>
      </w:r>
      <w:bookmarkStart w:id="0" w:name="_GoBack"/>
      <w:bookmarkEnd w:id="0"/>
      <w:r w:rsidRPr="00692271">
        <w:rPr>
          <w:rFonts w:ascii="Arial" w:eastAsia="Times New Roman" w:hAnsi="Arial" w:cs="Arial"/>
          <w:b/>
          <w:i/>
          <w:sz w:val="40"/>
          <w:szCs w:val="40"/>
        </w:rPr>
        <w:t>Act 1997</w:t>
      </w:r>
    </w:p>
    <w:p w:rsidR="00BA7569" w:rsidRPr="00692271" w:rsidRDefault="00BA7569" w:rsidP="00BA7569">
      <w:pPr>
        <w:suppressAutoHyphens/>
        <w:spacing w:after="0" w:line="280" w:lineRule="atLeast"/>
      </w:pPr>
    </w:p>
    <w:p w:rsidR="00BA7569" w:rsidRPr="00692271" w:rsidRDefault="00BA7569" w:rsidP="00BA7569">
      <w:pPr>
        <w:suppressAutoHyphens/>
        <w:spacing w:after="0" w:line="280" w:lineRule="atLeast"/>
        <w:rPr>
          <w:rFonts w:ascii="Arial" w:eastAsia="Times New Roman" w:hAnsi="Arial" w:cs="Arial"/>
          <w:snapToGrid w:val="0"/>
          <w:sz w:val="20"/>
          <w:szCs w:val="20"/>
        </w:rPr>
      </w:pPr>
    </w:p>
    <w:p w:rsidR="00BA7569" w:rsidRPr="009633F7" w:rsidRDefault="00BA7569" w:rsidP="00BA7569">
      <w:pPr>
        <w:suppressAutoHyphens/>
        <w:spacing w:after="0" w:line="280" w:lineRule="atLeast"/>
        <w:rPr>
          <w:rFonts w:ascii="Arial" w:eastAsia="Times New Roman" w:hAnsi="Arial" w:cs="Arial"/>
          <w:snapToGrid w:val="0"/>
          <w:sz w:val="20"/>
          <w:szCs w:val="20"/>
        </w:rPr>
      </w:pPr>
      <w:r w:rsidRPr="00692271">
        <w:rPr>
          <w:rFonts w:ascii="Arial" w:eastAsia="Times New Roman" w:hAnsi="Arial" w:cs="Arial"/>
          <w:snapToGrid w:val="0"/>
          <w:sz w:val="20"/>
          <w:szCs w:val="20"/>
        </w:rPr>
        <w:t xml:space="preserve">TO:  </w:t>
      </w:r>
      <w:r w:rsidRPr="00692271">
        <w:rPr>
          <w:rFonts w:ascii="Arial" w:eastAsia="Times New Roman" w:hAnsi="Arial" w:cs="Arial"/>
          <w:snapToGrid w:val="0"/>
          <w:sz w:val="20"/>
          <w:szCs w:val="20"/>
        </w:rPr>
        <w:tab/>
      </w:r>
      <w:r w:rsidRPr="009633F7">
        <w:rPr>
          <w:rFonts w:ascii="Arial" w:hAnsi="Arial" w:cs="Arial"/>
          <w:sz w:val="20"/>
          <w:szCs w:val="20"/>
        </w:rPr>
        <w:t>Macquarie Telecom Pty Limited ACN 082 930 916</w:t>
      </w:r>
    </w:p>
    <w:p w:rsidR="00BA7569" w:rsidRPr="00692271" w:rsidRDefault="00BA7569" w:rsidP="00BA7569">
      <w:pPr>
        <w:suppressAutoHyphens/>
        <w:spacing w:after="0" w:line="280" w:lineRule="atLeast"/>
        <w:rPr>
          <w:rFonts w:ascii="Arial" w:eastAsia="Times New Roman" w:hAnsi="Arial" w:cs="Arial"/>
          <w:snapToGrid w:val="0"/>
          <w:sz w:val="20"/>
          <w:szCs w:val="20"/>
        </w:rPr>
      </w:pPr>
      <w:r w:rsidRPr="00692271">
        <w:rPr>
          <w:rFonts w:ascii="Arial" w:eastAsia="Times New Roman" w:hAnsi="Arial" w:cs="Arial"/>
          <w:snapToGrid w:val="0"/>
          <w:sz w:val="20"/>
          <w:szCs w:val="20"/>
        </w:rPr>
        <w:tab/>
      </w:r>
    </w:p>
    <w:p w:rsidR="00BA7569" w:rsidRPr="00692271" w:rsidRDefault="00BA7569" w:rsidP="00BA7569">
      <w:pPr>
        <w:suppressAutoHyphens/>
        <w:spacing w:before="80" w:after="0" w:line="280" w:lineRule="atLeast"/>
        <w:ind w:left="720" w:hanging="720"/>
        <w:rPr>
          <w:rFonts w:ascii="Arial" w:eastAsia="Times New Roman" w:hAnsi="Arial" w:cs="Arial"/>
          <w:snapToGrid w:val="0"/>
          <w:sz w:val="20"/>
          <w:szCs w:val="20"/>
        </w:rPr>
      </w:pPr>
      <w:r w:rsidRPr="00692271">
        <w:rPr>
          <w:rFonts w:ascii="Arial" w:eastAsia="Times New Roman" w:hAnsi="Arial" w:cs="Arial"/>
          <w:snapToGrid w:val="0"/>
          <w:sz w:val="20"/>
          <w:szCs w:val="20"/>
        </w:rPr>
        <w:t>OF:</w:t>
      </w:r>
      <w:r w:rsidRPr="00692271">
        <w:rPr>
          <w:rFonts w:ascii="Arial" w:eastAsia="Times New Roman" w:hAnsi="Arial" w:cs="Arial"/>
          <w:snapToGrid w:val="0"/>
          <w:sz w:val="20"/>
          <w:szCs w:val="20"/>
        </w:rPr>
        <w:tab/>
      </w:r>
      <w:r w:rsidRPr="002D75C6">
        <w:rPr>
          <w:rFonts w:ascii="Arial" w:eastAsia="Times New Roman" w:hAnsi="Arial" w:cs="Arial"/>
          <w:snapToGrid w:val="0"/>
          <w:sz w:val="20"/>
          <w:szCs w:val="20"/>
        </w:rPr>
        <w:t>Level 15, 2 Market St</w:t>
      </w:r>
      <w:r>
        <w:rPr>
          <w:rFonts w:ascii="Arial" w:eastAsia="Times New Roman" w:hAnsi="Arial" w:cs="Arial"/>
          <w:snapToGrid w:val="0"/>
          <w:sz w:val="20"/>
          <w:szCs w:val="20"/>
        </w:rPr>
        <w:t xml:space="preserve">, </w:t>
      </w:r>
      <w:r w:rsidRPr="003D6AB7">
        <w:rPr>
          <w:rFonts w:ascii="Arial" w:eastAsia="Times New Roman" w:hAnsi="Arial" w:cs="Arial"/>
          <w:snapToGrid w:val="0"/>
          <w:sz w:val="20"/>
          <w:szCs w:val="20"/>
        </w:rPr>
        <w:t>Sydney NSW 2000</w:t>
      </w:r>
    </w:p>
    <w:p w:rsidR="00BA7569" w:rsidRPr="00692271" w:rsidRDefault="00BA7569" w:rsidP="00BA7569">
      <w:pPr>
        <w:suppressAutoHyphens/>
        <w:spacing w:after="0" w:line="280" w:lineRule="atLeast"/>
        <w:rPr>
          <w:rFonts w:ascii="Arial" w:eastAsia="Times New Roman" w:hAnsi="Arial" w:cs="Arial"/>
          <w:snapToGrid w:val="0"/>
          <w:sz w:val="20"/>
          <w:szCs w:val="20"/>
        </w:rPr>
      </w:pPr>
    </w:p>
    <w:p w:rsidR="00BA7569" w:rsidRPr="00692271" w:rsidRDefault="00BA7569" w:rsidP="00BA7569">
      <w:pPr>
        <w:suppressAutoHyphens/>
        <w:spacing w:before="80" w:after="120" w:line="280" w:lineRule="atLeast"/>
        <w:rPr>
          <w:rFonts w:ascii="Arial" w:eastAsia="Times New Roman" w:hAnsi="Arial" w:cs="Arial"/>
          <w:snapToGrid w:val="0"/>
          <w:sz w:val="20"/>
          <w:szCs w:val="20"/>
        </w:rPr>
      </w:pPr>
      <w:r>
        <w:rPr>
          <w:rFonts w:ascii="Arial" w:eastAsia="Times New Roman" w:hAnsi="Arial" w:cs="Arial"/>
          <w:snapToGrid w:val="0"/>
          <w:sz w:val="20"/>
          <w:szCs w:val="20"/>
        </w:rPr>
        <w:t>T</w:t>
      </w:r>
      <w:r w:rsidRPr="00692271">
        <w:rPr>
          <w:rFonts w:ascii="Arial" w:eastAsia="Times New Roman" w:hAnsi="Arial" w:cs="Arial"/>
          <w:snapToGrid w:val="0"/>
          <w:sz w:val="20"/>
          <w:szCs w:val="20"/>
        </w:rPr>
        <w:t>he Australian Communications and Media Authority (</w:t>
      </w:r>
      <w:r w:rsidRPr="00692271">
        <w:rPr>
          <w:rFonts w:ascii="Arial" w:eastAsia="Times New Roman" w:hAnsi="Arial" w:cs="Arial"/>
          <w:b/>
          <w:snapToGrid w:val="0"/>
          <w:sz w:val="20"/>
          <w:szCs w:val="20"/>
        </w:rPr>
        <w:t>the</w:t>
      </w:r>
      <w:r w:rsidRPr="00692271">
        <w:rPr>
          <w:rFonts w:ascii="Arial" w:eastAsia="Times New Roman" w:hAnsi="Arial" w:cs="Arial"/>
          <w:snapToGrid w:val="0"/>
          <w:sz w:val="20"/>
          <w:szCs w:val="20"/>
        </w:rPr>
        <w:t xml:space="preserve"> </w:t>
      </w:r>
      <w:r w:rsidRPr="00692271">
        <w:rPr>
          <w:rFonts w:ascii="Arial" w:eastAsia="Times New Roman" w:hAnsi="Arial" w:cs="Arial"/>
          <w:b/>
          <w:snapToGrid w:val="0"/>
          <w:sz w:val="20"/>
          <w:szCs w:val="20"/>
        </w:rPr>
        <w:t>ACMA</w:t>
      </w:r>
      <w:r w:rsidRPr="00692271">
        <w:rPr>
          <w:rFonts w:ascii="Arial" w:eastAsia="Times New Roman" w:hAnsi="Arial" w:cs="Arial"/>
          <w:snapToGrid w:val="0"/>
          <w:sz w:val="20"/>
          <w:szCs w:val="20"/>
        </w:rPr>
        <w:t xml:space="preserve">), being satisfied that </w:t>
      </w:r>
      <w:r w:rsidRPr="009633F7">
        <w:rPr>
          <w:rFonts w:ascii="Arial" w:hAnsi="Arial" w:cs="Arial"/>
          <w:sz w:val="20"/>
          <w:szCs w:val="20"/>
        </w:rPr>
        <w:t>Macquarie Telecom Pty Limited ACN 082 930 916</w:t>
      </w:r>
      <w:r>
        <w:rPr>
          <w:rFonts w:ascii="Arial" w:eastAsia="Times New Roman" w:hAnsi="Arial" w:cs="Arial"/>
          <w:snapToGrid w:val="0"/>
          <w:sz w:val="20"/>
          <w:szCs w:val="20"/>
        </w:rPr>
        <w:t xml:space="preserve"> </w:t>
      </w:r>
      <w:r w:rsidRPr="00692271">
        <w:rPr>
          <w:rFonts w:ascii="Arial" w:eastAsia="Times New Roman" w:hAnsi="Arial" w:cs="Arial"/>
          <w:snapToGrid w:val="0"/>
          <w:sz w:val="20"/>
          <w:szCs w:val="20"/>
        </w:rPr>
        <w:t>(</w:t>
      </w:r>
      <w:r>
        <w:rPr>
          <w:rFonts w:ascii="Arial" w:eastAsia="Times New Roman" w:hAnsi="Arial" w:cs="Arial"/>
          <w:b/>
          <w:snapToGrid w:val="0"/>
          <w:sz w:val="20"/>
          <w:szCs w:val="20"/>
        </w:rPr>
        <w:t>Macquarie Telecom</w:t>
      </w:r>
      <w:r w:rsidRPr="00692271">
        <w:rPr>
          <w:rFonts w:ascii="Arial" w:eastAsia="Times New Roman" w:hAnsi="Arial" w:cs="Arial"/>
          <w:snapToGrid w:val="0"/>
          <w:sz w:val="20"/>
          <w:szCs w:val="20"/>
        </w:rPr>
        <w:t xml:space="preserve">), has contravened </w:t>
      </w:r>
      <w:r w:rsidRPr="00692271">
        <w:rPr>
          <w:rFonts w:ascii="Arial" w:eastAsia="Times New Roman" w:hAnsi="Arial" w:cs="Arial"/>
          <w:noProof/>
          <w:snapToGrid w:val="0"/>
          <w:sz w:val="20"/>
          <w:szCs w:val="20"/>
        </w:rPr>
        <w:t xml:space="preserve">the </w:t>
      </w:r>
      <w:r>
        <w:rPr>
          <w:rFonts w:ascii="Arial" w:eastAsia="Times New Roman" w:hAnsi="Arial" w:cs="Arial"/>
          <w:i/>
          <w:snapToGrid w:val="0"/>
          <w:sz w:val="20"/>
          <w:szCs w:val="20"/>
        </w:rPr>
        <w:t>Integrated Public Number Database (IPND) Industry</w:t>
      </w:r>
      <w:r w:rsidRPr="00692271">
        <w:rPr>
          <w:rFonts w:ascii="Arial" w:eastAsia="Times New Roman" w:hAnsi="Arial" w:cs="Arial"/>
          <w:i/>
          <w:snapToGrid w:val="0"/>
          <w:sz w:val="20"/>
          <w:szCs w:val="20"/>
        </w:rPr>
        <w:t xml:space="preserve"> Code (C</w:t>
      </w:r>
      <w:r>
        <w:rPr>
          <w:rFonts w:ascii="Arial" w:eastAsia="Times New Roman" w:hAnsi="Arial" w:cs="Arial"/>
          <w:i/>
          <w:snapToGrid w:val="0"/>
          <w:sz w:val="20"/>
          <w:szCs w:val="20"/>
        </w:rPr>
        <w:t>555</w:t>
      </w:r>
      <w:r w:rsidRPr="00692271">
        <w:rPr>
          <w:rFonts w:ascii="Arial" w:eastAsia="Times New Roman" w:hAnsi="Arial" w:cs="Arial"/>
          <w:i/>
          <w:snapToGrid w:val="0"/>
          <w:sz w:val="20"/>
          <w:szCs w:val="20"/>
        </w:rPr>
        <w:t>:20</w:t>
      </w:r>
      <w:r>
        <w:rPr>
          <w:rFonts w:ascii="Arial" w:eastAsia="Times New Roman" w:hAnsi="Arial" w:cs="Arial"/>
          <w:i/>
          <w:snapToGrid w:val="0"/>
          <w:sz w:val="20"/>
          <w:szCs w:val="20"/>
        </w:rPr>
        <w:t>08</w:t>
      </w:r>
      <w:r w:rsidRPr="00692271">
        <w:rPr>
          <w:rFonts w:ascii="Arial" w:eastAsia="Times New Roman" w:hAnsi="Arial" w:cs="Arial"/>
          <w:i/>
          <w:snapToGrid w:val="0"/>
          <w:sz w:val="20"/>
          <w:szCs w:val="20"/>
        </w:rPr>
        <w:t xml:space="preserve">) </w:t>
      </w:r>
      <w:r w:rsidRPr="00692271">
        <w:rPr>
          <w:rFonts w:ascii="Arial" w:eastAsia="Times New Roman" w:hAnsi="Arial" w:cs="Arial"/>
          <w:snapToGrid w:val="0"/>
          <w:sz w:val="20"/>
          <w:szCs w:val="20"/>
        </w:rPr>
        <w:t>(</w:t>
      </w:r>
      <w:r w:rsidRPr="00692271">
        <w:rPr>
          <w:rFonts w:ascii="Arial" w:eastAsia="Times New Roman" w:hAnsi="Arial" w:cs="Arial"/>
          <w:b/>
          <w:snapToGrid w:val="0"/>
          <w:sz w:val="20"/>
          <w:szCs w:val="20"/>
        </w:rPr>
        <w:t>the</w:t>
      </w:r>
      <w:r w:rsidRPr="00692271">
        <w:rPr>
          <w:rFonts w:ascii="Arial" w:eastAsia="Times New Roman" w:hAnsi="Arial" w:cs="Arial"/>
          <w:snapToGrid w:val="0"/>
          <w:sz w:val="20"/>
          <w:szCs w:val="20"/>
        </w:rPr>
        <w:t xml:space="preserve"> </w:t>
      </w:r>
      <w:r>
        <w:rPr>
          <w:rFonts w:ascii="Arial" w:eastAsia="Times New Roman" w:hAnsi="Arial" w:cs="Arial"/>
          <w:b/>
          <w:snapToGrid w:val="0"/>
          <w:sz w:val="20"/>
          <w:szCs w:val="20"/>
        </w:rPr>
        <w:t>IPND</w:t>
      </w:r>
      <w:r w:rsidRPr="00692271">
        <w:rPr>
          <w:rFonts w:ascii="Arial" w:eastAsia="Times New Roman" w:hAnsi="Arial" w:cs="Arial"/>
          <w:b/>
          <w:snapToGrid w:val="0"/>
          <w:sz w:val="20"/>
          <w:szCs w:val="20"/>
        </w:rPr>
        <w:t xml:space="preserve"> Code</w:t>
      </w:r>
      <w:r w:rsidRPr="00692271">
        <w:rPr>
          <w:rFonts w:ascii="Arial" w:eastAsia="Times New Roman" w:hAnsi="Arial" w:cs="Arial"/>
          <w:snapToGrid w:val="0"/>
          <w:sz w:val="20"/>
          <w:szCs w:val="20"/>
        </w:rPr>
        <w:t>) as described below;</w:t>
      </w:r>
    </w:p>
    <w:p w:rsidR="00BA7569" w:rsidRPr="00692271" w:rsidRDefault="00BA7569" w:rsidP="00BA7569">
      <w:pPr>
        <w:suppressAutoHyphens/>
        <w:spacing w:before="240" w:after="120" w:line="280" w:lineRule="atLeast"/>
        <w:rPr>
          <w:rFonts w:ascii="Arial" w:eastAsia="Times New Roman" w:hAnsi="Arial" w:cs="Arial"/>
          <w:snapToGrid w:val="0"/>
          <w:sz w:val="20"/>
          <w:szCs w:val="20"/>
        </w:rPr>
      </w:pPr>
      <w:r w:rsidRPr="007B0D18">
        <w:rPr>
          <w:rFonts w:ascii="Arial" w:eastAsia="Times New Roman" w:hAnsi="Arial" w:cs="Arial"/>
          <w:snapToGrid w:val="0"/>
          <w:sz w:val="20"/>
          <w:szCs w:val="20"/>
        </w:rPr>
        <w:t>DIRECTS</w:t>
      </w:r>
      <w:r w:rsidRPr="00692271">
        <w:rPr>
          <w:rFonts w:ascii="Arial" w:eastAsia="Times New Roman" w:hAnsi="Arial" w:cs="Arial"/>
          <w:snapToGrid w:val="0"/>
          <w:sz w:val="20"/>
          <w:szCs w:val="20"/>
        </w:rPr>
        <w:t xml:space="preserve"> </w:t>
      </w:r>
      <w:r w:rsidRPr="009633F7">
        <w:rPr>
          <w:rFonts w:ascii="Arial" w:eastAsia="Times New Roman" w:hAnsi="Arial" w:cs="Arial"/>
          <w:snapToGrid w:val="0"/>
          <w:sz w:val="20"/>
          <w:szCs w:val="20"/>
        </w:rPr>
        <w:t>Macquarie Telecom</w:t>
      </w:r>
      <w:r w:rsidRPr="00692271">
        <w:rPr>
          <w:rFonts w:ascii="Arial" w:eastAsia="Times New Roman" w:hAnsi="Arial" w:cs="Arial"/>
          <w:snapToGrid w:val="0"/>
          <w:sz w:val="20"/>
          <w:szCs w:val="20"/>
        </w:rPr>
        <w:t xml:space="preserve">, under subsection 121(1) of </w:t>
      </w:r>
      <w:r w:rsidRPr="00692271">
        <w:rPr>
          <w:rFonts w:ascii="Arial" w:eastAsia="Times New Roman" w:hAnsi="Arial" w:cs="Arial"/>
          <w:i/>
          <w:snapToGrid w:val="0"/>
          <w:sz w:val="20"/>
          <w:szCs w:val="20"/>
        </w:rPr>
        <w:t>the Telecommunications Act 1997</w:t>
      </w:r>
      <w:r w:rsidRPr="00692271">
        <w:rPr>
          <w:rFonts w:ascii="Arial" w:eastAsia="Times New Roman" w:hAnsi="Arial" w:cs="Arial"/>
          <w:snapToGrid w:val="0"/>
          <w:sz w:val="20"/>
          <w:szCs w:val="20"/>
        </w:rPr>
        <w:t xml:space="preserve"> (</w:t>
      </w:r>
      <w:r w:rsidRPr="00692271">
        <w:rPr>
          <w:rFonts w:ascii="Arial" w:eastAsia="Times New Roman" w:hAnsi="Arial" w:cs="Arial"/>
          <w:b/>
          <w:snapToGrid w:val="0"/>
          <w:sz w:val="20"/>
          <w:szCs w:val="20"/>
        </w:rPr>
        <w:t>the</w:t>
      </w:r>
      <w:r w:rsidRPr="00692271">
        <w:rPr>
          <w:rFonts w:ascii="Arial" w:eastAsia="Times New Roman" w:hAnsi="Arial" w:cs="Arial"/>
          <w:snapToGrid w:val="0"/>
          <w:sz w:val="20"/>
          <w:szCs w:val="20"/>
        </w:rPr>
        <w:t xml:space="preserve"> </w:t>
      </w:r>
      <w:r w:rsidRPr="00692271">
        <w:rPr>
          <w:rFonts w:ascii="Arial" w:eastAsia="Times New Roman" w:hAnsi="Arial" w:cs="Arial"/>
          <w:b/>
          <w:snapToGrid w:val="0"/>
          <w:sz w:val="20"/>
          <w:szCs w:val="20"/>
        </w:rPr>
        <w:t>Act</w:t>
      </w:r>
      <w:r>
        <w:rPr>
          <w:rFonts w:ascii="Arial" w:eastAsia="Times New Roman" w:hAnsi="Arial" w:cs="Arial"/>
          <w:snapToGrid w:val="0"/>
          <w:sz w:val="20"/>
          <w:szCs w:val="20"/>
        </w:rPr>
        <w:t>) to comply with</w:t>
      </w:r>
      <w:r w:rsidRPr="00692271">
        <w:rPr>
          <w:rFonts w:ascii="Arial" w:eastAsia="Times New Roman" w:hAnsi="Arial" w:cs="Arial"/>
          <w:snapToGrid w:val="0"/>
          <w:sz w:val="20"/>
          <w:szCs w:val="20"/>
        </w:rPr>
        <w:t xml:space="preserve"> the </w:t>
      </w:r>
      <w:r>
        <w:rPr>
          <w:rFonts w:ascii="Arial" w:eastAsia="Times New Roman" w:hAnsi="Arial" w:cs="Arial"/>
          <w:snapToGrid w:val="0"/>
          <w:sz w:val="20"/>
          <w:szCs w:val="20"/>
        </w:rPr>
        <w:t>IPND</w:t>
      </w:r>
      <w:r w:rsidRPr="00692271">
        <w:rPr>
          <w:rFonts w:ascii="Arial" w:eastAsia="Times New Roman" w:hAnsi="Arial" w:cs="Arial"/>
          <w:snapToGrid w:val="0"/>
          <w:sz w:val="20"/>
          <w:szCs w:val="20"/>
        </w:rPr>
        <w:t xml:space="preserve"> Code.</w:t>
      </w:r>
    </w:p>
    <w:p w:rsidR="00BA7569" w:rsidRPr="00692271" w:rsidRDefault="00BA7569" w:rsidP="00BA7569">
      <w:pPr>
        <w:keepNext/>
        <w:spacing w:before="240" w:after="60" w:line="280" w:lineRule="atLeast"/>
        <w:outlineLvl w:val="2"/>
        <w:rPr>
          <w:rFonts w:ascii="Arial" w:eastAsia="Times New Roman" w:hAnsi="Arial" w:cs="Arial"/>
          <w:b/>
          <w:bCs/>
          <w:sz w:val="20"/>
          <w:szCs w:val="20"/>
        </w:rPr>
      </w:pPr>
      <w:r w:rsidRPr="00692271">
        <w:rPr>
          <w:rFonts w:ascii="Arial" w:eastAsia="Times New Roman" w:hAnsi="Arial" w:cs="Arial"/>
          <w:b/>
          <w:bCs/>
          <w:sz w:val="20"/>
          <w:szCs w:val="20"/>
        </w:rPr>
        <w:t>Details of the contraventions</w:t>
      </w:r>
    </w:p>
    <w:p w:rsidR="00BA7569" w:rsidRPr="0024451C" w:rsidRDefault="00BA7569" w:rsidP="00BA7569">
      <w:pPr>
        <w:numPr>
          <w:ilvl w:val="0"/>
          <w:numId w:val="1"/>
        </w:numPr>
        <w:suppressAutoHyphens/>
        <w:spacing w:before="80" w:after="120" w:line="280" w:lineRule="atLeast"/>
        <w:rPr>
          <w:rFonts w:ascii="Arial" w:eastAsia="Times New Roman" w:hAnsi="Arial" w:cs="Arial"/>
          <w:snapToGrid w:val="0"/>
          <w:sz w:val="20"/>
          <w:szCs w:val="20"/>
        </w:rPr>
      </w:pPr>
      <w:r w:rsidRPr="0024451C">
        <w:rPr>
          <w:rFonts w:ascii="Arial" w:eastAsia="Times New Roman" w:hAnsi="Arial" w:cs="Arial"/>
          <w:snapToGrid w:val="0"/>
          <w:sz w:val="20"/>
          <w:szCs w:val="20"/>
        </w:rPr>
        <w:t xml:space="preserve">The ACMA has investigated </w:t>
      </w:r>
      <w:r>
        <w:rPr>
          <w:rFonts w:ascii="Arial" w:eastAsia="Times New Roman" w:hAnsi="Arial" w:cs="Arial"/>
          <w:snapToGrid w:val="0"/>
          <w:sz w:val="20"/>
          <w:szCs w:val="20"/>
        </w:rPr>
        <w:t>Macquarie Telecom</w:t>
      </w:r>
      <w:r w:rsidRPr="0024451C">
        <w:rPr>
          <w:rFonts w:ascii="Arial" w:eastAsia="Times New Roman" w:hAnsi="Arial" w:cs="Arial"/>
          <w:snapToGrid w:val="0"/>
          <w:sz w:val="20"/>
          <w:szCs w:val="20"/>
        </w:rPr>
        <w:t xml:space="preserve">’s compliance </w:t>
      </w:r>
      <w:r w:rsidRPr="0024451C">
        <w:rPr>
          <w:rFonts w:ascii="Arial" w:eastAsia="Times New Roman" w:hAnsi="Arial" w:cs="Arial"/>
          <w:snapToGrid w:val="0"/>
          <w:color w:val="000000" w:themeColor="text1"/>
          <w:sz w:val="20"/>
          <w:szCs w:val="20"/>
        </w:rPr>
        <w:t>with</w:t>
      </w:r>
      <w:r w:rsidRPr="0024451C">
        <w:rPr>
          <w:rFonts w:ascii="Arial" w:eastAsia="Times New Roman" w:hAnsi="Arial" w:cs="Arial"/>
          <w:snapToGrid w:val="0"/>
          <w:color w:val="FF0000"/>
          <w:sz w:val="20"/>
          <w:szCs w:val="20"/>
        </w:rPr>
        <w:t xml:space="preserve"> </w:t>
      </w:r>
      <w:r w:rsidRPr="0024451C">
        <w:rPr>
          <w:rFonts w:ascii="Arial" w:eastAsia="Times New Roman" w:hAnsi="Arial" w:cs="Arial"/>
          <w:snapToGrid w:val="0"/>
          <w:sz w:val="20"/>
          <w:szCs w:val="20"/>
        </w:rPr>
        <w:t>the IPND Code.</w:t>
      </w:r>
      <w:r>
        <w:rPr>
          <w:rFonts w:ascii="Arial" w:eastAsia="Times New Roman" w:hAnsi="Arial" w:cs="Times New Roman"/>
          <w:color w:val="000000"/>
          <w:sz w:val="20"/>
          <w:szCs w:val="20"/>
        </w:rPr>
        <w:t xml:space="preserve">  As a carriage service provider, Macquarie Telecom is a participant in a section of the telecommunications industry to which the IPND Code applies.</w:t>
      </w:r>
    </w:p>
    <w:p w:rsidR="00BA7569" w:rsidRDefault="00BA7569" w:rsidP="00BA7569">
      <w:pPr>
        <w:numPr>
          <w:ilvl w:val="0"/>
          <w:numId w:val="1"/>
        </w:numPr>
        <w:suppressAutoHyphens/>
        <w:spacing w:before="80" w:after="120" w:line="280" w:lineRule="atLeast"/>
        <w:rPr>
          <w:rFonts w:ascii="Arial" w:eastAsia="Times New Roman" w:hAnsi="Arial" w:cs="Arial"/>
          <w:snapToGrid w:val="0"/>
          <w:sz w:val="20"/>
          <w:szCs w:val="20"/>
        </w:rPr>
      </w:pPr>
      <w:r w:rsidRPr="0024451C">
        <w:rPr>
          <w:rFonts w:ascii="Arial" w:eastAsia="Times New Roman" w:hAnsi="Arial" w:cs="Arial"/>
          <w:snapToGrid w:val="0"/>
          <w:sz w:val="20"/>
          <w:szCs w:val="20"/>
        </w:rPr>
        <w:t xml:space="preserve">The ACMA is satisfied that </w:t>
      </w:r>
      <w:r>
        <w:rPr>
          <w:rFonts w:ascii="Arial" w:eastAsia="Times New Roman" w:hAnsi="Arial" w:cs="Arial"/>
          <w:snapToGrid w:val="0"/>
          <w:sz w:val="20"/>
          <w:szCs w:val="20"/>
        </w:rPr>
        <w:t>Macquarie Telecom has:</w:t>
      </w:r>
    </w:p>
    <w:p w:rsidR="00BA7569" w:rsidRPr="00284C18" w:rsidRDefault="00BA7569" w:rsidP="00BA7569">
      <w:pPr>
        <w:pStyle w:val="ACMATableText"/>
        <w:numPr>
          <w:ilvl w:val="1"/>
          <w:numId w:val="2"/>
        </w:numPr>
        <w:spacing w:before="80" w:after="160" w:line="280" w:lineRule="atLeast"/>
        <w:rPr>
          <w:color w:val="000000"/>
        </w:rPr>
      </w:pPr>
      <w:r>
        <w:rPr>
          <w:color w:val="000000"/>
        </w:rPr>
        <w:t>contravened clause 5.1</w:t>
      </w:r>
      <w:r w:rsidRPr="00E9638E">
        <w:rPr>
          <w:color w:val="000000"/>
        </w:rPr>
        <w:t xml:space="preserve"> of the</w:t>
      </w:r>
      <w:r>
        <w:rPr>
          <w:color w:val="000000"/>
        </w:rPr>
        <w:t xml:space="preserve"> IPND Code</w:t>
      </w:r>
      <w:r>
        <w:t>,</w:t>
      </w:r>
      <w:r w:rsidRPr="00E5660B">
        <w:t xml:space="preserve"> </w:t>
      </w:r>
      <w:r>
        <w:t>as it failed (as a Data Provider) to supply public number customer data (</w:t>
      </w:r>
      <w:r w:rsidRPr="00E77C43">
        <w:rPr>
          <w:b/>
        </w:rPr>
        <w:t>PNCD</w:t>
      </w:r>
      <w:r>
        <w:t>) to the IPND Manager for 142,499 public numbers it used to supply carriage services to its customers;</w:t>
      </w:r>
    </w:p>
    <w:p w:rsidR="00BA7569" w:rsidRPr="00284C18" w:rsidRDefault="00BA7569" w:rsidP="00BA7569">
      <w:pPr>
        <w:pStyle w:val="ACMATableText"/>
        <w:numPr>
          <w:ilvl w:val="1"/>
          <w:numId w:val="2"/>
        </w:numPr>
        <w:spacing w:before="80" w:after="160" w:line="280" w:lineRule="atLeast"/>
        <w:rPr>
          <w:color w:val="000000"/>
        </w:rPr>
      </w:pPr>
      <w:r>
        <w:rPr>
          <w:color w:val="000000"/>
        </w:rPr>
        <w:t>contravened clause 5.2</w:t>
      </w:r>
      <w:r w:rsidRPr="00E9638E">
        <w:rPr>
          <w:color w:val="000000"/>
        </w:rPr>
        <w:t xml:space="preserve"> of the </w:t>
      </w:r>
      <w:r w:rsidRPr="00284C18">
        <w:rPr>
          <w:color w:val="000000"/>
        </w:rPr>
        <w:t>IPND Code</w:t>
      </w:r>
      <w:r w:rsidRPr="00E5660B">
        <w:t xml:space="preserve"> </w:t>
      </w:r>
      <w:r>
        <w:t xml:space="preserve">as it failed (as a carriage service provider) to provide the relevant PNCD to the IPND Manager in respect of 142,499 carriage services it provided; </w:t>
      </w:r>
    </w:p>
    <w:p w:rsidR="00BA7569" w:rsidRPr="00E77C43" w:rsidRDefault="00BA7569" w:rsidP="00BA7569">
      <w:pPr>
        <w:pStyle w:val="ACMATableText"/>
        <w:numPr>
          <w:ilvl w:val="1"/>
          <w:numId w:val="2"/>
        </w:numPr>
        <w:spacing w:before="80" w:after="160" w:line="280" w:lineRule="atLeast"/>
        <w:rPr>
          <w:color w:val="000000"/>
        </w:rPr>
      </w:pPr>
      <w:r>
        <w:rPr>
          <w:color w:val="000000"/>
        </w:rPr>
        <w:t>contravened clause 5.6</w:t>
      </w:r>
      <w:r w:rsidRPr="00E9638E">
        <w:rPr>
          <w:color w:val="000000"/>
        </w:rPr>
        <w:t xml:space="preserve"> of the </w:t>
      </w:r>
      <w:r w:rsidRPr="00284C18">
        <w:rPr>
          <w:color w:val="000000"/>
        </w:rPr>
        <w:t>IPND Code</w:t>
      </w:r>
      <w:r>
        <w:t xml:space="preserve"> as it failed to ensure that the information it provided to the IPND Manager nominating an approved contact person to deal with the IPND Manager on IPND operational issues remained current; and</w:t>
      </w:r>
    </w:p>
    <w:p w:rsidR="00BA7569" w:rsidRPr="005825EC" w:rsidRDefault="00BA7569" w:rsidP="00BA7569">
      <w:pPr>
        <w:pStyle w:val="ACMATableText"/>
        <w:numPr>
          <w:ilvl w:val="1"/>
          <w:numId w:val="2"/>
        </w:numPr>
        <w:spacing w:before="80" w:after="160" w:line="280" w:lineRule="atLeast"/>
        <w:rPr>
          <w:color w:val="000000"/>
        </w:rPr>
      </w:pPr>
      <w:proofErr w:type="gramStart"/>
      <w:r>
        <w:rPr>
          <w:color w:val="000000"/>
        </w:rPr>
        <w:t>contravened</w:t>
      </w:r>
      <w:proofErr w:type="gramEnd"/>
      <w:r>
        <w:rPr>
          <w:color w:val="000000"/>
        </w:rPr>
        <w:t xml:space="preserve"> </w:t>
      </w:r>
      <w:r w:rsidRPr="00E9638E">
        <w:rPr>
          <w:color w:val="000000"/>
        </w:rPr>
        <w:t xml:space="preserve">clause 5.12 of </w:t>
      </w:r>
      <w:r w:rsidRPr="000A733C">
        <w:rPr>
          <w:color w:val="000000"/>
        </w:rPr>
        <w:t>the</w:t>
      </w:r>
      <w:r w:rsidRPr="000A733C">
        <w:rPr>
          <w:i/>
        </w:rPr>
        <w:t xml:space="preserve"> </w:t>
      </w:r>
      <w:r w:rsidRPr="00E77C43">
        <w:rPr>
          <w:color w:val="000000"/>
        </w:rPr>
        <w:t>IPND Cod</w:t>
      </w:r>
      <w:r>
        <w:rPr>
          <w:color w:val="000000"/>
        </w:rPr>
        <w:t>e</w:t>
      </w:r>
      <w:r>
        <w:t xml:space="preserve"> as it failed to ensure that the information provided to the IPND Manager was accurate, complete and up to date.</w:t>
      </w:r>
    </w:p>
    <w:p w:rsidR="00BA7569" w:rsidRPr="00692271" w:rsidRDefault="00BA7569" w:rsidP="00BA7569">
      <w:pPr>
        <w:suppressAutoHyphens/>
        <w:spacing w:before="80" w:after="120" w:line="280" w:lineRule="atLeast"/>
        <w:rPr>
          <w:rFonts w:ascii="Arial" w:eastAsia="Times New Roman" w:hAnsi="Arial" w:cs="Arial"/>
          <w:b/>
          <w:snapToGrid w:val="0"/>
          <w:sz w:val="20"/>
          <w:szCs w:val="20"/>
        </w:rPr>
      </w:pPr>
      <w:r w:rsidRPr="00692271">
        <w:rPr>
          <w:rFonts w:ascii="Arial" w:eastAsia="Times New Roman" w:hAnsi="Arial" w:cs="Arial"/>
          <w:b/>
          <w:snapToGrid w:val="0"/>
          <w:sz w:val="20"/>
          <w:szCs w:val="20"/>
        </w:rPr>
        <w:t>Requirement to comply with this Direction</w:t>
      </w:r>
    </w:p>
    <w:p w:rsidR="00BA7569" w:rsidRPr="00692271" w:rsidRDefault="00BA7569" w:rsidP="00BA7569">
      <w:pPr>
        <w:suppressAutoHyphens/>
        <w:spacing w:before="80" w:after="120" w:line="280" w:lineRule="atLeast"/>
        <w:rPr>
          <w:rFonts w:ascii="Arial" w:eastAsia="Times New Roman" w:hAnsi="Arial" w:cs="Arial"/>
          <w:snapToGrid w:val="0"/>
          <w:sz w:val="20"/>
          <w:szCs w:val="20"/>
        </w:rPr>
      </w:pPr>
      <w:r w:rsidRPr="00692271">
        <w:rPr>
          <w:rFonts w:ascii="Arial" w:eastAsia="Times New Roman" w:hAnsi="Arial" w:cs="Arial"/>
          <w:snapToGrid w:val="0"/>
          <w:sz w:val="20"/>
          <w:szCs w:val="20"/>
        </w:rPr>
        <w:t xml:space="preserve">Under subsection 121(2) of the Act, </w:t>
      </w:r>
      <w:r w:rsidRPr="009633F7">
        <w:rPr>
          <w:rFonts w:ascii="Arial" w:eastAsia="Times New Roman" w:hAnsi="Arial" w:cs="Arial"/>
          <w:snapToGrid w:val="0"/>
          <w:sz w:val="20"/>
          <w:szCs w:val="20"/>
        </w:rPr>
        <w:t>Macquarie Telecom</w:t>
      </w:r>
      <w:r w:rsidRPr="00692271">
        <w:rPr>
          <w:rFonts w:ascii="Arial" w:eastAsia="Times New Roman" w:hAnsi="Arial" w:cs="Arial"/>
          <w:snapToGrid w:val="0"/>
          <w:sz w:val="20"/>
          <w:szCs w:val="20"/>
        </w:rPr>
        <w:t xml:space="preserve"> must comply with a direction under subsection 121(1) of the Act.  </w:t>
      </w:r>
    </w:p>
    <w:p w:rsidR="00BA7569" w:rsidRPr="00692271" w:rsidRDefault="00BA7569" w:rsidP="00BA7569">
      <w:pPr>
        <w:suppressAutoHyphens/>
        <w:spacing w:before="80" w:after="120" w:line="280" w:lineRule="atLeast"/>
        <w:rPr>
          <w:rFonts w:ascii="Arial" w:eastAsia="Times New Roman" w:hAnsi="Arial" w:cs="Arial"/>
          <w:snapToGrid w:val="0"/>
          <w:sz w:val="20"/>
          <w:szCs w:val="20"/>
        </w:rPr>
      </w:pPr>
      <w:r w:rsidRPr="00692271">
        <w:rPr>
          <w:rFonts w:ascii="Arial" w:eastAsia="Times New Roman" w:hAnsi="Arial" w:cs="Arial"/>
          <w:snapToGrid w:val="0"/>
          <w:sz w:val="20"/>
          <w:szCs w:val="20"/>
        </w:rPr>
        <w:t xml:space="preserve">If </w:t>
      </w:r>
      <w:r w:rsidRPr="009633F7">
        <w:rPr>
          <w:rFonts w:ascii="Arial" w:eastAsia="Times New Roman" w:hAnsi="Arial" w:cs="Arial"/>
          <w:snapToGrid w:val="0"/>
          <w:sz w:val="20"/>
          <w:szCs w:val="20"/>
        </w:rPr>
        <w:t xml:space="preserve">Macquarie Telecom </w:t>
      </w:r>
      <w:r w:rsidRPr="00692271">
        <w:rPr>
          <w:rFonts w:ascii="Arial" w:eastAsia="Times New Roman" w:hAnsi="Arial" w:cs="Arial"/>
          <w:snapToGrid w:val="0"/>
          <w:sz w:val="20"/>
          <w:szCs w:val="20"/>
        </w:rPr>
        <w:t xml:space="preserve">does not comply with this direction, the ACMA may apply to the Federal Court for an order that </w:t>
      </w:r>
      <w:r w:rsidRPr="009633F7">
        <w:rPr>
          <w:rFonts w:ascii="Arial" w:eastAsia="Times New Roman" w:hAnsi="Arial" w:cs="Arial"/>
          <w:snapToGrid w:val="0"/>
          <w:sz w:val="20"/>
          <w:szCs w:val="20"/>
        </w:rPr>
        <w:t xml:space="preserve">Macquarie Telecom </w:t>
      </w:r>
      <w:r w:rsidRPr="00692271">
        <w:rPr>
          <w:rFonts w:ascii="Arial" w:eastAsia="Times New Roman" w:hAnsi="Arial" w:cs="Arial"/>
          <w:snapToGrid w:val="0"/>
          <w:sz w:val="20"/>
          <w:szCs w:val="20"/>
        </w:rPr>
        <w:t>pay the Commonwealth a pecuniary penalty in respect of its contravention of a civil penalty provision (subsection 121(4) and section 570 of the Act).</w:t>
      </w:r>
    </w:p>
    <w:p w:rsidR="00BA7569" w:rsidRPr="00692271" w:rsidRDefault="00BA7569" w:rsidP="00BA7569">
      <w:pPr>
        <w:keepNext/>
        <w:spacing w:before="240" w:after="60" w:line="280" w:lineRule="atLeast"/>
        <w:outlineLvl w:val="2"/>
        <w:rPr>
          <w:rFonts w:ascii="Arial" w:eastAsia="Times New Roman" w:hAnsi="Arial" w:cs="Arial"/>
          <w:b/>
          <w:bCs/>
          <w:sz w:val="20"/>
          <w:szCs w:val="20"/>
        </w:rPr>
      </w:pPr>
      <w:r w:rsidRPr="00692271">
        <w:rPr>
          <w:rFonts w:ascii="Arial" w:eastAsia="Times New Roman" w:hAnsi="Arial" w:cs="Arial"/>
          <w:b/>
          <w:bCs/>
          <w:sz w:val="20"/>
          <w:szCs w:val="20"/>
        </w:rPr>
        <w:lastRenderedPageBreak/>
        <w:t>Reconsideration of a decision</w:t>
      </w:r>
    </w:p>
    <w:p w:rsidR="00BA7569" w:rsidRPr="00692271" w:rsidRDefault="00BA7569" w:rsidP="00BA7569">
      <w:pPr>
        <w:suppressAutoHyphens/>
        <w:spacing w:before="80" w:after="120" w:line="280" w:lineRule="atLeast"/>
        <w:rPr>
          <w:rFonts w:ascii="Arial" w:eastAsia="Times New Roman" w:hAnsi="Arial" w:cs="Arial"/>
          <w:snapToGrid w:val="0"/>
          <w:sz w:val="20"/>
          <w:szCs w:val="20"/>
        </w:rPr>
      </w:pPr>
      <w:r w:rsidRPr="00692271">
        <w:rPr>
          <w:rFonts w:ascii="Arial" w:eastAsia="Times New Roman" w:hAnsi="Arial" w:cs="Arial"/>
          <w:snapToGrid w:val="0"/>
          <w:sz w:val="20"/>
          <w:szCs w:val="20"/>
        </w:rPr>
        <w:t xml:space="preserve">Under subsection 558(1) of the Act, </w:t>
      </w:r>
      <w:r w:rsidRPr="009633F7">
        <w:rPr>
          <w:rFonts w:ascii="Arial" w:eastAsia="Times New Roman" w:hAnsi="Arial" w:cs="Arial"/>
          <w:snapToGrid w:val="0"/>
          <w:sz w:val="20"/>
          <w:szCs w:val="20"/>
        </w:rPr>
        <w:t xml:space="preserve">Macquarie Telecom </w:t>
      </w:r>
      <w:r w:rsidRPr="00692271">
        <w:rPr>
          <w:rFonts w:ascii="Arial" w:eastAsia="Times New Roman" w:hAnsi="Arial" w:cs="Arial"/>
          <w:snapToGrid w:val="0"/>
          <w:sz w:val="20"/>
          <w:szCs w:val="20"/>
        </w:rPr>
        <w:t xml:space="preserve">may apply to the ACMA for the ACMA to reconsider the decision to give </w:t>
      </w:r>
      <w:r w:rsidRPr="009633F7">
        <w:rPr>
          <w:rFonts w:ascii="Arial" w:eastAsia="Times New Roman" w:hAnsi="Arial" w:cs="Arial"/>
          <w:snapToGrid w:val="0"/>
          <w:sz w:val="20"/>
          <w:szCs w:val="20"/>
        </w:rPr>
        <w:t xml:space="preserve">Macquarie Telecom </w:t>
      </w:r>
      <w:r w:rsidRPr="00692271">
        <w:rPr>
          <w:rFonts w:ascii="Arial" w:eastAsia="Times New Roman" w:hAnsi="Arial" w:cs="Arial"/>
          <w:snapToGrid w:val="0"/>
          <w:sz w:val="20"/>
          <w:szCs w:val="20"/>
        </w:rPr>
        <w:t>a direction to comply</w:t>
      </w:r>
      <w:r>
        <w:rPr>
          <w:rFonts w:ascii="Arial" w:eastAsia="Times New Roman" w:hAnsi="Arial" w:cs="Arial"/>
          <w:snapToGrid w:val="0"/>
          <w:sz w:val="20"/>
          <w:szCs w:val="20"/>
        </w:rPr>
        <w:t xml:space="preserve"> with the IPND Code</w:t>
      </w:r>
      <w:r w:rsidRPr="00692271">
        <w:rPr>
          <w:rFonts w:ascii="Arial" w:eastAsia="Times New Roman" w:hAnsi="Arial" w:cs="Arial"/>
          <w:snapToGrid w:val="0"/>
          <w:sz w:val="20"/>
          <w:szCs w:val="20"/>
        </w:rPr>
        <w:t xml:space="preserve"> under section 121 of the Act. The application must be submitted in writing to the ACMA and must set out the reasons for the application (subsection 558(2) of the Act). The application must be made within 28 days after </w:t>
      </w:r>
      <w:r w:rsidRPr="009633F7">
        <w:rPr>
          <w:rFonts w:ascii="Arial" w:eastAsia="Times New Roman" w:hAnsi="Arial" w:cs="Arial"/>
          <w:snapToGrid w:val="0"/>
          <w:sz w:val="20"/>
          <w:szCs w:val="20"/>
        </w:rPr>
        <w:t xml:space="preserve">Macquarie Telecom </w:t>
      </w:r>
      <w:r w:rsidRPr="00692271">
        <w:rPr>
          <w:rFonts w:ascii="Arial" w:eastAsia="Times New Roman" w:hAnsi="Arial" w:cs="Arial"/>
          <w:snapToGrid w:val="0"/>
          <w:sz w:val="20"/>
          <w:szCs w:val="20"/>
        </w:rPr>
        <w:t xml:space="preserve">is informed of the decision, unless the ACMA extends the period for making the application (subsection 558(3) of the Act). </w:t>
      </w:r>
    </w:p>
    <w:p w:rsidR="00BA7569" w:rsidRPr="00692271" w:rsidRDefault="00BA7569" w:rsidP="00BA7569">
      <w:pPr>
        <w:suppressAutoHyphens/>
        <w:spacing w:before="80" w:after="120" w:line="280" w:lineRule="atLeast"/>
        <w:rPr>
          <w:rFonts w:ascii="Arial" w:eastAsia="Times New Roman" w:hAnsi="Arial" w:cs="Arial"/>
          <w:snapToGrid w:val="0"/>
          <w:sz w:val="20"/>
          <w:szCs w:val="20"/>
        </w:rPr>
      </w:pPr>
      <w:r w:rsidRPr="00692271">
        <w:rPr>
          <w:rFonts w:ascii="Arial" w:hAnsi="Arial" w:cs="Arial"/>
          <w:snapToGrid w:val="0"/>
          <w:sz w:val="20"/>
          <w:szCs w:val="20"/>
        </w:rPr>
        <w:t xml:space="preserve">If upon reconsideration the decision is affirmed or varied and </w:t>
      </w:r>
      <w:r w:rsidRPr="009633F7">
        <w:rPr>
          <w:rFonts w:ascii="Arial" w:hAnsi="Arial" w:cs="Arial"/>
          <w:snapToGrid w:val="0"/>
          <w:sz w:val="20"/>
          <w:szCs w:val="20"/>
        </w:rPr>
        <w:t xml:space="preserve">Macquarie Telecom </w:t>
      </w:r>
      <w:r w:rsidRPr="00692271">
        <w:rPr>
          <w:rFonts w:ascii="Arial" w:hAnsi="Arial" w:cs="Arial"/>
          <w:snapToGrid w:val="0"/>
          <w:sz w:val="20"/>
          <w:szCs w:val="20"/>
        </w:rPr>
        <w:t>is dissatisfied with that decision</w:t>
      </w:r>
      <w:r w:rsidRPr="00692271">
        <w:rPr>
          <w:rFonts w:ascii="Arial" w:eastAsia="Times New Roman" w:hAnsi="Arial" w:cs="Arial"/>
          <w:snapToGrid w:val="0"/>
          <w:sz w:val="20"/>
          <w:szCs w:val="20"/>
        </w:rPr>
        <w:t>, it may:</w:t>
      </w:r>
    </w:p>
    <w:p w:rsidR="00BA7569" w:rsidRPr="00692271" w:rsidRDefault="00BA7569" w:rsidP="00BA7569">
      <w:pPr>
        <w:suppressAutoHyphens/>
        <w:spacing w:before="80" w:after="120" w:line="280" w:lineRule="atLeast"/>
        <w:ind w:left="709" w:hanging="709"/>
        <w:rPr>
          <w:rFonts w:ascii="Arial" w:eastAsia="Times New Roman" w:hAnsi="Arial" w:cs="Arial"/>
          <w:snapToGrid w:val="0"/>
          <w:sz w:val="20"/>
          <w:szCs w:val="20"/>
        </w:rPr>
      </w:pPr>
      <w:r w:rsidRPr="00692271">
        <w:rPr>
          <w:rFonts w:ascii="Arial" w:eastAsia="Times New Roman" w:hAnsi="Arial" w:cs="Arial"/>
          <w:snapToGrid w:val="0"/>
          <w:sz w:val="20"/>
          <w:szCs w:val="20"/>
        </w:rPr>
        <w:t>(a)</w:t>
      </w:r>
      <w:r w:rsidRPr="00692271">
        <w:rPr>
          <w:rFonts w:ascii="Arial" w:eastAsia="Times New Roman" w:hAnsi="Arial" w:cs="Arial"/>
          <w:snapToGrid w:val="0"/>
          <w:sz w:val="20"/>
          <w:szCs w:val="20"/>
        </w:rPr>
        <w:tab/>
      </w:r>
      <w:proofErr w:type="gramStart"/>
      <w:r w:rsidRPr="00692271">
        <w:rPr>
          <w:rFonts w:ascii="Arial" w:eastAsia="Times New Roman" w:hAnsi="Arial" w:cs="Arial"/>
          <w:snapToGrid w:val="0"/>
          <w:sz w:val="20"/>
          <w:szCs w:val="20"/>
        </w:rPr>
        <w:t>subject</w:t>
      </w:r>
      <w:proofErr w:type="gramEnd"/>
      <w:r w:rsidRPr="00692271">
        <w:rPr>
          <w:rFonts w:ascii="Arial" w:eastAsia="Times New Roman" w:hAnsi="Arial" w:cs="Arial"/>
          <w:snapToGrid w:val="0"/>
          <w:sz w:val="20"/>
          <w:szCs w:val="20"/>
        </w:rPr>
        <w:t xml:space="preserve"> to the </w:t>
      </w:r>
      <w:r w:rsidRPr="00692271">
        <w:rPr>
          <w:rFonts w:ascii="Arial" w:eastAsia="Times New Roman" w:hAnsi="Arial" w:cs="Arial"/>
          <w:i/>
          <w:snapToGrid w:val="0"/>
          <w:sz w:val="20"/>
          <w:szCs w:val="20"/>
        </w:rPr>
        <w:t>Administrative Appeals Tribunal Act 1975</w:t>
      </w:r>
      <w:r w:rsidRPr="00692271">
        <w:rPr>
          <w:rFonts w:ascii="Arial" w:eastAsia="Times New Roman" w:hAnsi="Arial" w:cs="Arial"/>
          <w:snapToGrid w:val="0"/>
          <w:sz w:val="20"/>
          <w:szCs w:val="20"/>
        </w:rPr>
        <w:t xml:space="preserve"> (the </w:t>
      </w:r>
      <w:r w:rsidRPr="00692271">
        <w:rPr>
          <w:rFonts w:ascii="Arial" w:eastAsia="Times New Roman" w:hAnsi="Arial" w:cs="Arial"/>
          <w:b/>
          <w:snapToGrid w:val="0"/>
          <w:sz w:val="20"/>
          <w:szCs w:val="20"/>
        </w:rPr>
        <w:t>AAT Act</w:t>
      </w:r>
      <w:r w:rsidRPr="00692271">
        <w:rPr>
          <w:rFonts w:ascii="Arial" w:eastAsia="Times New Roman" w:hAnsi="Arial" w:cs="Arial"/>
          <w:snapToGrid w:val="0"/>
          <w:sz w:val="20"/>
          <w:szCs w:val="20"/>
        </w:rPr>
        <w:t>), apply to the Administrative Appeals Tribunal for review of the reconsideration decision; and</w:t>
      </w:r>
    </w:p>
    <w:p w:rsidR="00BA7569" w:rsidRPr="00692271" w:rsidRDefault="00BA7569" w:rsidP="00BA7569">
      <w:pPr>
        <w:suppressAutoHyphens/>
        <w:spacing w:before="80" w:after="120" w:line="280" w:lineRule="atLeast"/>
        <w:ind w:left="720" w:hanging="720"/>
        <w:rPr>
          <w:rFonts w:ascii="Arial" w:eastAsia="Times New Roman" w:hAnsi="Arial" w:cs="Arial"/>
          <w:snapToGrid w:val="0"/>
          <w:sz w:val="20"/>
          <w:szCs w:val="20"/>
        </w:rPr>
      </w:pPr>
      <w:r w:rsidRPr="00692271">
        <w:rPr>
          <w:rFonts w:ascii="Arial" w:eastAsia="Times New Roman" w:hAnsi="Arial" w:cs="Arial"/>
          <w:snapToGrid w:val="0"/>
          <w:sz w:val="20"/>
          <w:szCs w:val="20"/>
        </w:rPr>
        <w:t>(b)</w:t>
      </w:r>
      <w:r w:rsidRPr="00692271">
        <w:rPr>
          <w:rFonts w:ascii="Arial" w:eastAsia="Times New Roman" w:hAnsi="Arial" w:cs="Arial"/>
          <w:snapToGrid w:val="0"/>
          <w:sz w:val="20"/>
          <w:szCs w:val="20"/>
        </w:rPr>
        <w:tab/>
      </w:r>
      <w:proofErr w:type="gramStart"/>
      <w:r w:rsidRPr="00692271">
        <w:rPr>
          <w:rFonts w:ascii="Arial" w:eastAsia="Times New Roman" w:hAnsi="Arial" w:cs="Arial"/>
          <w:snapToGrid w:val="0"/>
          <w:sz w:val="20"/>
          <w:szCs w:val="20"/>
        </w:rPr>
        <w:t>request</w:t>
      </w:r>
      <w:proofErr w:type="gramEnd"/>
      <w:r w:rsidRPr="00692271">
        <w:rPr>
          <w:rFonts w:ascii="Arial" w:eastAsia="Times New Roman" w:hAnsi="Arial" w:cs="Arial"/>
          <w:snapToGrid w:val="0"/>
          <w:sz w:val="20"/>
          <w:szCs w:val="20"/>
        </w:rPr>
        <w:t xml:space="preserve"> a statement under section 28 of the AAT Act</w:t>
      </w:r>
      <w:r>
        <w:rPr>
          <w:rFonts w:ascii="Arial" w:eastAsia="Times New Roman" w:hAnsi="Arial" w:cs="Arial"/>
          <w:snapToGrid w:val="0"/>
          <w:sz w:val="20"/>
          <w:szCs w:val="20"/>
        </w:rPr>
        <w:t xml:space="preserve"> in relation to that decision (s</w:t>
      </w:r>
      <w:r w:rsidRPr="00692271">
        <w:rPr>
          <w:rFonts w:ascii="Arial" w:eastAsia="Times New Roman" w:hAnsi="Arial" w:cs="Arial"/>
          <w:snapToGrid w:val="0"/>
          <w:sz w:val="20"/>
          <w:szCs w:val="20"/>
        </w:rPr>
        <w:t>ection 562 of the Act.)</w:t>
      </w:r>
    </w:p>
    <w:p w:rsidR="00BA7569" w:rsidRPr="00692271" w:rsidRDefault="00BA7569" w:rsidP="00BA7569">
      <w:pPr>
        <w:suppressAutoHyphens/>
        <w:spacing w:before="80" w:after="120" w:line="280" w:lineRule="atLeast"/>
        <w:rPr>
          <w:rFonts w:ascii="Arial" w:eastAsia="Times New Roman" w:hAnsi="Arial" w:cs="Arial"/>
          <w:snapToGrid w:val="0"/>
          <w:sz w:val="20"/>
          <w:szCs w:val="20"/>
        </w:rPr>
      </w:pPr>
    </w:p>
    <w:p w:rsidR="00BA7569" w:rsidRPr="00692271" w:rsidRDefault="00BA7569" w:rsidP="00BA7569">
      <w:pPr>
        <w:suppressAutoHyphens/>
        <w:spacing w:before="80" w:after="120" w:line="280" w:lineRule="atLeast"/>
        <w:rPr>
          <w:rFonts w:ascii="Arial" w:eastAsia="Times New Roman" w:hAnsi="Arial" w:cs="Arial"/>
          <w:snapToGrid w:val="0"/>
          <w:sz w:val="20"/>
          <w:szCs w:val="20"/>
        </w:rPr>
      </w:pPr>
      <w:r>
        <w:rPr>
          <w:rFonts w:ascii="Arial" w:eastAsia="Times New Roman" w:hAnsi="Arial" w:cs="Arial"/>
          <w:snapToGrid w:val="0"/>
          <w:sz w:val="20"/>
          <w:szCs w:val="20"/>
        </w:rPr>
        <w:t>Dated:  11 March</w:t>
      </w:r>
      <w:r w:rsidRPr="001924C3">
        <w:rPr>
          <w:rFonts w:ascii="Arial" w:eastAsia="Times New Roman" w:hAnsi="Arial" w:cs="Arial"/>
          <w:snapToGrid w:val="0"/>
          <w:sz w:val="20"/>
          <w:szCs w:val="20"/>
        </w:rPr>
        <w:t xml:space="preserve"> 2016</w:t>
      </w:r>
    </w:p>
    <w:p w:rsidR="00BA7569" w:rsidRPr="00692271" w:rsidRDefault="00BA7569" w:rsidP="00BA7569">
      <w:pPr>
        <w:suppressAutoHyphens/>
        <w:spacing w:before="80" w:after="120" w:line="280" w:lineRule="atLeast"/>
        <w:rPr>
          <w:rFonts w:ascii="Arial" w:eastAsia="Times New Roman" w:hAnsi="Arial" w:cs="Arial"/>
          <w:snapToGrid w:val="0"/>
          <w:sz w:val="20"/>
          <w:szCs w:val="20"/>
        </w:rPr>
      </w:pPr>
    </w:p>
    <w:p w:rsidR="00BA7569" w:rsidRPr="00EA013C" w:rsidRDefault="00BA7569" w:rsidP="00BA7569">
      <w:pPr>
        <w:rPr>
          <w:rFonts w:ascii="Arial" w:hAnsi="Arial" w:cs="Arial"/>
          <w:sz w:val="20"/>
          <w:szCs w:val="20"/>
        </w:rPr>
      </w:pPr>
      <w:r w:rsidRPr="00EA013C">
        <w:rPr>
          <w:rFonts w:ascii="Arial" w:hAnsi="Arial" w:cs="Arial"/>
          <w:sz w:val="20"/>
          <w:szCs w:val="20"/>
        </w:rPr>
        <w:t>Signed for and on behalf of the Australian Communications and Media Authority by:</w:t>
      </w:r>
    </w:p>
    <w:p w:rsidR="00BA7569" w:rsidRPr="00EA013C" w:rsidRDefault="00BA7569" w:rsidP="00BA7569">
      <w:pPr>
        <w:rPr>
          <w:rFonts w:ascii="Arial" w:hAnsi="Arial" w:cs="Arial"/>
          <w:sz w:val="20"/>
          <w:szCs w:val="20"/>
        </w:rPr>
      </w:pPr>
    </w:p>
    <w:p w:rsidR="00BA7569" w:rsidRPr="00EA013C" w:rsidRDefault="00BA7569" w:rsidP="00BA7569">
      <w:pPr>
        <w:rPr>
          <w:rFonts w:ascii="Arial" w:hAnsi="Arial" w:cs="Arial"/>
          <w:sz w:val="20"/>
          <w:szCs w:val="20"/>
        </w:rPr>
      </w:pPr>
      <w:r w:rsidRPr="00EA013C">
        <w:rPr>
          <w:rFonts w:ascii="Arial" w:hAnsi="Arial" w:cs="Arial"/>
          <w:sz w:val="20"/>
          <w:szCs w:val="20"/>
        </w:rPr>
        <w:t>____________________________</w:t>
      </w:r>
      <w:r w:rsidRPr="00EA013C">
        <w:rPr>
          <w:rFonts w:ascii="Arial" w:hAnsi="Arial" w:cs="Arial"/>
          <w:sz w:val="20"/>
          <w:szCs w:val="20"/>
        </w:rPr>
        <w:tab/>
      </w:r>
      <w:r w:rsidRPr="00EA013C">
        <w:rPr>
          <w:rFonts w:ascii="Arial" w:hAnsi="Arial" w:cs="Arial"/>
          <w:sz w:val="20"/>
          <w:szCs w:val="20"/>
        </w:rPr>
        <w:tab/>
      </w:r>
      <w:r w:rsidRPr="00EA013C">
        <w:rPr>
          <w:rFonts w:ascii="Arial" w:hAnsi="Arial" w:cs="Arial"/>
          <w:sz w:val="20"/>
          <w:szCs w:val="20"/>
        </w:rPr>
        <w:tab/>
        <w:t>_________________________________</w:t>
      </w:r>
    </w:p>
    <w:p w:rsidR="00BA7569" w:rsidRPr="00EA013C" w:rsidRDefault="00BA7569" w:rsidP="00BA7569">
      <w:pPr>
        <w:rPr>
          <w:rFonts w:ascii="Arial" w:hAnsi="Arial" w:cs="Arial"/>
          <w:sz w:val="20"/>
          <w:szCs w:val="20"/>
        </w:rPr>
      </w:pPr>
      <w:r w:rsidRPr="00EA013C">
        <w:rPr>
          <w:rFonts w:ascii="Arial" w:hAnsi="Arial" w:cs="Arial"/>
          <w:sz w:val="20"/>
          <w:szCs w:val="20"/>
        </w:rPr>
        <w:t>(</w:t>
      </w:r>
      <w:r>
        <w:rPr>
          <w:rFonts w:ascii="Arial" w:hAnsi="Arial" w:cs="Arial"/>
          <w:sz w:val="20"/>
          <w:szCs w:val="20"/>
        </w:rPr>
        <w:t>Signature</w:t>
      </w:r>
      <w:r w:rsidRPr="00EA013C">
        <w:rPr>
          <w:rFonts w:ascii="Arial" w:hAnsi="Arial" w:cs="Arial"/>
          <w:sz w:val="20"/>
          <w:szCs w:val="20"/>
        </w:rPr>
        <w:t xml:space="preserve"> of Member)</w:t>
      </w:r>
      <w:r w:rsidRPr="00EA013C">
        <w:rPr>
          <w:rFonts w:ascii="Arial" w:hAnsi="Arial" w:cs="Arial"/>
          <w:sz w:val="20"/>
          <w:szCs w:val="20"/>
        </w:rPr>
        <w:tab/>
      </w:r>
      <w:r w:rsidRPr="00EA013C">
        <w:rPr>
          <w:rFonts w:ascii="Arial" w:hAnsi="Arial" w:cs="Arial"/>
          <w:sz w:val="20"/>
          <w:szCs w:val="20"/>
        </w:rPr>
        <w:tab/>
      </w:r>
      <w:r w:rsidRPr="00EA013C">
        <w:rPr>
          <w:rFonts w:ascii="Arial" w:hAnsi="Arial" w:cs="Arial"/>
          <w:sz w:val="20"/>
          <w:szCs w:val="20"/>
        </w:rPr>
        <w:tab/>
      </w:r>
      <w:r w:rsidRPr="00EA013C">
        <w:rPr>
          <w:rFonts w:ascii="Arial" w:hAnsi="Arial" w:cs="Arial"/>
          <w:sz w:val="20"/>
          <w:szCs w:val="20"/>
        </w:rPr>
        <w:tab/>
      </w:r>
      <w:r w:rsidRPr="00EA013C">
        <w:rPr>
          <w:rFonts w:ascii="Arial" w:hAnsi="Arial" w:cs="Arial"/>
          <w:sz w:val="20"/>
          <w:szCs w:val="20"/>
        </w:rPr>
        <w:tab/>
        <w:t xml:space="preserve">(Signature of </w:t>
      </w:r>
      <w:r>
        <w:rPr>
          <w:rFonts w:ascii="Arial" w:hAnsi="Arial" w:cs="Arial"/>
          <w:sz w:val="20"/>
          <w:szCs w:val="20"/>
        </w:rPr>
        <w:t>General Manager</w:t>
      </w:r>
      <w:r w:rsidRPr="00EA013C">
        <w:rPr>
          <w:rFonts w:ascii="Arial" w:hAnsi="Arial" w:cs="Arial"/>
          <w:sz w:val="20"/>
          <w:szCs w:val="20"/>
        </w:rPr>
        <w:t>)</w:t>
      </w:r>
    </w:p>
    <w:p w:rsidR="00BA7569" w:rsidRPr="00EA013C" w:rsidRDefault="00BA7569" w:rsidP="00BA7569">
      <w:pPr>
        <w:rPr>
          <w:rFonts w:ascii="Arial" w:hAnsi="Arial" w:cs="Arial"/>
          <w:sz w:val="20"/>
          <w:szCs w:val="20"/>
        </w:rPr>
      </w:pPr>
    </w:p>
    <w:p w:rsidR="00BA7569" w:rsidRPr="00EA013C" w:rsidRDefault="00BA7569" w:rsidP="00BA7569">
      <w:pPr>
        <w:rPr>
          <w:rFonts w:ascii="Arial" w:hAnsi="Arial" w:cs="Arial"/>
          <w:sz w:val="20"/>
          <w:szCs w:val="20"/>
        </w:rPr>
      </w:pPr>
    </w:p>
    <w:p w:rsidR="00BA7569" w:rsidRPr="00EA013C" w:rsidRDefault="00BA7569" w:rsidP="00BA7569">
      <w:pPr>
        <w:rPr>
          <w:rFonts w:ascii="Arial" w:hAnsi="Arial" w:cs="Arial"/>
          <w:sz w:val="20"/>
          <w:szCs w:val="20"/>
        </w:rPr>
      </w:pPr>
      <w:r w:rsidRPr="00EA013C">
        <w:rPr>
          <w:rFonts w:ascii="Arial" w:hAnsi="Arial" w:cs="Arial"/>
          <w:sz w:val="20"/>
          <w:szCs w:val="20"/>
        </w:rPr>
        <w:t>____________________________</w:t>
      </w:r>
      <w:r w:rsidRPr="00EA013C">
        <w:rPr>
          <w:rFonts w:ascii="Arial" w:hAnsi="Arial" w:cs="Arial"/>
          <w:sz w:val="20"/>
          <w:szCs w:val="20"/>
        </w:rPr>
        <w:tab/>
      </w:r>
      <w:r w:rsidRPr="00EA013C">
        <w:rPr>
          <w:rFonts w:ascii="Arial" w:hAnsi="Arial" w:cs="Arial"/>
          <w:sz w:val="20"/>
          <w:szCs w:val="20"/>
        </w:rPr>
        <w:tab/>
      </w:r>
      <w:r w:rsidRPr="00EA013C">
        <w:rPr>
          <w:rFonts w:ascii="Arial" w:hAnsi="Arial" w:cs="Arial"/>
          <w:sz w:val="20"/>
          <w:szCs w:val="20"/>
        </w:rPr>
        <w:tab/>
        <w:t>_________________________________</w:t>
      </w:r>
    </w:p>
    <w:p w:rsidR="00BA7569" w:rsidRPr="00EA013C" w:rsidRDefault="00BA7569" w:rsidP="00BA7569">
      <w:pPr>
        <w:rPr>
          <w:rFonts w:ascii="Arial" w:hAnsi="Arial" w:cs="Arial"/>
          <w:sz w:val="20"/>
          <w:szCs w:val="20"/>
        </w:rPr>
      </w:pPr>
      <w:r w:rsidRPr="00EA013C">
        <w:rPr>
          <w:rFonts w:ascii="Arial" w:hAnsi="Arial" w:cs="Arial"/>
          <w:sz w:val="20"/>
          <w:szCs w:val="20"/>
        </w:rPr>
        <w:t>(Name of Member)</w:t>
      </w:r>
      <w:r w:rsidRPr="00EA013C">
        <w:rPr>
          <w:rFonts w:ascii="Arial" w:hAnsi="Arial" w:cs="Arial"/>
          <w:sz w:val="20"/>
          <w:szCs w:val="20"/>
        </w:rPr>
        <w:tab/>
      </w:r>
      <w:r w:rsidRPr="00EA013C">
        <w:rPr>
          <w:rFonts w:ascii="Arial" w:hAnsi="Arial" w:cs="Arial"/>
          <w:sz w:val="20"/>
          <w:szCs w:val="20"/>
        </w:rPr>
        <w:tab/>
      </w:r>
      <w:r w:rsidRPr="00EA013C">
        <w:rPr>
          <w:rFonts w:ascii="Arial" w:hAnsi="Arial" w:cs="Arial"/>
          <w:sz w:val="20"/>
          <w:szCs w:val="20"/>
        </w:rPr>
        <w:tab/>
      </w:r>
      <w:r>
        <w:rPr>
          <w:rFonts w:ascii="Arial" w:hAnsi="Arial" w:cs="Arial"/>
          <w:sz w:val="20"/>
          <w:szCs w:val="20"/>
        </w:rPr>
        <w:tab/>
      </w:r>
      <w:r>
        <w:rPr>
          <w:rFonts w:ascii="Arial" w:hAnsi="Arial" w:cs="Arial"/>
          <w:sz w:val="20"/>
          <w:szCs w:val="20"/>
        </w:rPr>
        <w:tab/>
      </w:r>
      <w:r w:rsidRPr="00EA013C">
        <w:rPr>
          <w:rFonts w:ascii="Arial" w:hAnsi="Arial" w:cs="Arial"/>
          <w:sz w:val="20"/>
          <w:szCs w:val="20"/>
        </w:rPr>
        <w:t>(</w:t>
      </w:r>
      <w:r>
        <w:rPr>
          <w:rFonts w:ascii="Arial" w:hAnsi="Arial" w:cs="Arial"/>
          <w:sz w:val="20"/>
          <w:szCs w:val="20"/>
        </w:rPr>
        <w:t>Name</w:t>
      </w:r>
      <w:r w:rsidRPr="00EA013C">
        <w:rPr>
          <w:rFonts w:ascii="Arial" w:hAnsi="Arial" w:cs="Arial"/>
          <w:sz w:val="20"/>
          <w:szCs w:val="20"/>
        </w:rPr>
        <w:t xml:space="preserve"> of General Manager)</w:t>
      </w:r>
    </w:p>
    <w:p w:rsidR="00BA7569" w:rsidRPr="00692271" w:rsidRDefault="00BA7569" w:rsidP="00BA7569">
      <w:pPr>
        <w:spacing w:after="200" w:line="276" w:lineRule="auto"/>
      </w:pPr>
    </w:p>
    <w:p w:rsidR="00BA7569" w:rsidRDefault="00BA7569" w:rsidP="00BA7569"/>
    <w:p w:rsidR="00A74BBB" w:rsidRDefault="00D36CF4"/>
    <w:sectPr w:rsidR="00A74BB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CF4" w:rsidRDefault="00D36CF4">
      <w:pPr>
        <w:spacing w:after="0" w:line="240" w:lineRule="auto"/>
      </w:pPr>
      <w:r>
        <w:separator/>
      </w:r>
    </w:p>
  </w:endnote>
  <w:endnote w:type="continuationSeparator" w:id="0">
    <w:p w:rsidR="00D36CF4" w:rsidRDefault="00D36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CF4" w:rsidRDefault="00D36CF4">
      <w:pPr>
        <w:spacing w:after="0" w:line="240" w:lineRule="auto"/>
      </w:pPr>
      <w:r>
        <w:separator/>
      </w:r>
    </w:p>
  </w:footnote>
  <w:footnote w:type="continuationSeparator" w:id="0">
    <w:p w:rsidR="00D36CF4" w:rsidRDefault="00D36C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E4C" w:rsidRPr="00B42E4C" w:rsidRDefault="00BA7569">
    <w:pPr>
      <w:pStyle w:val="Header"/>
      <w:rPr>
        <w:b/>
        <w:sz w:val="24"/>
        <w:szCs w:val="24"/>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00FF4"/>
    <w:multiLevelType w:val="hybridMultilevel"/>
    <w:tmpl w:val="536819A6"/>
    <w:lvl w:ilvl="0" w:tplc="38AEEA44">
      <w:start w:val="1"/>
      <w:numFmt w:val="decimal"/>
      <w:lvlText w:val="%1."/>
      <w:lvlJc w:val="left"/>
      <w:pPr>
        <w:tabs>
          <w:tab w:val="num" w:pos="480"/>
        </w:tabs>
        <w:ind w:left="480" w:hanging="360"/>
      </w:pPr>
      <w:rPr>
        <w:rFonts w:ascii="Arial" w:hAnsi="Arial" w:cs="Arial" w:hint="default"/>
      </w:rPr>
    </w:lvl>
    <w:lvl w:ilvl="1" w:tplc="161A54B2">
      <w:start w:val="1"/>
      <w:numFmt w:val="lowerLetter"/>
      <w:lvlText w:val="(%2)"/>
      <w:lvlJc w:val="left"/>
      <w:pPr>
        <w:tabs>
          <w:tab w:val="num" w:pos="1500"/>
        </w:tabs>
        <w:ind w:left="1500" w:hanging="360"/>
      </w:pPr>
      <w:rPr>
        <w:rFonts w:hint="default"/>
      </w:r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
    <w:nsid w:val="234301D8"/>
    <w:multiLevelType w:val="hybridMultilevel"/>
    <w:tmpl w:val="1DBE7A4C"/>
    <w:lvl w:ilvl="0" w:tplc="38AEEA44">
      <w:start w:val="1"/>
      <w:numFmt w:val="decimal"/>
      <w:lvlText w:val="%1."/>
      <w:lvlJc w:val="left"/>
      <w:pPr>
        <w:tabs>
          <w:tab w:val="num" w:pos="480"/>
        </w:tabs>
        <w:ind w:left="480" w:hanging="360"/>
      </w:pPr>
      <w:rPr>
        <w:rFonts w:ascii="Arial" w:hAnsi="Arial" w:cs="Arial" w:hint="default"/>
      </w:rPr>
    </w:lvl>
    <w:lvl w:ilvl="1" w:tplc="0C090019">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MB/Uf2V3851i1LrzEeZpm51f77NRvnHxmAwaFiQQzrKHUvDlKUrr6atbnOaG2AQNk7ush33AcC69YFmBEHk4XQ==" w:salt="HmZEejgnYwP5PjQLvdM3qw=="/>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569"/>
    <w:rsid w:val="005711C4"/>
    <w:rsid w:val="005822E1"/>
    <w:rsid w:val="006B5DBA"/>
    <w:rsid w:val="008C6EE0"/>
    <w:rsid w:val="00AD4055"/>
    <w:rsid w:val="00BA7569"/>
    <w:rsid w:val="00D36C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80846-9453-498D-A7B9-46E3F77C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TableText">
    <w:name w:val="ACMA Table Text"/>
    <w:rsid w:val="00BA7569"/>
    <w:pPr>
      <w:spacing w:before="40" w:after="40" w:line="240" w:lineRule="auto"/>
    </w:pPr>
    <w:rPr>
      <w:rFonts w:ascii="Arial" w:eastAsia="Times New Roman" w:hAnsi="Arial" w:cs="Times New Roman"/>
      <w:sz w:val="20"/>
      <w:szCs w:val="20"/>
    </w:rPr>
  </w:style>
  <w:style w:type="paragraph" w:styleId="Header">
    <w:name w:val="header"/>
    <w:basedOn w:val="Normal"/>
    <w:link w:val="HeaderChar"/>
    <w:uiPriority w:val="99"/>
    <w:unhideWhenUsed/>
    <w:rsid w:val="00BA7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2929</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Steele</dc:creator>
  <cp:keywords/>
  <dc:description/>
  <cp:lastModifiedBy>Blake Murdoch</cp:lastModifiedBy>
  <cp:revision>3</cp:revision>
  <dcterms:created xsi:type="dcterms:W3CDTF">2016-04-06T01:30:00Z</dcterms:created>
  <dcterms:modified xsi:type="dcterms:W3CDTF">2016-04-06T01:35:00Z</dcterms:modified>
</cp:coreProperties>
</file>