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7.xml" ContentType="application/vnd.openxmlformats-officedocument.wordprocessingml.header+xml"/>
  <Override PartName="/word/footer6.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34F4DC2" w14:textId="77777777" w:rsidR="003C5C0B" w:rsidRDefault="00BB1CD7" w:rsidP="00A51D1A">
      <w:pPr>
        <w:pStyle w:val="Reporttitle"/>
      </w:pPr>
      <w:r w:rsidRPr="005E6687">
        <w:t xml:space="preserve">Draft </w:t>
      </w:r>
      <w:r>
        <w:t xml:space="preserve">allocation instruments </w:t>
      </w:r>
    </w:p>
    <w:p w14:paraId="6C755C32" w14:textId="002A48EB" w:rsidR="00F06E14" w:rsidRPr="00A51D1A" w:rsidRDefault="00BB1CD7" w:rsidP="00A51D1A">
      <w:pPr>
        <w:pStyle w:val="Reporttitle"/>
      </w:pPr>
      <w:r>
        <w:t xml:space="preserve">for </w:t>
      </w:r>
      <w:r w:rsidR="003C5C0B">
        <w:t xml:space="preserve">the </w:t>
      </w:r>
      <w:r>
        <w:t>26 GHz (25.1</w:t>
      </w:r>
      <w:r w:rsidR="003C5C0B">
        <w:t>–</w:t>
      </w:r>
      <w:r>
        <w:t>27.5 GHz) metropolitan and regional lots auction</w:t>
      </w:r>
    </w:p>
    <w:p w14:paraId="6D5ED875" w14:textId="259E826A" w:rsidR="00F06E14" w:rsidRDefault="00770B3F" w:rsidP="00F06E14">
      <w:pPr>
        <w:pStyle w:val="Reportsubtitle"/>
      </w:pPr>
      <w:r>
        <w:t xml:space="preserve">Consultation </w:t>
      </w:r>
      <w:r w:rsidR="00BB1CD7">
        <w:t>paper</w:t>
      </w:r>
    </w:p>
    <w:p w14:paraId="0ED03B68" w14:textId="6631E683" w:rsidR="00C97736" w:rsidRPr="000D76E0" w:rsidRDefault="00BB1CD7" w:rsidP="00EC2B68">
      <w:pPr>
        <w:pStyle w:val="Reportdate"/>
        <w:spacing w:after="720"/>
        <w:rPr>
          <w:rFonts w:cs="Arial"/>
        </w:rPr>
        <w:sectPr w:rsidR="00C97736" w:rsidRPr="000D76E0" w:rsidSect="0021426C">
          <w:headerReference w:type="default" r:id="rId8"/>
          <w:footerReference w:type="default" r:id="rId9"/>
          <w:headerReference w:type="first" r:id="rId10"/>
          <w:pgSz w:w="11906" w:h="16838" w:code="9"/>
          <w:pgMar w:top="3924" w:right="992" w:bottom="1440" w:left="1134" w:header="709" w:footer="454" w:gutter="0"/>
          <w:cols w:space="708"/>
          <w:docGrid w:linePitch="360"/>
        </w:sectPr>
      </w:pPr>
      <w:r>
        <w:t>Ju</w:t>
      </w:r>
      <w:r w:rsidR="003B7774">
        <w:t>LY</w:t>
      </w:r>
      <w:r w:rsidR="00BD4421">
        <w:t xml:space="preserve"> 20</w:t>
      </w:r>
      <w:r w:rsidR="008E0428">
        <w:t>20</w:t>
      </w:r>
    </w:p>
    <w:p w14:paraId="6583B003" w14:textId="77777777" w:rsidR="0005011A" w:rsidRPr="00F44F3A" w:rsidRDefault="0005011A" w:rsidP="00FC07B9">
      <w:pPr>
        <w:pStyle w:val="ACMACorporateAddressHeader"/>
      </w:pPr>
      <w:r w:rsidRPr="00F44F3A">
        <w:lastRenderedPageBreak/>
        <w:t>Canberra</w:t>
      </w:r>
    </w:p>
    <w:p w14:paraId="08045BE1" w14:textId="77777777" w:rsidR="0005011A" w:rsidRPr="00FC07B9" w:rsidRDefault="0005011A" w:rsidP="00FC07B9">
      <w:pPr>
        <w:pStyle w:val="ACMACorporateAddresses"/>
      </w:pPr>
      <w:r w:rsidRPr="00FC07B9">
        <w:t xml:space="preserve">Red Building </w:t>
      </w:r>
      <w:r w:rsidRPr="00FC07B9">
        <w:br/>
        <w:t>Benjamin Offices</w:t>
      </w:r>
      <w:r w:rsidRPr="00FC07B9">
        <w:br/>
        <w:t xml:space="preserve">Chan Street </w:t>
      </w:r>
      <w:r w:rsidRPr="00FC07B9">
        <w:br/>
        <w:t>Belconnen ACT</w:t>
      </w:r>
    </w:p>
    <w:p w14:paraId="2A4572B9" w14:textId="77777777" w:rsidR="0005011A" w:rsidRPr="00FC07B9" w:rsidRDefault="0005011A" w:rsidP="00FC07B9">
      <w:pPr>
        <w:pStyle w:val="ACMACorporateAddresses"/>
      </w:pPr>
      <w:r w:rsidRPr="00FC07B9">
        <w:t>PO Box 78</w:t>
      </w:r>
      <w:r w:rsidRPr="00FC07B9">
        <w:br/>
        <w:t>Belconnen ACT 2616</w:t>
      </w:r>
    </w:p>
    <w:p w14:paraId="454EEE96" w14:textId="77777777" w:rsidR="00FE1823" w:rsidRPr="00FC07B9" w:rsidRDefault="0005011A" w:rsidP="00FC07B9">
      <w:pPr>
        <w:pStyle w:val="ACMACorporateAddresses"/>
      </w:pPr>
      <w:r w:rsidRPr="00FC07B9">
        <w:t>T</w:t>
      </w:r>
      <w:r w:rsidR="00537604" w:rsidRPr="00FC07B9">
        <w:tab/>
      </w:r>
      <w:r w:rsidRPr="00FC07B9">
        <w:t>+61 2 6219 5555</w:t>
      </w:r>
      <w:r w:rsidRPr="00FC07B9">
        <w:br/>
        <w:t>F</w:t>
      </w:r>
      <w:r w:rsidR="00537604" w:rsidRPr="00FC07B9">
        <w:tab/>
      </w:r>
      <w:r w:rsidRPr="00FC07B9">
        <w:t>+61 2 6219 5353</w:t>
      </w:r>
    </w:p>
    <w:p w14:paraId="0023BFFF" w14:textId="77777777" w:rsidR="0005011A" w:rsidRPr="00F44F3A" w:rsidRDefault="0005011A" w:rsidP="00FC07B9">
      <w:pPr>
        <w:pStyle w:val="ACMACorporateAddressHeader"/>
      </w:pPr>
      <w:r w:rsidRPr="00F44F3A">
        <w:t>Melbourne</w:t>
      </w:r>
    </w:p>
    <w:p w14:paraId="76894265" w14:textId="77777777" w:rsidR="0005011A" w:rsidRPr="00F44F3A" w:rsidRDefault="0005011A" w:rsidP="00FC07B9">
      <w:pPr>
        <w:pStyle w:val="ACMACorporateAddresses"/>
      </w:pPr>
      <w:r w:rsidRPr="00F44F3A">
        <w:t xml:space="preserve">Level 32 </w:t>
      </w:r>
      <w:r w:rsidRPr="00F44F3A">
        <w:br/>
        <w:t>Melbourne Central Tower</w:t>
      </w:r>
      <w:r w:rsidRPr="00F44F3A">
        <w:br/>
        <w:t xml:space="preserve">360 Elizabeth Street </w:t>
      </w:r>
      <w:r w:rsidR="008C10F4" w:rsidRPr="00F44F3A">
        <w:br/>
      </w:r>
      <w:r w:rsidRPr="00F44F3A">
        <w:t>Melbourne VIC</w:t>
      </w:r>
    </w:p>
    <w:p w14:paraId="0AC515B5" w14:textId="77777777" w:rsidR="0005011A" w:rsidRPr="00F44F3A" w:rsidRDefault="0005011A" w:rsidP="00FC07B9">
      <w:pPr>
        <w:pStyle w:val="ACMACorporateAddresses"/>
      </w:pPr>
      <w:r w:rsidRPr="00F44F3A">
        <w:t>PO Box 13112</w:t>
      </w:r>
      <w:r w:rsidRPr="00F44F3A">
        <w:br/>
        <w:t xml:space="preserve">Law Courts </w:t>
      </w:r>
      <w:r w:rsidRPr="00F44F3A">
        <w:br/>
        <w:t>Melbourne VIC 8010</w:t>
      </w:r>
    </w:p>
    <w:p w14:paraId="45DE69BD" w14:textId="77777777" w:rsidR="0005011A" w:rsidRPr="00F44F3A" w:rsidRDefault="0005011A" w:rsidP="00FC07B9">
      <w:pPr>
        <w:pStyle w:val="ACMACorporateAddresses"/>
      </w:pPr>
      <w:r w:rsidRPr="00F44F3A">
        <w:t>T</w:t>
      </w:r>
      <w:r w:rsidR="00140318" w:rsidRPr="00F44F3A">
        <w:tab/>
      </w:r>
      <w:r w:rsidRPr="00F44F3A">
        <w:t>+61 3 9963 6800</w:t>
      </w:r>
      <w:r w:rsidRPr="00F44F3A">
        <w:br/>
        <w:t>F</w:t>
      </w:r>
      <w:r w:rsidR="00140318" w:rsidRPr="00F44F3A">
        <w:tab/>
      </w:r>
      <w:r w:rsidRPr="00F44F3A">
        <w:t>+61 3 9963 6899</w:t>
      </w:r>
    </w:p>
    <w:p w14:paraId="008B5F37" w14:textId="77777777" w:rsidR="0005011A" w:rsidRPr="00F44F3A" w:rsidRDefault="0005011A" w:rsidP="00FC07B9">
      <w:pPr>
        <w:pStyle w:val="ACMACorporateAddressHeader"/>
      </w:pPr>
      <w:r w:rsidRPr="00F44F3A">
        <w:t>Sydney</w:t>
      </w:r>
    </w:p>
    <w:p w14:paraId="7DD07580" w14:textId="77777777" w:rsidR="0005011A" w:rsidRPr="00F44F3A" w:rsidRDefault="0005011A" w:rsidP="00FC07B9">
      <w:pPr>
        <w:pStyle w:val="ACMACorporateAddresses"/>
      </w:pPr>
      <w:r w:rsidRPr="00F44F3A">
        <w:t xml:space="preserve">Level 5 </w:t>
      </w:r>
      <w:r w:rsidRPr="00F44F3A">
        <w:br/>
        <w:t>The Bay Centre</w:t>
      </w:r>
      <w:r w:rsidRPr="00F44F3A">
        <w:br/>
        <w:t xml:space="preserve">65 Pirrama Road </w:t>
      </w:r>
      <w:r w:rsidRPr="00F44F3A">
        <w:br/>
        <w:t>Pyrmont NSW</w:t>
      </w:r>
    </w:p>
    <w:p w14:paraId="4138BC5E" w14:textId="77777777" w:rsidR="0005011A" w:rsidRPr="00F44F3A" w:rsidRDefault="0005011A" w:rsidP="00FC07B9">
      <w:pPr>
        <w:pStyle w:val="ACMACorporateAddresses"/>
      </w:pPr>
      <w:r w:rsidRPr="00F44F3A">
        <w:t>PO Box Q500</w:t>
      </w:r>
      <w:r w:rsidRPr="00F44F3A">
        <w:br/>
        <w:t xml:space="preserve">Queen Victoria Building </w:t>
      </w:r>
      <w:r w:rsidRPr="00F44F3A">
        <w:br/>
        <w:t>NSW 1230</w:t>
      </w:r>
    </w:p>
    <w:p w14:paraId="389F33BF" w14:textId="77777777" w:rsidR="0005011A" w:rsidRPr="00F44F3A" w:rsidRDefault="0005011A" w:rsidP="00FC07B9">
      <w:pPr>
        <w:pStyle w:val="ACMACorporateAddresses"/>
      </w:pPr>
      <w:r w:rsidRPr="00F44F3A">
        <w:t>T</w:t>
      </w:r>
      <w:r w:rsidR="00140318" w:rsidRPr="00F44F3A">
        <w:tab/>
      </w:r>
      <w:r w:rsidRPr="00F44F3A">
        <w:t>+61 2 9334 7700</w:t>
      </w:r>
      <w:r w:rsidR="00140318" w:rsidRPr="00F44F3A">
        <w:t xml:space="preserve"> or</w:t>
      </w:r>
      <w:r w:rsidRPr="00F44F3A">
        <w:t xml:space="preserve"> 1800 226 667</w:t>
      </w:r>
      <w:r w:rsidRPr="00F44F3A">
        <w:br/>
        <w:t>F</w:t>
      </w:r>
      <w:r w:rsidR="00140318" w:rsidRPr="00F44F3A">
        <w:tab/>
      </w:r>
      <w:r w:rsidRPr="00F44F3A">
        <w:t>+61 2 9334 7799</w:t>
      </w:r>
    </w:p>
    <w:p w14:paraId="4E90F8CF" w14:textId="77777777" w:rsidR="00140318" w:rsidRPr="006D46E5" w:rsidRDefault="00140318" w:rsidP="00FC07B9">
      <w:pPr>
        <w:pStyle w:val="ACMACopyrightHeader"/>
      </w:pPr>
      <w:r w:rsidRPr="00140318">
        <w:t>Copyright notice</w:t>
      </w:r>
    </w:p>
    <w:p w14:paraId="2AA5EF8C" w14:textId="77777777" w:rsidR="00140318" w:rsidRPr="006D46E5" w:rsidRDefault="00623FF9" w:rsidP="00623FF9">
      <w:pPr>
        <w:pStyle w:val="ACMACClogo"/>
      </w:pPr>
      <w:r w:rsidRPr="00623FF9">
        <w:rPr>
          <w:noProof/>
        </w:rPr>
        <w:drawing>
          <wp:inline distT="0" distB="0" distL="0" distR="0" wp14:anchorId="1F37FEDD" wp14:editId="4239160A">
            <wp:extent cx="838200" cy="295275"/>
            <wp:effectExtent l="0" t="0" r="0" b="0"/>
            <wp:docPr id="1" name="Picture 1" title="Creative Commons logo">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by">
                      <a:hlinkClick r:id="rId11"/>
                    </pic:cNvPr>
                    <pic:cNvPicPr>
                      <a:picLocks noChangeAspect="1" noChangeArrowheads="1"/>
                    </pic:cNvPicPr>
                  </pic:nvPicPr>
                  <pic:blipFill>
                    <a:blip r:embed="rId12" cstate="print"/>
                    <a:srcRect/>
                    <a:stretch>
                      <a:fillRect/>
                    </a:stretch>
                  </pic:blipFill>
                  <pic:spPr bwMode="auto">
                    <a:xfrm>
                      <a:off x="0" y="0"/>
                      <a:ext cx="838200" cy="295275"/>
                    </a:xfrm>
                    <a:prstGeom prst="rect">
                      <a:avLst/>
                    </a:prstGeom>
                    <a:noFill/>
                  </pic:spPr>
                </pic:pic>
              </a:graphicData>
            </a:graphic>
          </wp:inline>
        </w:drawing>
      </w:r>
    </w:p>
    <w:p w14:paraId="3AE3993D" w14:textId="77777777" w:rsidR="00AA2DE5" w:rsidRDefault="00C6611B" w:rsidP="00AA2DE5">
      <w:pPr>
        <w:pStyle w:val="ACMACorporateAddresses"/>
        <w:rPr>
          <w:rStyle w:val="Hyperlink"/>
        </w:rPr>
      </w:pPr>
      <w:hyperlink r:id="rId13" w:history="1">
        <w:r w:rsidR="00AA2DE5">
          <w:rPr>
            <w:rStyle w:val="Hyperlink"/>
          </w:rPr>
          <w:t>https://creativecommons.org/licenses/by/4.0/</w:t>
        </w:r>
      </w:hyperlink>
    </w:p>
    <w:p w14:paraId="487A88A9" w14:textId="77777777" w:rsidR="00AA2DE5" w:rsidRDefault="00AA2DE5" w:rsidP="00AA2DE5">
      <w:pPr>
        <w:pStyle w:val="ACMACorporateAddresses"/>
      </w:pPr>
      <w:proofErr w:type="gramStart"/>
      <w:r>
        <w:t>With the exception of</w:t>
      </w:r>
      <w:proofErr w:type="gramEnd"/>
      <w:r>
        <w:t xml:space="preserve"> coats of arms, logos, emblems, images, other third-party material or devices protected by a trademark, this content is made available under the terms of the Creative Commons Attribution 4.0 International (CC BY 4.0) licence. </w:t>
      </w:r>
    </w:p>
    <w:p w14:paraId="1FD98A85" w14:textId="77777777" w:rsidR="00AA2DE5" w:rsidRDefault="00AA2DE5" w:rsidP="00AA2DE5">
      <w:pPr>
        <w:pStyle w:val="ACMACorporateAddresses"/>
      </w:pPr>
      <w:r>
        <w:t>We request attribution as © Commonwealth of Australia (Australian Communications and Media Authority) 20</w:t>
      </w:r>
      <w:r w:rsidR="00C41F21">
        <w:t>20</w:t>
      </w:r>
      <w:r>
        <w:t>.</w:t>
      </w:r>
    </w:p>
    <w:p w14:paraId="77A3E2F6" w14:textId="77777777" w:rsidR="00AA2DE5" w:rsidRDefault="00AA2DE5" w:rsidP="00AA2DE5">
      <w:pPr>
        <w:pStyle w:val="ACMACorporateAddresses"/>
      </w:pPr>
      <w:r>
        <w:t>All other rights are reserved.</w:t>
      </w:r>
    </w:p>
    <w:p w14:paraId="6546DE9E" w14:textId="77777777" w:rsidR="00AA2DE5" w:rsidRDefault="00AA2DE5" w:rsidP="00AA2DE5">
      <w:pPr>
        <w:pStyle w:val="ACMACorporateAddresses"/>
      </w:pPr>
      <w:r>
        <w:t xml:space="preserve">The Australian Communications and Media Authority has undertaken reasonable enquiries to identify material owned by third parties and secure permission for its reproduction. Permission may need to be obtained from third parties to re-use their material. </w:t>
      </w:r>
    </w:p>
    <w:p w14:paraId="6AD738ED" w14:textId="77777777" w:rsidR="00AA2DE5" w:rsidRDefault="00AA2DE5" w:rsidP="00AA2DE5">
      <w:pPr>
        <w:pStyle w:val="ACMACorporateAddresses"/>
      </w:pPr>
      <w:r>
        <w:t>Written enquiries may be sent to:</w:t>
      </w:r>
    </w:p>
    <w:p w14:paraId="5DAFBAA8" w14:textId="77777777" w:rsidR="00AA2DE5" w:rsidRDefault="00AA2DE5" w:rsidP="00AA2DE5">
      <w:pPr>
        <w:pStyle w:val="ACMACorporateAddresses"/>
        <w:rPr>
          <w:rStyle w:val="Hyperlink"/>
        </w:rPr>
      </w:pPr>
      <w:r>
        <w:t xml:space="preserve">Manager, Editorial </w:t>
      </w:r>
      <w:r w:rsidR="000245E5">
        <w:t>Services</w:t>
      </w:r>
      <w:r>
        <w:br/>
        <w:t>PO Box 13112</w:t>
      </w:r>
      <w:r>
        <w:br/>
        <w:t>Law Courts</w:t>
      </w:r>
      <w:r>
        <w:br/>
        <w:t>Melbourne VIC 8010</w:t>
      </w:r>
      <w:r>
        <w:br/>
        <w:t xml:space="preserve">Email: </w:t>
      </w:r>
      <w:hyperlink r:id="rId14" w:history="1">
        <w:r>
          <w:rPr>
            <w:rStyle w:val="Hyperlink"/>
          </w:rPr>
          <w:t>info@acma.gov.au</w:t>
        </w:r>
      </w:hyperlink>
    </w:p>
    <w:p w14:paraId="3998A1DD" w14:textId="77777777" w:rsidR="00D16FE3" w:rsidRDefault="00D16FE3" w:rsidP="00D16FE3">
      <w:pPr>
        <w:pStyle w:val="ACMACorporateAddresses"/>
        <w:rPr>
          <w:rStyle w:val="Hyperlink"/>
        </w:rPr>
      </w:pPr>
    </w:p>
    <w:p w14:paraId="17423A9E" w14:textId="77777777" w:rsidR="00D16FE3" w:rsidRPr="00D16FE3" w:rsidRDefault="00D16FE3" w:rsidP="00D16FE3">
      <w:pPr>
        <w:pStyle w:val="ACMACorporateAddresses"/>
        <w:sectPr w:rsidR="00D16FE3" w:rsidRPr="00D16FE3">
          <w:headerReference w:type="even" r:id="rId15"/>
          <w:headerReference w:type="default" r:id="rId16"/>
          <w:footerReference w:type="even" r:id="rId17"/>
          <w:footerReference w:type="default" r:id="rId18"/>
          <w:pgSz w:w="11906" w:h="16838" w:code="9"/>
          <w:pgMar w:top="3924" w:right="1797" w:bottom="697" w:left="1134" w:header="709" w:footer="119" w:gutter="0"/>
          <w:cols w:space="708"/>
          <w:docGrid w:linePitch="360"/>
        </w:sectPr>
      </w:pPr>
    </w:p>
    <w:p w14:paraId="7A05D8C8" w14:textId="213B671D" w:rsidR="00D7716E" w:rsidRDefault="00C65F61">
      <w:pPr>
        <w:pStyle w:val="TOC1"/>
        <w:rPr>
          <w:rFonts w:asciiTheme="minorHAnsi" w:eastAsiaTheme="minorEastAsia" w:hAnsiTheme="minorHAnsi" w:cstheme="minorBidi"/>
          <w:b w:val="0"/>
          <w:spacing w:val="0"/>
          <w:sz w:val="22"/>
          <w:szCs w:val="22"/>
        </w:rPr>
      </w:pPr>
      <w:r>
        <w:rPr>
          <w:rFonts w:cs="Arial"/>
          <w:b w:val="0"/>
        </w:rPr>
        <w:lastRenderedPageBreak/>
        <w:fldChar w:fldCharType="begin"/>
      </w:r>
      <w:r>
        <w:rPr>
          <w:rFonts w:cs="Arial"/>
          <w:b w:val="0"/>
        </w:rPr>
        <w:instrText xml:space="preserve"> TOC \o "1-2" \t "Exec summary heading,1" </w:instrText>
      </w:r>
      <w:r>
        <w:rPr>
          <w:rFonts w:cs="Arial"/>
          <w:b w:val="0"/>
        </w:rPr>
        <w:fldChar w:fldCharType="separate"/>
      </w:r>
      <w:r w:rsidR="00D7716E">
        <w:t>Executive summary</w:t>
      </w:r>
      <w:r w:rsidR="00D7716E">
        <w:tab/>
      </w:r>
      <w:r w:rsidR="00D7716E">
        <w:fldChar w:fldCharType="begin"/>
      </w:r>
      <w:r w:rsidR="00D7716E">
        <w:instrText xml:space="preserve"> PAGEREF _Toc45112197 \h </w:instrText>
      </w:r>
      <w:r w:rsidR="00D7716E">
        <w:fldChar w:fldCharType="separate"/>
      </w:r>
      <w:r w:rsidR="00D7716E">
        <w:t>1</w:t>
      </w:r>
      <w:r w:rsidR="00D7716E">
        <w:fldChar w:fldCharType="end"/>
      </w:r>
    </w:p>
    <w:p w14:paraId="4D5A72F5" w14:textId="4E1B0DA4" w:rsidR="00D7716E" w:rsidRDefault="00D7716E">
      <w:pPr>
        <w:pStyle w:val="TOC1"/>
        <w:rPr>
          <w:rFonts w:asciiTheme="minorHAnsi" w:eastAsiaTheme="minorEastAsia" w:hAnsiTheme="minorHAnsi" w:cstheme="minorBidi"/>
          <w:b w:val="0"/>
          <w:spacing w:val="0"/>
          <w:sz w:val="22"/>
          <w:szCs w:val="22"/>
        </w:rPr>
      </w:pPr>
      <w:r>
        <w:t>Introduction</w:t>
      </w:r>
      <w:r>
        <w:tab/>
      </w:r>
      <w:r>
        <w:fldChar w:fldCharType="begin"/>
      </w:r>
      <w:r>
        <w:instrText xml:space="preserve"> PAGEREF _Toc45112198 \h </w:instrText>
      </w:r>
      <w:r>
        <w:fldChar w:fldCharType="separate"/>
      </w:r>
      <w:r>
        <w:t>3</w:t>
      </w:r>
      <w:r>
        <w:fldChar w:fldCharType="end"/>
      </w:r>
    </w:p>
    <w:p w14:paraId="21F8F60D" w14:textId="5DD50AF0" w:rsidR="00D7716E" w:rsidRDefault="00D7716E">
      <w:pPr>
        <w:pStyle w:val="TOC2"/>
        <w:rPr>
          <w:rFonts w:asciiTheme="minorHAnsi" w:eastAsiaTheme="minorEastAsia" w:hAnsiTheme="minorHAnsi" w:cstheme="minorBidi"/>
          <w:spacing w:val="0"/>
          <w:sz w:val="22"/>
          <w:szCs w:val="22"/>
        </w:rPr>
      </w:pPr>
      <w:r>
        <w:t>Legislative context and policy environment</w:t>
      </w:r>
      <w:r>
        <w:tab/>
      </w:r>
      <w:r>
        <w:fldChar w:fldCharType="begin"/>
      </w:r>
      <w:r>
        <w:instrText xml:space="preserve"> PAGEREF _Toc45112199 \h </w:instrText>
      </w:r>
      <w:r>
        <w:fldChar w:fldCharType="separate"/>
      </w:r>
      <w:r>
        <w:t>3</w:t>
      </w:r>
      <w:r>
        <w:fldChar w:fldCharType="end"/>
      </w:r>
    </w:p>
    <w:p w14:paraId="67040A6A" w14:textId="29501462" w:rsidR="00D7716E" w:rsidRDefault="00D7716E">
      <w:pPr>
        <w:pStyle w:val="TOC2"/>
        <w:rPr>
          <w:rFonts w:asciiTheme="minorHAnsi" w:eastAsiaTheme="minorEastAsia" w:hAnsiTheme="minorHAnsi" w:cstheme="minorBidi"/>
          <w:spacing w:val="0"/>
          <w:sz w:val="22"/>
          <w:szCs w:val="22"/>
        </w:rPr>
      </w:pPr>
      <w:r>
        <w:t>Background</w:t>
      </w:r>
      <w:r>
        <w:tab/>
      </w:r>
      <w:r>
        <w:fldChar w:fldCharType="begin"/>
      </w:r>
      <w:r>
        <w:instrText xml:space="preserve"> PAGEREF _Toc45112200 \h </w:instrText>
      </w:r>
      <w:r>
        <w:fldChar w:fldCharType="separate"/>
      </w:r>
      <w:r>
        <w:t>4</w:t>
      </w:r>
      <w:r>
        <w:fldChar w:fldCharType="end"/>
      </w:r>
    </w:p>
    <w:p w14:paraId="21107F78" w14:textId="7A4741D9" w:rsidR="00D7716E" w:rsidRDefault="00D7716E">
      <w:pPr>
        <w:pStyle w:val="TOC2"/>
        <w:rPr>
          <w:rFonts w:asciiTheme="minorHAnsi" w:eastAsiaTheme="minorEastAsia" w:hAnsiTheme="minorHAnsi" w:cstheme="minorBidi"/>
          <w:spacing w:val="0"/>
          <w:sz w:val="22"/>
          <w:szCs w:val="22"/>
        </w:rPr>
      </w:pPr>
      <w:r>
        <w:t>The auction</w:t>
      </w:r>
      <w:r>
        <w:tab/>
      </w:r>
      <w:r>
        <w:fldChar w:fldCharType="begin"/>
      </w:r>
      <w:r>
        <w:instrText xml:space="preserve"> PAGEREF _Toc45112201 \h </w:instrText>
      </w:r>
      <w:r>
        <w:fldChar w:fldCharType="separate"/>
      </w:r>
      <w:r>
        <w:t>8</w:t>
      </w:r>
      <w:r>
        <w:fldChar w:fldCharType="end"/>
      </w:r>
    </w:p>
    <w:p w14:paraId="10F6D4D8" w14:textId="7D6ADA7A" w:rsidR="00D7716E" w:rsidRDefault="00D7716E">
      <w:pPr>
        <w:pStyle w:val="TOC2"/>
        <w:rPr>
          <w:rFonts w:asciiTheme="minorHAnsi" w:eastAsiaTheme="minorEastAsia" w:hAnsiTheme="minorHAnsi" w:cstheme="minorBidi"/>
          <w:spacing w:val="0"/>
          <w:sz w:val="22"/>
          <w:szCs w:val="22"/>
        </w:rPr>
      </w:pPr>
      <w:r>
        <w:t>Draft allocation instruments</w:t>
      </w:r>
      <w:r>
        <w:tab/>
      </w:r>
      <w:r>
        <w:fldChar w:fldCharType="begin"/>
      </w:r>
      <w:r>
        <w:instrText xml:space="preserve"> PAGEREF _Toc45112202 \h </w:instrText>
      </w:r>
      <w:r>
        <w:fldChar w:fldCharType="separate"/>
      </w:r>
      <w:r>
        <w:t>10</w:t>
      </w:r>
      <w:r>
        <w:fldChar w:fldCharType="end"/>
      </w:r>
    </w:p>
    <w:p w14:paraId="6850296C" w14:textId="4A14DF5E" w:rsidR="00D7716E" w:rsidRDefault="00D7716E">
      <w:pPr>
        <w:pStyle w:val="TOC1"/>
        <w:rPr>
          <w:rFonts w:asciiTheme="minorHAnsi" w:eastAsiaTheme="minorEastAsia" w:hAnsiTheme="minorHAnsi" w:cstheme="minorBidi"/>
          <w:b w:val="0"/>
          <w:spacing w:val="0"/>
          <w:sz w:val="22"/>
          <w:szCs w:val="22"/>
        </w:rPr>
      </w:pPr>
      <w:r>
        <w:t>Draft marketing plan</w:t>
      </w:r>
      <w:r>
        <w:tab/>
      </w:r>
      <w:r>
        <w:fldChar w:fldCharType="begin"/>
      </w:r>
      <w:r>
        <w:instrText xml:space="preserve"> PAGEREF _Toc45112203 \h </w:instrText>
      </w:r>
      <w:r>
        <w:fldChar w:fldCharType="separate"/>
      </w:r>
      <w:r>
        <w:t>12</w:t>
      </w:r>
      <w:r>
        <w:fldChar w:fldCharType="end"/>
      </w:r>
    </w:p>
    <w:p w14:paraId="665214F6" w14:textId="30C11086" w:rsidR="00D7716E" w:rsidRDefault="00D7716E">
      <w:pPr>
        <w:pStyle w:val="TOC2"/>
        <w:rPr>
          <w:rFonts w:asciiTheme="minorHAnsi" w:eastAsiaTheme="minorEastAsia" w:hAnsiTheme="minorHAnsi" w:cstheme="minorBidi"/>
          <w:spacing w:val="0"/>
          <w:sz w:val="22"/>
          <w:szCs w:val="22"/>
        </w:rPr>
      </w:pPr>
      <w:r>
        <w:t>Spectrum licences</w:t>
      </w:r>
      <w:r>
        <w:tab/>
      </w:r>
      <w:r>
        <w:fldChar w:fldCharType="begin"/>
      </w:r>
      <w:r>
        <w:instrText xml:space="preserve"> PAGEREF _Toc45112204 \h </w:instrText>
      </w:r>
      <w:r>
        <w:fldChar w:fldCharType="separate"/>
      </w:r>
      <w:r>
        <w:t>12</w:t>
      </w:r>
      <w:r>
        <w:fldChar w:fldCharType="end"/>
      </w:r>
    </w:p>
    <w:p w14:paraId="75FAFD73" w14:textId="57DB2953" w:rsidR="00D7716E" w:rsidRDefault="00D7716E">
      <w:pPr>
        <w:pStyle w:val="TOC2"/>
        <w:rPr>
          <w:rFonts w:asciiTheme="minorHAnsi" w:eastAsiaTheme="minorEastAsia" w:hAnsiTheme="minorHAnsi" w:cstheme="minorBidi"/>
          <w:spacing w:val="0"/>
          <w:sz w:val="22"/>
          <w:szCs w:val="22"/>
        </w:rPr>
      </w:pPr>
      <w:r>
        <w:t>Lot configuration</w:t>
      </w:r>
      <w:r>
        <w:tab/>
      </w:r>
      <w:r>
        <w:fldChar w:fldCharType="begin"/>
      </w:r>
      <w:r>
        <w:instrText xml:space="preserve"> PAGEREF _Toc45112205 \h </w:instrText>
      </w:r>
      <w:r>
        <w:fldChar w:fldCharType="separate"/>
      </w:r>
      <w:r>
        <w:t>14</w:t>
      </w:r>
      <w:r>
        <w:fldChar w:fldCharType="end"/>
      </w:r>
    </w:p>
    <w:p w14:paraId="38DA2E0C" w14:textId="5DC643DC" w:rsidR="00D7716E" w:rsidRDefault="00D7716E">
      <w:pPr>
        <w:pStyle w:val="TOC1"/>
        <w:rPr>
          <w:rFonts w:asciiTheme="minorHAnsi" w:eastAsiaTheme="minorEastAsia" w:hAnsiTheme="minorHAnsi" w:cstheme="minorBidi"/>
          <w:b w:val="0"/>
          <w:spacing w:val="0"/>
          <w:sz w:val="22"/>
          <w:szCs w:val="22"/>
        </w:rPr>
      </w:pPr>
      <w:r>
        <w:t>Draft allocation determination</w:t>
      </w:r>
      <w:r>
        <w:tab/>
      </w:r>
      <w:r>
        <w:fldChar w:fldCharType="begin"/>
      </w:r>
      <w:r>
        <w:instrText xml:space="preserve"> PAGEREF _Toc45112206 \h </w:instrText>
      </w:r>
      <w:r>
        <w:fldChar w:fldCharType="separate"/>
      </w:r>
      <w:r>
        <w:t>20</w:t>
      </w:r>
      <w:r>
        <w:fldChar w:fldCharType="end"/>
      </w:r>
    </w:p>
    <w:p w14:paraId="25255335" w14:textId="574B51AE" w:rsidR="00D7716E" w:rsidRDefault="00D7716E">
      <w:pPr>
        <w:pStyle w:val="TOC2"/>
        <w:rPr>
          <w:rFonts w:asciiTheme="minorHAnsi" w:eastAsiaTheme="minorEastAsia" w:hAnsiTheme="minorHAnsi" w:cstheme="minorBidi"/>
          <w:spacing w:val="0"/>
          <w:sz w:val="22"/>
          <w:szCs w:val="22"/>
        </w:rPr>
      </w:pPr>
      <w:r>
        <w:t>Allocation methodology</w:t>
      </w:r>
      <w:r>
        <w:tab/>
      </w:r>
      <w:r>
        <w:fldChar w:fldCharType="begin"/>
      </w:r>
      <w:r>
        <w:instrText xml:space="preserve"> PAGEREF _Toc45112207 \h </w:instrText>
      </w:r>
      <w:r>
        <w:fldChar w:fldCharType="separate"/>
      </w:r>
      <w:r>
        <w:t>20</w:t>
      </w:r>
      <w:r>
        <w:fldChar w:fldCharType="end"/>
      </w:r>
    </w:p>
    <w:p w14:paraId="23F5F1B8" w14:textId="4E58648F" w:rsidR="00D7716E" w:rsidRDefault="00D7716E">
      <w:pPr>
        <w:pStyle w:val="TOC2"/>
        <w:rPr>
          <w:rFonts w:asciiTheme="minorHAnsi" w:eastAsiaTheme="minorEastAsia" w:hAnsiTheme="minorHAnsi" w:cstheme="minorBidi"/>
          <w:spacing w:val="0"/>
          <w:sz w:val="22"/>
          <w:szCs w:val="22"/>
        </w:rPr>
      </w:pPr>
      <w:r>
        <w:t>Auction format</w:t>
      </w:r>
      <w:r>
        <w:tab/>
      </w:r>
      <w:r>
        <w:fldChar w:fldCharType="begin"/>
      </w:r>
      <w:r>
        <w:instrText xml:space="preserve"> PAGEREF _Toc45112208 \h </w:instrText>
      </w:r>
      <w:r>
        <w:fldChar w:fldCharType="separate"/>
      </w:r>
      <w:r>
        <w:t>20</w:t>
      </w:r>
      <w:r>
        <w:fldChar w:fldCharType="end"/>
      </w:r>
    </w:p>
    <w:p w14:paraId="2D46F50A" w14:textId="0E39B735" w:rsidR="00D7716E" w:rsidRDefault="00D7716E">
      <w:pPr>
        <w:pStyle w:val="TOC2"/>
        <w:rPr>
          <w:rFonts w:asciiTheme="minorHAnsi" w:eastAsiaTheme="minorEastAsia" w:hAnsiTheme="minorHAnsi" w:cstheme="minorBidi"/>
          <w:spacing w:val="0"/>
          <w:sz w:val="22"/>
          <w:szCs w:val="22"/>
        </w:rPr>
      </w:pPr>
      <w:r>
        <w:t>Auction stages</w:t>
      </w:r>
      <w:r>
        <w:tab/>
      </w:r>
      <w:r>
        <w:fldChar w:fldCharType="begin"/>
      </w:r>
      <w:r>
        <w:instrText xml:space="preserve"> PAGEREF _Toc45112209 \h </w:instrText>
      </w:r>
      <w:r>
        <w:fldChar w:fldCharType="separate"/>
      </w:r>
      <w:r>
        <w:t>22</w:t>
      </w:r>
      <w:r>
        <w:fldChar w:fldCharType="end"/>
      </w:r>
    </w:p>
    <w:p w14:paraId="16334844" w14:textId="64E08A53" w:rsidR="00D7716E" w:rsidRDefault="00D7716E">
      <w:pPr>
        <w:pStyle w:val="TOC2"/>
        <w:rPr>
          <w:rFonts w:asciiTheme="minorHAnsi" w:eastAsiaTheme="minorEastAsia" w:hAnsiTheme="minorHAnsi" w:cstheme="minorBidi"/>
          <w:spacing w:val="0"/>
          <w:sz w:val="22"/>
          <w:szCs w:val="22"/>
        </w:rPr>
      </w:pPr>
      <w:r>
        <w:t>Auction rules</w:t>
      </w:r>
      <w:r>
        <w:tab/>
      </w:r>
      <w:r>
        <w:fldChar w:fldCharType="begin"/>
      </w:r>
      <w:r>
        <w:instrText xml:space="preserve"> PAGEREF _Toc45112210 \h </w:instrText>
      </w:r>
      <w:r>
        <w:fldChar w:fldCharType="separate"/>
      </w:r>
      <w:r>
        <w:t>23</w:t>
      </w:r>
      <w:r>
        <w:fldChar w:fldCharType="end"/>
      </w:r>
    </w:p>
    <w:p w14:paraId="4868250E" w14:textId="4F69D765" w:rsidR="00D7716E" w:rsidRDefault="00D7716E">
      <w:pPr>
        <w:pStyle w:val="TOC2"/>
        <w:rPr>
          <w:rFonts w:asciiTheme="minorHAnsi" w:eastAsiaTheme="minorEastAsia" w:hAnsiTheme="minorHAnsi" w:cstheme="minorBidi"/>
          <w:spacing w:val="0"/>
          <w:sz w:val="22"/>
          <w:szCs w:val="22"/>
        </w:rPr>
      </w:pPr>
      <w:r>
        <w:t>Application and registration process</w:t>
      </w:r>
      <w:r>
        <w:tab/>
      </w:r>
      <w:r>
        <w:fldChar w:fldCharType="begin"/>
      </w:r>
      <w:r>
        <w:instrText xml:space="preserve"> PAGEREF _Toc45112211 \h </w:instrText>
      </w:r>
      <w:r>
        <w:fldChar w:fldCharType="separate"/>
      </w:r>
      <w:r>
        <w:t>24</w:t>
      </w:r>
      <w:r>
        <w:fldChar w:fldCharType="end"/>
      </w:r>
    </w:p>
    <w:p w14:paraId="5E626772" w14:textId="049ADC02" w:rsidR="00D7716E" w:rsidRDefault="00D7716E">
      <w:pPr>
        <w:pStyle w:val="TOC2"/>
        <w:rPr>
          <w:rFonts w:asciiTheme="minorHAnsi" w:eastAsiaTheme="minorEastAsia" w:hAnsiTheme="minorHAnsi" w:cstheme="minorBidi"/>
          <w:spacing w:val="0"/>
          <w:sz w:val="22"/>
          <w:szCs w:val="22"/>
        </w:rPr>
      </w:pPr>
      <w:r>
        <w:t>Lot ratings and starting prices</w:t>
      </w:r>
      <w:r>
        <w:tab/>
      </w:r>
      <w:r>
        <w:fldChar w:fldCharType="begin"/>
      </w:r>
      <w:r>
        <w:instrText xml:space="preserve"> PAGEREF _Toc45112212 \h </w:instrText>
      </w:r>
      <w:r>
        <w:fldChar w:fldCharType="separate"/>
      </w:r>
      <w:r>
        <w:t>26</w:t>
      </w:r>
      <w:r>
        <w:fldChar w:fldCharType="end"/>
      </w:r>
    </w:p>
    <w:p w14:paraId="002766B2" w14:textId="08B5A361" w:rsidR="00D7716E" w:rsidRDefault="00D7716E">
      <w:pPr>
        <w:pStyle w:val="TOC2"/>
        <w:rPr>
          <w:rFonts w:asciiTheme="minorHAnsi" w:eastAsiaTheme="minorEastAsia" w:hAnsiTheme="minorHAnsi" w:cstheme="minorBidi"/>
          <w:spacing w:val="0"/>
          <w:sz w:val="22"/>
          <w:szCs w:val="22"/>
        </w:rPr>
      </w:pPr>
      <w:r>
        <w:t>Allocation limits</w:t>
      </w:r>
      <w:r>
        <w:tab/>
      </w:r>
      <w:r>
        <w:fldChar w:fldCharType="begin"/>
      </w:r>
      <w:r>
        <w:instrText xml:space="preserve"> PAGEREF _Toc45112213 \h </w:instrText>
      </w:r>
      <w:r>
        <w:fldChar w:fldCharType="separate"/>
      </w:r>
      <w:r>
        <w:t>26</w:t>
      </w:r>
      <w:r>
        <w:fldChar w:fldCharType="end"/>
      </w:r>
    </w:p>
    <w:p w14:paraId="029B6BD2" w14:textId="36F599DE" w:rsidR="00D7716E" w:rsidRDefault="00D7716E">
      <w:pPr>
        <w:pStyle w:val="TOC2"/>
        <w:rPr>
          <w:rFonts w:asciiTheme="minorHAnsi" w:eastAsiaTheme="minorEastAsia" w:hAnsiTheme="minorHAnsi" w:cstheme="minorBidi"/>
          <w:spacing w:val="0"/>
          <w:sz w:val="22"/>
          <w:szCs w:val="22"/>
        </w:rPr>
      </w:pPr>
      <w:r>
        <w:t>Affiliated applicants</w:t>
      </w:r>
      <w:r>
        <w:tab/>
      </w:r>
      <w:r>
        <w:fldChar w:fldCharType="begin"/>
      </w:r>
      <w:r>
        <w:instrText xml:space="preserve"> PAGEREF _Toc45112214 \h </w:instrText>
      </w:r>
      <w:r>
        <w:fldChar w:fldCharType="separate"/>
      </w:r>
      <w:r>
        <w:t>27</w:t>
      </w:r>
      <w:r>
        <w:fldChar w:fldCharType="end"/>
      </w:r>
    </w:p>
    <w:p w14:paraId="1F8410C3" w14:textId="36CBE286" w:rsidR="00D7716E" w:rsidRDefault="00D7716E">
      <w:pPr>
        <w:pStyle w:val="TOC2"/>
        <w:rPr>
          <w:rFonts w:asciiTheme="minorHAnsi" w:eastAsiaTheme="minorEastAsia" w:hAnsiTheme="minorHAnsi" w:cstheme="minorBidi"/>
          <w:spacing w:val="0"/>
          <w:sz w:val="22"/>
          <w:szCs w:val="22"/>
        </w:rPr>
      </w:pPr>
      <w:r>
        <w:t>Payment terms</w:t>
      </w:r>
      <w:r>
        <w:tab/>
      </w:r>
      <w:r>
        <w:fldChar w:fldCharType="begin"/>
      </w:r>
      <w:r>
        <w:instrText xml:space="preserve"> PAGEREF _Toc45112215 \h </w:instrText>
      </w:r>
      <w:r>
        <w:fldChar w:fldCharType="separate"/>
      </w:r>
      <w:r>
        <w:t>27</w:t>
      </w:r>
      <w:r>
        <w:fldChar w:fldCharType="end"/>
      </w:r>
    </w:p>
    <w:p w14:paraId="2883D6E8" w14:textId="1E3D1A9A" w:rsidR="00D7716E" w:rsidRDefault="00D7716E">
      <w:pPr>
        <w:pStyle w:val="TOC1"/>
        <w:rPr>
          <w:rFonts w:asciiTheme="minorHAnsi" w:eastAsiaTheme="minorEastAsia" w:hAnsiTheme="minorHAnsi" w:cstheme="minorBidi"/>
          <w:b w:val="0"/>
          <w:spacing w:val="0"/>
          <w:sz w:val="22"/>
          <w:szCs w:val="22"/>
        </w:rPr>
      </w:pPr>
      <w:r>
        <w:t>Invitation to comment</w:t>
      </w:r>
      <w:r>
        <w:tab/>
      </w:r>
      <w:r>
        <w:fldChar w:fldCharType="begin"/>
      </w:r>
      <w:r>
        <w:instrText xml:space="preserve"> PAGEREF _Toc45112216 \h </w:instrText>
      </w:r>
      <w:r>
        <w:fldChar w:fldCharType="separate"/>
      </w:r>
      <w:r>
        <w:t>30</w:t>
      </w:r>
      <w:r>
        <w:fldChar w:fldCharType="end"/>
      </w:r>
    </w:p>
    <w:p w14:paraId="64D84035" w14:textId="02992917" w:rsidR="00D7716E" w:rsidRDefault="00D7716E">
      <w:pPr>
        <w:pStyle w:val="TOC2"/>
        <w:rPr>
          <w:rFonts w:asciiTheme="minorHAnsi" w:eastAsiaTheme="minorEastAsia" w:hAnsiTheme="minorHAnsi" w:cstheme="minorBidi"/>
          <w:spacing w:val="0"/>
          <w:sz w:val="22"/>
          <w:szCs w:val="22"/>
        </w:rPr>
      </w:pPr>
      <w:r>
        <w:t>Making a submission</w:t>
      </w:r>
      <w:r>
        <w:tab/>
      </w:r>
      <w:r>
        <w:fldChar w:fldCharType="begin"/>
      </w:r>
      <w:r>
        <w:instrText xml:space="preserve"> PAGEREF _Toc45112217 \h </w:instrText>
      </w:r>
      <w:r>
        <w:fldChar w:fldCharType="separate"/>
      </w:r>
      <w:r>
        <w:t>30</w:t>
      </w:r>
      <w:r>
        <w:fldChar w:fldCharType="end"/>
      </w:r>
    </w:p>
    <w:p w14:paraId="165D5499" w14:textId="5724231B" w:rsidR="004D56FF" w:rsidRPr="000D76E0" w:rsidRDefault="00C65F61">
      <w:pPr>
        <w:rPr>
          <w:rFonts w:cs="Arial"/>
        </w:rPr>
        <w:sectPr w:rsidR="004D56FF" w:rsidRPr="000D76E0" w:rsidSect="00C77380">
          <w:headerReference w:type="even" r:id="rId19"/>
          <w:headerReference w:type="default" r:id="rId20"/>
          <w:footerReference w:type="even" r:id="rId21"/>
          <w:footerReference w:type="default" r:id="rId22"/>
          <w:headerReference w:type="first" r:id="rId23"/>
          <w:footerReference w:type="first" r:id="rId24"/>
          <w:pgSz w:w="11906" w:h="16838" w:code="9"/>
          <w:pgMar w:top="3646" w:right="3101" w:bottom="1134" w:left="1134" w:header="709" w:footer="119" w:gutter="0"/>
          <w:cols w:space="708"/>
          <w:titlePg/>
          <w:docGrid w:linePitch="360"/>
        </w:sectPr>
      </w:pPr>
      <w:r>
        <w:rPr>
          <w:rFonts w:cs="Arial"/>
          <w:b/>
          <w:noProof/>
          <w:spacing w:val="-14"/>
          <w:sz w:val="28"/>
        </w:rPr>
        <w:fldChar w:fldCharType="end"/>
      </w:r>
    </w:p>
    <w:p w14:paraId="15831FAA" w14:textId="77777777" w:rsidR="009D6C71" w:rsidRPr="009174F3" w:rsidRDefault="009D6C71" w:rsidP="009174F3">
      <w:pPr>
        <w:pStyle w:val="Execsummaryheading"/>
      </w:pPr>
      <w:bookmarkStart w:id="0" w:name="_Toc45112197"/>
      <w:r w:rsidRPr="009174F3">
        <w:lastRenderedPageBreak/>
        <w:t>Executive summary</w:t>
      </w:r>
      <w:bookmarkEnd w:id="0"/>
    </w:p>
    <w:p w14:paraId="603BFD33" w14:textId="4079F952" w:rsidR="00A4041B" w:rsidRDefault="00BB1CD7" w:rsidP="000B02EF">
      <w:pPr>
        <w:pStyle w:val="Paragraph"/>
        <w:spacing w:after="200"/>
      </w:pPr>
      <w:r>
        <w:t xml:space="preserve">On </w:t>
      </w:r>
      <w:r w:rsidR="00B435A3">
        <w:t>18 October</w:t>
      </w:r>
      <w:r>
        <w:t xml:space="preserve"> 2019, </w:t>
      </w:r>
      <w:r w:rsidR="00FB5550">
        <w:t xml:space="preserve">the </w:t>
      </w:r>
      <w:r>
        <w:t xml:space="preserve">Minister for Communications, Cyber Safety and the Arts </w:t>
      </w:r>
      <w:r w:rsidR="00B435A3">
        <w:t xml:space="preserve">made the </w:t>
      </w:r>
      <w:hyperlink r:id="rId25" w:history="1">
        <w:r w:rsidR="000E7B5C" w:rsidRPr="00AE45E9">
          <w:rPr>
            <w:rStyle w:val="Hyperlink"/>
          </w:rPr>
          <w:t>Radiocommunications (Spectrum Re-allocation — 26</w:t>
        </w:r>
        <w:r w:rsidR="00B81C5C" w:rsidRPr="00AE45E9">
          <w:rPr>
            <w:rStyle w:val="Hyperlink"/>
          </w:rPr>
          <w:t xml:space="preserve"> </w:t>
        </w:r>
        <w:r w:rsidR="000E7B5C" w:rsidRPr="00AE45E9">
          <w:rPr>
            <w:rStyle w:val="Hyperlink"/>
          </w:rPr>
          <w:t>GHz Band) Declaration 2019</w:t>
        </w:r>
      </w:hyperlink>
      <w:r w:rsidR="00B435A3">
        <w:t xml:space="preserve"> (the </w:t>
      </w:r>
      <w:r w:rsidR="004E7783">
        <w:t>re-allocation</w:t>
      </w:r>
      <w:r w:rsidR="00BD6305">
        <w:t xml:space="preserve"> </w:t>
      </w:r>
      <w:r w:rsidR="00B435A3">
        <w:t>declaration)</w:t>
      </w:r>
      <w:r w:rsidR="000F7F98">
        <w:t>,</w:t>
      </w:r>
      <w:r w:rsidR="00B435A3">
        <w:t xml:space="preserve"> declaring</w:t>
      </w:r>
      <w:r w:rsidR="00A4041B">
        <w:t xml:space="preserve"> that</w:t>
      </w:r>
      <w:r w:rsidR="00B435A3">
        <w:t xml:space="preserve"> spectrum in the frequency range 25.1</w:t>
      </w:r>
      <w:r w:rsidR="000F7F98">
        <w:t>–</w:t>
      </w:r>
      <w:r w:rsidR="00B435A3">
        <w:t>27.5 GHz in metropolitan and certain regional area</w:t>
      </w:r>
      <w:r w:rsidR="00A05DEC">
        <w:t>s</w:t>
      </w:r>
      <w:r w:rsidR="00B435A3">
        <w:t xml:space="preserve"> (the </w:t>
      </w:r>
      <w:r w:rsidR="008B3B82">
        <w:t>26 </w:t>
      </w:r>
      <w:r w:rsidR="00B435A3">
        <w:t xml:space="preserve">GHz band) is to be reallocated by </w:t>
      </w:r>
      <w:r w:rsidR="00DC7D5B">
        <w:t>issuing</w:t>
      </w:r>
      <w:r w:rsidR="00B435A3">
        <w:t xml:space="preserve"> spectrum licences. Accordingly, the Australian Communications and Media Authority (ACMA) is preparing to allocate the spectrum by auction</w:t>
      </w:r>
      <w:r w:rsidR="00A05DEC">
        <w:t>.</w:t>
      </w:r>
      <w:r w:rsidR="00A4041B" w:rsidRPr="00A4041B">
        <w:t xml:space="preserve"> </w:t>
      </w:r>
    </w:p>
    <w:p w14:paraId="3E14D561" w14:textId="2B7F39C2" w:rsidR="00BB1CD7" w:rsidRDefault="00A4041B" w:rsidP="000B02EF">
      <w:pPr>
        <w:pStyle w:val="Paragraph"/>
        <w:spacing w:after="200"/>
      </w:pPr>
      <w:r>
        <w:t xml:space="preserve">The auction is </w:t>
      </w:r>
      <w:r w:rsidR="00C85008">
        <w:t xml:space="preserve">expected </w:t>
      </w:r>
      <w:r>
        <w:t xml:space="preserve">to commence </w:t>
      </w:r>
      <w:r w:rsidRPr="00774DE9">
        <w:t xml:space="preserve">in </w:t>
      </w:r>
      <w:r w:rsidR="00235CBD">
        <w:t xml:space="preserve">late </w:t>
      </w:r>
      <w:r w:rsidRPr="00774DE9">
        <w:t>March 2021</w:t>
      </w:r>
      <w:r>
        <w:t xml:space="preserve">. </w:t>
      </w:r>
    </w:p>
    <w:p w14:paraId="73112D43" w14:textId="746B1863" w:rsidR="00A4041B" w:rsidRPr="000B02EF" w:rsidRDefault="00A4041B" w:rsidP="000B02EF">
      <w:pPr>
        <w:pStyle w:val="ACMAInstructions"/>
        <w:rPr>
          <w:b w:val="0"/>
          <w:vanish w:val="0"/>
          <w:sz w:val="20"/>
          <w:szCs w:val="20"/>
        </w:rPr>
      </w:pPr>
      <w:r w:rsidRPr="000B02EF">
        <w:rPr>
          <w:b w:val="0"/>
          <w:vanish w:val="0"/>
          <w:sz w:val="20"/>
          <w:szCs w:val="20"/>
        </w:rPr>
        <w:t>In preparation for the auction, we have prepared draft legislative instruments (the allocation instruments) which describe the products we are offering in the auction, as well as setting out the rules and procedures that we propose will govern the auction process for the allocation of these products.</w:t>
      </w:r>
    </w:p>
    <w:p w14:paraId="13ABA8EE" w14:textId="3D4B44CF" w:rsidR="00A05DEC" w:rsidRPr="000B02EF" w:rsidRDefault="00A05DEC" w:rsidP="000B02EF">
      <w:pPr>
        <w:pStyle w:val="ACMAInstructions"/>
        <w:rPr>
          <w:b w:val="0"/>
          <w:vanish w:val="0"/>
          <w:sz w:val="20"/>
          <w:szCs w:val="20"/>
        </w:rPr>
      </w:pPr>
      <w:r w:rsidRPr="000B02EF">
        <w:rPr>
          <w:b w:val="0"/>
          <w:vanish w:val="0"/>
          <w:sz w:val="20"/>
          <w:szCs w:val="20"/>
        </w:rPr>
        <w:t xml:space="preserve">This paper </w:t>
      </w:r>
      <w:r w:rsidR="00A4041B" w:rsidRPr="000B02EF">
        <w:rPr>
          <w:b w:val="0"/>
          <w:vanish w:val="0"/>
          <w:sz w:val="20"/>
          <w:szCs w:val="20"/>
        </w:rPr>
        <w:t xml:space="preserve">briefly summarises the matters included in the allocation </w:t>
      </w:r>
      <w:proofErr w:type="gramStart"/>
      <w:r w:rsidR="00A4041B" w:rsidRPr="000B02EF">
        <w:rPr>
          <w:b w:val="0"/>
          <w:vanish w:val="0"/>
          <w:sz w:val="20"/>
          <w:szCs w:val="20"/>
        </w:rPr>
        <w:t>instruments, and</w:t>
      </w:r>
      <w:proofErr w:type="gramEnd"/>
      <w:r w:rsidR="00A4041B" w:rsidRPr="000B02EF">
        <w:rPr>
          <w:b w:val="0"/>
          <w:vanish w:val="0"/>
          <w:sz w:val="20"/>
          <w:szCs w:val="20"/>
        </w:rPr>
        <w:t xml:space="preserve"> invites comments from interested parties on those instruments and any other issues relevant to the allocation of spectrum licences in the 26 GHz band. </w:t>
      </w:r>
    </w:p>
    <w:p w14:paraId="63FF277F" w14:textId="46B978C1" w:rsidR="005C3DC5" w:rsidRPr="000B02EF" w:rsidRDefault="005C3DC5" w:rsidP="00DE0946">
      <w:pPr>
        <w:pStyle w:val="Paragraphbeforelist"/>
      </w:pPr>
      <w:r w:rsidRPr="000B02EF">
        <w:t xml:space="preserve">The </w:t>
      </w:r>
      <w:r w:rsidR="00FB5550" w:rsidRPr="000B02EF">
        <w:t xml:space="preserve">allocation </w:t>
      </w:r>
      <w:r w:rsidRPr="000B02EF">
        <w:t>instruments are:</w:t>
      </w:r>
    </w:p>
    <w:p w14:paraId="349F467C" w14:textId="78EF3185" w:rsidR="005C3DC5" w:rsidRPr="00B74D9E" w:rsidRDefault="005C3DC5" w:rsidP="00AE1C81">
      <w:pPr>
        <w:pStyle w:val="Bulletlevel1"/>
      </w:pPr>
      <w:r>
        <w:t>a spectrum marketing plan</w:t>
      </w:r>
      <w:r w:rsidRPr="00B74D9E">
        <w:t xml:space="preserve">, to be made under section 39A of the </w:t>
      </w:r>
      <w:r w:rsidRPr="00B74D9E">
        <w:rPr>
          <w:i/>
        </w:rPr>
        <w:t>Radiocommunications Act 1992</w:t>
      </w:r>
      <w:r w:rsidRPr="00B74D9E">
        <w:t xml:space="preserve"> (the Act) </w:t>
      </w:r>
      <w:r w:rsidR="006746D6" w:rsidRPr="00B74D9E">
        <w:t>describing</w:t>
      </w:r>
      <w:r w:rsidRPr="00B74D9E">
        <w:t xml:space="preserve"> the 26 GHz band products</w:t>
      </w:r>
      <w:r w:rsidR="006746D6" w:rsidRPr="00B74D9E">
        <w:t xml:space="preserve"> on offer</w:t>
      </w:r>
    </w:p>
    <w:p w14:paraId="703A0C3B" w14:textId="3A933AEC" w:rsidR="005C3DC5" w:rsidRPr="00B74D9E" w:rsidRDefault="005C3DC5" w:rsidP="00DE0946">
      <w:pPr>
        <w:pStyle w:val="Bulletlevel1last"/>
      </w:pPr>
      <w:r w:rsidRPr="00B74D9E">
        <w:t>an allocation determination, to be made under sections 60 and 294 of the Act, covering the auction rules for the 26 GHz band.</w:t>
      </w:r>
    </w:p>
    <w:p w14:paraId="40848F54" w14:textId="49B07B1E" w:rsidR="005C3DC5" w:rsidRDefault="005C3DC5" w:rsidP="005C3DC5">
      <w:pPr>
        <w:pStyle w:val="Paragraph"/>
      </w:pPr>
      <w:r w:rsidRPr="00B74D9E">
        <w:t xml:space="preserve">Draft versions of the marketing plan and the allocation determination for the 26 GHz band are </w:t>
      </w:r>
      <w:r w:rsidR="008A3F12">
        <w:t>published alongside this paper</w:t>
      </w:r>
      <w:r w:rsidR="004065A5">
        <w:t xml:space="preserve"> on the ACMA website</w:t>
      </w:r>
      <w:r w:rsidR="008D56B2">
        <w:t>.</w:t>
      </w:r>
    </w:p>
    <w:p w14:paraId="3F0615AD" w14:textId="77777777" w:rsidR="008A3F12" w:rsidRDefault="00FD1CF8" w:rsidP="005C3DC5">
      <w:pPr>
        <w:pStyle w:val="Paragraph"/>
      </w:pPr>
      <w:r>
        <w:t>We</w:t>
      </w:r>
      <w:r w:rsidR="005C3DC5">
        <w:t xml:space="preserve"> </w:t>
      </w:r>
      <w:r>
        <w:t xml:space="preserve">have </w:t>
      </w:r>
      <w:r w:rsidR="005C3DC5">
        <w:t xml:space="preserve">also </w:t>
      </w:r>
      <w:r>
        <w:t>prepared draft</w:t>
      </w:r>
      <w:r w:rsidR="00E33A6D">
        <w:t xml:space="preserve"> technical </w:t>
      </w:r>
      <w:r w:rsidR="00A4041B">
        <w:t xml:space="preserve">instruments that </w:t>
      </w:r>
      <w:r w:rsidR="005C3DC5">
        <w:t>provide the technical and interference management rules for</w:t>
      </w:r>
      <w:r w:rsidR="005F014A">
        <w:t xml:space="preserve"> the</w:t>
      </w:r>
      <w:r w:rsidR="005C3DC5">
        <w:t xml:space="preserve"> operation of </w:t>
      </w:r>
      <w:r w:rsidR="000031BD">
        <w:t xml:space="preserve">spectrum licensed </w:t>
      </w:r>
      <w:r w:rsidR="00103DDD">
        <w:t>radiocommunications</w:t>
      </w:r>
      <w:r w:rsidR="005C3DC5">
        <w:t xml:space="preserve"> devices in the </w:t>
      </w:r>
      <w:r w:rsidR="005C3DC5" w:rsidRPr="00692624">
        <w:t>26</w:t>
      </w:r>
      <w:r w:rsidR="00692624">
        <w:t> </w:t>
      </w:r>
      <w:r w:rsidR="005C3DC5" w:rsidRPr="00692624">
        <w:t>GHz</w:t>
      </w:r>
      <w:r w:rsidR="005C3DC5">
        <w:t xml:space="preserve"> band</w:t>
      </w:r>
      <w:r w:rsidR="00103DDD">
        <w:t xml:space="preserve">. </w:t>
      </w:r>
    </w:p>
    <w:p w14:paraId="316183E5" w14:textId="1426D6B1" w:rsidR="005C3DC5" w:rsidRDefault="00FA3643" w:rsidP="005C3DC5">
      <w:pPr>
        <w:pStyle w:val="Paragraph"/>
      </w:pPr>
      <w:r>
        <w:t>Draft t</w:t>
      </w:r>
      <w:r w:rsidR="00103DDD">
        <w:t xml:space="preserve">echnical instruments </w:t>
      </w:r>
      <w:r>
        <w:t>are desc</w:t>
      </w:r>
      <w:r w:rsidR="00C62757">
        <w:t>r</w:t>
      </w:r>
      <w:r>
        <w:t>i</w:t>
      </w:r>
      <w:r w:rsidR="00C62757">
        <w:t>b</w:t>
      </w:r>
      <w:r>
        <w:t>ed in</w:t>
      </w:r>
      <w:r w:rsidR="008A3F12">
        <w:t xml:space="preserve"> the </w:t>
      </w:r>
      <w:r w:rsidR="008A3F12" w:rsidRPr="00D75155">
        <w:rPr>
          <w:i/>
          <w:iCs/>
        </w:rPr>
        <w:t>26 GHz (25.1</w:t>
      </w:r>
      <w:r w:rsidR="008A3F12">
        <w:rPr>
          <w:i/>
          <w:iCs/>
        </w:rPr>
        <w:t>–</w:t>
      </w:r>
      <w:r w:rsidR="008A3F12" w:rsidRPr="00D75155">
        <w:rPr>
          <w:i/>
          <w:iCs/>
        </w:rPr>
        <w:t>27.5 GHz) band spectrum licence technical framework</w:t>
      </w:r>
      <w:r>
        <w:t xml:space="preserve"> </w:t>
      </w:r>
      <w:r w:rsidR="008A3F12">
        <w:t>consultation paper</w:t>
      </w:r>
      <w:r>
        <w:t xml:space="preserve">, </w:t>
      </w:r>
      <w:r w:rsidR="008A3F12">
        <w:t>published alongside this paper on the ACMA website</w:t>
      </w:r>
      <w:r>
        <w:t>.</w:t>
      </w:r>
      <w:r w:rsidR="00B3048C">
        <w:t xml:space="preserve"> These have been developed in tandem with the </w:t>
      </w:r>
      <w:r w:rsidR="004514FA">
        <w:t xml:space="preserve">technical arrangements for the </w:t>
      </w:r>
      <w:r w:rsidR="00B3048C">
        <w:t>area-wide apparatus licence</w:t>
      </w:r>
      <w:r w:rsidR="004514FA">
        <w:t>s</w:t>
      </w:r>
      <w:r w:rsidR="006F2F4E">
        <w:t xml:space="preserve"> </w:t>
      </w:r>
      <w:r w:rsidR="004514FA">
        <w:t>(AWL)</w:t>
      </w:r>
      <w:r w:rsidR="00B3048C">
        <w:t xml:space="preserve"> in the non-spectrum licensed </w:t>
      </w:r>
      <w:r w:rsidR="00A11A0F">
        <w:t xml:space="preserve">areas </w:t>
      </w:r>
      <w:r w:rsidR="003D6BBF">
        <w:t xml:space="preserve">of the </w:t>
      </w:r>
      <w:r w:rsidR="00B3048C">
        <w:t xml:space="preserve">26 GHz band and </w:t>
      </w:r>
      <w:r w:rsidR="003D6BBF">
        <w:t xml:space="preserve">the adjacent </w:t>
      </w:r>
      <w:r w:rsidR="00B3048C">
        <w:t>28 GHz band.</w:t>
      </w:r>
    </w:p>
    <w:p w14:paraId="106B6362" w14:textId="61A4F2E3" w:rsidR="007E553E" w:rsidRDefault="00763BAF" w:rsidP="00D75155">
      <w:pPr>
        <w:pStyle w:val="Paragraphbeforelist"/>
        <w:keepNext/>
        <w:keepLines/>
      </w:pPr>
      <w:r>
        <w:lastRenderedPageBreak/>
        <w:t>As well as</w:t>
      </w:r>
      <w:r w:rsidR="007E553E">
        <w:t xml:space="preserve"> seeking comment on the draft </w:t>
      </w:r>
      <w:r w:rsidR="00F77986">
        <w:t>allocation</w:t>
      </w:r>
      <w:r w:rsidR="007E553E">
        <w:t xml:space="preserve"> instruments, th</w:t>
      </w:r>
      <w:r w:rsidR="004E0FBE">
        <w:t>is</w:t>
      </w:r>
      <w:r w:rsidR="007E553E">
        <w:t xml:space="preserve"> paper </w:t>
      </w:r>
      <w:r w:rsidR="009A2514">
        <w:t xml:space="preserve">also </w:t>
      </w:r>
      <w:r w:rsidR="007E553E">
        <w:t xml:space="preserve">directs readers to </w:t>
      </w:r>
      <w:r w:rsidR="009A2514">
        <w:t>information about processes that are being undertaken in parallel to this allocation process</w:t>
      </w:r>
      <w:r w:rsidR="009F7194">
        <w:t>.</w:t>
      </w:r>
      <w:r w:rsidR="004E0FBE">
        <w:t xml:space="preserve"> </w:t>
      </w:r>
      <w:r w:rsidR="009F7194">
        <w:t>These matters</w:t>
      </w:r>
      <w:r w:rsidR="004E0FBE">
        <w:t xml:space="preserve"> </w:t>
      </w:r>
      <w:r w:rsidR="00216748">
        <w:t>will</w:t>
      </w:r>
      <w:r w:rsidR="004E0FBE">
        <w:t xml:space="preserve"> be relevant to </w:t>
      </w:r>
      <w:r w:rsidR="00216748">
        <w:t xml:space="preserve">the use of </w:t>
      </w:r>
      <w:r w:rsidR="004E0FBE">
        <w:t>26 GHz spectrum</w:t>
      </w:r>
      <w:r w:rsidR="009A2514">
        <w:t xml:space="preserve"> in the future</w:t>
      </w:r>
      <w:r w:rsidR="004E0FBE">
        <w:t>:</w:t>
      </w:r>
    </w:p>
    <w:p w14:paraId="78680194" w14:textId="2D274339" w:rsidR="004E0FBE" w:rsidRDefault="004E0FBE" w:rsidP="00D75155">
      <w:pPr>
        <w:pStyle w:val="Bulletlevel1"/>
        <w:keepNext/>
        <w:keepLines/>
      </w:pPr>
      <w:r>
        <w:rPr>
          <w:shd w:val="clear" w:color="auto" w:fill="FFFFFF"/>
        </w:rPr>
        <w:t xml:space="preserve">changes to licensing arrangements in relation to the </w:t>
      </w:r>
      <w:r w:rsidR="00216748">
        <w:rPr>
          <w:shd w:val="clear" w:color="auto" w:fill="FFFFFF"/>
        </w:rPr>
        <w:t>wider</w:t>
      </w:r>
      <w:r>
        <w:rPr>
          <w:shd w:val="clear" w:color="auto" w:fill="FFFFFF"/>
        </w:rPr>
        <w:t xml:space="preserve"> 26</w:t>
      </w:r>
      <w:r w:rsidR="009F4893">
        <w:rPr>
          <w:shd w:val="clear" w:color="auto" w:fill="FFFFFF"/>
        </w:rPr>
        <w:t xml:space="preserve"> </w:t>
      </w:r>
      <w:r>
        <w:rPr>
          <w:shd w:val="clear" w:color="auto" w:fill="FFFFFF"/>
        </w:rPr>
        <w:t>GHz band</w:t>
      </w:r>
      <w:r w:rsidR="00216748">
        <w:rPr>
          <w:shd w:val="clear" w:color="auto" w:fill="FFFFFF"/>
        </w:rPr>
        <w:t xml:space="preserve"> (24.25</w:t>
      </w:r>
      <w:r w:rsidR="001A26DA">
        <w:rPr>
          <w:shd w:val="clear" w:color="auto" w:fill="FFFFFF"/>
        </w:rPr>
        <w:t>−</w:t>
      </w:r>
      <w:r w:rsidR="00216748">
        <w:rPr>
          <w:shd w:val="clear" w:color="auto" w:fill="FFFFFF"/>
        </w:rPr>
        <w:t>27.5MHz)</w:t>
      </w:r>
      <w:r w:rsidR="001A26DA">
        <w:rPr>
          <w:shd w:val="clear" w:color="auto" w:fill="FFFFFF"/>
        </w:rPr>
        <w:t xml:space="preserve"> and 28 GHz band (27.5−29.5 GHz)</w:t>
      </w:r>
      <w:r>
        <w:rPr>
          <w:shd w:val="clear" w:color="auto" w:fill="FFFFFF"/>
        </w:rPr>
        <w:t xml:space="preserve">, including the implementation of both apparatus and class </w:t>
      </w:r>
      <w:r w:rsidR="008B3B82">
        <w:rPr>
          <w:shd w:val="clear" w:color="auto" w:fill="FFFFFF"/>
        </w:rPr>
        <w:t xml:space="preserve">licensing </w:t>
      </w:r>
      <w:r w:rsidR="00763BAF">
        <w:rPr>
          <w:shd w:val="clear" w:color="auto" w:fill="FFFFFF"/>
        </w:rPr>
        <w:t>arrangements</w:t>
      </w:r>
    </w:p>
    <w:p w14:paraId="5104B8DB" w14:textId="310702A4" w:rsidR="00F77986" w:rsidRDefault="00F77986" w:rsidP="00D75155">
      <w:pPr>
        <w:pStyle w:val="Bulletlevel1last"/>
        <w:keepNext/>
        <w:keepLines/>
      </w:pPr>
      <w:r>
        <w:t xml:space="preserve">the ongoing </w:t>
      </w:r>
      <w:hyperlink r:id="rId26" w:history="1">
        <w:r w:rsidRPr="00CD6A8C">
          <w:rPr>
            <w:rStyle w:val="Hyperlink"/>
          </w:rPr>
          <w:t>reform</w:t>
        </w:r>
      </w:hyperlink>
      <w:r>
        <w:rPr>
          <w:u w:color="0000FF"/>
        </w:rPr>
        <w:t xml:space="preserve"> of the Act</w:t>
      </w:r>
      <w:r>
        <w:t xml:space="preserve"> being undertaken by the Department of Infrastructure, Transport, Regional Development and Communications</w:t>
      </w:r>
      <w:r w:rsidR="00086D26">
        <w:t xml:space="preserve"> (the </w:t>
      </w:r>
      <w:r w:rsidR="001A4174">
        <w:t>D</w:t>
      </w:r>
      <w:r w:rsidR="00086D26">
        <w:t>epartment)</w:t>
      </w:r>
      <w:r w:rsidR="001A26DA">
        <w:t>.</w:t>
      </w:r>
    </w:p>
    <w:p w14:paraId="03297341" w14:textId="39CAC4E4" w:rsidR="00AE1C81" w:rsidRDefault="00AE1C81" w:rsidP="00D75155">
      <w:pPr>
        <w:pStyle w:val="Heading1"/>
      </w:pPr>
      <w:bookmarkStart w:id="1" w:name="_Toc45112198"/>
      <w:r>
        <w:lastRenderedPageBreak/>
        <w:t>Introduction</w:t>
      </w:r>
      <w:bookmarkEnd w:id="1"/>
    </w:p>
    <w:p w14:paraId="36BBEFB3" w14:textId="2F95FD44" w:rsidR="00AE1C81" w:rsidRDefault="00AE1C81" w:rsidP="003F4C98">
      <w:pPr>
        <w:pStyle w:val="Paragraph"/>
      </w:pPr>
      <w:r>
        <w:t xml:space="preserve">The </w:t>
      </w:r>
      <w:r w:rsidR="00CD7925">
        <w:t>Minister for Communications, Cyber Safety and the Arts</w:t>
      </w:r>
      <w:r w:rsidR="00CD7925" w:rsidDel="00CD7925">
        <w:t xml:space="preserve"> </w:t>
      </w:r>
      <w:r>
        <w:t xml:space="preserve">made the </w:t>
      </w:r>
      <w:hyperlink r:id="rId27" w:history="1">
        <w:r w:rsidR="004E7783" w:rsidRPr="001A547C">
          <w:rPr>
            <w:rStyle w:val="Hyperlink"/>
          </w:rPr>
          <w:t>re-allocation</w:t>
        </w:r>
        <w:r w:rsidRPr="001A547C">
          <w:rPr>
            <w:rStyle w:val="Hyperlink"/>
          </w:rPr>
          <w:t xml:space="preserve"> declaration</w:t>
        </w:r>
      </w:hyperlink>
      <w:r>
        <w:t xml:space="preserve"> for metropolitan and certain regional areas on 18 October 2019. The </w:t>
      </w:r>
      <w:r w:rsidR="004E7783">
        <w:t>re-allocation</w:t>
      </w:r>
      <w:r>
        <w:t xml:space="preserve"> declaration provides that the 26</w:t>
      </w:r>
      <w:r w:rsidR="00967BC1">
        <w:t> </w:t>
      </w:r>
      <w:r>
        <w:t>GHz band is to be allocated by</w:t>
      </w:r>
      <w:r w:rsidR="0073059C">
        <w:t xml:space="preserve"> </w:t>
      </w:r>
      <w:r w:rsidR="000D4A3F">
        <w:t>issuing</w:t>
      </w:r>
      <w:r>
        <w:t xml:space="preserve"> spectrum licences. </w:t>
      </w:r>
      <w:r w:rsidR="009A258F">
        <w:t>We are</w:t>
      </w:r>
      <w:r>
        <w:t xml:space="preserve"> preparing to allocate this spectrum by auction. The terms of the </w:t>
      </w:r>
      <w:r w:rsidR="004E7783">
        <w:t>re-allocation</w:t>
      </w:r>
      <w:r>
        <w:t xml:space="preserve"> </w:t>
      </w:r>
      <w:r w:rsidR="00724180">
        <w:t xml:space="preserve">declaration </w:t>
      </w:r>
      <w:r>
        <w:t xml:space="preserve">are </w:t>
      </w:r>
      <w:r w:rsidRPr="003F4C98">
        <w:t>summarised</w:t>
      </w:r>
      <w:r>
        <w:t xml:space="preserve"> in </w:t>
      </w:r>
      <w:r w:rsidRPr="00B74D9E">
        <w:t>Table 1.</w:t>
      </w:r>
    </w:p>
    <w:p w14:paraId="368DFB87" w14:textId="007720B0" w:rsidR="00AE1C81" w:rsidRPr="0000598B" w:rsidRDefault="00E95CBE" w:rsidP="003F4C98">
      <w:pPr>
        <w:pStyle w:val="ACMATableHeader"/>
        <w:numPr>
          <w:ilvl w:val="0"/>
          <w:numId w:val="21"/>
        </w:numPr>
      </w:pPr>
      <w:r w:rsidRPr="003F4C98">
        <w:t xml:space="preserve">Summary of 26 GHz </w:t>
      </w:r>
      <w:r w:rsidR="00724180" w:rsidRPr="0000598B">
        <w:t xml:space="preserve">band </w:t>
      </w:r>
      <w:r w:rsidR="004E7783" w:rsidRPr="0000598B">
        <w:t>re-allocation</w:t>
      </w:r>
      <w:r w:rsidRPr="0000598B">
        <w:t xml:space="preserve"> declaration</w:t>
      </w:r>
    </w:p>
    <w:tbl>
      <w:tblPr>
        <w:tblW w:w="77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Caption w:val="Terms of the draft recommendation"/>
        <w:tblDescription w:val="The table outlines the terms of the ACMA's draft recommendation. The ACMA proposes to recommend spectrum licensing frequency ranges 3575 to 3700 megahertz in metropolitan and regional Australia. The proposed recommendation for the reallocation period would be two years in two years for the Adelaide, Brisbane, Canberra, Melbourne and Sydney metropolitan areas (Area A); five years for the Perth metropolitan area; (Area B) and seven years for the regional area (Area C). The proposed recommendation for the reallocation deadline would be 12 months before the end of the reallocation period for Area A."/>
      </w:tblPr>
      <w:tblGrid>
        <w:gridCol w:w="2830"/>
        <w:gridCol w:w="4962"/>
      </w:tblGrid>
      <w:tr w:rsidR="00AE1C81" w:rsidRPr="00F160B6" w14:paraId="75D3EB2C" w14:textId="77777777" w:rsidTr="0063741B">
        <w:trPr>
          <w:trHeight w:val="344"/>
          <w:tblHeader/>
        </w:trPr>
        <w:tc>
          <w:tcPr>
            <w:tcW w:w="2830" w:type="dxa"/>
            <w:shd w:val="clear" w:color="auto" w:fill="404040" w:themeFill="text1" w:themeFillTint="BF"/>
            <w:vAlign w:val="center"/>
          </w:tcPr>
          <w:p w14:paraId="4174FBE3" w14:textId="2BA6DE78" w:rsidR="00AE1C81" w:rsidRPr="006468A3" w:rsidRDefault="00AE1C81" w:rsidP="000F74F2">
            <w:pPr>
              <w:keepNext/>
              <w:keepLines/>
              <w:spacing w:after="0" w:line="276" w:lineRule="auto"/>
              <w:rPr>
                <w:rFonts w:cs="Arial"/>
                <w:b/>
                <w:color w:val="FFFFFF" w:themeColor="background1"/>
              </w:rPr>
            </w:pPr>
            <w:r w:rsidRPr="006468A3">
              <w:rPr>
                <w:rFonts w:cs="Arial"/>
                <w:b/>
                <w:color w:val="FFFFFF" w:themeColor="background1"/>
              </w:rPr>
              <w:t>Element</w:t>
            </w:r>
            <w:r>
              <w:rPr>
                <w:rFonts w:cs="Arial"/>
                <w:b/>
                <w:color w:val="FFFFFF" w:themeColor="background1"/>
              </w:rPr>
              <w:t>s</w:t>
            </w:r>
            <w:r w:rsidRPr="006468A3">
              <w:rPr>
                <w:rFonts w:cs="Arial"/>
                <w:b/>
                <w:color w:val="FFFFFF" w:themeColor="background1"/>
              </w:rPr>
              <w:t xml:space="preserve"> of </w:t>
            </w:r>
            <w:r>
              <w:rPr>
                <w:rFonts w:cs="Arial"/>
                <w:b/>
                <w:color w:val="FFFFFF" w:themeColor="background1"/>
              </w:rPr>
              <w:t>re</w:t>
            </w:r>
            <w:r w:rsidR="004E7783">
              <w:rPr>
                <w:rFonts w:cs="Arial"/>
                <w:b/>
                <w:color w:val="FFFFFF" w:themeColor="background1"/>
              </w:rPr>
              <w:t>-</w:t>
            </w:r>
            <w:r>
              <w:rPr>
                <w:rFonts w:cs="Arial"/>
                <w:b/>
                <w:color w:val="FFFFFF" w:themeColor="background1"/>
              </w:rPr>
              <w:t>allocation declaration</w:t>
            </w:r>
          </w:p>
        </w:tc>
        <w:tc>
          <w:tcPr>
            <w:tcW w:w="4962" w:type="dxa"/>
            <w:shd w:val="clear" w:color="auto" w:fill="404040" w:themeFill="text1" w:themeFillTint="BF"/>
            <w:vAlign w:val="center"/>
          </w:tcPr>
          <w:p w14:paraId="3FF003F0" w14:textId="77777777" w:rsidR="00AE1C81" w:rsidRPr="006468A3" w:rsidRDefault="00AE1C81" w:rsidP="000F74F2">
            <w:pPr>
              <w:keepNext/>
              <w:keepLines/>
              <w:spacing w:after="0" w:line="276" w:lineRule="auto"/>
              <w:rPr>
                <w:rFonts w:cs="Arial"/>
                <w:b/>
                <w:color w:val="FFFFFF" w:themeColor="background1"/>
              </w:rPr>
            </w:pPr>
            <w:r>
              <w:rPr>
                <w:rFonts w:cs="Arial"/>
                <w:b/>
                <w:color w:val="FFFFFF" w:themeColor="background1"/>
              </w:rPr>
              <w:t>Description</w:t>
            </w:r>
          </w:p>
        </w:tc>
      </w:tr>
      <w:tr w:rsidR="00AE1C81" w:rsidRPr="00F160B6" w14:paraId="4CE06441" w14:textId="77777777" w:rsidTr="0063741B">
        <w:trPr>
          <w:trHeight w:val="277"/>
        </w:trPr>
        <w:tc>
          <w:tcPr>
            <w:tcW w:w="2830" w:type="dxa"/>
          </w:tcPr>
          <w:p w14:paraId="5DF1E0C8" w14:textId="77777777" w:rsidR="00AE1C81" w:rsidRPr="006468A3" w:rsidRDefault="00AE1C81" w:rsidP="000F74F2">
            <w:pPr>
              <w:keepNext/>
              <w:keepLines/>
              <w:spacing w:before="40" w:after="40" w:line="276" w:lineRule="auto"/>
              <w:rPr>
                <w:rFonts w:cs="Arial"/>
                <w:b/>
              </w:rPr>
            </w:pPr>
            <w:r w:rsidRPr="006468A3">
              <w:rPr>
                <w:rFonts w:cs="Arial"/>
                <w:b/>
              </w:rPr>
              <w:t>Licence type</w:t>
            </w:r>
          </w:p>
        </w:tc>
        <w:tc>
          <w:tcPr>
            <w:tcW w:w="4962" w:type="dxa"/>
          </w:tcPr>
          <w:p w14:paraId="234944C8" w14:textId="77777777" w:rsidR="00AE1C81" w:rsidRPr="00F160B6" w:rsidRDefault="00AE1C81" w:rsidP="000F74F2">
            <w:pPr>
              <w:keepNext/>
              <w:keepLines/>
              <w:spacing w:before="40" w:after="40" w:line="276" w:lineRule="auto"/>
              <w:rPr>
                <w:rFonts w:cs="Arial"/>
                <w:highlight w:val="yellow"/>
              </w:rPr>
            </w:pPr>
            <w:r w:rsidRPr="006468A3">
              <w:rPr>
                <w:rFonts w:cs="Arial"/>
              </w:rPr>
              <w:t>Spectrum licences</w:t>
            </w:r>
          </w:p>
        </w:tc>
      </w:tr>
      <w:tr w:rsidR="00AE1C81" w:rsidRPr="00F160B6" w14:paraId="2B14E76B" w14:textId="77777777" w:rsidTr="0063741B">
        <w:tc>
          <w:tcPr>
            <w:tcW w:w="2830" w:type="dxa"/>
            <w:shd w:val="clear" w:color="auto" w:fill="F2F2F2" w:themeFill="background1" w:themeFillShade="F2"/>
          </w:tcPr>
          <w:p w14:paraId="5772E2E9" w14:textId="77777777" w:rsidR="00AE1C81" w:rsidRPr="006468A3" w:rsidRDefault="00AE1C81" w:rsidP="000F74F2">
            <w:pPr>
              <w:keepNext/>
              <w:keepLines/>
              <w:spacing w:before="40" w:after="40" w:line="276" w:lineRule="auto"/>
              <w:rPr>
                <w:rFonts w:cs="Arial"/>
                <w:b/>
              </w:rPr>
            </w:pPr>
            <w:r w:rsidRPr="006468A3">
              <w:rPr>
                <w:rFonts w:cs="Arial"/>
                <w:b/>
              </w:rPr>
              <w:t>Parts of the spectrum</w:t>
            </w:r>
          </w:p>
        </w:tc>
        <w:tc>
          <w:tcPr>
            <w:tcW w:w="4962" w:type="dxa"/>
            <w:shd w:val="clear" w:color="auto" w:fill="F2F2F2" w:themeFill="background1" w:themeFillShade="F2"/>
          </w:tcPr>
          <w:p w14:paraId="6D77E18E" w14:textId="24AA906B" w:rsidR="00AE1C81" w:rsidRPr="00F160B6" w:rsidRDefault="00E95CBE" w:rsidP="000F74F2">
            <w:pPr>
              <w:keepNext/>
              <w:keepLines/>
              <w:spacing w:before="40" w:after="40" w:line="276" w:lineRule="auto"/>
              <w:rPr>
                <w:rFonts w:cs="Arial"/>
                <w:highlight w:val="yellow"/>
              </w:rPr>
            </w:pPr>
            <w:r>
              <w:rPr>
                <w:rFonts w:cs="Arial"/>
              </w:rPr>
              <w:t>25.1–27.5</w:t>
            </w:r>
            <w:r w:rsidR="00AE1C81" w:rsidRPr="006468A3">
              <w:rPr>
                <w:rFonts w:cs="Arial"/>
              </w:rPr>
              <w:t xml:space="preserve"> </w:t>
            </w:r>
            <w:r>
              <w:rPr>
                <w:rFonts w:cs="Arial"/>
              </w:rPr>
              <w:t>G</w:t>
            </w:r>
            <w:r w:rsidR="00AE1C81" w:rsidRPr="006468A3">
              <w:rPr>
                <w:rFonts w:cs="Arial"/>
              </w:rPr>
              <w:t xml:space="preserve">Hz in metropolitan and regional </w:t>
            </w:r>
            <w:r>
              <w:rPr>
                <w:rFonts w:cs="Arial"/>
              </w:rPr>
              <w:t>areas of Australia</w:t>
            </w:r>
          </w:p>
        </w:tc>
      </w:tr>
      <w:tr w:rsidR="00AE1C81" w:rsidRPr="00F160B6" w14:paraId="64AC200E" w14:textId="77777777" w:rsidTr="0063741B">
        <w:tc>
          <w:tcPr>
            <w:tcW w:w="2830" w:type="dxa"/>
          </w:tcPr>
          <w:p w14:paraId="5BFEBDD3" w14:textId="7C6CD3F8" w:rsidR="00AE1C81" w:rsidRPr="008E3AFE" w:rsidRDefault="004E7783" w:rsidP="000F74F2">
            <w:pPr>
              <w:keepNext/>
              <w:keepLines/>
              <w:spacing w:before="40" w:after="40" w:line="276" w:lineRule="auto"/>
              <w:rPr>
                <w:rFonts w:cs="Arial"/>
                <w:b/>
              </w:rPr>
            </w:pPr>
            <w:r>
              <w:rPr>
                <w:rFonts w:cs="Arial"/>
                <w:b/>
              </w:rPr>
              <w:t>Re-allocation</w:t>
            </w:r>
            <w:r w:rsidR="00AE1C81" w:rsidRPr="008E3AFE">
              <w:rPr>
                <w:rFonts w:cs="Arial"/>
                <w:b/>
              </w:rPr>
              <w:t xml:space="preserve"> period</w:t>
            </w:r>
          </w:p>
        </w:tc>
        <w:tc>
          <w:tcPr>
            <w:tcW w:w="4962" w:type="dxa"/>
          </w:tcPr>
          <w:p w14:paraId="0CAD052C" w14:textId="2DC49285" w:rsidR="00AE1C81" w:rsidRPr="00420EA5" w:rsidRDefault="00AE1C81" w:rsidP="00E95CBE">
            <w:pPr>
              <w:pStyle w:val="ListBullet"/>
              <w:numPr>
                <w:ilvl w:val="0"/>
                <w:numId w:val="0"/>
              </w:numPr>
              <w:ind w:left="295" w:hanging="295"/>
            </w:pPr>
            <w:r w:rsidRPr="00E95CBE">
              <w:rPr>
                <w:bCs/>
              </w:rPr>
              <w:t>T</w:t>
            </w:r>
            <w:r w:rsidR="00E95CBE">
              <w:rPr>
                <w:bCs/>
              </w:rPr>
              <w:t>hree</w:t>
            </w:r>
            <w:r w:rsidRPr="00E95CBE">
              <w:rPr>
                <w:bCs/>
              </w:rPr>
              <w:t xml:space="preserve"> years commencing </w:t>
            </w:r>
            <w:r w:rsidR="00E95CBE">
              <w:rPr>
                <w:bCs/>
              </w:rPr>
              <w:t>15 November 2019</w:t>
            </w:r>
            <w:r w:rsidRPr="008E3AFE">
              <w:t xml:space="preserve"> </w:t>
            </w:r>
          </w:p>
        </w:tc>
      </w:tr>
      <w:tr w:rsidR="00AE1C81" w:rsidRPr="00F160B6" w14:paraId="5F5703A3" w14:textId="77777777" w:rsidTr="0063741B">
        <w:tc>
          <w:tcPr>
            <w:tcW w:w="2830" w:type="dxa"/>
            <w:shd w:val="clear" w:color="auto" w:fill="F2F2F2" w:themeFill="background1" w:themeFillShade="F2"/>
          </w:tcPr>
          <w:p w14:paraId="3A56A655" w14:textId="7B24B57B" w:rsidR="00AE1C81" w:rsidRPr="006468A3" w:rsidRDefault="004E7783" w:rsidP="000F74F2">
            <w:pPr>
              <w:keepNext/>
              <w:keepLines/>
              <w:spacing w:before="40" w:after="40" w:line="276" w:lineRule="auto"/>
              <w:rPr>
                <w:rFonts w:cs="Arial"/>
                <w:b/>
              </w:rPr>
            </w:pPr>
            <w:r>
              <w:rPr>
                <w:rFonts w:cs="Arial"/>
                <w:b/>
              </w:rPr>
              <w:t>Re-allocation</w:t>
            </w:r>
            <w:r w:rsidR="00AE1C81" w:rsidRPr="006468A3">
              <w:rPr>
                <w:rFonts w:cs="Arial"/>
                <w:b/>
              </w:rPr>
              <w:t xml:space="preserve"> deadline</w:t>
            </w:r>
          </w:p>
        </w:tc>
        <w:tc>
          <w:tcPr>
            <w:tcW w:w="4962" w:type="dxa"/>
            <w:shd w:val="clear" w:color="auto" w:fill="F2F2F2" w:themeFill="background1" w:themeFillShade="F2"/>
          </w:tcPr>
          <w:p w14:paraId="2937DE47" w14:textId="6F37EF89" w:rsidR="00AE1C81" w:rsidRPr="00F160B6" w:rsidRDefault="00E95CBE" w:rsidP="000F74F2">
            <w:pPr>
              <w:keepNext/>
              <w:keepLines/>
              <w:spacing w:before="40" w:after="40" w:line="276" w:lineRule="auto"/>
              <w:rPr>
                <w:rFonts w:cs="Arial"/>
                <w:highlight w:val="yellow"/>
              </w:rPr>
            </w:pPr>
            <w:r>
              <w:rPr>
                <w:rFonts w:cs="Arial"/>
              </w:rPr>
              <w:t>14 November 2021</w:t>
            </w:r>
          </w:p>
        </w:tc>
      </w:tr>
    </w:tbl>
    <w:p w14:paraId="28E3D66C" w14:textId="7CEF6746" w:rsidR="00AE1C81" w:rsidRDefault="00AE1C81" w:rsidP="00AE1C81">
      <w:pPr>
        <w:pStyle w:val="Paragraph"/>
      </w:pPr>
    </w:p>
    <w:p w14:paraId="660F24E4" w14:textId="2821F80A" w:rsidR="00E95CBE" w:rsidRDefault="00E95CBE" w:rsidP="003F4C98">
      <w:pPr>
        <w:pStyle w:val="Paragraph"/>
      </w:pPr>
      <w:r>
        <w:t xml:space="preserve">Spectrum licences issued under section 62 of the </w:t>
      </w:r>
      <w:r w:rsidR="00CD7925" w:rsidRPr="00B74D9E">
        <w:rPr>
          <w:i/>
        </w:rPr>
        <w:t>Radiocommunications Act 1992</w:t>
      </w:r>
      <w:r w:rsidR="00CD7925" w:rsidRPr="00B74D9E">
        <w:t xml:space="preserve"> (the Act)</w:t>
      </w:r>
      <w:r>
        <w:t xml:space="preserve"> authorise successful bidders to use </w:t>
      </w:r>
      <w:r w:rsidR="00086D26">
        <w:t xml:space="preserve">the </w:t>
      </w:r>
      <w:r>
        <w:t xml:space="preserve">spectrum won at auction, subject to payment of spectrum access charges. Spectrum licences authorise the licensee to operate radiocommunications devices for a fixed period, within a </w:t>
      </w:r>
      <w:proofErr w:type="gramStart"/>
      <w:r>
        <w:t>particular frequency</w:t>
      </w:r>
      <w:proofErr w:type="gramEnd"/>
      <w:r>
        <w:t xml:space="preserve"> range</w:t>
      </w:r>
      <w:r w:rsidR="00A4041B">
        <w:t xml:space="preserve"> and </w:t>
      </w:r>
      <w:r>
        <w:t>geographic area. Spectrum licensing offers a technology-flexible approach to managing the radiofrequency spectrum. Spectrum licensees must comply with a set of licence conditions, including requirements to comply with a technical framework</w:t>
      </w:r>
      <w:r w:rsidR="004F5F28">
        <w:t>.</w:t>
      </w:r>
    </w:p>
    <w:p w14:paraId="3B150FAA" w14:textId="77298A1B" w:rsidR="004F5F28" w:rsidRDefault="004F5F28" w:rsidP="004F5F28">
      <w:pPr>
        <w:pStyle w:val="Heading2"/>
      </w:pPr>
      <w:bookmarkStart w:id="2" w:name="_Toc45112199"/>
      <w:r>
        <w:t>Legislative context</w:t>
      </w:r>
      <w:r w:rsidR="00837976">
        <w:t xml:space="preserve"> and policy environment</w:t>
      </w:r>
      <w:bookmarkEnd w:id="2"/>
    </w:p>
    <w:p w14:paraId="7ABF3896" w14:textId="2D803574" w:rsidR="004F5F28" w:rsidRDefault="00FD1CF8" w:rsidP="00D75155">
      <w:pPr>
        <w:pStyle w:val="Paragraph"/>
      </w:pPr>
      <w:r>
        <w:t>We are</w:t>
      </w:r>
      <w:r w:rsidR="004F5F28" w:rsidRPr="005A1431">
        <w:t xml:space="preserve"> guided in </w:t>
      </w:r>
      <w:r>
        <w:t>our</w:t>
      </w:r>
      <w:r w:rsidRPr="005A1431">
        <w:t xml:space="preserve"> </w:t>
      </w:r>
      <w:r w:rsidR="004F5F28" w:rsidRPr="005A1431">
        <w:t xml:space="preserve">spectrum management functions by </w:t>
      </w:r>
      <w:hyperlink r:id="rId28" w:history="1">
        <w:r w:rsidR="00CF4223">
          <w:rPr>
            <w:rStyle w:val="Hyperlink"/>
          </w:rPr>
          <w:t>the object of the Act</w:t>
        </w:r>
      </w:hyperlink>
      <w:r w:rsidR="004F5F28">
        <w:t>, set out in</w:t>
      </w:r>
      <w:r w:rsidR="004F5F28" w:rsidRPr="005A1431">
        <w:t xml:space="preserve"> </w:t>
      </w:r>
      <w:r w:rsidR="004F5F28" w:rsidRPr="00F92CD2">
        <w:t>section 3</w:t>
      </w:r>
      <w:r w:rsidR="007F26CD">
        <w:t xml:space="preserve"> of the Act</w:t>
      </w:r>
      <w:r w:rsidR="004F5F28" w:rsidRPr="005A1431">
        <w:t xml:space="preserve">. </w:t>
      </w:r>
      <w:r w:rsidR="00B105F7">
        <w:t>A</w:t>
      </w:r>
      <w:r w:rsidR="004514FA">
        <w:t xml:space="preserve"> balanced application of regulatory and market mechanisms is necessary to achieve</w:t>
      </w:r>
      <w:r w:rsidR="00B105F7" w:rsidRPr="00880169">
        <w:t xml:space="preserve"> </w:t>
      </w:r>
      <w:r w:rsidR="004F5F28" w:rsidRPr="00880169">
        <w:t xml:space="preserve">key </w:t>
      </w:r>
      <w:r w:rsidR="00734198">
        <w:t>element</w:t>
      </w:r>
      <w:r w:rsidR="003D6BBF">
        <w:t>s</w:t>
      </w:r>
      <w:r w:rsidR="00734198">
        <w:t xml:space="preserve"> of the object of the Act</w:t>
      </w:r>
      <w:r w:rsidR="00CD7925">
        <w:t>—</w:t>
      </w:r>
      <w:r w:rsidR="004514FA">
        <w:t>in pa</w:t>
      </w:r>
      <w:r w:rsidR="00721D15">
        <w:t>r</w:t>
      </w:r>
      <w:r w:rsidR="004514FA">
        <w:t>ticular</w:t>
      </w:r>
      <w:r w:rsidR="00CD7925">
        <w:t>,</w:t>
      </w:r>
      <w:r w:rsidR="004F5F28" w:rsidRPr="00880169">
        <w:t xml:space="preserve"> maximising the overall public benefit from</w:t>
      </w:r>
      <w:r w:rsidR="00734198">
        <w:t xml:space="preserve"> the efficient allocation and</w:t>
      </w:r>
      <w:r w:rsidR="004F5F28" w:rsidRPr="00880169">
        <w:t xml:space="preserve"> use of the radiofrequency spectrum</w:t>
      </w:r>
      <w:r w:rsidR="00734198">
        <w:t xml:space="preserve"> and meeting the government’s policy</w:t>
      </w:r>
      <w:r w:rsidR="004514FA">
        <w:t xml:space="preserve"> objectives</w:t>
      </w:r>
      <w:r w:rsidR="004F5F28">
        <w:t>.</w:t>
      </w:r>
      <w:r w:rsidR="004F5F28" w:rsidRPr="00853887">
        <w:t xml:space="preserve"> </w:t>
      </w:r>
      <w:r w:rsidR="004F5F28" w:rsidRPr="005A1431">
        <w:t xml:space="preserve">The </w:t>
      </w:r>
      <w:r w:rsidR="004F5F28">
        <w:t>draft allocation instruments are</w:t>
      </w:r>
      <w:r w:rsidR="004F5F28" w:rsidRPr="005A1431">
        <w:t xml:space="preserve"> informed by</w:t>
      </w:r>
      <w:r w:rsidR="004F5F28">
        <w:t>,</w:t>
      </w:r>
      <w:r w:rsidR="004F5F28" w:rsidRPr="005A1431">
        <w:t xml:space="preserve"> and consistent with</w:t>
      </w:r>
      <w:r w:rsidR="004F5F28">
        <w:t>,</w:t>
      </w:r>
      <w:r w:rsidR="004F5F28" w:rsidRPr="005A1431">
        <w:t xml:space="preserve"> the object</w:t>
      </w:r>
      <w:r w:rsidR="004F5F28">
        <w:t xml:space="preserve"> of the Act</w:t>
      </w:r>
      <w:r w:rsidR="008C447B">
        <w:t>.</w:t>
      </w:r>
    </w:p>
    <w:p w14:paraId="041033F5" w14:textId="1628B260" w:rsidR="004F5F28" w:rsidRDefault="004F5F28" w:rsidP="004F5F28">
      <w:pPr>
        <w:pStyle w:val="Heading3"/>
      </w:pPr>
      <w:r>
        <w:t>Object of the Act</w:t>
      </w:r>
    </w:p>
    <w:p w14:paraId="008AA843" w14:textId="59297250" w:rsidR="004F5F28" w:rsidRDefault="0030585D">
      <w:pPr>
        <w:pStyle w:val="Paragraphbeforelist"/>
      </w:pPr>
      <w:r>
        <w:t>Under the Act</w:t>
      </w:r>
      <w:r w:rsidR="00D900D4">
        <w:t>,</w:t>
      </w:r>
      <w:r>
        <w:t xml:space="preserve"> m</w:t>
      </w:r>
      <w:r w:rsidR="00CD7925">
        <w:t xml:space="preserve">anagement of the radiofrequency spectrum seeks to </w:t>
      </w:r>
      <w:r w:rsidR="004F5F28">
        <w:t>:</w:t>
      </w:r>
    </w:p>
    <w:p w14:paraId="6265C716" w14:textId="4AB67AB6" w:rsidR="004F5F28" w:rsidRPr="00936D62" w:rsidRDefault="004F5F28" w:rsidP="004F5F28">
      <w:pPr>
        <w:pStyle w:val="ListBullet"/>
      </w:pPr>
      <w:r w:rsidRPr="00936D62">
        <w:t>Maximis</w:t>
      </w:r>
      <w:r w:rsidR="0030585D">
        <w:t>e</w:t>
      </w:r>
      <w:r w:rsidRPr="00936D62">
        <w:t>, by ensuring the efficient allocation and use of the spectrum, the overall public benefit derived from using the radiofrequency spectrum.</w:t>
      </w:r>
    </w:p>
    <w:p w14:paraId="75939266" w14:textId="558E7AA6" w:rsidR="004F5F28" w:rsidRPr="00936D62" w:rsidRDefault="004F5F28" w:rsidP="004F5F28">
      <w:pPr>
        <w:pStyle w:val="ListBullet"/>
      </w:pPr>
      <w:r w:rsidRPr="00936D62">
        <w:t>Provid</w:t>
      </w:r>
      <w:r w:rsidR="0030585D">
        <w:t>e</w:t>
      </w:r>
      <w:r w:rsidRPr="00936D62">
        <w:t xml:space="preserve"> a responsive and flexible approach to meeting the needs of users of the spectrum.</w:t>
      </w:r>
    </w:p>
    <w:p w14:paraId="39643E94" w14:textId="560406AC" w:rsidR="004F5F28" w:rsidRPr="00936D62" w:rsidRDefault="004F5F28" w:rsidP="004F5F28">
      <w:pPr>
        <w:pStyle w:val="ListBullet"/>
      </w:pPr>
      <w:r w:rsidRPr="00936D62">
        <w:t>Provid</w:t>
      </w:r>
      <w:r w:rsidR="0030585D">
        <w:t>e</w:t>
      </w:r>
      <w:r w:rsidRPr="00936D62">
        <w:t xml:space="preserve"> an efficient, equitable and transparent system of charging for use of the spectrum, taking account of the value of both commercial and non-commercial use of spectrum.</w:t>
      </w:r>
    </w:p>
    <w:p w14:paraId="55C1806B" w14:textId="7380E28D" w:rsidR="004F5F28" w:rsidRPr="00936D62" w:rsidRDefault="004F5F28" w:rsidP="004F5F28">
      <w:pPr>
        <w:pStyle w:val="ListBulletLast"/>
      </w:pPr>
      <w:r w:rsidRPr="00936D62">
        <w:t>Support the communications policy objectives of the Commonwealth Government.</w:t>
      </w:r>
    </w:p>
    <w:p w14:paraId="25C5BC9B" w14:textId="270F66EA" w:rsidR="000B5A70" w:rsidRDefault="000B5A70" w:rsidP="000B5A70">
      <w:pPr>
        <w:pStyle w:val="Heading3"/>
      </w:pPr>
      <w:r>
        <w:t>Communications policy objectives for the allocation of the 26 GHz band</w:t>
      </w:r>
    </w:p>
    <w:p w14:paraId="14EBDA81" w14:textId="3C1C076F" w:rsidR="000B5A70" w:rsidRDefault="00A519FD" w:rsidP="00371A4B">
      <w:pPr>
        <w:pStyle w:val="Paragraphbeforelist"/>
      </w:pPr>
      <w:r>
        <w:t>As noted, t</w:t>
      </w:r>
      <w:r w:rsidR="00954ACB">
        <w:t xml:space="preserve">he object of the Act includes </w:t>
      </w:r>
      <w:r w:rsidR="00954ACB" w:rsidRPr="00954ACB">
        <w:t>support</w:t>
      </w:r>
      <w:r w:rsidR="00954ACB">
        <w:t>ing</w:t>
      </w:r>
      <w:r w:rsidR="00954ACB" w:rsidRPr="00954ACB">
        <w:t xml:space="preserve"> the communications policy objectives of the </w:t>
      </w:r>
      <w:r w:rsidR="00CE2B0A">
        <w:t>Australian</w:t>
      </w:r>
      <w:r w:rsidR="00954ACB" w:rsidRPr="00954ACB">
        <w:t xml:space="preserve"> Government</w:t>
      </w:r>
      <w:r w:rsidR="000B5A70">
        <w:t>:</w:t>
      </w:r>
    </w:p>
    <w:p w14:paraId="211C6A9D" w14:textId="4C04FFE7" w:rsidR="000B5A70" w:rsidRDefault="00CF4223" w:rsidP="000B5A70">
      <w:pPr>
        <w:pStyle w:val="ListBullet"/>
      </w:pPr>
      <w:r>
        <w:t>s</w:t>
      </w:r>
      <w:r w:rsidR="000B5A70">
        <w:t xml:space="preserve">upporting the deployment of </w:t>
      </w:r>
      <w:r w:rsidR="004E7783">
        <w:t>fifth generation (</w:t>
      </w:r>
      <w:r w:rsidR="000B5A70">
        <w:t>5G</w:t>
      </w:r>
      <w:r w:rsidR="004E7783">
        <w:t>)</w:t>
      </w:r>
      <w:r w:rsidR="000B5A70">
        <w:t xml:space="preserve"> technologies</w:t>
      </w:r>
    </w:p>
    <w:p w14:paraId="489E6971" w14:textId="3565AD5A" w:rsidR="000B5A70" w:rsidRDefault="00CF4223" w:rsidP="000B5A70">
      <w:pPr>
        <w:pStyle w:val="ListBullet"/>
      </w:pPr>
      <w:r>
        <w:t>p</w:t>
      </w:r>
      <w:r w:rsidR="000B5A70">
        <w:t xml:space="preserve">romoting competitive market outcomes for the </w:t>
      </w:r>
      <w:r w:rsidR="00FD1CF8">
        <w:t>long-term</w:t>
      </w:r>
      <w:r w:rsidR="000B5A70">
        <w:t xml:space="preserve"> benefit of consumers</w:t>
      </w:r>
    </w:p>
    <w:p w14:paraId="7B0D5F35" w14:textId="18B825A6" w:rsidR="000B5A70" w:rsidRDefault="00CF4223" w:rsidP="000B5A70">
      <w:pPr>
        <w:pStyle w:val="ListBullet"/>
      </w:pPr>
      <w:r>
        <w:t>p</w:t>
      </w:r>
      <w:r w:rsidR="000B5A70">
        <w:t>romoting the efficient allocation and use of spectrum</w:t>
      </w:r>
    </w:p>
    <w:p w14:paraId="137DA4E7" w14:textId="6B88FD83" w:rsidR="000B5A70" w:rsidRDefault="00CF4223" w:rsidP="000B5A70">
      <w:pPr>
        <w:pStyle w:val="ListBullet"/>
      </w:pPr>
      <w:r>
        <w:t>p</w:t>
      </w:r>
      <w:r w:rsidR="000B5A70">
        <w:t>romoting co-existence with existing services</w:t>
      </w:r>
    </w:p>
    <w:p w14:paraId="1D2E7EDD" w14:textId="01726AE0" w:rsidR="000B5A70" w:rsidRDefault="00CF4223" w:rsidP="000B5A70">
      <w:pPr>
        <w:pStyle w:val="ListBullet"/>
      </w:pPr>
      <w:r>
        <w:t>s</w:t>
      </w:r>
      <w:r w:rsidR="000B5A70">
        <w:t>upporting technological innovation and a range of wireless broadband use cases</w:t>
      </w:r>
    </w:p>
    <w:p w14:paraId="3302D891" w14:textId="1D7AD697" w:rsidR="000B5A70" w:rsidRPr="000B5A70" w:rsidRDefault="00CF4223" w:rsidP="00371A4B">
      <w:pPr>
        <w:pStyle w:val="ListBulletLast"/>
      </w:pPr>
      <w:r>
        <w:t>e</w:t>
      </w:r>
      <w:r w:rsidR="000B5A70">
        <w:t>ncouraging investment in infrastructure, including in regional Australia</w:t>
      </w:r>
      <w:r>
        <w:t>.</w:t>
      </w:r>
    </w:p>
    <w:p w14:paraId="045F1F90" w14:textId="75C597A8" w:rsidR="004F5F28" w:rsidRDefault="0017444B" w:rsidP="00371A4B">
      <w:pPr>
        <w:pStyle w:val="Paragraph"/>
      </w:pPr>
      <w:r>
        <w:t>Further detail for t</w:t>
      </w:r>
      <w:r w:rsidR="000B5A70">
        <w:t>hese objectives are available on the Department</w:t>
      </w:r>
      <w:r w:rsidR="001A547C">
        <w:t>’</w:t>
      </w:r>
      <w:bookmarkStart w:id="3" w:name="_Hlk38889384"/>
      <w:r w:rsidR="002857F7">
        <w:t xml:space="preserve">s </w:t>
      </w:r>
      <w:bookmarkEnd w:id="3"/>
      <w:r w:rsidR="001A547C">
        <w:fldChar w:fldCharType="begin"/>
      </w:r>
      <w:r w:rsidR="001A547C">
        <w:instrText xml:space="preserve"> HYPERLINK "https://www.communications.gov.au/documents/communications-policy-objectives-allocation-26-ghz-band" </w:instrText>
      </w:r>
      <w:r w:rsidR="001A547C">
        <w:fldChar w:fldCharType="separate"/>
      </w:r>
      <w:r w:rsidRPr="00AF3505">
        <w:rPr>
          <w:rStyle w:val="Hyperlink"/>
        </w:rPr>
        <w:t>website</w:t>
      </w:r>
      <w:r w:rsidR="001A547C">
        <w:rPr>
          <w:rStyle w:val="Hyperlink"/>
        </w:rPr>
        <w:fldChar w:fldCharType="end"/>
      </w:r>
      <w:r w:rsidR="00710F5B">
        <w:t>.</w:t>
      </w:r>
    </w:p>
    <w:p w14:paraId="32B78562" w14:textId="01EA0D96" w:rsidR="00954ACB" w:rsidRDefault="00954ACB" w:rsidP="00371A4B">
      <w:pPr>
        <w:pStyle w:val="Paragraph"/>
      </w:pPr>
      <w:r>
        <w:t xml:space="preserve">The ACMA seeks to further these objectives in the development of the allocation instruments, </w:t>
      </w:r>
      <w:r w:rsidRPr="000C7356">
        <w:t>particularly ensuring efficient allocation and use of spectrum.</w:t>
      </w:r>
      <w:r w:rsidR="00842E17">
        <w:t xml:space="preserve"> </w:t>
      </w:r>
    </w:p>
    <w:p w14:paraId="504A9B0C" w14:textId="470DC0E2" w:rsidR="004F5F28" w:rsidRPr="00A67371" w:rsidRDefault="004F5F28" w:rsidP="003F4C98">
      <w:pPr>
        <w:pStyle w:val="Heading3"/>
      </w:pPr>
      <w:bookmarkStart w:id="4" w:name="_Toc314998855"/>
      <w:bookmarkStart w:id="5" w:name="_Toc496527227"/>
      <w:bookmarkStart w:id="6" w:name="_Toc496527402"/>
      <w:bookmarkStart w:id="7" w:name="_Toc496616222"/>
      <w:bookmarkEnd w:id="4"/>
      <w:r w:rsidRPr="003F4C98">
        <w:t>Spectrum</w:t>
      </w:r>
      <w:r w:rsidRPr="00A67371">
        <w:t xml:space="preserve"> </w:t>
      </w:r>
      <w:r>
        <w:t>r</w:t>
      </w:r>
      <w:r w:rsidRPr="00A67371">
        <w:t>e</w:t>
      </w:r>
      <w:r>
        <w:t>form</w:t>
      </w:r>
      <w:bookmarkEnd w:id="5"/>
      <w:bookmarkEnd w:id="6"/>
      <w:bookmarkEnd w:id="7"/>
      <w:r w:rsidRPr="00A67371">
        <w:t xml:space="preserve"> </w:t>
      </w:r>
    </w:p>
    <w:p w14:paraId="723E4F6F" w14:textId="6BE96940" w:rsidR="0093483D" w:rsidRPr="0093483D" w:rsidRDefault="001A547C" w:rsidP="0093483D">
      <w:r>
        <w:t>T</w:t>
      </w:r>
      <w:r w:rsidR="0093483D" w:rsidRPr="00730C4E">
        <w:t xml:space="preserve">he Department </w:t>
      </w:r>
      <w:r w:rsidR="004E5669">
        <w:t>i</w:t>
      </w:r>
      <w:r>
        <w:t xml:space="preserve">s </w:t>
      </w:r>
      <w:r w:rsidR="001D0D6B" w:rsidRPr="001D0D6B">
        <w:rPr>
          <w:u w:color="0000FF"/>
        </w:rPr>
        <w:t>consulting</w:t>
      </w:r>
      <w:r>
        <w:t xml:space="preserve"> </w:t>
      </w:r>
      <w:r w:rsidR="0093483D" w:rsidRPr="00730C4E">
        <w:t xml:space="preserve">on </w:t>
      </w:r>
      <w:r w:rsidR="0093483D">
        <w:t xml:space="preserve">a </w:t>
      </w:r>
      <w:hyperlink r:id="rId29" w:history="1">
        <w:r w:rsidR="0093483D" w:rsidRPr="001D0D6B">
          <w:rPr>
            <w:rStyle w:val="Hyperlink"/>
          </w:rPr>
          <w:t>staged approach to reforms</w:t>
        </w:r>
      </w:hyperlink>
      <w:r w:rsidR="0093483D">
        <w:t xml:space="preserve"> to the Act. </w:t>
      </w:r>
      <w:r w:rsidR="0093483D" w:rsidRPr="0093483D">
        <w:t xml:space="preserve">An </w:t>
      </w:r>
      <w:r w:rsidR="00A519FD">
        <w:t>exposure draft</w:t>
      </w:r>
      <w:r w:rsidR="00A519FD" w:rsidRPr="0093483D">
        <w:t xml:space="preserve"> </w:t>
      </w:r>
      <w:r w:rsidR="0093483D" w:rsidRPr="0093483D">
        <w:t xml:space="preserve">amendment bill </w:t>
      </w:r>
      <w:r w:rsidR="001A4541">
        <w:t>proposes to</w:t>
      </w:r>
      <w:r w:rsidR="001A4541" w:rsidRPr="0093483D">
        <w:t xml:space="preserve"> </w:t>
      </w:r>
      <w:r w:rsidR="0093483D" w:rsidRPr="0093483D">
        <w:t xml:space="preserve">provide spectrum users with greater protection against interference </w:t>
      </w:r>
      <w:r w:rsidR="004027B4">
        <w:t>whil</w:t>
      </w:r>
      <w:r w:rsidR="001A4541">
        <w:t>e</w:t>
      </w:r>
      <w:r w:rsidR="004027B4">
        <w:t xml:space="preserve"> also</w:t>
      </w:r>
      <w:r w:rsidR="0093483D" w:rsidRPr="0093483D">
        <w:t xml:space="preserve"> improv</w:t>
      </w:r>
      <w:r w:rsidR="004027B4">
        <w:t>ing</w:t>
      </w:r>
      <w:r w:rsidR="0093483D" w:rsidRPr="0093483D">
        <w:t xml:space="preserve"> investment certainty.</w:t>
      </w:r>
      <w:r w:rsidR="0093483D">
        <w:t xml:space="preserve"> </w:t>
      </w:r>
      <w:r w:rsidR="0093483D" w:rsidRPr="0093483D">
        <w:t xml:space="preserve">The amendments </w:t>
      </w:r>
      <w:r w:rsidR="00916FFE">
        <w:t xml:space="preserve">propose to </w:t>
      </w:r>
      <w:r w:rsidR="0093483D" w:rsidRPr="0093483D">
        <w:t xml:space="preserve">remove unnecessary constraints in spectrum allocation and </w:t>
      </w:r>
      <w:r w:rsidR="004E7783">
        <w:t>re-allocation</w:t>
      </w:r>
      <w:r w:rsidR="0093483D" w:rsidRPr="0093483D">
        <w:t xml:space="preserve"> processes.</w:t>
      </w:r>
    </w:p>
    <w:p w14:paraId="4FBB53E6" w14:textId="05A1DA9C" w:rsidR="001F0441" w:rsidRPr="00730C4E" w:rsidRDefault="001A4541" w:rsidP="001A4541">
      <w:pPr>
        <w:pStyle w:val="Paragraph"/>
      </w:pPr>
      <w:r>
        <w:t xml:space="preserve">The </w:t>
      </w:r>
      <w:r w:rsidR="00441310">
        <w:t>duration</w:t>
      </w:r>
      <w:r w:rsidR="002511EC">
        <w:t xml:space="preserve"> of a </w:t>
      </w:r>
      <w:r>
        <w:t>s</w:t>
      </w:r>
      <w:r w:rsidR="0093483D" w:rsidRPr="0093483D">
        <w:t xml:space="preserve">pectrum licence </w:t>
      </w:r>
      <w:r w:rsidR="004529D9">
        <w:t>i</w:t>
      </w:r>
      <w:r w:rsidR="0093483D" w:rsidRPr="0093483D">
        <w:t xml:space="preserve">s </w:t>
      </w:r>
      <w:r w:rsidR="004529D9">
        <w:t>proposed to</w:t>
      </w:r>
      <w:r w:rsidR="004529D9" w:rsidRPr="0093483D">
        <w:t xml:space="preserve"> </w:t>
      </w:r>
      <w:r w:rsidR="0093483D" w:rsidRPr="0093483D">
        <w:t xml:space="preserve">be extended </w:t>
      </w:r>
      <w:r w:rsidR="001A547C">
        <w:t>from</w:t>
      </w:r>
      <w:r w:rsidR="001A547C" w:rsidRPr="0093483D">
        <w:t xml:space="preserve"> </w:t>
      </w:r>
      <w:r w:rsidR="0093483D" w:rsidRPr="0093483D">
        <w:t xml:space="preserve">a maximum of </w:t>
      </w:r>
      <w:r w:rsidR="00244ABE">
        <w:t>15</w:t>
      </w:r>
      <w:r w:rsidR="00371A4B">
        <w:t> </w:t>
      </w:r>
      <w:r w:rsidR="001A4174">
        <w:t>years</w:t>
      </w:r>
      <w:r w:rsidR="00244ABE">
        <w:t xml:space="preserve"> to </w:t>
      </w:r>
      <w:r w:rsidR="0093483D" w:rsidRPr="0093483D">
        <w:t xml:space="preserve">20 years, with clearer licence renewal processes. </w:t>
      </w:r>
      <w:r w:rsidR="0011039D" w:rsidRPr="0011039D">
        <w:t xml:space="preserve">The arrangements for apparatus licences are also </w:t>
      </w:r>
      <w:r w:rsidR="004529D9">
        <w:t>proposed to be</w:t>
      </w:r>
      <w:r w:rsidR="0011039D" w:rsidRPr="0011039D">
        <w:t xml:space="preserve"> aligned with spectrum licences to the extent possible</w:t>
      </w:r>
      <w:r>
        <w:t>.</w:t>
      </w:r>
      <w:r w:rsidR="001A4174">
        <w:t xml:space="preserve"> </w:t>
      </w:r>
      <w:r w:rsidR="00304822">
        <w:t xml:space="preserve">Proposed transition arrangements provide that spectrum re-allocation declarations and any marketing plans in force before commencement of the amendment </w:t>
      </w:r>
      <w:r w:rsidR="00921373">
        <w:t>B</w:t>
      </w:r>
      <w:r w:rsidR="00304822">
        <w:t>ill will continue to apply.</w:t>
      </w:r>
    </w:p>
    <w:p w14:paraId="2BF57229" w14:textId="3DE035DE" w:rsidR="00707CC4" w:rsidRDefault="004F5F28" w:rsidP="004F5F28">
      <w:r>
        <w:t xml:space="preserve">The </w:t>
      </w:r>
      <w:r w:rsidR="001219EA">
        <w:t>three-</w:t>
      </w:r>
      <w:r>
        <w:t xml:space="preserve">year </w:t>
      </w:r>
      <w:r w:rsidR="004E7783">
        <w:t>re-allocation</w:t>
      </w:r>
      <w:r>
        <w:t xml:space="preserve"> period </w:t>
      </w:r>
      <w:r w:rsidR="00304822">
        <w:t xml:space="preserve">set in the 26 GHz band re-allocation declaration </w:t>
      </w:r>
      <w:r>
        <w:t xml:space="preserve">means that arrangements applying to incumbent apparatus licensees in the 26 GHz band </w:t>
      </w:r>
      <w:r w:rsidR="00304822">
        <w:t xml:space="preserve">will not </w:t>
      </w:r>
      <w:r>
        <w:t xml:space="preserve">be affected by </w:t>
      </w:r>
      <w:r w:rsidR="0093483D">
        <w:t>legislative change</w:t>
      </w:r>
      <w:r w:rsidR="001E4E10">
        <w:t xml:space="preserve">. </w:t>
      </w:r>
      <w:r w:rsidR="00304822">
        <w:t>W</w:t>
      </w:r>
      <w:r w:rsidR="00BB53E9">
        <w:t>e</w:t>
      </w:r>
      <w:r w:rsidRPr="00AD0804">
        <w:t xml:space="preserve"> may continue to authorise incumbent licensees to operate until the end of the </w:t>
      </w:r>
      <w:r w:rsidR="001A5B36">
        <w:t>re-</w:t>
      </w:r>
      <w:r w:rsidR="002246ED">
        <w:t>allocation</w:t>
      </w:r>
      <w:r w:rsidR="001A5B36">
        <w:t xml:space="preserve"> </w:t>
      </w:r>
      <w:r w:rsidRPr="00AD0804">
        <w:t xml:space="preserve">period, should they choose to do so. </w:t>
      </w:r>
    </w:p>
    <w:p w14:paraId="779D72AE" w14:textId="06F027C0" w:rsidR="004F5F28" w:rsidRDefault="007300C6" w:rsidP="004F5F28">
      <w:r>
        <w:t xml:space="preserve">Given the timing of consideration of possible changes to the Act, </w:t>
      </w:r>
      <w:r w:rsidR="001A4174">
        <w:t>we</w:t>
      </w:r>
      <w:r w:rsidR="004514FA">
        <w:t xml:space="preserve"> </w:t>
      </w:r>
      <w:r w:rsidR="00C511E1">
        <w:t>intend</w:t>
      </w:r>
      <w:r w:rsidR="001A5B36">
        <w:t xml:space="preserve"> that</w:t>
      </w:r>
      <w:r w:rsidR="00C511E1">
        <w:t xml:space="preserve"> </w:t>
      </w:r>
      <w:r w:rsidR="00304822">
        <w:t xml:space="preserve">the </w:t>
      </w:r>
      <w:r w:rsidR="001A4174">
        <w:t>26 </w:t>
      </w:r>
      <w:r w:rsidR="00304822">
        <w:t>GHz band allocation</w:t>
      </w:r>
      <w:r>
        <w:t xml:space="preserve">, having commenced </w:t>
      </w:r>
      <w:r w:rsidR="004514FA">
        <w:t xml:space="preserve">under the terms of the </w:t>
      </w:r>
      <w:r w:rsidR="00A337DF">
        <w:t>current</w:t>
      </w:r>
      <w:r w:rsidR="004514FA">
        <w:t xml:space="preserve"> </w:t>
      </w:r>
      <w:r w:rsidR="00381AFF">
        <w:t xml:space="preserve">Act, </w:t>
      </w:r>
      <w:r w:rsidR="004514FA">
        <w:t>will use those</w:t>
      </w:r>
      <w:r w:rsidR="00A337DF">
        <w:t xml:space="preserve"> terms throughout </w:t>
      </w:r>
      <w:r w:rsidR="00707CC4">
        <w:t xml:space="preserve">the allocation </w:t>
      </w:r>
      <w:r w:rsidR="00A337DF">
        <w:t xml:space="preserve">and issue of licences. This maximises regulatory certainty for participants. The 26 GHz band allocation </w:t>
      </w:r>
      <w:r w:rsidR="00707CC4">
        <w:t xml:space="preserve">will be conducted under the current Act and spectrum licences will be issued </w:t>
      </w:r>
      <w:r w:rsidR="00BF7985">
        <w:t>for</w:t>
      </w:r>
      <w:r w:rsidR="00707CC4">
        <w:t xml:space="preserve"> a maximum term of </w:t>
      </w:r>
      <w:r w:rsidR="001A4174">
        <w:t>15 </w:t>
      </w:r>
      <w:r w:rsidR="00707CC4">
        <w:t>years.</w:t>
      </w:r>
    </w:p>
    <w:p w14:paraId="7B679790" w14:textId="604C9F3E" w:rsidR="004F5F28" w:rsidRPr="00AC2AAF" w:rsidRDefault="004F5F28" w:rsidP="004F5F28">
      <w:r>
        <w:t xml:space="preserve">Further information on spectrum reform is available by emailing </w:t>
      </w:r>
      <w:hyperlink r:id="rId30" w:history="1">
        <w:r w:rsidRPr="0049405D">
          <w:rPr>
            <w:rStyle w:val="Hyperlink"/>
          </w:rPr>
          <w:t>spectrumreform@communications.gov.au</w:t>
        </w:r>
      </w:hyperlink>
      <w:r>
        <w:t>.</w:t>
      </w:r>
    </w:p>
    <w:p w14:paraId="12D43A57" w14:textId="77777777" w:rsidR="00FD638F" w:rsidRDefault="00FD638F" w:rsidP="00BE4EDC">
      <w:pPr>
        <w:pStyle w:val="Heading2"/>
      </w:pPr>
      <w:bookmarkStart w:id="8" w:name="_Toc512246155"/>
      <w:bookmarkStart w:id="9" w:name="_Toc512503289"/>
      <w:bookmarkStart w:id="10" w:name="_Toc514330438"/>
      <w:bookmarkStart w:id="11" w:name="_Toc45112200"/>
      <w:r w:rsidRPr="003F4C98">
        <w:t>Background</w:t>
      </w:r>
      <w:bookmarkEnd w:id="8"/>
      <w:bookmarkEnd w:id="9"/>
      <w:bookmarkEnd w:id="10"/>
      <w:bookmarkEnd w:id="11"/>
    </w:p>
    <w:p w14:paraId="315EDE3C" w14:textId="2D0EEAE9" w:rsidR="007A7F6B" w:rsidRDefault="00F42193" w:rsidP="00F42193">
      <w:r w:rsidRPr="00F42193">
        <w:t xml:space="preserve">Work towards the standardisation and harmonisation </w:t>
      </w:r>
      <w:r w:rsidR="00737693">
        <w:t>of</w:t>
      </w:r>
      <w:r w:rsidRPr="00F42193">
        <w:t xml:space="preserve"> </w:t>
      </w:r>
      <w:proofErr w:type="spellStart"/>
      <w:r w:rsidRPr="00F42193">
        <w:t>mmWave</w:t>
      </w:r>
      <w:proofErr w:type="spellEnd"/>
      <w:r w:rsidRPr="00F42193">
        <w:t xml:space="preserve"> </w:t>
      </w:r>
      <w:r w:rsidR="00D70301">
        <w:t>(millimetre wave</w:t>
      </w:r>
      <w:r w:rsidR="00C90E30">
        <w:rPr>
          <w:rStyle w:val="FootnoteReference"/>
        </w:rPr>
        <w:footnoteReference w:id="2"/>
      </w:r>
      <w:r w:rsidR="00D70301">
        <w:t xml:space="preserve">) </w:t>
      </w:r>
      <w:r w:rsidRPr="00F42193">
        <w:t xml:space="preserve">bands for 5G is well advanced, with a strong focus internationally on the use of </w:t>
      </w:r>
      <w:proofErr w:type="spellStart"/>
      <w:r w:rsidRPr="00F42193">
        <w:t>mmWave</w:t>
      </w:r>
      <w:proofErr w:type="spellEnd"/>
      <w:r w:rsidRPr="00F42193">
        <w:t xml:space="preserve"> bands to provide </w:t>
      </w:r>
      <w:r w:rsidR="001A4174">
        <w:t>for</w:t>
      </w:r>
      <w:r w:rsidRPr="00F42193">
        <w:t xml:space="preserve"> short-range, high capacity services. The radiocommunications sector of the International Telecommunication Union </w:t>
      </w:r>
      <w:r>
        <w:t xml:space="preserve">examined bands above </w:t>
      </w:r>
      <w:r w:rsidRPr="00F42193">
        <w:t xml:space="preserve">24.25 GHz for wireless broadband 5G services </w:t>
      </w:r>
      <w:r>
        <w:t>at</w:t>
      </w:r>
      <w:r w:rsidRPr="00F42193">
        <w:t xml:space="preserve"> the 2019 World Radiocommunication Conference (WRC-19).</w:t>
      </w:r>
    </w:p>
    <w:p w14:paraId="35A5BF09" w14:textId="3056BC12" w:rsidR="00F42193" w:rsidRDefault="00D70301" w:rsidP="00F42193">
      <w:r>
        <w:t xml:space="preserve">Amongst other </w:t>
      </w:r>
      <w:proofErr w:type="spellStart"/>
      <w:r>
        <w:t>mmWave</w:t>
      </w:r>
      <w:proofErr w:type="spellEnd"/>
      <w:r>
        <w:t xml:space="preserve"> bands</w:t>
      </w:r>
      <w:r w:rsidR="00BC29C1">
        <w:t>, the frequency range 24.25</w:t>
      </w:r>
      <w:r w:rsidR="001A4174">
        <w:t>–</w:t>
      </w:r>
      <w:r w:rsidR="00BC29C1">
        <w:t>27.5 GHz (the wider 26</w:t>
      </w:r>
      <w:r w:rsidR="005E62F2">
        <w:t> </w:t>
      </w:r>
      <w:r w:rsidR="00BC29C1">
        <w:t>GHz band)</w:t>
      </w:r>
      <w:r>
        <w:t xml:space="preserve"> was </w:t>
      </w:r>
      <w:r w:rsidR="00BC29C1">
        <w:t>identified</w:t>
      </w:r>
      <w:r>
        <w:t xml:space="preserve"> global</w:t>
      </w:r>
      <w:r w:rsidR="00BC29C1">
        <w:t>ly for</w:t>
      </w:r>
      <w:r w:rsidR="001A4541">
        <w:t xml:space="preserve"> international </w:t>
      </w:r>
      <w:r w:rsidR="00420059">
        <w:t>mobile telecommunications</w:t>
      </w:r>
      <w:r w:rsidR="00BC29C1">
        <w:t xml:space="preserve"> at the WRC-19</w:t>
      </w:r>
      <w:r w:rsidR="005E62F2">
        <w:t xml:space="preserve">. </w:t>
      </w:r>
      <w:r w:rsidR="00F42193">
        <w:t xml:space="preserve">Separately, </w:t>
      </w:r>
      <w:proofErr w:type="gramStart"/>
      <w:r w:rsidR="00F42193">
        <w:t>a number of</w:t>
      </w:r>
      <w:proofErr w:type="gramEnd"/>
      <w:r w:rsidR="00F42193">
        <w:t xml:space="preserve"> countries </w:t>
      </w:r>
      <w:r>
        <w:t>considered</w:t>
      </w:r>
      <w:r w:rsidR="00F42193">
        <w:t xml:space="preserve"> allocation of </w:t>
      </w:r>
      <w:proofErr w:type="spellStart"/>
      <w:r w:rsidR="00F42193">
        <w:t>mmWave</w:t>
      </w:r>
      <w:proofErr w:type="spellEnd"/>
      <w:r w:rsidR="00F42193">
        <w:t xml:space="preserve"> bands</w:t>
      </w:r>
      <w:r w:rsidR="00F42193" w:rsidRPr="001D70F3">
        <w:t xml:space="preserve"> </w:t>
      </w:r>
      <w:r w:rsidR="00DF6BC4">
        <w:t>before</w:t>
      </w:r>
      <w:r w:rsidR="00F42193">
        <w:t xml:space="preserve"> the WRC-19; the USA, </w:t>
      </w:r>
      <w:r w:rsidR="00BA5454">
        <w:t xml:space="preserve">South </w:t>
      </w:r>
      <w:r w:rsidR="00F42193">
        <w:t>Korea, Italy</w:t>
      </w:r>
      <w:r w:rsidR="00BA5454">
        <w:t>,</w:t>
      </w:r>
      <w:r w:rsidR="00F42193">
        <w:t xml:space="preserve"> Hong Kong </w:t>
      </w:r>
      <w:r w:rsidR="00BA5454">
        <w:t xml:space="preserve">and Singapore </w:t>
      </w:r>
      <w:r w:rsidR="00F42193">
        <w:t>have already completed allocation</w:t>
      </w:r>
      <w:r w:rsidR="00046901">
        <w:t xml:space="preserve"> processes</w:t>
      </w:r>
      <w:r w:rsidR="00F42193">
        <w:t xml:space="preserve">. Similarly, </w:t>
      </w:r>
      <w:r w:rsidR="00BA59D2">
        <w:t xml:space="preserve">we </w:t>
      </w:r>
      <w:r w:rsidR="00F42193">
        <w:t xml:space="preserve">first foreshadowed potential allocations of the wider 26 GHz band in </w:t>
      </w:r>
      <w:r w:rsidR="005E62F2">
        <w:t xml:space="preserve">our </w:t>
      </w:r>
      <w:hyperlink r:id="rId31" w:history="1">
        <w:r w:rsidR="00F42193" w:rsidRPr="00BA5454">
          <w:rPr>
            <w:rStyle w:val="Hyperlink"/>
          </w:rPr>
          <w:t>Five-year spectrum outlook (FYSO) 2016–20</w:t>
        </w:r>
      </w:hyperlink>
      <w:r w:rsidR="00F42193">
        <w:t>.</w:t>
      </w:r>
    </w:p>
    <w:p w14:paraId="6C40A932" w14:textId="6DFF3EC6" w:rsidR="005F77B4" w:rsidRDefault="0024202B" w:rsidP="00B778D3">
      <w:r>
        <w:t>T</w:t>
      </w:r>
      <w:r w:rsidR="00B778D3">
        <w:t xml:space="preserve">he </w:t>
      </w:r>
      <w:r w:rsidR="00214543">
        <w:t xml:space="preserve">wider </w:t>
      </w:r>
      <w:r w:rsidR="00B778D3">
        <w:t xml:space="preserve">26 GHz band </w:t>
      </w:r>
      <w:proofErr w:type="gramStart"/>
      <w:r>
        <w:t xml:space="preserve">is considered </w:t>
      </w:r>
      <w:r w:rsidR="00DF6BC4">
        <w:t>to be</w:t>
      </w:r>
      <w:proofErr w:type="gramEnd"/>
      <w:r w:rsidR="00DF6BC4">
        <w:t xml:space="preserve"> </w:t>
      </w:r>
      <w:r w:rsidR="00B778D3">
        <w:t xml:space="preserve">a </w:t>
      </w:r>
      <w:r w:rsidR="00B96B06">
        <w:t xml:space="preserve">pioneer </w:t>
      </w:r>
      <w:proofErr w:type="spellStart"/>
      <w:r w:rsidR="00494B73">
        <w:t>mmWave</w:t>
      </w:r>
      <w:proofErr w:type="spellEnd"/>
      <w:r w:rsidR="00B778D3">
        <w:t xml:space="preserve"> band for 5G services internationally</w:t>
      </w:r>
      <w:r w:rsidR="005F77B4">
        <w:t xml:space="preserve">. </w:t>
      </w:r>
      <w:r w:rsidR="00214543">
        <w:t>This</w:t>
      </w:r>
      <w:r w:rsidR="005F77B4">
        <w:t xml:space="preserve"> is a shorter-range, </w:t>
      </w:r>
      <w:r w:rsidR="005F77B4" w:rsidRPr="00557BE0">
        <w:t>higher capacity band</w:t>
      </w:r>
      <w:r w:rsidR="001A4174">
        <w:t>, which</w:t>
      </w:r>
      <w:r w:rsidR="005F77B4" w:rsidRPr="00557BE0">
        <w:t xml:space="preserve"> can complement the </w:t>
      </w:r>
      <w:r w:rsidR="005760C6" w:rsidRPr="00557BE0">
        <w:t xml:space="preserve">lower </w:t>
      </w:r>
      <w:r w:rsidR="005F77B4" w:rsidRPr="00557BE0">
        <w:t>coverage band</w:t>
      </w:r>
      <w:r w:rsidR="005760C6" w:rsidRPr="00557BE0">
        <w:t xml:space="preserve">s (like the 3.6 GHz band) </w:t>
      </w:r>
      <w:r w:rsidR="005F77B4" w:rsidRPr="00557BE0">
        <w:t xml:space="preserve">currently being </w:t>
      </w:r>
      <w:r w:rsidR="005760C6" w:rsidRPr="00557BE0">
        <w:t xml:space="preserve">used </w:t>
      </w:r>
      <w:r w:rsidR="005F77B4" w:rsidRPr="00557BE0">
        <w:t>for 5G services</w:t>
      </w:r>
      <w:r w:rsidR="005760C6">
        <w:t xml:space="preserve"> in Australia and internationally</w:t>
      </w:r>
      <w:r w:rsidR="005F77B4">
        <w:t>.</w:t>
      </w:r>
      <w:r w:rsidR="00B778D3">
        <w:t xml:space="preserve"> </w:t>
      </w:r>
    </w:p>
    <w:p w14:paraId="3A083036" w14:textId="77777777" w:rsidR="00C853A4" w:rsidRDefault="00C853A4" w:rsidP="00BE4EDC">
      <w:pPr>
        <w:pStyle w:val="Heading3"/>
      </w:pPr>
      <w:r>
        <w:t>Wider 26 GHz band consultation</w:t>
      </w:r>
    </w:p>
    <w:p w14:paraId="7BB0FE91" w14:textId="2872CCD1" w:rsidR="00DD5610" w:rsidRDefault="005F77B4" w:rsidP="00B778D3">
      <w:r>
        <w:t>I</w:t>
      </w:r>
      <w:r w:rsidR="00B778D3">
        <w:t>n September 2018,</w:t>
      </w:r>
      <w:r>
        <w:t xml:space="preserve"> </w:t>
      </w:r>
      <w:r w:rsidR="00FD1CF8">
        <w:t>we</w:t>
      </w:r>
      <w:r w:rsidR="00B778D3">
        <w:t xml:space="preserve"> released an </w:t>
      </w:r>
      <w:hyperlink r:id="rId32" w:history="1">
        <w:r w:rsidR="00B778D3">
          <w:rPr>
            <w:rStyle w:val="Hyperlink"/>
          </w:rPr>
          <w:t>options paper</w:t>
        </w:r>
      </w:hyperlink>
      <w:r w:rsidR="00B778D3" w:rsidRPr="000F7CFD">
        <w:t xml:space="preserve"> </w:t>
      </w:r>
      <w:r w:rsidR="004508F7">
        <w:t xml:space="preserve">for consultation </w:t>
      </w:r>
      <w:r w:rsidR="00B778D3" w:rsidRPr="000F7CFD">
        <w:t xml:space="preserve">on the </w:t>
      </w:r>
      <w:r w:rsidR="00B31191">
        <w:t xml:space="preserve">wider </w:t>
      </w:r>
      <w:r w:rsidR="00784F9C">
        <w:t xml:space="preserve">26 GHz </w:t>
      </w:r>
      <w:r w:rsidR="00B778D3" w:rsidRPr="000F7CFD">
        <w:t>band</w:t>
      </w:r>
      <w:r w:rsidR="007622AC">
        <w:t>. This was</w:t>
      </w:r>
      <w:r>
        <w:t xml:space="preserve"> followed by</w:t>
      </w:r>
      <w:r w:rsidR="00B778D3">
        <w:t xml:space="preserve"> the release</w:t>
      </w:r>
      <w:r>
        <w:t xml:space="preserve"> of</w:t>
      </w:r>
      <w:r w:rsidR="00B778D3">
        <w:t xml:space="preserve"> </w:t>
      </w:r>
      <w:r w:rsidR="00FD1CF8">
        <w:t>our</w:t>
      </w:r>
      <w:r w:rsidR="0065259A">
        <w:t xml:space="preserve"> April 2019</w:t>
      </w:r>
      <w:r w:rsidR="00FD1CF8">
        <w:t xml:space="preserve"> </w:t>
      </w:r>
      <w:hyperlink r:id="rId33" w:history="1">
        <w:r w:rsidR="0065259A">
          <w:rPr>
            <w:rStyle w:val="Hyperlink"/>
          </w:rPr>
          <w:t>planning decisions and preliminary views paper</w:t>
        </w:r>
      </w:hyperlink>
      <w:r w:rsidR="00B778D3">
        <w:t xml:space="preserve"> </w:t>
      </w:r>
      <w:r w:rsidR="00881884">
        <w:t xml:space="preserve">(26 GHz band decisions paper) </w:t>
      </w:r>
      <w:r w:rsidR="00B778D3">
        <w:t xml:space="preserve">on the future use of the band. </w:t>
      </w:r>
      <w:r w:rsidR="00881884">
        <w:t>The 26 GHz band decisions</w:t>
      </w:r>
      <w:r w:rsidR="001A547C">
        <w:t xml:space="preserve"> </w:t>
      </w:r>
      <w:r w:rsidR="004D0505">
        <w:t xml:space="preserve">paper identified a suite of possible </w:t>
      </w:r>
      <w:r w:rsidR="001C27EB">
        <w:t xml:space="preserve">class, apparatus and </w:t>
      </w:r>
      <w:r w:rsidR="004D0505">
        <w:t xml:space="preserve">spectrum licensing measures </w:t>
      </w:r>
      <w:bookmarkStart w:id="12" w:name="_Hlk40783199"/>
      <w:r w:rsidR="004D0505" w:rsidRPr="00001699">
        <w:t>to facilitate a broad range of wireless broadband use cases</w:t>
      </w:r>
      <w:bookmarkEnd w:id="12"/>
      <w:r w:rsidR="008B0247" w:rsidRPr="00001699">
        <w:t xml:space="preserve">, underpinning the </w:t>
      </w:r>
      <w:r w:rsidR="001A4174">
        <w:t>g</w:t>
      </w:r>
      <w:r w:rsidR="008B0247" w:rsidRPr="00001699">
        <w:t>overnment’s policy objective to support technological innovation</w:t>
      </w:r>
      <w:r w:rsidR="00AC0CF7" w:rsidRPr="00001699">
        <w:t>.</w:t>
      </w:r>
    </w:p>
    <w:p w14:paraId="06858DE8" w14:textId="4A505760" w:rsidR="00C853A4" w:rsidRDefault="00C853A4" w:rsidP="00BE4EDC">
      <w:pPr>
        <w:pStyle w:val="Heading3"/>
      </w:pPr>
      <w:r>
        <w:t>28 GHz band consultation</w:t>
      </w:r>
    </w:p>
    <w:p w14:paraId="152D1CEE" w14:textId="515D3296" w:rsidR="00753AC8" w:rsidRDefault="0024202B" w:rsidP="00B778D3">
      <w:r>
        <w:t xml:space="preserve">In parallel with the </w:t>
      </w:r>
      <w:r w:rsidR="004C0EC2">
        <w:t xml:space="preserve">release of the </w:t>
      </w:r>
      <w:r>
        <w:t>26 GHz band decision</w:t>
      </w:r>
      <w:r w:rsidR="00881884">
        <w:t>s</w:t>
      </w:r>
      <w:r>
        <w:t xml:space="preserve"> paper w</w:t>
      </w:r>
      <w:r w:rsidR="00753AC8">
        <w:t xml:space="preserve">e </w:t>
      </w:r>
      <w:r w:rsidR="00813CC4">
        <w:t xml:space="preserve">also </w:t>
      </w:r>
      <w:r w:rsidR="00753AC8">
        <w:t xml:space="preserve">consulted on </w:t>
      </w:r>
      <w:r>
        <w:t xml:space="preserve">options for replanning </w:t>
      </w:r>
      <w:r w:rsidR="00753AC8">
        <w:t>the</w:t>
      </w:r>
      <w:r>
        <w:t xml:space="preserve"> adjacent</w:t>
      </w:r>
      <w:r w:rsidR="00753AC8">
        <w:t xml:space="preserve"> </w:t>
      </w:r>
      <w:hyperlink r:id="rId34" w:history="1">
        <w:r w:rsidR="00753AC8" w:rsidRPr="00A23338">
          <w:rPr>
            <w:rStyle w:val="Hyperlink"/>
          </w:rPr>
          <w:t xml:space="preserve">28 </w:t>
        </w:r>
        <w:r w:rsidR="00A23338" w:rsidRPr="00A23338">
          <w:rPr>
            <w:rStyle w:val="Hyperlink"/>
          </w:rPr>
          <w:t>GHz band</w:t>
        </w:r>
      </w:hyperlink>
      <w:r w:rsidR="00A23338">
        <w:t xml:space="preserve"> </w:t>
      </w:r>
      <w:r w:rsidR="00A23338" w:rsidRPr="00DD5610">
        <w:t>(27.5</w:t>
      </w:r>
      <w:r w:rsidR="00A23338" w:rsidRPr="006965B3">
        <w:t>–</w:t>
      </w:r>
      <w:r w:rsidR="00A23338" w:rsidRPr="00DD5610">
        <w:t xml:space="preserve">29.5 GHz) </w:t>
      </w:r>
      <w:r w:rsidR="00002FB9">
        <w:t xml:space="preserve">including the potential introduction of </w:t>
      </w:r>
      <w:proofErr w:type="spellStart"/>
      <w:r w:rsidR="00E158A0">
        <w:t>mmWave</w:t>
      </w:r>
      <w:proofErr w:type="spellEnd"/>
      <w:r w:rsidR="00E158A0">
        <w:t xml:space="preserve"> 5G wireless broadband services. S</w:t>
      </w:r>
      <w:r w:rsidR="00DD5610">
        <w:t>ubsequently</w:t>
      </w:r>
      <w:r w:rsidR="00E158A0">
        <w:t>,</w:t>
      </w:r>
      <w:r w:rsidR="004C0EC2">
        <w:t xml:space="preserve"> </w:t>
      </w:r>
      <w:r w:rsidR="00B105F7">
        <w:t xml:space="preserve">in September 2019 </w:t>
      </w:r>
      <w:r w:rsidR="00E158A0">
        <w:t>we</w:t>
      </w:r>
      <w:r w:rsidR="00DD5610">
        <w:t xml:space="preserve"> </w:t>
      </w:r>
      <w:r w:rsidR="00A23338" w:rsidRPr="00DD5610">
        <w:t xml:space="preserve">released the </w:t>
      </w:r>
      <w:hyperlink r:id="rId35" w:history="1">
        <w:r w:rsidR="00881884">
          <w:rPr>
            <w:rStyle w:val="Hyperlink"/>
          </w:rPr>
          <w:t>28 GHz band planning decisions and preliminary views</w:t>
        </w:r>
      </w:hyperlink>
      <w:r w:rsidR="00A23338" w:rsidRPr="00DD5610">
        <w:t xml:space="preserve"> paper</w:t>
      </w:r>
      <w:r w:rsidR="00881884">
        <w:t xml:space="preserve"> (28 GHz decisions paper)</w:t>
      </w:r>
      <w:r w:rsidR="00A23338" w:rsidRPr="00DD5610">
        <w:t xml:space="preserve">. </w:t>
      </w:r>
      <w:r w:rsidR="00DD5610">
        <w:t>The</w:t>
      </w:r>
      <w:r w:rsidR="00A23338" w:rsidRPr="00DD5610">
        <w:t xml:space="preserve"> </w:t>
      </w:r>
      <w:r w:rsidR="00DD5610" w:rsidRPr="00DD5610">
        <w:t xml:space="preserve">28 GHz band </w:t>
      </w:r>
      <w:r w:rsidR="00881884">
        <w:t xml:space="preserve">decisions </w:t>
      </w:r>
      <w:r w:rsidR="00A23338" w:rsidRPr="00DD5610">
        <w:t>paper indicated we would develop and consult on apparatus licence arrangements to support fixed wireless access (FWA) use in the 28 GHz band</w:t>
      </w:r>
      <w:r w:rsidR="00125025">
        <w:t xml:space="preserve"> as well as expanded arrangements for fixed-satellite earth stations</w:t>
      </w:r>
      <w:r w:rsidR="00A23338" w:rsidRPr="00DD5610">
        <w:t>. This include</w:t>
      </w:r>
      <w:r w:rsidR="004C0EC2">
        <w:t>d</w:t>
      </w:r>
      <w:r w:rsidR="00A23338" w:rsidRPr="00DD5610">
        <w:t xml:space="preserve"> investigating the use of </w:t>
      </w:r>
      <w:r w:rsidR="00B105F7">
        <w:t>the</w:t>
      </w:r>
      <w:r w:rsidR="00B105F7" w:rsidRPr="00DD5610">
        <w:t xml:space="preserve"> </w:t>
      </w:r>
      <w:r w:rsidR="00A23338" w:rsidRPr="00DD5610">
        <w:t xml:space="preserve">proposed new </w:t>
      </w:r>
      <w:hyperlink r:id="rId36" w:history="1">
        <w:r w:rsidR="0000598B" w:rsidRPr="0000598B">
          <w:rPr>
            <w:rStyle w:val="Hyperlink"/>
          </w:rPr>
          <w:t>area-wide apparatus licence</w:t>
        </w:r>
      </w:hyperlink>
      <w:r w:rsidR="0000598B">
        <w:t xml:space="preserve"> (</w:t>
      </w:r>
      <w:r w:rsidR="0000598B" w:rsidRPr="00BE4EDC">
        <w:t>AWL</w:t>
      </w:r>
      <w:r w:rsidR="0000598B">
        <w:rPr>
          <w:u w:color="0000FF"/>
        </w:rPr>
        <w:t>)</w:t>
      </w:r>
      <w:r w:rsidR="00B105F7">
        <w:t xml:space="preserve"> concept for authorising access</w:t>
      </w:r>
      <w:r w:rsidR="00DD5610" w:rsidRPr="00DD5610">
        <w:t>.</w:t>
      </w:r>
    </w:p>
    <w:p w14:paraId="5CCA72DF" w14:textId="2CFDE677" w:rsidR="004D0505" w:rsidRPr="00B74D9E" w:rsidRDefault="004D0505" w:rsidP="00B778D3">
      <w:r w:rsidRPr="00001699">
        <w:t xml:space="preserve">Figure </w:t>
      </w:r>
      <w:r w:rsidR="00A519FD">
        <w:t>1</w:t>
      </w:r>
      <w:r w:rsidR="006C71CC" w:rsidRPr="00B74D9E">
        <w:t xml:space="preserve"> </w:t>
      </w:r>
      <w:r w:rsidR="00AC0CF7" w:rsidRPr="00B74D9E">
        <w:t xml:space="preserve">summarises the </w:t>
      </w:r>
      <w:r w:rsidR="005760C6" w:rsidRPr="00B74D9E">
        <w:t xml:space="preserve">planned </w:t>
      </w:r>
      <w:r w:rsidR="00AC0CF7" w:rsidRPr="00B74D9E">
        <w:t>licensing arrangements across the wider 26 GHz band and</w:t>
      </w:r>
      <w:r w:rsidR="00174D08" w:rsidRPr="00B74D9E">
        <w:t xml:space="preserve"> the </w:t>
      </w:r>
      <w:r w:rsidR="00E158A0" w:rsidRPr="00B74D9E">
        <w:rPr>
          <w:u w:color="0000FF"/>
        </w:rPr>
        <w:t>28 GHz band</w:t>
      </w:r>
      <w:r w:rsidR="00174D08" w:rsidRPr="00B74D9E">
        <w:t>.</w:t>
      </w:r>
    </w:p>
    <w:p w14:paraId="7EB3D1BD" w14:textId="0609B880" w:rsidR="001C27EB" w:rsidRPr="007A7F6B" w:rsidRDefault="001C27EB" w:rsidP="00BE4EDC">
      <w:pPr>
        <w:pStyle w:val="Figureheading"/>
      </w:pPr>
      <w:r w:rsidRPr="007A7F6B">
        <w:t>Licensing arrangements to be implemented in 26</w:t>
      </w:r>
      <w:r w:rsidRPr="007A7F6B">
        <w:rPr>
          <w:rFonts w:cs="Arial"/>
        </w:rPr>
        <w:t>−</w:t>
      </w:r>
      <w:r w:rsidRPr="007A7F6B">
        <w:t>28 GHz band</w:t>
      </w:r>
    </w:p>
    <w:p w14:paraId="5382428F" w14:textId="77777777" w:rsidR="001C27EB" w:rsidRDefault="001C27EB" w:rsidP="001C27EB">
      <w:pPr>
        <w:keepNext/>
      </w:pPr>
      <w:r>
        <w:rPr>
          <w:noProof/>
        </w:rPr>
        <w:drawing>
          <wp:inline distT="0" distB="0" distL="0" distR="0" wp14:anchorId="090B9E55" wp14:editId="1DC5D41C">
            <wp:extent cx="4871085" cy="968375"/>
            <wp:effectExtent l="0" t="0" r="5715" b="3175"/>
            <wp:docPr id="3" name="Picture 3" descr="A diagram showing the licensing arrangements to be implemented in the 26 to 28 GHz ba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7" r:link="rId38">
                      <a:extLst>
                        <a:ext uri="{28A0092B-C50C-407E-A947-70E740481C1C}">
                          <a14:useLocalDpi xmlns:a14="http://schemas.microsoft.com/office/drawing/2010/main" val="0"/>
                        </a:ext>
                      </a:extLst>
                    </a:blip>
                    <a:srcRect/>
                    <a:stretch>
                      <a:fillRect/>
                    </a:stretch>
                  </pic:blipFill>
                  <pic:spPr bwMode="auto">
                    <a:xfrm>
                      <a:off x="0" y="0"/>
                      <a:ext cx="4871085" cy="968375"/>
                    </a:xfrm>
                    <a:prstGeom prst="rect">
                      <a:avLst/>
                    </a:prstGeom>
                    <a:noFill/>
                    <a:ln>
                      <a:noFill/>
                    </a:ln>
                  </pic:spPr>
                </pic:pic>
              </a:graphicData>
            </a:graphic>
          </wp:inline>
        </w:drawing>
      </w:r>
    </w:p>
    <w:p w14:paraId="47404E60" w14:textId="184428FB" w:rsidR="001C27EB" w:rsidRDefault="001C27EB" w:rsidP="00BE4EDC">
      <w:pPr>
        <w:pStyle w:val="Tableorfigurenotemultiple"/>
        <w:spacing w:after="240"/>
      </w:pPr>
      <w:r>
        <w:t>Key:</w:t>
      </w:r>
      <w:r>
        <w:br/>
        <w:t>1 – Class licensed Australia-wide</w:t>
      </w:r>
      <w:r>
        <w:br/>
        <w:t xml:space="preserve">2 – Area wide apparatus licences (AWL) </w:t>
      </w:r>
      <w:r w:rsidRPr="00B74D9E">
        <w:t>Australia-wide (available no earlier than Q4 2020)</w:t>
      </w:r>
      <w:r w:rsidRPr="00B74D9E">
        <w:br/>
        <w:t>3 – Spectrum licensed in major population centres (auction Q1 2021)</w:t>
      </w:r>
      <w:r w:rsidRPr="00B74D9E">
        <w:br/>
        <w:t>4 – AWL outside major population centres (available shortly after spectrum licence auction)</w:t>
      </w:r>
    </w:p>
    <w:p w14:paraId="216C734D" w14:textId="1B9DE0B7" w:rsidR="00AF3B12" w:rsidRDefault="00AF3B12" w:rsidP="00BE4EDC">
      <w:pPr>
        <w:pStyle w:val="Heading3"/>
      </w:pPr>
      <w:r>
        <w:t>Class licensing</w:t>
      </w:r>
    </w:p>
    <w:p w14:paraId="11D4FD24" w14:textId="0C2A26EC" w:rsidR="00DD5610" w:rsidRDefault="00DD5610" w:rsidP="00DD5610">
      <w:r>
        <w:t xml:space="preserve">The </w:t>
      </w:r>
      <w:hyperlink r:id="rId39" w:history="1">
        <w:r w:rsidR="00881884">
          <w:rPr>
            <w:rStyle w:val="Hyperlink"/>
          </w:rPr>
          <w:t xml:space="preserve">26 GHz </w:t>
        </w:r>
        <w:r w:rsidR="00461AD7">
          <w:rPr>
            <w:rStyle w:val="Hyperlink"/>
          </w:rPr>
          <w:t xml:space="preserve">band </w:t>
        </w:r>
        <w:r w:rsidR="00881884">
          <w:rPr>
            <w:rStyle w:val="Hyperlink"/>
          </w:rPr>
          <w:t>decisions paper</w:t>
        </w:r>
      </w:hyperlink>
      <w:r>
        <w:t xml:space="preserve"> included the planning decision to consult on </w:t>
      </w:r>
      <w:r w:rsidRPr="006965B3">
        <w:t xml:space="preserve">adding </w:t>
      </w:r>
      <w:r>
        <w:t xml:space="preserve">the frequency range </w:t>
      </w:r>
      <w:r w:rsidRPr="006965B3">
        <w:t xml:space="preserve">24.25–25.1 GHz to the </w:t>
      </w:r>
      <w:hyperlink r:id="rId40" w:history="1">
        <w:r w:rsidRPr="001B19ED">
          <w:rPr>
            <w:rStyle w:val="Hyperlink"/>
          </w:rPr>
          <w:t>Radiocommunications (Low Interference Potential Devices) Class Licence 2015</w:t>
        </w:r>
      </w:hyperlink>
      <w:r>
        <w:t xml:space="preserve"> (LIPD class licence) to</w:t>
      </w:r>
      <w:r w:rsidRPr="006965B3">
        <w:t xml:space="preserve"> enabl</w:t>
      </w:r>
      <w:r>
        <w:t>e</w:t>
      </w:r>
      <w:r w:rsidRPr="006965B3">
        <w:t xml:space="preserve"> uncoordinated time-division duplex (TDD) wireless broadband deployments.</w:t>
      </w:r>
      <w:r>
        <w:t xml:space="preserve"> </w:t>
      </w:r>
      <w:proofErr w:type="gramStart"/>
      <w:r>
        <w:t>A number of</w:t>
      </w:r>
      <w:proofErr w:type="gramEnd"/>
      <w:r>
        <w:t xml:space="preserve"> conditions were outlined in the paper, including limiting operation in the range 24.25</w:t>
      </w:r>
      <w:r w:rsidR="0065259A" w:rsidRPr="006965B3">
        <w:t>–</w:t>
      </w:r>
      <w:r>
        <w:t>24.7 GHz to indoor use only while allowing operation both indoors and outdoors in 24.7</w:t>
      </w:r>
      <w:r w:rsidR="0065259A" w:rsidRPr="006965B3">
        <w:t>–</w:t>
      </w:r>
      <w:r>
        <w:t>25.1</w:t>
      </w:r>
      <w:r w:rsidR="0065259A">
        <w:t> </w:t>
      </w:r>
      <w:r>
        <w:t>GHz. A draft variation to the LIPD class licence is expected to be released for consultation later in 2020.</w:t>
      </w:r>
    </w:p>
    <w:p w14:paraId="1FB0A94D" w14:textId="439FA779" w:rsidR="00AF3B12" w:rsidRDefault="00AF3B12" w:rsidP="00BE4EDC">
      <w:pPr>
        <w:pStyle w:val="Heading3"/>
      </w:pPr>
      <w:r>
        <w:t>Apparatus licen</w:t>
      </w:r>
      <w:r w:rsidR="00421AF0">
        <w:t>s</w:t>
      </w:r>
      <w:r>
        <w:t>ing</w:t>
      </w:r>
    </w:p>
    <w:p w14:paraId="0B3A52B1" w14:textId="24982BF7" w:rsidR="00DD5610" w:rsidRDefault="00DD5610" w:rsidP="00DD5610">
      <w:r w:rsidRPr="00001699">
        <w:t>Following our</w:t>
      </w:r>
      <w:r w:rsidR="00150B64">
        <w:t xml:space="preserve"> July 2019</w:t>
      </w:r>
      <w:r w:rsidRPr="00001699">
        <w:t xml:space="preserve"> </w:t>
      </w:r>
      <w:hyperlink r:id="rId41" w:history="1">
        <w:r w:rsidR="00150B64">
          <w:rPr>
            <w:rStyle w:val="Hyperlink"/>
          </w:rPr>
          <w:t>consultation on the proposed AWL</w:t>
        </w:r>
      </w:hyperlink>
      <w:r w:rsidRPr="00001699">
        <w:t xml:space="preserve"> we </w:t>
      </w:r>
      <w:r w:rsidR="00701FFA">
        <w:t>are preparing</w:t>
      </w:r>
      <w:r w:rsidRPr="00AB6452">
        <w:t xml:space="preserve"> draft technical instruments </w:t>
      </w:r>
      <w:r>
        <w:t xml:space="preserve">and policy documents </w:t>
      </w:r>
      <w:r w:rsidRPr="00AB6452">
        <w:t>to provide the technical and</w:t>
      </w:r>
      <w:r>
        <w:t xml:space="preserve"> interference framework for the operation of AWLs in</w:t>
      </w:r>
      <w:r w:rsidR="00881884">
        <w:t xml:space="preserve"> both</w:t>
      </w:r>
      <w:r>
        <w:t xml:space="preserve"> the wider 26 GHz band and the </w:t>
      </w:r>
      <w:r w:rsidR="00495642">
        <w:t xml:space="preserve">adjacent </w:t>
      </w:r>
      <w:r>
        <w:t>28 GHz band.</w:t>
      </w:r>
    </w:p>
    <w:p w14:paraId="1F788A48" w14:textId="59E1A27F" w:rsidR="00A6577E" w:rsidRDefault="00A6577E" w:rsidP="00A6577E">
      <w:pPr>
        <w:rPr>
          <w:rFonts w:ascii="Calibri" w:hAnsi="Calibri"/>
        </w:rPr>
      </w:pPr>
      <w:r>
        <w:t>AWLs share some of the features of spectrum licences</w:t>
      </w:r>
      <w:r w:rsidR="007659B2">
        <w:t xml:space="preserve">, including </w:t>
      </w:r>
      <w:r>
        <w:t>being geographically</w:t>
      </w:r>
      <w:r w:rsidR="0000598B">
        <w:t xml:space="preserve"> </w:t>
      </w:r>
      <w:r>
        <w:t>limited and providing for flexible and scalable deployments</w:t>
      </w:r>
      <w:r w:rsidR="007659B2">
        <w:t xml:space="preserve">. </w:t>
      </w:r>
      <w:proofErr w:type="gramStart"/>
      <w:r w:rsidR="007659B2">
        <w:t>However</w:t>
      </w:r>
      <w:proofErr w:type="gramEnd"/>
      <w:r w:rsidR="007659B2">
        <w:t xml:space="preserve"> AWLs do not have </w:t>
      </w:r>
      <w:r>
        <w:t xml:space="preserve">the </w:t>
      </w:r>
      <w:r w:rsidR="00921373">
        <w:t xml:space="preserve">same </w:t>
      </w:r>
      <w:r>
        <w:t xml:space="preserve">rights (such as certainty of tenure and relative exclusivity) that spectrum licences are afforded. </w:t>
      </w:r>
    </w:p>
    <w:p w14:paraId="1B3D1EF2" w14:textId="39C6BA25" w:rsidR="00A6577E" w:rsidRDefault="00A6577E" w:rsidP="00A6577E">
      <w:r>
        <w:t xml:space="preserve">Table </w:t>
      </w:r>
      <w:r w:rsidR="004229C0">
        <w:t>2</w:t>
      </w:r>
      <w:r>
        <w:t xml:space="preserve"> is provided for purposes of comparison between the two licence types</w:t>
      </w:r>
      <w:r w:rsidR="007659B2">
        <w:t xml:space="preserve"> in the 26 GHz band</w:t>
      </w:r>
      <w:r>
        <w:t xml:space="preserve">, noting that there will be a separate future consultation on the allocation instruments and technical frameworks for </w:t>
      </w:r>
      <w:r w:rsidR="007659B2">
        <w:t xml:space="preserve">AWLs </w:t>
      </w:r>
      <w:r>
        <w:t>in Q3 2020.</w:t>
      </w:r>
    </w:p>
    <w:p w14:paraId="12D8E6FC" w14:textId="4099C335" w:rsidR="00A6577E" w:rsidRDefault="00A6577E" w:rsidP="00BE4EDC">
      <w:pPr>
        <w:pStyle w:val="ACMATableHeader"/>
      </w:pPr>
      <w:r>
        <w:t xml:space="preserve">Table </w:t>
      </w:r>
      <w:r w:rsidR="004229C0">
        <w:t>2</w:t>
      </w:r>
      <w:r>
        <w:t>: Key differences between AWLs and spectrum licences</w:t>
      </w:r>
      <w:r w:rsidR="007659B2">
        <w:t xml:space="preserve"> in the 26 GHz band</w:t>
      </w:r>
    </w:p>
    <w:tbl>
      <w:tblPr>
        <w:tblStyle w:val="ACMAtablestyle"/>
        <w:tblW w:w="9006" w:type="dxa"/>
        <w:tblLook w:val="04A0" w:firstRow="1" w:lastRow="0" w:firstColumn="1" w:lastColumn="0" w:noHBand="0" w:noVBand="1"/>
      </w:tblPr>
      <w:tblGrid>
        <w:gridCol w:w="2353"/>
        <w:gridCol w:w="3638"/>
        <w:gridCol w:w="3015"/>
      </w:tblGrid>
      <w:tr w:rsidR="00F03093" w:rsidRPr="00701A6A" w14:paraId="01A7CF1C" w14:textId="77777777" w:rsidTr="00BE4EDC">
        <w:trPr>
          <w:cnfStyle w:val="100000000000" w:firstRow="1" w:lastRow="0" w:firstColumn="0" w:lastColumn="0" w:oddVBand="0" w:evenVBand="0" w:oddHBand="0" w:evenHBand="0" w:firstRowFirstColumn="0" w:firstRowLastColumn="0" w:lastRowFirstColumn="0" w:lastRowLastColumn="0"/>
        </w:trPr>
        <w:tc>
          <w:tcPr>
            <w:tcW w:w="0" w:type="dxa"/>
            <w:hideMark/>
          </w:tcPr>
          <w:p w14:paraId="7C6332C0" w14:textId="77777777" w:rsidR="00F03093" w:rsidRPr="00701A6A" w:rsidRDefault="00F03093" w:rsidP="003F784A">
            <w:pPr>
              <w:rPr>
                <w:b/>
                <w:bCs/>
              </w:rPr>
            </w:pPr>
            <w:r w:rsidRPr="00701A6A">
              <w:rPr>
                <w:b/>
                <w:bCs/>
              </w:rPr>
              <w:t>Licence feature</w:t>
            </w:r>
          </w:p>
        </w:tc>
        <w:tc>
          <w:tcPr>
            <w:tcW w:w="0" w:type="dxa"/>
            <w:hideMark/>
          </w:tcPr>
          <w:p w14:paraId="049EDE33" w14:textId="128B060E" w:rsidR="00F03093" w:rsidRPr="00701A6A" w:rsidRDefault="00F03093" w:rsidP="003F784A">
            <w:pPr>
              <w:rPr>
                <w:b/>
                <w:bCs/>
              </w:rPr>
            </w:pPr>
            <w:r w:rsidRPr="00701A6A">
              <w:rPr>
                <w:b/>
                <w:bCs/>
              </w:rPr>
              <w:t>AWL in the 26/28 GHz bands</w:t>
            </w:r>
          </w:p>
        </w:tc>
        <w:tc>
          <w:tcPr>
            <w:tcW w:w="0" w:type="dxa"/>
            <w:hideMark/>
          </w:tcPr>
          <w:p w14:paraId="5DBEF41C" w14:textId="7A5E5D7F" w:rsidR="00F03093" w:rsidRPr="00701A6A" w:rsidRDefault="00F03093" w:rsidP="003F784A">
            <w:pPr>
              <w:rPr>
                <w:b/>
                <w:bCs/>
              </w:rPr>
            </w:pPr>
            <w:r w:rsidRPr="00701A6A">
              <w:rPr>
                <w:b/>
                <w:bCs/>
              </w:rPr>
              <w:t xml:space="preserve">Spectrum </w:t>
            </w:r>
            <w:r>
              <w:rPr>
                <w:b/>
                <w:bCs/>
              </w:rPr>
              <w:t>l</w:t>
            </w:r>
            <w:r w:rsidRPr="00701A6A">
              <w:rPr>
                <w:b/>
                <w:bCs/>
              </w:rPr>
              <w:t>icensing</w:t>
            </w:r>
            <w:r>
              <w:rPr>
                <w:b/>
                <w:bCs/>
              </w:rPr>
              <w:t xml:space="preserve"> in the 26 GHz band</w:t>
            </w:r>
          </w:p>
        </w:tc>
      </w:tr>
      <w:tr w:rsidR="00F03093" w14:paraId="7C62946D" w14:textId="77777777" w:rsidTr="00BE4EDC">
        <w:trPr>
          <w:cnfStyle w:val="000000100000" w:firstRow="0" w:lastRow="0" w:firstColumn="0" w:lastColumn="0" w:oddVBand="0" w:evenVBand="0" w:oddHBand="1" w:evenHBand="0" w:firstRowFirstColumn="0" w:firstRowLastColumn="0" w:lastRowFirstColumn="0" w:lastRowLastColumn="0"/>
        </w:trPr>
        <w:tc>
          <w:tcPr>
            <w:tcW w:w="0" w:type="dxa"/>
          </w:tcPr>
          <w:p w14:paraId="1DC11F18" w14:textId="77777777" w:rsidR="00F03093" w:rsidRDefault="00F03093" w:rsidP="003F784A">
            <w:r>
              <w:t>What is authorised</w:t>
            </w:r>
          </w:p>
        </w:tc>
        <w:tc>
          <w:tcPr>
            <w:tcW w:w="0" w:type="dxa"/>
          </w:tcPr>
          <w:p w14:paraId="14D29EDC" w14:textId="4023C7D1" w:rsidR="00F03093" w:rsidRDefault="00F03093" w:rsidP="003F784A">
            <w:r>
              <w:t>4800 MHz available as 96 x 50 MHz channels across the frequency range 24.7</w:t>
            </w:r>
            <w:r w:rsidR="0000598B">
              <w:t>–</w:t>
            </w:r>
            <w:r>
              <w:t>29.5</w:t>
            </w:r>
            <w:r w:rsidR="003F784A">
              <w:t xml:space="preserve"> GHz</w:t>
            </w:r>
            <w:r>
              <w:t xml:space="preserve"> </w:t>
            </w:r>
          </w:p>
        </w:tc>
        <w:tc>
          <w:tcPr>
            <w:tcW w:w="0" w:type="dxa"/>
          </w:tcPr>
          <w:p w14:paraId="6F25134E" w14:textId="37B5630F" w:rsidR="00F03093" w:rsidRDefault="00F03093" w:rsidP="003F784A">
            <w:r>
              <w:t>2400 MHz available as 12 x 200 MHz channels in frequency range 25.1</w:t>
            </w:r>
            <w:r w:rsidR="0000598B">
              <w:t>–</w:t>
            </w:r>
            <w:r>
              <w:t>27.5 GHz</w:t>
            </w:r>
          </w:p>
        </w:tc>
      </w:tr>
      <w:tr w:rsidR="00F03093" w14:paraId="1ADB7D75" w14:textId="77777777" w:rsidTr="00BE4EDC">
        <w:trPr>
          <w:cnfStyle w:val="000000010000" w:firstRow="0" w:lastRow="0" w:firstColumn="0" w:lastColumn="0" w:oddVBand="0" w:evenVBand="0" w:oddHBand="0" w:evenHBand="1" w:firstRowFirstColumn="0" w:firstRowLastColumn="0" w:lastRowFirstColumn="0" w:lastRowLastColumn="0"/>
        </w:trPr>
        <w:tc>
          <w:tcPr>
            <w:tcW w:w="0" w:type="dxa"/>
          </w:tcPr>
          <w:p w14:paraId="6CE51035" w14:textId="77777777" w:rsidR="00F03093" w:rsidRDefault="00F03093" w:rsidP="003F784A">
            <w:r>
              <w:t>Where is use authorised</w:t>
            </w:r>
          </w:p>
        </w:tc>
        <w:tc>
          <w:tcPr>
            <w:tcW w:w="0" w:type="dxa"/>
          </w:tcPr>
          <w:p w14:paraId="2AABAFC6" w14:textId="44A610E3" w:rsidR="00F03093" w:rsidRDefault="00F03093" w:rsidP="003F784A">
            <w:r>
              <w:t xml:space="preserve">Any unembargoed areas except for the </w:t>
            </w:r>
            <w:r w:rsidR="003F784A">
              <w:t xml:space="preserve">frequency </w:t>
            </w:r>
            <w:r>
              <w:t>range 25.1</w:t>
            </w:r>
            <w:r w:rsidR="0000598B">
              <w:t>–</w:t>
            </w:r>
            <w:r>
              <w:t xml:space="preserve">27.5 </w:t>
            </w:r>
            <w:r w:rsidR="003F784A">
              <w:t>G</w:t>
            </w:r>
            <w:r>
              <w:t xml:space="preserve">Hz where spectrum is only available outside the spectrum licence </w:t>
            </w:r>
            <w:r w:rsidR="007B2E57">
              <w:t>defined</w:t>
            </w:r>
            <w:r>
              <w:t xml:space="preserve"> geographic areas.</w:t>
            </w:r>
          </w:p>
          <w:p w14:paraId="1AE7146A" w14:textId="77777777" w:rsidR="00F03093" w:rsidRDefault="00F03093" w:rsidP="003F784A">
            <w:r>
              <w:t>Smallest geographic area approx. 500m x 500m. Aggregable to larger areas, but large contiguous areas are not guaranteed.</w:t>
            </w:r>
          </w:p>
          <w:p w14:paraId="7B5123C4" w14:textId="61A74819" w:rsidR="00F03093" w:rsidRDefault="00F03093" w:rsidP="00F03093">
            <w:r>
              <w:t>AWLs authorising operation in the 24.7</w:t>
            </w:r>
            <w:r w:rsidR="0000598B">
              <w:t>–</w:t>
            </w:r>
            <w:r>
              <w:t xml:space="preserve">29.5 GHz band will only be issued in geographic areas that are located outside the embargo areas defined in </w:t>
            </w:r>
            <w:r w:rsidRPr="0059006F">
              <w:rPr>
                <w:i/>
                <w:iCs/>
              </w:rPr>
              <w:t xml:space="preserve">RALI MS03: Spectrum Embargos </w:t>
            </w:r>
            <w:r>
              <w:t>for the 24.7</w:t>
            </w:r>
            <w:r w:rsidR="0000598B">
              <w:t>–</w:t>
            </w:r>
            <w:r>
              <w:t>29.5 GHz bands.</w:t>
            </w:r>
          </w:p>
        </w:tc>
        <w:tc>
          <w:tcPr>
            <w:tcW w:w="0" w:type="dxa"/>
          </w:tcPr>
          <w:p w14:paraId="72D61B20" w14:textId="36A88A60" w:rsidR="00F03093" w:rsidRDefault="00F03093" w:rsidP="003F784A">
            <w:r>
              <w:t xml:space="preserve">29 </w:t>
            </w:r>
            <w:r w:rsidR="007B2E57">
              <w:t>define</w:t>
            </w:r>
            <w:r>
              <w:t>d large geographic areas in metropolitan and regional centres.</w:t>
            </w:r>
          </w:p>
        </w:tc>
      </w:tr>
      <w:tr w:rsidR="00F03093" w14:paraId="6A714912" w14:textId="77777777" w:rsidTr="00BE4EDC">
        <w:trPr>
          <w:cnfStyle w:val="000000100000" w:firstRow="0" w:lastRow="0" w:firstColumn="0" w:lastColumn="0" w:oddVBand="0" w:evenVBand="0" w:oddHBand="1" w:evenHBand="0" w:firstRowFirstColumn="0" w:firstRowLastColumn="0" w:lastRowFirstColumn="0" w:lastRowLastColumn="0"/>
        </w:trPr>
        <w:tc>
          <w:tcPr>
            <w:tcW w:w="0" w:type="dxa"/>
            <w:hideMark/>
          </w:tcPr>
          <w:p w14:paraId="7168BB75" w14:textId="77777777" w:rsidR="00F03093" w:rsidRDefault="00F03093" w:rsidP="003F784A">
            <w:r>
              <w:t>How long does authorisation last</w:t>
            </w:r>
          </w:p>
        </w:tc>
        <w:tc>
          <w:tcPr>
            <w:tcW w:w="0" w:type="dxa"/>
            <w:hideMark/>
          </w:tcPr>
          <w:p w14:paraId="59EC5C0E" w14:textId="77777777" w:rsidR="00F03093" w:rsidRDefault="00F03093" w:rsidP="003F784A">
            <w:r>
              <w:t>1 – 5 years</w:t>
            </w:r>
          </w:p>
        </w:tc>
        <w:tc>
          <w:tcPr>
            <w:tcW w:w="0" w:type="dxa"/>
            <w:hideMark/>
          </w:tcPr>
          <w:p w14:paraId="5B947C4C" w14:textId="77777777" w:rsidR="00F03093" w:rsidRDefault="00F03093" w:rsidP="003F784A">
            <w:r>
              <w:t>15 years</w:t>
            </w:r>
          </w:p>
        </w:tc>
      </w:tr>
      <w:tr w:rsidR="00F03093" w14:paraId="3B63A06D" w14:textId="77777777" w:rsidTr="00BE4EDC">
        <w:trPr>
          <w:cnfStyle w:val="000000010000" w:firstRow="0" w:lastRow="0" w:firstColumn="0" w:lastColumn="0" w:oddVBand="0" w:evenVBand="0" w:oddHBand="0" w:evenHBand="1" w:firstRowFirstColumn="0" w:firstRowLastColumn="0" w:lastRowFirstColumn="0" w:lastRowLastColumn="0"/>
        </w:trPr>
        <w:tc>
          <w:tcPr>
            <w:tcW w:w="0" w:type="dxa"/>
            <w:hideMark/>
          </w:tcPr>
          <w:p w14:paraId="170D3319" w14:textId="77777777" w:rsidR="00F03093" w:rsidRDefault="00F03093" w:rsidP="003F784A">
            <w:r>
              <w:t>Allocation mechanism</w:t>
            </w:r>
          </w:p>
        </w:tc>
        <w:tc>
          <w:tcPr>
            <w:tcW w:w="0" w:type="dxa"/>
            <w:hideMark/>
          </w:tcPr>
          <w:p w14:paraId="706E0DB6" w14:textId="77777777" w:rsidR="00F03093" w:rsidRDefault="00F03093" w:rsidP="003F784A">
            <w:r>
              <w:t>Administrative allocation (section 100) e.g. First in time and/or merit selection; or</w:t>
            </w:r>
          </w:p>
          <w:p w14:paraId="4F5AF9CF" w14:textId="6EFCA366" w:rsidR="00F03093" w:rsidRDefault="00F03093" w:rsidP="00F03093">
            <w:r>
              <w:t>Price-based allocation (section 106)</w:t>
            </w:r>
          </w:p>
        </w:tc>
        <w:tc>
          <w:tcPr>
            <w:tcW w:w="0" w:type="dxa"/>
            <w:hideMark/>
          </w:tcPr>
          <w:p w14:paraId="702E4D97" w14:textId="77777777" w:rsidR="00F03093" w:rsidRDefault="00F03093" w:rsidP="003F784A">
            <w:pPr>
              <w:rPr>
                <w:strike/>
              </w:rPr>
            </w:pPr>
            <w:r>
              <w:t xml:space="preserve">Price-based allocation </w:t>
            </w:r>
            <w:r w:rsidRPr="005A56D7">
              <w:t>(</w:t>
            </w:r>
            <w:r>
              <w:t>s</w:t>
            </w:r>
            <w:r w:rsidRPr="005A56D7">
              <w:t>ection 60)</w:t>
            </w:r>
          </w:p>
        </w:tc>
      </w:tr>
      <w:tr w:rsidR="00F03093" w14:paraId="146E600E" w14:textId="77777777" w:rsidTr="00BE4EDC">
        <w:trPr>
          <w:cnfStyle w:val="000000100000" w:firstRow="0" w:lastRow="0" w:firstColumn="0" w:lastColumn="0" w:oddVBand="0" w:evenVBand="0" w:oddHBand="1" w:evenHBand="0" w:firstRowFirstColumn="0" w:firstRowLastColumn="0" w:lastRowFirstColumn="0" w:lastRowLastColumn="0"/>
        </w:trPr>
        <w:tc>
          <w:tcPr>
            <w:tcW w:w="0" w:type="dxa"/>
            <w:hideMark/>
          </w:tcPr>
          <w:p w14:paraId="780E5820" w14:textId="4FBC1C10" w:rsidR="00F03093" w:rsidRPr="00701A6A" w:rsidRDefault="00F03093" w:rsidP="003F784A">
            <w:r w:rsidRPr="00701A6A">
              <w:t>Conditions of use</w:t>
            </w:r>
            <w:r w:rsidR="0000598B">
              <w:t>—</w:t>
            </w:r>
            <w:r>
              <w:t xml:space="preserve"> technical</w:t>
            </w:r>
          </w:p>
        </w:tc>
        <w:tc>
          <w:tcPr>
            <w:tcW w:w="0" w:type="dxa"/>
            <w:hideMark/>
          </w:tcPr>
          <w:p w14:paraId="5957BE5B" w14:textId="77777777" w:rsidR="00F03093" w:rsidRPr="00712798" w:rsidRDefault="00F03093" w:rsidP="003F784A">
            <w:r w:rsidRPr="7A9A4DC0">
              <w:t xml:space="preserve">Set out in administrative radiocommunications allocation and licensing instructions and </w:t>
            </w:r>
            <w:r>
              <w:t>specified</w:t>
            </w:r>
            <w:r w:rsidRPr="7A9A4DC0">
              <w:t xml:space="preserve"> in L</w:t>
            </w:r>
            <w:r>
              <w:t>icence Condition Determinations</w:t>
            </w:r>
            <w:r w:rsidRPr="7A9A4DC0">
              <w:t>, which may be periodically reviewed, with additional flexibility afforded by discretionary conditions (as is the case with all apparatus licensing).</w:t>
            </w:r>
          </w:p>
        </w:tc>
        <w:tc>
          <w:tcPr>
            <w:tcW w:w="0" w:type="dxa"/>
          </w:tcPr>
          <w:p w14:paraId="162E9748" w14:textId="77777777" w:rsidR="00F03093" w:rsidRPr="00712798" w:rsidRDefault="00F03093" w:rsidP="003F784A">
            <w:r>
              <w:t>Core conditions locked in for duration of licence under legislation unless licensees agree to amendment. Non-core conditions can be amended if necessary, however this is not usual practice. Conditions that mandate parametric settings that are incorporated by reference to administrative instructions (e.g. specific parameters for TDD fallback synchronisation</w:t>
            </w:r>
            <w:r>
              <w:rPr>
                <w:rStyle w:val="FootnoteReference"/>
              </w:rPr>
              <w:footnoteReference w:id="3"/>
            </w:r>
            <w:r>
              <w:t>) may be reviewed periodically.</w:t>
            </w:r>
          </w:p>
        </w:tc>
      </w:tr>
      <w:tr w:rsidR="00F03093" w14:paraId="1BD34712" w14:textId="77777777" w:rsidTr="00BE4EDC">
        <w:trPr>
          <w:cnfStyle w:val="000000010000" w:firstRow="0" w:lastRow="0" w:firstColumn="0" w:lastColumn="0" w:oddVBand="0" w:evenVBand="0" w:oddHBand="0" w:evenHBand="1" w:firstRowFirstColumn="0" w:firstRowLastColumn="0" w:lastRowFirstColumn="0" w:lastRowLastColumn="0"/>
        </w:trPr>
        <w:tc>
          <w:tcPr>
            <w:tcW w:w="0" w:type="dxa"/>
            <w:hideMark/>
          </w:tcPr>
          <w:p w14:paraId="6967A3B8" w14:textId="7E8D78C3" w:rsidR="00F03093" w:rsidRDefault="00F03093" w:rsidP="003F784A">
            <w:r>
              <w:t>Conditions of use</w:t>
            </w:r>
            <w:r w:rsidR="0000598B">
              <w:t>—</w:t>
            </w:r>
            <w:r>
              <w:t xml:space="preserve"> exclusivity</w:t>
            </w:r>
          </w:p>
        </w:tc>
        <w:tc>
          <w:tcPr>
            <w:tcW w:w="0" w:type="dxa"/>
          </w:tcPr>
          <w:p w14:paraId="6B51B694" w14:textId="77777777" w:rsidR="00F03093" w:rsidRDefault="00F03093" w:rsidP="003F784A">
            <w:r>
              <w:t>Apparatus licences do not come with legal exclusivity; other apparatus licences can be issued over the top and class licences can be authorised to co-exist.</w:t>
            </w:r>
          </w:p>
          <w:p w14:paraId="5987227C" w14:textId="1997B043" w:rsidR="00F03093" w:rsidRDefault="00F03093" w:rsidP="003F784A">
            <w:r>
              <w:t>For services allocated on a primary basis, by default the coordination requirements for AWLs 26 and 28 GHz are based on exclusive use by a single AWL holder within the areas defined by the licence. Devices that must be recorded in the RRL must be coordinated against receivers operated under adjacent apparatus licences and spectrum licences. However, under some circumstances where compatibility allows, or where incumbent licensees are secondary, the ACMA may consider overlapping AWL licences held by other primary service operators.</w:t>
            </w:r>
          </w:p>
          <w:p w14:paraId="0FCD9F5C" w14:textId="77777777" w:rsidR="00F03093" w:rsidRDefault="00F03093" w:rsidP="003F784A">
            <w:pPr>
              <w:rPr>
                <w:i/>
                <w:iCs/>
              </w:rPr>
            </w:pPr>
            <w:r>
              <w:t>Licensees may authorise third parties to operate devices under the licence.</w:t>
            </w:r>
          </w:p>
        </w:tc>
        <w:tc>
          <w:tcPr>
            <w:tcW w:w="0" w:type="dxa"/>
          </w:tcPr>
          <w:p w14:paraId="3C78104B" w14:textId="7FA313AA" w:rsidR="00F03093" w:rsidRDefault="00F03093" w:rsidP="003F784A">
            <w:r>
              <w:t xml:space="preserve">Largely exclusive use within the declared area. Class licences can be authorised to co-exist and apparatus </w:t>
            </w:r>
            <w:r w:rsidRPr="00AA08B8">
              <w:t xml:space="preserve">licences </w:t>
            </w:r>
            <w:r>
              <w:t xml:space="preserve">can be issued </w:t>
            </w:r>
            <w:r w:rsidRPr="00AA08B8">
              <w:t xml:space="preserve">in the </w:t>
            </w:r>
            <w:r>
              <w:t>spectrum</w:t>
            </w:r>
            <w:r w:rsidR="002B278A">
              <w:t xml:space="preserve"> </w:t>
            </w:r>
            <w:r>
              <w:t>authorised by the spectrum licence but only under</w:t>
            </w:r>
            <w:r w:rsidRPr="00AA08B8">
              <w:t xml:space="preserve"> </w:t>
            </w:r>
            <w:r>
              <w:t>certain legislative provisions</w:t>
            </w:r>
          </w:p>
          <w:p w14:paraId="007B78BB" w14:textId="54573976" w:rsidR="00F03093" w:rsidRPr="00AA08B8" w:rsidRDefault="00F03093" w:rsidP="003F784A">
            <w:r>
              <w:t>Licensees may authorise third parties to operate devices under the licence.</w:t>
            </w:r>
          </w:p>
        </w:tc>
      </w:tr>
    </w:tbl>
    <w:p w14:paraId="255D607B" w14:textId="77777777" w:rsidR="00A6577E" w:rsidRDefault="00A6577E" w:rsidP="00DD5610"/>
    <w:p w14:paraId="7FEB9183" w14:textId="2AC13C9C" w:rsidR="00DD5610" w:rsidRDefault="00AF3B12" w:rsidP="00BE4EDC">
      <w:pPr>
        <w:pStyle w:val="Heading3"/>
      </w:pPr>
      <w:r>
        <w:t>Spectrum licensing</w:t>
      </w:r>
    </w:p>
    <w:p w14:paraId="4BA538B4" w14:textId="20781719" w:rsidR="00B778D3" w:rsidRDefault="00B778D3" w:rsidP="00B778D3">
      <w:r>
        <w:t>T</w:t>
      </w:r>
      <w:r w:rsidR="00326725">
        <w:t xml:space="preserve">he </w:t>
      </w:r>
      <w:hyperlink r:id="rId42" w:history="1">
        <w:r w:rsidR="00E060EF">
          <w:rPr>
            <w:rStyle w:val="Hyperlink"/>
          </w:rPr>
          <w:t>26 GHz decisions paper</w:t>
        </w:r>
      </w:hyperlink>
      <w:r w:rsidR="00326725">
        <w:t xml:space="preserve"> </w:t>
      </w:r>
      <w:r>
        <w:t xml:space="preserve">formed the basis for a </w:t>
      </w:r>
      <w:hyperlink r:id="rId43" w:history="1">
        <w:r w:rsidRPr="000E2415">
          <w:rPr>
            <w:rStyle w:val="Hyperlink"/>
          </w:rPr>
          <w:t xml:space="preserve">draft spectrum </w:t>
        </w:r>
        <w:r w:rsidR="004E7783">
          <w:rPr>
            <w:rStyle w:val="Hyperlink"/>
          </w:rPr>
          <w:t>re-allocation</w:t>
        </w:r>
        <w:r w:rsidRPr="000E2415">
          <w:rPr>
            <w:rStyle w:val="Hyperlink"/>
          </w:rPr>
          <w:t xml:space="preserve"> recommendation</w:t>
        </w:r>
      </w:hyperlink>
      <w:r>
        <w:t xml:space="preserve"> </w:t>
      </w:r>
      <w:r w:rsidR="00FD1CF8">
        <w:t>we</w:t>
      </w:r>
      <w:r>
        <w:t xml:space="preserve"> proposed to make to the </w:t>
      </w:r>
      <w:r w:rsidR="00447ADB">
        <w:t>Minister</w:t>
      </w:r>
      <w:r>
        <w:t xml:space="preserve"> about reallocating spectrum in the band. Following consideration of stakeholder submissions, </w:t>
      </w:r>
      <w:r w:rsidR="00FD1CF8">
        <w:t>we</w:t>
      </w:r>
      <w:r>
        <w:t xml:space="preserve"> </w:t>
      </w:r>
      <w:r w:rsidR="005760C6">
        <w:t xml:space="preserve">made such </w:t>
      </w:r>
      <w:r w:rsidR="00D06DBE">
        <w:t xml:space="preserve">a </w:t>
      </w:r>
      <w:r>
        <w:t xml:space="preserve">recommendation to the </w:t>
      </w:r>
      <w:r w:rsidR="00447ADB">
        <w:t>Minister</w:t>
      </w:r>
      <w:r w:rsidR="005760C6">
        <w:t xml:space="preserve"> </w:t>
      </w:r>
      <w:r>
        <w:t xml:space="preserve">under section 153F of the Act. </w:t>
      </w:r>
    </w:p>
    <w:p w14:paraId="4CAAEDAB" w14:textId="79F4C321" w:rsidR="00B778D3" w:rsidRDefault="00B778D3" w:rsidP="007A7F6B">
      <w:r>
        <w:t xml:space="preserve">On </w:t>
      </w:r>
      <w:r w:rsidR="004508F7">
        <w:t>18 October 2019</w:t>
      </w:r>
      <w:r>
        <w:t xml:space="preserve">, following consideration of </w:t>
      </w:r>
      <w:r w:rsidR="00FD1CF8">
        <w:t>our</w:t>
      </w:r>
      <w:r>
        <w:t xml:space="preserve"> recommendation, the </w:t>
      </w:r>
      <w:r w:rsidR="00447ADB">
        <w:t>Minister</w:t>
      </w:r>
      <w:r>
        <w:t xml:space="preserve"> made th</w:t>
      </w:r>
      <w:r w:rsidR="004508F7">
        <w:t>e</w:t>
      </w:r>
      <w:r>
        <w:t xml:space="preserve"> </w:t>
      </w:r>
      <w:r w:rsidR="00C36D20">
        <w:t>re-allocation declaration</w:t>
      </w:r>
      <w:r w:rsidR="004508F7">
        <w:t xml:space="preserve">. </w:t>
      </w:r>
    </w:p>
    <w:p w14:paraId="13491FA3" w14:textId="7130719B" w:rsidR="00B778D3" w:rsidRDefault="00E87D7C" w:rsidP="007A7F6B">
      <w:pPr>
        <w:pStyle w:val="Paragraph"/>
      </w:pPr>
      <w:r w:rsidRPr="003B2207">
        <w:t xml:space="preserve">A spectrum </w:t>
      </w:r>
      <w:r w:rsidR="004E7783">
        <w:t>re-allocation</w:t>
      </w:r>
      <w:r w:rsidRPr="003B2207">
        <w:t xml:space="preserve"> declaration has the effect of cancelling apparatus licences in the spectrum to be re</w:t>
      </w:r>
      <w:r w:rsidR="00A9027C">
        <w:t>-</w:t>
      </w:r>
      <w:r w:rsidRPr="003B2207">
        <w:t xml:space="preserve">allocated, at the end of the </w:t>
      </w:r>
      <w:r w:rsidR="004E7783">
        <w:t>re-allocation</w:t>
      </w:r>
      <w:r w:rsidRPr="003B2207">
        <w:t xml:space="preserve"> period. </w:t>
      </w:r>
      <w:r w:rsidR="00B778D3">
        <w:t xml:space="preserve">As shown in </w:t>
      </w:r>
      <w:r w:rsidR="00B778D3" w:rsidRPr="00B74D9E">
        <w:t xml:space="preserve">Table </w:t>
      </w:r>
      <w:r w:rsidR="00783763" w:rsidRPr="00B74D9E">
        <w:t>1</w:t>
      </w:r>
      <w:r w:rsidR="001B19ED">
        <w:t xml:space="preserve"> above</w:t>
      </w:r>
      <w:r w:rsidR="00B778D3">
        <w:t>, the</w:t>
      </w:r>
      <w:r w:rsidR="00BD6305">
        <w:t xml:space="preserve"> </w:t>
      </w:r>
      <w:r w:rsidR="004E7783">
        <w:t>re-allocation</w:t>
      </w:r>
      <w:r w:rsidR="00B778D3">
        <w:t xml:space="preserve"> declaration provide</w:t>
      </w:r>
      <w:r w:rsidR="00494B73">
        <w:t>s</w:t>
      </w:r>
      <w:r w:rsidR="00B778D3">
        <w:t xml:space="preserve"> for </w:t>
      </w:r>
      <w:r w:rsidR="00494B73">
        <w:t xml:space="preserve">a </w:t>
      </w:r>
      <w:r w:rsidR="004E7783">
        <w:t>re-allocation</w:t>
      </w:r>
      <w:r w:rsidR="00494B73">
        <w:t xml:space="preserve"> period of three years</w:t>
      </w:r>
      <w:r w:rsidR="00B778D3">
        <w:t xml:space="preserve"> </w:t>
      </w:r>
      <w:r w:rsidR="0078608D">
        <w:t>commencing on 15 November 2019</w:t>
      </w:r>
      <w:r w:rsidR="00494B73">
        <w:t>.</w:t>
      </w:r>
      <w:r>
        <w:t xml:space="preserve"> </w:t>
      </w:r>
      <w:r w:rsidR="005760C6">
        <w:t xml:space="preserve">Any </w:t>
      </w:r>
      <w:r w:rsidR="00B778D3" w:rsidRPr="003B2207">
        <w:t xml:space="preserve">apparatus licences remaining in the band </w:t>
      </w:r>
      <w:r w:rsidR="005760C6">
        <w:t xml:space="preserve">on </w:t>
      </w:r>
      <w:r w:rsidR="007A1F42">
        <w:t xml:space="preserve">the end </w:t>
      </w:r>
      <w:r w:rsidR="005760C6">
        <w:t>date</w:t>
      </w:r>
      <w:r w:rsidR="007A1F42">
        <w:t xml:space="preserve"> of </w:t>
      </w:r>
      <w:r w:rsidR="00A37807">
        <w:t>14 November 2022</w:t>
      </w:r>
      <w:r w:rsidR="005760C6">
        <w:t xml:space="preserve"> </w:t>
      </w:r>
      <w:r w:rsidR="00B778D3" w:rsidRPr="003B2207">
        <w:t>are automatically cancelled.</w:t>
      </w:r>
    </w:p>
    <w:p w14:paraId="141AB181" w14:textId="77777777" w:rsidR="00494B73" w:rsidRPr="003B2207" w:rsidRDefault="00494B73" w:rsidP="00494B73">
      <w:pPr>
        <w:pStyle w:val="Heading2"/>
        <w:keepLines/>
        <w:spacing w:before="0"/>
      </w:pPr>
      <w:bookmarkStart w:id="13" w:name="_Toc459210804"/>
      <w:bookmarkStart w:id="14" w:name="_Toc461025807"/>
      <w:bookmarkStart w:id="15" w:name="_Toc512246156"/>
      <w:bookmarkStart w:id="16" w:name="_Toc512503290"/>
      <w:bookmarkStart w:id="17" w:name="_Toc514330439"/>
      <w:bookmarkStart w:id="18" w:name="_Toc45112201"/>
      <w:r w:rsidRPr="00D17101">
        <w:t>The auction</w:t>
      </w:r>
      <w:bookmarkEnd w:id="13"/>
      <w:bookmarkEnd w:id="14"/>
      <w:bookmarkEnd w:id="15"/>
      <w:bookmarkEnd w:id="16"/>
      <w:bookmarkEnd w:id="17"/>
      <w:bookmarkEnd w:id="18"/>
    </w:p>
    <w:p w14:paraId="5F186B4B" w14:textId="42A75F6A" w:rsidR="00494B73" w:rsidRDefault="00FD1CF8" w:rsidP="00494B73">
      <w:pPr>
        <w:keepNext/>
        <w:keepLines/>
      </w:pPr>
      <w:r>
        <w:t>We are</w:t>
      </w:r>
      <w:r w:rsidR="00494B73">
        <w:t xml:space="preserve"> preparing to allocate the 26 GHz band by auction in </w:t>
      </w:r>
      <w:r w:rsidR="00B60833">
        <w:t xml:space="preserve">late </w:t>
      </w:r>
      <w:r w:rsidR="00494B73">
        <w:t>March 2021.</w:t>
      </w:r>
    </w:p>
    <w:p w14:paraId="46D8F662" w14:textId="7DE65388" w:rsidR="00494B73" w:rsidRDefault="00494B73" w:rsidP="00494B73">
      <w:pPr>
        <w:keepNext/>
        <w:keepLines/>
        <w:spacing w:before="240" w:after="80"/>
        <w:rPr>
          <w:szCs w:val="20"/>
        </w:rPr>
      </w:pPr>
      <w:r>
        <w:t xml:space="preserve">The 26 GHz band auction will be </w:t>
      </w:r>
      <w:r w:rsidR="00594DE5">
        <w:t xml:space="preserve">conducted </w:t>
      </w:r>
      <w:r>
        <w:t xml:space="preserve">online using an </w:t>
      </w:r>
      <w:r w:rsidR="001B19ED">
        <w:t>e</w:t>
      </w:r>
      <w:r w:rsidR="001B19ED" w:rsidRPr="000F7CFD">
        <w:t xml:space="preserve">nhanced </w:t>
      </w:r>
      <w:r w:rsidR="001B19ED">
        <w:t>s</w:t>
      </w:r>
      <w:r w:rsidRPr="000F7CFD">
        <w:t xml:space="preserve">imultaneous </w:t>
      </w:r>
      <w:r w:rsidR="001B19ED">
        <w:t>m</w:t>
      </w:r>
      <w:r w:rsidRPr="000F7CFD">
        <w:t>ulti-</w:t>
      </w:r>
      <w:r w:rsidR="001B19ED">
        <w:t>r</w:t>
      </w:r>
      <w:r w:rsidRPr="000F7CFD">
        <w:t xml:space="preserve">ound </w:t>
      </w:r>
      <w:r w:rsidR="001B19ED">
        <w:t>a</w:t>
      </w:r>
      <w:r w:rsidRPr="000F7CFD">
        <w:t xml:space="preserve">scending </w:t>
      </w:r>
      <w:r w:rsidR="001B19ED">
        <w:t xml:space="preserve">(ESMRA) </w:t>
      </w:r>
      <w:r w:rsidRPr="000F7CFD">
        <w:t xml:space="preserve">auction </w:t>
      </w:r>
      <w:r>
        <w:t xml:space="preserve">format. </w:t>
      </w:r>
      <w:r>
        <w:rPr>
          <w:szCs w:val="20"/>
        </w:rPr>
        <w:t>This is a two-stage auction methodology, comprising:</w:t>
      </w:r>
    </w:p>
    <w:p w14:paraId="3467D03A" w14:textId="3760778A" w:rsidR="003C6F0F" w:rsidRPr="00182097" w:rsidRDefault="00494B73" w:rsidP="00494B73">
      <w:pPr>
        <w:pStyle w:val="ListNumber"/>
        <w:keepNext/>
        <w:keepLines/>
        <w:numPr>
          <w:ilvl w:val="0"/>
          <w:numId w:val="24"/>
        </w:numPr>
      </w:pPr>
      <w:r w:rsidRPr="00B47FC3">
        <w:t xml:space="preserve">a </w:t>
      </w:r>
      <w:r w:rsidRPr="00494B73">
        <w:rPr>
          <w:b/>
        </w:rPr>
        <w:t>primary</w:t>
      </w:r>
      <w:r w:rsidRPr="00B47FC3">
        <w:t xml:space="preserve"> stage</w:t>
      </w:r>
      <w:r>
        <w:t xml:space="preserve">, which </w:t>
      </w:r>
      <w:r w:rsidR="0063260D">
        <w:t>offer</w:t>
      </w:r>
      <w:r w:rsidR="007A7D4E">
        <w:t>s</w:t>
      </w:r>
      <w:r w:rsidR="0063260D">
        <w:t xml:space="preserve"> simultaneously</w:t>
      </w:r>
      <w:r>
        <w:t xml:space="preserve"> </w:t>
      </w:r>
      <w:r w:rsidRPr="00B47FC3">
        <w:t>frequency-generic lots</w:t>
      </w:r>
      <w:r w:rsidR="0063260D">
        <w:t xml:space="preserve"> for each area</w:t>
      </w:r>
    </w:p>
    <w:p w14:paraId="21FE7AD8" w14:textId="77777777" w:rsidR="00494B73" w:rsidRDefault="00494B73" w:rsidP="003C6F0F">
      <w:pPr>
        <w:pStyle w:val="ListNumber"/>
        <w:keepNext/>
        <w:keepLines/>
        <w:numPr>
          <w:ilvl w:val="0"/>
          <w:numId w:val="24"/>
        </w:numPr>
      </w:pPr>
      <w:r w:rsidRPr="003C6F0F">
        <w:rPr>
          <w:szCs w:val="20"/>
        </w:rPr>
        <w:t xml:space="preserve">an </w:t>
      </w:r>
      <w:r w:rsidRPr="003C6F0F">
        <w:rPr>
          <w:b/>
          <w:szCs w:val="20"/>
        </w:rPr>
        <w:t>assignment</w:t>
      </w:r>
      <w:r w:rsidRPr="003C6F0F">
        <w:rPr>
          <w:szCs w:val="20"/>
        </w:rPr>
        <w:t xml:space="preserve"> stage</w:t>
      </w:r>
      <w:r>
        <w:t>, for assignment of lots to the specific frequencies within the band.</w:t>
      </w:r>
    </w:p>
    <w:p w14:paraId="3ABB6E23" w14:textId="3A1AEB3B" w:rsidR="00494B73" w:rsidRDefault="00494B73" w:rsidP="00494B73">
      <w:pPr>
        <w:spacing w:before="240"/>
      </w:pPr>
      <w:r>
        <w:t xml:space="preserve">Further discussion about the auction format is provided in </w:t>
      </w:r>
      <w:r w:rsidR="00BC4327">
        <w:t xml:space="preserve">the </w:t>
      </w:r>
      <w:hyperlink w:anchor="_Auction_format" w:history="1">
        <w:r w:rsidR="00BC4327" w:rsidRPr="00BE4EDC">
          <w:rPr>
            <w:rStyle w:val="Hyperlink"/>
            <w:i/>
            <w:iCs/>
          </w:rPr>
          <w:t>Draft allocation determination</w:t>
        </w:r>
      </w:hyperlink>
      <w:r w:rsidR="00BC4327">
        <w:t xml:space="preserve"> section of this paper</w:t>
      </w:r>
      <w:r w:rsidRPr="00B74D9E">
        <w:t>.</w:t>
      </w:r>
    </w:p>
    <w:p w14:paraId="437CFAFF" w14:textId="1D5F853D" w:rsidR="00494B73" w:rsidRDefault="00494B73" w:rsidP="00494B73">
      <w:r>
        <w:t xml:space="preserve">Following consideration of submissions to this paper, </w:t>
      </w:r>
      <w:r w:rsidR="00FD1CF8">
        <w:t>we</w:t>
      </w:r>
      <w:r>
        <w:t xml:space="preserve"> will make the final allocation instruments and invite interested parties to register as bidders in the 26 GHz band auction. Registered bidders will be provided with an opportunity before the auction to trial the </w:t>
      </w:r>
      <w:r w:rsidR="009B0AA0">
        <w:t>online auction system</w:t>
      </w:r>
      <w:r>
        <w:t xml:space="preserve">. </w:t>
      </w:r>
    </w:p>
    <w:p w14:paraId="2CB5F103" w14:textId="77777777" w:rsidR="00494B73" w:rsidRDefault="00494B73" w:rsidP="00494B73">
      <w:pPr>
        <w:pStyle w:val="Heading3"/>
      </w:pPr>
      <w:r>
        <w:t>Indicative timeline</w:t>
      </w:r>
    </w:p>
    <w:p w14:paraId="5AEBDAE7" w14:textId="35BF0569" w:rsidR="00494B73" w:rsidRPr="00B74D9E" w:rsidRDefault="00FD1CF8" w:rsidP="00494B73">
      <w:r>
        <w:t>We have</w:t>
      </w:r>
      <w:r w:rsidR="00494B73">
        <w:t xml:space="preserve"> prepared an indicative timeline, shown in </w:t>
      </w:r>
      <w:r w:rsidR="00494B73" w:rsidRPr="00B74D9E">
        <w:t xml:space="preserve">Table </w:t>
      </w:r>
      <w:r w:rsidR="004229C0">
        <w:t>3</w:t>
      </w:r>
      <w:r w:rsidR="00494B73" w:rsidRPr="00B74D9E">
        <w:t xml:space="preserve">, to </w:t>
      </w:r>
      <w:r w:rsidR="000644D1" w:rsidRPr="00B74D9E">
        <w:t xml:space="preserve">help </w:t>
      </w:r>
      <w:r w:rsidR="00494B73" w:rsidRPr="00B74D9E">
        <w:t xml:space="preserve">potential bidders </w:t>
      </w:r>
      <w:r w:rsidR="00E97C48" w:rsidRPr="00B74D9E">
        <w:t>understand the process leading up to the auction</w:t>
      </w:r>
      <w:r w:rsidR="00494B73" w:rsidRPr="00B74D9E">
        <w:t xml:space="preserve">. </w:t>
      </w:r>
      <w:r w:rsidR="000644D1" w:rsidRPr="00B74D9E">
        <w:t>We</w:t>
      </w:r>
      <w:r w:rsidR="00494B73" w:rsidRPr="00B74D9E">
        <w:t xml:space="preserve"> emphasise that the dates in this timeline are estimates only and may change as the allocation process progresses, including </w:t>
      </w:r>
      <w:r w:rsidR="00E97C48" w:rsidRPr="00B74D9E">
        <w:t xml:space="preserve">as a result of </w:t>
      </w:r>
      <w:r w:rsidR="00494B73" w:rsidRPr="00B74D9E">
        <w:t>consider</w:t>
      </w:r>
      <w:r w:rsidR="00BC4327">
        <w:t xml:space="preserve">ing </w:t>
      </w:r>
      <w:r w:rsidR="00494B73" w:rsidRPr="00B74D9E">
        <w:t xml:space="preserve">information provided by industry stakeholders during consultation. The final </w:t>
      </w:r>
      <w:r w:rsidR="00B60833" w:rsidRPr="00B74D9E">
        <w:t xml:space="preserve">allocation </w:t>
      </w:r>
      <w:r w:rsidR="00494B73" w:rsidRPr="00B74D9E">
        <w:t xml:space="preserve">process will be formulated </w:t>
      </w:r>
      <w:proofErr w:type="gramStart"/>
      <w:r w:rsidR="00494B73" w:rsidRPr="00B74D9E">
        <w:t>taking into account</w:t>
      </w:r>
      <w:proofErr w:type="gramEnd"/>
      <w:r w:rsidR="005760C6" w:rsidRPr="00B74D9E">
        <w:t xml:space="preserve"> </w:t>
      </w:r>
      <w:r w:rsidR="00494B73" w:rsidRPr="00B74D9E">
        <w:t>submissions.</w:t>
      </w:r>
    </w:p>
    <w:p w14:paraId="310CBF52" w14:textId="1CB23BD5" w:rsidR="00494B73" w:rsidRPr="00B74D9E" w:rsidRDefault="000644D1" w:rsidP="00EA18A8">
      <w:r w:rsidRPr="00B74D9E">
        <w:t>We</w:t>
      </w:r>
      <w:r w:rsidR="00494B73" w:rsidRPr="00B74D9E">
        <w:t xml:space="preserve"> propose to commence the application process in </w:t>
      </w:r>
      <w:r w:rsidR="006730D6" w:rsidRPr="00B74D9E">
        <w:t>mid-Dec</w:t>
      </w:r>
      <w:r w:rsidR="0063260D" w:rsidRPr="00B74D9E">
        <w:t>ember</w:t>
      </w:r>
      <w:r w:rsidR="000F74F2" w:rsidRPr="00B74D9E">
        <w:t xml:space="preserve"> 2020</w:t>
      </w:r>
      <w:r w:rsidR="00494B73" w:rsidRPr="00B74D9E">
        <w:t xml:space="preserve">. </w:t>
      </w:r>
      <w:r w:rsidRPr="00B74D9E">
        <w:t>We</w:t>
      </w:r>
      <w:r w:rsidR="00494B73" w:rsidRPr="00B74D9E">
        <w:t xml:space="preserve"> will provide updated timelines on </w:t>
      </w:r>
      <w:r w:rsidRPr="00B74D9E">
        <w:t xml:space="preserve">our </w:t>
      </w:r>
      <w:r w:rsidR="00494B73" w:rsidRPr="00B74D9E">
        <w:t xml:space="preserve">website as and when further information becomes available. </w:t>
      </w:r>
    </w:p>
    <w:p w14:paraId="51147FE2" w14:textId="776D0404" w:rsidR="00494B73" w:rsidRPr="00CA50B4" w:rsidRDefault="009B6601" w:rsidP="00BE4EDC">
      <w:pPr>
        <w:pStyle w:val="Tableheading"/>
        <w:keepLines/>
      </w:pPr>
      <w:r w:rsidRPr="00B74D9E">
        <w:t xml:space="preserve">Table </w:t>
      </w:r>
      <w:r w:rsidR="004229C0">
        <w:t>3</w:t>
      </w:r>
      <w:r w:rsidRPr="00B74D9E">
        <w:t xml:space="preserve">: </w:t>
      </w:r>
      <w:r w:rsidR="00494B73" w:rsidRPr="00B74D9E">
        <w:t xml:space="preserve">Indicative timeline for the </w:t>
      </w:r>
      <w:r w:rsidR="000F74F2" w:rsidRPr="00B74D9E">
        <w:t>2</w:t>
      </w:r>
      <w:r w:rsidR="00494B73" w:rsidRPr="00B74D9E">
        <w:t>6 GHz band auction</w:t>
      </w:r>
    </w:p>
    <w:tbl>
      <w:tblPr>
        <w:tblStyle w:val="TableGrid"/>
        <w:tblW w:w="8511" w:type="dxa"/>
        <w:tblInd w:w="55" w:type="dxa"/>
        <w:tblLayout w:type="fixed"/>
        <w:tblCellMar>
          <w:top w:w="85" w:type="dxa"/>
          <w:left w:w="57" w:type="dxa"/>
          <w:bottom w:w="85" w:type="dxa"/>
          <w:right w:w="57" w:type="dxa"/>
        </w:tblCellMar>
        <w:tblLook w:val="04A0" w:firstRow="1" w:lastRow="0" w:firstColumn="1" w:lastColumn="0" w:noHBand="0" w:noVBand="1"/>
        <w:tblCaption w:val="Indicative timeline for unsold lot auctions"/>
        <w:tblDescription w:val="Includes desciption of the event and date."/>
      </w:tblPr>
      <w:tblGrid>
        <w:gridCol w:w="427"/>
        <w:gridCol w:w="5924"/>
        <w:gridCol w:w="2160"/>
      </w:tblGrid>
      <w:tr w:rsidR="00494B73" w:rsidRPr="00080443" w14:paraId="7C554813" w14:textId="77777777" w:rsidTr="000F74F2">
        <w:trPr>
          <w:trHeight w:val="278"/>
          <w:tblHeader/>
        </w:trPr>
        <w:tc>
          <w:tcPr>
            <w:tcW w:w="427" w:type="dxa"/>
            <w:tcBorders>
              <w:top w:val="nil"/>
              <w:left w:val="nil"/>
              <w:bottom w:val="single" w:sz="4" w:space="0" w:color="auto"/>
            </w:tcBorders>
            <w:shd w:val="clear" w:color="auto" w:fill="auto"/>
          </w:tcPr>
          <w:p w14:paraId="1A7AEBCD" w14:textId="77777777" w:rsidR="00494B73" w:rsidRPr="00080443" w:rsidRDefault="00494B73" w:rsidP="00BE4EDC">
            <w:pPr>
              <w:keepNext/>
              <w:keepLines/>
              <w:spacing w:before="80" w:after="0"/>
              <w:rPr>
                <w:rFonts w:cs="Arial"/>
                <w:b/>
              </w:rPr>
            </w:pPr>
          </w:p>
        </w:tc>
        <w:tc>
          <w:tcPr>
            <w:tcW w:w="5924" w:type="dxa"/>
            <w:tcBorders>
              <w:bottom w:val="single" w:sz="4" w:space="0" w:color="auto"/>
            </w:tcBorders>
            <w:shd w:val="clear" w:color="auto" w:fill="404040" w:themeFill="text1" w:themeFillTint="BF"/>
          </w:tcPr>
          <w:p w14:paraId="78B4E41F" w14:textId="77777777" w:rsidR="00494B73" w:rsidRPr="00625FEF" w:rsidRDefault="00494B73" w:rsidP="00BE4EDC">
            <w:pPr>
              <w:pStyle w:val="TableHeading0"/>
              <w:keepNext/>
              <w:keepLines/>
              <w:rPr>
                <w:b w:val="0"/>
                <w:color w:val="FFFFFF" w:themeColor="background1"/>
              </w:rPr>
            </w:pPr>
            <w:r w:rsidRPr="00625FEF">
              <w:rPr>
                <w:color w:val="FFFFFF" w:themeColor="background1"/>
              </w:rPr>
              <w:t>Event</w:t>
            </w:r>
          </w:p>
        </w:tc>
        <w:tc>
          <w:tcPr>
            <w:tcW w:w="2160" w:type="dxa"/>
            <w:tcBorders>
              <w:bottom w:val="single" w:sz="4" w:space="0" w:color="auto"/>
            </w:tcBorders>
            <w:shd w:val="clear" w:color="auto" w:fill="404040" w:themeFill="text1" w:themeFillTint="BF"/>
          </w:tcPr>
          <w:p w14:paraId="4EA0727F" w14:textId="32EC7BED" w:rsidR="00494B73" w:rsidRPr="00625FEF" w:rsidRDefault="00494B73" w:rsidP="00BE4EDC">
            <w:pPr>
              <w:pStyle w:val="TableHeading0"/>
              <w:keepNext/>
              <w:keepLines/>
              <w:rPr>
                <w:b w:val="0"/>
                <w:color w:val="FFFFFF" w:themeColor="background1"/>
              </w:rPr>
            </w:pPr>
            <w:r w:rsidRPr="00625FEF">
              <w:rPr>
                <w:color w:val="FFFFFF" w:themeColor="background1"/>
              </w:rPr>
              <w:t>Date</w:t>
            </w:r>
          </w:p>
        </w:tc>
      </w:tr>
      <w:tr w:rsidR="00494B73" w:rsidRPr="00080443" w14:paraId="63ACE043" w14:textId="77777777" w:rsidTr="000F74F2">
        <w:trPr>
          <w:trHeight w:val="467"/>
        </w:trPr>
        <w:tc>
          <w:tcPr>
            <w:tcW w:w="427" w:type="dxa"/>
            <w:shd w:val="clear" w:color="auto" w:fill="E5DFEC" w:themeFill="accent4" w:themeFillTint="33"/>
          </w:tcPr>
          <w:p w14:paraId="6EBB0E37" w14:textId="77777777" w:rsidR="00494B73" w:rsidRPr="00080443" w:rsidRDefault="00494B73" w:rsidP="00BE4EDC">
            <w:pPr>
              <w:pStyle w:val="ListNumber"/>
              <w:keepNext/>
              <w:keepLines/>
              <w:numPr>
                <w:ilvl w:val="0"/>
                <w:numId w:val="32"/>
              </w:numPr>
              <w:spacing w:after="0"/>
            </w:pPr>
            <w:r>
              <w:t>1.</w:t>
            </w:r>
          </w:p>
        </w:tc>
        <w:tc>
          <w:tcPr>
            <w:tcW w:w="5924" w:type="dxa"/>
            <w:shd w:val="clear" w:color="auto" w:fill="E5DFEC" w:themeFill="accent4" w:themeFillTint="33"/>
          </w:tcPr>
          <w:p w14:paraId="191D4400" w14:textId="06D62ED8" w:rsidR="00494B73" w:rsidRPr="00080443" w:rsidRDefault="00A96445" w:rsidP="00BE4EDC">
            <w:pPr>
              <w:keepNext/>
              <w:keepLines/>
              <w:spacing w:after="0"/>
            </w:pPr>
            <w:r>
              <w:t xml:space="preserve">Release of </w:t>
            </w:r>
            <w:r w:rsidR="00494B73">
              <w:t xml:space="preserve">this </w:t>
            </w:r>
            <w:r w:rsidR="00E060EF">
              <w:t xml:space="preserve">consultation </w:t>
            </w:r>
            <w:r w:rsidR="00494B73">
              <w:t>paper</w:t>
            </w:r>
            <w:r w:rsidR="00E060EF">
              <w:t xml:space="preserve"> inviting comments on the draft allocation instruments</w:t>
            </w:r>
            <w:r w:rsidR="00494B73">
              <w:t>.</w:t>
            </w:r>
          </w:p>
        </w:tc>
        <w:tc>
          <w:tcPr>
            <w:tcW w:w="2160" w:type="dxa"/>
            <w:shd w:val="clear" w:color="auto" w:fill="E5DFEC" w:themeFill="accent4" w:themeFillTint="33"/>
          </w:tcPr>
          <w:p w14:paraId="3D1D1FE4" w14:textId="1F3889D2" w:rsidR="00494B73" w:rsidRDefault="009E29A5" w:rsidP="00BE4EDC">
            <w:pPr>
              <w:keepNext/>
              <w:keepLines/>
              <w:spacing w:after="0"/>
              <w:rPr>
                <w:rFonts w:cs="Arial"/>
              </w:rPr>
            </w:pPr>
            <w:r w:rsidRPr="00B74D9E">
              <w:rPr>
                <w:rFonts w:cs="Arial"/>
              </w:rPr>
              <w:t xml:space="preserve">9 </w:t>
            </w:r>
            <w:r w:rsidR="000F74F2" w:rsidRPr="00B74D9E">
              <w:rPr>
                <w:rFonts w:cs="Arial"/>
              </w:rPr>
              <w:t>J</w:t>
            </w:r>
            <w:r w:rsidR="000F74F2" w:rsidRPr="000F74F2">
              <w:rPr>
                <w:rFonts w:cs="Arial"/>
              </w:rPr>
              <w:t>uly</w:t>
            </w:r>
            <w:r w:rsidR="00494B73">
              <w:rPr>
                <w:rFonts w:cs="Arial"/>
              </w:rPr>
              <w:t xml:space="preserve"> 20</w:t>
            </w:r>
            <w:r w:rsidR="000F74F2">
              <w:rPr>
                <w:rFonts w:cs="Arial"/>
              </w:rPr>
              <w:t>20</w:t>
            </w:r>
            <w:r w:rsidR="00E060EF">
              <w:rPr>
                <w:rStyle w:val="FootnoteReference"/>
                <w:rFonts w:cs="Arial"/>
              </w:rPr>
              <w:footnoteReference w:id="4"/>
            </w:r>
          </w:p>
          <w:p w14:paraId="12C67CC2" w14:textId="495768E7" w:rsidR="00E060EF" w:rsidRPr="00080443" w:rsidRDefault="00E060EF" w:rsidP="00BE4EDC">
            <w:pPr>
              <w:keepNext/>
              <w:keepLines/>
              <w:spacing w:after="0"/>
              <w:rPr>
                <w:rFonts w:cs="Arial"/>
              </w:rPr>
            </w:pPr>
          </w:p>
        </w:tc>
      </w:tr>
      <w:tr w:rsidR="00494B73" w:rsidRPr="00080443" w14:paraId="13659262" w14:textId="77777777" w:rsidTr="000F74F2">
        <w:tc>
          <w:tcPr>
            <w:tcW w:w="427" w:type="dxa"/>
          </w:tcPr>
          <w:p w14:paraId="7A24569C" w14:textId="5E94E6F5" w:rsidR="00494B73" w:rsidRPr="00080443" w:rsidRDefault="0070766C" w:rsidP="00BE4EDC">
            <w:pPr>
              <w:pStyle w:val="ListNumber"/>
              <w:keepNext/>
              <w:keepLines/>
              <w:spacing w:after="0"/>
            </w:pPr>
            <w:r>
              <w:t>2.</w:t>
            </w:r>
          </w:p>
        </w:tc>
        <w:tc>
          <w:tcPr>
            <w:tcW w:w="5924" w:type="dxa"/>
          </w:tcPr>
          <w:p w14:paraId="5F1B8A91" w14:textId="77777777" w:rsidR="00494B73" w:rsidRPr="00080443" w:rsidRDefault="00494B73" w:rsidP="00BE4EDC">
            <w:pPr>
              <w:keepNext/>
              <w:keepLines/>
              <w:spacing w:after="0"/>
            </w:pPr>
            <w:r>
              <w:t>The ACMA makes allocation instruments and registers them on the Federal Register of Legislation.</w:t>
            </w:r>
          </w:p>
        </w:tc>
        <w:tc>
          <w:tcPr>
            <w:tcW w:w="2160" w:type="dxa"/>
          </w:tcPr>
          <w:p w14:paraId="3E9FCC18" w14:textId="4C9E4734" w:rsidR="00494B73" w:rsidRPr="00FF4E55" w:rsidRDefault="00D55C61" w:rsidP="00BE4EDC">
            <w:pPr>
              <w:keepNext/>
              <w:keepLines/>
              <w:tabs>
                <w:tab w:val="right" w:pos="2046"/>
              </w:tabs>
              <w:spacing w:before="80" w:after="120"/>
              <w:rPr>
                <w:rFonts w:cs="Arial"/>
              </w:rPr>
            </w:pPr>
            <w:r>
              <w:rPr>
                <w:rFonts w:cs="Arial"/>
              </w:rPr>
              <w:t xml:space="preserve">Late </w:t>
            </w:r>
            <w:r w:rsidR="000F74F2">
              <w:rPr>
                <w:rFonts w:cs="Arial"/>
              </w:rPr>
              <w:t>November 2020</w:t>
            </w:r>
          </w:p>
        </w:tc>
      </w:tr>
      <w:tr w:rsidR="00494B73" w:rsidRPr="00080443" w14:paraId="26042244" w14:textId="77777777" w:rsidTr="000F74F2">
        <w:tc>
          <w:tcPr>
            <w:tcW w:w="427" w:type="dxa"/>
            <w:shd w:val="clear" w:color="auto" w:fill="F2F2F2" w:themeFill="background1" w:themeFillShade="F2"/>
          </w:tcPr>
          <w:p w14:paraId="3AAD6F07" w14:textId="26EE0079" w:rsidR="00494B73" w:rsidRPr="00080443" w:rsidRDefault="0070766C" w:rsidP="00BE4EDC">
            <w:pPr>
              <w:pStyle w:val="ListNumber"/>
              <w:keepNext/>
              <w:keepLines/>
              <w:rPr>
                <w:rFonts w:cs="Arial"/>
              </w:rPr>
            </w:pPr>
            <w:r>
              <w:rPr>
                <w:rFonts w:cs="Arial"/>
              </w:rPr>
              <w:t>3.</w:t>
            </w:r>
          </w:p>
        </w:tc>
        <w:tc>
          <w:tcPr>
            <w:tcW w:w="5924" w:type="dxa"/>
            <w:shd w:val="clear" w:color="auto" w:fill="F2F2F2" w:themeFill="background1" w:themeFillShade="F2"/>
          </w:tcPr>
          <w:p w14:paraId="2A892694" w14:textId="308B1E4E" w:rsidR="00494B73" w:rsidRPr="00080443" w:rsidRDefault="00494B73" w:rsidP="00BE4EDC">
            <w:pPr>
              <w:keepNext/>
              <w:keepLines/>
              <w:spacing w:after="0"/>
            </w:pPr>
            <w:r w:rsidRPr="00080443">
              <w:t xml:space="preserve">The ACMA advertises </w:t>
            </w:r>
            <w:r>
              <w:t xml:space="preserve">the </w:t>
            </w:r>
            <w:r w:rsidRPr="00080443">
              <w:t xml:space="preserve">auction, publishes the </w:t>
            </w:r>
            <w:r w:rsidRPr="00080443">
              <w:rPr>
                <w:i/>
              </w:rPr>
              <w:t xml:space="preserve">Applicant </w:t>
            </w:r>
            <w:r w:rsidR="00AE6BA5">
              <w:rPr>
                <w:i/>
              </w:rPr>
              <w:t>I</w:t>
            </w:r>
            <w:r w:rsidRPr="00080443">
              <w:rPr>
                <w:i/>
              </w:rPr>
              <w:t xml:space="preserve">nformation </w:t>
            </w:r>
            <w:r w:rsidR="00AE6BA5">
              <w:rPr>
                <w:i/>
              </w:rPr>
              <w:t>P</w:t>
            </w:r>
            <w:r w:rsidRPr="00080443">
              <w:rPr>
                <w:i/>
              </w:rPr>
              <w:t>ack</w:t>
            </w:r>
            <w:r w:rsidRPr="00080443">
              <w:t xml:space="preserve"> </w:t>
            </w:r>
            <w:r w:rsidR="00431F9F">
              <w:t xml:space="preserve">(AIP) </w:t>
            </w:r>
            <w:r w:rsidRPr="00080443">
              <w:t>and applications open</w:t>
            </w:r>
            <w:r>
              <w:t>.</w:t>
            </w:r>
          </w:p>
        </w:tc>
        <w:tc>
          <w:tcPr>
            <w:tcW w:w="2160" w:type="dxa"/>
            <w:shd w:val="clear" w:color="auto" w:fill="F2F2F2" w:themeFill="background1" w:themeFillShade="F2"/>
          </w:tcPr>
          <w:p w14:paraId="6A99B6BB" w14:textId="7CC29556" w:rsidR="00494B73" w:rsidRPr="00080443" w:rsidRDefault="00D55C61" w:rsidP="00BE4EDC">
            <w:pPr>
              <w:keepNext/>
              <w:keepLines/>
            </w:pPr>
            <w:r>
              <w:t>Mid-</w:t>
            </w:r>
            <w:r w:rsidR="00EF6008">
              <w:t>December</w:t>
            </w:r>
            <w:r w:rsidR="00494B73">
              <w:t xml:space="preserve"> 20</w:t>
            </w:r>
            <w:r w:rsidR="000F74F2">
              <w:t>20</w:t>
            </w:r>
          </w:p>
        </w:tc>
      </w:tr>
      <w:tr w:rsidR="00494B73" w:rsidRPr="00080443" w14:paraId="0FB14C8E" w14:textId="77777777" w:rsidTr="003B1F5E">
        <w:trPr>
          <w:trHeight w:val="1573"/>
        </w:trPr>
        <w:tc>
          <w:tcPr>
            <w:tcW w:w="427" w:type="dxa"/>
          </w:tcPr>
          <w:p w14:paraId="07A347A0" w14:textId="522599F7" w:rsidR="00494B73" w:rsidRPr="00080443" w:rsidRDefault="0070766C" w:rsidP="00BE4EDC">
            <w:pPr>
              <w:pStyle w:val="ListNumber"/>
              <w:keepNext/>
              <w:keepLines/>
              <w:rPr>
                <w:rFonts w:cs="Arial"/>
              </w:rPr>
            </w:pPr>
            <w:r>
              <w:rPr>
                <w:rFonts w:cs="Arial"/>
              </w:rPr>
              <w:t>4.</w:t>
            </w:r>
          </w:p>
        </w:tc>
        <w:tc>
          <w:tcPr>
            <w:tcW w:w="5924" w:type="dxa"/>
          </w:tcPr>
          <w:p w14:paraId="1DFF6C17" w14:textId="77777777" w:rsidR="00494B73" w:rsidRPr="00080443" w:rsidRDefault="00494B73" w:rsidP="00BE4EDC">
            <w:pPr>
              <w:keepNext/>
              <w:keepLines/>
              <w:spacing w:after="80"/>
            </w:pPr>
            <w:r w:rsidRPr="00080443">
              <w:t xml:space="preserve">Application deadline. By this date, applicants </w:t>
            </w:r>
            <w:r>
              <w:t>are required</w:t>
            </w:r>
            <w:r w:rsidRPr="00080443">
              <w:t xml:space="preserve"> to:</w:t>
            </w:r>
          </w:p>
          <w:p w14:paraId="6AE27336" w14:textId="77777777" w:rsidR="00494B73" w:rsidRPr="00080443" w:rsidRDefault="00494B73" w:rsidP="00BE4EDC">
            <w:pPr>
              <w:pStyle w:val="ListBullet"/>
              <w:keepNext/>
              <w:keepLines/>
              <w:numPr>
                <w:ilvl w:val="0"/>
                <w:numId w:val="23"/>
              </w:numPr>
            </w:pPr>
            <w:r w:rsidRPr="00080443">
              <w:t>submit a completed application form</w:t>
            </w:r>
          </w:p>
          <w:p w14:paraId="0C6ADC0D" w14:textId="77777777" w:rsidR="00494B73" w:rsidRPr="00080443" w:rsidRDefault="00494B73" w:rsidP="00BE4EDC">
            <w:pPr>
              <w:pStyle w:val="ListBullet"/>
              <w:keepNext/>
              <w:keepLines/>
              <w:numPr>
                <w:ilvl w:val="0"/>
                <w:numId w:val="23"/>
              </w:numPr>
            </w:pPr>
            <w:r w:rsidRPr="00080443">
              <w:t>submit a completed deed of acknowledgement form</w:t>
            </w:r>
          </w:p>
          <w:p w14:paraId="7A8894E4" w14:textId="77777777" w:rsidR="00494B73" w:rsidRDefault="00494B73" w:rsidP="00BE4EDC">
            <w:pPr>
              <w:pStyle w:val="ListBullet"/>
              <w:keepNext/>
              <w:keepLines/>
              <w:numPr>
                <w:ilvl w:val="0"/>
                <w:numId w:val="23"/>
              </w:numPr>
            </w:pPr>
            <w:r w:rsidRPr="00080443">
              <w:t>submit a completed deed of confidentiality form</w:t>
            </w:r>
          </w:p>
          <w:p w14:paraId="73F2E221" w14:textId="4CDEA113" w:rsidR="00494B73" w:rsidRPr="00080443" w:rsidRDefault="00494B73" w:rsidP="00BE4EDC">
            <w:pPr>
              <w:pStyle w:val="ListBullet"/>
              <w:keepNext/>
              <w:keepLines/>
              <w:numPr>
                <w:ilvl w:val="0"/>
                <w:numId w:val="23"/>
              </w:numPr>
            </w:pPr>
            <w:r w:rsidRPr="00080443">
              <w:t>pay the application fee</w:t>
            </w:r>
            <w:r w:rsidR="002A1147">
              <w:t>.</w:t>
            </w:r>
            <w:r>
              <w:t xml:space="preserve"> </w:t>
            </w:r>
          </w:p>
        </w:tc>
        <w:tc>
          <w:tcPr>
            <w:tcW w:w="2160" w:type="dxa"/>
          </w:tcPr>
          <w:p w14:paraId="47D9F5A3" w14:textId="1275615F" w:rsidR="00494B73" w:rsidRPr="00080443" w:rsidRDefault="00D55C61" w:rsidP="00BE4EDC">
            <w:pPr>
              <w:keepNext/>
              <w:keepLines/>
            </w:pPr>
            <w:r>
              <w:t xml:space="preserve">Late </w:t>
            </w:r>
            <w:r w:rsidR="000F74F2">
              <w:t>January 2021</w:t>
            </w:r>
          </w:p>
        </w:tc>
      </w:tr>
      <w:tr w:rsidR="00494B73" w:rsidRPr="00080443" w14:paraId="2A803E45" w14:textId="77777777" w:rsidTr="000F74F2">
        <w:trPr>
          <w:trHeight w:val="926"/>
        </w:trPr>
        <w:tc>
          <w:tcPr>
            <w:tcW w:w="427" w:type="dxa"/>
            <w:shd w:val="clear" w:color="auto" w:fill="F2F2F2" w:themeFill="background1" w:themeFillShade="F2"/>
          </w:tcPr>
          <w:p w14:paraId="1FD28B00" w14:textId="4E9E9925" w:rsidR="00494B73" w:rsidRPr="00080443" w:rsidRDefault="0070766C" w:rsidP="00BE4EDC">
            <w:pPr>
              <w:pStyle w:val="ListNumber"/>
              <w:keepNext/>
              <w:keepLines/>
              <w:spacing w:after="0"/>
            </w:pPr>
            <w:r>
              <w:t>5.</w:t>
            </w:r>
          </w:p>
        </w:tc>
        <w:tc>
          <w:tcPr>
            <w:tcW w:w="5924" w:type="dxa"/>
            <w:shd w:val="clear" w:color="auto" w:fill="F2F2F2" w:themeFill="background1" w:themeFillShade="F2"/>
          </w:tcPr>
          <w:p w14:paraId="6B2B474E" w14:textId="09D4CF24" w:rsidR="00494B73" w:rsidRPr="007C78D4" w:rsidRDefault="0068090C" w:rsidP="00BE4EDC">
            <w:pPr>
              <w:keepNext/>
              <w:keepLines/>
              <w:spacing w:after="0"/>
              <w:rPr>
                <w:highlight w:val="yellow"/>
              </w:rPr>
            </w:pPr>
            <w:r>
              <w:t xml:space="preserve">If the </w:t>
            </w:r>
            <w:r w:rsidR="00447ADB">
              <w:t>Minister</w:t>
            </w:r>
            <w:r>
              <w:t xml:space="preserve"> </w:t>
            </w:r>
            <w:r w:rsidR="009E29A5">
              <w:t xml:space="preserve">issues an allocation limits </w:t>
            </w:r>
            <w:r>
              <w:t>direct</w:t>
            </w:r>
            <w:r w:rsidR="009E29A5">
              <w:t>ion</w:t>
            </w:r>
            <w:r>
              <w:t>, t</w:t>
            </w:r>
            <w:r w:rsidR="00494B73" w:rsidRPr="00C11F61">
              <w:t xml:space="preserve">he ACMA gives each applicant details about the identity of all other applicants and their associates and asks each applicant to make a statutory declaration by </w:t>
            </w:r>
            <w:r w:rsidR="00494B73">
              <w:t xml:space="preserve">the </w:t>
            </w:r>
            <w:r w:rsidR="00494B73" w:rsidRPr="00C11F61">
              <w:t>declaration deadline about whether they are affiliated with another applicant.</w:t>
            </w:r>
          </w:p>
        </w:tc>
        <w:tc>
          <w:tcPr>
            <w:tcW w:w="2160" w:type="dxa"/>
            <w:shd w:val="clear" w:color="auto" w:fill="F2F2F2" w:themeFill="background1" w:themeFillShade="F2"/>
          </w:tcPr>
          <w:p w14:paraId="765B6009" w14:textId="77777777" w:rsidR="00494B73" w:rsidRPr="007C78D4" w:rsidRDefault="00494B73" w:rsidP="00BE4EDC">
            <w:pPr>
              <w:keepNext/>
              <w:keepLines/>
              <w:spacing w:after="0"/>
              <w:rPr>
                <w:highlight w:val="yellow"/>
              </w:rPr>
            </w:pPr>
            <w:r>
              <w:t>After application deadline</w:t>
            </w:r>
          </w:p>
        </w:tc>
      </w:tr>
      <w:tr w:rsidR="000F74F2" w:rsidRPr="00080443" w14:paraId="44DD69A2" w14:textId="77777777" w:rsidTr="00475A25">
        <w:tc>
          <w:tcPr>
            <w:tcW w:w="427" w:type="dxa"/>
            <w:shd w:val="clear" w:color="auto" w:fill="F2F2F2" w:themeFill="background1" w:themeFillShade="F2"/>
          </w:tcPr>
          <w:p w14:paraId="03BA245E" w14:textId="599D0988" w:rsidR="000F74F2" w:rsidRPr="00080443" w:rsidRDefault="001615DB" w:rsidP="00BE4EDC">
            <w:pPr>
              <w:pStyle w:val="ListNumber"/>
              <w:keepNext/>
              <w:keepLines/>
              <w:rPr>
                <w:rFonts w:cs="Arial"/>
              </w:rPr>
            </w:pPr>
            <w:r>
              <w:rPr>
                <w:rFonts w:cs="Arial"/>
              </w:rPr>
              <w:t>6</w:t>
            </w:r>
            <w:r w:rsidR="0070766C">
              <w:rPr>
                <w:rFonts w:cs="Arial"/>
              </w:rPr>
              <w:t>.</w:t>
            </w:r>
          </w:p>
        </w:tc>
        <w:tc>
          <w:tcPr>
            <w:tcW w:w="5924" w:type="dxa"/>
            <w:shd w:val="clear" w:color="auto" w:fill="F2F2F2" w:themeFill="background1" w:themeFillShade="F2"/>
          </w:tcPr>
          <w:p w14:paraId="757C5AAF" w14:textId="77777777" w:rsidR="00D70301" w:rsidRDefault="000F74F2" w:rsidP="00BE4EDC">
            <w:pPr>
              <w:keepNext/>
              <w:keepLines/>
              <w:spacing w:after="80"/>
            </w:pPr>
            <w:r>
              <w:t>Eligibility deadline. By this date applicants are required to</w:t>
            </w:r>
            <w:r w:rsidR="00D70301">
              <w:t>:</w:t>
            </w:r>
          </w:p>
          <w:p w14:paraId="1B7A8DB2" w14:textId="607B5A04" w:rsidR="00475A25" w:rsidRDefault="00475A25" w:rsidP="00BE4EDC">
            <w:pPr>
              <w:pStyle w:val="ListBullet"/>
              <w:keepNext/>
              <w:keepLines/>
              <w:numPr>
                <w:ilvl w:val="0"/>
                <w:numId w:val="23"/>
              </w:numPr>
            </w:pPr>
            <w:r>
              <w:t xml:space="preserve">submit a completed </w:t>
            </w:r>
            <w:r w:rsidR="0078608D">
              <w:t xml:space="preserve">eligibility </w:t>
            </w:r>
            <w:r>
              <w:t>nomination form</w:t>
            </w:r>
          </w:p>
          <w:p w14:paraId="1711EC9D" w14:textId="08EF949D" w:rsidR="000F74F2" w:rsidRPr="008E75B8" w:rsidRDefault="000F74F2" w:rsidP="00BE4EDC">
            <w:pPr>
              <w:pStyle w:val="ListBullet"/>
              <w:keepNext/>
              <w:keepLines/>
              <w:numPr>
                <w:ilvl w:val="0"/>
                <w:numId w:val="23"/>
              </w:numPr>
            </w:pPr>
            <w:r>
              <w:t xml:space="preserve">pay the </w:t>
            </w:r>
            <w:r w:rsidR="00475A25">
              <w:t xml:space="preserve">required </w:t>
            </w:r>
            <w:r>
              <w:t>eligibility payment or provide a deed of financial security, or a combination of both</w:t>
            </w:r>
            <w:r w:rsidR="002A1147">
              <w:t>.</w:t>
            </w:r>
          </w:p>
        </w:tc>
        <w:tc>
          <w:tcPr>
            <w:tcW w:w="2160" w:type="dxa"/>
            <w:shd w:val="clear" w:color="auto" w:fill="F2F2F2" w:themeFill="background1" w:themeFillShade="F2"/>
          </w:tcPr>
          <w:p w14:paraId="25AEFAEF" w14:textId="7B1BC1FB" w:rsidR="000F74F2" w:rsidRDefault="00D55C61" w:rsidP="00BE4EDC">
            <w:pPr>
              <w:keepNext/>
              <w:keepLines/>
            </w:pPr>
            <w:r>
              <w:t xml:space="preserve">Early </w:t>
            </w:r>
            <w:r w:rsidR="00EF6008">
              <w:t>March</w:t>
            </w:r>
            <w:r w:rsidR="000F74F2">
              <w:t xml:space="preserve"> 2021</w:t>
            </w:r>
          </w:p>
        </w:tc>
      </w:tr>
      <w:tr w:rsidR="001615DB" w:rsidRPr="00080443" w14:paraId="2DCF6F92" w14:textId="77777777" w:rsidTr="00475A25">
        <w:tc>
          <w:tcPr>
            <w:tcW w:w="427" w:type="dxa"/>
            <w:shd w:val="clear" w:color="auto" w:fill="F2F2F2" w:themeFill="background1" w:themeFillShade="F2"/>
          </w:tcPr>
          <w:p w14:paraId="41EE67F9" w14:textId="4A62456D" w:rsidR="001615DB" w:rsidRDefault="001615DB" w:rsidP="00BE4EDC">
            <w:pPr>
              <w:pStyle w:val="ListNumber"/>
              <w:keepNext/>
              <w:keepLines/>
              <w:rPr>
                <w:rFonts w:cs="Arial"/>
              </w:rPr>
            </w:pPr>
            <w:r>
              <w:rPr>
                <w:rFonts w:cs="Arial"/>
              </w:rPr>
              <w:t>7</w:t>
            </w:r>
          </w:p>
        </w:tc>
        <w:tc>
          <w:tcPr>
            <w:tcW w:w="5924" w:type="dxa"/>
            <w:shd w:val="clear" w:color="auto" w:fill="F2F2F2" w:themeFill="background1" w:themeFillShade="F2"/>
          </w:tcPr>
          <w:p w14:paraId="72178376" w14:textId="089E8BED" w:rsidR="001615DB" w:rsidRDefault="001615DB" w:rsidP="00BE4EDC">
            <w:pPr>
              <w:keepNext/>
              <w:keepLines/>
              <w:spacing w:after="80"/>
            </w:pPr>
            <w:r w:rsidRPr="008E75B8">
              <w:t>The ACMA tells registered bidders that they have been registered and may participate in the auction and gives them information to enable their participation (</w:t>
            </w:r>
            <w:r>
              <w:t>for example,</w:t>
            </w:r>
            <w:r w:rsidRPr="008E75B8">
              <w:t xml:space="preserve"> information about how to access and use the online auction system).</w:t>
            </w:r>
          </w:p>
        </w:tc>
        <w:tc>
          <w:tcPr>
            <w:tcW w:w="2160" w:type="dxa"/>
            <w:shd w:val="clear" w:color="auto" w:fill="F2F2F2" w:themeFill="background1" w:themeFillShade="F2"/>
          </w:tcPr>
          <w:p w14:paraId="0B1B3510" w14:textId="7A3BE81A" w:rsidR="001615DB" w:rsidRDefault="001615DB" w:rsidP="00BE4EDC">
            <w:pPr>
              <w:keepNext/>
              <w:keepLines/>
            </w:pPr>
            <w:r>
              <w:t xml:space="preserve">After the </w:t>
            </w:r>
            <w:proofErr w:type="spellStart"/>
            <w:r>
              <w:t>eligibilty</w:t>
            </w:r>
            <w:proofErr w:type="spellEnd"/>
            <w:r>
              <w:t xml:space="preserve"> deadline</w:t>
            </w:r>
          </w:p>
        </w:tc>
      </w:tr>
      <w:tr w:rsidR="00494B73" w:rsidRPr="00080443" w14:paraId="5D872181" w14:textId="77777777" w:rsidTr="00475A25">
        <w:tc>
          <w:tcPr>
            <w:tcW w:w="427" w:type="dxa"/>
            <w:shd w:val="clear" w:color="auto" w:fill="auto"/>
          </w:tcPr>
          <w:p w14:paraId="49B59768" w14:textId="58FB633C" w:rsidR="00494B73" w:rsidRPr="00080443" w:rsidRDefault="0070766C" w:rsidP="00BE4EDC">
            <w:pPr>
              <w:pStyle w:val="ListNumber"/>
              <w:keepNext/>
              <w:keepLines/>
              <w:rPr>
                <w:rFonts w:cs="Arial"/>
              </w:rPr>
            </w:pPr>
            <w:r>
              <w:rPr>
                <w:rFonts w:cs="Arial"/>
              </w:rPr>
              <w:t>8.</w:t>
            </w:r>
          </w:p>
        </w:tc>
        <w:tc>
          <w:tcPr>
            <w:tcW w:w="5924" w:type="dxa"/>
            <w:shd w:val="clear" w:color="auto" w:fill="auto"/>
          </w:tcPr>
          <w:p w14:paraId="567E41DA" w14:textId="1144C128" w:rsidR="00494B73" w:rsidRPr="00080443" w:rsidRDefault="00494B73" w:rsidP="00BE4EDC">
            <w:pPr>
              <w:keepNext/>
              <w:keepLines/>
              <w:spacing w:after="0"/>
            </w:pPr>
            <w:r>
              <w:t>M</w:t>
            </w:r>
            <w:r w:rsidRPr="00080443">
              <w:t xml:space="preserve">ock auction held, to </w:t>
            </w:r>
            <w:r>
              <w:t>familiarise</w:t>
            </w:r>
            <w:r w:rsidRPr="00080443">
              <w:t xml:space="preserve"> registered bidders with the auction system.</w:t>
            </w:r>
          </w:p>
        </w:tc>
        <w:tc>
          <w:tcPr>
            <w:tcW w:w="2160" w:type="dxa"/>
            <w:shd w:val="clear" w:color="auto" w:fill="auto"/>
          </w:tcPr>
          <w:p w14:paraId="44B13691" w14:textId="492FB6FC" w:rsidR="00494B73" w:rsidRPr="00080443" w:rsidRDefault="00D55C61" w:rsidP="00BE4EDC">
            <w:pPr>
              <w:keepNext/>
              <w:keepLines/>
            </w:pPr>
            <w:r>
              <w:t>Early</w:t>
            </w:r>
            <w:r w:rsidR="009619C6">
              <w:t>-Mid</w:t>
            </w:r>
            <w:r>
              <w:t xml:space="preserve"> </w:t>
            </w:r>
            <w:r w:rsidR="00EF6008">
              <w:t>March</w:t>
            </w:r>
            <w:r w:rsidR="000F74F2">
              <w:t xml:space="preserve"> </w:t>
            </w:r>
            <w:r w:rsidR="00494B73">
              <w:t>20</w:t>
            </w:r>
            <w:r w:rsidR="000F74F2">
              <w:t>21</w:t>
            </w:r>
          </w:p>
        </w:tc>
      </w:tr>
      <w:tr w:rsidR="00494B73" w:rsidRPr="00080443" w14:paraId="72E8AFB3" w14:textId="77777777" w:rsidTr="00475A25">
        <w:tc>
          <w:tcPr>
            <w:tcW w:w="427" w:type="dxa"/>
            <w:shd w:val="clear" w:color="auto" w:fill="F2F2F2" w:themeFill="background1" w:themeFillShade="F2"/>
          </w:tcPr>
          <w:p w14:paraId="241D40FC" w14:textId="048F9CB5" w:rsidR="00494B73" w:rsidRPr="00080443" w:rsidRDefault="0070766C" w:rsidP="00BE4EDC">
            <w:pPr>
              <w:pStyle w:val="ListNumber"/>
              <w:keepNext/>
              <w:keepLines/>
              <w:rPr>
                <w:rFonts w:cs="Arial"/>
              </w:rPr>
            </w:pPr>
            <w:r>
              <w:rPr>
                <w:rFonts w:cs="Arial"/>
              </w:rPr>
              <w:t>9.</w:t>
            </w:r>
          </w:p>
        </w:tc>
        <w:tc>
          <w:tcPr>
            <w:tcW w:w="5924" w:type="dxa"/>
            <w:shd w:val="clear" w:color="auto" w:fill="F2F2F2" w:themeFill="background1" w:themeFillShade="F2"/>
          </w:tcPr>
          <w:p w14:paraId="1152C556" w14:textId="77777777" w:rsidR="00494B73" w:rsidRPr="00080443" w:rsidRDefault="00494B73" w:rsidP="00BE4EDC">
            <w:pPr>
              <w:keepNext/>
              <w:keepLines/>
              <w:spacing w:after="0"/>
            </w:pPr>
            <w:r w:rsidRPr="00080443">
              <w:t>The ACMA notifies registered bidders about the start date and time of the first</w:t>
            </w:r>
            <w:r>
              <w:t xml:space="preserve"> and second</w:t>
            </w:r>
            <w:r w:rsidRPr="00080443">
              <w:t xml:space="preserve"> </w:t>
            </w:r>
            <w:r>
              <w:t xml:space="preserve">clock </w:t>
            </w:r>
            <w:r w:rsidRPr="00080443">
              <w:t>round</w:t>
            </w:r>
            <w:r>
              <w:t>s</w:t>
            </w:r>
            <w:r w:rsidRPr="00080443">
              <w:t xml:space="preserve"> </w:t>
            </w:r>
            <w:r>
              <w:t>of the primary stage of</w:t>
            </w:r>
            <w:r w:rsidRPr="00080443">
              <w:t xml:space="preserve"> the auction.</w:t>
            </w:r>
          </w:p>
        </w:tc>
        <w:tc>
          <w:tcPr>
            <w:tcW w:w="2160" w:type="dxa"/>
            <w:shd w:val="clear" w:color="auto" w:fill="F2F2F2" w:themeFill="background1" w:themeFillShade="F2"/>
          </w:tcPr>
          <w:p w14:paraId="2F693A27" w14:textId="414EBE21" w:rsidR="00494B73" w:rsidRPr="00080443" w:rsidRDefault="00EF6008" w:rsidP="00BE4EDC">
            <w:pPr>
              <w:keepNext/>
              <w:keepLines/>
            </w:pPr>
            <w:r>
              <w:t xml:space="preserve">Mid-March </w:t>
            </w:r>
            <w:r w:rsidR="00494B73">
              <w:t>20</w:t>
            </w:r>
            <w:r w:rsidR="000F74F2">
              <w:t>21</w:t>
            </w:r>
          </w:p>
        </w:tc>
      </w:tr>
      <w:tr w:rsidR="00494B73" w:rsidRPr="00080443" w14:paraId="327B8F60" w14:textId="77777777" w:rsidTr="00475A25">
        <w:trPr>
          <w:trHeight w:val="312"/>
        </w:trPr>
        <w:tc>
          <w:tcPr>
            <w:tcW w:w="427" w:type="dxa"/>
            <w:shd w:val="clear" w:color="auto" w:fill="auto"/>
          </w:tcPr>
          <w:p w14:paraId="63A95572" w14:textId="33B7E8C6" w:rsidR="00494B73" w:rsidRPr="00080443" w:rsidRDefault="0070766C" w:rsidP="00BE4EDC">
            <w:pPr>
              <w:pStyle w:val="ListNumber"/>
              <w:keepNext/>
              <w:keepLines/>
              <w:spacing w:after="0"/>
              <w:rPr>
                <w:rFonts w:cs="Arial"/>
              </w:rPr>
            </w:pPr>
            <w:r>
              <w:rPr>
                <w:rFonts w:cs="Arial"/>
              </w:rPr>
              <w:t>10.</w:t>
            </w:r>
          </w:p>
        </w:tc>
        <w:tc>
          <w:tcPr>
            <w:tcW w:w="5924" w:type="dxa"/>
            <w:shd w:val="clear" w:color="auto" w:fill="auto"/>
          </w:tcPr>
          <w:p w14:paraId="723FD426" w14:textId="6A250794" w:rsidR="00494B73" w:rsidRPr="00080443" w:rsidRDefault="00494B73" w:rsidP="00BE4EDC">
            <w:pPr>
              <w:keepNext/>
              <w:keepLines/>
              <w:spacing w:after="0"/>
            </w:pPr>
            <w:r>
              <w:t>Estimated au</w:t>
            </w:r>
            <w:r w:rsidRPr="00080443">
              <w:t xml:space="preserve">ction </w:t>
            </w:r>
            <w:r>
              <w:t>commencement</w:t>
            </w:r>
            <w:r w:rsidR="002A1147">
              <w:t>.</w:t>
            </w:r>
            <w:r>
              <w:t xml:space="preserve"> </w:t>
            </w:r>
          </w:p>
        </w:tc>
        <w:tc>
          <w:tcPr>
            <w:tcW w:w="2160" w:type="dxa"/>
            <w:shd w:val="clear" w:color="auto" w:fill="auto"/>
          </w:tcPr>
          <w:p w14:paraId="15BA9890" w14:textId="34E5D118" w:rsidR="00494B73" w:rsidRPr="00025A88" w:rsidRDefault="00EF6008" w:rsidP="00BE4EDC">
            <w:pPr>
              <w:keepNext/>
              <w:keepLines/>
              <w:spacing w:after="0"/>
            </w:pPr>
            <w:r>
              <w:t xml:space="preserve">Late </w:t>
            </w:r>
            <w:r w:rsidR="000F74F2">
              <w:t>March 202</w:t>
            </w:r>
            <w:r w:rsidR="0063260D">
              <w:t>1</w:t>
            </w:r>
          </w:p>
        </w:tc>
      </w:tr>
    </w:tbl>
    <w:p w14:paraId="49381F28" w14:textId="77777777" w:rsidR="00494B73" w:rsidRDefault="00494B73" w:rsidP="00BE4EDC">
      <w:pPr>
        <w:keepNext/>
        <w:keepLines/>
        <w:spacing w:after="0"/>
        <w:rPr>
          <w:rFonts w:cs="Arial"/>
          <w:i/>
          <w:sz w:val="16"/>
          <w:szCs w:val="16"/>
        </w:rPr>
      </w:pPr>
      <w:r w:rsidRPr="00080443">
        <w:rPr>
          <w:rFonts w:cs="Arial"/>
          <w:i/>
          <w:sz w:val="16"/>
          <w:szCs w:val="16"/>
        </w:rPr>
        <w:t>Note: The above timetable is indicative and for guidance purposes only</w:t>
      </w:r>
      <w:r>
        <w:rPr>
          <w:rFonts w:cs="Arial"/>
          <w:i/>
          <w:sz w:val="16"/>
          <w:szCs w:val="16"/>
        </w:rPr>
        <w:t xml:space="preserve">. It </w:t>
      </w:r>
      <w:r w:rsidRPr="00080443">
        <w:rPr>
          <w:rFonts w:cs="Arial"/>
          <w:i/>
          <w:sz w:val="16"/>
          <w:szCs w:val="16"/>
        </w:rPr>
        <w:t>is subject to change</w:t>
      </w:r>
      <w:r>
        <w:rPr>
          <w:rFonts w:cs="Arial"/>
          <w:i/>
          <w:sz w:val="16"/>
          <w:szCs w:val="16"/>
        </w:rPr>
        <w:t xml:space="preserve"> and should not be relied upon</w:t>
      </w:r>
      <w:r w:rsidRPr="00080443">
        <w:rPr>
          <w:rFonts w:cs="Arial"/>
          <w:i/>
          <w:sz w:val="16"/>
          <w:szCs w:val="16"/>
        </w:rPr>
        <w:t>.</w:t>
      </w:r>
    </w:p>
    <w:p w14:paraId="5BD1A102" w14:textId="7ECFCD0C" w:rsidR="00494B73" w:rsidRDefault="00494B73" w:rsidP="00B778D3"/>
    <w:p w14:paraId="3F424D78" w14:textId="304BB31F" w:rsidR="003B1F5E" w:rsidRDefault="00460666" w:rsidP="003B1F5E">
      <w:pPr>
        <w:pStyle w:val="Heading2"/>
        <w:keepLines/>
      </w:pPr>
      <w:bookmarkStart w:id="20" w:name="_Toc459210808"/>
      <w:bookmarkStart w:id="21" w:name="_Toc461025808"/>
      <w:bookmarkStart w:id="22" w:name="_Toc512246157"/>
      <w:bookmarkStart w:id="23" w:name="_Toc512503291"/>
      <w:bookmarkStart w:id="24" w:name="_Toc514330440"/>
      <w:bookmarkStart w:id="25" w:name="_Toc45112202"/>
      <w:r>
        <w:t>D</w:t>
      </w:r>
      <w:r w:rsidR="003B1F5E">
        <w:t>raft allocation instruments</w:t>
      </w:r>
      <w:bookmarkEnd w:id="20"/>
      <w:bookmarkEnd w:id="21"/>
      <w:bookmarkEnd w:id="22"/>
      <w:bookmarkEnd w:id="23"/>
      <w:bookmarkEnd w:id="24"/>
      <w:bookmarkEnd w:id="25"/>
    </w:p>
    <w:p w14:paraId="6DA2D39A" w14:textId="3BD062C2" w:rsidR="003B1F5E" w:rsidRDefault="00DB5520" w:rsidP="003B1F5E">
      <w:pPr>
        <w:keepNext/>
        <w:keepLines/>
      </w:pPr>
      <w:r>
        <w:t>W</w:t>
      </w:r>
      <w:r w:rsidR="000644D1">
        <w:t>e are</w:t>
      </w:r>
      <w:r w:rsidR="003B1F5E">
        <w:t xml:space="preserve"> required to make a marketing plan and an allocation determination</w:t>
      </w:r>
      <w:r w:rsidRPr="00DB5520">
        <w:t xml:space="preserve"> </w:t>
      </w:r>
      <w:r>
        <w:t>to allocate spectrum in the 26 GHz band</w:t>
      </w:r>
      <w:r w:rsidR="003B1F5E">
        <w:t>.</w:t>
      </w:r>
      <w:r w:rsidR="005760C6">
        <w:rPr>
          <w:rStyle w:val="FootnoteReference"/>
        </w:rPr>
        <w:footnoteReference w:id="5"/>
      </w:r>
    </w:p>
    <w:p w14:paraId="1A9CA113" w14:textId="77777777" w:rsidR="003B1F5E" w:rsidRDefault="003B1F5E" w:rsidP="003B1F5E">
      <w:pPr>
        <w:pStyle w:val="Heading3"/>
        <w:keepLines/>
      </w:pPr>
      <w:r>
        <w:t>M</w:t>
      </w:r>
      <w:r w:rsidRPr="00B814DB">
        <w:t>arketing plan</w:t>
      </w:r>
    </w:p>
    <w:p w14:paraId="05DC1F90" w14:textId="1FAD2ECC" w:rsidR="003B1F5E" w:rsidRDefault="005760C6" w:rsidP="003B1F5E">
      <w:r>
        <w:t>S</w:t>
      </w:r>
      <w:r w:rsidR="003B1F5E" w:rsidRPr="00E82862">
        <w:t>ection 39A of the Act</w:t>
      </w:r>
      <w:r>
        <w:t xml:space="preserve"> </w:t>
      </w:r>
      <w:r w:rsidR="003B1F5E" w:rsidRPr="00E82862">
        <w:t xml:space="preserve">requires the </w:t>
      </w:r>
      <w:r w:rsidR="00F266BD">
        <w:t>ACMA</w:t>
      </w:r>
      <w:r w:rsidR="00F266BD" w:rsidRPr="00E82862">
        <w:t xml:space="preserve"> </w:t>
      </w:r>
      <w:r w:rsidR="003B1F5E" w:rsidRPr="00E82862">
        <w:t xml:space="preserve">to prepare </w:t>
      </w:r>
      <w:r w:rsidR="003B1F5E">
        <w:t xml:space="preserve">(by way of legislative instrument) </w:t>
      </w:r>
      <w:r w:rsidR="003B1F5E" w:rsidRPr="00E82862">
        <w:t xml:space="preserve">a marketing plan for issuing spectrum licences within a </w:t>
      </w:r>
      <w:proofErr w:type="gramStart"/>
      <w:r w:rsidR="003B1F5E" w:rsidRPr="00E82862">
        <w:t>particular part</w:t>
      </w:r>
      <w:proofErr w:type="gramEnd"/>
      <w:r w:rsidR="003B1F5E" w:rsidRPr="00E82862">
        <w:t xml:space="preserve"> of the spectrum where a </w:t>
      </w:r>
      <w:r w:rsidR="004E7783">
        <w:t>re-allocation</w:t>
      </w:r>
      <w:r w:rsidR="003B1F5E" w:rsidRPr="00E82862">
        <w:t xml:space="preserve"> declaration has been made.</w:t>
      </w:r>
    </w:p>
    <w:p w14:paraId="68B379A1" w14:textId="231E0782" w:rsidR="003B1F5E" w:rsidRPr="00416A72" w:rsidRDefault="003B1F5E" w:rsidP="003B1F5E">
      <w:pPr>
        <w:keepNext/>
        <w:spacing w:after="80"/>
        <w:rPr>
          <w:highlight w:val="yellow"/>
        </w:rPr>
      </w:pPr>
      <w:r>
        <w:t>The</w:t>
      </w:r>
      <w:r w:rsidRPr="003B2207">
        <w:t xml:space="preserve"> marketing plan sets out the product offering and may specify matters including</w:t>
      </w:r>
      <w:r>
        <w:t>, but not limited to</w:t>
      </w:r>
      <w:r w:rsidRPr="003B2207">
        <w:t>:</w:t>
      </w:r>
    </w:p>
    <w:p w14:paraId="484DF6AC" w14:textId="77777777" w:rsidR="003B1F5E" w:rsidRPr="00133F02" w:rsidRDefault="003B1F5E" w:rsidP="003B1F5E">
      <w:pPr>
        <w:pStyle w:val="ListBullet"/>
        <w:keepNext/>
      </w:pPr>
      <w:r w:rsidRPr="003D4AA1">
        <w:t xml:space="preserve">the </w:t>
      </w:r>
      <w:r w:rsidRPr="00D572B0">
        <w:t>procedures</w:t>
      </w:r>
      <w:r w:rsidRPr="003D4AA1">
        <w:t xml:space="preserve"> to be followed for </w:t>
      </w:r>
      <w:r w:rsidRPr="00133F02">
        <w:t>issuing spectrum licences</w:t>
      </w:r>
    </w:p>
    <w:p w14:paraId="71FCEE83" w14:textId="77777777" w:rsidR="003B1F5E" w:rsidRPr="000D6AE4" w:rsidRDefault="003B1F5E" w:rsidP="003B1F5E">
      <w:pPr>
        <w:pStyle w:val="ListBullet"/>
        <w:keepNext/>
      </w:pPr>
      <w:r w:rsidRPr="00133F02">
        <w:t>how the spectrum is to be apportioned</w:t>
      </w:r>
      <w:r w:rsidRPr="003D4AA1">
        <w:t xml:space="preserve"> among the spectrum licences to be issued</w:t>
      </w:r>
    </w:p>
    <w:p w14:paraId="0F57031E" w14:textId="77777777" w:rsidR="003B1F5E" w:rsidRDefault="003B1F5E" w:rsidP="003B1F5E">
      <w:pPr>
        <w:pStyle w:val="ListBulletLast"/>
      </w:pPr>
      <w:r w:rsidRPr="003D4AA1">
        <w:t xml:space="preserve">the </w:t>
      </w:r>
      <w:r w:rsidRPr="00133F02">
        <w:t>conditions</w:t>
      </w:r>
      <w:r w:rsidRPr="003D4AA1">
        <w:t>, or types of conditions, that may be included in spectrum licences to be issued.</w:t>
      </w:r>
      <w:r w:rsidRPr="003B2207">
        <w:rPr>
          <w:vertAlign w:val="superscript"/>
        </w:rPr>
        <w:footnoteReference w:id="6"/>
      </w:r>
      <w:r w:rsidRPr="003B2207">
        <w:t xml:space="preserve"> </w:t>
      </w:r>
    </w:p>
    <w:p w14:paraId="181F3C31" w14:textId="04E4484F" w:rsidR="003B1F5E" w:rsidRDefault="003B1F5E" w:rsidP="003B1F5E">
      <w:r w:rsidRPr="00961AF6">
        <w:t xml:space="preserve">The </w:t>
      </w:r>
      <w:r>
        <w:t xml:space="preserve">draft </w:t>
      </w:r>
      <w:r w:rsidRPr="00961AF6">
        <w:t>marketing plan</w:t>
      </w:r>
      <w:r w:rsidR="00547FEE">
        <w:t xml:space="preserve"> (published alongside this paper on the ACMA website)</w:t>
      </w:r>
      <w:r w:rsidRPr="00961AF6">
        <w:t xml:space="preserve"> </w:t>
      </w:r>
      <w:r w:rsidRPr="00B74D9E">
        <w:t xml:space="preserve">specifies the spectrum product that will be available, </w:t>
      </w:r>
      <w:r w:rsidR="001C0D6A" w:rsidRPr="00B74D9E">
        <w:t>a summary of the procedures for the allocation of spectrum licences</w:t>
      </w:r>
      <w:r w:rsidRPr="00B74D9E">
        <w:t xml:space="preserve">, and the conditions that will apply to the spectrum licences issued. Key aspects of the draft marketing plan are described in </w:t>
      </w:r>
      <w:r w:rsidR="00547FEE">
        <w:t xml:space="preserve">the </w:t>
      </w:r>
      <w:hyperlink w:anchor="_Draft_marketing_plan" w:history="1">
        <w:r w:rsidR="00547FEE" w:rsidRPr="00685EDD">
          <w:rPr>
            <w:rStyle w:val="Hyperlink"/>
            <w:i/>
            <w:iCs/>
          </w:rPr>
          <w:t>Draft marketing plan</w:t>
        </w:r>
      </w:hyperlink>
      <w:r w:rsidR="00B81C4C">
        <w:t xml:space="preserve"> </w:t>
      </w:r>
      <w:r w:rsidR="00547FEE">
        <w:t xml:space="preserve">section </w:t>
      </w:r>
      <w:r w:rsidR="00B81C4C">
        <w:t>of this paper</w:t>
      </w:r>
      <w:r>
        <w:t xml:space="preserve">. </w:t>
      </w:r>
    </w:p>
    <w:p w14:paraId="0154D050" w14:textId="77777777" w:rsidR="003B1F5E" w:rsidRPr="00B814DB" w:rsidRDefault="003B1F5E" w:rsidP="003B1F5E">
      <w:pPr>
        <w:pStyle w:val="Heading3"/>
      </w:pPr>
      <w:r w:rsidRPr="00B814DB">
        <w:t>Allocation determination</w:t>
      </w:r>
    </w:p>
    <w:p w14:paraId="2DC83C7E" w14:textId="1FED58AF" w:rsidR="003B1F5E" w:rsidRDefault="000644D1" w:rsidP="003B1F5E">
      <w:r>
        <w:t>The</w:t>
      </w:r>
      <w:r w:rsidR="003B1F5E">
        <w:t xml:space="preserve"> </w:t>
      </w:r>
      <w:r w:rsidR="003B1F5E" w:rsidRPr="00D4566D" w:rsidDel="00F47FCB">
        <w:t xml:space="preserve">allocation determination </w:t>
      </w:r>
      <w:r w:rsidR="006742E2">
        <w:t>is made</w:t>
      </w:r>
      <w:r w:rsidR="003B1F5E" w:rsidRPr="00D4566D" w:rsidDel="00F47FCB">
        <w:t xml:space="preserve"> under sections 60 and 294 of the Act.</w:t>
      </w:r>
      <w:r w:rsidR="003B1F5E" w:rsidRPr="00D4566D">
        <w:t xml:space="preserve"> Section 60 of the Act requires </w:t>
      </w:r>
      <w:r w:rsidR="005A7EF3">
        <w:t>the ACMA</w:t>
      </w:r>
      <w:r w:rsidR="005A7EF3" w:rsidRPr="00D4566D">
        <w:t xml:space="preserve"> </w:t>
      </w:r>
      <w:r w:rsidR="003B1F5E" w:rsidRPr="00D4566D">
        <w:t xml:space="preserve">to determine written procedures to apply to the allocation of spectrum licences by auction. </w:t>
      </w:r>
      <w:r w:rsidR="003B1F5E" w:rsidRPr="00D4566D" w:rsidDel="00F47FCB">
        <w:t xml:space="preserve">Section </w:t>
      </w:r>
      <w:r w:rsidR="003B1F5E" w:rsidRPr="00D4566D">
        <w:t xml:space="preserve">294 of the Act </w:t>
      </w:r>
      <w:r w:rsidR="00594DE5">
        <w:t>enables</w:t>
      </w:r>
      <w:r w:rsidR="003B1F5E" w:rsidRPr="00D4566D">
        <w:t xml:space="preserve"> </w:t>
      </w:r>
      <w:r w:rsidR="009F5455">
        <w:t>the</w:t>
      </w:r>
      <w:r w:rsidR="008818FD">
        <w:t xml:space="preserve"> </w:t>
      </w:r>
      <w:r w:rsidR="009F5455">
        <w:t>ACMA</w:t>
      </w:r>
      <w:r w:rsidR="009F5455" w:rsidRPr="00D4566D">
        <w:t xml:space="preserve"> </w:t>
      </w:r>
      <w:r w:rsidR="003B1F5E" w:rsidRPr="00D4566D">
        <w:t xml:space="preserve">to </w:t>
      </w:r>
      <w:r w:rsidR="00594DE5">
        <w:t>make determinations fixing</w:t>
      </w:r>
      <w:r w:rsidR="003B1F5E" w:rsidRPr="00D4566D">
        <w:t xml:space="preserve"> spectrum access charges payable by licensees for issuing spectrum </w:t>
      </w:r>
      <w:proofErr w:type="gramStart"/>
      <w:r w:rsidR="003B1F5E" w:rsidRPr="00D4566D">
        <w:t>licences, and</w:t>
      </w:r>
      <w:proofErr w:type="gramEnd"/>
      <w:r w:rsidR="003B1F5E" w:rsidRPr="00D4566D">
        <w:t xml:space="preserve"> specify</w:t>
      </w:r>
      <w:r w:rsidR="00594DE5">
        <w:t>ing</w:t>
      </w:r>
      <w:r w:rsidR="003B1F5E" w:rsidRPr="00D4566D">
        <w:t xml:space="preserve"> the times when spectrum access charges are payable.</w:t>
      </w:r>
    </w:p>
    <w:p w14:paraId="75C586C9" w14:textId="3042D57F" w:rsidR="003B1F5E" w:rsidRDefault="003B1F5E" w:rsidP="003B1F5E">
      <w:pPr>
        <w:spacing w:after="80"/>
      </w:pPr>
      <w:r>
        <w:t xml:space="preserve">An allocation determination made under section 60 </w:t>
      </w:r>
      <w:r w:rsidRPr="003B2207">
        <w:t>sets out the</w:t>
      </w:r>
      <w:r>
        <w:t xml:space="preserve"> </w:t>
      </w:r>
      <w:r w:rsidRPr="003B2207">
        <w:t xml:space="preserve">auction rules </w:t>
      </w:r>
      <w:r>
        <w:t xml:space="preserve">and procedures, and </w:t>
      </w:r>
      <w:r w:rsidRPr="003B2207">
        <w:t xml:space="preserve">may </w:t>
      </w:r>
      <w:r>
        <w:t>specify</w:t>
      </w:r>
      <w:r w:rsidRPr="003B2207">
        <w:t xml:space="preserve"> matters including</w:t>
      </w:r>
      <w:r>
        <w:t>, but not limited to</w:t>
      </w:r>
      <w:r w:rsidRPr="003B2207">
        <w:t>:</w:t>
      </w:r>
    </w:p>
    <w:p w14:paraId="35D0D0A2" w14:textId="3D017168" w:rsidR="003B1F5E" w:rsidRPr="006966EC" w:rsidRDefault="003B1F5E" w:rsidP="003B1F5E">
      <w:pPr>
        <w:pStyle w:val="ListBullet"/>
      </w:pPr>
      <w:r>
        <w:t xml:space="preserve">the </w:t>
      </w:r>
      <w:r w:rsidRPr="006966EC">
        <w:t>type of auction</w:t>
      </w:r>
    </w:p>
    <w:p w14:paraId="26E09F9C" w14:textId="77777777" w:rsidR="003B1F5E" w:rsidRPr="006966EC" w:rsidRDefault="003B1F5E" w:rsidP="003B1F5E">
      <w:pPr>
        <w:pStyle w:val="ListBullet"/>
      </w:pPr>
      <w:r w:rsidRPr="006966EC">
        <w:t>the auction methodology</w:t>
      </w:r>
    </w:p>
    <w:p w14:paraId="1257E576" w14:textId="77777777" w:rsidR="003B1F5E" w:rsidRPr="003D4AA1" w:rsidRDefault="003B1F5E" w:rsidP="003B1F5E">
      <w:pPr>
        <w:pStyle w:val="ListBullet"/>
      </w:pPr>
      <w:r w:rsidRPr="006966EC">
        <w:t>how the auction</w:t>
      </w:r>
      <w:r w:rsidRPr="003D4AA1">
        <w:t xml:space="preserve"> </w:t>
      </w:r>
      <w:r w:rsidRPr="00D572B0">
        <w:t>will</w:t>
      </w:r>
      <w:r w:rsidRPr="003D4AA1">
        <w:t xml:space="preserve"> be advertised</w:t>
      </w:r>
    </w:p>
    <w:p w14:paraId="510AA5C6" w14:textId="79024D3A" w:rsidR="003B1F5E" w:rsidRPr="003B2207" w:rsidRDefault="003B1F5E" w:rsidP="003B1F5E">
      <w:pPr>
        <w:pStyle w:val="ListBulletLast"/>
      </w:pPr>
      <w:r>
        <w:t>pricing (</w:t>
      </w:r>
      <w:r w:rsidR="00A9027C">
        <w:t xml:space="preserve">starting </w:t>
      </w:r>
      <w:r>
        <w:t xml:space="preserve">prices, deposits) and </w:t>
      </w:r>
      <w:r w:rsidRPr="003D4AA1">
        <w:t>methods of payment for licences.</w:t>
      </w:r>
      <w:r w:rsidRPr="003B2207">
        <w:rPr>
          <w:vertAlign w:val="superscript"/>
        </w:rPr>
        <w:footnoteReference w:id="7"/>
      </w:r>
    </w:p>
    <w:p w14:paraId="208688D4" w14:textId="01712E51" w:rsidR="003B1F5E" w:rsidRDefault="003B1F5E" w:rsidP="003B1F5E">
      <w:r w:rsidRPr="003B2207">
        <w:t xml:space="preserve">An allocation determination may also impose limits </w:t>
      </w:r>
      <w:r>
        <w:t xml:space="preserve">on the </w:t>
      </w:r>
      <w:r w:rsidRPr="003B2207">
        <w:t>aggregate amount of spectrum that can be allocated to a bidder.</w:t>
      </w:r>
      <w:r w:rsidRPr="003B2207">
        <w:rPr>
          <w:vertAlign w:val="superscript"/>
        </w:rPr>
        <w:footnoteReference w:id="8"/>
      </w:r>
      <w:r w:rsidRPr="003B2207">
        <w:t xml:space="preserve"> </w:t>
      </w:r>
      <w:r>
        <w:t>Any</w:t>
      </w:r>
      <w:r w:rsidRPr="003B2207">
        <w:t xml:space="preserve"> such </w:t>
      </w:r>
      <w:r w:rsidR="000951C1">
        <w:t>allocation</w:t>
      </w:r>
      <w:r w:rsidR="000951C1" w:rsidRPr="003B2207">
        <w:t xml:space="preserve"> </w:t>
      </w:r>
      <w:r w:rsidRPr="003B2207">
        <w:t>lim</w:t>
      </w:r>
      <w:r>
        <w:t xml:space="preserve">its can only be imposed if the </w:t>
      </w:r>
      <w:r w:rsidR="00447ADB">
        <w:t>Minister</w:t>
      </w:r>
      <w:r w:rsidRPr="00E82862">
        <w:t xml:space="preserve"> directs</w:t>
      </w:r>
      <w:r w:rsidRPr="003B2207">
        <w:t xml:space="preserve"> </w:t>
      </w:r>
      <w:r w:rsidR="000644D1">
        <w:t>us</w:t>
      </w:r>
      <w:r w:rsidRPr="003B2207">
        <w:t xml:space="preserve"> to do so.</w:t>
      </w:r>
      <w:r w:rsidRPr="003B2207">
        <w:rPr>
          <w:vertAlign w:val="superscript"/>
        </w:rPr>
        <w:footnoteReference w:id="9"/>
      </w:r>
      <w:r>
        <w:t xml:space="preserve"> The </w:t>
      </w:r>
      <w:r w:rsidR="00447ADB">
        <w:t>Minister</w:t>
      </w:r>
      <w:r>
        <w:t xml:space="preserve"> requested the ACCC </w:t>
      </w:r>
      <w:r w:rsidR="008818FD">
        <w:t xml:space="preserve">to </w:t>
      </w:r>
      <w:r w:rsidR="0050535B" w:rsidRPr="0050535B">
        <w:rPr>
          <w:u w:color="0000FF"/>
        </w:rPr>
        <w:t>provide advice</w:t>
      </w:r>
      <w:r>
        <w:t xml:space="preserve"> on competition limits </w:t>
      </w:r>
      <w:r w:rsidR="008818FD">
        <w:t xml:space="preserve">and the </w:t>
      </w:r>
      <w:r>
        <w:t xml:space="preserve">ACCC has undertaken </w:t>
      </w:r>
      <w:hyperlink r:id="rId44" w:history="1">
        <w:r w:rsidRPr="0037114F">
          <w:rPr>
            <w:rStyle w:val="Hyperlink"/>
          </w:rPr>
          <w:t>public consultation</w:t>
        </w:r>
      </w:hyperlink>
      <w:r>
        <w:t xml:space="preserve"> on </w:t>
      </w:r>
      <w:r w:rsidR="000951C1">
        <w:t xml:space="preserve">allocation </w:t>
      </w:r>
      <w:r>
        <w:t xml:space="preserve">limits as part of its deliberations. </w:t>
      </w:r>
      <w:r w:rsidR="000644D1">
        <w:t>We</w:t>
      </w:r>
      <w:r>
        <w:t xml:space="preserve"> will include any </w:t>
      </w:r>
      <w:r w:rsidR="00AB6955">
        <w:t xml:space="preserve">ministerial direction </w:t>
      </w:r>
      <w:r>
        <w:t xml:space="preserve">on </w:t>
      </w:r>
      <w:r w:rsidR="000951C1">
        <w:t xml:space="preserve">allocation </w:t>
      </w:r>
      <w:r>
        <w:t xml:space="preserve">limits in the final versions of the allocation instruments. </w:t>
      </w:r>
    </w:p>
    <w:p w14:paraId="643BF612" w14:textId="6C8D5267" w:rsidR="003B1F5E" w:rsidRPr="003569B2" w:rsidRDefault="003B1F5E" w:rsidP="003B1F5E">
      <w:pPr>
        <w:spacing w:before="240"/>
      </w:pPr>
      <w:bookmarkStart w:id="26" w:name="_Toc459210809"/>
      <w:r>
        <w:t>T</w:t>
      </w:r>
      <w:r w:rsidRPr="003B2207">
        <w:t>he draft allocation determination</w:t>
      </w:r>
      <w:r>
        <w:t xml:space="preserve"> </w:t>
      </w:r>
      <w:r w:rsidR="00547FEE">
        <w:t>(published alongside this paper on the ACMA website)</w:t>
      </w:r>
      <w:r w:rsidRPr="00B74D9E">
        <w:t xml:space="preserve"> sets out the procedures </w:t>
      </w:r>
      <w:r w:rsidR="000644D1" w:rsidRPr="00B74D9E">
        <w:t>we</w:t>
      </w:r>
      <w:r w:rsidRPr="00B74D9E">
        <w:t xml:space="preserve"> propose to apply </w:t>
      </w:r>
      <w:r w:rsidR="000644D1" w:rsidRPr="00B74D9E">
        <w:t>to govern the</w:t>
      </w:r>
      <w:r w:rsidRPr="00B74D9E">
        <w:t xml:space="preserve"> auction. This includes draft ESMRA procedures and rules on administrative matters, such as the bidder registration process, fees and other amounts to be paid, and </w:t>
      </w:r>
      <w:r w:rsidR="0050535B" w:rsidRPr="00B74D9E">
        <w:t>confidentiality</w:t>
      </w:r>
      <w:r w:rsidRPr="00B74D9E">
        <w:t xml:space="preserve"> arrangements to prevent bidder collusion. Key aspects and further information on the draft allocation determination are discussed in </w:t>
      </w:r>
      <w:r w:rsidR="00547FEE">
        <w:t xml:space="preserve">the </w:t>
      </w:r>
      <w:hyperlink w:anchor="_Draft_allocation_determination" w:history="1">
        <w:r w:rsidR="00547FEE" w:rsidRPr="00685EDD">
          <w:rPr>
            <w:rStyle w:val="Hyperlink"/>
            <w:i/>
            <w:iCs/>
          </w:rPr>
          <w:t>Draft allocation determination</w:t>
        </w:r>
      </w:hyperlink>
      <w:r w:rsidR="00547FEE">
        <w:t xml:space="preserve"> section</w:t>
      </w:r>
      <w:r w:rsidRPr="00B74D9E">
        <w:t xml:space="preserve"> of this paper.</w:t>
      </w:r>
    </w:p>
    <w:p w14:paraId="6B5BEE32" w14:textId="77777777" w:rsidR="003B1F5E" w:rsidRPr="00B814DB" w:rsidRDefault="003B1F5E" w:rsidP="003B1F5E">
      <w:pPr>
        <w:pStyle w:val="Heading3"/>
      </w:pPr>
      <w:r w:rsidRPr="00B814DB">
        <w:t>Final allocation instruments</w:t>
      </w:r>
      <w:bookmarkEnd w:id="26"/>
    </w:p>
    <w:p w14:paraId="40CDF651" w14:textId="6ADA016F" w:rsidR="003B1F5E" w:rsidRDefault="003B1F5E" w:rsidP="003B1F5E">
      <w:bookmarkStart w:id="27" w:name="_Toc459210806"/>
      <w:r>
        <w:t xml:space="preserve">After </w:t>
      </w:r>
      <w:r w:rsidR="00547FEE">
        <w:t xml:space="preserve">considering </w:t>
      </w:r>
      <w:r>
        <w:t>submissions</w:t>
      </w:r>
      <w:r w:rsidR="00356546">
        <w:t xml:space="preserve"> to this consultation</w:t>
      </w:r>
      <w:r>
        <w:t xml:space="preserve">, </w:t>
      </w:r>
      <w:r w:rsidR="000644D1">
        <w:t>we</w:t>
      </w:r>
      <w:r>
        <w:t xml:space="preserve"> will make</w:t>
      </w:r>
      <w:r w:rsidR="000644D1">
        <w:t xml:space="preserve"> the</w:t>
      </w:r>
      <w:r>
        <w:t xml:space="preserve"> final allocation instruments. When made, these </w:t>
      </w:r>
      <w:r w:rsidR="00356546">
        <w:t xml:space="preserve">allocation </w:t>
      </w:r>
      <w:r>
        <w:t xml:space="preserve">instruments will be registered on the </w:t>
      </w:r>
      <w:hyperlink r:id="rId45" w:history="1">
        <w:r w:rsidRPr="00D35C87">
          <w:rPr>
            <w:rStyle w:val="Hyperlink"/>
          </w:rPr>
          <w:t>Federal Register of Legislation</w:t>
        </w:r>
      </w:hyperlink>
      <w:r w:rsidRPr="00D35C87">
        <w:t>.</w:t>
      </w:r>
    </w:p>
    <w:p w14:paraId="386F4889" w14:textId="00BBA87C" w:rsidR="003B1F5E" w:rsidRDefault="003B1F5E" w:rsidP="003B1F5E">
      <w:pPr>
        <w:pStyle w:val="Heading3"/>
      </w:pPr>
      <w:bookmarkStart w:id="28" w:name="_Technical_instruments"/>
      <w:bookmarkEnd w:id="28"/>
      <w:r>
        <w:t>Technical instruments</w:t>
      </w:r>
    </w:p>
    <w:p w14:paraId="203E71B5" w14:textId="721ACCE3" w:rsidR="003B1F5E" w:rsidRDefault="000644D1" w:rsidP="003B1F5E">
      <w:r>
        <w:t>We have</w:t>
      </w:r>
      <w:r w:rsidR="003B1F5E">
        <w:t xml:space="preserve"> prepared</w:t>
      </w:r>
      <w:r w:rsidR="003B1F5E" w:rsidRPr="00BF6266">
        <w:t xml:space="preserve"> </w:t>
      </w:r>
      <w:r w:rsidR="003B1F5E">
        <w:t xml:space="preserve">draft technical instruments to provide the technical and interference management rules for the operation of radiocommunications devices in the 26 GHz band. </w:t>
      </w:r>
      <w:r w:rsidR="00C62757">
        <w:t>Draft technical instruments are described in</w:t>
      </w:r>
      <w:r w:rsidR="00547FEE">
        <w:t xml:space="preserve"> the</w:t>
      </w:r>
      <w:r w:rsidR="00C62757">
        <w:t xml:space="preserve"> </w:t>
      </w:r>
      <w:r w:rsidR="00547FEE" w:rsidRPr="00967720">
        <w:rPr>
          <w:i/>
          <w:iCs/>
        </w:rPr>
        <w:t>26 GHz (25.1</w:t>
      </w:r>
      <w:r w:rsidR="00547FEE">
        <w:rPr>
          <w:i/>
          <w:iCs/>
        </w:rPr>
        <w:t>–</w:t>
      </w:r>
      <w:r w:rsidR="00547FEE" w:rsidRPr="00967720">
        <w:rPr>
          <w:i/>
          <w:iCs/>
        </w:rPr>
        <w:t>27.5 GHz) band spectrum licence technical framework</w:t>
      </w:r>
      <w:r w:rsidR="00547FEE">
        <w:t xml:space="preserve"> consultation paper, published alongside this paper on the ACMA website</w:t>
      </w:r>
      <w:r w:rsidR="00C62757">
        <w:t>.</w:t>
      </w:r>
    </w:p>
    <w:p w14:paraId="09C6DEB1" w14:textId="5DDC16CE" w:rsidR="003B1F5E" w:rsidRPr="00C531E7" w:rsidRDefault="0007287E" w:rsidP="003B1F5E">
      <w:pPr>
        <w:pStyle w:val="Heading3"/>
      </w:pPr>
      <w:r>
        <w:t xml:space="preserve">Spectrum </w:t>
      </w:r>
      <w:r w:rsidR="001E4E10">
        <w:t>l</w:t>
      </w:r>
      <w:r w:rsidR="003B1F5E" w:rsidRPr="00C531E7">
        <w:t>icence tax</w:t>
      </w:r>
    </w:p>
    <w:p w14:paraId="5A7050B2" w14:textId="4813F58D" w:rsidR="00376919" w:rsidRDefault="003B1F5E" w:rsidP="003B1F5E">
      <w:r w:rsidRPr="00AC273D">
        <w:t>Each year on 11 October</w:t>
      </w:r>
      <w:r>
        <w:t>,</w:t>
      </w:r>
      <w:r w:rsidRPr="00AC273D">
        <w:t xml:space="preserve"> a spectrum licence tax</w:t>
      </w:r>
      <w:r w:rsidR="008818FD">
        <w:t xml:space="preserve"> is payable in accordance with </w:t>
      </w:r>
      <w:r>
        <w:t xml:space="preserve">the </w:t>
      </w:r>
      <w:hyperlink r:id="rId46" w:history="1">
        <w:r w:rsidRPr="0070766C">
          <w:rPr>
            <w:rStyle w:val="Hyperlink"/>
          </w:rPr>
          <w:t>Radiocommunications (Spectrum Licence Tax) Determination 2014</w:t>
        </w:r>
      </w:hyperlink>
      <w:r w:rsidR="009A7B58">
        <w:t xml:space="preserve"> (SLT determination)</w:t>
      </w:r>
      <w:r w:rsidRPr="00AC273D">
        <w:t>.</w:t>
      </w:r>
      <w:r w:rsidR="0007287E">
        <w:rPr>
          <w:rStyle w:val="FootnoteReference"/>
        </w:rPr>
        <w:footnoteReference w:id="10"/>
      </w:r>
      <w:r w:rsidRPr="00AC273D">
        <w:t xml:space="preserve"> This tax recovers from spectrum licensees the indirect costs of spectrum management activities such as international coordination, domestic planning, interference investigation and policy development.</w:t>
      </w:r>
    </w:p>
    <w:p w14:paraId="2D59D750" w14:textId="4511543E" w:rsidR="003B1F5E" w:rsidRDefault="00967F44" w:rsidP="00787603">
      <w:r>
        <w:t xml:space="preserve">In addition, the Minister </w:t>
      </w:r>
      <w:r w:rsidR="00787603">
        <w:t xml:space="preserve">recently </w:t>
      </w:r>
      <w:hyperlink r:id="rId47" w:history="1">
        <w:r w:rsidR="00787603" w:rsidRPr="001E4E10">
          <w:rPr>
            <w:rStyle w:val="Hyperlink"/>
          </w:rPr>
          <w:t>directed</w:t>
        </w:r>
      </w:hyperlink>
      <w:r w:rsidR="00787603">
        <w:t xml:space="preserve"> the ACMA about changes to spectrum licence taxes. These changes relate to the collection of costs associated with </w:t>
      </w:r>
      <w:r>
        <w:t xml:space="preserve">new funding arrangements concerning </w:t>
      </w:r>
      <w:r w:rsidR="00D6615A">
        <w:t>electromagnetic emissions (</w:t>
      </w:r>
      <w:r>
        <w:t>EME</w:t>
      </w:r>
      <w:r w:rsidR="00D6615A">
        <w:t>)</w:t>
      </w:r>
      <w:r>
        <w:t xml:space="preserve"> </w:t>
      </w:r>
      <w:r w:rsidR="007C2C27">
        <w:t>r</w:t>
      </w:r>
      <w:r>
        <w:t xml:space="preserve">esearch. </w:t>
      </w:r>
      <w:r w:rsidR="003B1F5E" w:rsidRPr="00AC273D">
        <w:t xml:space="preserve">With the </w:t>
      </w:r>
      <w:r w:rsidR="00C9080E">
        <w:t>declaration</w:t>
      </w:r>
      <w:r w:rsidR="00C9080E" w:rsidRPr="00AC273D">
        <w:t xml:space="preserve"> </w:t>
      </w:r>
      <w:r w:rsidR="003B1F5E" w:rsidRPr="00AC273D">
        <w:t xml:space="preserve">of the </w:t>
      </w:r>
      <w:r w:rsidR="003B3A44">
        <w:t>26</w:t>
      </w:r>
      <w:r w:rsidR="003B1F5E" w:rsidRPr="00AC273D">
        <w:t xml:space="preserve"> GHz band for spectrum licensing, </w:t>
      </w:r>
      <w:r w:rsidR="000644D1">
        <w:t>we</w:t>
      </w:r>
      <w:r w:rsidR="003B1F5E" w:rsidRPr="00AC273D">
        <w:t xml:space="preserve"> propose to incorporate this band into the SLT Determination.</w:t>
      </w:r>
      <w:r>
        <w:t xml:space="preserve"> </w:t>
      </w:r>
      <w:r w:rsidR="000644D1">
        <w:t>We</w:t>
      </w:r>
      <w:r>
        <w:t xml:space="preserve"> expect to consult separately about the</w:t>
      </w:r>
      <w:r w:rsidR="00787603">
        <w:t>se</w:t>
      </w:r>
      <w:r>
        <w:t xml:space="preserve"> new spectrum licence tax arrangements and encourage interested parties to consider th</w:t>
      </w:r>
      <w:r w:rsidR="00787603">
        <w:t>ose</w:t>
      </w:r>
      <w:r>
        <w:t xml:space="preserve"> consultation process</w:t>
      </w:r>
      <w:r w:rsidR="00787603">
        <w:t>es</w:t>
      </w:r>
      <w:r>
        <w:t>.</w:t>
      </w:r>
    </w:p>
    <w:p w14:paraId="05079BAF" w14:textId="77777777" w:rsidR="003B1F5E" w:rsidRPr="00F94E49" w:rsidRDefault="003B1F5E" w:rsidP="003B1F5E">
      <w:pPr>
        <w:pStyle w:val="Heading3"/>
        <w:keepLines/>
      </w:pPr>
      <w:r w:rsidRPr="00F94E49">
        <w:t>Next steps</w:t>
      </w:r>
      <w:bookmarkEnd w:id="27"/>
    </w:p>
    <w:p w14:paraId="0FEC2B1F" w14:textId="38CDCAFD" w:rsidR="003B1F5E" w:rsidRPr="003B2207" w:rsidRDefault="00985CE3" w:rsidP="003B1F5E">
      <w:pPr>
        <w:keepNext/>
        <w:keepLines/>
      </w:pPr>
      <w:r>
        <w:t>We</w:t>
      </w:r>
      <w:r w:rsidRPr="003B2207">
        <w:t xml:space="preserve"> will </w:t>
      </w:r>
      <w:r>
        <w:t>release</w:t>
      </w:r>
      <w:r w:rsidRPr="003B2207">
        <w:t xml:space="preserve"> the </w:t>
      </w:r>
      <w:r w:rsidRPr="00E82862">
        <w:t xml:space="preserve">Applicant </w:t>
      </w:r>
      <w:r>
        <w:t>I</w:t>
      </w:r>
      <w:r w:rsidRPr="00E82862">
        <w:t xml:space="preserve">nformation </w:t>
      </w:r>
      <w:r>
        <w:t>P</w:t>
      </w:r>
      <w:r w:rsidRPr="00E82862">
        <w:t>ack</w:t>
      </w:r>
      <w:r w:rsidRPr="003B2207">
        <w:t xml:space="preserve"> (</w:t>
      </w:r>
      <w:r w:rsidRPr="00625FEF">
        <w:t>AIP</w:t>
      </w:r>
      <w:r>
        <w:t xml:space="preserve">) </w:t>
      </w:r>
      <w:r w:rsidR="00937779">
        <w:t>o</w:t>
      </w:r>
      <w:r w:rsidR="008818FD">
        <w:t xml:space="preserve">nce </w:t>
      </w:r>
      <w:r w:rsidR="003B1F5E" w:rsidRPr="003B2207">
        <w:t xml:space="preserve">the final </w:t>
      </w:r>
      <w:r w:rsidR="00356546">
        <w:t>allocation</w:t>
      </w:r>
      <w:r w:rsidR="003B1F5E" w:rsidRPr="003B2207">
        <w:t xml:space="preserve"> </w:t>
      </w:r>
      <w:r w:rsidR="00EA59D0">
        <w:t xml:space="preserve">and technical </w:t>
      </w:r>
      <w:r w:rsidR="003B1F5E" w:rsidRPr="003B2207">
        <w:t>instruments</w:t>
      </w:r>
      <w:r w:rsidR="003B1F5E">
        <w:t xml:space="preserve"> for the </w:t>
      </w:r>
      <w:r w:rsidR="002572F1">
        <w:t>2</w:t>
      </w:r>
      <w:r w:rsidR="003B1F5E">
        <w:t>6</w:t>
      </w:r>
      <w:r w:rsidR="0050535B">
        <w:t> </w:t>
      </w:r>
      <w:r w:rsidR="003B1F5E">
        <w:t>GHz band</w:t>
      </w:r>
      <w:r w:rsidR="003B1F5E" w:rsidRPr="003B2207">
        <w:t xml:space="preserve"> are </w:t>
      </w:r>
      <w:r w:rsidR="003B1F5E">
        <w:t>made</w:t>
      </w:r>
      <w:r w:rsidR="00937779">
        <w:t xml:space="preserve">. </w:t>
      </w:r>
      <w:r w:rsidR="003B1F5E" w:rsidRPr="003B2207">
        <w:t xml:space="preserve">The AIP will give </w:t>
      </w:r>
      <w:r w:rsidR="003B1F5E">
        <w:t>potential bidders</w:t>
      </w:r>
      <w:r w:rsidR="003B1F5E" w:rsidRPr="003B2207">
        <w:t xml:space="preserve"> information </w:t>
      </w:r>
      <w:r w:rsidR="003B1F5E">
        <w:t xml:space="preserve">relevant to the decision on whether to participate </w:t>
      </w:r>
      <w:r w:rsidR="003B1F5E" w:rsidRPr="003B2207">
        <w:t>and, if they choose to participate, how to do so.</w:t>
      </w:r>
    </w:p>
    <w:p w14:paraId="723EED9F" w14:textId="5059C6B5" w:rsidR="003B1F5E" w:rsidRDefault="003B1F5E" w:rsidP="003B1F5E">
      <w:pPr>
        <w:keepNext/>
        <w:keepLines/>
        <w:rPr>
          <w:highlight w:val="yellow"/>
        </w:rPr>
      </w:pPr>
      <w:r w:rsidRPr="003B2207">
        <w:t>The AIP will comprise a series of documents</w:t>
      </w:r>
      <w:r>
        <w:t>,</w:t>
      </w:r>
      <w:r w:rsidRPr="003B2207">
        <w:t xml:space="preserve"> including </w:t>
      </w:r>
      <w:r>
        <w:t>the auction guide</w:t>
      </w:r>
      <w:r w:rsidRPr="003B2207">
        <w:t>, application forms</w:t>
      </w:r>
      <w:r>
        <w:t xml:space="preserve"> and </w:t>
      </w:r>
      <w:r w:rsidRPr="003B2207">
        <w:t xml:space="preserve">the </w:t>
      </w:r>
      <w:r>
        <w:t xml:space="preserve">final </w:t>
      </w:r>
      <w:r w:rsidRPr="003B2207">
        <w:t>allocation instruments</w:t>
      </w:r>
      <w:r>
        <w:t>.</w:t>
      </w:r>
      <w:r w:rsidRPr="003B2207">
        <w:t xml:space="preserve"> </w:t>
      </w:r>
      <w:r>
        <w:t xml:space="preserve">Starting prices </w:t>
      </w:r>
      <w:r w:rsidR="000951C1">
        <w:t xml:space="preserve">and lot ratings </w:t>
      </w:r>
      <w:r>
        <w:t>are expected to be published at the same time.</w:t>
      </w:r>
      <w:bookmarkStart w:id="29" w:name="_Toc315101915"/>
      <w:bookmarkStart w:id="30" w:name="_Toc319572494"/>
      <w:bookmarkStart w:id="31" w:name="_Toc408494353"/>
      <w:bookmarkStart w:id="32" w:name="_Toc408846592"/>
      <w:bookmarkStart w:id="33" w:name="_Toc409015461"/>
      <w:bookmarkStart w:id="34" w:name="_Toc409528625"/>
      <w:bookmarkStart w:id="35" w:name="_Toc409016954"/>
      <w:bookmarkStart w:id="36" w:name="_Toc410918154"/>
      <w:bookmarkEnd w:id="29"/>
      <w:bookmarkEnd w:id="30"/>
      <w:bookmarkEnd w:id="31"/>
      <w:bookmarkEnd w:id="32"/>
      <w:bookmarkEnd w:id="33"/>
      <w:bookmarkEnd w:id="34"/>
      <w:bookmarkEnd w:id="35"/>
      <w:bookmarkEnd w:id="36"/>
    </w:p>
    <w:p w14:paraId="764F06BF" w14:textId="00FD7C03" w:rsidR="002572F1" w:rsidRDefault="002572F1" w:rsidP="00685EDD">
      <w:pPr>
        <w:pStyle w:val="Heading1"/>
      </w:pPr>
      <w:bookmarkStart w:id="37" w:name="_Draft_marketing_plan"/>
      <w:bookmarkStart w:id="38" w:name="_Toc45112203"/>
      <w:bookmarkEnd w:id="37"/>
      <w:r w:rsidRPr="003B2207">
        <w:t xml:space="preserve">Draft </w:t>
      </w:r>
      <w:r>
        <w:t>m</w:t>
      </w:r>
      <w:r w:rsidRPr="003B2207">
        <w:t>arketing plan</w:t>
      </w:r>
      <w:bookmarkEnd w:id="38"/>
    </w:p>
    <w:p w14:paraId="50C2C6FF" w14:textId="09331C1A" w:rsidR="002572F1" w:rsidRDefault="002572F1" w:rsidP="002572F1">
      <w:r>
        <w:t xml:space="preserve">This </w:t>
      </w:r>
      <w:r w:rsidR="005F2762">
        <w:t xml:space="preserve">section </w:t>
      </w:r>
      <w:r>
        <w:t xml:space="preserve">sets out </w:t>
      </w:r>
      <w:r w:rsidR="00ED0E0B">
        <w:t xml:space="preserve">key matters dealt with in </w:t>
      </w:r>
      <w:r>
        <w:t>the draft marketing plan</w:t>
      </w:r>
      <w:r w:rsidR="000644D1">
        <w:t>.</w:t>
      </w:r>
      <w:r>
        <w:t xml:space="preserve"> </w:t>
      </w:r>
    </w:p>
    <w:p w14:paraId="7F07ECEC" w14:textId="0F8A8626" w:rsidR="002572F1" w:rsidRPr="003B2207" w:rsidRDefault="002572F1" w:rsidP="00685EDD">
      <w:pPr>
        <w:pStyle w:val="Paragraphbeforelist"/>
      </w:pPr>
      <w:r>
        <w:t xml:space="preserve">The </w:t>
      </w:r>
      <w:r w:rsidRPr="003B2207">
        <w:t>draft marketing plan</w:t>
      </w:r>
      <w:r>
        <w:t xml:space="preserve"> includes</w:t>
      </w:r>
      <w:r w:rsidRPr="003B2207">
        <w:t>:</w:t>
      </w:r>
      <w:r>
        <w:t xml:space="preserve"> </w:t>
      </w:r>
    </w:p>
    <w:p w14:paraId="6E190F98" w14:textId="13AFE92F" w:rsidR="002572F1" w:rsidRDefault="002572F1" w:rsidP="002572F1">
      <w:pPr>
        <w:pStyle w:val="Bulletlevel1"/>
      </w:pPr>
      <w:r w:rsidRPr="00C531E7">
        <w:t>procedures</w:t>
      </w:r>
      <w:r>
        <w:t xml:space="preserve"> for allocating and issuing spectrum licences </w:t>
      </w:r>
    </w:p>
    <w:p w14:paraId="52782FC8" w14:textId="5CCF5925" w:rsidR="002572F1" w:rsidRPr="00C531E7" w:rsidRDefault="002572F1" w:rsidP="002572F1">
      <w:pPr>
        <w:pStyle w:val="Bulletlevel1"/>
      </w:pPr>
      <w:r>
        <w:t xml:space="preserve">licence </w:t>
      </w:r>
      <w:r w:rsidRPr="00C531E7">
        <w:t xml:space="preserve">commencement </w:t>
      </w:r>
      <w:r w:rsidR="009C5F30">
        <w:t>and duration</w:t>
      </w:r>
    </w:p>
    <w:p w14:paraId="67CDE558" w14:textId="31624908" w:rsidR="002572F1" w:rsidRPr="003D4AA1" w:rsidRDefault="002572F1" w:rsidP="002572F1">
      <w:pPr>
        <w:pStyle w:val="Bulletlevel1"/>
      </w:pPr>
      <w:r w:rsidRPr="00C531E7">
        <w:t xml:space="preserve">spectrum that will be allocated and how </w:t>
      </w:r>
      <w:r w:rsidR="00C6579D">
        <w:t>we</w:t>
      </w:r>
      <w:r w:rsidRPr="00C531E7">
        <w:t xml:space="preserve"> propose to divide it into lots for bidders to acquire in the</w:t>
      </w:r>
      <w:r w:rsidRPr="003D4AA1">
        <w:t xml:space="preserve"> auction process</w:t>
      </w:r>
    </w:p>
    <w:p w14:paraId="60E44B11" w14:textId="2ED6D005" w:rsidR="002572F1" w:rsidRDefault="002572F1" w:rsidP="00685EDD">
      <w:pPr>
        <w:pStyle w:val="Bulletlevel1last"/>
      </w:pPr>
      <w:r>
        <w:t xml:space="preserve">the </w:t>
      </w:r>
      <w:r w:rsidRPr="003D4AA1">
        <w:t xml:space="preserve">types of </w:t>
      </w:r>
      <w:r w:rsidRPr="00C531E7">
        <w:t>licence</w:t>
      </w:r>
      <w:r>
        <w:t xml:space="preserve"> </w:t>
      </w:r>
      <w:r w:rsidRPr="003D4AA1">
        <w:t xml:space="preserve">conditions </w:t>
      </w:r>
      <w:r w:rsidR="000644D1">
        <w:t xml:space="preserve">we </w:t>
      </w:r>
      <w:r w:rsidRPr="003D4AA1">
        <w:t>propose to apply to the spectrum licences</w:t>
      </w:r>
      <w:r w:rsidR="004969F2">
        <w:t>.</w:t>
      </w:r>
    </w:p>
    <w:p w14:paraId="5B7516AF" w14:textId="77777777" w:rsidR="002572F1" w:rsidRPr="003F4C98" w:rsidRDefault="002572F1" w:rsidP="00685EDD">
      <w:pPr>
        <w:pStyle w:val="Heading2"/>
      </w:pPr>
      <w:bookmarkStart w:id="39" w:name="_Toc512246159"/>
      <w:bookmarkStart w:id="40" w:name="_Toc512503293"/>
      <w:bookmarkStart w:id="41" w:name="_Toc514330442"/>
      <w:bookmarkStart w:id="42" w:name="_Toc45112204"/>
      <w:r w:rsidRPr="002572F1">
        <w:t>Spectrum licences</w:t>
      </w:r>
      <w:bookmarkEnd w:id="39"/>
      <w:bookmarkEnd w:id="40"/>
      <w:bookmarkEnd w:id="41"/>
      <w:bookmarkEnd w:id="42"/>
    </w:p>
    <w:p w14:paraId="35F40B6B" w14:textId="77777777" w:rsidR="002572F1" w:rsidRPr="002572F1" w:rsidRDefault="002572F1" w:rsidP="003F4C98">
      <w:pPr>
        <w:pStyle w:val="Heading3"/>
      </w:pPr>
      <w:r w:rsidRPr="002572F1">
        <w:t xml:space="preserve">Sample spectrum licence and core </w:t>
      </w:r>
      <w:r w:rsidRPr="00ED0E0B">
        <w:t xml:space="preserve">licence </w:t>
      </w:r>
      <w:r w:rsidRPr="003F4C98">
        <w:t>conditions</w:t>
      </w:r>
    </w:p>
    <w:p w14:paraId="6E66EB86" w14:textId="358CF373" w:rsidR="002572F1" w:rsidRPr="002572F1" w:rsidRDefault="002572F1" w:rsidP="00B81C4C">
      <w:pPr>
        <w:pStyle w:val="Paragraphbeforelist"/>
      </w:pPr>
      <w:r w:rsidRPr="002572F1">
        <w:t>The draft</w:t>
      </w:r>
      <w:r w:rsidRPr="002572F1" w:rsidDel="003D1368">
        <w:t xml:space="preserve"> </w:t>
      </w:r>
      <w:r w:rsidRPr="002572F1">
        <w:t>marketing plan in</w:t>
      </w:r>
      <w:r w:rsidR="0078608D">
        <w:t>cludes</w:t>
      </w:r>
      <w:r w:rsidRPr="002572F1">
        <w:t xml:space="preserve"> a sample spectrum licence. The sample licence includes proposed conditions intended to </w:t>
      </w:r>
      <w:r w:rsidR="00542703">
        <w:t>enable</w:t>
      </w:r>
      <w:r w:rsidR="00542703" w:rsidRPr="002572F1">
        <w:t xml:space="preserve"> </w:t>
      </w:r>
      <w:r w:rsidRPr="002572F1">
        <w:t>all licence-holders to operate services without causing unacceptable interference to other services</w:t>
      </w:r>
      <w:r w:rsidR="00542703">
        <w:t xml:space="preserve"> includ</w:t>
      </w:r>
      <w:r w:rsidR="00F449E5">
        <w:t>ing</w:t>
      </w:r>
      <w:r w:rsidRPr="002572F1">
        <w:t xml:space="preserve"> those operating in other parts of the radiofrequency spectrum. Core conditions</w:t>
      </w:r>
      <w:r w:rsidR="00A515E5">
        <w:t>,</w:t>
      </w:r>
      <w:r w:rsidRPr="002572F1">
        <w:t xml:space="preserve"> in accordance with section 66 of the Act</w:t>
      </w:r>
      <w:r w:rsidR="00A515E5">
        <w:t>,</w:t>
      </w:r>
      <w:r w:rsidRPr="002572F1">
        <w:t xml:space="preserve"> will apply to spectrum licences in terms of:</w:t>
      </w:r>
    </w:p>
    <w:p w14:paraId="7D6663D8" w14:textId="77777777" w:rsidR="002572F1" w:rsidRPr="002572F1" w:rsidRDefault="002572F1" w:rsidP="002572F1">
      <w:pPr>
        <w:pStyle w:val="Bulletlevel1"/>
      </w:pPr>
      <w:r w:rsidRPr="002572F1">
        <w:t>defining their geographic boundaries</w:t>
      </w:r>
    </w:p>
    <w:p w14:paraId="5C115286" w14:textId="77777777" w:rsidR="002572F1" w:rsidRPr="002572F1" w:rsidRDefault="002572F1" w:rsidP="002572F1">
      <w:pPr>
        <w:pStyle w:val="Bulletlevel1"/>
      </w:pPr>
      <w:r w:rsidRPr="002572F1">
        <w:t>defining their range of frequencies</w:t>
      </w:r>
    </w:p>
    <w:p w14:paraId="1F97BEAA" w14:textId="77777777" w:rsidR="002572F1" w:rsidRPr="002572F1" w:rsidRDefault="002572F1" w:rsidP="002572F1">
      <w:pPr>
        <w:pStyle w:val="Bulletlevel1"/>
      </w:pPr>
      <w:r w:rsidRPr="002572F1">
        <w:t>setting outside-the-area radio emission limits</w:t>
      </w:r>
    </w:p>
    <w:p w14:paraId="1B7A4D63" w14:textId="77777777" w:rsidR="002572F1" w:rsidRPr="002572F1" w:rsidRDefault="002572F1" w:rsidP="00685EDD">
      <w:pPr>
        <w:pStyle w:val="Bulletlevel1last"/>
      </w:pPr>
      <w:r w:rsidRPr="002572F1">
        <w:t>setting outside-the-band radio emission limits.</w:t>
      </w:r>
    </w:p>
    <w:p w14:paraId="3DF78956" w14:textId="4481BFF7" w:rsidR="002572F1" w:rsidRDefault="002572F1" w:rsidP="002572F1">
      <w:r w:rsidRPr="002572F1">
        <w:t>In addition, the marketing plan describes other licence conditions and rules about spectrum licences, including those relating to spectrum trading rules, use by third parties</w:t>
      </w:r>
      <w:r w:rsidRPr="002572F1">
        <w:rPr>
          <w:vertAlign w:val="superscript"/>
        </w:rPr>
        <w:footnoteReference w:id="11"/>
      </w:r>
      <w:r w:rsidRPr="002572F1">
        <w:t xml:space="preserve"> and registration of transmitters with the ACMA</w:t>
      </w:r>
      <w:r w:rsidR="007C35CF">
        <w:t>.</w:t>
      </w:r>
      <w:r w:rsidRPr="002572F1">
        <w:rPr>
          <w:vertAlign w:val="superscript"/>
        </w:rPr>
        <w:footnoteReference w:id="12"/>
      </w:r>
    </w:p>
    <w:p w14:paraId="4B544B64" w14:textId="1A5C1634" w:rsidR="00C6579D" w:rsidRDefault="00431F9F" w:rsidP="002572F1">
      <w:r>
        <w:t>Some of t</w:t>
      </w:r>
      <w:r w:rsidR="0070766C">
        <w:t>he l</w:t>
      </w:r>
      <w:r w:rsidR="00C6579D">
        <w:t xml:space="preserve">icence conditions are </w:t>
      </w:r>
      <w:r>
        <w:t xml:space="preserve">also </w:t>
      </w:r>
      <w:r w:rsidR="00C6579D">
        <w:t xml:space="preserve">discussed </w:t>
      </w:r>
      <w:r w:rsidR="003F4C98">
        <w:t xml:space="preserve">in the </w:t>
      </w:r>
      <w:r w:rsidR="003F4C98" w:rsidRPr="00967720">
        <w:rPr>
          <w:i/>
          <w:iCs/>
        </w:rPr>
        <w:t>26 GHz (25.1</w:t>
      </w:r>
      <w:r w:rsidR="003F4C98">
        <w:rPr>
          <w:i/>
          <w:iCs/>
        </w:rPr>
        <w:t>–</w:t>
      </w:r>
      <w:r w:rsidR="003F4C98" w:rsidRPr="00967720">
        <w:rPr>
          <w:i/>
          <w:iCs/>
        </w:rPr>
        <w:t>27.5 GHz) band spectrum licence technical framework</w:t>
      </w:r>
      <w:r w:rsidR="003F4C98">
        <w:t xml:space="preserve"> consultation paper, published alongside this paper on the ACMA website</w:t>
      </w:r>
      <w:r w:rsidR="00EB2B40">
        <w:t>.</w:t>
      </w:r>
    </w:p>
    <w:p w14:paraId="4023CAB9" w14:textId="77777777" w:rsidR="005D0775" w:rsidRDefault="005D0775" w:rsidP="005D0775">
      <w:pPr>
        <w:pStyle w:val="Heading3"/>
      </w:pPr>
      <w:r>
        <w:t>Licence commencement and duration</w:t>
      </w:r>
    </w:p>
    <w:p w14:paraId="29B95E10" w14:textId="209128E5" w:rsidR="007D21FF" w:rsidRDefault="005D0775" w:rsidP="00685EDD">
      <w:pPr>
        <w:pStyle w:val="Paragraph"/>
      </w:pPr>
      <w:r>
        <w:t xml:space="preserve">In the </w:t>
      </w:r>
      <w:hyperlink r:id="rId48" w:history="1">
        <w:r w:rsidRPr="000E2415">
          <w:rPr>
            <w:rStyle w:val="Hyperlink"/>
          </w:rPr>
          <w:t xml:space="preserve">draft spectrum </w:t>
        </w:r>
        <w:r w:rsidR="004E7783">
          <w:rPr>
            <w:rStyle w:val="Hyperlink"/>
          </w:rPr>
          <w:t>re-allocation</w:t>
        </w:r>
        <w:r w:rsidRPr="000E2415">
          <w:rPr>
            <w:rStyle w:val="Hyperlink"/>
          </w:rPr>
          <w:t xml:space="preserve"> declaration recommendation</w:t>
        </w:r>
      </w:hyperlink>
      <w:r>
        <w:t xml:space="preserve"> </w:t>
      </w:r>
      <w:r w:rsidR="0017359A">
        <w:t xml:space="preserve">(draft </w:t>
      </w:r>
      <w:r w:rsidR="00BF0CC9">
        <w:t xml:space="preserve">re-allocation </w:t>
      </w:r>
      <w:r w:rsidR="0017359A">
        <w:t xml:space="preserve">recommendation) </w:t>
      </w:r>
      <w:r w:rsidR="00BE2913">
        <w:t>consultation,</w:t>
      </w:r>
      <w:r>
        <w:t xml:space="preserve"> </w:t>
      </w:r>
      <w:r w:rsidR="00F56897">
        <w:t>we</w:t>
      </w:r>
      <w:r>
        <w:t xml:space="preserve"> expressed </w:t>
      </w:r>
      <w:r w:rsidR="00F56897">
        <w:t xml:space="preserve">our </w:t>
      </w:r>
      <w:r>
        <w:t xml:space="preserve">preliminary view that any spectrum </w:t>
      </w:r>
      <w:r w:rsidRPr="00086D26">
        <w:t>licences issued in the 26 GHz band should commence as soon as possible after allocation</w:t>
      </w:r>
      <w:r w:rsidR="007C35CF" w:rsidRPr="00086D26">
        <w:t>,</w:t>
      </w:r>
      <w:r w:rsidR="007C35CF">
        <w:t xml:space="preserve"> and have </w:t>
      </w:r>
      <w:r>
        <w:t xml:space="preserve">a 15 year term. </w:t>
      </w:r>
      <w:r w:rsidR="00EC0281">
        <w:t xml:space="preserve">This would </w:t>
      </w:r>
      <w:r w:rsidR="00C9426A">
        <w:t>remove</w:t>
      </w:r>
      <w:r w:rsidR="00EC0281">
        <w:t xml:space="preserve"> the need for early access arrangements </w:t>
      </w:r>
      <w:r w:rsidR="00C61698">
        <w:t>for</w:t>
      </w:r>
      <w:r w:rsidR="00EC0281">
        <w:t xml:space="preserve"> the 26 GHz </w:t>
      </w:r>
      <w:r w:rsidR="00C9426A">
        <w:t>band.</w:t>
      </w:r>
      <w:r w:rsidR="002C33CF">
        <w:t xml:space="preserve"> </w:t>
      </w:r>
      <w:proofErr w:type="gramStart"/>
      <w:r w:rsidR="007D21FF">
        <w:t>T</w:t>
      </w:r>
      <w:r w:rsidR="0017359A">
        <w:t>he majority</w:t>
      </w:r>
      <w:r w:rsidR="006C291B">
        <w:t xml:space="preserve"> </w:t>
      </w:r>
      <w:r w:rsidR="0017359A">
        <w:t>of</w:t>
      </w:r>
      <w:proofErr w:type="gramEnd"/>
      <w:r w:rsidR="0017359A">
        <w:t xml:space="preserve"> submissions to th</w:t>
      </w:r>
      <w:r w:rsidR="00163F24">
        <w:t xml:space="preserve">at </w:t>
      </w:r>
      <w:r w:rsidR="0017359A">
        <w:t xml:space="preserve">consultation supported </w:t>
      </w:r>
      <w:r w:rsidR="00671FA9">
        <w:t>this view</w:t>
      </w:r>
      <w:r w:rsidR="007D21FF">
        <w:t>.</w:t>
      </w:r>
    </w:p>
    <w:p w14:paraId="6129FD7B" w14:textId="59CC84C2" w:rsidR="00CD6095" w:rsidRDefault="00B01A09" w:rsidP="00685EDD">
      <w:pPr>
        <w:pStyle w:val="Paragraphbeforelist"/>
        <w:keepNext/>
        <w:keepLines/>
      </w:pPr>
      <w:r>
        <w:t>In</w:t>
      </w:r>
      <w:r w:rsidR="00AE4DED" w:rsidRPr="00AE4DED">
        <w:t xml:space="preserve"> previous </w:t>
      </w:r>
      <w:r w:rsidR="00AE4DED">
        <w:t xml:space="preserve">spectrum licence </w:t>
      </w:r>
      <w:r w:rsidR="00AE4DED" w:rsidRPr="00AE4DED">
        <w:t>auctions</w:t>
      </w:r>
      <w:r>
        <w:t xml:space="preserve">, we </w:t>
      </w:r>
      <w:r w:rsidR="00CD6095">
        <w:t xml:space="preserve">have adopted </w:t>
      </w:r>
      <w:r w:rsidR="00D715A8">
        <w:t>either of</w:t>
      </w:r>
      <w:r w:rsidR="00CD6095">
        <w:t xml:space="preserve"> </w:t>
      </w:r>
      <w:r w:rsidR="00D715A8">
        <w:t>the following</w:t>
      </w:r>
      <w:r w:rsidR="00CD6095">
        <w:t xml:space="preserve"> approaches to licence start dates</w:t>
      </w:r>
      <w:r w:rsidR="003F4C98">
        <w:t xml:space="preserve">: </w:t>
      </w:r>
    </w:p>
    <w:p w14:paraId="27B22A8F" w14:textId="7E1C5CD8" w:rsidR="00CD6095" w:rsidRDefault="00D715A8" w:rsidP="00685EDD">
      <w:pPr>
        <w:pStyle w:val="ListNumber"/>
        <w:keepNext/>
        <w:keepLines/>
        <w:numPr>
          <w:ilvl w:val="0"/>
          <w:numId w:val="50"/>
        </w:numPr>
        <w:ind w:left="360"/>
      </w:pPr>
      <w:r>
        <w:t>W</w:t>
      </w:r>
      <w:r w:rsidR="00CD6095">
        <w:t xml:space="preserve">e </w:t>
      </w:r>
      <w:r w:rsidR="00AE4DED">
        <w:t>set common</w:t>
      </w:r>
      <w:r w:rsidR="00AE4DED" w:rsidRPr="00AE4DED">
        <w:t xml:space="preserve"> licence </w:t>
      </w:r>
      <w:r w:rsidR="00A64F91">
        <w:t>start</w:t>
      </w:r>
      <w:r w:rsidR="00AE4DED" w:rsidRPr="00AE4DED">
        <w:t xml:space="preserve"> date</w:t>
      </w:r>
      <w:r w:rsidR="00B01A09">
        <w:t>s</w:t>
      </w:r>
      <w:r w:rsidR="00AE4DED">
        <w:t xml:space="preserve"> (either soon after the auction, or </w:t>
      </w:r>
      <w:r w:rsidR="00A41A4A">
        <w:t>at</w:t>
      </w:r>
      <w:r w:rsidR="00AE4DED">
        <w:t xml:space="preserve"> the end of the </w:t>
      </w:r>
      <w:r w:rsidR="004E7783">
        <w:t>re-allocation</w:t>
      </w:r>
      <w:r w:rsidR="00AE4DED">
        <w:t xml:space="preserve"> period)</w:t>
      </w:r>
      <w:r w:rsidR="00B01A09">
        <w:t xml:space="preserve"> </w:t>
      </w:r>
      <w:r w:rsidR="00422CBC">
        <w:t xml:space="preserve">and </w:t>
      </w:r>
      <w:r w:rsidR="00B01A09">
        <w:t xml:space="preserve">a </w:t>
      </w:r>
      <w:r w:rsidR="00422CBC">
        <w:t xml:space="preserve">common </w:t>
      </w:r>
      <w:r w:rsidR="00B01A09">
        <w:t>licence term.</w:t>
      </w:r>
      <w:r w:rsidR="00CD6095">
        <w:t xml:space="preserve"> All licences therefore commenced and ended at the same time.</w:t>
      </w:r>
      <w:r w:rsidR="00B01A09">
        <w:t xml:space="preserve"> </w:t>
      </w:r>
      <w:r w:rsidR="009A32C0">
        <w:t xml:space="preserve">In these circumstances, access for </w:t>
      </w:r>
      <w:r w:rsidR="00B67EF6">
        <w:t>winning bidders</w:t>
      </w:r>
      <w:r w:rsidR="009A32C0">
        <w:t xml:space="preserve"> before the spectrum licence commences is usually managed via </w:t>
      </w:r>
      <w:r w:rsidR="00BB65B9">
        <w:t>‘</w:t>
      </w:r>
      <w:r w:rsidR="009A32C0">
        <w:t>early access</w:t>
      </w:r>
      <w:r w:rsidR="00BB65B9">
        <w:t>’</w:t>
      </w:r>
      <w:r w:rsidR="009A32C0">
        <w:t xml:space="preserve"> apparatus licences provided that deployments </w:t>
      </w:r>
      <w:r w:rsidR="009619C6">
        <w:t xml:space="preserve">do not </w:t>
      </w:r>
      <w:r w:rsidR="009A32C0">
        <w:t>cause unacceptable interference to incumbent apparatus licensees.</w:t>
      </w:r>
      <w:r w:rsidR="00133A57">
        <w:t xml:space="preserve"> The </w:t>
      </w:r>
      <w:r w:rsidR="007529D8">
        <w:t>1800 </w:t>
      </w:r>
      <w:r w:rsidR="00133A57">
        <w:t xml:space="preserve">MHz regional auction is </w:t>
      </w:r>
      <w:r w:rsidR="0078608D">
        <w:t>an example of this approach</w:t>
      </w:r>
      <w:r w:rsidR="00133A57">
        <w:t>.</w:t>
      </w:r>
      <w:r w:rsidR="00133A57">
        <w:rPr>
          <w:rStyle w:val="FootnoteReference"/>
        </w:rPr>
        <w:footnoteReference w:id="13"/>
      </w:r>
      <w:r w:rsidR="00133A57">
        <w:t xml:space="preserve"> </w:t>
      </w:r>
    </w:p>
    <w:p w14:paraId="1FF1DB17" w14:textId="14D7E588" w:rsidR="00AE4DED" w:rsidRDefault="00D715A8" w:rsidP="00685EDD">
      <w:pPr>
        <w:pStyle w:val="ListNumber"/>
        <w:keepNext/>
        <w:keepLines/>
        <w:numPr>
          <w:ilvl w:val="0"/>
          <w:numId w:val="50"/>
        </w:numPr>
        <w:spacing w:after="240"/>
        <w:ind w:left="357" w:hanging="357"/>
      </w:pPr>
      <w:r>
        <w:t>W</w:t>
      </w:r>
      <w:r w:rsidR="00B01A09">
        <w:t>e set</w:t>
      </w:r>
      <w:r w:rsidR="00A64F91">
        <w:t xml:space="preserve"> </w:t>
      </w:r>
      <w:r w:rsidR="00AE4DED">
        <w:t xml:space="preserve">common licence </w:t>
      </w:r>
      <w:r w:rsidR="00DA2630">
        <w:t>duration</w:t>
      </w:r>
      <w:r w:rsidR="00236D10">
        <w:t>s</w:t>
      </w:r>
      <w:r w:rsidR="00DA2630">
        <w:t xml:space="preserve"> </w:t>
      </w:r>
      <w:r w:rsidR="00105906">
        <w:t>specifying</w:t>
      </w:r>
      <w:r w:rsidR="00DA2630">
        <w:t xml:space="preserve"> </w:t>
      </w:r>
      <w:r w:rsidR="00C7368C">
        <w:t xml:space="preserve">that </w:t>
      </w:r>
      <w:r w:rsidR="00DA2630">
        <w:t>the licence</w:t>
      </w:r>
      <w:r w:rsidR="00105906">
        <w:t xml:space="preserve"> would come into force</w:t>
      </w:r>
      <w:r w:rsidR="00C7368C">
        <w:t xml:space="preserve"> on or after the d</w:t>
      </w:r>
      <w:r w:rsidR="00B779BD">
        <w:t>ay</w:t>
      </w:r>
      <w:r w:rsidR="00C7368C">
        <w:t xml:space="preserve"> of issue</w:t>
      </w:r>
      <w:r w:rsidR="00105906">
        <w:t>. The licences were issued as soon as practicable after we received the payment</w:t>
      </w:r>
      <w:r w:rsidR="00B01A09">
        <w:t>.</w:t>
      </w:r>
      <w:r w:rsidR="00CD6095">
        <w:t xml:space="preserve"> </w:t>
      </w:r>
      <w:r>
        <w:t xml:space="preserve">As the date of payment </w:t>
      </w:r>
      <w:r w:rsidR="00535500">
        <w:t xml:space="preserve">could have </w:t>
      </w:r>
      <w:r w:rsidR="0041618F">
        <w:t>differed across winning bidders</w:t>
      </w:r>
      <w:r>
        <w:t xml:space="preserve"> and </w:t>
      </w:r>
      <w:r w:rsidR="00C7368C">
        <w:t>a</w:t>
      </w:r>
      <w:r w:rsidR="00CD6095">
        <w:t xml:space="preserve">ll licences </w:t>
      </w:r>
      <w:r w:rsidR="00321B2C">
        <w:t>had the same duration</w:t>
      </w:r>
      <w:r w:rsidR="00C7368C">
        <w:t>,</w:t>
      </w:r>
      <w:r w:rsidR="00321B2C">
        <w:t xml:space="preserve"> </w:t>
      </w:r>
      <w:r w:rsidR="00C7368C">
        <w:t xml:space="preserve">the </w:t>
      </w:r>
      <w:r>
        <w:t>licences</w:t>
      </w:r>
      <w:r w:rsidR="00C7368C">
        <w:t xml:space="preserve"> </w:t>
      </w:r>
      <w:r w:rsidR="0041618F">
        <w:t>c</w:t>
      </w:r>
      <w:r w:rsidR="00C7368C">
        <w:t>ould</w:t>
      </w:r>
      <w:r w:rsidR="00CD6095">
        <w:t xml:space="preserve"> have commenced </w:t>
      </w:r>
      <w:r w:rsidR="00321B2C">
        <w:t xml:space="preserve">and expired at slightly </w:t>
      </w:r>
      <w:r w:rsidR="00CD6095">
        <w:t>different times.</w:t>
      </w:r>
      <w:r w:rsidR="0090220B" w:rsidRPr="0090220B">
        <w:t xml:space="preserve"> </w:t>
      </w:r>
      <w:r w:rsidR="00C7368C">
        <w:t xml:space="preserve">To avoid </w:t>
      </w:r>
      <w:r w:rsidR="0041618F">
        <w:t xml:space="preserve">different </w:t>
      </w:r>
      <w:r w:rsidR="00B779BD">
        <w:t>expiry dates</w:t>
      </w:r>
      <w:r w:rsidR="00C7368C">
        <w:t>, all licences were</w:t>
      </w:r>
      <w:r w:rsidR="00A972B7">
        <w:t xml:space="preserve"> </w:t>
      </w:r>
      <w:r w:rsidR="00C7368C">
        <w:t xml:space="preserve">issued </w:t>
      </w:r>
      <w:r w:rsidR="00B779BD">
        <w:t xml:space="preserve">on the same day </w:t>
      </w:r>
      <w:r>
        <w:t xml:space="preserve">after </w:t>
      </w:r>
      <w:r w:rsidRPr="00024302">
        <w:rPr>
          <w:b/>
          <w:bCs/>
        </w:rPr>
        <w:t>all</w:t>
      </w:r>
      <w:r>
        <w:t xml:space="preserve"> payments were </w:t>
      </w:r>
      <w:r w:rsidR="00133A57">
        <w:t>received</w:t>
      </w:r>
      <w:r>
        <w:t>,</w:t>
      </w:r>
      <w:r w:rsidR="00B779BD">
        <w:t xml:space="preserve"> therefore commencing on the</w:t>
      </w:r>
      <w:r w:rsidR="00C7368C">
        <w:t xml:space="preserve"> same date. </w:t>
      </w:r>
      <w:r w:rsidR="00105906">
        <w:t>T</w:t>
      </w:r>
      <w:r w:rsidR="0090220B">
        <w:t xml:space="preserve">his approach was used </w:t>
      </w:r>
      <w:r w:rsidR="00DA2630">
        <w:t>for the auctions</w:t>
      </w:r>
      <w:r w:rsidR="00105906">
        <w:t xml:space="preserve"> held before 2002</w:t>
      </w:r>
      <w:r w:rsidR="00DA2630">
        <w:t xml:space="preserve"> such as the 2</w:t>
      </w:r>
      <w:r w:rsidR="00535500">
        <w:t> </w:t>
      </w:r>
      <w:r w:rsidR="00DA2630">
        <w:t>GHz process</w:t>
      </w:r>
      <w:r w:rsidR="0090220B">
        <w:t>.</w:t>
      </w:r>
    </w:p>
    <w:p w14:paraId="2F2C1589" w14:textId="160DE557" w:rsidR="003E2C2F" w:rsidRDefault="00CD6095" w:rsidP="00685EDD">
      <w:pPr>
        <w:pStyle w:val="Paragraph"/>
      </w:pPr>
      <w:r>
        <w:t xml:space="preserve">In the case of the 26 GHz band, we </w:t>
      </w:r>
      <w:r w:rsidR="00D715A8">
        <w:t>consider</w:t>
      </w:r>
      <w:r w:rsidRPr="00001699">
        <w:t xml:space="preserve"> that spectrum licences </w:t>
      </w:r>
      <w:r w:rsidR="00D715A8">
        <w:t>should</w:t>
      </w:r>
      <w:r w:rsidRPr="00001699">
        <w:t xml:space="preserve"> commence as soon as possible after the auction</w:t>
      </w:r>
      <w:r w:rsidR="00422CBC">
        <w:t>, to</w:t>
      </w:r>
      <w:r w:rsidR="0073625D" w:rsidRPr="00001699">
        <w:t xml:space="preserve"> further the </w:t>
      </w:r>
      <w:r w:rsidR="003F4C98">
        <w:t>g</w:t>
      </w:r>
      <w:r w:rsidR="0073625D" w:rsidRPr="00001699">
        <w:t xml:space="preserve">overnment’s communications policy objective </w:t>
      </w:r>
      <w:r w:rsidR="008364EF" w:rsidRPr="00001699">
        <w:t>enabling use of the band at the earliest opportunity</w:t>
      </w:r>
      <w:r w:rsidR="0073625D" w:rsidRPr="00001699">
        <w:t>.</w:t>
      </w:r>
      <w:r w:rsidR="003E589F">
        <w:t xml:space="preserve"> </w:t>
      </w:r>
      <w:r w:rsidR="00A972B7">
        <w:t>T</w:t>
      </w:r>
      <w:r w:rsidR="003E589F">
        <w:t>here are almost no incumbent apparatus licen</w:t>
      </w:r>
      <w:r w:rsidR="00A972B7">
        <w:t>se</w:t>
      </w:r>
      <w:r w:rsidR="003E589F">
        <w:t>es in the band</w:t>
      </w:r>
      <w:r w:rsidR="00A972B7">
        <w:t xml:space="preserve"> so there would be minimal restrictions on the ability of spectrum licensees to deploy</w:t>
      </w:r>
      <w:r w:rsidR="00024302">
        <w:t xml:space="preserve"> services</w:t>
      </w:r>
      <w:r w:rsidR="003E589F">
        <w:t>.</w:t>
      </w:r>
      <w:r w:rsidR="003E589F">
        <w:rPr>
          <w:rStyle w:val="FootnoteReference"/>
        </w:rPr>
        <w:footnoteReference w:id="14"/>
      </w:r>
      <w:r w:rsidR="003E589F">
        <w:t xml:space="preserve"> In addition, we think it is desirable that licences should have </w:t>
      </w:r>
      <w:r>
        <w:t>the maximum 15</w:t>
      </w:r>
      <w:r w:rsidR="00B337D7">
        <w:noBreakHyphen/>
      </w:r>
      <w:r>
        <w:t>year licence term</w:t>
      </w:r>
      <w:r w:rsidR="00453B2B">
        <w:t>.</w:t>
      </w:r>
      <w:r w:rsidR="00583627">
        <w:rPr>
          <w:rStyle w:val="FootnoteReference"/>
        </w:rPr>
        <w:footnoteReference w:id="15"/>
      </w:r>
      <w:r w:rsidR="00FB35F6">
        <w:t xml:space="preserve"> This is similar to the second approach</w:t>
      </w:r>
      <w:r w:rsidR="002F4AA4">
        <w:t xml:space="preserve"> set out above.</w:t>
      </w:r>
      <w:r>
        <w:t xml:space="preserve"> </w:t>
      </w:r>
    </w:p>
    <w:p w14:paraId="6087C771" w14:textId="4F73F934" w:rsidR="006A2B61" w:rsidRPr="00685EDD" w:rsidRDefault="00CD6095" w:rsidP="00685EDD">
      <w:pPr>
        <w:pStyle w:val="Paragraph"/>
        <w:rPr>
          <w:b/>
          <w:bCs/>
        </w:rPr>
      </w:pPr>
      <w:r w:rsidRPr="00685EDD">
        <w:rPr>
          <w:b/>
          <w:bCs/>
        </w:rPr>
        <w:t xml:space="preserve">We therefore propose that </w:t>
      </w:r>
      <w:r w:rsidR="006C291B" w:rsidRPr="00685EDD">
        <w:rPr>
          <w:b/>
          <w:bCs/>
        </w:rPr>
        <w:t xml:space="preserve">the </w:t>
      </w:r>
      <w:r w:rsidR="00A64F91" w:rsidRPr="00685EDD">
        <w:rPr>
          <w:b/>
          <w:bCs/>
        </w:rPr>
        <w:t>start</w:t>
      </w:r>
      <w:r w:rsidR="006C291B" w:rsidRPr="00685EDD">
        <w:rPr>
          <w:b/>
          <w:bCs/>
        </w:rPr>
        <w:t xml:space="preserve"> date</w:t>
      </w:r>
      <w:r w:rsidR="00671FA9" w:rsidRPr="00685EDD">
        <w:rPr>
          <w:b/>
          <w:bCs/>
        </w:rPr>
        <w:t xml:space="preserve"> of a spectrum </w:t>
      </w:r>
      <w:r w:rsidR="003B3A44" w:rsidRPr="00685EDD">
        <w:rPr>
          <w:b/>
          <w:bCs/>
        </w:rPr>
        <w:t>licence</w:t>
      </w:r>
      <w:r w:rsidR="006C291B" w:rsidRPr="00685EDD">
        <w:rPr>
          <w:b/>
          <w:bCs/>
        </w:rPr>
        <w:t xml:space="preserve"> </w:t>
      </w:r>
      <w:r w:rsidRPr="00685EDD">
        <w:rPr>
          <w:b/>
          <w:bCs/>
        </w:rPr>
        <w:t xml:space="preserve">be tied </w:t>
      </w:r>
      <w:r w:rsidR="006C291B" w:rsidRPr="00685EDD">
        <w:rPr>
          <w:b/>
          <w:bCs/>
        </w:rPr>
        <w:t xml:space="preserve">to </w:t>
      </w:r>
      <w:r w:rsidR="00BB65B9" w:rsidRPr="00685EDD">
        <w:rPr>
          <w:b/>
          <w:bCs/>
        </w:rPr>
        <w:t xml:space="preserve">receipt of </w:t>
      </w:r>
      <w:r w:rsidR="006C291B" w:rsidRPr="00685EDD">
        <w:rPr>
          <w:b/>
          <w:bCs/>
        </w:rPr>
        <w:t>payment</w:t>
      </w:r>
      <w:r w:rsidR="00A41A4A" w:rsidRPr="00685EDD">
        <w:rPr>
          <w:b/>
          <w:bCs/>
        </w:rPr>
        <w:t xml:space="preserve"> for</w:t>
      </w:r>
      <w:r w:rsidR="00AB31C3" w:rsidRPr="00685EDD">
        <w:rPr>
          <w:b/>
          <w:bCs/>
        </w:rPr>
        <w:t xml:space="preserve"> </w:t>
      </w:r>
      <w:r w:rsidR="00671FA9" w:rsidRPr="00685EDD">
        <w:rPr>
          <w:b/>
          <w:bCs/>
        </w:rPr>
        <w:t>that</w:t>
      </w:r>
      <w:r w:rsidR="00AB31C3" w:rsidRPr="00685EDD">
        <w:rPr>
          <w:b/>
          <w:bCs/>
        </w:rPr>
        <w:t xml:space="preserve"> licence</w:t>
      </w:r>
      <w:r w:rsidR="009A1EFF" w:rsidRPr="00685EDD">
        <w:rPr>
          <w:b/>
          <w:bCs/>
        </w:rPr>
        <w:t>.</w:t>
      </w:r>
      <w:r w:rsidR="00671FA9" w:rsidRPr="00685EDD">
        <w:rPr>
          <w:rStyle w:val="FootnoteReference"/>
          <w:b/>
          <w:bCs/>
        </w:rPr>
        <w:footnoteReference w:id="16"/>
      </w:r>
      <w:r w:rsidR="009A1EFF" w:rsidRPr="00685EDD">
        <w:rPr>
          <w:b/>
          <w:bCs/>
        </w:rPr>
        <w:t xml:space="preserve"> </w:t>
      </w:r>
    </w:p>
    <w:p w14:paraId="6E96A653" w14:textId="4B824394" w:rsidR="00843A9E" w:rsidRDefault="00671FA9" w:rsidP="000A79E1">
      <w:r>
        <w:t xml:space="preserve">In developing this approach, we have prioritised </w:t>
      </w:r>
      <w:r w:rsidR="00AE4DED">
        <w:t xml:space="preserve">a </w:t>
      </w:r>
      <w:r>
        <w:t xml:space="preserve">15-year licence term </w:t>
      </w:r>
      <w:r w:rsidR="00CD6095">
        <w:t xml:space="preserve">and rapid licence </w:t>
      </w:r>
      <w:r>
        <w:t xml:space="preserve">commencement over common </w:t>
      </w:r>
      <w:r w:rsidR="00B01A09">
        <w:t>licence</w:t>
      </w:r>
      <w:r>
        <w:t xml:space="preserve"> </w:t>
      </w:r>
      <w:r w:rsidR="00381FFA">
        <w:t xml:space="preserve">commencement and </w:t>
      </w:r>
      <w:r>
        <w:t xml:space="preserve">expiry dates. </w:t>
      </w:r>
      <w:r w:rsidR="003701CF">
        <w:t xml:space="preserve">We </w:t>
      </w:r>
      <w:r w:rsidR="00A972B7">
        <w:t>consider that some winning bidders may wish to commence services under their spectrum licences more quickly than others. We therefore do not consider it is appropriate to tie licence commencement</w:t>
      </w:r>
      <w:r w:rsidR="0078608D">
        <w:t xml:space="preserve"> </w:t>
      </w:r>
      <w:r w:rsidR="00B01D9C">
        <w:t xml:space="preserve">of </w:t>
      </w:r>
      <w:r w:rsidR="0078608D">
        <w:t xml:space="preserve">all </w:t>
      </w:r>
      <w:r w:rsidR="00B01D9C">
        <w:t>licences</w:t>
      </w:r>
      <w:r w:rsidR="00A972B7">
        <w:t xml:space="preserve"> to receipt of the latest </w:t>
      </w:r>
      <w:r w:rsidR="009619C6">
        <w:t xml:space="preserve">winning bidder </w:t>
      </w:r>
      <w:r w:rsidR="00A972B7">
        <w:t>payment.</w:t>
      </w:r>
      <w:r w:rsidR="003701CF">
        <w:t xml:space="preserve"> </w:t>
      </w:r>
      <w:r w:rsidR="002721BB">
        <w:t>Due to the payment process outlined in the draft allocation determination</w:t>
      </w:r>
      <w:r w:rsidR="003701CF">
        <w:t xml:space="preserve">, we anticipate that this difference would not be more than a month or two at </w:t>
      </w:r>
      <w:proofErr w:type="gramStart"/>
      <w:r w:rsidR="003701CF">
        <w:t>most, and</w:t>
      </w:r>
      <w:proofErr w:type="gramEnd"/>
      <w:r w:rsidR="003701CF">
        <w:t xml:space="preserve"> would more usually be in the order of weeks.</w:t>
      </w:r>
      <w:r>
        <w:t xml:space="preserve"> We </w:t>
      </w:r>
      <w:r w:rsidR="003701CF">
        <w:t xml:space="preserve">do not </w:t>
      </w:r>
      <w:r>
        <w:t xml:space="preserve">consider </w:t>
      </w:r>
      <w:r w:rsidR="00ED71D6">
        <w:t>potentially staggered</w:t>
      </w:r>
      <w:r>
        <w:t xml:space="preserve"> </w:t>
      </w:r>
      <w:r w:rsidR="00A41A4A">
        <w:t>expiry</w:t>
      </w:r>
      <w:r w:rsidR="00ED71D6">
        <w:t xml:space="preserve"> dates </w:t>
      </w:r>
      <w:r>
        <w:t xml:space="preserve">will significantly </w:t>
      </w:r>
      <w:r w:rsidR="003701CF">
        <w:t>limit the potential for replanning and further allocations at licence expiry</w:t>
      </w:r>
      <w:r w:rsidRPr="00671FA9">
        <w:t>.</w:t>
      </w:r>
    </w:p>
    <w:p w14:paraId="7478F699" w14:textId="25C90639" w:rsidR="00A972B7" w:rsidRDefault="00A972B7" w:rsidP="000A79E1">
      <w:r>
        <w:t xml:space="preserve">If the delayed payment option discussed in </w:t>
      </w:r>
      <w:r w:rsidR="000D79E6">
        <w:t xml:space="preserve">the </w:t>
      </w:r>
      <w:hyperlink w:anchor="_Payment_terms" w:history="1">
        <w:r w:rsidR="002D3245">
          <w:rPr>
            <w:rStyle w:val="Hyperlink"/>
            <w:i/>
            <w:iCs/>
          </w:rPr>
          <w:t>Payment terms</w:t>
        </w:r>
      </w:hyperlink>
      <w:r w:rsidR="000D79E6">
        <w:t xml:space="preserve"> section of this paper</w:t>
      </w:r>
      <w:r>
        <w:t xml:space="preserve"> is implemented</w:t>
      </w:r>
      <w:r w:rsidR="00BB65B9">
        <w:t>,</w:t>
      </w:r>
      <w:r>
        <w:t xml:space="preserve"> then we propose licence issue and commencement would be tied to receipt of the first instalment payment.</w:t>
      </w:r>
    </w:p>
    <w:p w14:paraId="312AA591" w14:textId="40F69917" w:rsidR="00D06827" w:rsidRPr="001437C0" w:rsidRDefault="00D06827" w:rsidP="00685EDD">
      <w:pPr>
        <w:keepNext/>
        <w:keepLines/>
        <w:pBdr>
          <w:top w:val="single" w:sz="4" w:space="1" w:color="auto"/>
          <w:left w:val="single" w:sz="4" w:space="4" w:color="auto"/>
          <w:bottom w:val="single" w:sz="4" w:space="1" w:color="auto"/>
          <w:right w:val="single" w:sz="4" w:space="4" w:color="auto"/>
        </w:pBdr>
        <w:shd w:val="clear" w:color="auto" w:fill="F2F2F2" w:themeFill="background1" w:themeFillShade="F2"/>
        <w:spacing w:after="120"/>
        <w:rPr>
          <w:b/>
        </w:rPr>
      </w:pPr>
      <w:r>
        <w:rPr>
          <w:b/>
        </w:rPr>
        <w:t>Licence commencement</w:t>
      </w:r>
    </w:p>
    <w:p w14:paraId="4C1E775A" w14:textId="193EE284" w:rsidR="00D06827" w:rsidRDefault="00655B31" w:rsidP="00685EDD">
      <w:pPr>
        <w:keepNext/>
        <w:keepLines/>
        <w:pBdr>
          <w:top w:val="single" w:sz="4" w:space="1" w:color="auto"/>
          <w:left w:val="single" w:sz="4" w:space="4" w:color="auto"/>
          <w:bottom w:val="single" w:sz="4" w:space="1" w:color="auto"/>
          <w:right w:val="single" w:sz="4" w:space="4" w:color="auto"/>
        </w:pBdr>
        <w:shd w:val="clear" w:color="auto" w:fill="F2F2F2" w:themeFill="background1" w:themeFillShade="F2"/>
        <w:spacing w:after="0"/>
      </w:pPr>
      <w:r>
        <w:t>We</w:t>
      </w:r>
      <w:r w:rsidR="00D06827">
        <w:t xml:space="preserve"> seek stakeholder views on whether </w:t>
      </w:r>
      <w:r w:rsidR="00DE0825">
        <w:t xml:space="preserve">the commencement date for </w:t>
      </w:r>
      <w:r w:rsidR="00431F9F">
        <w:t xml:space="preserve">each </w:t>
      </w:r>
      <w:r w:rsidR="00DE0825">
        <w:t xml:space="preserve">26 GHz band </w:t>
      </w:r>
      <w:r w:rsidR="00D06827">
        <w:t xml:space="preserve">spectrum licence </w:t>
      </w:r>
      <w:r w:rsidR="00DE0825">
        <w:t>should</w:t>
      </w:r>
      <w:r w:rsidR="00D06827">
        <w:t xml:space="preserve"> be tied to </w:t>
      </w:r>
      <w:r w:rsidR="00BB65B9">
        <w:t xml:space="preserve">receipt of </w:t>
      </w:r>
      <w:r w:rsidR="00D06827">
        <w:t>payment</w:t>
      </w:r>
      <w:r w:rsidR="00B01D9C">
        <w:t xml:space="preserve"> for </w:t>
      </w:r>
      <w:r w:rsidR="00431F9F">
        <w:t xml:space="preserve">that </w:t>
      </w:r>
      <w:r w:rsidR="00B01D9C">
        <w:t>licence</w:t>
      </w:r>
      <w:r w:rsidR="00D06827">
        <w:t>.</w:t>
      </w:r>
    </w:p>
    <w:p w14:paraId="4F6DDF8D" w14:textId="578800A4" w:rsidR="002572F1" w:rsidRPr="00D61740" w:rsidRDefault="002572F1" w:rsidP="00DA594D">
      <w:pPr>
        <w:pStyle w:val="Heading2"/>
        <w:keepLines/>
      </w:pPr>
      <w:bookmarkStart w:id="43" w:name="_Toc512246160"/>
      <w:bookmarkStart w:id="44" w:name="_Toc512503294"/>
      <w:bookmarkStart w:id="45" w:name="_Toc514330443"/>
      <w:bookmarkStart w:id="46" w:name="_Toc45112205"/>
      <w:bookmarkStart w:id="47" w:name="_Toc459210817"/>
      <w:bookmarkStart w:id="48" w:name="_Toc461025816"/>
      <w:r>
        <w:t>Lot configuration</w:t>
      </w:r>
      <w:bookmarkEnd w:id="43"/>
      <w:bookmarkEnd w:id="44"/>
      <w:bookmarkEnd w:id="45"/>
      <w:bookmarkEnd w:id="46"/>
      <w:r>
        <w:t xml:space="preserve"> </w:t>
      </w:r>
    </w:p>
    <w:p w14:paraId="7DB8F21C" w14:textId="33323026" w:rsidR="0051067B" w:rsidRDefault="0051067B" w:rsidP="002572F1">
      <w:r w:rsidRPr="0051067B">
        <w:t xml:space="preserve">Spectrum needs to be divided into lots before it can be offered to the market. There are two dimensions to lot configuration—frequency and geography. In deciding lot configuration for any allocation, </w:t>
      </w:r>
      <w:r>
        <w:t>we</w:t>
      </w:r>
      <w:r w:rsidRPr="0051067B">
        <w:t xml:space="preserve"> consider a range of factors, including the </w:t>
      </w:r>
      <w:r w:rsidR="000C1759">
        <w:t xml:space="preserve">source </w:t>
      </w:r>
      <w:r w:rsidRPr="0051067B">
        <w:t>of demand and the technical characteristics of the spectrum</w:t>
      </w:r>
      <w:r w:rsidRPr="00001699">
        <w:t xml:space="preserve">. We also have regard to the </w:t>
      </w:r>
      <w:r w:rsidR="000D79E6">
        <w:t>g</w:t>
      </w:r>
      <w:r w:rsidR="008364EF" w:rsidRPr="00001699">
        <w:t xml:space="preserve">overnment’s policy objectives for the band and its </w:t>
      </w:r>
      <w:r w:rsidRPr="00001699">
        <w:t>potential for competition in downstream markets.</w:t>
      </w:r>
      <w:r w:rsidRPr="0051067B">
        <w:t xml:space="preserve"> </w:t>
      </w:r>
    </w:p>
    <w:p w14:paraId="4525F1C6" w14:textId="26656612" w:rsidR="002572F1" w:rsidRDefault="0051067B" w:rsidP="002572F1">
      <w:r>
        <w:t>We</w:t>
      </w:r>
      <w:r w:rsidR="002572F1">
        <w:t xml:space="preserve"> </w:t>
      </w:r>
      <w:r>
        <w:t xml:space="preserve">expect </w:t>
      </w:r>
      <w:r w:rsidR="002572F1">
        <w:t xml:space="preserve">the </w:t>
      </w:r>
      <w:r w:rsidR="00EB1B1C">
        <w:t>26</w:t>
      </w:r>
      <w:r w:rsidR="002572F1">
        <w:t xml:space="preserve"> GHz band </w:t>
      </w:r>
      <w:r>
        <w:t xml:space="preserve">to </w:t>
      </w:r>
      <w:r w:rsidR="002572F1">
        <w:t xml:space="preserve">be used for the deployment of 5G networks and that the spectrum </w:t>
      </w:r>
      <w:r>
        <w:t xml:space="preserve">will </w:t>
      </w:r>
      <w:r w:rsidR="002572F1">
        <w:t xml:space="preserve">be optimised for </w:t>
      </w:r>
      <w:r w:rsidR="000C1759">
        <w:t>wide</w:t>
      </w:r>
      <w:r w:rsidR="002572F1">
        <w:t xml:space="preserve">-area </w:t>
      </w:r>
      <w:r w:rsidR="000C1759">
        <w:t xml:space="preserve">wireless </w:t>
      </w:r>
      <w:r w:rsidR="002572F1">
        <w:t xml:space="preserve">broadband deployments (mobile and fixed) over the entire </w:t>
      </w:r>
      <w:r w:rsidR="00EB1B1C">
        <w:t>2400</w:t>
      </w:r>
      <w:r w:rsidR="002572F1">
        <w:t> MHz</w:t>
      </w:r>
      <w:r w:rsidR="0070766C">
        <w:t xml:space="preserve"> </w:t>
      </w:r>
      <w:r w:rsidR="002F4AA4">
        <w:t xml:space="preserve">of frequency </w:t>
      </w:r>
      <w:r w:rsidR="0070766C">
        <w:t>being offered</w:t>
      </w:r>
      <w:r w:rsidR="002572F1">
        <w:t>.</w:t>
      </w:r>
    </w:p>
    <w:p w14:paraId="5BB912B1" w14:textId="1A7BF5C5" w:rsidR="002572F1" w:rsidRPr="007931BD" w:rsidRDefault="007C6335" w:rsidP="002572F1">
      <w:pPr>
        <w:keepNext/>
        <w:spacing w:before="60" w:after="60"/>
        <w:outlineLvl w:val="2"/>
        <w:rPr>
          <w:rFonts w:cs="Arial"/>
          <w:b/>
          <w:bCs/>
          <w:szCs w:val="26"/>
        </w:rPr>
      </w:pPr>
      <w:bookmarkStart w:id="49" w:name="_Toc496527249"/>
      <w:bookmarkStart w:id="50" w:name="_Toc496527424"/>
      <w:bookmarkStart w:id="51" w:name="_Toc496616244"/>
      <w:bookmarkStart w:id="52" w:name="_Toc408846615"/>
      <w:bookmarkStart w:id="53" w:name="_Toc409015485"/>
      <w:bookmarkStart w:id="54" w:name="_Toc409528649"/>
      <w:bookmarkStart w:id="55" w:name="_Toc409016978"/>
      <w:bookmarkStart w:id="56" w:name="_Toc410918174"/>
      <w:bookmarkStart w:id="57" w:name="_Toc496277338"/>
      <w:bookmarkStart w:id="58" w:name="_Toc496277737"/>
      <w:bookmarkEnd w:id="47"/>
      <w:bookmarkEnd w:id="48"/>
      <w:r>
        <w:rPr>
          <w:rFonts w:cs="Arial"/>
          <w:b/>
          <w:bCs/>
          <w:szCs w:val="26"/>
        </w:rPr>
        <w:t>Lot configuration - f</w:t>
      </w:r>
      <w:r w:rsidR="002572F1" w:rsidRPr="007931BD">
        <w:rPr>
          <w:rFonts w:cs="Arial"/>
          <w:b/>
          <w:bCs/>
          <w:szCs w:val="26"/>
        </w:rPr>
        <w:t>requency</w:t>
      </w:r>
      <w:bookmarkEnd w:id="49"/>
      <w:bookmarkEnd w:id="50"/>
      <w:bookmarkEnd w:id="51"/>
    </w:p>
    <w:bookmarkEnd w:id="52"/>
    <w:bookmarkEnd w:id="53"/>
    <w:bookmarkEnd w:id="54"/>
    <w:bookmarkEnd w:id="55"/>
    <w:bookmarkEnd w:id="56"/>
    <w:bookmarkEnd w:id="57"/>
    <w:bookmarkEnd w:id="58"/>
    <w:p w14:paraId="660F015E" w14:textId="4145C49A" w:rsidR="002572F1" w:rsidRDefault="00C76BF9" w:rsidP="00BF10B2">
      <w:pPr>
        <w:pStyle w:val="Paragraph"/>
      </w:pPr>
      <w:r>
        <w:t>Previous consultation with industry on the 26 GHz band has reflected the view</w:t>
      </w:r>
      <w:r w:rsidR="00A20F40">
        <w:t xml:space="preserve"> </w:t>
      </w:r>
      <w:r w:rsidR="00FB2F99" w:rsidRPr="00E82862">
        <w:t xml:space="preserve">that the band </w:t>
      </w:r>
      <w:r>
        <w:t xml:space="preserve">should </w:t>
      </w:r>
      <w:r w:rsidR="00FB2F99" w:rsidRPr="00E82862">
        <w:t xml:space="preserve">be configured </w:t>
      </w:r>
      <w:r w:rsidR="00FB2F99">
        <w:t xml:space="preserve">to support </w:t>
      </w:r>
      <w:r w:rsidR="00FB2F99" w:rsidRPr="00E82862">
        <w:t>time division duplex (TDD)</w:t>
      </w:r>
      <w:r w:rsidR="00FB2F99">
        <w:t xml:space="preserve"> operation</w:t>
      </w:r>
      <w:r>
        <w:t>.</w:t>
      </w:r>
      <w:r w:rsidR="00FB2F99">
        <w:t xml:space="preserve"> </w:t>
      </w:r>
      <w:r>
        <w:t xml:space="preserve">Therefore, </w:t>
      </w:r>
      <w:r w:rsidR="00FB2F99">
        <w:t>t</w:t>
      </w:r>
      <w:r w:rsidR="002572F1">
        <w:t xml:space="preserve">he spectrum </w:t>
      </w:r>
      <w:r w:rsidR="00520DAF">
        <w:t xml:space="preserve">will </w:t>
      </w:r>
      <w:r w:rsidR="002572F1">
        <w:t xml:space="preserve">be offered </w:t>
      </w:r>
      <w:r>
        <w:t>in</w:t>
      </w:r>
      <w:r w:rsidR="002572F1">
        <w:t xml:space="preserve"> unpaired lots</w:t>
      </w:r>
      <w:r w:rsidR="002572F1" w:rsidRPr="00E82862">
        <w:t>.</w:t>
      </w:r>
    </w:p>
    <w:p w14:paraId="78B275A6" w14:textId="30EDF7F0" w:rsidR="00526624" w:rsidRDefault="00524476" w:rsidP="00AA262B">
      <w:pPr>
        <w:pStyle w:val="Paragraph"/>
      </w:pPr>
      <w:r>
        <w:t xml:space="preserve">In the consultation </w:t>
      </w:r>
      <w:r w:rsidR="00F508EC">
        <w:t>on</w:t>
      </w:r>
      <w:r>
        <w:t xml:space="preserve"> the </w:t>
      </w:r>
      <w:hyperlink r:id="rId49" w:history="1">
        <w:r w:rsidR="009A0609" w:rsidRPr="009A0609">
          <w:rPr>
            <w:rStyle w:val="Hyperlink"/>
          </w:rPr>
          <w:t>draft re-allocation recommendation</w:t>
        </w:r>
      </w:hyperlink>
      <w:r w:rsidR="007528F5" w:rsidRPr="009A0609">
        <w:rPr>
          <w:rStyle w:val="Hyperlink"/>
          <w:color w:val="auto"/>
          <w:u w:val="none"/>
        </w:rPr>
        <w:t>,</w:t>
      </w:r>
      <w:r w:rsidR="002572F1">
        <w:t xml:space="preserve"> </w:t>
      </w:r>
      <w:r w:rsidR="0051067B">
        <w:t>we</w:t>
      </w:r>
      <w:r w:rsidR="002572F1">
        <w:t xml:space="preserve"> propose</w:t>
      </w:r>
      <w:r w:rsidR="002154C5">
        <w:t>d</w:t>
      </w:r>
      <w:r w:rsidR="002572F1">
        <w:t xml:space="preserve"> the spectrum </w:t>
      </w:r>
      <w:r w:rsidR="00762387">
        <w:t>be offered in</w:t>
      </w:r>
      <w:r w:rsidR="002572F1">
        <w:t xml:space="preserve"> lots of </w:t>
      </w:r>
      <w:r w:rsidR="002154C5">
        <w:t>1</w:t>
      </w:r>
      <w:r w:rsidR="00EB1B1C">
        <w:t>00</w:t>
      </w:r>
      <w:r w:rsidR="00762387">
        <w:t> </w:t>
      </w:r>
      <w:r w:rsidR="002572F1">
        <w:t>MHz bandwidth</w:t>
      </w:r>
      <w:r w:rsidR="00003B8B">
        <w:t xml:space="preserve"> to enable bidders to express demand more gradually for larger quantities of spectrum.</w:t>
      </w:r>
    </w:p>
    <w:p w14:paraId="49AD233F" w14:textId="41B1D6C4" w:rsidR="00821357" w:rsidRDefault="0051067B" w:rsidP="00AA262B">
      <w:pPr>
        <w:pStyle w:val="Paragraph"/>
      </w:pPr>
      <w:r>
        <w:t xml:space="preserve">We considered 100 MHz lots would </w:t>
      </w:r>
      <w:r w:rsidR="00003B8B">
        <w:t>also</w:t>
      </w:r>
      <w:r w:rsidR="004C3EA1">
        <w:t xml:space="preserve"> </w:t>
      </w:r>
      <w:r w:rsidR="007528F5">
        <w:t>enable easier implementation of</w:t>
      </w:r>
      <w:r w:rsidR="004C3EA1">
        <w:t xml:space="preserve"> additional technical conditions proposed to safeguard NBN Co’s F</w:t>
      </w:r>
      <w:r w:rsidR="009A351D">
        <w:t xml:space="preserve">ixed </w:t>
      </w:r>
      <w:r w:rsidR="004C3EA1">
        <w:t>S</w:t>
      </w:r>
      <w:r w:rsidR="009A351D">
        <w:t xml:space="preserve">atellite </w:t>
      </w:r>
      <w:r w:rsidR="004C3EA1">
        <w:t>S</w:t>
      </w:r>
      <w:r w:rsidR="009A351D">
        <w:t>ervice (FSS)</w:t>
      </w:r>
      <w:r w:rsidR="004C3EA1">
        <w:t xml:space="preserve"> </w:t>
      </w:r>
      <w:r w:rsidR="00232AB4">
        <w:t xml:space="preserve">satellite </w:t>
      </w:r>
      <w:r w:rsidR="007528F5">
        <w:t xml:space="preserve">gateways </w:t>
      </w:r>
      <w:r w:rsidR="004C3EA1">
        <w:t>in southern Western Australia and Tasmania</w:t>
      </w:r>
      <w:r>
        <w:t xml:space="preserve"> in </w:t>
      </w:r>
      <w:r w:rsidR="007528F5">
        <w:t>the 27.0–27.5 GHz frequency range.</w:t>
      </w:r>
      <w:r w:rsidR="004C3EA1">
        <w:t xml:space="preserve"> </w:t>
      </w:r>
      <w:r>
        <w:t>A</w:t>
      </w:r>
      <w:r w:rsidR="007528F5">
        <w:t xml:space="preserve"> 100 MHz lot size </w:t>
      </w:r>
      <w:r>
        <w:t xml:space="preserve">would </w:t>
      </w:r>
      <w:r w:rsidR="007528F5">
        <w:t>align with the frequency</w:t>
      </w:r>
      <w:r w:rsidR="006D01C4">
        <w:t xml:space="preserve"> boundary for these conditions, which </w:t>
      </w:r>
      <w:r w:rsidR="007528F5">
        <w:t>apply to the</w:t>
      </w:r>
      <w:r w:rsidR="007528F5" w:rsidRPr="009A351D">
        <w:t xml:space="preserve"> </w:t>
      </w:r>
      <w:r w:rsidR="004C3EA1" w:rsidRPr="009A351D">
        <w:t>Perth, Bunbury</w:t>
      </w:r>
      <w:r w:rsidR="006D01C4">
        <w:t xml:space="preserve">, </w:t>
      </w:r>
      <w:r w:rsidR="004C3EA1" w:rsidRPr="009A351D">
        <w:t>Margaret River</w:t>
      </w:r>
      <w:r w:rsidR="00524476" w:rsidRPr="009A351D">
        <w:t xml:space="preserve"> and Hobart</w:t>
      </w:r>
      <w:r w:rsidR="006D01C4">
        <w:t xml:space="preserve"> areas</w:t>
      </w:r>
      <w:r w:rsidR="004C3EA1">
        <w:t>.</w:t>
      </w:r>
      <w:r w:rsidR="00D14785">
        <w:rPr>
          <w:rStyle w:val="FootnoteReference"/>
        </w:rPr>
        <w:footnoteReference w:id="17"/>
      </w:r>
    </w:p>
    <w:p w14:paraId="2891A5D3" w14:textId="77777777" w:rsidR="003E2C2F" w:rsidRDefault="003E589F" w:rsidP="00FF6771">
      <w:pPr>
        <w:spacing w:after="80"/>
      </w:pPr>
      <w:r>
        <w:t>However, in submissions to the consultation</w:t>
      </w:r>
      <w:r w:rsidR="001D6198">
        <w:t>, stakeholders expressed</w:t>
      </w:r>
      <w:r>
        <w:t xml:space="preserve"> </w:t>
      </w:r>
      <w:r w:rsidR="00526624">
        <w:t xml:space="preserve">a </w:t>
      </w:r>
      <w:r w:rsidR="009B6601">
        <w:t>pr</w:t>
      </w:r>
      <w:r w:rsidR="0068090C">
        <w:t>efer</w:t>
      </w:r>
      <w:r w:rsidR="00526624">
        <w:t>ence for</w:t>
      </w:r>
      <w:r w:rsidR="009B6601">
        <w:t xml:space="preserve"> a</w:t>
      </w:r>
      <w:r w:rsidR="009A351D">
        <w:t xml:space="preserve"> </w:t>
      </w:r>
      <w:r w:rsidR="006D01C4">
        <w:t>lot size</w:t>
      </w:r>
      <w:r w:rsidR="009A351D">
        <w:t xml:space="preserve"> of</w:t>
      </w:r>
      <w:r w:rsidR="002154C5">
        <w:t xml:space="preserve"> 200 MHz</w:t>
      </w:r>
      <w:r w:rsidR="00526624" w:rsidRPr="00526624">
        <w:t xml:space="preserve"> </w:t>
      </w:r>
      <w:r w:rsidR="00526624">
        <w:t>to mitigate frequency exposure risk</w:t>
      </w:r>
      <w:r w:rsidR="00167149">
        <w:t xml:space="preserve">, with little concern </w:t>
      </w:r>
      <w:r w:rsidR="00F508EC">
        <w:t>about the additional technical conditions proposed for the upper frequency range</w:t>
      </w:r>
      <w:r w:rsidR="006D01C4">
        <w:t>.</w:t>
      </w:r>
      <w:r w:rsidR="00783224">
        <w:t xml:space="preserve"> </w:t>
      </w:r>
    </w:p>
    <w:p w14:paraId="075E5F5C" w14:textId="0327FB8F" w:rsidR="00E60A11" w:rsidRPr="00B74D9E" w:rsidRDefault="00434268" w:rsidP="00FF6771">
      <w:pPr>
        <w:spacing w:after="80"/>
      </w:pPr>
      <w:r>
        <w:rPr>
          <w:b/>
          <w:bCs/>
        </w:rPr>
        <w:t>In response</w:t>
      </w:r>
      <w:r w:rsidR="00167149" w:rsidRPr="00C41CBD">
        <w:rPr>
          <w:b/>
          <w:bCs/>
        </w:rPr>
        <w:t xml:space="preserve"> to these views, </w:t>
      </w:r>
      <w:r w:rsidR="00526624" w:rsidRPr="00C41CBD">
        <w:rPr>
          <w:b/>
          <w:bCs/>
        </w:rPr>
        <w:t>we propose</w:t>
      </w:r>
      <w:r w:rsidR="006D01C4" w:rsidRPr="00C41CBD">
        <w:rPr>
          <w:b/>
          <w:bCs/>
        </w:rPr>
        <w:t xml:space="preserve"> to </w:t>
      </w:r>
      <w:r w:rsidR="00167149" w:rsidRPr="00C41CBD">
        <w:rPr>
          <w:b/>
          <w:bCs/>
        </w:rPr>
        <w:t xml:space="preserve">offer </w:t>
      </w:r>
      <w:r w:rsidR="006D01C4" w:rsidRPr="00C41CBD">
        <w:rPr>
          <w:b/>
          <w:bCs/>
        </w:rPr>
        <w:t xml:space="preserve">generic </w:t>
      </w:r>
      <w:r w:rsidR="00F508EC" w:rsidRPr="00C41CBD">
        <w:rPr>
          <w:b/>
          <w:bCs/>
        </w:rPr>
        <w:t>lots</w:t>
      </w:r>
      <w:r w:rsidR="00526624" w:rsidRPr="00C41CBD">
        <w:rPr>
          <w:b/>
          <w:bCs/>
        </w:rPr>
        <w:t xml:space="preserve"> of 200 MHz</w:t>
      </w:r>
      <w:r w:rsidR="00F508EC" w:rsidRPr="00C41CBD">
        <w:rPr>
          <w:b/>
          <w:bCs/>
        </w:rPr>
        <w:t xml:space="preserve"> across the 2400 MHz of spectrum for each area</w:t>
      </w:r>
      <w:r w:rsidR="009140AF" w:rsidRPr="00C41CBD">
        <w:rPr>
          <w:b/>
          <w:bCs/>
        </w:rPr>
        <w:t xml:space="preserve">, </w:t>
      </w:r>
      <w:r w:rsidR="00762387" w:rsidRPr="00C41CBD">
        <w:rPr>
          <w:b/>
          <w:bCs/>
        </w:rPr>
        <w:t xml:space="preserve">as set out in </w:t>
      </w:r>
      <w:r w:rsidR="00762387" w:rsidRPr="00B74D9E">
        <w:rPr>
          <w:b/>
          <w:bCs/>
        </w:rPr>
        <w:t xml:space="preserve">Table </w:t>
      </w:r>
      <w:r w:rsidR="004229C0">
        <w:rPr>
          <w:b/>
          <w:bCs/>
        </w:rPr>
        <w:t>4</w:t>
      </w:r>
      <w:r w:rsidR="009A351D" w:rsidRPr="00B74D9E">
        <w:t>.</w:t>
      </w:r>
    </w:p>
    <w:p w14:paraId="46C9ABF4" w14:textId="2FEA6003" w:rsidR="00DC5770" w:rsidRDefault="00DC5770" w:rsidP="00A41A4A">
      <w:pPr>
        <w:keepNext/>
        <w:spacing w:after="80"/>
      </w:pPr>
      <w:r w:rsidRPr="00B74D9E">
        <w:rPr>
          <w:b/>
          <w:bCs/>
        </w:rPr>
        <w:t xml:space="preserve">Table </w:t>
      </w:r>
      <w:r w:rsidR="004229C0">
        <w:rPr>
          <w:b/>
          <w:bCs/>
        </w:rPr>
        <w:t>4</w:t>
      </w:r>
      <w:r w:rsidRPr="00B74D9E">
        <w:rPr>
          <w:b/>
          <w:bCs/>
        </w:rPr>
        <w:t>: Pr</w:t>
      </w:r>
      <w:r w:rsidR="00F508EC" w:rsidRPr="00B74D9E">
        <w:rPr>
          <w:b/>
          <w:bCs/>
        </w:rPr>
        <w:t>oposed</w:t>
      </w:r>
      <w:r w:rsidRPr="00B74D9E">
        <w:rPr>
          <w:b/>
          <w:bCs/>
        </w:rPr>
        <w:t xml:space="preserve"> frequency lot configuration</w:t>
      </w:r>
    </w:p>
    <w:tbl>
      <w:tblPr>
        <w:tblStyle w:val="TableGrid"/>
        <w:tblW w:w="7797" w:type="dxa"/>
        <w:tblLayout w:type="fixed"/>
        <w:tblLook w:val="04A0" w:firstRow="1" w:lastRow="0" w:firstColumn="1" w:lastColumn="0" w:noHBand="0" w:noVBand="1"/>
      </w:tblPr>
      <w:tblGrid>
        <w:gridCol w:w="1705"/>
        <w:gridCol w:w="3400"/>
        <w:gridCol w:w="2692"/>
      </w:tblGrid>
      <w:tr w:rsidR="00C33600" w:rsidRPr="00637598" w14:paraId="49FF8E4A" w14:textId="77777777" w:rsidTr="005C0C46">
        <w:trPr>
          <w:tblHeader/>
        </w:trPr>
        <w:tc>
          <w:tcPr>
            <w:tcW w:w="1705" w:type="dxa"/>
            <w:shd w:val="clear" w:color="auto" w:fill="404040" w:themeFill="text1" w:themeFillTint="BF"/>
          </w:tcPr>
          <w:p w14:paraId="09A85D46" w14:textId="77777777" w:rsidR="00C33600" w:rsidRPr="00637598" w:rsidRDefault="00C33600" w:rsidP="00FF6771">
            <w:pPr>
              <w:keepNext/>
              <w:keepLines/>
              <w:tabs>
                <w:tab w:val="left" w:pos="1134"/>
                <w:tab w:val="left" w:pos="1701"/>
                <w:tab w:val="left" w:pos="2268"/>
                <w:tab w:val="left" w:pos="2977"/>
                <w:tab w:val="left" w:pos="3544"/>
                <w:tab w:val="left" w:pos="4111"/>
                <w:tab w:val="left" w:pos="4820"/>
                <w:tab w:val="left" w:pos="5387"/>
                <w:tab w:val="left" w:pos="6096"/>
                <w:tab w:val="left" w:pos="6521"/>
                <w:tab w:val="left" w:pos="7230"/>
                <w:tab w:val="left" w:pos="7797"/>
              </w:tabs>
              <w:spacing w:before="40" w:after="40"/>
              <w:rPr>
                <w:rFonts w:cs="Arial"/>
                <w:b/>
                <w:color w:val="FFFFFF" w:themeColor="background1"/>
                <w:szCs w:val="20"/>
              </w:rPr>
            </w:pPr>
            <w:r w:rsidRPr="00637598">
              <w:rPr>
                <w:rFonts w:cs="Arial"/>
                <w:b/>
                <w:color w:val="FFFFFF" w:themeColor="background1"/>
                <w:szCs w:val="20"/>
              </w:rPr>
              <w:t>Channel</w:t>
            </w:r>
          </w:p>
        </w:tc>
        <w:tc>
          <w:tcPr>
            <w:tcW w:w="3400" w:type="dxa"/>
            <w:shd w:val="clear" w:color="auto" w:fill="404040" w:themeFill="text1" w:themeFillTint="BF"/>
          </w:tcPr>
          <w:p w14:paraId="1B0F0E4A" w14:textId="77777777" w:rsidR="00C33600" w:rsidRPr="00637598" w:rsidRDefault="00C33600" w:rsidP="00FF6771">
            <w:pPr>
              <w:keepNext/>
              <w:keepLines/>
              <w:tabs>
                <w:tab w:val="left" w:pos="1134"/>
                <w:tab w:val="left" w:pos="1701"/>
                <w:tab w:val="left" w:pos="2268"/>
                <w:tab w:val="left" w:pos="2977"/>
                <w:tab w:val="left" w:pos="3544"/>
                <w:tab w:val="left" w:pos="4111"/>
                <w:tab w:val="left" w:pos="4820"/>
                <w:tab w:val="left" w:pos="5387"/>
                <w:tab w:val="left" w:pos="6096"/>
                <w:tab w:val="left" w:pos="6521"/>
                <w:tab w:val="left" w:pos="7230"/>
                <w:tab w:val="left" w:pos="7797"/>
              </w:tabs>
              <w:spacing w:before="40" w:after="40"/>
              <w:rPr>
                <w:rFonts w:cs="Arial"/>
                <w:b/>
                <w:color w:val="FFFFFF" w:themeColor="background1"/>
                <w:szCs w:val="20"/>
              </w:rPr>
            </w:pPr>
            <w:r w:rsidRPr="00637598">
              <w:rPr>
                <w:rFonts w:cs="Arial"/>
                <w:b/>
                <w:color w:val="FFFFFF" w:themeColor="background1"/>
                <w:szCs w:val="20"/>
              </w:rPr>
              <w:t>Frequency range</w:t>
            </w:r>
          </w:p>
        </w:tc>
        <w:tc>
          <w:tcPr>
            <w:tcW w:w="2692" w:type="dxa"/>
            <w:shd w:val="clear" w:color="auto" w:fill="404040" w:themeFill="text1" w:themeFillTint="BF"/>
          </w:tcPr>
          <w:p w14:paraId="2BA3E7C7" w14:textId="77777777" w:rsidR="00C33600" w:rsidRPr="00637598" w:rsidRDefault="00C33600" w:rsidP="00FF6771">
            <w:pPr>
              <w:keepNext/>
              <w:keepLines/>
              <w:tabs>
                <w:tab w:val="left" w:pos="1134"/>
                <w:tab w:val="left" w:pos="1701"/>
                <w:tab w:val="left" w:pos="2268"/>
                <w:tab w:val="left" w:pos="2977"/>
                <w:tab w:val="left" w:pos="3544"/>
                <w:tab w:val="left" w:pos="4111"/>
                <w:tab w:val="left" w:pos="4820"/>
                <w:tab w:val="left" w:pos="5387"/>
                <w:tab w:val="left" w:pos="6096"/>
                <w:tab w:val="left" w:pos="6521"/>
                <w:tab w:val="left" w:pos="7230"/>
                <w:tab w:val="left" w:pos="7797"/>
              </w:tabs>
              <w:spacing w:before="40" w:after="40"/>
              <w:rPr>
                <w:rFonts w:cs="Arial"/>
                <w:b/>
                <w:color w:val="FFFFFF" w:themeColor="background1"/>
                <w:szCs w:val="20"/>
              </w:rPr>
            </w:pPr>
            <w:r w:rsidRPr="00637598">
              <w:rPr>
                <w:rFonts w:cs="Arial"/>
                <w:b/>
                <w:color w:val="FFFFFF" w:themeColor="background1"/>
                <w:szCs w:val="20"/>
              </w:rPr>
              <w:t>Bandwidth</w:t>
            </w:r>
          </w:p>
        </w:tc>
      </w:tr>
      <w:tr w:rsidR="00C33600" w:rsidRPr="007127A0" w14:paraId="76ECF9C8" w14:textId="77777777" w:rsidTr="005C0C46">
        <w:tc>
          <w:tcPr>
            <w:tcW w:w="1705" w:type="dxa"/>
          </w:tcPr>
          <w:p w14:paraId="6C029448" w14:textId="77777777" w:rsidR="00C33600" w:rsidRPr="007127A0" w:rsidRDefault="00C33600" w:rsidP="00A41A4A">
            <w:pPr>
              <w:keepNext/>
              <w:keepLines/>
              <w:spacing w:before="40" w:after="40"/>
              <w:ind w:right="120"/>
              <w:rPr>
                <w:rFonts w:cs="Arial"/>
              </w:rPr>
            </w:pPr>
            <w:r w:rsidRPr="007127A0">
              <w:rPr>
                <w:rFonts w:cs="Arial"/>
              </w:rPr>
              <w:t>1</w:t>
            </w:r>
          </w:p>
        </w:tc>
        <w:tc>
          <w:tcPr>
            <w:tcW w:w="3400" w:type="dxa"/>
          </w:tcPr>
          <w:p w14:paraId="39FF8179" w14:textId="5D4512DA" w:rsidR="00C33600" w:rsidRPr="007127A0" w:rsidRDefault="00C33600" w:rsidP="00FF6771">
            <w:pPr>
              <w:keepNext/>
              <w:keepLines/>
              <w:spacing w:before="40" w:after="40"/>
              <w:ind w:right="120"/>
              <w:rPr>
                <w:rFonts w:cs="Arial"/>
              </w:rPr>
            </w:pPr>
            <w:r>
              <w:rPr>
                <w:rFonts w:cs="Arial"/>
              </w:rPr>
              <w:t>25.1–25.3</w:t>
            </w:r>
            <w:r w:rsidRPr="007127A0">
              <w:rPr>
                <w:rFonts w:cs="Arial"/>
              </w:rPr>
              <w:t xml:space="preserve"> </w:t>
            </w:r>
            <w:r>
              <w:rPr>
                <w:rFonts w:cs="Arial"/>
              </w:rPr>
              <w:t>GHz</w:t>
            </w:r>
          </w:p>
        </w:tc>
        <w:tc>
          <w:tcPr>
            <w:tcW w:w="2692" w:type="dxa"/>
          </w:tcPr>
          <w:p w14:paraId="1A16C76A" w14:textId="645BF692" w:rsidR="00C33600" w:rsidRPr="007127A0" w:rsidRDefault="00C33600" w:rsidP="00FF6771">
            <w:pPr>
              <w:keepNext/>
              <w:keepLines/>
              <w:spacing w:before="40" w:after="40"/>
              <w:ind w:right="120"/>
              <w:rPr>
                <w:rFonts w:cs="Arial"/>
              </w:rPr>
            </w:pPr>
            <w:r>
              <w:rPr>
                <w:rFonts w:cs="Arial"/>
              </w:rPr>
              <w:t>200</w:t>
            </w:r>
            <w:r w:rsidRPr="007127A0">
              <w:rPr>
                <w:rFonts w:cs="Arial"/>
              </w:rPr>
              <w:t xml:space="preserve"> MHz</w:t>
            </w:r>
          </w:p>
        </w:tc>
      </w:tr>
      <w:tr w:rsidR="00C33600" w:rsidRPr="009D3A49" w14:paraId="43FD2168" w14:textId="77777777" w:rsidTr="005C0C46">
        <w:tc>
          <w:tcPr>
            <w:tcW w:w="1705" w:type="dxa"/>
            <w:shd w:val="clear" w:color="auto" w:fill="F2F2F2" w:themeFill="background1" w:themeFillShade="F2"/>
          </w:tcPr>
          <w:p w14:paraId="7C376A69" w14:textId="77777777" w:rsidR="00C33600" w:rsidRPr="007127A0" w:rsidRDefault="00C33600" w:rsidP="00A41A4A">
            <w:pPr>
              <w:keepNext/>
              <w:keepLines/>
              <w:spacing w:before="40" w:after="40"/>
              <w:ind w:left="-539" w:right="120" w:firstLine="539"/>
              <w:rPr>
                <w:rFonts w:cs="Arial"/>
              </w:rPr>
            </w:pPr>
            <w:r w:rsidRPr="007127A0">
              <w:rPr>
                <w:rFonts w:cs="Arial"/>
              </w:rPr>
              <w:t>2</w:t>
            </w:r>
          </w:p>
        </w:tc>
        <w:tc>
          <w:tcPr>
            <w:tcW w:w="3400" w:type="dxa"/>
            <w:shd w:val="clear" w:color="auto" w:fill="F2F2F2" w:themeFill="background1" w:themeFillShade="F2"/>
          </w:tcPr>
          <w:p w14:paraId="74FA289D" w14:textId="1E967DD3" w:rsidR="00C33600" w:rsidRPr="007127A0" w:rsidRDefault="00C33600" w:rsidP="00FF6771">
            <w:pPr>
              <w:keepNext/>
              <w:keepLines/>
              <w:spacing w:before="40" w:after="40"/>
              <w:ind w:right="120"/>
              <w:rPr>
                <w:rFonts w:cs="Arial"/>
              </w:rPr>
            </w:pPr>
            <w:r>
              <w:rPr>
                <w:rFonts w:cs="Arial"/>
              </w:rPr>
              <w:t>25.3–25.5 GHz</w:t>
            </w:r>
          </w:p>
        </w:tc>
        <w:tc>
          <w:tcPr>
            <w:tcW w:w="2692" w:type="dxa"/>
            <w:shd w:val="clear" w:color="auto" w:fill="F2F2F2" w:themeFill="background1" w:themeFillShade="F2"/>
          </w:tcPr>
          <w:p w14:paraId="3BF51395" w14:textId="74E5B71D" w:rsidR="00C33600" w:rsidRPr="009D3A49" w:rsidRDefault="00C33600" w:rsidP="00FF6771">
            <w:pPr>
              <w:keepNext/>
              <w:keepLines/>
              <w:tabs>
                <w:tab w:val="left" w:pos="2445"/>
              </w:tabs>
              <w:spacing w:before="40" w:after="40"/>
              <w:ind w:right="120"/>
              <w:rPr>
                <w:rFonts w:cs="Arial"/>
              </w:rPr>
            </w:pPr>
            <w:r>
              <w:rPr>
                <w:rFonts w:cs="Arial"/>
              </w:rPr>
              <w:t>2</w:t>
            </w:r>
            <w:r w:rsidRPr="00382ED9">
              <w:rPr>
                <w:rFonts w:cs="Arial"/>
              </w:rPr>
              <w:t>00 MHz</w:t>
            </w:r>
          </w:p>
        </w:tc>
      </w:tr>
      <w:tr w:rsidR="00C33600" w:rsidRPr="009D3A49" w14:paraId="1CADDC6C" w14:textId="77777777" w:rsidTr="005C0C46">
        <w:tc>
          <w:tcPr>
            <w:tcW w:w="1705" w:type="dxa"/>
          </w:tcPr>
          <w:p w14:paraId="60F76A4C" w14:textId="77777777" w:rsidR="00C33600" w:rsidRPr="007127A0" w:rsidRDefault="00C33600" w:rsidP="00A41A4A">
            <w:pPr>
              <w:keepNext/>
              <w:keepLines/>
              <w:spacing w:before="40" w:after="40"/>
              <w:ind w:right="120"/>
              <w:rPr>
                <w:rFonts w:cs="Arial"/>
              </w:rPr>
            </w:pPr>
            <w:r w:rsidRPr="007127A0">
              <w:rPr>
                <w:rFonts w:cs="Arial"/>
              </w:rPr>
              <w:t>3</w:t>
            </w:r>
          </w:p>
        </w:tc>
        <w:tc>
          <w:tcPr>
            <w:tcW w:w="3400" w:type="dxa"/>
          </w:tcPr>
          <w:p w14:paraId="0EB5C572" w14:textId="6F84BF87" w:rsidR="00C33600" w:rsidRPr="007127A0" w:rsidRDefault="00C33600" w:rsidP="00FF6771">
            <w:pPr>
              <w:keepNext/>
              <w:keepLines/>
              <w:spacing w:before="40" w:after="40"/>
              <w:ind w:right="120"/>
              <w:rPr>
                <w:rFonts w:cs="Arial"/>
              </w:rPr>
            </w:pPr>
            <w:r>
              <w:rPr>
                <w:rFonts w:cs="Arial"/>
              </w:rPr>
              <w:t>25.5–25.7 GHz</w:t>
            </w:r>
          </w:p>
        </w:tc>
        <w:tc>
          <w:tcPr>
            <w:tcW w:w="2692" w:type="dxa"/>
          </w:tcPr>
          <w:p w14:paraId="6E64661A" w14:textId="6E25DE29" w:rsidR="00C33600" w:rsidRPr="009D3A49" w:rsidRDefault="00C33600" w:rsidP="00FF6771">
            <w:pPr>
              <w:keepNext/>
              <w:keepLines/>
              <w:spacing w:before="40" w:after="40"/>
              <w:ind w:right="120"/>
              <w:rPr>
                <w:rFonts w:cs="Arial"/>
              </w:rPr>
            </w:pPr>
            <w:r>
              <w:rPr>
                <w:rFonts w:cs="Arial"/>
              </w:rPr>
              <w:t>2</w:t>
            </w:r>
            <w:r w:rsidRPr="00382ED9">
              <w:rPr>
                <w:rFonts w:cs="Arial"/>
              </w:rPr>
              <w:t>00 MHz</w:t>
            </w:r>
          </w:p>
        </w:tc>
      </w:tr>
      <w:tr w:rsidR="00C33600" w:rsidRPr="009D3A49" w14:paraId="5BA78709" w14:textId="77777777" w:rsidTr="005C0C46">
        <w:tc>
          <w:tcPr>
            <w:tcW w:w="1705" w:type="dxa"/>
            <w:shd w:val="clear" w:color="auto" w:fill="F2F2F2" w:themeFill="background1" w:themeFillShade="F2"/>
          </w:tcPr>
          <w:p w14:paraId="54EDE124" w14:textId="77777777" w:rsidR="00C33600" w:rsidRPr="007127A0" w:rsidRDefault="00C33600" w:rsidP="00A41A4A">
            <w:pPr>
              <w:keepNext/>
              <w:keepLines/>
              <w:spacing w:before="40" w:after="40"/>
              <w:ind w:right="120"/>
              <w:rPr>
                <w:rFonts w:cs="Arial"/>
              </w:rPr>
            </w:pPr>
            <w:r w:rsidRPr="007127A0">
              <w:rPr>
                <w:rFonts w:cs="Arial"/>
              </w:rPr>
              <w:t>4</w:t>
            </w:r>
          </w:p>
        </w:tc>
        <w:tc>
          <w:tcPr>
            <w:tcW w:w="3400" w:type="dxa"/>
            <w:shd w:val="clear" w:color="auto" w:fill="F2F2F2" w:themeFill="background1" w:themeFillShade="F2"/>
          </w:tcPr>
          <w:p w14:paraId="44E30DFA" w14:textId="1CF58F67" w:rsidR="00C33600" w:rsidRPr="007127A0" w:rsidRDefault="00C33600" w:rsidP="00FF6771">
            <w:pPr>
              <w:keepNext/>
              <w:keepLines/>
              <w:spacing w:before="40" w:after="40"/>
              <w:ind w:right="120"/>
              <w:rPr>
                <w:rFonts w:cs="Arial"/>
              </w:rPr>
            </w:pPr>
            <w:r>
              <w:rPr>
                <w:rFonts w:cs="Arial"/>
              </w:rPr>
              <w:t>25.7–25.9 GHz</w:t>
            </w:r>
          </w:p>
        </w:tc>
        <w:tc>
          <w:tcPr>
            <w:tcW w:w="2692" w:type="dxa"/>
            <w:shd w:val="clear" w:color="auto" w:fill="F2F2F2" w:themeFill="background1" w:themeFillShade="F2"/>
          </w:tcPr>
          <w:p w14:paraId="559BF8E0" w14:textId="570B1F1B" w:rsidR="00C33600" w:rsidRPr="009D3A49" w:rsidRDefault="00C33600" w:rsidP="00FF6771">
            <w:pPr>
              <w:keepNext/>
              <w:keepLines/>
              <w:spacing w:before="40" w:after="40"/>
              <w:ind w:right="120"/>
              <w:rPr>
                <w:rFonts w:cs="Arial"/>
              </w:rPr>
            </w:pPr>
            <w:r>
              <w:rPr>
                <w:rFonts w:cs="Arial"/>
              </w:rPr>
              <w:t>2</w:t>
            </w:r>
            <w:r w:rsidRPr="00382ED9">
              <w:rPr>
                <w:rFonts w:cs="Arial"/>
              </w:rPr>
              <w:t>00 MHz</w:t>
            </w:r>
          </w:p>
        </w:tc>
      </w:tr>
      <w:tr w:rsidR="00C33600" w:rsidRPr="009D3A49" w14:paraId="564C776B" w14:textId="77777777" w:rsidTr="005C0C46">
        <w:tc>
          <w:tcPr>
            <w:tcW w:w="1705" w:type="dxa"/>
          </w:tcPr>
          <w:p w14:paraId="44F4400F" w14:textId="77777777" w:rsidR="00C33600" w:rsidRPr="007127A0" w:rsidRDefault="00C33600" w:rsidP="00A41A4A">
            <w:pPr>
              <w:keepNext/>
              <w:keepLines/>
              <w:spacing w:before="40" w:after="40"/>
              <w:ind w:right="120"/>
              <w:rPr>
                <w:rFonts w:cs="Arial"/>
              </w:rPr>
            </w:pPr>
            <w:r w:rsidRPr="007127A0">
              <w:rPr>
                <w:rFonts w:cs="Arial"/>
              </w:rPr>
              <w:t>5</w:t>
            </w:r>
          </w:p>
        </w:tc>
        <w:tc>
          <w:tcPr>
            <w:tcW w:w="3400" w:type="dxa"/>
          </w:tcPr>
          <w:p w14:paraId="694A467B" w14:textId="28C45270" w:rsidR="00C33600" w:rsidRPr="007127A0" w:rsidRDefault="00C33600" w:rsidP="00FF6771">
            <w:pPr>
              <w:keepNext/>
              <w:keepLines/>
              <w:spacing w:before="40" w:after="40"/>
              <w:ind w:right="120"/>
              <w:rPr>
                <w:rFonts w:cs="Arial"/>
              </w:rPr>
            </w:pPr>
            <w:r>
              <w:rPr>
                <w:rFonts w:cs="Arial"/>
              </w:rPr>
              <w:t>25.9–26.1 GHz</w:t>
            </w:r>
          </w:p>
        </w:tc>
        <w:tc>
          <w:tcPr>
            <w:tcW w:w="2692" w:type="dxa"/>
          </w:tcPr>
          <w:p w14:paraId="617EBE04" w14:textId="241E34DD" w:rsidR="00C33600" w:rsidRPr="009D3A49" w:rsidRDefault="00C33600" w:rsidP="00FF6771">
            <w:pPr>
              <w:keepNext/>
              <w:keepLines/>
              <w:spacing w:before="40" w:after="40"/>
              <w:ind w:right="120"/>
              <w:rPr>
                <w:rFonts w:cs="Arial"/>
              </w:rPr>
            </w:pPr>
            <w:r>
              <w:rPr>
                <w:rFonts w:cs="Arial"/>
              </w:rPr>
              <w:t>2</w:t>
            </w:r>
            <w:r w:rsidRPr="00382ED9">
              <w:rPr>
                <w:rFonts w:cs="Arial"/>
              </w:rPr>
              <w:t>00 MHz</w:t>
            </w:r>
          </w:p>
        </w:tc>
      </w:tr>
      <w:tr w:rsidR="00C33600" w:rsidRPr="009D3A49" w14:paraId="0ABB79B5" w14:textId="77777777" w:rsidTr="005C0C46">
        <w:tc>
          <w:tcPr>
            <w:tcW w:w="1705" w:type="dxa"/>
            <w:shd w:val="clear" w:color="auto" w:fill="F2F2F2" w:themeFill="background1" w:themeFillShade="F2"/>
          </w:tcPr>
          <w:p w14:paraId="4E8E2727" w14:textId="77777777" w:rsidR="00C33600" w:rsidRPr="007127A0" w:rsidRDefault="00C33600" w:rsidP="00A41A4A">
            <w:pPr>
              <w:keepNext/>
              <w:keepLines/>
              <w:spacing w:before="40" w:after="40"/>
              <w:ind w:right="120"/>
              <w:rPr>
                <w:rFonts w:cs="Arial"/>
              </w:rPr>
            </w:pPr>
            <w:r w:rsidRPr="007127A0">
              <w:rPr>
                <w:rFonts w:cs="Arial"/>
              </w:rPr>
              <w:t>6</w:t>
            </w:r>
          </w:p>
        </w:tc>
        <w:tc>
          <w:tcPr>
            <w:tcW w:w="3400" w:type="dxa"/>
            <w:shd w:val="clear" w:color="auto" w:fill="F2F2F2" w:themeFill="background1" w:themeFillShade="F2"/>
          </w:tcPr>
          <w:p w14:paraId="3E80D07F" w14:textId="2AD8A45F" w:rsidR="00C33600" w:rsidRPr="007127A0" w:rsidRDefault="00C33600" w:rsidP="00FF6771">
            <w:pPr>
              <w:keepNext/>
              <w:keepLines/>
              <w:spacing w:before="40" w:after="40"/>
              <w:ind w:right="120"/>
              <w:rPr>
                <w:rFonts w:cs="Arial"/>
              </w:rPr>
            </w:pPr>
            <w:r w:rsidRPr="00320B07">
              <w:rPr>
                <w:rFonts w:cs="Arial"/>
              </w:rPr>
              <w:t>2</w:t>
            </w:r>
            <w:r>
              <w:rPr>
                <w:rFonts w:cs="Arial"/>
              </w:rPr>
              <w:t>6.1–</w:t>
            </w:r>
            <w:r w:rsidRPr="00320B07">
              <w:rPr>
                <w:rFonts w:cs="Arial"/>
              </w:rPr>
              <w:t>2</w:t>
            </w:r>
            <w:r>
              <w:rPr>
                <w:rFonts w:cs="Arial"/>
              </w:rPr>
              <w:t>6.3</w:t>
            </w:r>
            <w:r w:rsidRPr="00320B07">
              <w:rPr>
                <w:rFonts w:cs="Arial"/>
              </w:rPr>
              <w:t xml:space="preserve"> GHz</w:t>
            </w:r>
          </w:p>
        </w:tc>
        <w:tc>
          <w:tcPr>
            <w:tcW w:w="2692" w:type="dxa"/>
            <w:shd w:val="clear" w:color="auto" w:fill="F2F2F2" w:themeFill="background1" w:themeFillShade="F2"/>
          </w:tcPr>
          <w:p w14:paraId="6ECB5CFE" w14:textId="3CD8A109" w:rsidR="00C33600" w:rsidRPr="009D3A49" w:rsidRDefault="00C33600" w:rsidP="00FF6771">
            <w:pPr>
              <w:keepNext/>
              <w:keepLines/>
              <w:spacing w:before="40" w:after="40"/>
              <w:ind w:right="120"/>
              <w:rPr>
                <w:rFonts w:cs="Arial"/>
              </w:rPr>
            </w:pPr>
            <w:r>
              <w:rPr>
                <w:rFonts w:cs="Arial"/>
              </w:rPr>
              <w:t>2</w:t>
            </w:r>
            <w:r w:rsidRPr="00382ED9">
              <w:rPr>
                <w:rFonts w:cs="Arial"/>
              </w:rPr>
              <w:t>00 MHz</w:t>
            </w:r>
          </w:p>
        </w:tc>
      </w:tr>
      <w:tr w:rsidR="00C33600" w:rsidRPr="009D3A49" w14:paraId="20138421" w14:textId="77777777" w:rsidTr="005C0C46">
        <w:tc>
          <w:tcPr>
            <w:tcW w:w="1705" w:type="dxa"/>
          </w:tcPr>
          <w:p w14:paraId="5538CAED" w14:textId="77777777" w:rsidR="00C33600" w:rsidRPr="007127A0" w:rsidRDefault="00C33600" w:rsidP="00A41A4A">
            <w:pPr>
              <w:keepNext/>
              <w:keepLines/>
              <w:spacing w:before="40" w:after="40"/>
              <w:ind w:right="120"/>
              <w:rPr>
                <w:rFonts w:cs="Arial"/>
              </w:rPr>
            </w:pPr>
            <w:r w:rsidRPr="007127A0">
              <w:rPr>
                <w:rFonts w:cs="Arial"/>
              </w:rPr>
              <w:t>7</w:t>
            </w:r>
          </w:p>
        </w:tc>
        <w:tc>
          <w:tcPr>
            <w:tcW w:w="3400" w:type="dxa"/>
          </w:tcPr>
          <w:p w14:paraId="7ECDCC72" w14:textId="53C83FC8" w:rsidR="00C33600" w:rsidRPr="007127A0" w:rsidRDefault="00C33600" w:rsidP="00FF6771">
            <w:pPr>
              <w:keepNext/>
              <w:keepLines/>
              <w:spacing w:before="40" w:after="40"/>
              <w:ind w:right="120"/>
              <w:rPr>
                <w:rFonts w:cs="Arial"/>
              </w:rPr>
            </w:pPr>
            <w:r w:rsidRPr="00320B07">
              <w:rPr>
                <w:rFonts w:cs="Arial"/>
              </w:rPr>
              <w:t>2</w:t>
            </w:r>
            <w:r>
              <w:rPr>
                <w:rFonts w:cs="Arial"/>
              </w:rPr>
              <w:t>6.3–</w:t>
            </w:r>
            <w:r w:rsidRPr="00320B07">
              <w:rPr>
                <w:rFonts w:cs="Arial"/>
              </w:rPr>
              <w:t>2</w:t>
            </w:r>
            <w:r>
              <w:rPr>
                <w:rFonts w:cs="Arial"/>
              </w:rPr>
              <w:t>6.5</w:t>
            </w:r>
            <w:r w:rsidRPr="00320B07">
              <w:rPr>
                <w:rFonts w:cs="Arial"/>
              </w:rPr>
              <w:t xml:space="preserve"> GHz</w:t>
            </w:r>
          </w:p>
        </w:tc>
        <w:tc>
          <w:tcPr>
            <w:tcW w:w="2692" w:type="dxa"/>
          </w:tcPr>
          <w:p w14:paraId="38293643" w14:textId="606580D5" w:rsidR="00C33600" w:rsidRPr="009D3A49" w:rsidRDefault="00C33600" w:rsidP="00FF6771">
            <w:pPr>
              <w:keepNext/>
              <w:keepLines/>
              <w:spacing w:before="40" w:after="40"/>
              <w:ind w:right="120"/>
              <w:rPr>
                <w:rFonts w:cs="Arial"/>
              </w:rPr>
            </w:pPr>
            <w:r>
              <w:rPr>
                <w:rFonts w:cs="Arial"/>
              </w:rPr>
              <w:t>2</w:t>
            </w:r>
            <w:r w:rsidRPr="00382ED9">
              <w:rPr>
                <w:rFonts w:cs="Arial"/>
              </w:rPr>
              <w:t>00 MHz</w:t>
            </w:r>
          </w:p>
        </w:tc>
      </w:tr>
      <w:tr w:rsidR="00C33600" w:rsidRPr="009D3A49" w14:paraId="02B7F7DA" w14:textId="77777777" w:rsidTr="005C0C46">
        <w:tc>
          <w:tcPr>
            <w:tcW w:w="1705" w:type="dxa"/>
            <w:shd w:val="clear" w:color="auto" w:fill="F2F2F2" w:themeFill="background1" w:themeFillShade="F2"/>
          </w:tcPr>
          <w:p w14:paraId="27C0AD06" w14:textId="77777777" w:rsidR="00C33600" w:rsidRPr="007127A0" w:rsidRDefault="00C33600" w:rsidP="00A41A4A">
            <w:pPr>
              <w:keepNext/>
              <w:keepLines/>
              <w:spacing w:before="40" w:after="40"/>
              <w:ind w:right="120"/>
              <w:rPr>
                <w:rFonts w:cs="Arial"/>
              </w:rPr>
            </w:pPr>
            <w:r w:rsidRPr="007127A0">
              <w:rPr>
                <w:rFonts w:cs="Arial"/>
              </w:rPr>
              <w:t>8</w:t>
            </w:r>
          </w:p>
        </w:tc>
        <w:tc>
          <w:tcPr>
            <w:tcW w:w="3400" w:type="dxa"/>
            <w:shd w:val="clear" w:color="auto" w:fill="F2F2F2" w:themeFill="background1" w:themeFillShade="F2"/>
          </w:tcPr>
          <w:p w14:paraId="25BA7A26" w14:textId="18AC0152" w:rsidR="00C33600" w:rsidRPr="007127A0" w:rsidRDefault="00C33600" w:rsidP="00FF6771">
            <w:pPr>
              <w:keepNext/>
              <w:keepLines/>
              <w:spacing w:before="40" w:after="40"/>
              <w:ind w:right="120"/>
              <w:rPr>
                <w:rFonts w:cs="Arial"/>
              </w:rPr>
            </w:pPr>
            <w:r w:rsidRPr="00320B07">
              <w:rPr>
                <w:rFonts w:cs="Arial"/>
              </w:rPr>
              <w:t>2</w:t>
            </w:r>
            <w:r>
              <w:rPr>
                <w:rFonts w:cs="Arial"/>
              </w:rPr>
              <w:t>6.5–</w:t>
            </w:r>
            <w:r w:rsidRPr="00320B07">
              <w:rPr>
                <w:rFonts w:cs="Arial"/>
              </w:rPr>
              <w:t>2</w:t>
            </w:r>
            <w:r>
              <w:rPr>
                <w:rFonts w:cs="Arial"/>
              </w:rPr>
              <w:t>6</w:t>
            </w:r>
            <w:r w:rsidRPr="00320B07">
              <w:rPr>
                <w:rFonts w:cs="Arial"/>
              </w:rPr>
              <w:t>.</w:t>
            </w:r>
            <w:r>
              <w:rPr>
                <w:rFonts w:cs="Arial"/>
              </w:rPr>
              <w:t>7</w:t>
            </w:r>
            <w:r w:rsidRPr="00320B07">
              <w:rPr>
                <w:rFonts w:cs="Arial"/>
              </w:rPr>
              <w:t xml:space="preserve"> GHz</w:t>
            </w:r>
          </w:p>
        </w:tc>
        <w:tc>
          <w:tcPr>
            <w:tcW w:w="2692" w:type="dxa"/>
            <w:shd w:val="clear" w:color="auto" w:fill="F2F2F2" w:themeFill="background1" w:themeFillShade="F2"/>
          </w:tcPr>
          <w:p w14:paraId="7DECDBC4" w14:textId="3FEA99F4" w:rsidR="00C33600" w:rsidRPr="009D3A49" w:rsidRDefault="00C33600" w:rsidP="00FF6771">
            <w:pPr>
              <w:keepNext/>
              <w:keepLines/>
              <w:spacing w:before="40" w:after="40"/>
              <w:ind w:right="120"/>
              <w:rPr>
                <w:rFonts w:cs="Arial"/>
              </w:rPr>
            </w:pPr>
            <w:r>
              <w:rPr>
                <w:rFonts w:cs="Arial"/>
              </w:rPr>
              <w:t>2</w:t>
            </w:r>
            <w:r w:rsidRPr="00382ED9">
              <w:rPr>
                <w:rFonts w:cs="Arial"/>
              </w:rPr>
              <w:t>00 MHz</w:t>
            </w:r>
          </w:p>
        </w:tc>
      </w:tr>
      <w:tr w:rsidR="00C33600" w:rsidRPr="009D3A49" w14:paraId="645292BF" w14:textId="77777777" w:rsidTr="005C0C46">
        <w:tc>
          <w:tcPr>
            <w:tcW w:w="1705" w:type="dxa"/>
          </w:tcPr>
          <w:p w14:paraId="66AC0D3B" w14:textId="77777777" w:rsidR="00C33600" w:rsidRPr="007127A0" w:rsidRDefault="00C33600" w:rsidP="00A41A4A">
            <w:pPr>
              <w:keepNext/>
              <w:keepLines/>
              <w:spacing w:before="40" w:after="40"/>
              <w:ind w:right="120"/>
              <w:rPr>
                <w:rFonts w:cs="Arial"/>
              </w:rPr>
            </w:pPr>
            <w:r w:rsidRPr="007127A0">
              <w:rPr>
                <w:rFonts w:cs="Arial"/>
              </w:rPr>
              <w:t>9</w:t>
            </w:r>
          </w:p>
        </w:tc>
        <w:tc>
          <w:tcPr>
            <w:tcW w:w="3400" w:type="dxa"/>
          </w:tcPr>
          <w:p w14:paraId="718482A0" w14:textId="271F9374" w:rsidR="00C33600" w:rsidRPr="007127A0" w:rsidRDefault="00C33600" w:rsidP="00FF6771">
            <w:pPr>
              <w:keepNext/>
              <w:keepLines/>
              <w:spacing w:before="40" w:after="40"/>
              <w:ind w:right="120"/>
              <w:rPr>
                <w:rFonts w:cs="Arial"/>
              </w:rPr>
            </w:pPr>
            <w:r>
              <w:rPr>
                <w:rFonts w:cs="Arial"/>
              </w:rPr>
              <w:t>26.7–26.9 GHz</w:t>
            </w:r>
          </w:p>
        </w:tc>
        <w:tc>
          <w:tcPr>
            <w:tcW w:w="2692" w:type="dxa"/>
          </w:tcPr>
          <w:p w14:paraId="03941E14" w14:textId="2A96D541" w:rsidR="00C33600" w:rsidRPr="009D3A49" w:rsidRDefault="00C33600" w:rsidP="00FF6771">
            <w:pPr>
              <w:keepNext/>
              <w:keepLines/>
              <w:spacing w:before="40" w:after="40"/>
              <w:ind w:right="120"/>
              <w:rPr>
                <w:rFonts w:cs="Arial"/>
              </w:rPr>
            </w:pPr>
            <w:r>
              <w:rPr>
                <w:rFonts w:cs="Arial"/>
              </w:rPr>
              <w:t>2</w:t>
            </w:r>
            <w:r w:rsidRPr="00382ED9">
              <w:rPr>
                <w:rFonts w:cs="Arial"/>
              </w:rPr>
              <w:t>00 MHz</w:t>
            </w:r>
          </w:p>
        </w:tc>
      </w:tr>
      <w:tr w:rsidR="00C33600" w14:paraId="77B4264B" w14:textId="77777777" w:rsidTr="005C0C46">
        <w:tc>
          <w:tcPr>
            <w:tcW w:w="1705" w:type="dxa"/>
            <w:shd w:val="clear" w:color="auto" w:fill="F2F2F2" w:themeFill="background1" w:themeFillShade="F2"/>
          </w:tcPr>
          <w:p w14:paraId="4ED48D0A" w14:textId="77777777" w:rsidR="00C33600" w:rsidRDefault="00C33600" w:rsidP="00A41A4A">
            <w:pPr>
              <w:keepNext/>
              <w:keepLines/>
              <w:spacing w:before="40" w:after="40"/>
              <w:ind w:right="120"/>
              <w:rPr>
                <w:rFonts w:cs="Arial"/>
              </w:rPr>
            </w:pPr>
            <w:r>
              <w:rPr>
                <w:rFonts w:cs="Arial"/>
              </w:rPr>
              <w:t>10</w:t>
            </w:r>
          </w:p>
        </w:tc>
        <w:tc>
          <w:tcPr>
            <w:tcW w:w="3400" w:type="dxa"/>
            <w:shd w:val="clear" w:color="auto" w:fill="F2F2F2" w:themeFill="background1" w:themeFillShade="F2"/>
          </w:tcPr>
          <w:p w14:paraId="4B33A8CD" w14:textId="5DAD9C1E" w:rsidR="00C33600" w:rsidRPr="007127A0" w:rsidRDefault="00C33600" w:rsidP="00FF6771">
            <w:pPr>
              <w:keepNext/>
              <w:keepLines/>
              <w:spacing w:before="40" w:after="40"/>
              <w:ind w:right="120"/>
              <w:rPr>
                <w:rFonts w:cs="Arial"/>
              </w:rPr>
            </w:pPr>
            <w:r>
              <w:rPr>
                <w:rFonts w:cs="Arial"/>
              </w:rPr>
              <w:t>26.9–27.1 GHz</w:t>
            </w:r>
          </w:p>
        </w:tc>
        <w:tc>
          <w:tcPr>
            <w:tcW w:w="2692" w:type="dxa"/>
            <w:shd w:val="clear" w:color="auto" w:fill="F2F2F2" w:themeFill="background1" w:themeFillShade="F2"/>
          </w:tcPr>
          <w:p w14:paraId="17DF9718" w14:textId="0040B049" w:rsidR="00C33600" w:rsidRDefault="00C33600" w:rsidP="00FF6771">
            <w:pPr>
              <w:keepNext/>
              <w:keepLines/>
              <w:spacing w:before="40" w:after="40"/>
              <w:ind w:right="120"/>
              <w:rPr>
                <w:rFonts w:cs="Arial"/>
              </w:rPr>
            </w:pPr>
            <w:r>
              <w:rPr>
                <w:rFonts w:cs="Arial"/>
              </w:rPr>
              <w:t>2</w:t>
            </w:r>
            <w:r w:rsidRPr="00382ED9">
              <w:rPr>
                <w:rFonts w:cs="Arial"/>
              </w:rPr>
              <w:t>00 MHz</w:t>
            </w:r>
          </w:p>
        </w:tc>
      </w:tr>
      <w:tr w:rsidR="00C33600" w14:paraId="127027E0" w14:textId="77777777" w:rsidTr="005C0C46">
        <w:tc>
          <w:tcPr>
            <w:tcW w:w="1705" w:type="dxa"/>
          </w:tcPr>
          <w:p w14:paraId="552DFC63" w14:textId="77777777" w:rsidR="00C33600" w:rsidRDefault="00C33600" w:rsidP="00A41A4A">
            <w:pPr>
              <w:keepNext/>
              <w:keepLines/>
              <w:spacing w:before="40" w:after="40"/>
              <w:ind w:right="120"/>
              <w:rPr>
                <w:rFonts w:cs="Arial"/>
              </w:rPr>
            </w:pPr>
            <w:r>
              <w:rPr>
                <w:rFonts w:cs="Arial"/>
              </w:rPr>
              <w:t>11</w:t>
            </w:r>
          </w:p>
        </w:tc>
        <w:tc>
          <w:tcPr>
            <w:tcW w:w="3400" w:type="dxa"/>
          </w:tcPr>
          <w:p w14:paraId="60384698" w14:textId="77E6A78A" w:rsidR="00C33600" w:rsidRPr="000F44E6" w:rsidRDefault="00C33600" w:rsidP="00FF6771">
            <w:pPr>
              <w:keepNext/>
              <w:keepLines/>
              <w:spacing w:before="40" w:after="40"/>
              <w:ind w:right="120"/>
              <w:rPr>
                <w:rFonts w:cs="Arial"/>
                <w:b/>
              </w:rPr>
            </w:pPr>
            <w:r w:rsidRPr="007F0319">
              <w:rPr>
                <w:rFonts w:cs="Arial"/>
              </w:rPr>
              <w:t>2</w:t>
            </w:r>
            <w:r>
              <w:rPr>
                <w:rFonts w:cs="Arial"/>
              </w:rPr>
              <w:t>7.</w:t>
            </w:r>
            <w:r w:rsidR="005C0C46">
              <w:rPr>
                <w:rFonts w:cs="Arial"/>
              </w:rPr>
              <w:t>1</w:t>
            </w:r>
            <w:r w:rsidRPr="007F0319">
              <w:rPr>
                <w:rFonts w:cs="Arial"/>
              </w:rPr>
              <w:t>–2</w:t>
            </w:r>
            <w:r>
              <w:rPr>
                <w:rFonts w:cs="Arial"/>
              </w:rPr>
              <w:t>7.</w:t>
            </w:r>
            <w:r w:rsidR="005C0C46">
              <w:rPr>
                <w:rFonts w:cs="Arial"/>
              </w:rPr>
              <w:t>3</w:t>
            </w:r>
            <w:r w:rsidRPr="007F0319">
              <w:rPr>
                <w:rFonts w:cs="Arial"/>
              </w:rPr>
              <w:t xml:space="preserve"> GHz</w:t>
            </w:r>
          </w:p>
        </w:tc>
        <w:tc>
          <w:tcPr>
            <w:tcW w:w="2692" w:type="dxa"/>
          </w:tcPr>
          <w:p w14:paraId="69F90CE2" w14:textId="3B535CB0" w:rsidR="00C33600" w:rsidRDefault="00C33600" w:rsidP="00FF6771">
            <w:pPr>
              <w:keepNext/>
              <w:keepLines/>
              <w:spacing w:before="40" w:after="40"/>
              <w:ind w:right="120"/>
              <w:rPr>
                <w:rFonts w:cs="Arial"/>
              </w:rPr>
            </w:pPr>
            <w:r>
              <w:rPr>
                <w:rFonts w:cs="Arial"/>
              </w:rPr>
              <w:t>2</w:t>
            </w:r>
            <w:r w:rsidRPr="00382ED9">
              <w:rPr>
                <w:rFonts w:cs="Arial"/>
              </w:rPr>
              <w:t>00 MHz</w:t>
            </w:r>
          </w:p>
        </w:tc>
      </w:tr>
      <w:tr w:rsidR="00C33600" w14:paraId="379D357A" w14:textId="77777777" w:rsidTr="005C0C46">
        <w:tc>
          <w:tcPr>
            <w:tcW w:w="1705" w:type="dxa"/>
            <w:shd w:val="clear" w:color="auto" w:fill="F2F2F2" w:themeFill="background1" w:themeFillShade="F2"/>
          </w:tcPr>
          <w:p w14:paraId="73B673D2" w14:textId="77777777" w:rsidR="00C33600" w:rsidRDefault="00C33600" w:rsidP="00A41A4A">
            <w:pPr>
              <w:keepNext/>
              <w:keepLines/>
              <w:spacing w:before="40" w:after="40"/>
              <w:ind w:right="120"/>
              <w:rPr>
                <w:rFonts w:cs="Arial"/>
              </w:rPr>
            </w:pPr>
            <w:r>
              <w:rPr>
                <w:rFonts w:cs="Arial"/>
              </w:rPr>
              <w:t>12</w:t>
            </w:r>
          </w:p>
        </w:tc>
        <w:tc>
          <w:tcPr>
            <w:tcW w:w="3400" w:type="dxa"/>
            <w:shd w:val="clear" w:color="auto" w:fill="F2F2F2" w:themeFill="background1" w:themeFillShade="F2"/>
          </w:tcPr>
          <w:p w14:paraId="39862903" w14:textId="0AB169C1" w:rsidR="00C33600" w:rsidRPr="007127A0" w:rsidRDefault="00C33600" w:rsidP="00FF6771">
            <w:pPr>
              <w:keepNext/>
              <w:keepLines/>
              <w:spacing w:before="40" w:after="40"/>
              <w:ind w:right="120"/>
              <w:rPr>
                <w:rFonts w:cs="Arial"/>
              </w:rPr>
            </w:pPr>
            <w:r w:rsidRPr="007F0319">
              <w:rPr>
                <w:rFonts w:cs="Arial"/>
              </w:rPr>
              <w:t>2</w:t>
            </w:r>
            <w:r w:rsidR="005C0C46">
              <w:rPr>
                <w:rFonts w:cs="Arial"/>
              </w:rPr>
              <w:t>7.3</w:t>
            </w:r>
            <w:r w:rsidRPr="007F0319">
              <w:rPr>
                <w:rFonts w:cs="Arial"/>
              </w:rPr>
              <w:t>–2</w:t>
            </w:r>
            <w:r w:rsidR="005C0C46">
              <w:rPr>
                <w:rFonts w:cs="Arial"/>
              </w:rPr>
              <w:t>7.5</w:t>
            </w:r>
            <w:r w:rsidRPr="007F0319">
              <w:rPr>
                <w:rFonts w:cs="Arial"/>
              </w:rPr>
              <w:t xml:space="preserve"> GHz</w:t>
            </w:r>
          </w:p>
        </w:tc>
        <w:tc>
          <w:tcPr>
            <w:tcW w:w="2692" w:type="dxa"/>
            <w:shd w:val="clear" w:color="auto" w:fill="F2F2F2" w:themeFill="background1" w:themeFillShade="F2"/>
          </w:tcPr>
          <w:p w14:paraId="6AE03D51" w14:textId="5F9B1048" w:rsidR="00C33600" w:rsidRDefault="005C0C46" w:rsidP="00FF6771">
            <w:pPr>
              <w:keepNext/>
              <w:keepLines/>
              <w:spacing w:before="40" w:after="40"/>
              <w:ind w:right="120"/>
              <w:rPr>
                <w:rFonts w:cs="Arial"/>
              </w:rPr>
            </w:pPr>
            <w:r>
              <w:rPr>
                <w:rFonts w:cs="Arial"/>
              </w:rPr>
              <w:t>2</w:t>
            </w:r>
            <w:r w:rsidR="00C33600" w:rsidRPr="00382ED9">
              <w:rPr>
                <w:rFonts w:cs="Arial"/>
              </w:rPr>
              <w:t>00 MHz</w:t>
            </w:r>
          </w:p>
        </w:tc>
      </w:tr>
      <w:tr w:rsidR="00C33600" w:rsidRPr="007127A0" w14:paraId="45C5B89B" w14:textId="77777777" w:rsidTr="005C0C46">
        <w:tc>
          <w:tcPr>
            <w:tcW w:w="1705" w:type="dxa"/>
            <w:shd w:val="clear" w:color="auto" w:fill="FFFFFF" w:themeFill="background1"/>
          </w:tcPr>
          <w:p w14:paraId="59074DB3" w14:textId="7B0172F0" w:rsidR="00C33600" w:rsidRPr="007127A0" w:rsidRDefault="005C0C46" w:rsidP="00A41A4A">
            <w:pPr>
              <w:keepNext/>
              <w:keepLines/>
              <w:spacing w:before="40" w:after="40"/>
              <w:ind w:right="120"/>
              <w:rPr>
                <w:rFonts w:cs="Arial"/>
                <w:b/>
              </w:rPr>
            </w:pPr>
            <w:r>
              <w:rPr>
                <w:rFonts w:cs="Arial"/>
                <w:b/>
              </w:rPr>
              <w:t>1</w:t>
            </w:r>
            <w:r w:rsidR="00C33600">
              <w:rPr>
                <w:rFonts w:cs="Arial"/>
                <w:b/>
              </w:rPr>
              <w:t>2</w:t>
            </w:r>
            <w:r w:rsidR="00C33600" w:rsidRPr="007127A0">
              <w:rPr>
                <w:rFonts w:cs="Arial"/>
                <w:b/>
              </w:rPr>
              <w:t xml:space="preserve"> </w:t>
            </w:r>
            <w:r w:rsidR="00C33600">
              <w:rPr>
                <w:rFonts w:cs="Arial"/>
                <w:b/>
              </w:rPr>
              <w:t>c</w:t>
            </w:r>
            <w:r w:rsidR="00C33600" w:rsidRPr="007127A0">
              <w:rPr>
                <w:rFonts w:cs="Arial"/>
                <w:b/>
              </w:rPr>
              <w:t>hannels</w:t>
            </w:r>
          </w:p>
        </w:tc>
        <w:tc>
          <w:tcPr>
            <w:tcW w:w="3400" w:type="dxa"/>
            <w:shd w:val="clear" w:color="auto" w:fill="FFFFFF" w:themeFill="background1"/>
          </w:tcPr>
          <w:p w14:paraId="083CB348" w14:textId="77777777" w:rsidR="00C33600" w:rsidRPr="007127A0" w:rsidRDefault="00C33600" w:rsidP="00FF6771">
            <w:pPr>
              <w:keepNext/>
              <w:keepLines/>
              <w:spacing w:before="40" w:after="40"/>
              <w:ind w:right="120"/>
              <w:rPr>
                <w:rFonts w:cs="Arial"/>
                <w:b/>
              </w:rPr>
            </w:pPr>
            <w:r>
              <w:rPr>
                <w:rFonts w:cs="Arial"/>
                <w:b/>
              </w:rPr>
              <w:t>25.1–27.5 GHz</w:t>
            </w:r>
          </w:p>
        </w:tc>
        <w:tc>
          <w:tcPr>
            <w:tcW w:w="2692" w:type="dxa"/>
            <w:shd w:val="clear" w:color="auto" w:fill="FFFFFF" w:themeFill="background1"/>
          </w:tcPr>
          <w:p w14:paraId="1BB6902C" w14:textId="0B482A64" w:rsidR="00C33600" w:rsidRPr="007127A0" w:rsidRDefault="00C33600" w:rsidP="00FF6771">
            <w:pPr>
              <w:keepNext/>
              <w:keepLines/>
              <w:spacing w:before="40" w:after="40"/>
              <w:ind w:right="120"/>
              <w:rPr>
                <w:rFonts w:cs="Arial"/>
                <w:b/>
              </w:rPr>
            </w:pPr>
            <w:r>
              <w:rPr>
                <w:rFonts w:cs="Arial"/>
                <w:b/>
              </w:rPr>
              <w:t>2</w:t>
            </w:r>
            <w:r w:rsidR="00381FFA">
              <w:rPr>
                <w:rFonts w:cs="Arial"/>
                <w:b/>
              </w:rPr>
              <w:t>400 MH</w:t>
            </w:r>
            <w:r>
              <w:rPr>
                <w:rFonts w:cs="Arial"/>
                <w:b/>
              </w:rPr>
              <w:t>z</w:t>
            </w:r>
          </w:p>
        </w:tc>
      </w:tr>
    </w:tbl>
    <w:p w14:paraId="6D308E72" w14:textId="03FD4C04" w:rsidR="002F4AA4" w:rsidRDefault="002F4AA4" w:rsidP="002F4AA4"/>
    <w:p w14:paraId="7AD5A0C0" w14:textId="20903F24" w:rsidR="002F4AA4" w:rsidRPr="001437C0" w:rsidRDefault="002F4AA4" w:rsidP="002F4AA4">
      <w:pPr>
        <w:pBdr>
          <w:top w:val="single" w:sz="4" w:space="1" w:color="auto"/>
          <w:left w:val="single" w:sz="4" w:space="4" w:color="auto"/>
          <w:bottom w:val="single" w:sz="4" w:space="1" w:color="auto"/>
          <w:right w:val="single" w:sz="4" w:space="4" w:color="auto"/>
        </w:pBdr>
        <w:shd w:val="clear" w:color="auto" w:fill="F2F2F2" w:themeFill="background1" w:themeFillShade="F2"/>
        <w:spacing w:after="120"/>
        <w:rPr>
          <w:b/>
        </w:rPr>
      </w:pPr>
      <w:r>
        <w:rPr>
          <w:b/>
        </w:rPr>
        <w:t>Lot configuration</w:t>
      </w:r>
      <w:r w:rsidR="000D79E6">
        <w:rPr>
          <w:b/>
        </w:rPr>
        <w:t>—</w:t>
      </w:r>
      <w:r>
        <w:rPr>
          <w:b/>
        </w:rPr>
        <w:t>frequency</w:t>
      </w:r>
    </w:p>
    <w:p w14:paraId="7084D0F8" w14:textId="2FE18088" w:rsidR="002F4AA4" w:rsidRDefault="002F4AA4" w:rsidP="002F4AA4">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pPr>
      <w:r>
        <w:t>We seek stakeholder views on whether the lot size for each geographic area in the 26 GHz band auction should be 200 MHz</w:t>
      </w:r>
      <w:r w:rsidR="007310E6">
        <w:t xml:space="preserve"> resulting in 12x200 MHz lots for each product</w:t>
      </w:r>
      <w:r>
        <w:t>.</w:t>
      </w:r>
    </w:p>
    <w:p w14:paraId="0E4F1692" w14:textId="77777777" w:rsidR="002F4AA4" w:rsidRDefault="002F4AA4" w:rsidP="008118B8">
      <w:pPr>
        <w:keepNext/>
        <w:spacing w:after="80"/>
      </w:pPr>
    </w:p>
    <w:p w14:paraId="03157FF1" w14:textId="58D300DF" w:rsidR="005C0C46" w:rsidRDefault="007C6335" w:rsidP="003C6F0F">
      <w:pPr>
        <w:pStyle w:val="Heading3"/>
        <w:keepNext w:val="0"/>
      </w:pPr>
      <w:r>
        <w:t>Lot configuration - g</w:t>
      </w:r>
      <w:r w:rsidR="005C0C46" w:rsidRPr="00A75EB3">
        <w:t>eograph</w:t>
      </w:r>
      <w:r w:rsidR="005E62F2">
        <w:t>y</w:t>
      </w:r>
    </w:p>
    <w:p w14:paraId="330ACF52" w14:textId="08A20596" w:rsidR="0029664E" w:rsidRDefault="005C0C46" w:rsidP="00AA262B">
      <w:pPr>
        <w:pStyle w:val="Paragraph"/>
      </w:pPr>
      <w:r w:rsidRPr="00E82862">
        <w:t xml:space="preserve">In the </w:t>
      </w:r>
      <w:hyperlink r:id="rId50" w:history="1">
        <w:r w:rsidR="00BF0CC9">
          <w:rPr>
            <w:rStyle w:val="Hyperlink"/>
          </w:rPr>
          <w:t>draft re-allocation recommendation</w:t>
        </w:r>
      </w:hyperlink>
      <w:r>
        <w:t xml:space="preserve"> consultation, </w:t>
      </w:r>
      <w:r w:rsidR="002D6E3B">
        <w:t>we</w:t>
      </w:r>
      <w:r>
        <w:t xml:space="preserve"> proposed a geographic configuration based on separate lots for each of the capital cities and regional centres</w:t>
      </w:r>
      <w:r w:rsidR="006D2A29">
        <w:t>.</w:t>
      </w:r>
      <w:r>
        <w:t xml:space="preserve"> </w:t>
      </w:r>
      <w:r w:rsidR="006D2A29">
        <w:t xml:space="preserve">Submissions either </w:t>
      </w:r>
      <w:r w:rsidR="00E33F9B">
        <w:t>supported this proposal</w:t>
      </w:r>
      <w:r w:rsidR="000B6B04">
        <w:t>;</w:t>
      </w:r>
      <w:r w:rsidR="00DB618F" w:rsidRPr="00DB618F">
        <w:t xml:space="preserve"> </w:t>
      </w:r>
      <w:r w:rsidR="00E33F9B">
        <w:t xml:space="preserve">proposed </w:t>
      </w:r>
      <w:r w:rsidRPr="00DB618F">
        <w:t>aggregat</w:t>
      </w:r>
      <w:r w:rsidR="00621C32" w:rsidRPr="00DB618F">
        <w:t>i</w:t>
      </w:r>
      <w:r w:rsidR="006D2A29">
        <w:t xml:space="preserve">ng </w:t>
      </w:r>
      <w:r w:rsidR="00DE6CAB">
        <w:t xml:space="preserve">regional </w:t>
      </w:r>
      <w:r w:rsidRPr="00DB618F">
        <w:t xml:space="preserve">areas </w:t>
      </w:r>
      <w:r w:rsidR="00587A6B">
        <w:t>into state-based lots</w:t>
      </w:r>
      <w:r w:rsidR="000B6B04">
        <w:t xml:space="preserve"> to reduce the number of lots and auction complexity; or </w:t>
      </w:r>
      <w:r w:rsidR="006812AF">
        <w:t xml:space="preserve">noted </w:t>
      </w:r>
      <w:r w:rsidR="0029664E">
        <w:t xml:space="preserve">that </w:t>
      </w:r>
      <w:r w:rsidR="000B6B04">
        <w:t>this matter can be further considered in th</w:t>
      </w:r>
      <w:r w:rsidR="0029664E">
        <w:t>e</w:t>
      </w:r>
      <w:r w:rsidR="000B6B04">
        <w:t xml:space="preserve"> consultation</w:t>
      </w:r>
      <w:r w:rsidR="0029664E">
        <w:t xml:space="preserve"> on the draft instruments</w:t>
      </w:r>
      <w:r w:rsidR="006600F2">
        <w:t>.</w:t>
      </w:r>
      <w:r w:rsidR="002B353C">
        <w:t xml:space="preserve"> </w:t>
      </w:r>
    </w:p>
    <w:p w14:paraId="73C3079C" w14:textId="31D55F14" w:rsidR="007957D5" w:rsidRDefault="002B353C" w:rsidP="00AA262B">
      <w:pPr>
        <w:pStyle w:val="Paragraph"/>
      </w:pPr>
      <w:r>
        <w:t>Aggregati</w:t>
      </w:r>
      <w:r w:rsidR="0029664E">
        <w:t>ng</w:t>
      </w:r>
      <w:r>
        <w:t xml:space="preserve"> areas would reduce the number of lots at auction</w:t>
      </w:r>
      <w:r w:rsidR="000B6B04">
        <w:t xml:space="preserve"> </w:t>
      </w:r>
      <w:r w:rsidR="007957D5">
        <w:t>and therefore reduce auction complexity. However</w:t>
      </w:r>
      <w:r w:rsidR="00D97BD7">
        <w:t>,</w:t>
      </w:r>
      <w:r w:rsidR="007957D5">
        <w:t xml:space="preserve"> we consider that the proposal to increase </w:t>
      </w:r>
      <w:r>
        <w:t>lot size from 100 to 200</w:t>
      </w:r>
      <w:r w:rsidR="000B6B04">
        <w:t> </w:t>
      </w:r>
      <w:r>
        <w:t>MHz</w:t>
      </w:r>
      <w:r w:rsidR="007957D5">
        <w:t>, thus</w:t>
      </w:r>
      <w:r>
        <w:t xml:space="preserve"> </w:t>
      </w:r>
      <w:r w:rsidR="000B6B04">
        <w:t>reduc</w:t>
      </w:r>
      <w:r w:rsidR="007957D5">
        <w:t>ing</w:t>
      </w:r>
      <w:r w:rsidR="0029664E">
        <w:t xml:space="preserve"> the</w:t>
      </w:r>
      <w:r w:rsidR="000B6B04">
        <w:t xml:space="preserve"> </w:t>
      </w:r>
      <w:r w:rsidR="007957D5">
        <w:t xml:space="preserve">number </w:t>
      </w:r>
      <w:r w:rsidR="000B6B04">
        <w:t>of lots by</w:t>
      </w:r>
      <w:r>
        <w:t xml:space="preserve"> half</w:t>
      </w:r>
      <w:r w:rsidR="007957D5">
        <w:t>, has already reduced auction complexity</w:t>
      </w:r>
      <w:r>
        <w:t xml:space="preserve">. </w:t>
      </w:r>
    </w:p>
    <w:p w14:paraId="4900EBF2" w14:textId="599E8A9D" w:rsidR="004F144B" w:rsidRDefault="007957D5" w:rsidP="00AA262B">
      <w:pPr>
        <w:pStyle w:val="Paragraph"/>
      </w:pPr>
      <w:r>
        <w:t>A</w:t>
      </w:r>
      <w:r w:rsidR="004F144B">
        <w:t xml:space="preserve">ggregating </w:t>
      </w:r>
      <w:r w:rsidR="00EF1C17">
        <w:t xml:space="preserve">certain </w:t>
      </w:r>
      <w:r w:rsidR="004F144B">
        <w:t xml:space="preserve">regional </w:t>
      </w:r>
      <w:r w:rsidR="00EF1C17">
        <w:t xml:space="preserve">centres </w:t>
      </w:r>
      <w:r w:rsidR="004F144B">
        <w:t xml:space="preserve">into a single </w:t>
      </w:r>
      <w:r w:rsidR="00EF1C17">
        <w:t xml:space="preserve">product of 12x200 MHz </w:t>
      </w:r>
      <w:r w:rsidR="00B337D7">
        <w:t>lot</w:t>
      </w:r>
      <w:r w:rsidR="00EF1C17">
        <w:t>s</w:t>
      </w:r>
      <w:r w:rsidR="00B337D7">
        <w:t xml:space="preserve"> </w:t>
      </w:r>
      <w:r w:rsidR="004F144B">
        <w:t>would ensure a prospective licensee could acquire all the region</w:t>
      </w:r>
      <w:r w:rsidR="00EF1C17">
        <w:t>al centre</w:t>
      </w:r>
      <w:r w:rsidR="004F144B">
        <w:t xml:space="preserve">s </w:t>
      </w:r>
      <w:r w:rsidR="00394481">
        <w:t>included in that</w:t>
      </w:r>
      <w:r w:rsidR="004F144B">
        <w:t xml:space="preserve"> aggregat</w:t>
      </w:r>
      <w:r w:rsidR="00394481">
        <w:t xml:space="preserve">ed </w:t>
      </w:r>
      <w:r w:rsidR="00EF1C17">
        <w:t xml:space="preserve">product </w:t>
      </w:r>
      <w:r w:rsidR="004F144B">
        <w:t xml:space="preserve">without the risk of being outbid in a </w:t>
      </w:r>
      <w:proofErr w:type="gramStart"/>
      <w:r w:rsidR="004F144B">
        <w:t xml:space="preserve">particular </w:t>
      </w:r>
      <w:r w:rsidR="00394481">
        <w:t>regional</w:t>
      </w:r>
      <w:proofErr w:type="gramEnd"/>
      <w:r w:rsidR="00394481">
        <w:t xml:space="preserve"> centre</w:t>
      </w:r>
      <w:r w:rsidR="004F144B">
        <w:t xml:space="preserve">. Therefore, it would suit prospective licensees seeking to deploy services throughout all those </w:t>
      </w:r>
      <w:r w:rsidR="00394481">
        <w:t>regional centres</w:t>
      </w:r>
      <w:r w:rsidR="004F144B">
        <w:t xml:space="preserve"> that have been aggregated into </w:t>
      </w:r>
      <w:r w:rsidR="00394481">
        <w:t>the</w:t>
      </w:r>
      <w:r w:rsidR="004F144B">
        <w:t xml:space="preserve"> single </w:t>
      </w:r>
      <w:r w:rsidR="00EF1C17">
        <w:t>product</w:t>
      </w:r>
      <w:r w:rsidR="004F144B">
        <w:t>.</w:t>
      </w:r>
    </w:p>
    <w:p w14:paraId="6E236AEC" w14:textId="1A9C47F2" w:rsidR="00272E6F" w:rsidRDefault="004F144B" w:rsidP="00DD6F1E">
      <w:pPr>
        <w:pStyle w:val="Paragraph"/>
      </w:pPr>
      <w:r>
        <w:t xml:space="preserve">However, prospective licensees seeking to provide services in a </w:t>
      </w:r>
      <w:proofErr w:type="gramStart"/>
      <w:r>
        <w:t xml:space="preserve">particular </w:t>
      </w:r>
      <w:r w:rsidR="00394481">
        <w:t>regional</w:t>
      </w:r>
      <w:proofErr w:type="gramEnd"/>
      <w:r w:rsidR="00394481">
        <w:t xml:space="preserve"> centre</w:t>
      </w:r>
      <w:r>
        <w:t xml:space="preserve"> would be forced to acquire a licence tha</w:t>
      </w:r>
      <w:r w:rsidR="00394481">
        <w:t>t</w:t>
      </w:r>
      <w:r>
        <w:t xml:space="preserve"> also covered unwanted </w:t>
      </w:r>
      <w:r w:rsidR="00EF1C17">
        <w:t>centres</w:t>
      </w:r>
      <w:r>
        <w:t xml:space="preserve">. This </w:t>
      </w:r>
      <w:r w:rsidR="00394481">
        <w:t>may</w:t>
      </w:r>
      <w:r>
        <w:t xml:space="preserve"> mean that those unwanted </w:t>
      </w:r>
      <w:r w:rsidR="00394481">
        <w:t>regional centres</w:t>
      </w:r>
      <w:r>
        <w:t xml:space="preserve"> are denied services. There is also the possibility that aggregated areas m</w:t>
      </w:r>
      <w:r w:rsidR="00394481">
        <w:t>a</w:t>
      </w:r>
      <w:r>
        <w:t xml:space="preserve">y discourage some potential licensees from participating in the allocation because their commercial interest relates only to </w:t>
      </w:r>
      <w:r w:rsidR="0078144D">
        <w:t>specific</w:t>
      </w:r>
      <w:r>
        <w:t xml:space="preserve"> </w:t>
      </w:r>
      <w:r w:rsidR="00394481">
        <w:t>regional centres</w:t>
      </w:r>
      <w:r>
        <w:t>.</w:t>
      </w:r>
    </w:p>
    <w:p w14:paraId="0F2EEF5C" w14:textId="16A150F3" w:rsidR="00B01D9C" w:rsidRDefault="00B01D9C" w:rsidP="00DD6F1E">
      <w:pPr>
        <w:pStyle w:val="Paragraph"/>
      </w:pPr>
    </w:p>
    <w:p w14:paraId="45AB3A6A" w14:textId="77777777" w:rsidR="00B01D9C" w:rsidRDefault="00B01D9C" w:rsidP="00DD6F1E">
      <w:pPr>
        <w:pStyle w:val="Paragraph"/>
      </w:pPr>
    </w:p>
    <w:p w14:paraId="7880BCB1" w14:textId="73432F0A" w:rsidR="004C2192" w:rsidRDefault="004C2192" w:rsidP="00535500">
      <w:pPr>
        <w:pStyle w:val="Heading4"/>
      </w:pPr>
      <w:r>
        <w:t>The Greater Perth area</w:t>
      </w:r>
    </w:p>
    <w:p w14:paraId="2D2CE067" w14:textId="0FC0AFAE" w:rsidR="008A4186" w:rsidRPr="00590F74" w:rsidRDefault="002D6E3B" w:rsidP="00DD6F1E">
      <w:pPr>
        <w:pStyle w:val="Paragraph"/>
      </w:pPr>
      <w:r w:rsidRPr="00490189" w:rsidDel="003B1671">
        <w:t>We</w:t>
      </w:r>
      <w:r w:rsidR="00DB618F" w:rsidRPr="00490189" w:rsidDel="003B1671">
        <w:t xml:space="preserve"> </w:t>
      </w:r>
      <w:r w:rsidRPr="00490189" w:rsidDel="003B1671">
        <w:t>remain of the view</w:t>
      </w:r>
      <w:r w:rsidR="00DB618F" w:rsidRPr="00490189" w:rsidDel="003B1671">
        <w:t xml:space="preserve"> that</w:t>
      </w:r>
      <w:r w:rsidR="00A84E0F" w:rsidRPr="00490189" w:rsidDel="003B1671">
        <w:t xml:space="preserve"> </w:t>
      </w:r>
      <w:r w:rsidR="006A16FD" w:rsidRPr="00490189" w:rsidDel="003B1671">
        <w:t xml:space="preserve">most of </w:t>
      </w:r>
      <w:r w:rsidR="00A84E0F" w:rsidRPr="00490189" w:rsidDel="003B1671">
        <w:t>the 29</w:t>
      </w:r>
      <w:r w:rsidR="00A84E0F" w:rsidRPr="00490189" w:rsidDel="002A4251">
        <w:t xml:space="preserve"> </w:t>
      </w:r>
      <w:r w:rsidR="00A84E0F" w:rsidRPr="00490189" w:rsidDel="003B1671">
        <w:t>areas</w:t>
      </w:r>
      <w:r w:rsidR="00DB618F" w:rsidRPr="00490189" w:rsidDel="003B1671">
        <w:t xml:space="preserve"> </w:t>
      </w:r>
      <w:r w:rsidR="005B6DFC" w:rsidDel="003B1671">
        <w:t>declared for re</w:t>
      </w:r>
      <w:r w:rsidR="00BA473F" w:rsidDel="003B1671">
        <w:noBreakHyphen/>
      </w:r>
      <w:r w:rsidR="005B6DFC" w:rsidDel="003B1671">
        <w:t xml:space="preserve">allocation </w:t>
      </w:r>
      <w:r w:rsidR="005E6D6D" w:rsidRPr="00490189" w:rsidDel="003B1671">
        <w:t xml:space="preserve">should </w:t>
      </w:r>
      <w:r w:rsidR="00DB618F" w:rsidRPr="00490189" w:rsidDel="003B1671">
        <w:t>be offered as s</w:t>
      </w:r>
      <w:r w:rsidR="00A84E0F" w:rsidRPr="00490189" w:rsidDel="003B1671">
        <w:t>eparate</w:t>
      </w:r>
      <w:r w:rsidR="00DB618F" w:rsidRPr="00490189" w:rsidDel="003B1671">
        <w:t xml:space="preserve"> </w:t>
      </w:r>
      <w:r w:rsidR="00490189" w:rsidDel="003B1671">
        <w:t>products</w:t>
      </w:r>
      <w:r w:rsidRPr="00E94879" w:rsidDel="003B1671">
        <w:t>.</w:t>
      </w:r>
      <w:r w:rsidDel="003B1671">
        <w:t xml:space="preserve"> </w:t>
      </w:r>
      <w:r>
        <w:t xml:space="preserve">However, we propose </w:t>
      </w:r>
      <w:r w:rsidR="000B5059">
        <w:t xml:space="preserve">to combine </w:t>
      </w:r>
      <w:r>
        <w:t xml:space="preserve">the </w:t>
      </w:r>
      <w:r w:rsidR="004E0D99">
        <w:t xml:space="preserve">declared areas for </w:t>
      </w:r>
      <w:r w:rsidR="00DB618F" w:rsidRPr="004C5F2F">
        <w:t>Perth/Bunbury, Perth</w:t>
      </w:r>
      <w:r w:rsidR="007478DB">
        <w:t>,</w:t>
      </w:r>
      <w:r w:rsidR="00DB618F" w:rsidRPr="004C5F2F">
        <w:t xml:space="preserve"> and Bunbury </w:t>
      </w:r>
      <w:r w:rsidR="00F802C6" w:rsidRPr="0099516D">
        <w:t xml:space="preserve">into a single </w:t>
      </w:r>
      <w:r w:rsidR="00321B2C">
        <w:t>product</w:t>
      </w:r>
      <w:r w:rsidR="00321B2C" w:rsidRPr="004D713C">
        <w:t xml:space="preserve"> </w:t>
      </w:r>
      <w:r w:rsidR="00F802C6" w:rsidRPr="004D713C">
        <w:t>known as Greater Perth</w:t>
      </w:r>
      <w:r w:rsidR="00590F74">
        <w:t>.</w:t>
      </w:r>
    </w:p>
    <w:p w14:paraId="2E499DDA" w14:textId="3D14B990" w:rsidR="00F802C6" w:rsidRPr="00490189" w:rsidRDefault="0042205C" w:rsidP="00490189">
      <w:pPr>
        <w:pStyle w:val="Paragraph"/>
        <w:rPr>
          <w:b/>
          <w:bCs/>
        </w:rPr>
      </w:pPr>
      <w:r w:rsidRPr="00D671AE">
        <w:t xml:space="preserve">This </w:t>
      </w:r>
      <w:r w:rsidR="001A19F0" w:rsidRPr="004C5F2F">
        <w:t>is a consequence of</w:t>
      </w:r>
      <w:r w:rsidR="008D76E5" w:rsidRPr="004C5F2F">
        <w:t xml:space="preserve"> </w:t>
      </w:r>
      <w:r w:rsidR="00AB5474" w:rsidRPr="002E2ED6">
        <w:t xml:space="preserve">increasing </w:t>
      </w:r>
      <w:r w:rsidR="008D76E5" w:rsidRPr="002E2ED6">
        <w:t>the</w:t>
      </w:r>
      <w:r w:rsidRPr="00F6066D">
        <w:t xml:space="preserve"> </w:t>
      </w:r>
      <w:r w:rsidR="006A16FD" w:rsidRPr="00F6066D">
        <w:t xml:space="preserve">proposed </w:t>
      </w:r>
      <w:r w:rsidR="00AB5474" w:rsidRPr="00791A62">
        <w:t>100</w:t>
      </w:r>
      <w:r w:rsidR="006A16FD" w:rsidRPr="00791A62">
        <w:t> </w:t>
      </w:r>
      <w:r w:rsidR="00AB5474" w:rsidRPr="00791A62">
        <w:t xml:space="preserve">MHz </w:t>
      </w:r>
      <w:r w:rsidR="005E62F2">
        <w:t xml:space="preserve">lot size </w:t>
      </w:r>
      <w:r w:rsidR="00AB5474" w:rsidRPr="00791A62">
        <w:t xml:space="preserve">to </w:t>
      </w:r>
      <w:r w:rsidRPr="0099516D">
        <w:t xml:space="preserve">200 MHz </w:t>
      </w:r>
      <w:r w:rsidRPr="004D713C">
        <w:t xml:space="preserve">and the </w:t>
      </w:r>
      <w:r w:rsidR="00E33F9B">
        <w:t xml:space="preserve">different frequency ranges applying to the </w:t>
      </w:r>
      <w:r w:rsidR="00425DD8">
        <w:t>Perth/Bunbury area</w:t>
      </w:r>
      <w:r w:rsidR="008D2FA0">
        <w:t>,</w:t>
      </w:r>
      <w:r w:rsidR="00425DD8">
        <w:t xml:space="preserve"> and the </w:t>
      </w:r>
      <w:r w:rsidRPr="004D713C">
        <w:t>Perth</w:t>
      </w:r>
      <w:r w:rsidR="00E33F9B">
        <w:t xml:space="preserve"> and </w:t>
      </w:r>
      <w:r w:rsidRPr="004D713C">
        <w:t>Bunbury area</w:t>
      </w:r>
      <w:r w:rsidR="00E33F9B">
        <w:t>s in the re-allocation declaration.</w:t>
      </w:r>
    </w:p>
    <w:p w14:paraId="0B6070B5" w14:textId="77777777" w:rsidR="003E2C2F" w:rsidRDefault="00E33F9B" w:rsidP="00490189">
      <w:pPr>
        <w:pStyle w:val="Paragraph"/>
      </w:pPr>
      <w:r>
        <w:t xml:space="preserve">There is a small area between Perth and Bunbury that is not </w:t>
      </w:r>
      <w:r w:rsidR="008A4186">
        <w:t>declared for re-allocation in</w:t>
      </w:r>
      <w:r>
        <w:t xml:space="preserve"> the 27.0–27.5 GHz frequency range</w:t>
      </w:r>
      <w:r w:rsidR="00454E63">
        <w:t xml:space="preserve">. This means that the combined Greater Perth lot is not uniform across the entire range. </w:t>
      </w:r>
    </w:p>
    <w:p w14:paraId="6A928321" w14:textId="769348E5" w:rsidR="00E33F9B" w:rsidRDefault="00454E63" w:rsidP="00490189">
      <w:pPr>
        <w:pStyle w:val="Paragraph"/>
      </w:pPr>
      <w:r>
        <w:t>The 26 GHz band is expected to be used to increase network capacity in more densely populated areas, rather than provide a coverage layer. This small area</w:t>
      </w:r>
      <w:r w:rsidR="00E33F9B">
        <w:t xml:space="preserve"> represents </w:t>
      </w:r>
      <w:r>
        <w:t xml:space="preserve">only </w:t>
      </w:r>
      <w:r w:rsidR="00E33F9B">
        <w:t xml:space="preserve">0.2 percent of the combined Perth/Bunbury population. </w:t>
      </w:r>
      <w:r>
        <w:t xml:space="preserve">We therefore do not consider that there would be significant </w:t>
      </w:r>
      <w:r w:rsidR="00E33F9B">
        <w:t xml:space="preserve">continuity of service </w:t>
      </w:r>
      <w:r>
        <w:t xml:space="preserve">issues </w:t>
      </w:r>
      <w:r w:rsidR="00E33F9B">
        <w:t>between Perth and Bunbury</w:t>
      </w:r>
      <w:r>
        <w:t xml:space="preserve"> in the 27</w:t>
      </w:r>
      <w:r w:rsidR="00783763">
        <w:t>–</w:t>
      </w:r>
      <w:r>
        <w:t xml:space="preserve">27.5 GHz range. </w:t>
      </w:r>
    </w:p>
    <w:p w14:paraId="11BD7483" w14:textId="1188558D" w:rsidR="00E33F9B" w:rsidRDefault="00454E63" w:rsidP="00490189">
      <w:pPr>
        <w:pStyle w:val="Paragraph"/>
      </w:pPr>
      <w:r>
        <w:t xml:space="preserve">If an auction participant does </w:t>
      </w:r>
      <w:r w:rsidR="00E33F9B">
        <w:t xml:space="preserve">place a premium on </w:t>
      </w:r>
      <w:r w:rsidR="0078144D">
        <w:t xml:space="preserve">a </w:t>
      </w:r>
      <w:r w:rsidR="00E33F9B">
        <w:t>spectrum licence that include</w:t>
      </w:r>
      <w:r w:rsidR="0078144D">
        <w:t>s</w:t>
      </w:r>
      <w:r w:rsidR="00E33F9B">
        <w:t xml:space="preserve"> th</w:t>
      </w:r>
      <w:r>
        <w:t xml:space="preserve">is small </w:t>
      </w:r>
      <w:r w:rsidR="00E33F9B">
        <w:t>area</w:t>
      </w:r>
      <w:r>
        <w:t>, they</w:t>
      </w:r>
      <w:r w:rsidR="00E33F9B">
        <w:t xml:space="preserve"> can use the assignment stage to </w:t>
      </w:r>
      <w:r>
        <w:t xml:space="preserve">seek to </w:t>
      </w:r>
      <w:r w:rsidR="00E33F9B">
        <w:t>obtain a position in the band between 25.1–27.0 GHz.</w:t>
      </w:r>
    </w:p>
    <w:p w14:paraId="11A952BB" w14:textId="71E464BF" w:rsidR="003E2C2F" w:rsidRDefault="00E33F9B" w:rsidP="00490189">
      <w:pPr>
        <w:pStyle w:val="Paragraph"/>
      </w:pPr>
      <w:r>
        <w:t>Aggregating the Perth/Bunbury, Perth</w:t>
      </w:r>
      <w:r w:rsidR="003103E1">
        <w:t>,</w:t>
      </w:r>
      <w:r>
        <w:t xml:space="preserve"> and Bunbury areas into a single </w:t>
      </w:r>
      <w:r w:rsidR="0078144D">
        <w:t xml:space="preserve">product </w:t>
      </w:r>
      <w:r>
        <w:t>known as Greater Perth ensures all products in the auction will have the same lot size (200 MHz</w:t>
      </w:r>
      <w:r w:rsidR="00964B2F">
        <w:t xml:space="preserve"> for each lot</w:t>
      </w:r>
      <w:r>
        <w:t xml:space="preserve">), reducing auction complexity. </w:t>
      </w:r>
    </w:p>
    <w:p w14:paraId="2C2B922B" w14:textId="6CC7A1EC" w:rsidR="00E33F9B" w:rsidRDefault="00E33F9B" w:rsidP="00490189">
      <w:pPr>
        <w:pStyle w:val="Paragraph"/>
      </w:pPr>
      <w:r w:rsidRPr="00B74D9E">
        <w:t xml:space="preserve">Figures </w:t>
      </w:r>
      <w:r w:rsidR="00431F9F">
        <w:t>2 and 3</w:t>
      </w:r>
      <w:r w:rsidRPr="00B74D9E">
        <w:t xml:space="preserve"> provide</w:t>
      </w:r>
      <w:r>
        <w:t xml:space="preserve"> maps of the declared Perth/Bunbury, Perth</w:t>
      </w:r>
      <w:r w:rsidR="00C82D5C">
        <w:t>,</w:t>
      </w:r>
      <w:r>
        <w:t xml:space="preserve"> and Bunbury areas. </w:t>
      </w:r>
      <w:r w:rsidRPr="00B74D9E">
        <w:t xml:space="preserve">Figure </w:t>
      </w:r>
      <w:r w:rsidR="00431F9F">
        <w:t>4</w:t>
      </w:r>
      <w:r w:rsidRPr="00B74D9E">
        <w:t xml:space="preserve"> is a map of the aggregated area—Greater Perth—for allocation. The relationship of the areas with the 200 MHz lot size for Greater Perth is shown in Figure</w:t>
      </w:r>
      <w:r w:rsidR="009A0609">
        <w:t> </w:t>
      </w:r>
      <w:r w:rsidR="00431F9F">
        <w:t>5</w:t>
      </w:r>
      <w:r w:rsidRPr="00B74D9E">
        <w:t>.</w:t>
      </w:r>
    </w:p>
    <w:tbl>
      <w:tblPr>
        <w:tblStyle w:val="TableGrid"/>
        <w:tblW w:w="86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75"/>
        <w:gridCol w:w="5150"/>
      </w:tblGrid>
      <w:tr w:rsidR="00E33F9B" w14:paraId="0F7BD4DD" w14:textId="77777777" w:rsidTr="000B02EF">
        <w:tc>
          <w:tcPr>
            <w:tcW w:w="4390" w:type="dxa"/>
          </w:tcPr>
          <w:p w14:paraId="1E934787" w14:textId="419BC56F" w:rsidR="00E33F9B" w:rsidRPr="00B74D9E" w:rsidRDefault="00E33F9B" w:rsidP="0082247D">
            <w:pPr>
              <w:pStyle w:val="ACMATableHeader"/>
              <w:tabs>
                <w:tab w:val="num" w:pos="0"/>
              </w:tabs>
            </w:pPr>
            <w:r w:rsidRPr="00B74D9E">
              <w:t xml:space="preserve">Figure </w:t>
            </w:r>
            <w:r w:rsidR="00431F9F">
              <w:t>2</w:t>
            </w:r>
            <w:r w:rsidRPr="00B74D9E">
              <w:t>: Perth/Bunbury geographic area</w:t>
            </w:r>
          </w:p>
        </w:tc>
        <w:tc>
          <w:tcPr>
            <w:tcW w:w="4252" w:type="dxa"/>
          </w:tcPr>
          <w:p w14:paraId="132BB999" w14:textId="086EB4BF" w:rsidR="00E33F9B" w:rsidRPr="00B74D9E" w:rsidRDefault="00E33F9B" w:rsidP="0082247D">
            <w:pPr>
              <w:pStyle w:val="ACMATableHeader"/>
              <w:tabs>
                <w:tab w:val="num" w:pos="0"/>
              </w:tabs>
            </w:pPr>
            <w:r w:rsidRPr="00B74D9E">
              <w:t xml:space="preserve">Figure </w:t>
            </w:r>
            <w:r w:rsidR="00431F9F">
              <w:t>3</w:t>
            </w:r>
            <w:r w:rsidRPr="00B74D9E">
              <w:t>: Perth and Bunbury geographic areas</w:t>
            </w:r>
          </w:p>
        </w:tc>
      </w:tr>
      <w:tr w:rsidR="00E33F9B" w14:paraId="506C1EA6" w14:textId="77777777" w:rsidTr="000B02EF">
        <w:tc>
          <w:tcPr>
            <w:tcW w:w="4390" w:type="dxa"/>
          </w:tcPr>
          <w:p w14:paraId="1CA1D131" w14:textId="61AD439A" w:rsidR="00E33F9B" w:rsidRDefault="00E33F9B" w:rsidP="0082247D">
            <w:r w:rsidRPr="009E5CF2">
              <w:rPr>
                <w:noProof/>
              </w:rPr>
              <w:drawing>
                <wp:inline distT="0" distB="0" distL="0" distR="0" wp14:anchorId="249D1418" wp14:editId="3918B2D0">
                  <wp:extent cx="2442210" cy="2139315"/>
                  <wp:effectExtent l="0" t="0" r="0" b="0"/>
                  <wp:docPr id="8" name="Picture 8" descr="Figure X is a map of the declared Perth/Bunbury are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2449915" cy="2146064"/>
                          </a:xfrm>
                          <a:prstGeom prst="rect">
                            <a:avLst/>
                          </a:prstGeom>
                        </pic:spPr>
                      </pic:pic>
                    </a:graphicData>
                  </a:graphic>
                </wp:inline>
              </w:drawing>
            </w:r>
            <w:r>
              <w:rPr>
                <w:rFonts w:cs="Arial"/>
              </w:rPr>
              <w:br/>
            </w:r>
            <w:r w:rsidRPr="007173DE">
              <w:rPr>
                <w:rFonts w:cs="Arial"/>
                <w:i/>
                <w:sz w:val="16"/>
              </w:rPr>
              <w:t>Key:</w:t>
            </w:r>
            <w:r w:rsidRPr="007173DE">
              <w:rPr>
                <w:rFonts w:cs="Arial"/>
                <w:i/>
                <w:sz w:val="16"/>
              </w:rPr>
              <w:br/>
              <w:t>Perth/Bunbury 25.1</w:t>
            </w:r>
            <w:r w:rsidR="005F2762">
              <w:rPr>
                <w:rFonts w:cs="Arial"/>
                <w:i/>
                <w:sz w:val="16"/>
              </w:rPr>
              <w:t>–</w:t>
            </w:r>
            <w:r w:rsidRPr="007173DE">
              <w:rPr>
                <w:rFonts w:cs="Arial"/>
                <w:i/>
                <w:sz w:val="16"/>
              </w:rPr>
              <w:t xml:space="preserve">27.0 GHz </w:t>
            </w:r>
          </w:p>
        </w:tc>
        <w:tc>
          <w:tcPr>
            <w:tcW w:w="4252" w:type="dxa"/>
          </w:tcPr>
          <w:p w14:paraId="06E31368" w14:textId="67258AD3" w:rsidR="00E33F9B" w:rsidRDefault="00E33F9B" w:rsidP="0082247D">
            <w:r>
              <w:rPr>
                <w:rFonts w:cs="Arial"/>
                <w:noProof/>
              </w:rPr>
              <w:drawing>
                <wp:inline distT="0" distB="0" distL="0" distR="0" wp14:anchorId="0390A417" wp14:editId="5EF3C79E">
                  <wp:extent cx="2435730" cy="2139315"/>
                  <wp:effectExtent l="0" t="0" r="635" b="4445"/>
                  <wp:docPr id="9" name="Picture 9" descr="Figure X is a map of the declared Perth and Bunbury are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35730" cy="2139315"/>
                          </a:xfrm>
                          <a:prstGeom prst="rect">
                            <a:avLst/>
                          </a:prstGeom>
                          <a:noFill/>
                        </pic:spPr>
                      </pic:pic>
                    </a:graphicData>
                  </a:graphic>
                </wp:inline>
              </w:drawing>
            </w:r>
            <w:r>
              <w:rPr>
                <w:rFonts w:cs="Arial"/>
              </w:rPr>
              <w:br/>
            </w:r>
            <w:r w:rsidRPr="007173DE">
              <w:rPr>
                <w:rFonts w:cs="Arial"/>
                <w:i/>
                <w:sz w:val="16"/>
              </w:rPr>
              <w:t>Key:</w:t>
            </w:r>
            <w:r w:rsidRPr="007173DE">
              <w:rPr>
                <w:rFonts w:cs="Arial"/>
                <w:i/>
                <w:sz w:val="16"/>
              </w:rPr>
              <w:br/>
              <w:t>Perth 27.0</w:t>
            </w:r>
            <w:r w:rsidR="005F2762">
              <w:rPr>
                <w:rFonts w:cs="Arial"/>
                <w:i/>
                <w:sz w:val="16"/>
              </w:rPr>
              <w:t>–</w:t>
            </w:r>
            <w:r w:rsidRPr="007173DE">
              <w:rPr>
                <w:rFonts w:cs="Arial"/>
                <w:i/>
                <w:sz w:val="16"/>
              </w:rPr>
              <w:t>27.5 GHz</w:t>
            </w:r>
            <w:r w:rsidRPr="007173DE">
              <w:rPr>
                <w:rFonts w:cs="Arial"/>
                <w:i/>
                <w:sz w:val="16"/>
              </w:rPr>
              <w:br/>
              <w:t>Bunbury 27.0</w:t>
            </w:r>
            <w:r w:rsidR="005F2762">
              <w:rPr>
                <w:rFonts w:cs="Arial"/>
                <w:i/>
                <w:sz w:val="16"/>
              </w:rPr>
              <w:t>–</w:t>
            </w:r>
            <w:r w:rsidRPr="007173DE">
              <w:rPr>
                <w:rFonts w:cs="Arial"/>
                <w:i/>
                <w:sz w:val="16"/>
              </w:rPr>
              <w:t>27.5 GHz</w:t>
            </w:r>
          </w:p>
        </w:tc>
      </w:tr>
      <w:tr w:rsidR="00E33F9B" w14:paraId="45561D3D" w14:textId="77777777" w:rsidTr="000B02EF">
        <w:tc>
          <w:tcPr>
            <w:tcW w:w="4390" w:type="dxa"/>
          </w:tcPr>
          <w:p w14:paraId="1479C68F" w14:textId="77777777" w:rsidR="003E2C2F" w:rsidRDefault="003E2C2F" w:rsidP="0082247D">
            <w:pPr>
              <w:pStyle w:val="ACMATableHeader"/>
              <w:tabs>
                <w:tab w:val="num" w:pos="0"/>
              </w:tabs>
            </w:pPr>
          </w:p>
          <w:p w14:paraId="3B592419" w14:textId="77777777" w:rsidR="003E2C2F" w:rsidRDefault="003E2C2F" w:rsidP="0082247D">
            <w:pPr>
              <w:pStyle w:val="ACMATableHeader"/>
              <w:tabs>
                <w:tab w:val="num" w:pos="0"/>
              </w:tabs>
            </w:pPr>
          </w:p>
          <w:p w14:paraId="2C38E152" w14:textId="5C0365C4" w:rsidR="003E2C2F" w:rsidRDefault="003E2C2F" w:rsidP="0082247D">
            <w:pPr>
              <w:pStyle w:val="ACMATableHeader"/>
              <w:tabs>
                <w:tab w:val="num" w:pos="0"/>
              </w:tabs>
            </w:pPr>
          </w:p>
          <w:p w14:paraId="0963F18A" w14:textId="77777777" w:rsidR="00A76E4B" w:rsidRDefault="00A76E4B" w:rsidP="0082247D">
            <w:pPr>
              <w:pStyle w:val="ACMATableHeader"/>
              <w:tabs>
                <w:tab w:val="num" w:pos="0"/>
              </w:tabs>
            </w:pPr>
          </w:p>
          <w:p w14:paraId="5EE0A40A" w14:textId="5B32406A" w:rsidR="00E33F9B" w:rsidRPr="00B74D9E" w:rsidRDefault="00E33F9B" w:rsidP="0082247D">
            <w:pPr>
              <w:pStyle w:val="ACMATableHeader"/>
              <w:tabs>
                <w:tab w:val="num" w:pos="0"/>
              </w:tabs>
            </w:pPr>
            <w:r w:rsidRPr="00B74D9E">
              <w:t xml:space="preserve">Figure </w:t>
            </w:r>
            <w:r w:rsidR="00431F9F">
              <w:t>4</w:t>
            </w:r>
            <w:r w:rsidRPr="00B74D9E">
              <w:t>: Greater Perth geographic area</w:t>
            </w:r>
          </w:p>
        </w:tc>
        <w:tc>
          <w:tcPr>
            <w:tcW w:w="4252" w:type="dxa"/>
          </w:tcPr>
          <w:p w14:paraId="41FF6C07" w14:textId="77777777" w:rsidR="003E2C2F" w:rsidRDefault="003E2C2F" w:rsidP="0082247D">
            <w:pPr>
              <w:spacing w:after="80"/>
              <w:rPr>
                <w:b/>
                <w:bCs/>
              </w:rPr>
            </w:pPr>
          </w:p>
          <w:p w14:paraId="748BBE30" w14:textId="77777777" w:rsidR="003E2C2F" w:rsidRDefault="003E2C2F" w:rsidP="0082247D">
            <w:pPr>
              <w:spacing w:after="80"/>
              <w:rPr>
                <w:b/>
                <w:bCs/>
              </w:rPr>
            </w:pPr>
          </w:p>
          <w:p w14:paraId="5FB3E0D7" w14:textId="77777777" w:rsidR="003E2C2F" w:rsidRDefault="003E2C2F" w:rsidP="0082247D">
            <w:pPr>
              <w:spacing w:after="80"/>
              <w:rPr>
                <w:b/>
                <w:bCs/>
              </w:rPr>
            </w:pPr>
          </w:p>
          <w:p w14:paraId="3F239AE2" w14:textId="77777777" w:rsidR="003E2C2F" w:rsidRDefault="003E2C2F" w:rsidP="0082247D">
            <w:pPr>
              <w:spacing w:after="80"/>
              <w:rPr>
                <w:b/>
                <w:bCs/>
              </w:rPr>
            </w:pPr>
          </w:p>
          <w:p w14:paraId="6B01F663" w14:textId="3C42F296" w:rsidR="00E33F9B" w:rsidRPr="00B74D9E" w:rsidRDefault="00E33F9B" w:rsidP="0082247D">
            <w:pPr>
              <w:spacing w:after="80"/>
              <w:rPr>
                <w:b/>
                <w:bCs/>
              </w:rPr>
            </w:pPr>
            <w:r w:rsidRPr="00B74D9E">
              <w:rPr>
                <w:b/>
                <w:bCs/>
              </w:rPr>
              <w:t xml:space="preserve">Figure </w:t>
            </w:r>
            <w:r w:rsidR="00431F9F">
              <w:rPr>
                <w:b/>
                <w:bCs/>
              </w:rPr>
              <w:t>5</w:t>
            </w:r>
            <w:r w:rsidRPr="00B74D9E">
              <w:rPr>
                <w:b/>
                <w:bCs/>
              </w:rPr>
              <w:t>: Diagram of Greater Perth in relation to frequency</w:t>
            </w:r>
          </w:p>
        </w:tc>
      </w:tr>
      <w:tr w:rsidR="00E33F9B" w14:paraId="0A1D644A" w14:textId="77777777" w:rsidTr="000B02EF">
        <w:tc>
          <w:tcPr>
            <w:tcW w:w="4390" w:type="dxa"/>
          </w:tcPr>
          <w:p w14:paraId="13AC8EF2" w14:textId="339E10C2" w:rsidR="00E33F9B" w:rsidRDefault="00E33F9B" w:rsidP="0082247D">
            <w:r w:rsidRPr="009E5CF2">
              <w:rPr>
                <w:noProof/>
              </w:rPr>
              <w:drawing>
                <wp:inline distT="0" distB="0" distL="0" distR="0" wp14:anchorId="493DDA41" wp14:editId="64EAD1FE">
                  <wp:extent cx="2641055" cy="2301240"/>
                  <wp:effectExtent l="0" t="0" r="0" b="0"/>
                  <wp:docPr id="10" name="Picture 10" descr="Figure X is a map of the Greater Perth area which combines the declared areas and respective frequency ranges:&#10;- Perth/Bunbury (Perth, Bunbury, blue infill area) 25.1-27.0 GHz&#10;- Perth 27.0-27.5 GHz&#10;- Bunbury 27.0-27.5 GH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2641055" cy="2301240"/>
                          </a:xfrm>
                          <a:prstGeom prst="rect">
                            <a:avLst/>
                          </a:prstGeom>
                        </pic:spPr>
                      </pic:pic>
                    </a:graphicData>
                  </a:graphic>
                </wp:inline>
              </w:drawing>
            </w:r>
            <w:r>
              <w:br/>
            </w:r>
            <w:r>
              <w:rPr>
                <w:rFonts w:cs="Arial"/>
                <w:i/>
                <w:sz w:val="16"/>
              </w:rPr>
              <w:t xml:space="preserve">Key: </w:t>
            </w:r>
            <w:r>
              <w:rPr>
                <w:rFonts w:cs="Arial"/>
                <w:i/>
                <w:sz w:val="16"/>
              </w:rPr>
              <w:br/>
            </w:r>
            <w:r w:rsidRPr="007173DE">
              <w:rPr>
                <w:rFonts w:cs="Arial"/>
                <w:i/>
                <w:sz w:val="16"/>
              </w:rPr>
              <w:t>The Greater Perth area consists of:</w:t>
            </w:r>
            <w:r w:rsidRPr="007173DE">
              <w:rPr>
                <w:rFonts w:cs="Arial"/>
                <w:i/>
                <w:sz w:val="16"/>
              </w:rPr>
              <w:br/>
            </w:r>
            <w:r w:rsidR="005F2762">
              <w:rPr>
                <w:rFonts w:cs="Arial"/>
                <w:i/>
                <w:sz w:val="16"/>
              </w:rPr>
              <w:t xml:space="preserve">&gt; </w:t>
            </w:r>
            <w:r w:rsidRPr="007173DE">
              <w:rPr>
                <w:rFonts w:cs="Arial"/>
                <w:i/>
                <w:sz w:val="16"/>
              </w:rPr>
              <w:t xml:space="preserve">Perth/Bunbury (Perth, Bunbury, blue infill area) </w:t>
            </w:r>
            <w:r w:rsidR="005F2762">
              <w:rPr>
                <w:rFonts w:cs="Arial"/>
                <w:i/>
                <w:sz w:val="16"/>
              </w:rPr>
              <w:br/>
              <w:t xml:space="preserve">  </w:t>
            </w:r>
            <w:r w:rsidRPr="007173DE">
              <w:rPr>
                <w:rFonts w:cs="Arial"/>
                <w:i/>
                <w:sz w:val="16"/>
              </w:rPr>
              <w:t>25.1</w:t>
            </w:r>
            <w:r w:rsidR="00DF244A">
              <w:rPr>
                <w:rFonts w:cs="Arial"/>
                <w:i/>
                <w:sz w:val="16"/>
              </w:rPr>
              <w:t>–</w:t>
            </w:r>
            <w:r w:rsidRPr="007173DE">
              <w:rPr>
                <w:rFonts w:cs="Arial"/>
                <w:i/>
                <w:sz w:val="16"/>
              </w:rPr>
              <w:t>27.0 GHz</w:t>
            </w:r>
            <w:r w:rsidRPr="007173DE">
              <w:rPr>
                <w:rFonts w:cs="Arial"/>
                <w:i/>
                <w:sz w:val="16"/>
              </w:rPr>
              <w:br/>
            </w:r>
            <w:r w:rsidR="005F2762">
              <w:rPr>
                <w:rFonts w:cs="Arial"/>
                <w:i/>
                <w:sz w:val="16"/>
              </w:rPr>
              <w:t>&gt;</w:t>
            </w:r>
            <w:r w:rsidR="005F2762" w:rsidRPr="007173DE">
              <w:rPr>
                <w:rFonts w:cs="Arial"/>
                <w:i/>
                <w:sz w:val="16"/>
              </w:rPr>
              <w:t xml:space="preserve"> </w:t>
            </w:r>
            <w:r w:rsidRPr="007173DE">
              <w:rPr>
                <w:rFonts w:cs="Arial"/>
                <w:i/>
                <w:sz w:val="16"/>
              </w:rPr>
              <w:t>Perth 27.0</w:t>
            </w:r>
            <w:r w:rsidR="00DF244A">
              <w:rPr>
                <w:rFonts w:cs="Arial"/>
                <w:i/>
                <w:sz w:val="16"/>
              </w:rPr>
              <w:t>–</w:t>
            </w:r>
            <w:r w:rsidRPr="007173DE">
              <w:rPr>
                <w:rFonts w:cs="Arial"/>
                <w:i/>
                <w:sz w:val="16"/>
              </w:rPr>
              <w:t>27.5 GHz</w:t>
            </w:r>
            <w:r w:rsidRPr="007173DE">
              <w:rPr>
                <w:rFonts w:cs="Arial"/>
                <w:i/>
                <w:sz w:val="16"/>
              </w:rPr>
              <w:br/>
            </w:r>
            <w:r w:rsidR="005F2762">
              <w:rPr>
                <w:rFonts w:cs="Arial"/>
                <w:i/>
                <w:sz w:val="16"/>
              </w:rPr>
              <w:t>&gt;</w:t>
            </w:r>
            <w:r w:rsidR="005F2762" w:rsidRPr="007173DE">
              <w:rPr>
                <w:rFonts w:cs="Arial"/>
                <w:i/>
                <w:sz w:val="16"/>
              </w:rPr>
              <w:t xml:space="preserve"> </w:t>
            </w:r>
            <w:r w:rsidRPr="007173DE">
              <w:rPr>
                <w:rFonts w:cs="Arial"/>
                <w:i/>
                <w:sz w:val="16"/>
              </w:rPr>
              <w:t>Bunbury 27.0</w:t>
            </w:r>
            <w:r w:rsidR="00DF244A">
              <w:rPr>
                <w:rFonts w:cs="Arial"/>
                <w:i/>
                <w:sz w:val="16"/>
              </w:rPr>
              <w:t>–</w:t>
            </w:r>
            <w:r w:rsidRPr="007173DE">
              <w:rPr>
                <w:rFonts w:cs="Arial"/>
                <w:i/>
                <w:sz w:val="16"/>
              </w:rPr>
              <w:t>27.5 GHz</w:t>
            </w:r>
          </w:p>
        </w:tc>
        <w:tc>
          <w:tcPr>
            <w:tcW w:w="4252" w:type="dxa"/>
          </w:tcPr>
          <w:p w14:paraId="5DF48EF6" w14:textId="36611011" w:rsidR="00E33F9B" w:rsidRPr="004635AA" w:rsidRDefault="00E33F9B" w:rsidP="004635AA">
            <w:pPr>
              <w:spacing w:after="80"/>
              <w:rPr>
                <w:rFonts w:cs="Arial"/>
                <w:i/>
                <w:sz w:val="16"/>
              </w:rPr>
            </w:pPr>
            <w:r w:rsidRPr="00BE43DF">
              <w:rPr>
                <w:rFonts w:cs="Arial"/>
                <w:i/>
                <w:noProof/>
                <w:sz w:val="16"/>
              </w:rPr>
              <w:drawing>
                <wp:inline distT="0" distB="0" distL="0" distR="0" wp14:anchorId="1F86EA12" wp14:editId="15CE847E">
                  <wp:extent cx="3133090" cy="2301240"/>
                  <wp:effectExtent l="0" t="0" r="0" b="3810"/>
                  <wp:docPr id="12" name="Picture 12" descr="Figure X is a diagram showing how the 200 MHz lot size is distributed across the 26 GHz band frequency range and how this relates to the declared areas: Perth/Bunbury (25.1-27.0 GHz), Perth and Perth Bunbury (27.0-27.5 GHz).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3134988" cy="2302634"/>
                          </a:xfrm>
                          <a:prstGeom prst="rect">
                            <a:avLst/>
                          </a:prstGeom>
                        </pic:spPr>
                      </pic:pic>
                    </a:graphicData>
                  </a:graphic>
                </wp:inline>
              </w:drawing>
            </w:r>
            <w:r w:rsidR="00537321" w:rsidRPr="00BE43DF">
              <w:rPr>
                <w:rFonts w:cs="Arial"/>
                <w:i/>
                <w:sz w:val="16"/>
              </w:rPr>
              <w:br/>
              <w:t xml:space="preserve">Note: Lot 10 </w:t>
            </w:r>
            <w:r w:rsidR="00537321">
              <w:rPr>
                <w:rFonts w:cs="Arial"/>
                <w:i/>
                <w:sz w:val="16"/>
              </w:rPr>
              <w:t xml:space="preserve">for Greater Perth </w:t>
            </w:r>
            <w:r w:rsidR="00537321" w:rsidRPr="004635AA">
              <w:rPr>
                <w:rFonts w:cs="Arial"/>
                <w:i/>
                <w:sz w:val="16"/>
              </w:rPr>
              <w:t xml:space="preserve">will be assigned a frequency range </w:t>
            </w:r>
            <w:r w:rsidR="00537321">
              <w:rPr>
                <w:rFonts w:cs="Arial"/>
                <w:i/>
                <w:sz w:val="16"/>
              </w:rPr>
              <w:t>in both the part of the spectrum from 25.1</w:t>
            </w:r>
            <w:r w:rsidR="00DF244A">
              <w:rPr>
                <w:rFonts w:cs="Arial"/>
                <w:i/>
                <w:sz w:val="16"/>
              </w:rPr>
              <w:t>–</w:t>
            </w:r>
            <w:r w:rsidR="00537321">
              <w:rPr>
                <w:rFonts w:cs="Arial"/>
                <w:i/>
                <w:sz w:val="16"/>
              </w:rPr>
              <w:t>27 GHz and the part of the spectrum from 27</w:t>
            </w:r>
            <w:r w:rsidR="005F2762">
              <w:rPr>
                <w:rFonts w:cs="Arial"/>
                <w:i/>
                <w:sz w:val="16"/>
              </w:rPr>
              <w:t>–</w:t>
            </w:r>
            <w:r w:rsidR="00537321">
              <w:rPr>
                <w:rFonts w:cs="Arial"/>
                <w:i/>
                <w:sz w:val="16"/>
              </w:rPr>
              <w:t xml:space="preserve">27.5 GHz </w:t>
            </w:r>
          </w:p>
        </w:tc>
      </w:tr>
    </w:tbl>
    <w:p w14:paraId="4B74795D" w14:textId="4D721C5F" w:rsidR="00454E63" w:rsidRPr="00A15A9F" w:rsidRDefault="00282709" w:rsidP="008A497A">
      <w:pPr>
        <w:spacing w:after="80"/>
      </w:pPr>
      <w:r w:rsidRPr="00A15A9F">
        <w:t xml:space="preserve">The creation of a Greater Perth </w:t>
      </w:r>
      <w:r w:rsidR="0082247D" w:rsidRPr="00A15A9F">
        <w:t xml:space="preserve">product </w:t>
      </w:r>
      <w:r w:rsidRPr="00A15A9F">
        <w:t xml:space="preserve">would reduce the number of areas offered as separate products </w:t>
      </w:r>
      <w:r w:rsidR="00762272">
        <w:t xml:space="preserve">from 29 </w:t>
      </w:r>
      <w:r w:rsidRPr="00A15A9F">
        <w:t xml:space="preserve">to 27 (see Figure </w:t>
      </w:r>
      <w:r w:rsidR="00431F9F">
        <w:t>6</w:t>
      </w:r>
      <w:r w:rsidRPr="00A15A9F">
        <w:t xml:space="preserve"> for an overview map and Table </w:t>
      </w:r>
      <w:r w:rsidR="004229C0">
        <w:t>5</w:t>
      </w:r>
      <w:r w:rsidRPr="00A15A9F">
        <w:t xml:space="preserve"> listing the proposed lot configuration).</w:t>
      </w:r>
    </w:p>
    <w:p w14:paraId="39E776C8" w14:textId="3CEAC6C2" w:rsidR="002F4AA4" w:rsidRPr="00A15A9F" w:rsidRDefault="002F4AA4" w:rsidP="002F4AA4"/>
    <w:p w14:paraId="7FC49B5D" w14:textId="535ED581" w:rsidR="002F4AA4" w:rsidRPr="00A15A9F" w:rsidRDefault="002F4AA4" w:rsidP="002F4AA4">
      <w:pPr>
        <w:pBdr>
          <w:top w:val="single" w:sz="4" w:space="1" w:color="auto"/>
          <w:left w:val="single" w:sz="4" w:space="4" w:color="auto"/>
          <w:bottom w:val="single" w:sz="4" w:space="1" w:color="auto"/>
          <w:right w:val="single" w:sz="4" w:space="4" w:color="auto"/>
        </w:pBdr>
        <w:shd w:val="clear" w:color="auto" w:fill="F2F2F2" w:themeFill="background1" w:themeFillShade="F2"/>
        <w:spacing w:after="120"/>
        <w:rPr>
          <w:b/>
        </w:rPr>
      </w:pPr>
      <w:r w:rsidRPr="00A15A9F">
        <w:rPr>
          <w:b/>
        </w:rPr>
        <w:t>Lot configuration</w:t>
      </w:r>
      <w:r w:rsidR="005F2762">
        <w:rPr>
          <w:b/>
        </w:rPr>
        <w:t>—</w:t>
      </w:r>
      <w:r w:rsidRPr="00A15A9F">
        <w:rPr>
          <w:b/>
        </w:rPr>
        <w:t>geography</w:t>
      </w:r>
    </w:p>
    <w:p w14:paraId="34892E48" w14:textId="59373B99" w:rsidR="002F4AA4" w:rsidRPr="00A15A9F" w:rsidRDefault="002F4AA4" w:rsidP="002F4AA4">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pPr>
      <w:r w:rsidRPr="00A15A9F">
        <w:t xml:space="preserve">We seek stakeholder views on the </w:t>
      </w:r>
      <w:r w:rsidR="007310E6" w:rsidRPr="00A15A9F">
        <w:t>proposed Greater Perth product configuration and offering the remaining areas as separate products</w:t>
      </w:r>
      <w:r w:rsidRPr="00A15A9F">
        <w:t>.</w:t>
      </w:r>
    </w:p>
    <w:p w14:paraId="102D6E27" w14:textId="77777777" w:rsidR="002F4AA4" w:rsidRPr="00A15A9F" w:rsidRDefault="002F4AA4" w:rsidP="008A497A">
      <w:pPr>
        <w:spacing w:after="80"/>
      </w:pPr>
    </w:p>
    <w:p w14:paraId="332D9FAD" w14:textId="6F08134B" w:rsidR="00B46388" w:rsidRDefault="00B46388" w:rsidP="00B46388">
      <w:pPr>
        <w:pStyle w:val="ACMATableHeader"/>
        <w:keepNext/>
        <w:tabs>
          <w:tab w:val="num" w:pos="0"/>
        </w:tabs>
      </w:pPr>
      <w:r w:rsidRPr="00A15A9F">
        <w:t xml:space="preserve">Figure </w:t>
      </w:r>
      <w:r w:rsidR="00431F9F">
        <w:t>6</w:t>
      </w:r>
      <w:r w:rsidRPr="00A15A9F">
        <w:t>: Overview map of proposed geographic</w:t>
      </w:r>
      <w:r>
        <w:t xml:space="preserve"> areas to be offered as separate products </w:t>
      </w:r>
    </w:p>
    <w:p w14:paraId="14CA461D" w14:textId="41A1BDB0" w:rsidR="00B46388" w:rsidRDefault="00B46388" w:rsidP="00A7054B">
      <w:pPr>
        <w:keepNext/>
        <w:spacing w:after="80"/>
        <w:rPr>
          <w:rFonts w:cs="Arial"/>
        </w:rPr>
      </w:pPr>
      <w:r w:rsidRPr="00B46388">
        <w:rPr>
          <w:noProof/>
        </w:rPr>
        <w:drawing>
          <wp:inline distT="0" distB="0" distL="0" distR="0" wp14:anchorId="5F66EF8D" wp14:editId="0F9A49B1">
            <wp:extent cx="5429250" cy="4884980"/>
            <wp:effectExtent l="0" t="0" r="0" b="635"/>
            <wp:docPr id="2" name="Picture 2" descr="Figure X is a map of Australia showing the relative geographic coverage and location of the declared are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5429250" cy="4884980"/>
                    </a:xfrm>
                    <a:prstGeom prst="rect">
                      <a:avLst/>
                    </a:prstGeom>
                  </pic:spPr>
                </pic:pic>
              </a:graphicData>
            </a:graphic>
          </wp:inline>
        </w:drawing>
      </w:r>
    </w:p>
    <w:p w14:paraId="2BFCE6D4" w14:textId="77777777" w:rsidR="002D670C" w:rsidRPr="00D670E3" w:rsidRDefault="002D670C" w:rsidP="00A7054B">
      <w:pPr>
        <w:keepNext/>
        <w:spacing w:after="80"/>
        <w:rPr>
          <w:rFonts w:cs="Arial"/>
        </w:rPr>
      </w:pPr>
    </w:p>
    <w:p w14:paraId="0E671D3A" w14:textId="2DB74BB8" w:rsidR="00783224" w:rsidRPr="00F86359" w:rsidRDefault="00783224" w:rsidP="002D670C">
      <w:pPr>
        <w:pStyle w:val="ACMATableHeader"/>
        <w:keepNext/>
        <w:tabs>
          <w:tab w:val="num" w:pos="0"/>
        </w:tabs>
        <w:rPr>
          <w:color w:val="000000" w:themeColor="text1"/>
        </w:rPr>
      </w:pPr>
      <w:r w:rsidRPr="00A15A9F">
        <w:t xml:space="preserve">Table </w:t>
      </w:r>
      <w:r w:rsidR="004229C0">
        <w:t>5</w:t>
      </w:r>
      <w:r w:rsidRPr="00A15A9F">
        <w:t>: Proposed</w:t>
      </w:r>
      <w:r w:rsidRPr="002D670C">
        <w:t xml:space="preserve"> geographic lot configuration</w:t>
      </w:r>
    </w:p>
    <w:tbl>
      <w:tblPr>
        <w:tblStyle w:val="TableGrid"/>
        <w:tblW w:w="8647" w:type="dxa"/>
        <w:tblInd w:w="-5" w:type="dxa"/>
        <w:tblLayout w:type="fixed"/>
        <w:tblLook w:val="04A0" w:firstRow="1" w:lastRow="0" w:firstColumn="1" w:lastColumn="0" w:noHBand="0" w:noVBand="1"/>
      </w:tblPr>
      <w:tblGrid>
        <w:gridCol w:w="5104"/>
        <w:gridCol w:w="1700"/>
        <w:gridCol w:w="1843"/>
      </w:tblGrid>
      <w:tr w:rsidR="00783224" w:rsidRPr="009B3DF8" w14:paraId="29117C13" w14:textId="77777777" w:rsidTr="008E245B">
        <w:trPr>
          <w:cantSplit/>
          <w:trHeight w:val="284"/>
          <w:tblHeader/>
        </w:trPr>
        <w:tc>
          <w:tcPr>
            <w:tcW w:w="5104" w:type="dxa"/>
            <w:tcBorders>
              <w:top w:val="single" w:sz="4" w:space="0" w:color="auto"/>
              <w:left w:val="single" w:sz="4" w:space="0" w:color="auto"/>
              <w:bottom w:val="single" w:sz="4" w:space="0" w:color="auto"/>
              <w:right w:val="single" w:sz="4" w:space="0" w:color="auto"/>
            </w:tcBorders>
            <w:shd w:val="clear" w:color="auto" w:fill="404040" w:themeFill="text1" w:themeFillTint="BF"/>
          </w:tcPr>
          <w:p w14:paraId="24D8E66E" w14:textId="09BDB5DA" w:rsidR="00783224" w:rsidRPr="00DC5770" w:rsidRDefault="00CB4EB9" w:rsidP="008E245B">
            <w:pPr>
              <w:pStyle w:val="Tableheaderrow"/>
              <w:rPr>
                <w:color w:val="FFFFFF" w:themeColor="background1"/>
              </w:rPr>
            </w:pPr>
            <w:r>
              <w:rPr>
                <w:color w:val="FFFFFF" w:themeColor="background1"/>
              </w:rPr>
              <w:t>Product</w:t>
            </w:r>
            <w:r w:rsidRPr="00DC5770">
              <w:rPr>
                <w:color w:val="FFFFFF" w:themeColor="background1"/>
              </w:rPr>
              <w:t xml:space="preserve"> </w:t>
            </w:r>
          </w:p>
        </w:tc>
        <w:tc>
          <w:tcPr>
            <w:tcW w:w="1700" w:type="dxa"/>
            <w:tcBorders>
              <w:top w:val="single" w:sz="4" w:space="0" w:color="auto"/>
              <w:left w:val="single" w:sz="4" w:space="0" w:color="auto"/>
              <w:bottom w:val="single" w:sz="4" w:space="0" w:color="auto"/>
              <w:right w:val="single" w:sz="4" w:space="0" w:color="auto"/>
            </w:tcBorders>
            <w:shd w:val="clear" w:color="auto" w:fill="404040" w:themeFill="text1" w:themeFillTint="BF"/>
          </w:tcPr>
          <w:p w14:paraId="300CD1D2" w14:textId="77777777" w:rsidR="00783224" w:rsidRPr="00DC5770" w:rsidRDefault="00783224" w:rsidP="008E245B">
            <w:pPr>
              <w:pStyle w:val="Tableheaderrow"/>
              <w:rPr>
                <w:color w:val="FFFFFF" w:themeColor="background1"/>
              </w:rPr>
            </w:pPr>
            <w:r w:rsidRPr="00DC5770">
              <w:rPr>
                <w:color w:val="FFFFFF" w:themeColor="background1"/>
              </w:rPr>
              <w:t>Lot bandwidth (MHz)</w:t>
            </w:r>
          </w:p>
        </w:tc>
        <w:tc>
          <w:tcPr>
            <w:tcW w:w="1843" w:type="dxa"/>
            <w:tcBorders>
              <w:top w:val="single" w:sz="4" w:space="0" w:color="auto"/>
              <w:left w:val="single" w:sz="4" w:space="0" w:color="auto"/>
              <w:bottom w:val="single" w:sz="4" w:space="0" w:color="auto"/>
              <w:right w:val="single" w:sz="4" w:space="0" w:color="auto"/>
            </w:tcBorders>
            <w:shd w:val="clear" w:color="auto" w:fill="404040" w:themeFill="text1" w:themeFillTint="BF"/>
          </w:tcPr>
          <w:p w14:paraId="76DA202E" w14:textId="77777777" w:rsidR="00783224" w:rsidRPr="00DC5770" w:rsidRDefault="00783224" w:rsidP="008E245B">
            <w:pPr>
              <w:pStyle w:val="Tableheaderrow"/>
              <w:rPr>
                <w:color w:val="FFFFFF" w:themeColor="background1"/>
              </w:rPr>
            </w:pPr>
            <w:r w:rsidRPr="00DC5770">
              <w:rPr>
                <w:color w:val="FFFFFF" w:themeColor="background1"/>
              </w:rPr>
              <w:t>Number of lots</w:t>
            </w:r>
          </w:p>
        </w:tc>
      </w:tr>
      <w:tr w:rsidR="00783224" w:rsidRPr="009B3DF8" w14:paraId="2B85027A" w14:textId="77777777" w:rsidTr="008E245B">
        <w:trPr>
          <w:cantSplit/>
          <w:trHeight w:val="284"/>
        </w:trPr>
        <w:tc>
          <w:tcPr>
            <w:tcW w:w="5104" w:type="dxa"/>
            <w:tcBorders>
              <w:top w:val="single" w:sz="4" w:space="0" w:color="auto"/>
              <w:left w:val="single" w:sz="4" w:space="0" w:color="auto"/>
              <w:bottom w:val="single" w:sz="4" w:space="0" w:color="auto"/>
              <w:right w:val="single" w:sz="4" w:space="0" w:color="auto"/>
            </w:tcBorders>
            <w:hideMark/>
          </w:tcPr>
          <w:p w14:paraId="1ED1A604" w14:textId="77777777" w:rsidR="00783224" w:rsidRPr="00DC5770" w:rsidRDefault="00783224" w:rsidP="008E245B">
            <w:pPr>
              <w:pStyle w:val="TableBody"/>
            </w:pPr>
            <w:r w:rsidRPr="00DC5770">
              <w:t>Adelaide</w:t>
            </w:r>
          </w:p>
        </w:tc>
        <w:tc>
          <w:tcPr>
            <w:tcW w:w="1700" w:type="dxa"/>
            <w:tcBorders>
              <w:top w:val="single" w:sz="4" w:space="0" w:color="auto"/>
              <w:left w:val="single" w:sz="4" w:space="0" w:color="auto"/>
              <w:bottom w:val="single" w:sz="4" w:space="0" w:color="auto"/>
              <w:right w:val="single" w:sz="4" w:space="0" w:color="auto"/>
            </w:tcBorders>
          </w:tcPr>
          <w:p w14:paraId="6BDABB5F" w14:textId="77777777" w:rsidR="00783224" w:rsidRPr="00DC5770" w:rsidRDefault="00783224" w:rsidP="008E245B">
            <w:pPr>
              <w:pStyle w:val="TableBody"/>
            </w:pPr>
            <w:r w:rsidRPr="00DC5770">
              <w:t>200 MHz</w:t>
            </w:r>
          </w:p>
        </w:tc>
        <w:tc>
          <w:tcPr>
            <w:tcW w:w="1843" w:type="dxa"/>
            <w:tcBorders>
              <w:top w:val="single" w:sz="4" w:space="0" w:color="auto"/>
              <w:left w:val="single" w:sz="4" w:space="0" w:color="auto"/>
              <w:bottom w:val="single" w:sz="4" w:space="0" w:color="auto"/>
              <w:right w:val="single" w:sz="4" w:space="0" w:color="auto"/>
            </w:tcBorders>
          </w:tcPr>
          <w:p w14:paraId="41531623" w14:textId="77777777" w:rsidR="00783224" w:rsidRPr="00DC5770" w:rsidRDefault="00783224" w:rsidP="008E245B">
            <w:pPr>
              <w:pStyle w:val="TableBody"/>
            </w:pPr>
            <w:r w:rsidRPr="00DC5770">
              <w:t>12</w:t>
            </w:r>
          </w:p>
        </w:tc>
      </w:tr>
      <w:tr w:rsidR="00783224" w:rsidRPr="009B3DF8" w14:paraId="2C6D63BD" w14:textId="77777777" w:rsidTr="008E245B">
        <w:trPr>
          <w:trHeight w:val="284"/>
        </w:trPr>
        <w:tc>
          <w:tcPr>
            <w:tcW w:w="5104" w:type="dxa"/>
            <w:hideMark/>
          </w:tcPr>
          <w:p w14:paraId="28BCB9EB" w14:textId="77777777" w:rsidR="00783224" w:rsidRPr="00DC5770" w:rsidRDefault="00783224" w:rsidP="008E245B">
            <w:pPr>
              <w:pStyle w:val="TableBody"/>
            </w:pPr>
            <w:r w:rsidRPr="00DC5770">
              <w:t>Canberra</w:t>
            </w:r>
          </w:p>
        </w:tc>
        <w:tc>
          <w:tcPr>
            <w:tcW w:w="1700" w:type="dxa"/>
          </w:tcPr>
          <w:p w14:paraId="6B353DAA" w14:textId="77777777" w:rsidR="00783224" w:rsidRPr="00DC5770" w:rsidRDefault="00783224" w:rsidP="008E245B">
            <w:pPr>
              <w:pStyle w:val="TableBody"/>
            </w:pPr>
            <w:r w:rsidRPr="00DC5770">
              <w:t>200 MHz</w:t>
            </w:r>
          </w:p>
        </w:tc>
        <w:tc>
          <w:tcPr>
            <w:tcW w:w="1843" w:type="dxa"/>
          </w:tcPr>
          <w:p w14:paraId="748BA607" w14:textId="77777777" w:rsidR="00783224" w:rsidRPr="00DC5770" w:rsidRDefault="00783224" w:rsidP="008E245B">
            <w:pPr>
              <w:pStyle w:val="TableBody"/>
            </w:pPr>
            <w:r w:rsidRPr="00DC5770">
              <w:t>12</w:t>
            </w:r>
          </w:p>
        </w:tc>
      </w:tr>
      <w:tr w:rsidR="00783224" w:rsidRPr="009B3DF8" w14:paraId="233541DB" w14:textId="77777777" w:rsidTr="008E245B">
        <w:trPr>
          <w:trHeight w:val="284"/>
        </w:trPr>
        <w:tc>
          <w:tcPr>
            <w:tcW w:w="5104" w:type="dxa"/>
            <w:hideMark/>
          </w:tcPr>
          <w:p w14:paraId="7B98139C" w14:textId="77777777" w:rsidR="00783224" w:rsidRPr="00DC5770" w:rsidRDefault="00783224" w:rsidP="008E245B">
            <w:pPr>
              <w:pStyle w:val="TableBody"/>
            </w:pPr>
            <w:r w:rsidRPr="00DC5770">
              <w:t>Darwin</w:t>
            </w:r>
          </w:p>
        </w:tc>
        <w:tc>
          <w:tcPr>
            <w:tcW w:w="1700" w:type="dxa"/>
          </w:tcPr>
          <w:p w14:paraId="14355298" w14:textId="77777777" w:rsidR="00783224" w:rsidRPr="00DC5770" w:rsidRDefault="00783224" w:rsidP="008E245B">
            <w:pPr>
              <w:pStyle w:val="TableBody"/>
            </w:pPr>
            <w:r w:rsidRPr="00DC5770">
              <w:t>200 MHz</w:t>
            </w:r>
          </w:p>
        </w:tc>
        <w:tc>
          <w:tcPr>
            <w:tcW w:w="1843" w:type="dxa"/>
          </w:tcPr>
          <w:p w14:paraId="5CAE3BB4" w14:textId="77777777" w:rsidR="00783224" w:rsidRPr="00DC5770" w:rsidRDefault="00783224" w:rsidP="008E245B">
            <w:pPr>
              <w:pStyle w:val="TableBody"/>
            </w:pPr>
            <w:r w:rsidRPr="00DC5770">
              <w:t>12</w:t>
            </w:r>
          </w:p>
        </w:tc>
      </w:tr>
      <w:tr w:rsidR="00783224" w:rsidRPr="009B3DF8" w14:paraId="1830E906" w14:textId="77777777" w:rsidTr="008E245B">
        <w:trPr>
          <w:trHeight w:val="284"/>
        </w:trPr>
        <w:tc>
          <w:tcPr>
            <w:tcW w:w="5104" w:type="dxa"/>
          </w:tcPr>
          <w:p w14:paraId="4D2C43C0" w14:textId="77777777" w:rsidR="00783224" w:rsidRPr="00DC5770" w:rsidRDefault="00783224" w:rsidP="008E245B">
            <w:pPr>
              <w:pStyle w:val="TableBody"/>
            </w:pPr>
            <w:r>
              <w:t>Greater Brisbane/Lismore</w:t>
            </w:r>
          </w:p>
        </w:tc>
        <w:tc>
          <w:tcPr>
            <w:tcW w:w="1700" w:type="dxa"/>
          </w:tcPr>
          <w:p w14:paraId="36300ABF" w14:textId="77777777" w:rsidR="00783224" w:rsidRPr="00DC5770" w:rsidRDefault="00783224" w:rsidP="008E245B">
            <w:pPr>
              <w:pStyle w:val="TableBody"/>
            </w:pPr>
            <w:r>
              <w:t>200 MHz</w:t>
            </w:r>
          </w:p>
        </w:tc>
        <w:tc>
          <w:tcPr>
            <w:tcW w:w="1843" w:type="dxa"/>
          </w:tcPr>
          <w:p w14:paraId="6C190DBC" w14:textId="77777777" w:rsidR="00783224" w:rsidRPr="00DC5770" w:rsidRDefault="00783224" w:rsidP="008E245B">
            <w:pPr>
              <w:pStyle w:val="TableBody"/>
            </w:pPr>
            <w:r>
              <w:t>12</w:t>
            </w:r>
          </w:p>
        </w:tc>
      </w:tr>
      <w:tr w:rsidR="00783224" w:rsidRPr="009B3DF8" w14:paraId="3AB656F2" w14:textId="77777777" w:rsidTr="008E245B">
        <w:trPr>
          <w:trHeight w:val="284"/>
        </w:trPr>
        <w:tc>
          <w:tcPr>
            <w:tcW w:w="5104" w:type="dxa"/>
          </w:tcPr>
          <w:p w14:paraId="27684B3F" w14:textId="39B64EAC" w:rsidR="00783224" w:rsidRPr="00DC5770" w:rsidRDefault="00783224" w:rsidP="008E245B">
            <w:pPr>
              <w:pStyle w:val="TableBody"/>
            </w:pPr>
            <w:r>
              <w:t>Greater Perth</w:t>
            </w:r>
          </w:p>
        </w:tc>
        <w:tc>
          <w:tcPr>
            <w:tcW w:w="1700" w:type="dxa"/>
          </w:tcPr>
          <w:p w14:paraId="671B6EF9" w14:textId="77777777" w:rsidR="00783224" w:rsidRPr="00DC5770" w:rsidRDefault="00783224" w:rsidP="008E245B">
            <w:pPr>
              <w:pStyle w:val="TableBody"/>
            </w:pPr>
            <w:r w:rsidRPr="00DC5770">
              <w:t>200 MHz</w:t>
            </w:r>
          </w:p>
        </w:tc>
        <w:tc>
          <w:tcPr>
            <w:tcW w:w="1843" w:type="dxa"/>
          </w:tcPr>
          <w:p w14:paraId="227D446A" w14:textId="77777777" w:rsidR="00783224" w:rsidRPr="00DC5770" w:rsidRDefault="00783224" w:rsidP="008E245B">
            <w:pPr>
              <w:pStyle w:val="TableBody"/>
            </w:pPr>
            <w:r w:rsidRPr="00DC5770">
              <w:t>12</w:t>
            </w:r>
          </w:p>
        </w:tc>
      </w:tr>
      <w:tr w:rsidR="00783224" w:rsidRPr="009B3DF8" w14:paraId="3F1CB2A8" w14:textId="77777777" w:rsidTr="008E245B">
        <w:trPr>
          <w:trHeight w:val="284"/>
        </w:trPr>
        <w:tc>
          <w:tcPr>
            <w:tcW w:w="5104" w:type="dxa"/>
            <w:hideMark/>
          </w:tcPr>
          <w:p w14:paraId="003263D9" w14:textId="77777777" w:rsidR="00783224" w:rsidRPr="00DC5770" w:rsidRDefault="00783224" w:rsidP="008E245B">
            <w:pPr>
              <w:pStyle w:val="TableBody"/>
            </w:pPr>
            <w:r w:rsidRPr="00DC5770">
              <w:t>Hobart</w:t>
            </w:r>
          </w:p>
        </w:tc>
        <w:tc>
          <w:tcPr>
            <w:tcW w:w="1700" w:type="dxa"/>
          </w:tcPr>
          <w:p w14:paraId="282D3ED2" w14:textId="77777777" w:rsidR="00783224" w:rsidRPr="00DC5770" w:rsidRDefault="00783224" w:rsidP="008E245B">
            <w:pPr>
              <w:pStyle w:val="TableBody"/>
            </w:pPr>
            <w:r w:rsidRPr="00DC5770">
              <w:t>200 MHz</w:t>
            </w:r>
          </w:p>
        </w:tc>
        <w:tc>
          <w:tcPr>
            <w:tcW w:w="1843" w:type="dxa"/>
          </w:tcPr>
          <w:p w14:paraId="6ACFC09A" w14:textId="77777777" w:rsidR="00783224" w:rsidRPr="00DC5770" w:rsidRDefault="00783224" w:rsidP="008E245B">
            <w:pPr>
              <w:pStyle w:val="TableBody"/>
            </w:pPr>
            <w:r w:rsidRPr="00DC5770">
              <w:t>12</w:t>
            </w:r>
          </w:p>
        </w:tc>
      </w:tr>
      <w:tr w:rsidR="00783224" w:rsidRPr="009B3DF8" w14:paraId="5520BDC7" w14:textId="77777777" w:rsidTr="008E245B">
        <w:trPr>
          <w:trHeight w:val="284"/>
        </w:trPr>
        <w:tc>
          <w:tcPr>
            <w:tcW w:w="5104" w:type="dxa"/>
            <w:hideMark/>
          </w:tcPr>
          <w:p w14:paraId="4AFEA149" w14:textId="77777777" w:rsidR="00783224" w:rsidRPr="00DC5770" w:rsidRDefault="00783224" w:rsidP="008E245B">
            <w:pPr>
              <w:pStyle w:val="TableBody"/>
            </w:pPr>
            <w:r w:rsidRPr="00DC5770">
              <w:t>Melbourne/ Ballarat</w:t>
            </w:r>
          </w:p>
        </w:tc>
        <w:tc>
          <w:tcPr>
            <w:tcW w:w="1700" w:type="dxa"/>
          </w:tcPr>
          <w:p w14:paraId="257E4796" w14:textId="77777777" w:rsidR="00783224" w:rsidRPr="00DC5770" w:rsidRDefault="00783224" w:rsidP="008E245B">
            <w:pPr>
              <w:pStyle w:val="TableBody"/>
            </w:pPr>
            <w:r w:rsidRPr="00DC5770">
              <w:t>200 MHz</w:t>
            </w:r>
          </w:p>
        </w:tc>
        <w:tc>
          <w:tcPr>
            <w:tcW w:w="1843" w:type="dxa"/>
          </w:tcPr>
          <w:p w14:paraId="788D05B4" w14:textId="77777777" w:rsidR="00783224" w:rsidRPr="00DC5770" w:rsidRDefault="00783224" w:rsidP="008E245B">
            <w:pPr>
              <w:pStyle w:val="TableBody"/>
            </w:pPr>
            <w:r w:rsidRPr="00DC5770">
              <w:t>12</w:t>
            </w:r>
          </w:p>
        </w:tc>
      </w:tr>
      <w:tr w:rsidR="00783224" w:rsidRPr="009B3DF8" w14:paraId="432D00B2" w14:textId="77777777" w:rsidTr="008E245B">
        <w:trPr>
          <w:cantSplit/>
          <w:trHeight w:val="284"/>
        </w:trPr>
        <w:tc>
          <w:tcPr>
            <w:tcW w:w="5104" w:type="dxa"/>
            <w:tcBorders>
              <w:top w:val="single" w:sz="4" w:space="0" w:color="auto"/>
              <w:left w:val="single" w:sz="4" w:space="0" w:color="auto"/>
              <w:bottom w:val="single" w:sz="4" w:space="0" w:color="auto"/>
              <w:right w:val="single" w:sz="4" w:space="0" w:color="auto"/>
            </w:tcBorders>
            <w:hideMark/>
          </w:tcPr>
          <w:p w14:paraId="641D7101" w14:textId="77777777" w:rsidR="00783224" w:rsidRPr="00DC5770" w:rsidRDefault="00783224" w:rsidP="008E245B">
            <w:pPr>
              <w:pStyle w:val="TableBody"/>
            </w:pPr>
            <w:r w:rsidRPr="00DC5770">
              <w:t>Sydney/Bathurst</w:t>
            </w:r>
          </w:p>
        </w:tc>
        <w:tc>
          <w:tcPr>
            <w:tcW w:w="1700" w:type="dxa"/>
            <w:tcBorders>
              <w:top w:val="single" w:sz="4" w:space="0" w:color="auto"/>
              <w:left w:val="single" w:sz="4" w:space="0" w:color="auto"/>
              <w:bottom w:val="single" w:sz="4" w:space="0" w:color="auto"/>
              <w:right w:val="single" w:sz="4" w:space="0" w:color="auto"/>
            </w:tcBorders>
          </w:tcPr>
          <w:p w14:paraId="58851AEA" w14:textId="77777777" w:rsidR="00783224" w:rsidRPr="00DC5770" w:rsidRDefault="00783224" w:rsidP="008E245B">
            <w:pPr>
              <w:pStyle w:val="TableBody"/>
            </w:pPr>
            <w:r w:rsidRPr="00DC5770">
              <w:t>200 MHz</w:t>
            </w:r>
          </w:p>
        </w:tc>
        <w:tc>
          <w:tcPr>
            <w:tcW w:w="1843" w:type="dxa"/>
            <w:tcBorders>
              <w:top w:val="single" w:sz="4" w:space="0" w:color="auto"/>
              <w:left w:val="single" w:sz="4" w:space="0" w:color="auto"/>
              <w:bottom w:val="single" w:sz="4" w:space="0" w:color="auto"/>
              <w:right w:val="single" w:sz="4" w:space="0" w:color="auto"/>
            </w:tcBorders>
          </w:tcPr>
          <w:p w14:paraId="05665DE6" w14:textId="77777777" w:rsidR="00783224" w:rsidRPr="00DC5770" w:rsidRDefault="00783224" w:rsidP="008E245B">
            <w:pPr>
              <w:pStyle w:val="TableBody"/>
            </w:pPr>
            <w:r w:rsidRPr="00DC5770">
              <w:t>12</w:t>
            </w:r>
          </w:p>
        </w:tc>
      </w:tr>
      <w:tr w:rsidR="00783224" w:rsidRPr="009B3DF8" w14:paraId="3364EE97" w14:textId="77777777" w:rsidTr="008E245B">
        <w:trPr>
          <w:cantSplit/>
          <w:trHeight w:val="284"/>
        </w:trPr>
        <w:tc>
          <w:tcPr>
            <w:tcW w:w="5104" w:type="dxa"/>
            <w:tcBorders>
              <w:top w:val="single" w:sz="4" w:space="0" w:color="auto"/>
              <w:left w:val="single" w:sz="4" w:space="0" w:color="auto"/>
              <w:bottom w:val="single" w:sz="4" w:space="0" w:color="auto"/>
              <w:right w:val="single" w:sz="4" w:space="0" w:color="auto"/>
            </w:tcBorders>
            <w:hideMark/>
          </w:tcPr>
          <w:p w14:paraId="308072B9" w14:textId="77777777" w:rsidR="00783224" w:rsidRPr="00DC5770" w:rsidRDefault="00783224" w:rsidP="008E245B">
            <w:pPr>
              <w:pStyle w:val="TableBody"/>
            </w:pPr>
            <w:r w:rsidRPr="00DC5770">
              <w:t>Albany</w:t>
            </w:r>
          </w:p>
        </w:tc>
        <w:tc>
          <w:tcPr>
            <w:tcW w:w="1700" w:type="dxa"/>
            <w:tcBorders>
              <w:top w:val="single" w:sz="4" w:space="0" w:color="auto"/>
              <w:left w:val="single" w:sz="4" w:space="0" w:color="auto"/>
              <w:bottom w:val="single" w:sz="4" w:space="0" w:color="auto"/>
              <w:right w:val="single" w:sz="4" w:space="0" w:color="auto"/>
            </w:tcBorders>
          </w:tcPr>
          <w:p w14:paraId="4ABDF6AD" w14:textId="77777777" w:rsidR="00783224" w:rsidRPr="00DC5770" w:rsidRDefault="00783224" w:rsidP="008E245B">
            <w:pPr>
              <w:pStyle w:val="TableBody"/>
            </w:pPr>
            <w:r w:rsidRPr="00DC5770">
              <w:t>200 MHz</w:t>
            </w:r>
          </w:p>
        </w:tc>
        <w:tc>
          <w:tcPr>
            <w:tcW w:w="1843" w:type="dxa"/>
            <w:tcBorders>
              <w:top w:val="single" w:sz="4" w:space="0" w:color="auto"/>
              <w:left w:val="single" w:sz="4" w:space="0" w:color="auto"/>
              <w:bottom w:val="single" w:sz="4" w:space="0" w:color="auto"/>
              <w:right w:val="single" w:sz="4" w:space="0" w:color="auto"/>
            </w:tcBorders>
          </w:tcPr>
          <w:p w14:paraId="74AD3205" w14:textId="77777777" w:rsidR="00783224" w:rsidRPr="00DC5770" w:rsidRDefault="00783224" w:rsidP="008E245B">
            <w:pPr>
              <w:pStyle w:val="TableBody"/>
            </w:pPr>
            <w:r w:rsidRPr="00DC5770">
              <w:t>12</w:t>
            </w:r>
          </w:p>
        </w:tc>
      </w:tr>
      <w:tr w:rsidR="00783224" w:rsidRPr="009B3DF8" w14:paraId="7F52B149" w14:textId="77777777" w:rsidTr="008E245B">
        <w:trPr>
          <w:cantSplit/>
          <w:trHeight w:val="284"/>
        </w:trPr>
        <w:tc>
          <w:tcPr>
            <w:tcW w:w="5104" w:type="dxa"/>
            <w:tcBorders>
              <w:top w:val="single" w:sz="4" w:space="0" w:color="auto"/>
              <w:left w:val="single" w:sz="4" w:space="0" w:color="auto"/>
              <w:bottom w:val="single" w:sz="4" w:space="0" w:color="auto"/>
              <w:right w:val="single" w:sz="4" w:space="0" w:color="auto"/>
            </w:tcBorders>
            <w:hideMark/>
          </w:tcPr>
          <w:p w14:paraId="4221EB99" w14:textId="77777777" w:rsidR="00783224" w:rsidRPr="00DC5770" w:rsidRDefault="00783224" w:rsidP="008E245B">
            <w:pPr>
              <w:pStyle w:val="TableBody"/>
            </w:pPr>
            <w:r w:rsidRPr="00DC5770">
              <w:t>Albury</w:t>
            </w:r>
          </w:p>
        </w:tc>
        <w:tc>
          <w:tcPr>
            <w:tcW w:w="1700" w:type="dxa"/>
            <w:tcBorders>
              <w:top w:val="single" w:sz="4" w:space="0" w:color="auto"/>
              <w:left w:val="single" w:sz="4" w:space="0" w:color="auto"/>
              <w:bottom w:val="single" w:sz="4" w:space="0" w:color="auto"/>
              <w:right w:val="single" w:sz="4" w:space="0" w:color="auto"/>
            </w:tcBorders>
          </w:tcPr>
          <w:p w14:paraId="2A583722" w14:textId="77777777" w:rsidR="00783224" w:rsidRPr="00DC5770" w:rsidRDefault="00783224" w:rsidP="008E245B">
            <w:pPr>
              <w:pStyle w:val="TableBody"/>
            </w:pPr>
            <w:r w:rsidRPr="00DC5770">
              <w:t>200 MHz</w:t>
            </w:r>
          </w:p>
        </w:tc>
        <w:tc>
          <w:tcPr>
            <w:tcW w:w="1843" w:type="dxa"/>
            <w:tcBorders>
              <w:top w:val="single" w:sz="4" w:space="0" w:color="auto"/>
              <w:left w:val="single" w:sz="4" w:space="0" w:color="auto"/>
              <w:bottom w:val="single" w:sz="4" w:space="0" w:color="auto"/>
              <w:right w:val="single" w:sz="4" w:space="0" w:color="auto"/>
            </w:tcBorders>
          </w:tcPr>
          <w:p w14:paraId="1547D212" w14:textId="77777777" w:rsidR="00783224" w:rsidRPr="00DC5770" w:rsidRDefault="00783224" w:rsidP="008E245B">
            <w:pPr>
              <w:pStyle w:val="TableBody"/>
            </w:pPr>
            <w:r w:rsidRPr="00DC5770">
              <w:t>12</w:t>
            </w:r>
          </w:p>
        </w:tc>
      </w:tr>
      <w:tr w:rsidR="00783224" w:rsidRPr="009B3DF8" w14:paraId="191C5521" w14:textId="77777777" w:rsidTr="008E245B">
        <w:trPr>
          <w:cantSplit/>
          <w:trHeight w:val="284"/>
        </w:trPr>
        <w:tc>
          <w:tcPr>
            <w:tcW w:w="5104" w:type="dxa"/>
            <w:tcBorders>
              <w:top w:val="single" w:sz="4" w:space="0" w:color="auto"/>
              <w:left w:val="single" w:sz="4" w:space="0" w:color="auto"/>
              <w:bottom w:val="single" w:sz="4" w:space="0" w:color="auto"/>
              <w:right w:val="single" w:sz="4" w:space="0" w:color="auto"/>
            </w:tcBorders>
            <w:hideMark/>
          </w:tcPr>
          <w:p w14:paraId="226838EE" w14:textId="77777777" w:rsidR="00783224" w:rsidRPr="00DC5770" w:rsidRDefault="00783224" w:rsidP="008E245B">
            <w:pPr>
              <w:pStyle w:val="TableBody"/>
            </w:pPr>
            <w:r w:rsidRPr="00DC5770">
              <w:t>Armidale</w:t>
            </w:r>
          </w:p>
        </w:tc>
        <w:tc>
          <w:tcPr>
            <w:tcW w:w="1700" w:type="dxa"/>
            <w:tcBorders>
              <w:top w:val="single" w:sz="4" w:space="0" w:color="auto"/>
              <w:left w:val="single" w:sz="4" w:space="0" w:color="auto"/>
              <w:bottom w:val="single" w:sz="4" w:space="0" w:color="auto"/>
              <w:right w:val="single" w:sz="4" w:space="0" w:color="auto"/>
            </w:tcBorders>
          </w:tcPr>
          <w:p w14:paraId="135CBC3C" w14:textId="77777777" w:rsidR="00783224" w:rsidRPr="00DC5770" w:rsidRDefault="00783224" w:rsidP="008E245B">
            <w:pPr>
              <w:pStyle w:val="TableBody"/>
            </w:pPr>
            <w:r w:rsidRPr="00DC5770">
              <w:t>200 MHz</w:t>
            </w:r>
          </w:p>
        </w:tc>
        <w:tc>
          <w:tcPr>
            <w:tcW w:w="1843" w:type="dxa"/>
            <w:tcBorders>
              <w:top w:val="single" w:sz="4" w:space="0" w:color="auto"/>
              <w:left w:val="single" w:sz="4" w:space="0" w:color="auto"/>
              <w:bottom w:val="single" w:sz="4" w:space="0" w:color="auto"/>
              <w:right w:val="single" w:sz="4" w:space="0" w:color="auto"/>
            </w:tcBorders>
          </w:tcPr>
          <w:p w14:paraId="67ADFEFE" w14:textId="77777777" w:rsidR="00783224" w:rsidRPr="00DC5770" w:rsidRDefault="00783224" w:rsidP="008E245B">
            <w:pPr>
              <w:pStyle w:val="TableBody"/>
            </w:pPr>
            <w:r w:rsidRPr="00DC5770">
              <w:t>12</w:t>
            </w:r>
          </w:p>
        </w:tc>
      </w:tr>
      <w:tr w:rsidR="00783224" w:rsidRPr="009B3DF8" w14:paraId="0C35B988" w14:textId="77777777" w:rsidTr="008E245B">
        <w:trPr>
          <w:cantSplit/>
          <w:trHeight w:val="284"/>
        </w:trPr>
        <w:tc>
          <w:tcPr>
            <w:tcW w:w="5104" w:type="dxa"/>
            <w:tcBorders>
              <w:top w:val="single" w:sz="4" w:space="0" w:color="auto"/>
              <w:left w:val="single" w:sz="4" w:space="0" w:color="auto"/>
              <w:bottom w:val="single" w:sz="4" w:space="0" w:color="auto"/>
              <w:right w:val="single" w:sz="4" w:space="0" w:color="auto"/>
            </w:tcBorders>
            <w:hideMark/>
          </w:tcPr>
          <w:p w14:paraId="6EFA9A51" w14:textId="77777777" w:rsidR="00783224" w:rsidRPr="00DC5770" w:rsidRDefault="00783224" w:rsidP="008E245B">
            <w:pPr>
              <w:pStyle w:val="TableBody"/>
            </w:pPr>
            <w:r w:rsidRPr="00DC5770">
              <w:t>Bendigo</w:t>
            </w:r>
          </w:p>
        </w:tc>
        <w:tc>
          <w:tcPr>
            <w:tcW w:w="1700" w:type="dxa"/>
            <w:tcBorders>
              <w:top w:val="single" w:sz="4" w:space="0" w:color="auto"/>
              <w:left w:val="single" w:sz="4" w:space="0" w:color="auto"/>
              <w:bottom w:val="single" w:sz="4" w:space="0" w:color="auto"/>
              <w:right w:val="single" w:sz="4" w:space="0" w:color="auto"/>
            </w:tcBorders>
          </w:tcPr>
          <w:p w14:paraId="1EFF12A2" w14:textId="77777777" w:rsidR="00783224" w:rsidRPr="00DC5770" w:rsidRDefault="00783224" w:rsidP="008E245B">
            <w:pPr>
              <w:pStyle w:val="TableBody"/>
            </w:pPr>
            <w:r w:rsidRPr="00DC5770">
              <w:t>200 MHz</w:t>
            </w:r>
          </w:p>
        </w:tc>
        <w:tc>
          <w:tcPr>
            <w:tcW w:w="1843" w:type="dxa"/>
            <w:tcBorders>
              <w:top w:val="single" w:sz="4" w:space="0" w:color="auto"/>
              <w:left w:val="single" w:sz="4" w:space="0" w:color="auto"/>
              <w:bottom w:val="single" w:sz="4" w:space="0" w:color="auto"/>
              <w:right w:val="single" w:sz="4" w:space="0" w:color="auto"/>
            </w:tcBorders>
          </w:tcPr>
          <w:p w14:paraId="3A7A9869" w14:textId="77777777" w:rsidR="00783224" w:rsidRPr="00DC5770" w:rsidRDefault="00783224" w:rsidP="008E245B">
            <w:pPr>
              <w:pStyle w:val="TableBody"/>
            </w:pPr>
            <w:r w:rsidRPr="00DC5770">
              <w:t>12</w:t>
            </w:r>
          </w:p>
        </w:tc>
      </w:tr>
      <w:tr w:rsidR="00783224" w:rsidRPr="009B3DF8" w14:paraId="0A1C31B3" w14:textId="77777777" w:rsidTr="008E245B">
        <w:trPr>
          <w:cantSplit/>
          <w:trHeight w:val="284"/>
        </w:trPr>
        <w:tc>
          <w:tcPr>
            <w:tcW w:w="5104" w:type="dxa"/>
            <w:tcBorders>
              <w:top w:val="single" w:sz="4" w:space="0" w:color="auto"/>
              <w:left w:val="single" w:sz="4" w:space="0" w:color="auto"/>
              <w:bottom w:val="single" w:sz="4" w:space="0" w:color="auto"/>
              <w:right w:val="single" w:sz="4" w:space="0" w:color="auto"/>
            </w:tcBorders>
            <w:hideMark/>
          </w:tcPr>
          <w:p w14:paraId="041B5187" w14:textId="77777777" w:rsidR="00783224" w:rsidRPr="00DC5770" w:rsidRDefault="00783224" w:rsidP="008E245B">
            <w:pPr>
              <w:pStyle w:val="TableBody"/>
            </w:pPr>
            <w:r w:rsidRPr="00DC5770">
              <w:t>Bundaberg/Hervey Bay</w:t>
            </w:r>
          </w:p>
        </w:tc>
        <w:tc>
          <w:tcPr>
            <w:tcW w:w="1700" w:type="dxa"/>
            <w:tcBorders>
              <w:top w:val="single" w:sz="4" w:space="0" w:color="auto"/>
              <w:left w:val="single" w:sz="4" w:space="0" w:color="auto"/>
              <w:bottom w:val="single" w:sz="4" w:space="0" w:color="auto"/>
              <w:right w:val="single" w:sz="4" w:space="0" w:color="auto"/>
            </w:tcBorders>
          </w:tcPr>
          <w:p w14:paraId="27136796" w14:textId="77777777" w:rsidR="00783224" w:rsidRPr="00DC5770" w:rsidRDefault="00783224" w:rsidP="008E245B">
            <w:pPr>
              <w:pStyle w:val="TableBody"/>
            </w:pPr>
            <w:r w:rsidRPr="00DC5770">
              <w:t>200 MHz</w:t>
            </w:r>
          </w:p>
        </w:tc>
        <w:tc>
          <w:tcPr>
            <w:tcW w:w="1843" w:type="dxa"/>
            <w:tcBorders>
              <w:top w:val="single" w:sz="4" w:space="0" w:color="auto"/>
              <w:left w:val="single" w:sz="4" w:space="0" w:color="auto"/>
              <w:bottom w:val="single" w:sz="4" w:space="0" w:color="auto"/>
              <w:right w:val="single" w:sz="4" w:space="0" w:color="auto"/>
            </w:tcBorders>
          </w:tcPr>
          <w:p w14:paraId="2E799A2B" w14:textId="77777777" w:rsidR="00783224" w:rsidRPr="00DC5770" w:rsidRDefault="00783224" w:rsidP="008E245B">
            <w:pPr>
              <w:pStyle w:val="TableBody"/>
            </w:pPr>
            <w:r w:rsidRPr="00DC5770">
              <w:t>12</w:t>
            </w:r>
          </w:p>
        </w:tc>
      </w:tr>
      <w:tr w:rsidR="00783224" w:rsidRPr="009B3DF8" w14:paraId="2738E11A" w14:textId="77777777" w:rsidTr="008E245B">
        <w:trPr>
          <w:cantSplit/>
          <w:trHeight w:val="284"/>
        </w:trPr>
        <w:tc>
          <w:tcPr>
            <w:tcW w:w="5104" w:type="dxa"/>
            <w:tcBorders>
              <w:top w:val="single" w:sz="4" w:space="0" w:color="auto"/>
              <w:left w:val="single" w:sz="4" w:space="0" w:color="auto"/>
              <w:bottom w:val="single" w:sz="4" w:space="0" w:color="auto"/>
              <w:right w:val="single" w:sz="4" w:space="0" w:color="auto"/>
            </w:tcBorders>
            <w:hideMark/>
          </w:tcPr>
          <w:p w14:paraId="76AB5DD7" w14:textId="77777777" w:rsidR="00783224" w:rsidRPr="00DC5770" w:rsidRDefault="00783224" w:rsidP="008E245B">
            <w:pPr>
              <w:pStyle w:val="TableBody"/>
            </w:pPr>
            <w:r w:rsidRPr="00DC5770">
              <w:t>Cairns</w:t>
            </w:r>
          </w:p>
        </w:tc>
        <w:tc>
          <w:tcPr>
            <w:tcW w:w="1700" w:type="dxa"/>
            <w:tcBorders>
              <w:top w:val="single" w:sz="4" w:space="0" w:color="auto"/>
              <w:left w:val="single" w:sz="4" w:space="0" w:color="auto"/>
              <w:bottom w:val="single" w:sz="4" w:space="0" w:color="auto"/>
              <w:right w:val="single" w:sz="4" w:space="0" w:color="auto"/>
            </w:tcBorders>
          </w:tcPr>
          <w:p w14:paraId="273BFBB1" w14:textId="77777777" w:rsidR="00783224" w:rsidRPr="00DC5770" w:rsidRDefault="00783224" w:rsidP="008E245B">
            <w:pPr>
              <w:pStyle w:val="TableBody"/>
            </w:pPr>
            <w:r w:rsidRPr="00DC5770">
              <w:t>200 MHz</w:t>
            </w:r>
          </w:p>
        </w:tc>
        <w:tc>
          <w:tcPr>
            <w:tcW w:w="1843" w:type="dxa"/>
            <w:tcBorders>
              <w:top w:val="single" w:sz="4" w:space="0" w:color="auto"/>
              <w:left w:val="single" w:sz="4" w:space="0" w:color="auto"/>
              <w:bottom w:val="single" w:sz="4" w:space="0" w:color="auto"/>
              <w:right w:val="single" w:sz="4" w:space="0" w:color="auto"/>
            </w:tcBorders>
          </w:tcPr>
          <w:p w14:paraId="43336F12" w14:textId="77777777" w:rsidR="00783224" w:rsidRPr="00DC5770" w:rsidRDefault="00783224" w:rsidP="008E245B">
            <w:pPr>
              <w:pStyle w:val="TableBody"/>
            </w:pPr>
            <w:r w:rsidRPr="00DC5770">
              <w:t>12</w:t>
            </w:r>
          </w:p>
        </w:tc>
      </w:tr>
      <w:tr w:rsidR="00783224" w:rsidRPr="009B3DF8" w14:paraId="54B60D60" w14:textId="77777777" w:rsidTr="008E245B">
        <w:trPr>
          <w:cantSplit/>
          <w:trHeight w:val="284"/>
        </w:trPr>
        <w:tc>
          <w:tcPr>
            <w:tcW w:w="5104" w:type="dxa"/>
            <w:tcBorders>
              <w:top w:val="single" w:sz="4" w:space="0" w:color="auto"/>
              <w:left w:val="single" w:sz="4" w:space="0" w:color="auto"/>
              <w:bottom w:val="single" w:sz="4" w:space="0" w:color="auto"/>
              <w:right w:val="single" w:sz="4" w:space="0" w:color="auto"/>
            </w:tcBorders>
            <w:hideMark/>
          </w:tcPr>
          <w:p w14:paraId="4C207AEF" w14:textId="77777777" w:rsidR="00783224" w:rsidRPr="00DC5770" w:rsidRDefault="00783224" w:rsidP="008E245B">
            <w:pPr>
              <w:pStyle w:val="TableBody"/>
            </w:pPr>
            <w:r w:rsidRPr="00DC5770">
              <w:t>Coffs Harbour</w:t>
            </w:r>
          </w:p>
        </w:tc>
        <w:tc>
          <w:tcPr>
            <w:tcW w:w="1700" w:type="dxa"/>
            <w:tcBorders>
              <w:top w:val="single" w:sz="4" w:space="0" w:color="auto"/>
              <w:left w:val="single" w:sz="4" w:space="0" w:color="auto"/>
              <w:bottom w:val="single" w:sz="4" w:space="0" w:color="auto"/>
              <w:right w:val="single" w:sz="4" w:space="0" w:color="auto"/>
            </w:tcBorders>
          </w:tcPr>
          <w:p w14:paraId="15191086" w14:textId="77777777" w:rsidR="00783224" w:rsidRPr="00DC5770" w:rsidRDefault="00783224" w:rsidP="008E245B">
            <w:pPr>
              <w:pStyle w:val="TableBody"/>
            </w:pPr>
            <w:r w:rsidRPr="00DC5770">
              <w:t>200 MHz</w:t>
            </w:r>
          </w:p>
        </w:tc>
        <w:tc>
          <w:tcPr>
            <w:tcW w:w="1843" w:type="dxa"/>
            <w:tcBorders>
              <w:top w:val="single" w:sz="4" w:space="0" w:color="auto"/>
              <w:left w:val="single" w:sz="4" w:space="0" w:color="auto"/>
              <w:bottom w:val="single" w:sz="4" w:space="0" w:color="auto"/>
              <w:right w:val="single" w:sz="4" w:space="0" w:color="auto"/>
            </w:tcBorders>
          </w:tcPr>
          <w:p w14:paraId="7D9B9528" w14:textId="77777777" w:rsidR="00783224" w:rsidRPr="00DC5770" w:rsidRDefault="00783224" w:rsidP="008E245B">
            <w:pPr>
              <w:pStyle w:val="TableBody"/>
            </w:pPr>
            <w:r w:rsidRPr="00DC5770">
              <w:t>12</w:t>
            </w:r>
          </w:p>
        </w:tc>
      </w:tr>
      <w:tr w:rsidR="00783224" w:rsidRPr="009B3DF8" w14:paraId="33F35E2F" w14:textId="77777777" w:rsidTr="008E245B">
        <w:trPr>
          <w:cantSplit/>
          <w:trHeight w:val="284"/>
        </w:trPr>
        <w:tc>
          <w:tcPr>
            <w:tcW w:w="5104" w:type="dxa"/>
            <w:tcBorders>
              <w:top w:val="single" w:sz="4" w:space="0" w:color="auto"/>
              <w:left w:val="single" w:sz="4" w:space="0" w:color="auto"/>
              <w:bottom w:val="single" w:sz="4" w:space="0" w:color="auto"/>
              <w:right w:val="single" w:sz="4" w:space="0" w:color="auto"/>
            </w:tcBorders>
          </w:tcPr>
          <w:p w14:paraId="672C00CD" w14:textId="77777777" w:rsidR="00783224" w:rsidRPr="00DC5770" w:rsidRDefault="00783224" w:rsidP="008E245B">
            <w:pPr>
              <w:pStyle w:val="TableBody"/>
            </w:pPr>
            <w:r w:rsidRPr="00DC5770">
              <w:t>Forster/Tuncurry</w:t>
            </w:r>
          </w:p>
        </w:tc>
        <w:tc>
          <w:tcPr>
            <w:tcW w:w="1700" w:type="dxa"/>
            <w:tcBorders>
              <w:top w:val="single" w:sz="4" w:space="0" w:color="auto"/>
              <w:left w:val="single" w:sz="4" w:space="0" w:color="auto"/>
              <w:bottom w:val="single" w:sz="4" w:space="0" w:color="auto"/>
              <w:right w:val="single" w:sz="4" w:space="0" w:color="auto"/>
            </w:tcBorders>
          </w:tcPr>
          <w:p w14:paraId="1E27AC04" w14:textId="77777777" w:rsidR="00783224" w:rsidRPr="00DC5770" w:rsidRDefault="00783224" w:rsidP="008E245B">
            <w:pPr>
              <w:pStyle w:val="TableBody"/>
            </w:pPr>
            <w:r w:rsidRPr="00DC5770">
              <w:t>200 MHz</w:t>
            </w:r>
          </w:p>
        </w:tc>
        <w:tc>
          <w:tcPr>
            <w:tcW w:w="1843" w:type="dxa"/>
            <w:tcBorders>
              <w:top w:val="single" w:sz="4" w:space="0" w:color="auto"/>
              <w:left w:val="single" w:sz="4" w:space="0" w:color="auto"/>
              <w:bottom w:val="single" w:sz="4" w:space="0" w:color="auto"/>
              <w:right w:val="single" w:sz="4" w:space="0" w:color="auto"/>
            </w:tcBorders>
          </w:tcPr>
          <w:p w14:paraId="72FECC5F" w14:textId="77777777" w:rsidR="00783224" w:rsidRPr="00DC5770" w:rsidRDefault="00783224" w:rsidP="008E245B">
            <w:pPr>
              <w:pStyle w:val="TableBody"/>
            </w:pPr>
            <w:r w:rsidRPr="00DC5770">
              <w:t>12</w:t>
            </w:r>
          </w:p>
        </w:tc>
      </w:tr>
      <w:tr w:rsidR="00783224" w:rsidRPr="009B3DF8" w14:paraId="70EEC71C" w14:textId="77777777" w:rsidTr="008E245B">
        <w:trPr>
          <w:cantSplit/>
          <w:trHeight w:val="284"/>
        </w:trPr>
        <w:tc>
          <w:tcPr>
            <w:tcW w:w="5104" w:type="dxa"/>
            <w:tcBorders>
              <w:top w:val="single" w:sz="4" w:space="0" w:color="auto"/>
              <w:left w:val="single" w:sz="4" w:space="0" w:color="auto"/>
              <w:bottom w:val="single" w:sz="4" w:space="0" w:color="auto"/>
              <w:right w:val="single" w:sz="4" w:space="0" w:color="auto"/>
            </w:tcBorders>
            <w:hideMark/>
          </w:tcPr>
          <w:p w14:paraId="1A710CB7" w14:textId="77777777" w:rsidR="00783224" w:rsidRPr="00DC5770" w:rsidRDefault="00783224" w:rsidP="008E245B">
            <w:pPr>
              <w:pStyle w:val="TableBody"/>
            </w:pPr>
            <w:r w:rsidRPr="00DC5770">
              <w:t>Launceston</w:t>
            </w:r>
          </w:p>
        </w:tc>
        <w:tc>
          <w:tcPr>
            <w:tcW w:w="1700" w:type="dxa"/>
            <w:tcBorders>
              <w:top w:val="single" w:sz="4" w:space="0" w:color="auto"/>
              <w:left w:val="single" w:sz="4" w:space="0" w:color="auto"/>
              <w:bottom w:val="single" w:sz="4" w:space="0" w:color="auto"/>
              <w:right w:val="single" w:sz="4" w:space="0" w:color="auto"/>
            </w:tcBorders>
          </w:tcPr>
          <w:p w14:paraId="7E018193" w14:textId="77777777" w:rsidR="00783224" w:rsidRPr="00DC5770" w:rsidRDefault="00783224" w:rsidP="008E245B">
            <w:pPr>
              <w:pStyle w:val="TableBody"/>
            </w:pPr>
            <w:r w:rsidRPr="00DC5770">
              <w:t>200 MHz</w:t>
            </w:r>
          </w:p>
        </w:tc>
        <w:tc>
          <w:tcPr>
            <w:tcW w:w="1843" w:type="dxa"/>
            <w:tcBorders>
              <w:top w:val="single" w:sz="4" w:space="0" w:color="auto"/>
              <w:left w:val="single" w:sz="4" w:space="0" w:color="auto"/>
              <w:bottom w:val="single" w:sz="4" w:space="0" w:color="auto"/>
              <w:right w:val="single" w:sz="4" w:space="0" w:color="auto"/>
            </w:tcBorders>
          </w:tcPr>
          <w:p w14:paraId="1AD4CDFB" w14:textId="77777777" w:rsidR="00783224" w:rsidRPr="00DC5770" w:rsidRDefault="00783224" w:rsidP="008E245B">
            <w:pPr>
              <w:pStyle w:val="TableBody"/>
            </w:pPr>
            <w:r w:rsidRPr="00DC5770">
              <w:t>12</w:t>
            </w:r>
          </w:p>
        </w:tc>
      </w:tr>
      <w:tr w:rsidR="00783224" w:rsidRPr="009B3DF8" w14:paraId="66AD561F" w14:textId="77777777" w:rsidTr="008E245B">
        <w:trPr>
          <w:cantSplit/>
          <w:trHeight w:val="284"/>
        </w:trPr>
        <w:tc>
          <w:tcPr>
            <w:tcW w:w="5104" w:type="dxa"/>
            <w:tcBorders>
              <w:top w:val="single" w:sz="4" w:space="0" w:color="auto"/>
              <w:left w:val="single" w:sz="4" w:space="0" w:color="auto"/>
              <w:bottom w:val="single" w:sz="4" w:space="0" w:color="auto"/>
              <w:right w:val="single" w:sz="4" w:space="0" w:color="auto"/>
            </w:tcBorders>
            <w:hideMark/>
          </w:tcPr>
          <w:p w14:paraId="13596E77" w14:textId="77777777" w:rsidR="00783224" w:rsidRPr="00DC5770" w:rsidRDefault="00783224" w:rsidP="008E245B">
            <w:pPr>
              <w:pStyle w:val="TableBody"/>
            </w:pPr>
            <w:r w:rsidRPr="00DC5770">
              <w:t>Mackay</w:t>
            </w:r>
          </w:p>
        </w:tc>
        <w:tc>
          <w:tcPr>
            <w:tcW w:w="1700" w:type="dxa"/>
            <w:tcBorders>
              <w:top w:val="single" w:sz="4" w:space="0" w:color="auto"/>
              <w:left w:val="single" w:sz="4" w:space="0" w:color="auto"/>
              <w:bottom w:val="single" w:sz="4" w:space="0" w:color="auto"/>
              <w:right w:val="single" w:sz="4" w:space="0" w:color="auto"/>
            </w:tcBorders>
          </w:tcPr>
          <w:p w14:paraId="68EF9748" w14:textId="77777777" w:rsidR="00783224" w:rsidRPr="00DC5770" w:rsidRDefault="00783224" w:rsidP="008E245B">
            <w:pPr>
              <w:pStyle w:val="TableBody"/>
            </w:pPr>
            <w:r w:rsidRPr="00DC5770">
              <w:t>200 MHz</w:t>
            </w:r>
          </w:p>
        </w:tc>
        <w:tc>
          <w:tcPr>
            <w:tcW w:w="1843" w:type="dxa"/>
            <w:tcBorders>
              <w:top w:val="single" w:sz="4" w:space="0" w:color="auto"/>
              <w:left w:val="single" w:sz="4" w:space="0" w:color="auto"/>
              <w:bottom w:val="single" w:sz="4" w:space="0" w:color="auto"/>
              <w:right w:val="single" w:sz="4" w:space="0" w:color="auto"/>
            </w:tcBorders>
          </w:tcPr>
          <w:p w14:paraId="4A8B8D02" w14:textId="77777777" w:rsidR="00783224" w:rsidRPr="00DC5770" w:rsidRDefault="00783224" w:rsidP="008E245B">
            <w:pPr>
              <w:pStyle w:val="TableBody"/>
            </w:pPr>
            <w:r w:rsidRPr="00DC5770">
              <w:t>12</w:t>
            </w:r>
          </w:p>
        </w:tc>
      </w:tr>
      <w:tr w:rsidR="00783224" w:rsidRPr="009B3DF8" w14:paraId="44C8AA95" w14:textId="77777777" w:rsidTr="008E245B">
        <w:trPr>
          <w:cantSplit/>
          <w:trHeight w:val="284"/>
        </w:trPr>
        <w:tc>
          <w:tcPr>
            <w:tcW w:w="5104" w:type="dxa"/>
            <w:tcBorders>
              <w:top w:val="single" w:sz="4" w:space="0" w:color="auto"/>
              <w:left w:val="single" w:sz="4" w:space="0" w:color="auto"/>
              <w:bottom w:val="single" w:sz="4" w:space="0" w:color="auto"/>
              <w:right w:val="single" w:sz="4" w:space="0" w:color="auto"/>
            </w:tcBorders>
            <w:hideMark/>
          </w:tcPr>
          <w:p w14:paraId="22CDDFA5" w14:textId="77777777" w:rsidR="00783224" w:rsidRPr="00DC5770" w:rsidRDefault="00783224" w:rsidP="008E245B">
            <w:pPr>
              <w:pStyle w:val="TableBody"/>
            </w:pPr>
            <w:r w:rsidRPr="00DC5770">
              <w:t xml:space="preserve">Margaret River </w:t>
            </w:r>
          </w:p>
        </w:tc>
        <w:tc>
          <w:tcPr>
            <w:tcW w:w="1700" w:type="dxa"/>
            <w:tcBorders>
              <w:top w:val="single" w:sz="4" w:space="0" w:color="auto"/>
              <w:left w:val="single" w:sz="4" w:space="0" w:color="auto"/>
              <w:bottom w:val="single" w:sz="4" w:space="0" w:color="auto"/>
              <w:right w:val="single" w:sz="4" w:space="0" w:color="auto"/>
            </w:tcBorders>
          </w:tcPr>
          <w:p w14:paraId="4F09847F" w14:textId="77777777" w:rsidR="00783224" w:rsidRPr="00DC5770" w:rsidRDefault="00783224" w:rsidP="008E245B">
            <w:pPr>
              <w:pStyle w:val="TableBody"/>
            </w:pPr>
            <w:r w:rsidRPr="00DC5770">
              <w:t>200 MHz</w:t>
            </w:r>
          </w:p>
        </w:tc>
        <w:tc>
          <w:tcPr>
            <w:tcW w:w="1843" w:type="dxa"/>
            <w:tcBorders>
              <w:top w:val="single" w:sz="4" w:space="0" w:color="auto"/>
              <w:left w:val="single" w:sz="4" w:space="0" w:color="auto"/>
              <w:bottom w:val="single" w:sz="4" w:space="0" w:color="auto"/>
              <w:right w:val="single" w:sz="4" w:space="0" w:color="auto"/>
            </w:tcBorders>
          </w:tcPr>
          <w:p w14:paraId="3B2CE7E2" w14:textId="77777777" w:rsidR="00783224" w:rsidRPr="00DC5770" w:rsidRDefault="00783224" w:rsidP="008E245B">
            <w:pPr>
              <w:pStyle w:val="TableBody"/>
            </w:pPr>
            <w:r w:rsidRPr="00DC5770">
              <w:t>12</w:t>
            </w:r>
          </w:p>
        </w:tc>
      </w:tr>
      <w:tr w:rsidR="00783224" w:rsidRPr="009B3DF8" w14:paraId="14661C18" w14:textId="77777777" w:rsidTr="008E245B">
        <w:trPr>
          <w:cantSplit/>
          <w:trHeight w:val="284"/>
        </w:trPr>
        <w:tc>
          <w:tcPr>
            <w:tcW w:w="5104" w:type="dxa"/>
            <w:tcBorders>
              <w:top w:val="single" w:sz="4" w:space="0" w:color="auto"/>
              <w:left w:val="single" w:sz="4" w:space="0" w:color="auto"/>
              <w:bottom w:val="single" w:sz="4" w:space="0" w:color="auto"/>
              <w:right w:val="single" w:sz="4" w:space="0" w:color="auto"/>
            </w:tcBorders>
            <w:hideMark/>
          </w:tcPr>
          <w:p w14:paraId="6144FC08" w14:textId="77777777" w:rsidR="00783224" w:rsidRPr="00DC5770" w:rsidRDefault="00783224" w:rsidP="008E245B">
            <w:pPr>
              <w:pStyle w:val="TableBody"/>
            </w:pPr>
            <w:r w:rsidRPr="00DC5770">
              <w:t>Mildura</w:t>
            </w:r>
          </w:p>
        </w:tc>
        <w:tc>
          <w:tcPr>
            <w:tcW w:w="1700" w:type="dxa"/>
            <w:tcBorders>
              <w:top w:val="single" w:sz="4" w:space="0" w:color="auto"/>
              <w:left w:val="single" w:sz="4" w:space="0" w:color="auto"/>
              <w:bottom w:val="single" w:sz="4" w:space="0" w:color="auto"/>
              <w:right w:val="single" w:sz="4" w:space="0" w:color="auto"/>
            </w:tcBorders>
          </w:tcPr>
          <w:p w14:paraId="2E8599F2" w14:textId="77777777" w:rsidR="00783224" w:rsidRPr="00DC5770" w:rsidRDefault="00783224" w:rsidP="008E245B">
            <w:pPr>
              <w:pStyle w:val="TableBody"/>
            </w:pPr>
            <w:r w:rsidRPr="00DC5770">
              <w:t>200 MHz</w:t>
            </w:r>
          </w:p>
        </w:tc>
        <w:tc>
          <w:tcPr>
            <w:tcW w:w="1843" w:type="dxa"/>
            <w:tcBorders>
              <w:top w:val="single" w:sz="4" w:space="0" w:color="auto"/>
              <w:left w:val="single" w:sz="4" w:space="0" w:color="auto"/>
              <w:bottom w:val="single" w:sz="4" w:space="0" w:color="auto"/>
              <w:right w:val="single" w:sz="4" w:space="0" w:color="auto"/>
            </w:tcBorders>
          </w:tcPr>
          <w:p w14:paraId="566FA6FD" w14:textId="77777777" w:rsidR="00783224" w:rsidRPr="00DC5770" w:rsidRDefault="00783224" w:rsidP="008E245B">
            <w:pPr>
              <w:pStyle w:val="TableBody"/>
            </w:pPr>
            <w:r w:rsidRPr="00DC5770">
              <w:t>12</w:t>
            </w:r>
          </w:p>
        </w:tc>
      </w:tr>
      <w:tr w:rsidR="00783224" w:rsidRPr="009B3DF8" w14:paraId="03812560" w14:textId="77777777" w:rsidTr="008E245B">
        <w:trPr>
          <w:cantSplit/>
          <w:trHeight w:val="284"/>
        </w:trPr>
        <w:tc>
          <w:tcPr>
            <w:tcW w:w="5104" w:type="dxa"/>
            <w:tcBorders>
              <w:top w:val="single" w:sz="4" w:space="0" w:color="auto"/>
              <w:left w:val="single" w:sz="4" w:space="0" w:color="auto"/>
              <w:bottom w:val="single" w:sz="4" w:space="0" w:color="auto"/>
              <w:right w:val="single" w:sz="4" w:space="0" w:color="auto"/>
            </w:tcBorders>
            <w:hideMark/>
          </w:tcPr>
          <w:p w14:paraId="2C507294" w14:textId="77777777" w:rsidR="00783224" w:rsidRPr="00DC5770" w:rsidRDefault="00783224" w:rsidP="008E245B">
            <w:pPr>
              <w:pStyle w:val="TableBody"/>
            </w:pPr>
            <w:r w:rsidRPr="00DC5770">
              <w:t>Port Macquarie</w:t>
            </w:r>
          </w:p>
        </w:tc>
        <w:tc>
          <w:tcPr>
            <w:tcW w:w="1700" w:type="dxa"/>
            <w:tcBorders>
              <w:top w:val="single" w:sz="4" w:space="0" w:color="auto"/>
              <w:left w:val="single" w:sz="4" w:space="0" w:color="auto"/>
              <w:bottom w:val="single" w:sz="4" w:space="0" w:color="auto"/>
              <w:right w:val="single" w:sz="4" w:space="0" w:color="auto"/>
            </w:tcBorders>
          </w:tcPr>
          <w:p w14:paraId="2548518A" w14:textId="77777777" w:rsidR="00783224" w:rsidRPr="00DC5770" w:rsidRDefault="00783224" w:rsidP="008E245B">
            <w:pPr>
              <w:pStyle w:val="TableBody"/>
            </w:pPr>
            <w:r w:rsidRPr="00DC5770">
              <w:t>200 MHz</w:t>
            </w:r>
          </w:p>
        </w:tc>
        <w:tc>
          <w:tcPr>
            <w:tcW w:w="1843" w:type="dxa"/>
            <w:tcBorders>
              <w:top w:val="single" w:sz="4" w:space="0" w:color="auto"/>
              <w:left w:val="single" w:sz="4" w:space="0" w:color="auto"/>
              <w:bottom w:val="single" w:sz="4" w:space="0" w:color="auto"/>
              <w:right w:val="single" w:sz="4" w:space="0" w:color="auto"/>
            </w:tcBorders>
          </w:tcPr>
          <w:p w14:paraId="626CD055" w14:textId="77777777" w:rsidR="00783224" w:rsidRPr="00DC5770" w:rsidRDefault="00783224" w:rsidP="008E245B">
            <w:pPr>
              <w:pStyle w:val="TableBody"/>
            </w:pPr>
            <w:r w:rsidRPr="00DC5770">
              <w:t>12</w:t>
            </w:r>
          </w:p>
        </w:tc>
      </w:tr>
      <w:tr w:rsidR="00783224" w:rsidRPr="009B3DF8" w14:paraId="6F09CE46" w14:textId="77777777" w:rsidTr="008E245B">
        <w:trPr>
          <w:cantSplit/>
          <w:trHeight w:val="284"/>
        </w:trPr>
        <w:tc>
          <w:tcPr>
            <w:tcW w:w="5104" w:type="dxa"/>
            <w:tcBorders>
              <w:top w:val="single" w:sz="4" w:space="0" w:color="auto"/>
              <w:left w:val="single" w:sz="4" w:space="0" w:color="auto"/>
              <w:bottom w:val="single" w:sz="4" w:space="0" w:color="auto"/>
              <w:right w:val="single" w:sz="4" w:space="0" w:color="auto"/>
            </w:tcBorders>
            <w:hideMark/>
          </w:tcPr>
          <w:p w14:paraId="0C8374D9" w14:textId="77777777" w:rsidR="00783224" w:rsidRPr="00DC5770" w:rsidRDefault="00783224" w:rsidP="008E245B">
            <w:pPr>
              <w:pStyle w:val="TableBody"/>
            </w:pPr>
            <w:r w:rsidRPr="00DC5770">
              <w:t>Rockhampton</w:t>
            </w:r>
          </w:p>
        </w:tc>
        <w:tc>
          <w:tcPr>
            <w:tcW w:w="1700" w:type="dxa"/>
            <w:tcBorders>
              <w:top w:val="single" w:sz="4" w:space="0" w:color="auto"/>
              <w:left w:val="single" w:sz="4" w:space="0" w:color="auto"/>
              <w:bottom w:val="single" w:sz="4" w:space="0" w:color="auto"/>
              <w:right w:val="single" w:sz="4" w:space="0" w:color="auto"/>
            </w:tcBorders>
          </w:tcPr>
          <w:p w14:paraId="2A265950" w14:textId="77777777" w:rsidR="00783224" w:rsidRPr="00DC5770" w:rsidRDefault="00783224" w:rsidP="008E245B">
            <w:pPr>
              <w:pStyle w:val="TableBody"/>
            </w:pPr>
            <w:r w:rsidRPr="00DC5770">
              <w:t>200 MHz</w:t>
            </w:r>
          </w:p>
        </w:tc>
        <w:tc>
          <w:tcPr>
            <w:tcW w:w="1843" w:type="dxa"/>
            <w:tcBorders>
              <w:top w:val="single" w:sz="4" w:space="0" w:color="auto"/>
              <w:left w:val="single" w:sz="4" w:space="0" w:color="auto"/>
              <w:bottom w:val="single" w:sz="4" w:space="0" w:color="auto"/>
              <w:right w:val="single" w:sz="4" w:space="0" w:color="auto"/>
            </w:tcBorders>
          </w:tcPr>
          <w:p w14:paraId="1C3D198C" w14:textId="77777777" w:rsidR="00783224" w:rsidRPr="00DC5770" w:rsidRDefault="00783224" w:rsidP="008E245B">
            <w:pPr>
              <w:pStyle w:val="TableBody"/>
            </w:pPr>
            <w:r w:rsidRPr="00DC5770">
              <w:t>12</w:t>
            </w:r>
          </w:p>
        </w:tc>
      </w:tr>
      <w:tr w:rsidR="00783224" w:rsidRPr="009B3DF8" w14:paraId="225F35C9" w14:textId="77777777" w:rsidTr="008E245B">
        <w:trPr>
          <w:cantSplit/>
          <w:trHeight w:val="284"/>
        </w:trPr>
        <w:tc>
          <w:tcPr>
            <w:tcW w:w="5104" w:type="dxa"/>
            <w:tcBorders>
              <w:top w:val="single" w:sz="4" w:space="0" w:color="auto"/>
              <w:left w:val="single" w:sz="4" w:space="0" w:color="auto"/>
              <w:bottom w:val="single" w:sz="4" w:space="0" w:color="auto"/>
              <w:right w:val="single" w:sz="4" w:space="0" w:color="auto"/>
            </w:tcBorders>
            <w:hideMark/>
          </w:tcPr>
          <w:p w14:paraId="663B3908" w14:textId="77777777" w:rsidR="00783224" w:rsidRPr="00DC5770" w:rsidRDefault="00783224" w:rsidP="008E245B">
            <w:pPr>
              <w:pStyle w:val="TableBody"/>
            </w:pPr>
            <w:r w:rsidRPr="00DC5770">
              <w:t>Shepparton/Mooroopna</w:t>
            </w:r>
          </w:p>
        </w:tc>
        <w:tc>
          <w:tcPr>
            <w:tcW w:w="1700" w:type="dxa"/>
            <w:tcBorders>
              <w:top w:val="single" w:sz="4" w:space="0" w:color="auto"/>
              <w:left w:val="single" w:sz="4" w:space="0" w:color="auto"/>
              <w:bottom w:val="single" w:sz="4" w:space="0" w:color="auto"/>
              <w:right w:val="single" w:sz="4" w:space="0" w:color="auto"/>
            </w:tcBorders>
          </w:tcPr>
          <w:p w14:paraId="0907CD70" w14:textId="77777777" w:rsidR="00783224" w:rsidRPr="00DC5770" w:rsidRDefault="00783224" w:rsidP="008E245B">
            <w:pPr>
              <w:pStyle w:val="TableBody"/>
            </w:pPr>
            <w:r w:rsidRPr="00DC5770">
              <w:t>200 MHz</w:t>
            </w:r>
          </w:p>
        </w:tc>
        <w:tc>
          <w:tcPr>
            <w:tcW w:w="1843" w:type="dxa"/>
            <w:tcBorders>
              <w:top w:val="single" w:sz="4" w:space="0" w:color="auto"/>
              <w:left w:val="single" w:sz="4" w:space="0" w:color="auto"/>
              <w:bottom w:val="single" w:sz="4" w:space="0" w:color="auto"/>
              <w:right w:val="single" w:sz="4" w:space="0" w:color="auto"/>
            </w:tcBorders>
          </w:tcPr>
          <w:p w14:paraId="0B60F9E3" w14:textId="77777777" w:rsidR="00783224" w:rsidRPr="00DC5770" w:rsidRDefault="00783224" w:rsidP="008E245B">
            <w:pPr>
              <w:pStyle w:val="TableBody"/>
            </w:pPr>
            <w:r w:rsidRPr="00DC5770">
              <w:t>12</w:t>
            </w:r>
          </w:p>
        </w:tc>
      </w:tr>
      <w:tr w:rsidR="00783224" w:rsidRPr="009B3DF8" w14:paraId="37E03BFE" w14:textId="77777777" w:rsidTr="008E245B">
        <w:trPr>
          <w:cantSplit/>
          <w:trHeight w:val="284"/>
        </w:trPr>
        <w:tc>
          <w:tcPr>
            <w:tcW w:w="5104" w:type="dxa"/>
            <w:tcBorders>
              <w:top w:val="single" w:sz="4" w:space="0" w:color="auto"/>
              <w:left w:val="single" w:sz="4" w:space="0" w:color="auto"/>
              <w:bottom w:val="single" w:sz="4" w:space="0" w:color="auto"/>
              <w:right w:val="single" w:sz="4" w:space="0" w:color="auto"/>
            </w:tcBorders>
            <w:hideMark/>
          </w:tcPr>
          <w:p w14:paraId="399F1BF6" w14:textId="77777777" w:rsidR="00783224" w:rsidRPr="00DC5770" w:rsidRDefault="00783224" w:rsidP="008E245B">
            <w:pPr>
              <w:pStyle w:val="TableBody"/>
            </w:pPr>
            <w:r w:rsidRPr="00DC5770">
              <w:t>Townsville</w:t>
            </w:r>
          </w:p>
        </w:tc>
        <w:tc>
          <w:tcPr>
            <w:tcW w:w="1700" w:type="dxa"/>
            <w:tcBorders>
              <w:top w:val="single" w:sz="4" w:space="0" w:color="auto"/>
              <w:left w:val="single" w:sz="4" w:space="0" w:color="auto"/>
              <w:bottom w:val="single" w:sz="4" w:space="0" w:color="auto"/>
              <w:right w:val="single" w:sz="4" w:space="0" w:color="auto"/>
            </w:tcBorders>
          </w:tcPr>
          <w:p w14:paraId="28009232" w14:textId="77777777" w:rsidR="00783224" w:rsidRPr="00DC5770" w:rsidRDefault="00783224" w:rsidP="008E245B">
            <w:pPr>
              <w:pStyle w:val="TableBody"/>
            </w:pPr>
            <w:r w:rsidRPr="00DC5770">
              <w:t>200 MHz</w:t>
            </w:r>
          </w:p>
        </w:tc>
        <w:tc>
          <w:tcPr>
            <w:tcW w:w="1843" w:type="dxa"/>
            <w:tcBorders>
              <w:top w:val="single" w:sz="4" w:space="0" w:color="auto"/>
              <w:left w:val="single" w:sz="4" w:space="0" w:color="auto"/>
              <w:bottom w:val="single" w:sz="4" w:space="0" w:color="auto"/>
              <w:right w:val="single" w:sz="4" w:space="0" w:color="auto"/>
            </w:tcBorders>
          </w:tcPr>
          <w:p w14:paraId="38F55C3C" w14:textId="77777777" w:rsidR="00783224" w:rsidRPr="00DC5770" w:rsidRDefault="00783224" w:rsidP="008E245B">
            <w:pPr>
              <w:pStyle w:val="TableBody"/>
            </w:pPr>
            <w:r w:rsidRPr="00DC5770">
              <w:t>12</w:t>
            </w:r>
          </w:p>
        </w:tc>
      </w:tr>
      <w:tr w:rsidR="00783224" w:rsidRPr="009B3DF8" w14:paraId="636C4C48" w14:textId="77777777" w:rsidTr="008E245B">
        <w:trPr>
          <w:cantSplit/>
          <w:trHeight w:val="284"/>
        </w:trPr>
        <w:tc>
          <w:tcPr>
            <w:tcW w:w="5104" w:type="dxa"/>
            <w:tcBorders>
              <w:top w:val="single" w:sz="4" w:space="0" w:color="auto"/>
              <w:left w:val="single" w:sz="4" w:space="0" w:color="auto"/>
              <w:bottom w:val="single" w:sz="4" w:space="0" w:color="auto"/>
              <w:right w:val="single" w:sz="4" w:space="0" w:color="auto"/>
            </w:tcBorders>
            <w:hideMark/>
          </w:tcPr>
          <w:p w14:paraId="306A6314" w14:textId="77777777" w:rsidR="00783224" w:rsidRPr="00DC5770" w:rsidRDefault="00783224" w:rsidP="008E245B">
            <w:pPr>
              <w:pStyle w:val="TableBody"/>
            </w:pPr>
            <w:r w:rsidRPr="00DC5770">
              <w:t>Traralgon/Morwell</w:t>
            </w:r>
          </w:p>
        </w:tc>
        <w:tc>
          <w:tcPr>
            <w:tcW w:w="1700" w:type="dxa"/>
            <w:tcBorders>
              <w:top w:val="single" w:sz="4" w:space="0" w:color="auto"/>
              <w:left w:val="single" w:sz="4" w:space="0" w:color="auto"/>
              <w:bottom w:val="single" w:sz="4" w:space="0" w:color="auto"/>
              <w:right w:val="single" w:sz="4" w:space="0" w:color="auto"/>
            </w:tcBorders>
          </w:tcPr>
          <w:p w14:paraId="7C67CE01" w14:textId="77777777" w:rsidR="00783224" w:rsidRPr="00DC5770" w:rsidRDefault="00783224" w:rsidP="008E245B">
            <w:pPr>
              <w:pStyle w:val="TableBody"/>
            </w:pPr>
            <w:r w:rsidRPr="00DC5770">
              <w:t>200 MHz</w:t>
            </w:r>
          </w:p>
        </w:tc>
        <w:tc>
          <w:tcPr>
            <w:tcW w:w="1843" w:type="dxa"/>
            <w:tcBorders>
              <w:top w:val="single" w:sz="4" w:space="0" w:color="auto"/>
              <w:left w:val="single" w:sz="4" w:space="0" w:color="auto"/>
              <w:bottom w:val="single" w:sz="4" w:space="0" w:color="auto"/>
              <w:right w:val="single" w:sz="4" w:space="0" w:color="auto"/>
            </w:tcBorders>
          </w:tcPr>
          <w:p w14:paraId="3556F11A" w14:textId="77777777" w:rsidR="00783224" w:rsidRPr="00DC5770" w:rsidRDefault="00783224" w:rsidP="008E245B">
            <w:pPr>
              <w:pStyle w:val="TableBody"/>
            </w:pPr>
            <w:r w:rsidRPr="00DC5770">
              <w:t>12</w:t>
            </w:r>
          </w:p>
        </w:tc>
      </w:tr>
      <w:tr w:rsidR="00783224" w:rsidRPr="009B3DF8" w14:paraId="640FF54B" w14:textId="77777777" w:rsidTr="008E245B">
        <w:trPr>
          <w:cantSplit/>
          <w:trHeight w:val="284"/>
        </w:trPr>
        <w:tc>
          <w:tcPr>
            <w:tcW w:w="5104" w:type="dxa"/>
            <w:tcBorders>
              <w:top w:val="single" w:sz="4" w:space="0" w:color="auto"/>
              <w:left w:val="single" w:sz="4" w:space="0" w:color="auto"/>
              <w:bottom w:val="single" w:sz="4" w:space="0" w:color="auto"/>
              <w:right w:val="single" w:sz="4" w:space="0" w:color="auto"/>
            </w:tcBorders>
            <w:hideMark/>
          </w:tcPr>
          <w:p w14:paraId="4CB75E31" w14:textId="77777777" w:rsidR="00783224" w:rsidRPr="00DC5770" w:rsidRDefault="00783224" w:rsidP="008E245B">
            <w:pPr>
              <w:pStyle w:val="TableBody"/>
            </w:pPr>
            <w:r w:rsidRPr="00DC5770">
              <w:t>Wagga Wagga</w:t>
            </w:r>
          </w:p>
        </w:tc>
        <w:tc>
          <w:tcPr>
            <w:tcW w:w="1700" w:type="dxa"/>
            <w:tcBorders>
              <w:top w:val="single" w:sz="4" w:space="0" w:color="auto"/>
              <w:left w:val="single" w:sz="4" w:space="0" w:color="auto"/>
              <w:bottom w:val="single" w:sz="4" w:space="0" w:color="auto"/>
              <w:right w:val="single" w:sz="4" w:space="0" w:color="auto"/>
            </w:tcBorders>
          </w:tcPr>
          <w:p w14:paraId="31A55731" w14:textId="77777777" w:rsidR="00783224" w:rsidRPr="00DC5770" w:rsidRDefault="00783224" w:rsidP="008E245B">
            <w:pPr>
              <w:pStyle w:val="TableBody"/>
            </w:pPr>
            <w:r w:rsidRPr="00DC5770">
              <w:t>200 MHz</w:t>
            </w:r>
          </w:p>
        </w:tc>
        <w:tc>
          <w:tcPr>
            <w:tcW w:w="1843" w:type="dxa"/>
            <w:tcBorders>
              <w:top w:val="single" w:sz="4" w:space="0" w:color="auto"/>
              <w:left w:val="single" w:sz="4" w:space="0" w:color="auto"/>
              <w:bottom w:val="single" w:sz="4" w:space="0" w:color="auto"/>
              <w:right w:val="single" w:sz="4" w:space="0" w:color="auto"/>
            </w:tcBorders>
          </w:tcPr>
          <w:p w14:paraId="2F0EC107" w14:textId="77777777" w:rsidR="00783224" w:rsidRPr="00DC5770" w:rsidRDefault="00783224" w:rsidP="008E245B">
            <w:pPr>
              <w:pStyle w:val="TableBody"/>
            </w:pPr>
            <w:r w:rsidRPr="00DC5770">
              <w:t>12</w:t>
            </w:r>
          </w:p>
        </w:tc>
      </w:tr>
      <w:tr w:rsidR="00783224" w:rsidRPr="009B3DF8" w14:paraId="31E55656" w14:textId="77777777" w:rsidTr="008E245B">
        <w:trPr>
          <w:cantSplit/>
          <w:trHeight w:val="284"/>
        </w:trPr>
        <w:tc>
          <w:tcPr>
            <w:tcW w:w="5104" w:type="dxa"/>
            <w:tcBorders>
              <w:top w:val="single" w:sz="4" w:space="0" w:color="auto"/>
              <w:left w:val="single" w:sz="4" w:space="0" w:color="auto"/>
              <w:bottom w:val="single" w:sz="4" w:space="0" w:color="auto"/>
              <w:right w:val="single" w:sz="4" w:space="0" w:color="auto"/>
            </w:tcBorders>
            <w:hideMark/>
          </w:tcPr>
          <w:p w14:paraId="53423096" w14:textId="77777777" w:rsidR="00783224" w:rsidRPr="00DC5770" w:rsidRDefault="00783224" w:rsidP="008E245B">
            <w:pPr>
              <w:pStyle w:val="TableBody"/>
            </w:pPr>
            <w:r w:rsidRPr="00DC5770">
              <w:t>Warrnambool</w:t>
            </w:r>
          </w:p>
        </w:tc>
        <w:tc>
          <w:tcPr>
            <w:tcW w:w="1700" w:type="dxa"/>
            <w:tcBorders>
              <w:top w:val="single" w:sz="4" w:space="0" w:color="auto"/>
              <w:left w:val="single" w:sz="4" w:space="0" w:color="auto"/>
              <w:bottom w:val="single" w:sz="4" w:space="0" w:color="auto"/>
              <w:right w:val="single" w:sz="4" w:space="0" w:color="auto"/>
            </w:tcBorders>
          </w:tcPr>
          <w:p w14:paraId="2D4ECB60" w14:textId="77777777" w:rsidR="00783224" w:rsidRPr="00DC5770" w:rsidRDefault="00783224" w:rsidP="008E245B">
            <w:pPr>
              <w:pStyle w:val="TableBody"/>
            </w:pPr>
            <w:r w:rsidRPr="00DC5770">
              <w:t>200 MHz</w:t>
            </w:r>
          </w:p>
        </w:tc>
        <w:tc>
          <w:tcPr>
            <w:tcW w:w="1843" w:type="dxa"/>
            <w:tcBorders>
              <w:top w:val="single" w:sz="4" w:space="0" w:color="auto"/>
              <w:left w:val="single" w:sz="4" w:space="0" w:color="auto"/>
              <w:bottom w:val="single" w:sz="4" w:space="0" w:color="auto"/>
              <w:right w:val="single" w:sz="4" w:space="0" w:color="auto"/>
            </w:tcBorders>
          </w:tcPr>
          <w:p w14:paraId="42DCF665" w14:textId="77777777" w:rsidR="00783224" w:rsidRPr="00DC5770" w:rsidRDefault="00783224" w:rsidP="008E245B">
            <w:pPr>
              <w:pStyle w:val="TableBody"/>
            </w:pPr>
            <w:r w:rsidRPr="00DC5770">
              <w:t>12</w:t>
            </w:r>
          </w:p>
        </w:tc>
      </w:tr>
    </w:tbl>
    <w:p w14:paraId="017E9DE7" w14:textId="67682139" w:rsidR="007732B7" w:rsidRDefault="005E62F2" w:rsidP="00A7054B">
      <w:pPr>
        <w:keepNext/>
        <w:spacing w:after="80"/>
        <w:rPr>
          <w:rFonts w:cs="Arial"/>
          <w:i/>
          <w:sz w:val="16"/>
        </w:rPr>
      </w:pPr>
      <w:r w:rsidRPr="007732B7">
        <w:rPr>
          <w:rFonts w:cs="Arial"/>
          <w:i/>
          <w:sz w:val="16"/>
        </w:rPr>
        <w:t xml:space="preserve">Note: Greater Perth aggregates into a single </w:t>
      </w:r>
      <w:r w:rsidR="00CB4EB9">
        <w:rPr>
          <w:rFonts w:cs="Arial"/>
          <w:i/>
          <w:sz w:val="16"/>
        </w:rPr>
        <w:t>product</w:t>
      </w:r>
      <w:r w:rsidRPr="007732B7">
        <w:rPr>
          <w:rFonts w:cs="Arial"/>
          <w:i/>
          <w:sz w:val="16"/>
        </w:rPr>
        <w:t xml:space="preserve"> the Perth/Bunbury, Perth and Bunbury areas declared by the Minister and defined in the </w:t>
      </w:r>
      <w:hyperlink r:id="rId56" w:history="1">
        <w:r w:rsidRPr="007732B7">
          <w:rPr>
            <w:rFonts w:cs="Arial"/>
            <w:i/>
            <w:sz w:val="16"/>
          </w:rPr>
          <w:t>Radiocommunications (Spectrum Re-allocation—26 GHz Band) Declaration 2019</w:t>
        </w:r>
      </w:hyperlink>
      <w:r w:rsidRPr="007732B7">
        <w:rPr>
          <w:rFonts w:cs="Arial"/>
          <w:i/>
          <w:sz w:val="16"/>
        </w:rPr>
        <w:t>.</w:t>
      </w:r>
    </w:p>
    <w:p w14:paraId="770B2676" w14:textId="0A01F104" w:rsidR="00A46C65" w:rsidRDefault="00A46C65" w:rsidP="00430BFA">
      <w:pPr>
        <w:spacing w:after="80"/>
        <w:rPr>
          <w:rFonts w:cs="Arial"/>
        </w:rPr>
      </w:pPr>
    </w:p>
    <w:p w14:paraId="570CC9A2" w14:textId="49EA4535" w:rsidR="00C97682" w:rsidRPr="001437C0" w:rsidRDefault="00C97682" w:rsidP="00C97682">
      <w:pPr>
        <w:pBdr>
          <w:top w:val="single" w:sz="4" w:space="1" w:color="auto"/>
          <w:left w:val="single" w:sz="4" w:space="4" w:color="auto"/>
          <w:bottom w:val="single" w:sz="4" w:space="1" w:color="auto"/>
          <w:right w:val="single" w:sz="4" w:space="4" w:color="auto"/>
        </w:pBdr>
        <w:shd w:val="clear" w:color="auto" w:fill="F2F2F2" w:themeFill="background1" w:themeFillShade="F2"/>
        <w:spacing w:after="120"/>
        <w:rPr>
          <w:b/>
        </w:rPr>
      </w:pPr>
      <w:r>
        <w:rPr>
          <w:b/>
        </w:rPr>
        <w:t>Draft marketing plan</w:t>
      </w:r>
    </w:p>
    <w:p w14:paraId="38544C37" w14:textId="7EEC61DA" w:rsidR="004E0D99" w:rsidRDefault="00C97682" w:rsidP="004E6F93">
      <w:pPr>
        <w:pBdr>
          <w:top w:val="single" w:sz="4" w:space="1" w:color="auto"/>
          <w:left w:val="single" w:sz="4" w:space="4" w:color="auto"/>
          <w:bottom w:val="single" w:sz="4" w:space="1" w:color="auto"/>
          <w:right w:val="single" w:sz="4" w:space="4" w:color="auto"/>
        </w:pBdr>
        <w:shd w:val="clear" w:color="auto" w:fill="F2F2F2" w:themeFill="background1" w:themeFillShade="F2"/>
        <w:spacing w:after="80"/>
      </w:pPr>
      <w:r>
        <w:t xml:space="preserve">We seek stakeholder views on the </w:t>
      </w:r>
      <w:r w:rsidR="007957D5">
        <w:t xml:space="preserve">matters raised in </w:t>
      </w:r>
      <w:r w:rsidR="00431F9F">
        <w:t xml:space="preserve">the </w:t>
      </w:r>
      <w:r>
        <w:t>draft marketing plan, including</w:t>
      </w:r>
      <w:r w:rsidR="004E0D99">
        <w:t>:</w:t>
      </w:r>
    </w:p>
    <w:p w14:paraId="0C746EAE" w14:textId="0CD7CCA7" w:rsidR="007310E6" w:rsidRDefault="004E0D99" w:rsidP="00C97682">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pPr>
      <w:r>
        <w:t xml:space="preserve">&gt; </w:t>
      </w:r>
      <w:r w:rsidR="007310E6">
        <w:t xml:space="preserve">the 12 x 200 MHz lots for each </w:t>
      </w:r>
      <w:proofErr w:type="gramStart"/>
      <w:r w:rsidR="007310E6">
        <w:t>product;</w:t>
      </w:r>
      <w:proofErr w:type="gramEnd"/>
    </w:p>
    <w:p w14:paraId="35F8EA2D" w14:textId="44F8E1DB" w:rsidR="004E0D99" w:rsidRDefault="007310E6" w:rsidP="00C97682">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pPr>
      <w:r>
        <w:t xml:space="preserve">&gt; </w:t>
      </w:r>
      <w:r w:rsidR="00C97682">
        <w:t xml:space="preserve">the Greater Perth </w:t>
      </w:r>
      <w:r w:rsidR="00D840FB">
        <w:t xml:space="preserve">product </w:t>
      </w:r>
      <w:r w:rsidR="00C97682">
        <w:t>configuration</w:t>
      </w:r>
      <w:r>
        <w:t>; and</w:t>
      </w:r>
    </w:p>
    <w:p w14:paraId="20A028C4" w14:textId="7831A6DA" w:rsidR="00C97682" w:rsidRDefault="004E0D99" w:rsidP="007310E6">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pPr>
      <w:r>
        <w:t xml:space="preserve">&gt; </w:t>
      </w:r>
      <w:r w:rsidR="00BE43DF">
        <w:t>the remaining areas</w:t>
      </w:r>
      <w:r w:rsidR="004635AA">
        <w:t xml:space="preserve"> </w:t>
      </w:r>
      <w:r>
        <w:t>offered as separate products</w:t>
      </w:r>
      <w:r w:rsidR="005F2762">
        <w:t>.</w:t>
      </w:r>
    </w:p>
    <w:p w14:paraId="0787E5C5" w14:textId="03867CB4" w:rsidR="00C97682" w:rsidRDefault="00C97682" w:rsidP="00430BFA">
      <w:pPr>
        <w:spacing w:after="80"/>
        <w:rPr>
          <w:rFonts w:cs="Arial"/>
        </w:rPr>
      </w:pPr>
    </w:p>
    <w:p w14:paraId="7312582F" w14:textId="3FA3B64A" w:rsidR="004B1899" w:rsidRDefault="004B1899" w:rsidP="004E6F93">
      <w:pPr>
        <w:pStyle w:val="Heading1"/>
      </w:pPr>
      <w:bookmarkStart w:id="59" w:name="_Draft_allocation_determination"/>
      <w:bookmarkStart w:id="60" w:name="_Toc45112206"/>
      <w:bookmarkEnd w:id="59"/>
      <w:r w:rsidRPr="003B2207">
        <w:t xml:space="preserve">Draft </w:t>
      </w:r>
      <w:r>
        <w:t>allocation determination</w:t>
      </w:r>
      <w:bookmarkEnd w:id="60"/>
    </w:p>
    <w:p w14:paraId="2C977076" w14:textId="23DAF61A" w:rsidR="005F4911" w:rsidRDefault="004B1899" w:rsidP="004E6F93">
      <w:pPr>
        <w:pStyle w:val="Paragraph"/>
      </w:pPr>
      <w:r>
        <w:t xml:space="preserve">This </w:t>
      </w:r>
      <w:r w:rsidR="005F2762">
        <w:t xml:space="preserve">section </w:t>
      </w:r>
      <w:r>
        <w:t>sets out</w:t>
      </w:r>
      <w:r w:rsidR="0082066A">
        <w:t xml:space="preserve"> </w:t>
      </w:r>
      <w:r w:rsidR="00F27989">
        <w:t xml:space="preserve">the key matters in </w:t>
      </w:r>
      <w:r>
        <w:t>the draft allocation determination.</w:t>
      </w:r>
    </w:p>
    <w:p w14:paraId="0ECBC58E" w14:textId="171D8BC2" w:rsidR="005F4911" w:rsidRDefault="004B1899" w:rsidP="004E6F93">
      <w:pPr>
        <w:pStyle w:val="Paragraphbeforelist"/>
      </w:pPr>
      <w:r>
        <w:t xml:space="preserve">The draft allocation determination </w:t>
      </w:r>
      <w:r w:rsidR="00F27989">
        <w:t>includes</w:t>
      </w:r>
      <w:r w:rsidR="005F4911">
        <w:t>:</w:t>
      </w:r>
    </w:p>
    <w:p w14:paraId="53BA7827" w14:textId="6780BC9C" w:rsidR="00F27989" w:rsidRDefault="004B1899" w:rsidP="00752B8D">
      <w:pPr>
        <w:pStyle w:val="Bulletlevel1"/>
      </w:pPr>
      <w:r w:rsidRPr="00F27989">
        <w:t>rules for how the spectrum will be allocated by auction</w:t>
      </w:r>
    </w:p>
    <w:p w14:paraId="00C2F98F" w14:textId="7153864B" w:rsidR="00F27989" w:rsidRDefault="004B1899" w:rsidP="00F27989">
      <w:pPr>
        <w:pStyle w:val="Bulletlevel1"/>
      </w:pPr>
      <w:r w:rsidRPr="00F27989">
        <w:t>the auction</w:t>
      </w:r>
      <w:r w:rsidR="004E0D99">
        <w:t xml:space="preserve"> format</w:t>
      </w:r>
      <w:r w:rsidRPr="00F27989">
        <w:t xml:space="preserve"> that will be used</w:t>
      </w:r>
    </w:p>
    <w:p w14:paraId="411BA158" w14:textId="36CE7C5F" w:rsidR="00F27989" w:rsidRDefault="004B1899" w:rsidP="00752B8D">
      <w:pPr>
        <w:pStyle w:val="Bulletlevel1"/>
      </w:pPr>
      <w:r w:rsidRPr="00F27989">
        <w:t>procedures that will apply to the auction</w:t>
      </w:r>
    </w:p>
    <w:p w14:paraId="1EB3F344" w14:textId="49404209" w:rsidR="005F4911" w:rsidRPr="00F27989" w:rsidRDefault="004B1899" w:rsidP="004E6F93">
      <w:pPr>
        <w:pStyle w:val="Bulletlevel1last"/>
      </w:pPr>
      <w:r w:rsidRPr="00F27989">
        <w:t xml:space="preserve">responsibilities of bidders and the ACMA </w:t>
      </w:r>
      <w:r w:rsidR="002D7862" w:rsidRPr="00F27989">
        <w:t>throughout</w:t>
      </w:r>
      <w:r w:rsidRPr="00F27989">
        <w:t xml:space="preserve"> all stages of the allocation.</w:t>
      </w:r>
    </w:p>
    <w:p w14:paraId="4AAB56F2" w14:textId="3BE9E1E2" w:rsidR="00A44759" w:rsidRPr="00D61740" w:rsidRDefault="00A44759" w:rsidP="00EA18A8">
      <w:pPr>
        <w:pStyle w:val="Heading2"/>
      </w:pPr>
      <w:bookmarkStart w:id="61" w:name="_Toc45112207"/>
      <w:r>
        <w:t>Allocation methodology</w:t>
      </w:r>
      <w:bookmarkEnd w:id="61"/>
    </w:p>
    <w:p w14:paraId="21BD37CC" w14:textId="530AC955" w:rsidR="004B1899" w:rsidRDefault="00A44759" w:rsidP="004E6F93">
      <w:pPr>
        <w:pStyle w:val="Paragraph"/>
      </w:pPr>
      <w:r>
        <w:t xml:space="preserve">The ACMA must allocate the 26 GHz band in accordance with </w:t>
      </w:r>
      <w:r w:rsidR="0070542E">
        <w:t>section </w:t>
      </w:r>
      <w:r>
        <w:t>60 of the Act</w:t>
      </w:r>
      <w:r w:rsidR="00856CD8">
        <w:t>—</w:t>
      </w:r>
      <w:r>
        <w:t>that is, via auction, via tender or for a predetermined or negotiated price.</w:t>
      </w:r>
    </w:p>
    <w:p w14:paraId="5AFBD075" w14:textId="13FEF42B" w:rsidR="00DE30EA" w:rsidRDefault="00DE30EA" w:rsidP="004E6F93">
      <w:pPr>
        <w:pStyle w:val="Paragraphbeforelist"/>
      </w:pPr>
      <w:r>
        <w:t>In allocating spectrum, the ACMA is guided by the object of the Act, the most relevant parts being to:</w:t>
      </w:r>
    </w:p>
    <w:p w14:paraId="298982AC" w14:textId="5A2A04BA" w:rsidR="00DE30EA" w:rsidRPr="0056197C" w:rsidRDefault="00DE30EA" w:rsidP="00DE30EA">
      <w:pPr>
        <w:pStyle w:val="Bulletlevel1"/>
      </w:pPr>
      <w:r w:rsidRPr="0056197C">
        <w:t>maximise, by ensuring the efficient allocation and use of the spectrum, the overall public benefit derived from using the radiofrequency spectrum</w:t>
      </w:r>
    </w:p>
    <w:p w14:paraId="13E003D0" w14:textId="51708356" w:rsidR="00DE30EA" w:rsidRPr="0056197C" w:rsidRDefault="00DE30EA" w:rsidP="004E6F93">
      <w:pPr>
        <w:pStyle w:val="Bulletlevel1last"/>
      </w:pPr>
      <w:r w:rsidRPr="0056197C">
        <w:t>support the communications policy objectives of the Australian Government.</w:t>
      </w:r>
    </w:p>
    <w:p w14:paraId="4018AF92" w14:textId="223BCBDF" w:rsidR="00A44759" w:rsidRDefault="004460F0" w:rsidP="004E6F93">
      <w:pPr>
        <w:pStyle w:val="Paragraph"/>
      </w:pPr>
      <w:r>
        <w:t>We consider that an auction furthers the government’s policy objectives of promoting efficient alloc</w:t>
      </w:r>
      <w:r w:rsidR="00256700">
        <w:t>a</w:t>
      </w:r>
      <w:r>
        <w:t xml:space="preserve">tion and use of </w:t>
      </w:r>
      <w:r w:rsidR="00A94624">
        <w:t xml:space="preserve">the </w:t>
      </w:r>
      <w:r>
        <w:t xml:space="preserve">spectrum. </w:t>
      </w:r>
      <w:r w:rsidR="00B9474C">
        <w:t>A</w:t>
      </w:r>
      <w:r w:rsidR="00B9474C" w:rsidRPr="002301F0">
        <w:t xml:space="preserve">uctions </w:t>
      </w:r>
      <w:r w:rsidR="00B9474C">
        <w:t xml:space="preserve">provide a </w:t>
      </w:r>
      <w:r w:rsidR="00B9474C" w:rsidRPr="002301F0">
        <w:t xml:space="preserve">transparent method of allocating </w:t>
      </w:r>
      <w:r w:rsidR="00B9474C">
        <w:t>spectrum</w:t>
      </w:r>
      <w:r w:rsidR="00B9474C" w:rsidRPr="002301F0">
        <w:t xml:space="preserve"> where there is</w:t>
      </w:r>
      <w:r w:rsidR="00B9474C" w:rsidRPr="002301F0" w:rsidDel="00F41D63">
        <w:t xml:space="preserve"> </w:t>
      </w:r>
      <w:r w:rsidR="00B9474C">
        <w:t xml:space="preserve">likely to be </w:t>
      </w:r>
      <w:r w:rsidR="00B9474C" w:rsidRPr="002301F0">
        <w:t>competing demand</w:t>
      </w:r>
      <w:r w:rsidR="00B9474C">
        <w:t>, either in the aggregate or for individual lots</w:t>
      </w:r>
      <w:r w:rsidR="00B9474C" w:rsidRPr="002301F0">
        <w:t>.</w:t>
      </w:r>
      <w:r w:rsidR="00B9474C">
        <w:t xml:space="preserve"> Auction</w:t>
      </w:r>
      <w:r w:rsidR="000D6BC8">
        <w:t>s</w:t>
      </w:r>
      <w:r w:rsidR="00B9474C">
        <w:t xml:space="preserve"> also allow for</w:t>
      </w:r>
      <w:r w:rsidR="000A1AB1">
        <w:t xml:space="preserve"> price discovery.</w:t>
      </w:r>
    </w:p>
    <w:p w14:paraId="1E03EC65" w14:textId="51B453A7" w:rsidR="000A1AB1" w:rsidRDefault="000A1AB1" w:rsidP="004E6F93">
      <w:pPr>
        <w:pStyle w:val="Paragraph"/>
      </w:pPr>
      <w:r w:rsidRPr="0056197C">
        <w:t xml:space="preserve">The auction mechanism is intended to </w:t>
      </w:r>
      <w:r w:rsidR="00856CD8" w:rsidRPr="0056197C">
        <w:t>allocate</w:t>
      </w:r>
      <w:r w:rsidRPr="0056197C">
        <w:t xml:space="preserve"> the available spectrum to the bidder or bidders who value it the </w:t>
      </w:r>
      <w:proofErr w:type="gramStart"/>
      <w:r w:rsidRPr="0056197C">
        <w:t>most, and</w:t>
      </w:r>
      <w:proofErr w:type="gramEnd"/>
      <w:r w:rsidRPr="0056197C">
        <w:t xml:space="preserve"> provides for an outcome that maximises the public benefit from the </w:t>
      </w:r>
      <w:r w:rsidRPr="00EE68F4">
        <w:t>allocation</w:t>
      </w:r>
      <w:r w:rsidRPr="0056197C">
        <w:t xml:space="preserve"> and use of the spectrum.</w:t>
      </w:r>
      <w:r w:rsidR="000D6BC8">
        <w:rPr>
          <w:rStyle w:val="FootnoteReference"/>
        </w:rPr>
        <w:footnoteReference w:id="18"/>
      </w:r>
      <w:r w:rsidR="000D6BC8">
        <w:t xml:space="preserve"> </w:t>
      </w:r>
    </w:p>
    <w:p w14:paraId="6DC604BC" w14:textId="77777777" w:rsidR="001C0DA7" w:rsidRPr="00D572B0" w:rsidRDefault="001C0DA7" w:rsidP="001C0DA7">
      <w:pPr>
        <w:pStyle w:val="Heading2"/>
      </w:pPr>
      <w:bookmarkStart w:id="62" w:name="_Auction_format"/>
      <w:bookmarkStart w:id="63" w:name="_Toc459210820"/>
      <w:bookmarkStart w:id="64" w:name="_Toc461025818"/>
      <w:bookmarkStart w:id="65" w:name="_Toc512246163"/>
      <w:bookmarkStart w:id="66" w:name="_Toc512503297"/>
      <w:bookmarkStart w:id="67" w:name="_Toc514330446"/>
      <w:bookmarkStart w:id="68" w:name="_Toc45112208"/>
      <w:bookmarkEnd w:id="62"/>
      <w:r w:rsidRPr="00D572B0">
        <w:t xml:space="preserve">Auction </w:t>
      </w:r>
      <w:bookmarkEnd w:id="63"/>
      <w:bookmarkEnd w:id="64"/>
      <w:r w:rsidRPr="006012D7">
        <w:t>format</w:t>
      </w:r>
      <w:bookmarkEnd w:id="65"/>
      <w:bookmarkEnd w:id="66"/>
      <w:bookmarkEnd w:id="67"/>
      <w:bookmarkEnd w:id="68"/>
      <w:r w:rsidRPr="006012D7">
        <w:t xml:space="preserve"> </w:t>
      </w:r>
    </w:p>
    <w:p w14:paraId="60B08C91" w14:textId="6B0900DA" w:rsidR="001C0DA7" w:rsidRDefault="008A4186" w:rsidP="004E6F93">
      <w:pPr>
        <w:pStyle w:val="Paragraph"/>
      </w:pPr>
      <w:bookmarkStart w:id="69" w:name="_Toc422236078"/>
      <w:bookmarkEnd w:id="69"/>
      <w:r>
        <w:t>We have</w:t>
      </w:r>
      <w:r w:rsidR="001C0DA7">
        <w:t xml:space="preserve"> been considering which auction </w:t>
      </w:r>
      <w:r w:rsidR="004E0D99">
        <w:t xml:space="preserve">format </w:t>
      </w:r>
      <w:r w:rsidR="001C0DA7">
        <w:t xml:space="preserve">will provide the most effective and efficient allocation. </w:t>
      </w:r>
      <w:r w:rsidR="00713B00">
        <w:t>Auction</w:t>
      </w:r>
      <w:r w:rsidR="001C0DA7">
        <w:t xml:space="preserve"> formats</w:t>
      </w:r>
      <w:r w:rsidR="00713B00">
        <w:t xml:space="preserve"> under consideration,</w:t>
      </w:r>
      <w:r w:rsidR="001C0DA7">
        <w:t xml:space="preserve"> and their suitability for this auction</w:t>
      </w:r>
      <w:r w:rsidR="0070542E">
        <w:t>,</w:t>
      </w:r>
      <w:r w:rsidR="001C0DA7">
        <w:t xml:space="preserve"> are summarised in </w:t>
      </w:r>
      <w:r w:rsidR="001C0DA7" w:rsidRPr="00A15A9F">
        <w:t xml:space="preserve">Table </w:t>
      </w:r>
      <w:r w:rsidR="004229C0">
        <w:t>6</w:t>
      </w:r>
      <w:r w:rsidR="001C0DA7" w:rsidRPr="00A15A9F">
        <w:t>.</w:t>
      </w:r>
    </w:p>
    <w:p w14:paraId="08985D68" w14:textId="59A804E0" w:rsidR="00C070A3" w:rsidRPr="00182097" w:rsidRDefault="00783763" w:rsidP="00783763">
      <w:pPr>
        <w:pStyle w:val="ACMATableHeader"/>
        <w:keepNext/>
        <w:keepLines/>
      </w:pPr>
      <w:r w:rsidRPr="00A15A9F">
        <w:t xml:space="preserve">Table </w:t>
      </w:r>
      <w:r w:rsidR="004229C0">
        <w:t>6</w:t>
      </w:r>
      <w:r w:rsidRPr="00A15A9F">
        <w:t xml:space="preserve">: </w:t>
      </w:r>
      <w:r w:rsidR="00C070A3" w:rsidRPr="00A15A9F">
        <w:t>Potential</w:t>
      </w:r>
      <w:r w:rsidR="00C070A3">
        <w:t xml:space="preserve"> auction formats and suitability for </w:t>
      </w:r>
      <w:r w:rsidR="00B903DE">
        <w:t>26</w:t>
      </w:r>
      <w:r w:rsidR="00C070A3">
        <w:t xml:space="preserve"> GHz </w:t>
      </w:r>
      <w:r w:rsidR="00B903DE">
        <w:t xml:space="preserve">band </w:t>
      </w:r>
      <w:r w:rsidR="00C070A3">
        <w:t>auction</w:t>
      </w:r>
    </w:p>
    <w:tbl>
      <w:tblPr>
        <w:tblStyle w:val="GridTable4"/>
        <w:tblW w:w="0" w:type="auto"/>
        <w:tblLook w:val="04A0" w:firstRow="1" w:lastRow="0" w:firstColumn="1" w:lastColumn="0" w:noHBand="0" w:noVBand="1"/>
        <w:tblCaption w:val="Potential auction formats and suitability for 3.6 GHz auction"/>
      </w:tblPr>
      <w:tblGrid>
        <w:gridCol w:w="1696"/>
        <w:gridCol w:w="3544"/>
        <w:gridCol w:w="2421"/>
      </w:tblGrid>
      <w:tr w:rsidR="00C070A3" w14:paraId="06E7985E" w14:textId="77777777" w:rsidTr="00692624">
        <w:trPr>
          <w:cnfStyle w:val="100000000000" w:firstRow="1" w:lastRow="0" w:firstColumn="0" w:lastColumn="0" w:oddVBand="0" w:evenVBand="0" w:oddHBand="0" w:evenHBand="0" w:firstRowFirstColumn="0" w:firstRowLastColumn="0" w:lastRowFirstColumn="0" w:lastRowLastColumn="0"/>
          <w:cantSplit/>
          <w:tblHeader/>
        </w:trPr>
        <w:tc>
          <w:tcPr>
            <w:cnfStyle w:val="001000000000" w:firstRow="0" w:lastRow="0" w:firstColumn="1" w:lastColumn="0" w:oddVBand="0" w:evenVBand="0" w:oddHBand="0" w:evenHBand="0" w:firstRowFirstColumn="0" w:firstRowLastColumn="0" w:lastRowFirstColumn="0" w:lastRowLastColumn="0"/>
            <w:tcW w:w="1696" w:type="dxa"/>
            <w:shd w:val="clear" w:color="auto" w:fill="404040" w:themeFill="text1" w:themeFillTint="BF"/>
          </w:tcPr>
          <w:p w14:paraId="5844248A" w14:textId="77777777" w:rsidR="00C070A3" w:rsidRPr="00592CF8" w:rsidRDefault="00C070A3" w:rsidP="00692624">
            <w:pPr>
              <w:pStyle w:val="TableHeading0"/>
              <w:keepNext/>
              <w:keepLines/>
            </w:pPr>
            <w:r w:rsidRPr="00866F45">
              <w:rPr>
                <w:b/>
              </w:rPr>
              <w:t xml:space="preserve">Auction </w:t>
            </w:r>
            <w:r>
              <w:rPr>
                <w:b/>
              </w:rPr>
              <w:t>f</w:t>
            </w:r>
            <w:r w:rsidRPr="00866F45">
              <w:rPr>
                <w:b/>
              </w:rPr>
              <w:t>ormat</w:t>
            </w:r>
          </w:p>
        </w:tc>
        <w:tc>
          <w:tcPr>
            <w:tcW w:w="3544" w:type="dxa"/>
            <w:shd w:val="clear" w:color="auto" w:fill="404040" w:themeFill="text1" w:themeFillTint="BF"/>
          </w:tcPr>
          <w:p w14:paraId="493AA018" w14:textId="77777777" w:rsidR="00C070A3" w:rsidRPr="00592CF8" w:rsidRDefault="00C070A3" w:rsidP="00692624">
            <w:pPr>
              <w:pStyle w:val="TableHeading0"/>
              <w:keepNext/>
              <w:keepLines/>
              <w:cnfStyle w:val="100000000000" w:firstRow="1" w:lastRow="0" w:firstColumn="0" w:lastColumn="0" w:oddVBand="0" w:evenVBand="0" w:oddHBand="0" w:evenHBand="0" w:firstRowFirstColumn="0" w:firstRowLastColumn="0" w:lastRowFirstColumn="0" w:lastRowLastColumn="0"/>
            </w:pPr>
            <w:r w:rsidRPr="00866F45">
              <w:rPr>
                <w:b/>
              </w:rPr>
              <w:t xml:space="preserve">Main </w:t>
            </w:r>
            <w:r>
              <w:rPr>
                <w:b/>
              </w:rPr>
              <w:t>f</w:t>
            </w:r>
            <w:r w:rsidRPr="00866F45">
              <w:rPr>
                <w:b/>
              </w:rPr>
              <w:t>eatures</w:t>
            </w:r>
          </w:p>
        </w:tc>
        <w:tc>
          <w:tcPr>
            <w:tcW w:w="2421" w:type="dxa"/>
            <w:shd w:val="clear" w:color="auto" w:fill="404040" w:themeFill="text1" w:themeFillTint="BF"/>
          </w:tcPr>
          <w:p w14:paraId="691C8A04" w14:textId="68F57B0C" w:rsidR="00C070A3" w:rsidRPr="00592CF8" w:rsidRDefault="00C070A3" w:rsidP="00692624">
            <w:pPr>
              <w:pStyle w:val="TableHeading0"/>
              <w:keepNext/>
              <w:keepLines/>
              <w:cnfStyle w:val="100000000000" w:firstRow="1" w:lastRow="0" w:firstColumn="0" w:lastColumn="0" w:oddVBand="0" w:evenVBand="0" w:oddHBand="0" w:evenHBand="0" w:firstRowFirstColumn="0" w:firstRowLastColumn="0" w:lastRowFirstColumn="0" w:lastRowLastColumn="0"/>
            </w:pPr>
            <w:r w:rsidRPr="00866F45">
              <w:rPr>
                <w:b/>
              </w:rPr>
              <w:t xml:space="preserve">Suitability for </w:t>
            </w:r>
            <w:r w:rsidR="00B903DE">
              <w:rPr>
                <w:b/>
              </w:rPr>
              <w:t>26</w:t>
            </w:r>
            <w:r w:rsidRPr="00866F45">
              <w:rPr>
                <w:b/>
              </w:rPr>
              <w:t xml:space="preserve"> GHz</w:t>
            </w:r>
            <w:r w:rsidR="00B903DE">
              <w:rPr>
                <w:b/>
              </w:rPr>
              <w:t xml:space="preserve"> band</w:t>
            </w:r>
            <w:r w:rsidRPr="00866F45">
              <w:rPr>
                <w:b/>
              </w:rPr>
              <w:t xml:space="preserve"> auction</w:t>
            </w:r>
          </w:p>
        </w:tc>
      </w:tr>
      <w:tr w:rsidR="00C070A3" w14:paraId="79D2C5EC" w14:textId="77777777" w:rsidTr="004E6F93">
        <w:trPr>
          <w:cnfStyle w:val="000000100000" w:firstRow="0" w:lastRow="0" w:firstColumn="0" w:lastColumn="0" w:oddVBand="0" w:evenVBand="0" w:oddHBand="1" w:evenHBand="0" w:firstRowFirstColumn="0" w:firstRowLastColumn="0" w:lastRowFirstColumn="0" w:lastRowLastColumn="0"/>
          <w:cantSplit/>
          <w:trHeight w:val="1802"/>
        </w:trPr>
        <w:tc>
          <w:tcPr>
            <w:cnfStyle w:val="001000000000" w:firstRow="0" w:lastRow="0" w:firstColumn="1" w:lastColumn="0" w:oddVBand="0" w:evenVBand="0" w:oddHBand="0" w:evenHBand="0" w:firstRowFirstColumn="0" w:firstRowLastColumn="0" w:lastRowFirstColumn="0" w:lastRowLastColumn="0"/>
            <w:tcW w:w="0" w:type="dxa"/>
            <w:shd w:val="clear" w:color="auto" w:fill="auto"/>
          </w:tcPr>
          <w:p w14:paraId="7DCD0A9D" w14:textId="77777777" w:rsidR="00C070A3" w:rsidRDefault="00C070A3" w:rsidP="00692624">
            <w:pPr>
              <w:keepNext/>
              <w:keepLines/>
              <w:spacing w:after="0"/>
            </w:pPr>
            <w:r>
              <w:t>Simple Clock Auction (SCA)</w:t>
            </w:r>
          </w:p>
        </w:tc>
        <w:tc>
          <w:tcPr>
            <w:tcW w:w="0" w:type="dxa"/>
            <w:shd w:val="clear" w:color="auto" w:fill="auto"/>
          </w:tcPr>
          <w:p w14:paraId="3E1D1947" w14:textId="4805C46D" w:rsidR="00C070A3" w:rsidRDefault="00C070A3" w:rsidP="00692624">
            <w:pPr>
              <w:keepNext/>
              <w:keepLines/>
              <w:spacing w:after="120"/>
              <w:cnfStyle w:val="000000100000" w:firstRow="0" w:lastRow="0" w:firstColumn="0" w:lastColumn="0" w:oddVBand="0" w:evenVBand="0" w:oddHBand="1" w:evenHBand="0" w:firstRowFirstColumn="0" w:firstRowLastColumn="0" w:lastRowFirstColumn="0" w:lastRowLastColumn="0"/>
            </w:pPr>
            <w:r>
              <w:t xml:space="preserve">Automated version of English Open Outcry format, with a clock function managing bid increments. </w:t>
            </w:r>
          </w:p>
          <w:p w14:paraId="7D5F9686" w14:textId="77777777" w:rsidR="00C070A3" w:rsidRDefault="00C070A3" w:rsidP="00692624">
            <w:pPr>
              <w:keepNext/>
              <w:keepLines/>
              <w:spacing w:after="120"/>
              <w:cnfStyle w:val="000000100000" w:firstRow="0" w:lastRow="0" w:firstColumn="0" w:lastColumn="0" w:oddVBand="0" w:evenVBand="0" w:oddHBand="1" w:evenHBand="0" w:firstRowFirstColumn="0" w:firstRowLastColumn="0" w:lastRowFirstColumn="0" w:lastRowLastColumn="0"/>
            </w:pPr>
            <w:r>
              <w:t>Bids on individual lots.</w:t>
            </w:r>
          </w:p>
          <w:p w14:paraId="571E9BCC" w14:textId="08C72E0B" w:rsidR="00C070A3" w:rsidRDefault="00C070A3" w:rsidP="00692624">
            <w:pPr>
              <w:keepNext/>
              <w:keepLines/>
              <w:spacing w:after="0"/>
              <w:cnfStyle w:val="000000100000" w:firstRow="0" w:lastRow="0" w:firstColumn="0" w:lastColumn="0" w:oddVBand="0" w:evenVBand="0" w:oddHBand="1" w:evenHBand="0" w:firstRowFirstColumn="0" w:firstRowLastColumn="0" w:lastRowFirstColumn="0" w:lastRowLastColumn="0"/>
            </w:pPr>
            <w:r>
              <w:t>Winner of a lot is</w:t>
            </w:r>
            <w:r w:rsidR="00033F6A">
              <w:t xml:space="preserve"> the</w:t>
            </w:r>
            <w:r>
              <w:t xml:space="preserve"> last remaining bidder as bids increase.</w:t>
            </w:r>
          </w:p>
        </w:tc>
        <w:tc>
          <w:tcPr>
            <w:tcW w:w="0" w:type="dxa"/>
            <w:shd w:val="clear" w:color="auto" w:fill="auto"/>
          </w:tcPr>
          <w:p w14:paraId="4C4BCA88" w14:textId="4BBAAD61" w:rsidR="00C070A3" w:rsidRDefault="00C070A3" w:rsidP="00692624">
            <w:pPr>
              <w:keepNext/>
              <w:keepLines/>
              <w:spacing w:after="120"/>
              <w:cnfStyle w:val="000000100000" w:firstRow="0" w:lastRow="0" w:firstColumn="0" w:lastColumn="0" w:oddVBand="0" w:evenVBand="0" w:oddHBand="1" w:evenHBand="0" w:firstRowFirstColumn="0" w:firstRowLastColumn="0" w:lastRowFirstColumn="0" w:lastRowLastColumn="0"/>
            </w:pPr>
            <w:r>
              <w:t xml:space="preserve">More suited to </w:t>
            </w:r>
            <w:r w:rsidR="00F57C62">
              <w:t xml:space="preserve">a </w:t>
            </w:r>
            <w:r>
              <w:t>small number of lots and/or independently valued lots.</w:t>
            </w:r>
          </w:p>
          <w:p w14:paraId="12A5B30D" w14:textId="2B0D943E" w:rsidR="00C070A3" w:rsidRDefault="00C070A3" w:rsidP="00692624">
            <w:pPr>
              <w:keepNext/>
              <w:keepLines/>
              <w:spacing w:after="120"/>
              <w:cnfStyle w:val="000000100000" w:firstRow="0" w:lastRow="0" w:firstColumn="0" w:lastColumn="0" w:oddVBand="0" w:evenVBand="0" w:oddHBand="1" w:evenHBand="0" w:firstRowFirstColumn="0" w:firstRowLastColumn="0" w:lastRowFirstColumn="0" w:lastRowLastColumn="0"/>
            </w:pPr>
            <w:r>
              <w:t xml:space="preserve"> </w:t>
            </w:r>
          </w:p>
        </w:tc>
      </w:tr>
      <w:tr w:rsidR="00C070A3" w14:paraId="1927F2C9" w14:textId="77777777" w:rsidTr="004E6F93">
        <w:trPr>
          <w:cantSplit/>
          <w:trHeight w:val="2833"/>
        </w:trPr>
        <w:tc>
          <w:tcPr>
            <w:cnfStyle w:val="001000000000" w:firstRow="0" w:lastRow="0" w:firstColumn="1" w:lastColumn="0" w:oddVBand="0" w:evenVBand="0" w:oddHBand="0" w:evenHBand="0" w:firstRowFirstColumn="0" w:firstRowLastColumn="0" w:lastRowFirstColumn="0" w:lastRowLastColumn="0"/>
            <w:tcW w:w="0" w:type="dxa"/>
            <w:shd w:val="clear" w:color="auto" w:fill="F2F2F2" w:themeFill="background1" w:themeFillShade="F2"/>
          </w:tcPr>
          <w:p w14:paraId="25FFE486" w14:textId="77777777" w:rsidR="00C070A3" w:rsidRDefault="00C070A3" w:rsidP="00692624">
            <w:pPr>
              <w:keepNext/>
              <w:keepLines/>
              <w:spacing w:after="0"/>
            </w:pPr>
            <w:r>
              <w:t>Combinatorial Clock Auction (CCA)</w:t>
            </w:r>
          </w:p>
        </w:tc>
        <w:tc>
          <w:tcPr>
            <w:tcW w:w="0" w:type="dxa"/>
            <w:shd w:val="clear" w:color="auto" w:fill="F2F2F2" w:themeFill="background1" w:themeFillShade="F2"/>
          </w:tcPr>
          <w:p w14:paraId="64EEB0D5" w14:textId="77777777" w:rsidR="00C070A3" w:rsidRDefault="00C070A3" w:rsidP="00692624">
            <w:pPr>
              <w:keepNext/>
              <w:keepLines/>
              <w:spacing w:after="120"/>
              <w:cnfStyle w:val="000000000000" w:firstRow="0" w:lastRow="0" w:firstColumn="0" w:lastColumn="0" w:oddVBand="0" w:evenVBand="0" w:oddHBand="0" w:evenHBand="0" w:firstRowFirstColumn="0" w:firstRowLastColumn="0" w:lastRowFirstColumn="0" w:lastRowLastColumn="0"/>
            </w:pPr>
            <w:r>
              <w:t>Enables bidders to bid on packages of lots.</w:t>
            </w:r>
          </w:p>
          <w:p w14:paraId="3402D883" w14:textId="77777777" w:rsidR="00C070A3" w:rsidRDefault="00C070A3" w:rsidP="00692624">
            <w:pPr>
              <w:keepNext/>
              <w:keepLines/>
              <w:spacing w:after="0"/>
              <w:cnfStyle w:val="000000000000" w:firstRow="0" w:lastRow="0" w:firstColumn="0" w:lastColumn="0" w:oddVBand="0" w:evenVBand="0" w:oddHBand="0" w:evenHBand="0" w:firstRowFirstColumn="0" w:firstRowLastColumn="0" w:lastRowFirstColumn="0" w:lastRowLastColumn="0"/>
            </w:pPr>
            <w:r>
              <w:t>Two stages:</w:t>
            </w:r>
          </w:p>
          <w:p w14:paraId="6C38DA1A" w14:textId="77777777" w:rsidR="00C070A3" w:rsidRDefault="00C070A3" w:rsidP="00C070A3">
            <w:pPr>
              <w:pStyle w:val="ListParagraph"/>
              <w:keepNext/>
              <w:keepLines/>
              <w:numPr>
                <w:ilvl w:val="0"/>
                <w:numId w:val="37"/>
              </w:numPr>
              <w:spacing w:after="0"/>
              <w:cnfStyle w:val="000000000000" w:firstRow="0" w:lastRow="0" w:firstColumn="0" w:lastColumn="0" w:oddVBand="0" w:evenVBand="0" w:oddHBand="0" w:evenHBand="0" w:firstRowFirstColumn="0" w:firstRowLastColumn="0" w:lastRowFirstColumn="0" w:lastRowLastColumn="0"/>
            </w:pPr>
            <w:r>
              <w:t>Clock stage—bidders indicate number of lots desired in each category at current price. Bidding continues until no excess demand in each category.</w:t>
            </w:r>
          </w:p>
          <w:p w14:paraId="5C140058" w14:textId="77777777" w:rsidR="00C070A3" w:rsidRDefault="00C070A3" w:rsidP="00C070A3">
            <w:pPr>
              <w:pStyle w:val="ListParagraph"/>
              <w:keepNext/>
              <w:keepLines/>
              <w:numPr>
                <w:ilvl w:val="0"/>
                <w:numId w:val="37"/>
              </w:numPr>
              <w:spacing w:after="0"/>
              <w:cnfStyle w:val="000000000000" w:firstRow="0" w:lastRow="0" w:firstColumn="0" w:lastColumn="0" w:oddVBand="0" w:evenVBand="0" w:oddHBand="0" w:evenHBand="0" w:firstRowFirstColumn="0" w:firstRowLastColumn="0" w:lastRowFirstColumn="0" w:lastRowLastColumn="0"/>
            </w:pPr>
            <w:r>
              <w:t>Assignment stage—lots assigned to successful bidders using algorithm.</w:t>
            </w:r>
          </w:p>
        </w:tc>
        <w:tc>
          <w:tcPr>
            <w:tcW w:w="0" w:type="dxa"/>
            <w:shd w:val="clear" w:color="auto" w:fill="F2F2F2" w:themeFill="background1" w:themeFillShade="F2"/>
          </w:tcPr>
          <w:p w14:paraId="065E1533" w14:textId="77777777" w:rsidR="00C070A3" w:rsidRDefault="00C070A3" w:rsidP="00692624">
            <w:pPr>
              <w:keepNext/>
              <w:keepLines/>
              <w:spacing w:after="120"/>
              <w:cnfStyle w:val="000000000000" w:firstRow="0" w:lastRow="0" w:firstColumn="0" w:lastColumn="0" w:oddVBand="0" w:evenVBand="0" w:oddHBand="0" w:evenHBand="0" w:firstRowFirstColumn="0" w:firstRowLastColumn="0" w:lastRowFirstColumn="0" w:lastRowLastColumn="0"/>
            </w:pPr>
            <w:r>
              <w:t>Pricing is complex and non-transparent to bidders.</w:t>
            </w:r>
          </w:p>
          <w:p w14:paraId="62600836" w14:textId="2C3B697F" w:rsidR="00C070A3" w:rsidRDefault="00C070A3" w:rsidP="00692624">
            <w:pPr>
              <w:keepNext/>
              <w:keepLines/>
              <w:cnfStyle w:val="000000000000" w:firstRow="0" w:lastRow="0" w:firstColumn="0" w:lastColumn="0" w:oddVBand="0" w:evenVBand="0" w:oddHBand="0" w:evenHBand="0" w:firstRowFirstColumn="0" w:firstRowLastColumn="0" w:lastRowFirstColumn="0" w:lastRowLastColumn="0"/>
            </w:pPr>
            <w:r>
              <w:t>Bidding process and strategies are complex to develop.</w:t>
            </w:r>
          </w:p>
        </w:tc>
      </w:tr>
      <w:tr w:rsidR="00C070A3" w14:paraId="4EE9A6AC" w14:textId="77777777" w:rsidTr="004E6F93">
        <w:trPr>
          <w:cnfStyle w:val="000000100000" w:firstRow="0" w:lastRow="0" w:firstColumn="0" w:lastColumn="0" w:oddVBand="0" w:evenVBand="0" w:oddHBand="1" w:evenHBand="0" w:firstRowFirstColumn="0" w:firstRowLastColumn="0" w:lastRowFirstColumn="0" w:lastRowLastColumn="0"/>
          <w:trHeight w:val="2959"/>
        </w:trPr>
        <w:tc>
          <w:tcPr>
            <w:cnfStyle w:val="001000000000" w:firstRow="0" w:lastRow="0" w:firstColumn="1" w:lastColumn="0" w:oddVBand="0" w:evenVBand="0" w:oddHBand="0" w:evenHBand="0" w:firstRowFirstColumn="0" w:firstRowLastColumn="0" w:lastRowFirstColumn="0" w:lastRowLastColumn="0"/>
            <w:tcW w:w="0" w:type="dxa"/>
            <w:shd w:val="clear" w:color="auto" w:fill="auto"/>
          </w:tcPr>
          <w:p w14:paraId="2C99C377" w14:textId="77777777" w:rsidR="00C070A3" w:rsidRDefault="00C070A3" w:rsidP="00692624">
            <w:pPr>
              <w:keepNext/>
              <w:keepLines/>
              <w:spacing w:after="0"/>
            </w:pPr>
            <w:r>
              <w:t>Simultaneous Multi-Round Ascending (SMRA)</w:t>
            </w:r>
          </w:p>
        </w:tc>
        <w:tc>
          <w:tcPr>
            <w:tcW w:w="0" w:type="dxa"/>
            <w:shd w:val="clear" w:color="auto" w:fill="auto"/>
          </w:tcPr>
          <w:p w14:paraId="21EC79C9" w14:textId="77777777" w:rsidR="00C070A3" w:rsidRDefault="00C070A3" w:rsidP="00692624">
            <w:pPr>
              <w:keepNext/>
              <w:keepLines/>
              <w:spacing w:after="120"/>
              <w:cnfStyle w:val="000000100000" w:firstRow="0" w:lastRow="0" w:firstColumn="0" w:lastColumn="0" w:oddVBand="0" w:evenVBand="0" w:oddHBand="1" w:evenHBand="0" w:firstRowFirstColumn="0" w:firstRowLastColumn="0" w:lastRowFirstColumn="0" w:lastRowLastColumn="0"/>
            </w:pPr>
            <w:r>
              <w:t>Auction of multiple individual lots conducted simultaneously.</w:t>
            </w:r>
          </w:p>
          <w:p w14:paraId="0808C76D" w14:textId="77777777" w:rsidR="00C070A3" w:rsidRDefault="00C070A3" w:rsidP="00692624">
            <w:pPr>
              <w:keepNext/>
              <w:keepLines/>
              <w:spacing w:after="120"/>
              <w:cnfStyle w:val="000000100000" w:firstRow="0" w:lastRow="0" w:firstColumn="0" w:lastColumn="0" w:oddVBand="0" w:evenVBand="0" w:oddHBand="1" w:evenHBand="0" w:firstRowFirstColumn="0" w:firstRowLastColumn="0" w:lastRowFirstColumn="0" w:lastRowLastColumn="0"/>
            </w:pPr>
            <w:r>
              <w:t>Highest bid on each lot published at end of each round.</w:t>
            </w:r>
          </w:p>
          <w:p w14:paraId="53D744F0" w14:textId="77777777" w:rsidR="00C070A3" w:rsidRDefault="00C070A3" w:rsidP="00692624">
            <w:pPr>
              <w:keepNext/>
              <w:keepLines/>
              <w:spacing w:after="120"/>
              <w:cnfStyle w:val="000000100000" w:firstRow="0" w:lastRow="0" w:firstColumn="0" w:lastColumn="0" w:oddVBand="0" w:evenVBand="0" w:oddHBand="1" w:evenHBand="0" w:firstRowFirstColumn="0" w:firstRowLastColumn="0" w:lastRowFirstColumn="0" w:lastRowLastColumn="0"/>
            </w:pPr>
            <w:r>
              <w:t>Bidding continues until no further bids on any lot. Winners pay their highest bid.</w:t>
            </w:r>
          </w:p>
          <w:p w14:paraId="047C88B4" w14:textId="77777777" w:rsidR="00C070A3" w:rsidRDefault="00C070A3" w:rsidP="00692624">
            <w:pPr>
              <w:keepNext/>
              <w:keepLines/>
              <w:spacing w:after="0"/>
              <w:cnfStyle w:val="000000100000" w:firstRow="0" w:lastRow="0" w:firstColumn="0" w:lastColumn="0" w:oddVBand="0" w:evenVBand="0" w:oddHBand="1" w:evenHBand="0" w:firstRowFirstColumn="0" w:firstRowLastColumn="0" w:lastRowFirstColumn="0" w:lastRowLastColumn="0"/>
            </w:pPr>
            <w:r>
              <w:t>Able to switch demand between different bandwidths and/or geographic regions.</w:t>
            </w:r>
          </w:p>
        </w:tc>
        <w:tc>
          <w:tcPr>
            <w:tcW w:w="0" w:type="dxa"/>
            <w:shd w:val="clear" w:color="auto" w:fill="auto"/>
          </w:tcPr>
          <w:p w14:paraId="389508E1" w14:textId="77777777" w:rsidR="00C070A3" w:rsidRDefault="00C070A3" w:rsidP="00692624">
            <w:pPr>
              <w:keepNext/>
              <w:keepLines/>
              <w:spacing w:after="120"/>
              <w:cnfStyle w:val="000000100000" w:firstRow="0" w:lastRow="0" w:firstColumn="0" w:lastColumn="0" w:oddVBand="0" w:evenVBand="0" w:oddHBand="1" w:evenHBand="0" w:firstRowFirstColumn="0" w:firstRowLastColumn="0" w:lastRowFirstColumn="0" w:lastRowLastColumn="0"/>
            </w:pPr>
            <w:r>
              <w:t xml:space="preserve">Suitable for large number of lots with interdependent values. </w:t>
            </w:r>
          </w:p>
          <w:p w14:paraId="48826F03" w14:textId="1973D920" w:rsidR="00C070A3" w:rsidRDefault="00C070A3" w:rsidP="00692624">
            <w:pPr>
              <w:keepNext/>
              <w:keepLines/>
              <w:cnfStyle w:val="000000100000" w:firstRow="0" w:lastRow="0" w:firstColumn="0" w:lastColumn="0" w:oddVBand="0" w:evenVBand="0" w:oddHBand="1" w:evenHBand="0" w:firstRowFirstColumn="0" w:firstRowLastColumn="0" w:lastRowFirstColumn="0" w:lastRowLastColumn="0"/>
            </w:pPr>
            <w:r>
              <w:t xml:space="preserve">Risk of uneconomic amounts and/or </w:t>
            </w:r>
            <w:r w:rsidR="004E0D99">
              <w:t>non-</w:t>
            </w:r>
            <w:r>
              <w:t>contiguous spectrum.</w:t>
            </w:r>
          </w:p>
        </w:tc>
      </w:tr>
      <w:tr w:rsidR="00C070A3" w14:paraId="627E65DD" w14:textId="77777777" w:rsidTr="00692624">
        <w:trPr>
          <w:cantSplit/>
        </w:trPr>
        <w:tc>
          <w:tcPr>
            <w:cnfStyle w:val="001000000000" w:firstRow="0" w:lastRow="0" w:firstColumn="1" w:lastColumn="0" w:oddVBand="0" w:evenVBand="0" w:oddHBand="0" w:evenHBand="0" w:firstRowFirstColumn="0" w:firstRowLastColumn="0" w:lastRowFirstColumn="0" w:lastRowLastColumn="0"/>
            <w:tcW w:w="1696" w:type="dxa"/>
            <w:shd w:val="clear" w:color="auto" w:fill="F2F2F2" w:themeFill="background1" w:themeFillShade="F2"/>
          </w:tcPr>
          <w:p w14:paraId="74ABF37E" w14:textId="77777777" w:rsidR="00C070A3" w:rsidRDefault="00C070A3" w:rsidP="00692624">
            <w:pPr>
              <w:pStyle w:val="TableTextform"/>
              <w:keepNext/>
              <w:keepLines/>
            </w:pPr>
            <w:r>
              <w:t>Enhanced SMRA (ESMRA)</w:t>
            </w:r>
          </w:p>
        </w:tc>
        <w:tc>
          <w:tcPr>
            <w:tcW w:w="3544" w:type="dxa"/>
            <w:shd w:val="clear" w:color="auto" w:fill="F2F2F2" w:themeFill="background1" w:themeFillShade="F2"/>
          </w:tcPr>
          <w:p w14:paraId="5DEDCBFD" w14:textId="12419001" w:rsidR="00CF7776" w:rsidRDefault="00CF7776" w:rsidP="00692624">
            <w:pPr>
              <w:keepNext/>
              <w:keepLines/>
              <w:spacing w:after="120"/>
              <w:cnfStyle w:val="000000000000" w:firstRow="0" w:lastRow="0" w:firstColumn="0" w:lastColumn="0" w:oddVBand="0" w:evenVBand="0" w:oddHBand="0" w:evenHBand="0" w:firstRowFirstColumn="0" w:firstRowLastColumn="0" w:lastRowFirstColumn="0" w:lastRowLastColumn="0"/>
            </w:pPr>
            <w:r>
              <w:t xml:space="preserve">This is a </w:t>
            </w:r>
            <w:r w:rsidR="00171756">
              <w:t>two-stage</w:t>
            </w:r>
            <w:r>
              <w:t xml:space="preserve"> auction. </w:t>
            </w:r>
          </w:p>
          <w:p w14:paraId="03A90EE8" w14:textId="7CDBBEE2" w:rsidR="00C070A3" w:rsidRDefault="00C070A3" w:rsidP="00692624">
            <w:pPr>
              <w:keepNext/>
              <w:keepLines/>
              <w:spacing w:after="120"/>
              <w:cnfStyle w:val="000000000000" w:firstRow="0" w:lastRow="0" w:firstColumn="0" w:lastColumn="0" w:oddVBand="0" w:evenVBand="0" w:oddHBand="0" w:evenHBand="0" w:firstRowFirstColumn="0" w:firstRowLastColumn="0" w:lastRowFirstColumn="0" w:lastRowLastColumn="0"/>
            </w:pPr>
            <w:r>
              <w:t xml:space="preserve">Allows </w:t>
            </w:r>
            <w:r w:rsidR="00CF7776">
              <w:t xml:space="preserve">simultaneous </w:t>
            </w:r>
            <w:r>
              <w:t>bidding on generic lots</w:t>
            </w:r>
            <w:r w:rsidR="00CF7776">
              <w:t xml:space="preserve"> in the primary stage. </w:t>
            </w:r>
          </w:p>
          <w:p w14:paraId="07AD7D94" w14:textId="1536DE8A" w:rsidR="00C070A3" w:rsidRDefault="00C070A3" w:rsidP="00692624">
            <w:pPr>
              <w:keepNext/>
              <w:keepLines/>
              <w:spacing w:after="120"/>
              <w:cnfStyle w:val="000000000000" w:firstRow="0" w:lastRow="0" w:firstColumn="0" w:lastColumn="0" w:oddVBand="0" w:evenVBand="0" w:oddHBand="0" w:evenHBand="0" w:firstRowFirstColumn="0" w:firstRowLastColumn="0" w:lastRowFirstColumn="0" w:lastRowLastColumn="0"/>
            </w:pPr>
            <w:r>
              <w:t xml:space="preserve">Provides an assignment stage to allocate </w:t>
            </w:r>
            <w:r w:rsidR="00CF7776">
              <w:t xml:space="preserve">contiguous </w:t>
            </w:r>
            <w:r>
              <w:t>spectrum.</w:t>
            </w:r>
          </w:p>
          <w:p w14:paraId="6DCE4929" w14:textId="2A3B1891" w:rsidR="00171756" w:rsidRDefault="007814A3" w:rsidP="00692624">
            <w:pPr>
              <w:keepNext/>
              <w:keepLines/>
              <w:spacing w:after="120"/>
              <w:cnfStyle w:val="000000000000" w:firstRow="0" w:lastRow="0" w:firstColumn="0" w:lastColumn="0" w:oddVBand="0" w:evenVBand="0" w:oddHBand="0" w:evenHBand="0" w:firstRowFirstColumn="0" w:firstRowLastColumn="0" w:lastRowFirstColumn="0" w:lastRowLastColumn="0"/>
            </w:pPr>
            <w:r>
              <w:t>R</w:t>
            </w:r>
            <w:r w:rsidR="00C070A3">
              <w:t>educe</w:t>
            </w:r>
            <w:r>
              <w:t>s</w:t>
            </w:r>
            <w:r w:rsidR="00C070A3">
              <w:t xml:space="preserve"> auction length</w:t>
            </w:r>
            <w:r>
              <w:t xml:space="preserve"> by increment</w:t>
            </w:r>
            <w:r w:rsidR="00EB2B40">
              <w:t>ing</w:t>
            </w:r>
            <w:r>
              <w:t xml:space="preserve"> </w:t>
            </w:r>
            <w:r w:rsidR="00EB2B40">
              <w:t xml:space="preserve">prices </w:t>
            </w:r>
            <w:r>
              <w:t>while demand exceeds supply</w:t>
            </w:r>
            <w:r w:rsidR="00171756">
              <w:t>.</w:t>
            </w:r>
          </w:p>
          <w:p w14:paraId="0115BBD1" w14:textId="07980396" w:rsidR="00C070A3" w:rsidRDefault="00171756" w:rsidP="00692624">
            <w:pPr>
              <w:keepNext/>
              <w:keepLines/>
              <w:spacing w:after="120"/>
              <w:cnfStyle w:val="000000000000" w:firstRow="0" w:lastRow="0" w:firstColumn="0" w:lastColumn="0" w:oddVBand="0" w:evenVBand="0" w:oddHBand="0" w:evenHBand="0" w:firstRowFirstColumn="0" w:firstRowLastColumn="0" w:lastRowFirstColumn="0" w:lastRowLastColumn="0"/>
            </w:pPr>
            <w:r>
              <w:t>Reduces susceptibility to gaming</w:t>
            </w:r>
            <w:r w:rsidR="00C070A3">
              <w:t>.</w:t>
            </w:r>
          </w:p>
          <w:p w14:paraId="39D2E498" w14:textId="3F19A657" w:rsidR="00C070A3" w:rsidRDefault="00C070A3" w:rsidP="00692624">
            <w:pPr>
              <w:keepNext/>
              <w:keepLines/>
              <w:spacing w:after="0"/>
              <w:cnfStyle w:val="000000000000" w:firstRow="0" w:lastRow="0" w:firstColumn="0" w:lastColumn="0" w:oddVBand="0" w:evenVBand="0" w:oddHBand="0" w:evenHBand="0" w:firstRowFirstColumn="0" w:firstRowLastColumn="0" w:lastRowFirstColumn="0" w:lastRowLastColumn="0"/>
            </w:pPr>
          </w:p>
        </w:tc>
        <w:tc>
          <w:tcPr>
            <w:tcW w:w="2421" w:type="dxa"/>
            <w:shd w:val="clear" w:color="auto" w:fill="F2F2F2" w:themeFill="background1" w:themeFillShade="F2"/>
          </w:tcPr>
          <w:p w14:paraId="6A986060" w14:textId="533FFBAA" w:rsidR="00C070A3" w:rsidRDefault="00C070A3" w:rsidP="00692624">
            <w:pPr>
              <w:keepNext/>
              <w:keepLines/>
              <w:spacing w:after="120"/>
              <w:cnfStyle w:val="000000000000" w:firstRow="0" w:lastRow="0" w:firstColumn="0" w:lastColumn="0" w:oddVBand="0" w:evenVBand="0" w:oddHBand="0" w:evenHBand="0" w:firstRowFirstColumn="0" w:firstRowLastColumn="0" w:lastRowFirstColumn="0" w:lastRowLastColumn="0"/>
            </w:pPr>
            <w:r>
              <w:t xml:space="preserve">Simplifies bidding by using generic, substitutable lots in </w:t>
            </w:r>
            <w:r w:rsidR="00C1741A">
              <w:t xml:space="preserve">the </w:t>
            </w:r>
            <w:r>
              <w:t>primary stage.</w:t>
            </w:r>
          </w:p>
          <w:p w14:paraId="0FC70E5B" w14:textId="724F6F04" w:rsidR="00C070A3" w:rsidRDefault="00C070A3" w:rsidP="003A39C5">
            <w:pPr>
              <w:keepNext/>
              <w:keepLines/>
              <w:spacing w:after="120"/>
              <w:cnfStyle w:val="000000000000" w:firstRow="0" w:lastRow="0" w:firstColumn="0" w:lastColumn="0" w:oddVBand="0" w:evenVBand="0" w:oddHBand="0" w:evenHBand="0" w:firstRowFirstColumn="0" w:firstRowLastColumn="0" w:lastRowFirstColumn="0" w:lastRowLastColumn="0"/>
            </w:pPr>
            <w:r>
              <w:t xml:space="preserve">Enables bidders with preferences for </w:t>
            </w:r>
            <w:proofErr w:type="gramStart"/>
            <w:r>
              <w:t>particular lots</w:t>
            </w:r>
            <w:proofErr w:type="gramEnd"/>
            <w:r>
              <w:t xml:space="preserve"> to bid for them in the assignment stage rather than switching between lots.</w:t>
            </w:r>
          </w:p>
        </w:tc>
      </w:tr>
    </w:tbl>
    <w:p w14:paraId="346F9040" w14:textId="764B0975" w:rsidR="000A1AB1" w:rsidRDefault="000A1AB1" w:rsidP="003A39C5">
      <w:pPr>
        <w:keepNext/>
        <w:keepLines/>
        <w:spacing w:after="80"/>
      </w:pPr>
    </w:p>
    <w:p w14:paraId="3AA501BE" w14:textId="3085C182" w:rsidR="00626F8C" w:rsidRDefault="00626F8C" w:rsidP="003A39C5">
      <w:r>
        <w:t>In our May 2019</w:t>
      </w:r>
      <w:r w:rsidR="009A0609">
        <w:t xml:space="preserve"> </w:t>
      </w:r>
      <w:hyperlink r:id="rId57" w:history="1">
        <w:r w:rsidR="009A0609">
          <w:rPr>
            <w:rStyle w:val="Hyperlink"/>
          </w:rPr>
          <w:t>draft re-allocation recommendation</w:t>
        </w:r>
      </w:hyperlink>
      <w:r>
        <w:t xml:space="preserve"> consultation, we cited </w:t>
      </w:r>
      <w:r w:rsidR="00713B00">
        <w:t>these</w:t>
      </w:r>
      <w:r>
        <w:t xml:space="preserve"> auction formats that could be used to allocate the 26 GHz band and invited industry submissions on the most suitable format.</w:t>
      </w:r>
    </w:p>
    <w:p w14:paraId="1560958B" w14:textId="7DD8A72C" w:rsidR="00C070A3" w:rsidRDefault="00C070A3" w:rsidP="003A39C5">
      <w:r>
        <w:t xml:space="preserve">In response to the draft </w:t>
      </w:r>
      <w:r w:rsidR="00BF0CC9">
        <w:t xml:space="preserve">re-allocation </w:t>
      </w:r>
      <w:r w:rsidR="00797754">
        <w:t>recommendation consultation</w:t>
      </w:r>
      <w:r>
        <w:t xml:space="preserve">, some industry stakeholders were in favour of the proposed ESMRA format, while others </w:t>
      </w:r>
      <w:r w:rsidR="004B52BC">
        <w:t>preferred</w:t>
      </w:r>
      <w:r>
        <w:t xml:space="preserve"> the standard SMRA format.</w:t>
      </w:r>
    </w:p>
    <w:p w14:paraId="28F82FBB" w14:textId="1B62D44E" w:rsidR="003C7437" w:rsidRDefault="00E37E0E" w:rsidP="00C070A3">
      <w:r>
        <w:t xml:space="preserve">Stakeholders who opposed the ESMRA format were concerned about the inability to withdraw bids. </w:t>
      </w:r>
      <w:r w:rsidR="006251DA">
        <w:t>One stakeholder</w:t>
      </w:r>
      <w:r>
        <w:t xml:space="preserve"> expressed a preference for the standard SMRA format to be used for the 26 GHz </w:t>
      </w:r>
      <w:r w:rsidR="003C1EA1">
        <w:t>band</w:t>
      </w:r>
      <w:r>
        <w:t xml:space="preserve"> auction or, if the ESMRA is to be used, </w:t>
      </w:r>
      <w:r w:rsidR="001D0C9A">
        <w:t xml:space="preserve">to </w:t>
      </w:r>
      <w:r>
        <w:t>allow nomination of demand closer to the start of the auction</w:t>
      </w:r>
      <w:r w:rsidR="001D0C9A" w:rsidRPr="001D0C9A">
        <w:t xml:space="preserve"> </w:t>
      </w:r>
      <w:r w:rsidR="001D0C9A">
        <w:t>instead of allowing withdrawal of bids in the first round</w:t>
      </w:r>
      <w:r>
        <w:t>.</w:t>
      </w:r>
      <w:r w:rsidR="009F23D5">
        <w:t xml:space="preserve"> </w:t>
      </w:r>
      <w:r>
        <w:t>We acknowledge that some submitters preferred the SMRA format. However</w:t>
      </w:r>
      <w:r w:rsidR="009F23D5">
        <w:t>,</w:t>
      </w:r>
      <w:r>
        <w:t xml:space="preserve"> we remain concerned that </w:t>
      </w:r>
      <w:r w:rsidR="003C7437">
        <w:t xml:space="preserve">the SMRA auction </w:t>
      </w:r>
      <w:r w:rsidR="00C070A3">
        <w:t xml:space="preserve">methodology increases exposure and fragmentation risks. </w:t>
      </w:r>
    </w:p>
    <w:p w14:paraId="009F9859" w14:textId="76E93C07" w:rsidR="00C070A3" w:rsidRDefault="001B68E5" w:rsidP="00C070A3">
      <w:r>
        <w:t xml:space="preserve">Given that the ESMRA format mitigates </w:t>
      </w:r>
      <w:r w:rsidR="003C7437">
        <w:t xml:space="preserve">exposure and fragmentation </w:t>
      </w:r>
      <w:r>
        <w:t xml:space="preserve">risks, </w:t>
      </w:r>
      <w:r w:rsidR="00321B2C">
        <w:t xml:space="preserve">we </w:t>
      </w:r>
      <w:r w:rsidR="00C070A3">
        <w:t xml:space="preserve">consider that it is the more appropriate format for the 26 GHz </w:t>
      </w:r>
      <w:r w:rsidR="003C1EA1">
        <w:t>band auction</w:t>
      </w:r>
      <w:r w:rsidR="00484DB6">
        <w:t xml:space="preserve"> because</w:t>
      </w:r>
      <w:r w:rsidR="003C7437" w:rsidRPr="003C7437">
        <w:t xml:space="preserve"> </w:t>
      </w:r>
      <w:r w:rsidR="00484DB6">
        <w:t>i</w:t>
      </w:r>
      <w:r w:rsidR="003C7437">
        <w:t>t</w:t>
      </w:r>
      <w:r w:rsidR="003C7437" w:rsidRPr="005623E4">
        <w:t xml:space="preserve"> </w:t>
      </w:r>
      <w:r w:rsidR="003C7437">
        <w:t xml:space="preserve">allows </w:t>
      </w:r>
      <w:r w:rsidR="00933667">
        <w:t>bids</w:t>
      </w:r>
      <w:r w:rsidR="003C7437">
        <w:t xml:space="preserve"> on generic lots within each region and provides an assignment stage to allocate the spectrum won in a contiguous block of that bandwidth. </w:t>
      </w:r>
      <w:r w:rsidR="003C7437" w:rsidRPr="005623E4">
        <w:t xml:space="preserve">It </w:t>
      </w:r>
      <w:r w:rsidR="003C7437">
        <w:t>reduces the fragmentation risk associated with the SMRA format, where each lot is bid on separately and contiguity within a region is not guaranteed.</w:t>
      </w:r>
      <w:r w:rsidR="00484DB6">
        <w:t xml:space="preserve"> </w:t>
      </w:r>
    </w:p>
    <w:p w14:paraId="4D0A9F97" w14:textId="5C9D17EB" w:rsidR="00E37E0E" w:rsidRDefault="00E37E0E" w:rsidP="00E37E0E">
      <w:r>
        <w:t xml:space="preserve">Bid withdrawals are not compatible with the ESMRA format because they would introduce a significant gaming risk. Bidders could submit bids only to drive the price high, then withdraw all their bids, leaving their competitors to pay the high prices. </w:t>
      </w:r>
      <w:r w:rsidR="00FD2B2E">
        <w:t xml:space="preserve">Rather than allowing </w:t>
      </w:r>
      <w:r w:rsidR="005A65DD">
        <w:t xml:space="preserve">bids to be </w:t>
      </w:r>
      <w:r w:rsidR="00FD2B2E">
        <w:t>withdraw</w:t>
      </w:r>
      <w:r w:rsidR="005A65DD">
        <w:t>n</w:t>
      </w:r>
      <w:r w:rsidR="00FD2B2E">
        <w:t xml:space="preserve">, </w:t>
      </w:r>
      <w:r w:rsidR="00550995">
        <w:t xml:space="preserve">we propose to have a period of </w:t>
      </w:r>
      <w:r w:rsidR="004635AA">
        <w:t xml:space="preserve">approximately </w:t>
      </w:r>
      <w:r>
        <w:t>three weeks between demand nomination and the auction start</w:t>
      </w:r>
      <w:r w:rsidR="00E443F9">
        <w:t>—</w:t>
      </w:r>
      <w:r>
        <w:t>less than half the period for the 3.6</w:t>
      </w:r>
      <w:r w:rsidR="00550995">
        <w:t> </w:t>
      </w:r>
      <w:r>
        <w:t xml:space="preserve">GHz </w:t>
      </w:r>
      <w:r w:rsidR="00550995">
        <w:t>auction</w:t>
      </w:r>
      <w:r>
        <w:t>.</w:t>
      </w:r>
    </w:p>
    <w:p w14:paraId="390E4958" w14:textId="285082BF" w:rsidR="00484DB6" w:rsidRDefault="00484DB6" w:rsidP="00E37E0E">
      <w:r>
        <w:t xml:space="preserve">On </w:t>
      </w:r>
      <w:r w:rsidRPr="00485A14">
        <w:t xml:space="preserve">balance, </w:t>
      </w:r>
      <w:r>
        <w:t xml:space="preserve">we remain of the view that </w:t>
      </w:r>
      <w:r w:rsidRPr="00485A14">
        <w:t xml:space="preserve">the </w:t>
      </w:r>
      <w:r>
        <w:t>E</w:t>
      </w:r>
      <w:r w:rsidRPr="00485A14">
        <w:t xml:space="preserve">SMRA </w:t>
      </w:r>
      <w:r>
        <w:t xml:space="preserve">format </w:t>
      </w:r>
      <w:r w:rsidRPr="00485A14">
        <w:t xml:space="preserve">would be the most efficient and effective </w:t>
      </w:r>
      <w:r>
        <w:t>auction type.</w:t>
      </w:r>
    </w:p>
    <w:p w14:paraId="05A4519F" w14:textId="058D3429" w:rsidR="00C070A3" w:rsidRDefault="00550995" w:rsidP="00C070A3">
      <w:pPr>
        <w:rPr>
          <w:b/>
        </w:rPr>
      </w:pPr>
      <w:r>
        <w:rPr>
          <w:b/>
        </w:rPr>
        <w:t>The</w:t>
      </w:r>
      <w:r w:rsidR="00C070A3" w:rsidRPr="0018546F">
        <w:rPr>
          <w:b/>
        </w:rPr>
        <w:t xml:space="preserve"> draft allocation determination specifies that the </w:t>
      </w:r>
      <w:r w:rsidR="00C070A3">
        <w:rPr>
          <w:b/>
        </w:rPr>
        <w:t>2</w:t>
      </w:r>
      <w:r w:rsidR="00C070A3" w:rsidRPr="0018546F">
        <w:rPr>
          <w:b/>
        </w:rPr>
        <w:t xml:space="preserve">6 GHz band auction will use the ESMRA auction methodology, implemented on a secure online system. </w:t>
      </w:r>
    </w:p>
    <w:p w14:paraId="25A40A68" w14:textId="36EF334E" w:rsidR="002176AC" w:rsidRPr="00605D02" w:rsidRDefault="002176AC" w:rsidP="002176AC">
      <w:pPr>
        <w:pBdr>
          <w:top w:val="single" w:sz="4" w:space="1" w:color="auto"/>
          <w:left w:val="single" w:sz="4" w:space="4" w:color="auto"/>
          <w:bottom w:val="single" w:sz="4" w:space="1" w:color="auto"/>
          <w:right w:val="single" w:sz="4" w:space="4" w:color="auto"/>
        </w:pBdr>
        <w:shd w:val="clear" w:color="auto" w:fill="F2F2F2" w:themeFill="background1" w:themeFillShade="F2"/>
        <w:spacing w:after="120"/>
      </w:pPr>
      <w:r>
        <w:rPr>
          <w:b/>
        </w:rPr>
        <w:t xml:space="preserve">26 GHz band </w:t>
      </w:r>
      <w:r w:rsidR="006E6075">
        <w:rPr>
          <w:b/>
        </w:rPr>
        <w:t>a</w:t>
      </w:r>
      <w:r w:rsidR="00A770BC">
        <w:rPr>
          <w:b/>
        </w:rPr>
        <w:t>llocati</w:t>
      </w:r>
      <w:r w:rsidR="006E6075">
        <w:rPr>
          <w:b/>
        </w:rPr>
        <w:t xml:space="preserve">on </w:t>
      </w:r>
      <w:r w:rsidR="00894BB3">
        <w:rPr>
          <w:b/>
        </w:rPr>
        <w:t>format</w:t>
      </w:r>
    </w:p>
    <w:p w14:paraId="4B745A31" w14:textId="5703E253" w:rsidR="002176AC" w:rsidRPr="009C5A85" w:rsidRDefault="002176AC" w:rsidP="002176AC">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rPr>
          <w:rFonts w:cs="Arial"/>
        </w:rPr>
      </w:pPr>
      <w:r>
        <w:rPr>
          <w:rFonts w:cs="Arial"/>
        </w:rPr>
        <w:t xml:space="preserve">We </w:t>
      </w:r>
      <w:r w:rsidR="00B17179">
        <w:rPr>
          <w:rFonts w:cs="Arial"/>
        </w:rPr>
        <w:t xml:space="preserve">seek views on the 26 GHz </w:t>
      </w:r>
      <w:r w:rsidR="006E6075">
        <w:rPr>
          <w:rFonts w:cs="Arial"/>
        </w:rPr>
        <w:t xml:space="preserve">band </w:t>
      </w:r>
      <w:r w:rsidR="00A770BC">
        <w:rPr>
          <w:rFonts w:cs="Arial"/>
        </w:rPr>
        <w:t xml:space="preserve">allocation </w:t>
      </w:r>
      <w:r w:rsidR="00B17179">
        <w:rPr>
          <w:rFonts w:cs="Arial"/>
        </w:rPr>
        <w:t>being conducted using the</w:t>
      </w:r>
      <w:r>
        <w:rPr>
          <w:rFonts w:cs="Arial"/>
        </w:rPr>
        <w:t xml:space="preserve"> ESMRA auction format with the nomination</w:t>
      </w:r>
      <w:r w:rsidR="009F23D5">
        <w:rPr>
          <w:rFonts w:cs="Arial"/>
        </w:rPr>
        <w:t xml:space="preserve"> of demand</w:t>
      </w:r>
      <w:r>
        <w:rPr>
          <w:rFonts w:cs="Arial"/>
        </w:rPr>
        <w:t xml:space="preserve"> to be provided </w:t>
      </w:r>
      <w:r w:rsidR="00A34018">
        <w:rPr>
          <w:rFonts w:cs="Arial"/>
        </w:rPr>
        <w:t xml:space="preserve">approximately </w:t>
      </w:r>
      <w:r>
        <w:rPr>
          <w:rFonts w:cs="Arial"/>
        </w:rPr>
        <w:t>three weeks before the auction start.</w:t>
      </w:r>
    </w:p>
    <w:p w14:paraId="2D5D7FDE" w14:textId="77777777" w:rsidR="00C070A3" w:rsidRDefault="00C070A3" w:rsidP="00C070A3">
      <w:pPr>
        <w:pStyle w:val="Heading2"/>
      </w:pPr>
      <w:bookmarkStart w:id="70" w:name="_Toc514330447"/>
      <w:bookmarkStart w:id="71" w:name="_Toc45112209"/>
      <w:r>
        <w:t>Auction stages</w:t>
      </w:r>
      <w:bookmarkEnd w:id="70"/>
      <w:bookmarkEnd w:id="71"/>
    </w:p>
    <w:p w14:paraId="76FF3F9C" w14:textId="2AF1EFE0" w:rsidR="00C070A3" w:rsidRDefault="000D795A" w:rsidP="004E6F93">
      <w:pPr>
        <w:pStyle w:val="Paragraphbeforelist"/>
      </w:pPr>
      <w:r>
        <w:t>We</w:t>
      </w:r>
      <w:r w:rsidR="00C070A3">
        <w:t xml:space="preserve"> propose the ESMRA auction for the </w:t>
      </w:r>
      <w:r w:rsidR="00B04F4D">
        <w:t>2</w:t>
      </w:r>
      <w:r w:rsidR="00C070A3">
        <w:t xml:space="preserve">6 GHz band be conducted in </w:t>
      </w:r>
      <w:r w:rsidR="00B04F4D">
        <w:t>two</w:t>
      </w:r>
      <w:r w:rsidR="00C070A3">
        <w:t xml:space="preserve"> stages:</w:t>
      </w:r>
    </w:p>
    <w:p w14:paraId="39384D51" w14:textId="11AB7F52" w:rsidR="00C070A3" w:rsidRDefault="00C070A3" w:rsidP="00C070A3">
      <w:pPr>
        <w:pStyle w:val="ListNumber"/>
        <w:numPr>
          <w:ilvl w:val="0"/>
          <w:numId w:val="13"/>
        </w:numPr>
      </w:pPr>
      <w:r>
        <w:rPr>
          <w:b/>
        </w:rPr>
        <w:t>P</w:t>
      </w:r>
      <w:r w:rsidRPr="00295882">
        <w:rPr>
          <w:b/>
        </w:rPr>
        <w:t>rimary stage</w:t>
      </w:r>
      <w:r>
        <w:t>—</w:t>
      </w:r>
      <w:r w:rsidR="00E443F9">
        <w:t>a</w:t>
      </w:r>
      <w:r>
        <w:t xml:space="preserve"> series of rounds that progress according to a clock function. In each round, bidders indicate two </w:t>
      </w:r>
      <w:r w:rsidR="00B04F4D">
        <w:t>details</w:t>
      </w:r>
      <w:r>
        <w:t xml:space="preserve"> for each </w:t>
      </w:r>
      <w:r w:rsidR="00A770BC">
        <w:t>product</w:t>
      </w:r>
      <w:r w:rsidR="00691419">
        <w:t xml:space="preserve"> </w:t>
      </w:r>
      <w:r>
        <w:t xml:space="preserve">simultaneously: </w:t>
      </w:r>
    </w:p>
    <w:p w14:paraId="3FFAE9D4" w14:textId="7B40244F" w:rsidR="00C070A3" w:rsidRDefault="00C070A3" w:rsidP="004E6F93">
      <w:pPr>
        <w:pStyle w:val="ListParagraph"/>
        <w:numPr>
          <w:ilvl w:val="1"/>
          <w:numId w:val="38"/>
        </w:numPr>
        <w:spacing w:after="80" w:line="240" w:lineRule="auto"/>
        <w:ind w:left="709" w:hanging="357"/>
        <w:contextualSpacing w:val="0"/>
      </w:pPr>
      <w:r>
        <w:t xml:space="preserve">Changed level of demand for lots </w:t>
      </w:r>
    </w:p>
    <w:p w14:paraId="17E935D9" w14:textId="6392F87D" w:rsidR="00C070A3" w:rsidRDefault="00C070A3" w:rsidP="00C070A3">
      <w:pPr>
        <w:pStyle w:val="ListParagraph"/>
        <w:numPr>
          <w:ilvl w:val="1"/>
          <w:numId w:val="38"/>
        </w:numPr>
        <w:spacing w:after="120" w:line="240" w:lineRule="auto"/>
        <w:ind w:left="709"/>
        <w:contextualSpacing w:val="0"/>
      </w:pPr>
      <w:r>
        <w:t>Price point at which they wish to change demand</w:t>
      </w:r>
      <w:r w:rsidR="007F1936">
        <w:t>.</w:t>
      </w:r>
      <w:r>
        <w:t xml:space="preserve"> </w:t>
      </w:r>
    </w:p>
    <w:p w14:paraId="5930D964" w14:textId="77777777" w:rsidR="003870D7" w:rsidRDefault="003870D7" w:rsidP="00C070A3">
      <w:pPr>
        <w:pStyle w:val="ListNumber"/>
        <w:ind w:left="360"/>
      </w:pPr>
      <w:r>
        <w:t>For example, the bidder chooses to increase/decrease their bid by two lots at the price point of $114.</w:t>
      </w:r>
    </w:p>
    <w:p w14:paraId="20EE37CD" w14:textId="36DC8992" w:rsidR="00E739E0" w:rsidRDefault="00C070A3" w:rsidP="00C070A3">
      <w:pPr>
        <w:pStyle w:val="ListNumber"/>
        <w:ind w:left="360"/>
      </w:pPr>
      <w:r>
        <w:t xml:space="preserve">Before the auction starts, the auction manager enters the demand for each lot that a bidder </w:t>
      </w:r>
      <w:r w:rsidR="00A770BC">
        <w:t xml:space="preserve">specified </w:t>
      </w:r>
      <w:r w:rsidR="00515FBD">
        <w:t>in the</w:t>
      </w:r>
      <w:r w:rsidR="00D35607">
        <w:t>ir</w:t>
      </w:r>
      <w:r w:rsidR="00515FBD">
        <w:t xml:space="preserve"> </w:t>
      </w:r>
      <w:r w:rsidR="00A770BC">
        <w:t xml:space="preserve">eligibility </w:t>
      </w:r>
      <w:r w:rsidR="00FD1AAC">
        <w:t>nomination</w:t>
      </w:r>
      <w:r w:rsidR="00515FBD">
        <w:t xml:space="preserve"> form</w:t>
      </w:r>
      <w:r>
        <w:t xml:space="preserve">. </w:t>
      </w:r>
    </w:p>
    <w:p w14:paraId="2FED3966" w14:textId="77777777" w:rsidR="00E739E0" w:rsidRDefault="00797754" w:rsidP="00C070A3">
      <w:pPr>
        <w:pStyle w:val="ListNumber"/>
        <w:ind w:left="360"/>
      </w:pPr>
      <w:r w:rsidRPr="00171756">
        <w:rPr>
          <w:b/>
          <w:bCs/>
        </w:rPr>
        <w:t xml:space="preserve">The nominated demand is binding and cannot be withdrawn where demand for lots in a region is less than </w:t>
      </w:r>
      <w:r w:rsidR="00931992" w:rsidRPr="00171756">
        <w:rPr>
          <w:b/>
          <w:bCs/>
        </w:rPr>
        <w:t xml:space="preserve">or equal to </w:t>
      </w:r>
      <w:r w:rsidRPr="00171756">
        <w:rPr>
          <w:b/>
          <w:bCs/>
        </w:rPr>
        <w:t>supply.</w:t>
      </w:r>
      <w:r>
        <w:t xml:space="preserve"> </w:t>
      </w:r>
    </w:p>
    <w:p w14:paraId="68C3726A" w14:textId="1D5972E2" w:rsidR="00C070A3" w:rsidRDefault="00C070A3" w:rsidP="00C070A3">
      <w:pPr>
        <w:pStyle w:val="ListNumber"/>
        <w:ind w:left="360"/>
      </w:pPr>
      <w:r>
        <w:t xml:space="preserve">Therefore, in the first round, bidders indicate whether they wish to change their demand from the level in their </w:t>
      </w:r>
      <w:r w:rsidR="00A770BC">
        <w:t xml:space="preserve">eligibility </w:t>
      </w:r>
      <w:r w:rsidR="00FD1AAC">
        <w:t>nomination</w:t>
      </w:r>
      <w:r>
        <w:t xml:space="preserve"> form. Bids may be changed at any time until the end time of the round. </w:t>
      </w:r>
    </w:p>
    <w:p w14:paraId="538110F6" w14:textId="46D8A386" w:rsidR="00C070A3" w:rsidRDefault="00C070A3" w:rsidP="00C070A3">
      <w:pPr>
        <w:pStyle w:val="ListNumber"/>
        <w:ind w:left="360"/>
      </w:pPr>
      <w:r>
        <w:t xml:space="preserve">This stage ends when there </w:t>
      </w:r>
      <w:r w:rsidR="00122735">
        <w:t>is no excess demand for any product.</w:t>
      </w:r>
      <w:r>
        <w:t xml:space="preserve"> </w:t>
      </w:r>
    </w:p>
    <w:p w14:paraId="254BBB40" w14:textId="1C966C5D" w:rsidR="00C070A3" w:rsidRPr="005A33B1" w:rsidRDefault="00C070A3" w:rsidP="005A33B1">
      <w:pPr>
        <w:pStyle w:val="ListNumber"/>
        <w:numPr>
          <w:ilvl w:val="0"/>
          <w:numId w:val="13"/>
        </w:numPr>
      </w:pPr>
      <w:r>
        <w:rPr>
          <w:b/>
        </w:rPr>
        <w:t>A</w:t>
      </w:r>
      <w:r w:rsidRPr="00951528">
        <w:rPr>
          <w:b/>
        </w:rPr>
        <w:t>ssignment</w:t>
      </w:r>
      <w:r w:rsidRPr="005A33B1">
        <w:rPr>
          <w:b/>
        </w:rPr>
        <w:t xml:space="preserve"> </w:t>
      </w:r>
      <w:r w:rsidRPr="00866F45">
        <w:rPr>
          <w:b/>
        </w:rPr>
        <w:t>stage</w:t>
      </w:r>
      <w:r w:rsidRPr="005A33B1">
        <w:t>—</w:t>
      </w:r>
      <w:r w:rsidR="00E443F9">
        <w:t xml:space="preserve">a </w:t>
      </w:r>
      <w:r w:rsidR="00FE2FB4">
        <w:t xml:space="preserve">successful </w:t>
      </w:r>
      <w:r w:rsidRPr="005A33B1">
        <w:t xml:space="preserve">bidder </w:t>
      </w:r>
      <w:r w:rsidR="00FE2FB4">
        <w:t>for</w:t>
      </w:r>
      <w:r w:rsidR="00E75D36" w:rsidRPr="005A33B1">
        <w:t xml:space="preserve"> </w:t>
      </w:r>
      <w:r w:rsidRPr="005A33B1">
        <w:t xml:space="preserve">spectrum lots </w:t>
      </w:r>
      <w:r w:rsidR="00E75D36" w:rsidRPr="005A33B1">
        <w:t xml:space="preserve">in </w:t>
      </w:r>
      <w:r w:rsidRPr="005A33B1">
        <w:t xml:space="preserve">the primary stage may submit bids </w:t>
      </w:r>
      <w:r w:rsidR="00E75D36" w:rsidRPr="005A33B1">
        <w:t>for their preferred frequency range</w:t>
      </w:r>
      <w:r w:rsidRPr="005A33B1">
        <w:t xml:space="preserve">. For example, in the case of three successful bidders with no unallocated spectrum, each may bid on whether their </w:t>
      </w:r>
      <w:r w:rsidR="00F609F4">
        <w:t xml:space="preserve">spectrum </w:t>
      </w:r>
      <w:r w:rsidRPr="005A33B1">
        <w:t xml:space="preserve">holding </w:t>
      </w:r>
      <w:r w:rsidR="00F90ACD">
        <w:t>is assigned to</w:t>
      </w:r>
      <w:r w:rsidRPr="005A33B1">
        <w:t xml:space="preserve"> the low</w:t>
      </w:r>
      <w:r w:rsidR="00F90ACD">
        <w:t>er</w:t>
      </w:r>
      <w:r w:rsidRPr="005A33B1">
        <w:t>, middle or high</w:t>
      </w:r>
      <w:r w:rsidR="00F90ACD">
        <w:t>er</w:t>
      </w:r>
      <w:r w:rsidRPr="005A33B1">
        <w:t xml:space="preserve"> </w:t>
      </w:r>
      <w:r w:rsidR="00F609F4">
        <w:t>frequency range</w:t>
      </w:r>
      <w:r w:rsidR="00F609F4" w:rsidRPr="005A33B1">
        <w:t xml:space="preserve"> </w:t>
      </w:r>
      <w:r w:rsidRPr="005A33B1">
        <w:t xml:space="preserve">within the </w:t>
      </w:r>
      <w:r w:rsidR="00F609F4">
        <w:t>26</w:t>
      </w:r>
      <w:r w:rsidR="00F90ACD">
        <w:t> </w:t>
      </w:r>
      <w:r w:rsidR="00F609F4">
        <w:t>GHz band</w:t>
      </w:r>
      <w:r w:rsidRPr="005A33B1">
        <w:t xml:space="preserve">. </w:t>
      </w:r>
      <w:r w:rsidR="00F609F4">
        <w:t>Products</w:t>
      </w:r>
      <w:r w:rsidRPr="005A33B1">
        <w:t xml:space="preserve"> with identical outcomes from </w:t>
      </w:r>
      <w:r w:rsidR="00D369AA" w:rsidRPr="005A33B1">
        <w:t xml:space="preserve">the </w:t>
      </w:r>
      <w:r w:rsidRPr="005A33B1">
        <w:t>primary stage may be combined</w:t>
      </w:r>
      <w:r w:rsidR="00691419" w:rsidRPr="005A33B1">
        <w:t xml:space="preserve"> into a single assignment round</w:t>
      </w:r>
      <w:r w:rsidRPr="005A33B1">
        <w:t>.</w:t>
      </w:r>
      <w:r w:rsidR="00895AEC" w:rsidRPr="005A33B1">
        <w:t xml:space="preserve"> We plan to consult on our principles for any combinations with registered bidders before the auction.</w:t>
      </w:r>
    </w:p>
    <w:p w14:paraId="36EA3B37" w14:textId="77777777" w:rsidR="00C070A3" w:rsidRDefault="00C070A3" w:rsidP="00C070A3">
      <w:pPr>
        <w:pStyle w:val="Heading2"/>
      </w:pPr>
      <w:bookmarkStart w:id="72" w:name="_Toc514330449"/>
      <w:bookmarkStart w:id="73" w:name="_Toc45112210"/>
      <w:r>
        <w:t>Auction</w:t>
      </w:r>
      <w:r w:rsidRPr="00B74F13">
        <w:t xml:space="preserve"> </w:t>
      </w:r>
      <w:r w:rsidRPr="00FD0EA5">
        <w:t>rules</w:t>
      </w:r>
      <w:bookmarkEnd w:id="72"/>
      <w:bookmarkEnd w:id="73"/>
    </w:p>
    <w:p w14:paraId="52EE6E9E" w14:textId="77777777" w:rsidR="00C070A3" w:rsidRPr="00A55538" w:rsidRDefault="00C070A3" w:rsidP="00C070A3">
      <w:pPr>
        <w:pStyle w:val="Heading3"/>
      </w:pPr>
      <w:r w:rsidRPr="00A55538">
        <w:t xml:space="preserve">Information </w:t>
      </w:r>
      <w:r>
        <w:t>p</w:t>
      </w:r>
      <w:r w:rsidRPr="00A55538">
        <w:t>olicy</w:t>
      </w:r>
    </w:p>
    <w:p w14:paraId="201681BC" w14:textId="3586E424" w:rsidR="00C070A3" w:rsidRDefault="00C070A3" w:rsidP="00C070A3">
      <w:r w:rsidRPr="00140659">
        <w:t>In an</w:t>
      </w:r>
      <w:r>
        <w:t xml:space="preserve"> ascending auction </w:t>
      </w:r>
      <w:r w:rsidR="00DF4B87">
        <w:t xml:space="preserve">format </w:t>
      </w:r>
      <w:r>
        <w:t>such as ESMRA</w:t>
      </w:r>
      <w:r w:rsidRPr="00140659">
        <w:t xml:space="preserve">, the </w:t>
      </w:r>
      <w:r w:rsidR="00D356DC">
        <w:t>auction manager</w:t>
      </w:r>
      <w:r w:rsidR="00D356DC" w:rsidRPr="00140659">
        <w:t xml:space="preserve"> </w:t>
      </w:r>
      <w:r w:rsidRPr="00140659">
        <w:t xml:space="preserve">typically provides bidders with information about </w:t>
      </w:r>
      <w:r w:rsidR="00D67076">
        <w:t xml:space="preserve">aggregate </w:t>
      </w:r>
      <w:r w:rsidRPr="00140659">
        <w:t>demand throughout the auction. This demand information facilitates price and allocation discovery, which is a key reason why auctions are structured in an open, transparent fashion.</w:t>
      </w:r>
    </w:p>
    <w:p w14:paraId="1A7BD713" w14:textId="77777777" w:rsidR="00C070A3" w:rsidRDefault="00C070A3" w:rsidP="00C070A3">
      <w:r>
        <w:t xml:space="preserve">In contrast to standard SMRA auctions, ESMRA auctions have a higher risk of strategic demand reduction. </w:t>
      </w:r>
      <w:r w:rsidRPr="0082679B">
        <w:t>Strategic demand reduction is a bidding strategy that involves sacrificing some of the spectrum that you might like to have acquired in the auction in return for ending the auction earlier, and at a lower price for the spectrum that you do win.</w:t>
      </w:r>
    </w:p>
    <w:p w14:paraId="686EF00A" w14:textId="61B3C9E0" w:rsidR="00E739E0" w:rsidRDefault="005E0A88" w:rsidP="00C070A3">
      <w:pPr>
        <w:rPr>
          <w:b/>
          <w:bCs/>
        </w:rPr>
      </w:pPr>
      <w:r>
        <w:t>Although p</w:t>
      </w:r>
      <w:r w:rsidR="00C070A3" w:rsidRPr="00A2606E">
        <w:t>roviding detail about the level of excess demand can create incentives for bidders to close out the auction early</w:t>
      </w:r>
      <w:r>
        <w:t>,</w:t>
      </w:r>
      <w:r w:rsidR="00C070A3">
        <w:t xml:space="preserve"> </w:t>
      </w:r>
      <w:r>
        <w:t>t</w:t>
      </w:r>
      <w:r w:rsidR="00C070A3">
        <w:t>his is offset by the requirements for price discovery and transparency</w:t>
      </w:r>
      <w:r w:rsidR="00895AEC">
        <w:t xml:space="preserve">. </w:t>
      </w:r>
      <w:r w:rsidR="004E2FA8">
        <w:t xml:space="preserve">In </w:t>
      </w:r>
      <w:r w:rsidR="00DF4B87">
        <w:t xml:space="preserve">the </w:t>
      </w:r>
      <w:r w:rsidR="004E2FA8">
        <w:t>3.6 GHz auction</w:t>
      </w:r>
      <w:r w:rsidR="00DF4B87">
        <w:t xml:space="preserve"> conducted in 20</w:t>
      </w:r>
      <w:r w:rsidR="007F1936">
        <w:t>18</w:t>
      </w:r>
      <w:r w:rsidR="00DF4B87">
        <w:t>,</w:t>
      </w:r>
      <w:r w:rsidR="00F90ACD">
        <w:t xml:space="preserve"> </w:t>
      </w:r>
      <w:r w:rsidR="00A770BC">
        <w:t xml:space="preserve">information for </w:t>
      </w:r>
      <w:r w:rsidR="00D67076">
        <w:t xml:space="preserve">exact </w:t>
      </w:r>
      <w:r w:rsidR="004E2FA8">
        <w:t xml:space="preserve">excess demand </w:t>
      </w:r>
      <w:r w:rsidR="002060D0">
        <w:t xml:space="preserve">was provided </w:t>
      </w:r>
      <w:r w:rsidR="004E2FA8">
        <w:t>where it was greater than supply by more than four lots (20</w:t>
      </w:r>
      <w:r w:rsidR="002060D0">
        <w:t> </w:t>
      </w:r>
      <w:r w:rsidR="004E2FA8">
        <w:t xml:space="preserve">MHz). However, </w:t>
      </w:r>
      <w:r w:rsidR="00895AEC">
        <w:t>we</w:t>
      </w:r>
      <w:r w:rsidR="004E2FA8">
        <w:t xml:space="preserve"> believe the risk of strategic demand reduction with lot sizes of 200 MHz is low</w:t>
      </w:r>
      <w:r w:rsidR="00550995" w:rsidRPr="006035C0">
        <w:rPr>
          <w:b/>
          <w:bCs/>
        </w:rPr>
        <w:t xml:space="preserve">. </w:t>
      </w:r>
    </w:p>
    <w:p w14:paraId="639F21F5" w14:textId="70B8892A" w:rsidR="00C070A3" w:rsidRDefault="00550995" w:rsidP="00C070A3">
      <w:pPr>
        <w:rPr>
          <w:b/>
          <w:bCs/>
        </w:rPr>
      </w:pPr>
      <w:r w:rsidRPr="006035C0">
        <w:rPr>
          <w:b/>
          <w:bCs/>
        </w:rPr>
        <w:t xml:space="preserve">We therefore </w:t>
      </w:r>
      <w:r w:rsidR="004E2FA8" w:rsidRPr="006035C0">
        <w:rPr>
          <w:b/>
          <w:bCs/>
        </w:rPr>
        <w:t xml:space="preserve">propose to provide exact </w:t>
      </w:r>
      <w:r w:rsidR="00D67076">
        <w:rPr>
          <w:b/>
          <w:bCs/>
        </w:rPr>
        <w:t xml:space="preserve">excess </w:t>
      </w:r>
      <w:r w:rsidR="004E2FA8" w:rsidRPr="006035C0">
        <w:rPr>
          <w:b/>
          <w:bCs/>
        </w:rPr>
        <w:t>demand</w:t>
      </w:r>
      <w:r w:rsidR="00E75D36" w:rsidRPr="006035C0">
        <w:rPr>
          <w:b/>
          <w:bCs/>
        </w:rPr>
        <w:t xml:space="preserve"> information,</w:t>
      </w:r>
      <w:r w:rsidR="004E2FA8" w:rsidRPr="006035C0">
        <w:rPr>
          <w:b/>
          <w:bCs/>
        </w:rPr>
        <w:t xml:space="preserve"> including when </w:t>
      </w:r>
      <w:r w:rsidR="00D67076">
        <w:rPr>
          <w:b/>
          <w:bCs/>
        </w:rPr>
        <w:t xml:space="preserve">aggregate </w:t>
      </w:r>
      <w:r w:rsidR="004E2FA8" w:rsidRPr="006035C0">
        <w:rPr>
          <w:b/>
          <w:bCs/>
        </w:rPr>
        <w:t xml:space="preserve">demand is </w:t>
      </w:r>
      <w:r w:rsidR="00D67076">
        <w:rPr>
          <w:b/>
          <w:bCs/>
        </w:rPr>
        <w:t xml:space="preserve">equal to or </w:t>
      </w:r>
      <w:r w:rsidR="004E2FA8" w:rsidRPr="006035C0">
        <w:rPr>
          <w:b/>
          <w:bCs/>
        </w:rPr>
        <w:t>less than supply</w:t>
      </w:r>
      <w:r w:rsidR="00F90ACD">
        <w:rPr>
          <w:b/>
          <w:bCs/>
        </w:rPr>
        <w:t>.</w:t>
      </w:r>
    </w:p>
    <w:p w14:paraId="7052F672" w14:textId="51C7E7E0" w:rsidR="00F90ACD" w:rsidRPr="00605D02" w:rsidRDefault="00F90ACD" w:rsidP="00F90ACD">
      <w:pPr>
        <w:pBdr>
          <w:top w:val="single" w:sz="4" w:space="1" w:color="auto"/>
          <w:left w:val="single" w:sz="4" w:space="4" w:color="auto"/>
          <w:bottom w:val="single" w:sz="4" w:space="1" w:color="auto"/>
          <w:right w:val="single" w:sz="4" w:space="4" w:color="auto"/>
        </w:pBdr>
        <w:shd w:val="clear" w:color="auto" w:fill="F2F2F2" w:themeFill="background1" w:themeFillShade="F2"/>
        <w:spacing w:after="120"/>
      </w:pPr>
      <w:r>
        <w:rPr>
          <w:b/>
        </w:rPr>
        <w:t>26 GHz band auction</w:t>
      </w:r>
      <w:r w:rsidR="00E443F9">
        <w:rPr>
          <w:b/>
        </w:rPr>
        <w:t>—</w:t>
      </w:r>
      <w:r>
        <w:rPr>
          <w:b/>
        </w:rPr>
        <w:t>information policy</w:t>
      </w:r>
    </w:p>
    <w:p w14:paraId="39C56D8C" w14:textId="749F9BCA" w:rsidR="00F90ACD" w:rsidRPr="009C5A85" w:rsidRDefault="00F90ACD" w:rsidP="004E6F93">
      <w:pPr>
        <w:pBdr>
          <w:top w:val="single" w:sz="4" w:space="1" w:color="auto"/>
          <w:left w:val="single" w:sz="4" w:space="4" w:color="auto"/>
          <w:bottom w:val="single" w:sz="4" w:space="1" w:color="auto"/>
          <w:right w:val="single" w:sz="4" w:space="4" w:color="auto"/>
        </w:pBdr>
        <w:shd w:val="clear" w:color="auto" w:fill="F2F2F2" w:themeFill="background1" w:themeFillShade="F2"/>
        <w:rPr>
          <w:rFonts w:cs="Arial"/>
        </w:rPr>
      </w:pPr>
      <w:r>
        <w:rPr>
          <w:rFonts w:cs="Arial"/>
        </w:rPr>
        <w:t>We seek views on providing excess demand information in all circumstances during the primary stage of the auction.</w:t>
      </w:r>
    </w:p>
    <w:p w14:paraId="2A9460DE" w14:textId="77777777" w:rsidR="00C070A3" w:rsidRPr="00A55538" w:rsidRDefault="00C070A3" w:rsidP="00C070A3">
      <w:pPr>
        <w:pStyle w:val="Heading3"/>
      </w:pPr>
      <w:r>
        <w:t>Activity r</w:t>
      </w:r>
      <w:r w:rsidRPr="00A55538">
        <w:t>ule</w:t>
      </w:r>
    </w:p>
    <w:p w14:paraId="0AACCC67" w14:textId="77777777" w:rsidR="00E739E0" w:rsidRDefault="00C070A3" w:rsidP="00C070A3">
      <w:r>
        <w:t xml:space="preserve">In </w:t>
      </w:r>
      <w:r w:rsidR="00515FBD">
        <w:t>the 3.6 GHz auction</w:t>
      </w:r>
      <w:r>
        <w:t xml:space="preserve">, </w:t>
      </w:r>
      <w:r w:rsidR="00895AEC">
        <w:t>we</w:t>
      </w:r>
      <w:r>
        <w:t xml:space="preserve"> implemented a global (aggregate) activity rule, </w:t>
      </w:r>
      <w:r w:rsidR="00895AEC">
        <w:t>which calculates the maximum bidding activity allowed in the next round based on the bidding activity in the current round</w:t>
      </w:r>
      <w:r>
        <w:t xml:space="preserve">. This activity rule </w:t>
      </w:r>
      <w:r w:rsidRPr="007610FB">
        <w:t>is used to improve price discovery and maintain auction progress</w:t>
      </w:r>
      <w:r>
        <w:t xml:space="preserve">. </w:t>
      </w:r>
    </w:p>
    <w:p w14:paraId="7A5E086E" w14:textId="02FBA31A" w:rsidR="00F90ACD" w:rsidRDefault="00895AEC" w:rsidP="00C070A3">
      <w:pPr>
        <w:rPr>
          <w:b/>
        </w:rPr>
      </w:pPr>
      <w:r>
        <w:rPr>
          <w:b/>
        </w:rPr>
        <w:t>We</w:t>
      </w:r>
      <w:r w:rsidR="00C070A3" w:rsidRPr="00A55538">
        <w:rPr>
          <w:b/>
        </w:rPr>
        <w:t xml:space="preserve"> propose to </w:t>
      </w:r>
      <w:r w:rsidR="00C070A3">
        <w:rPr>
          <w:b/>
        </w:rPr>
        <w:t xml:space="preserve">use a similar global activity rule for the </w:t>
      </w:r>
      <w:r w:rsidR="007A6C34">
        <w:rPr>
          <w:b/>
        </w:rPr>
        <w:t>2</w:t>
      </w:r>
      <w:r w:rsidR="00C070A3">
        <w:rPr>
          <w:b/>
        </w:rPr>
        <w:t>6 GHz band auction</w:t>
      </w:r>
      <w:r w:rsidR="00C070A3" w:rsidRPr="00A55538">
        <w:rPr>
          <w:b/>
        </w:rPr>
        <w:t>.</w:t>
      </w:r>
    </w:p>
    <w:p w14:paraId="73ECF3B7" w14:textId="3901F73A" w:rsidR="00F90ACD" w:rsidRPr="00605D02" w:rsidRDefault="00F90ACD" w:rsidP="00F90ACD">
      <w:pPr>
        <w:pBdr>
          <w:top w:val="single" w:sz="4" w:space="1" w:color="auto"/>
          <w:left w:val="single" w:sz="4" w:space="4" w:color="auto"/>
          <w:bottom w:val="single" w:sz="4" w:space="1" w:color="auto"/>
          <w:right w:val="single" w:sz="4" w:space="4" w:color="auto"/>
        </w:pBdr>
        <w:shd w:val="clear" w:color="auto" w:fill="F2F2F2" w:themeFill="background1" w:themeFillShade="F2"/>
        <w:spacing w:after="120"/>
      </w:pPr>
      <w:r>
        <w:rPr>
          <w:b/>
        </w:rPr>
        <w:t>26 GHz band auction</w:t>
      </w:r>
      <w:r w:rsidR="00E443F9">
        <w:rPr>
          <w:b/>
        </w:rPr>
        <w:t>—</w:t>
      </w:r>
      <w:r>
        <w:rPr>
          <w:b/>
        </w:rPr>
        <w:t>activity rule</w:t>
      </w:r>
    </w:p>
    <w:p w14:paraId="644EB614" w14:textId="1A461898" w:rsidR="00F90ACD" w:rsidRPr="009C5A85" w:rsidRDefault="00F90ACD" w:rsidP="004E6F93">
      <w:pPr>
        <w:pBdr>
          <w:top w:val="single" w:sz="4" w:space="1" w:color="auto"/>
          <w:left w:val="single" w:sz="4" w:space="4" w:color="auto"/>
          <w:bottom w:val="single" w:sz="4" w:space="1" w:color="auto"/>
          <w:right w:val="single" w:sz="4" w:space="4" w:color="auto"/>
        </w:pBdr>
        <w:shd w:val="clear" w:color="auto" w:fill="F2F2F2" w:themeFill="background1" w:themeFillShade="F2"/>
        <w:rPr>
          <w:rFonts w:cs="Arial"/>
        </w:rPr>
      </w:pPr>
      <w:r>
        <w:rPr>
          <w:rFonts w:cs="Arial"/>
        </w:rPr>
        <w:t>We seek views on using a global activity rule for this auction.</w:t>
      </w:r>
    </w:p>
    <w:p w14:paraId="60E0E4CA" w14:textId="39DF978D" w:rsidR="00515FBD" w:rsidRDefault="00C070A3">
      <w:pPr>
        <w:pStyle w:val="Paragraphbeforelist"/>
      </w:pPr>
      <w:r>
        <w:t xml:space="preserve"> </w:t>
      </w:r>
      <w:r w:rsidRPr="007610FB">
        <w:t xml:space="preserve">A bidder’s initial eligibility is based on the </w:t>
      </w:r>
      <w:r w:rsidR="005E0A88">
        <w:t>total eligibility for its</w:t>
      </w:r>
      <w:r w:rsidRPr="007610FB">
        <w:t xml:space="preserve"> </w:t>
      </w:r>
      <w:r w:rsidR="005E0A88">
        <w:t>nominated lots provided by the eligibility deadline</w:t>
      </w:r>
      <w:r w:rsidRPr="007610FB">
        <w:t>. In each round of the auction, the bidder must be active on a specified percentage (</w:t>
      </w:r>
      <w:r>
        <w:t>for example,</w:t>
      </w:r>
      <w:r w:rsidRPr="007610FB">
        <w:t xml:space="preserve"> 95</w:t>
      </w:r>
      <w:r>
        <w:t xml:space="preserve"> per cent</w:t>
      </w:r>
      <w:r w:rsidRPr="007610FB">
        <w:t xml:space="preserve">) of its eligibility, or the bidder’s eligibility is reduced. The </w:t>
      </w:r>
      <w:r w:rsidR="0082767F">
        <w:t xml:space="preserve">specified percentage is </w:t>
      </w:r>
      <w:r w:rsidR="007A1F42">
        <w:t>set</w:t>
      </w:r>
      <w:r w:rsidR="0082767F">
        <w:t xml:space="preserve"> by the auction </w:t>
      </w:r>
      <w:proofErr w:type="gramStart"/>
      <w:r w:rsidR="0082767F">
        <w:t>manager, and</w:t>
      </w:r>
      <w:proofErr w:type="gramEnd"/>
      <w:r w:rsidR="0082767F">
        <w:t xml:space="preserve"> </w:t>
      </w:r>
      <w:r w:rsidRPr="007610FB">
        <w:t xml:space="preserve">is called the </w:t>
      </w:r>
      <w:r>
        <w:t>‘</w:t>
      </w:r>
      <w:r w:rsidRPr="007610FB">
        <w:t>eligibility requirement</w:t>
      </w:r>
      <w:r>
        <w:t>’</w:t>
      </w:r>
      <w:r w:rsidRPr="007610FB">
        <w:t xml:space="preserve">. Eligibility is measured in eligibility points. End-of-round activity is </w:t>
      </w:r>
      <w:r w:rsidR="00721B19">
        <w:t>calculated</w:t>
      </w:r>
      <w:r w:rsidR="00721B19" w:rsidRPr="007610FB">
        <w:t xml:space="preserve"> </w:t>
      </w:r>
      <w:r w:rsidRPr="007610FB">
        <w:t>as the</w:t>
      </w:r>
      <w:r w:rsidR="00515FBD">
        <w:t xml:space="preserve"> </w:t>
      </w:r>
      <w:r w:rsidR="00AB3651">
        <w:t>greater</w:t>
      </w:r>
      <w:r w:rsidR="00515FBD">
        <w:t xml:space="preserve"> of</w:t>
      </w:r>
      <w:r w:rsidR="002060D0">
        <w:t xml:space="preserve"> the</w:t>
      </w:r>
      <w:r w:rsidRPr="007610FB">
        <w:t xml:space="preserve"> total eligibility points of all lots</w:t>
      </w:r>
      <w:r w:rsidR="00515FBD">
        <w:t>:</w:t>
      </w:r>
    </w:p>
    <w:p w14:paraId="1654567D" w14:textId="6CA4B994" w:rsidR="002060D0" w:rsidRDefault="00721B19" w:rsidP="00515FBD">
      <w:pPr>
        <w:pStyle w:val="Bulletlevel1"/>
      </w:pPr>
      <w:r>
        <w:t xml:space="preserve">the bidder </w:t>
      </w:r>
      <w:r w:rsidR="002060D0">
        <w:t>placed bids for</w:t>
      </w:r>
      <w:r w:rsidR="003870D7">
        <w:t xml:space="preserve"> in</w:t>
      </w:r>
      <w:r w:rsidR="002060D0">
        <w:t xml:space="preserve"> the round; or</w:t>
      </w:r>
    </w:p>
    <w:p w14:paraId="201E9D0B" w14:textId="4517828A" w:rsidR="00515FBD" w:rsidRDefault="00721B19" w:rsidP="004E6F93">
      <w:pPr>
        <w:pStyle w:val="Bulletlevel1last"/>
      </w:pPr>
      <w:r>
        <w:t>in the bidder’s posted demand</w:t>
      </w:r>
      <w:r w:rsidR="00C070A3" w:rsidRPr="007610FB">
        <w:t>.</w:t>
      </w:r>
    </w:p>
    <w:p w14:paraId="4B2BAF4E" w14:textId="202E641C" w:rsidR="00E739E0" w:rsidRDefault="00C070A3" w:rsidP="00B653B7">
      <w:pPr>
        <w:pStyle w:val="Paragraph"/>
      </w:pPr>
      <w:r w:rsidRPr="007610FB">
        <w:t>If the eligibility requirement is not met, the bidder’s eligibility in the next round is reduced to (end-of-round activity)</w:t>
      </w:r>
      <w:r w:rsidR="00721B19">
        <w:t xml:space="preserve"> </w:t>
      </w:r>
      <w:r w:rsidR="00A34018">
        <w:t>divided by</w:t>
      </w:r>
      <w:r w:rsidR="00721B19">
        <w:t xml:space="preserve"> </w:t>
      </w:r>
      <w:r w:rsidRPr="007610FB">
        <w:t xml:space="preserve">(eligibility requirement), rounded up to the nearest integer. Eligibility </w:t>
      </w:r>
      <w:r w:rsidR="00721B19">
        <w:t>is calculated</w:t>
      </w:r>
      <w:r w:rsidRPr="007610FB">
        <w:t xml:space="preserve"> at the end of the round, based on end-of-round activity. However, the bid processing algorithm prevents any bid from being applied that would cause the bidder to exceed its eligibility at any point during bid processing.</w:t>
      </w:r>
      <w:r>
        <w:t xml:space="preserve"> </w:t>
      </w:r>
    </w:p>
    <w:p w14:paraId="67A08D89" w14:textId="222A487D" w:rsidR="00C070A3" w:rsidRPr="00A770BC" w:rsidRDefault="00D10168" w:rsidP="00B653B7">
      <w:pPr>
        <w:pStyle w:val="Paragraph"/>
        <w:rPr>
          <w:b/>
        </w:rPr>
      </w:pPr>
      <w:r w:rsidRPr="00A770BC">
        <w:rPr>
          <w:b/>
        </w:rPr>
        <w:t>We</w:t>
      </w:r>
      <w:r w:rsidR="00C070A3" w:rsidRPr="00A770BC">
        <w:rPr>
          <w:b/>
        </w:rPr>
        <w:t xml:space="preserve"> will consult on the activity rule level with registered bidders after the close of applications, together with the other auction parameters.</w:t>
      </w:r>
    </w:p>
    <w:p w14:paraId="1D573905" w14:textId="77777777" w:rsidR="00C070A3" w:rsidRPr="00A55538" w:rsidRDefault="00C070A3" w:rsidP="005E34DE">
      <w:pPr>
        <w:pStyle w:val="Heading3"/>
      </w:pPr>
      <w:r>
        <w:t>Assignment stage pricing r</w:t>
      </w:r>
      <w:r w:rsidRPr="00A55538">
        <w:t>ule</w:t>
      </w:r>
    </w:p>
    <w:p w14:paraId="6BB3033E" w14:textId="0516005B" w:rsidR="00E739E0" w:rsidRDefault="00C070A3" w:rsidP="00B653B7">
      <w:pPr>
        <w:pStyle w:val="Paragraph"/>
        <w:rPr>
          <w:b/>
          <w:bCs/>
        </w:rPr>
      </w:pPr>
      <w:r>
        <w:t>In the assignment stage, bidders submit confidential</w:t>
      </w:r>
      <w:r w:rsidR="002B288A">
        <w:t>, one-shot</w:t>
      </w:r>
      <w:r>
        <w:t xml:space="preserve"> bids for the </w:t>
      </w:r>
      <w:r w:rsidR="002B288A">
        <w:t xml:space="preserve">set </w:t>
      </w:r>
      <w:r>
        <w:t xml:space="preserve">of </w:t>
      </w:r>
      <w:r w:rsidR="002B288A">
        <w:t>feasible frequency range options</w:t>
      </w:r>
      <w:r>
        <w:t xml:space="preserve"> available after the primary stage. </w:t>
      </w:r>
      <w:r w:rsidRPr="005A344F">
        <w:t xml:space="preserve">From analysis of previous experience </w:t>
      </w:r>
      <w:r w:rsidR="004A27E3">
        <w:t xml:space="preserve">with </w:t>
      </w:r>
      <w:r w:rsidR="005E62F2">
        <w:t>our</w:t>
      </w:r>
      <w:r w:rsidR="005E62F2" w:rsidRPr="005A344F">
        <w:t xml:space="preserve"> </w:t>
      </w:r>
      <w:r w:rsidRPr="005A344F">
        <w:t xml:space="preserve">digital dividend </w:t>
      </w:r>
      <w:r w:rsidR="00B35592">
        <w:t>and 3.6</w:t>
      </w:r>
      <w:r w:rsidR="004A27E3">
        <w:t> </w:t>
      </w:r>
      <w:r w:rsidR="00B35592">
        <w:t xml:space="preserve">GHz </w:t>
      </w:r>
      <w:r w:rsidRPr="005A344F">
        <w:t>spectrum auction</w:t>
      </w:r>
      <w:r w:rsidR="004A06D2">
        <w:t>s</w:t>
      </w:r>
      <w:r w:rsidRPr="005A344F">
        <w:t xml:space="preserve">, </w:t>
      </w:r>
      <w:r w:rsidR="005E62F2">
        <w:t>w</w:t>
      </w:r>
      <w:r w:rsidR="00DB379E">
        <w:t>e</w:t>
      </w:r>
      <w:r w:rsidR="00DB379E" w:rsidRPr="005A344F">
        <w:t xml:space="preserve"> </w:t>
      </w:r>
      <w:r w:rsidRPr="005A344F">
        <w:t xml:space="preserve">believe that the nearest </w:t>
      </w:r>
      <w:proofErr w:type="spellStart"/>
      <w:r w:rsidRPr="005A344F">
        <w:t>Vickrey</w:t>
      </w:r>
      <w:proofErr w:type="spellEnd"/>
      <w:r w:rsidRPr="005A344F">
        <w:t xml:space="preserve"> core pricing algorithm encourages value-based bidding and </w:t>
      </w:r>
      <w:r>
        <w:t>deters</w:t>
      </w:r>
      <w:r w:rsidRPr="005A344F">
        <w:t xml:space="preserve"> undesirable outcomes resulting from strategic bidding</w:t>
      </w:r>
      <w:r w:rsidR="007961AE">
        <w:t>.</w:t>
      </w:r>
      <w:r w:rsidR="00D772F0" w:rsidRPr="00C41CBD">
        <w:rPr>
          <w:rStyle w:val="FootnoteReference"/>
        </w:rPr>
        <w:footnoteReference w:id="19"/>
      </w:r>
      <w:r w:rsidRPr="00C41CBD">
        <w:rPr>
          <w:b/>
          <w:bCs/>
        </w:rPr>
        <w:t xml:space="preserve"> </w:t>
      </w:r>
    </w:p>
    <w:p w14:paraId="1AB3AE4C" w14:textId="65F10E00" w:rsidR="00C070A3" w:rsidRDefault="00132804" w:rsidP="00B653B7">
      <w:pPr>
        <w:pStyle w:val="Paragraph"/>
      </w:pPr>
      <w:r>
        <w:rPr>
          <w:b/>
          <w:bCs/>
        </w:rPr>
        <w:t>We t</w:t>
      </w:r>
      <w:r w:rsidR="00C070A3" w:rsidRPr="00C41CBD">
        <w:rPr>
          <w:b/>
          <w:bCs/>
        </w:rPr>
        <w:t>herefore</w:t>
      </w:r>
      <w:r w:rsidR="00DB379E" w:rsidRPr="00C41CBD">
        <w:rPr>
          <w:b/>
          <w:bCs/>
        </w:rPr>
        <w:t xml:space="preserve"> </w:t>
      </w:r>
      <w:r w:rsidR="00C070A3" w:rsidRPr="00C41CBD">
        <w:rPr>
          <w:b/>
          <w:bCs/>
        </w:rPr>
        <w:t xml:space="preserve">propose to use the nearest </w:t>
      </w:r>
      <w:proofErr w:type="spellStart"/>
      <w:r w:rsidR="00C070A3" w:rsidRPr="00C41CBD">
        <w:rPr>
          <w:b/>
          <w:bCs/>
        </w:rPr>
        <w:t>Vickrey</w:t>
      </w:r>
      <w:proofErr w:type="spellEnd"/>
      <w:r w:rsidR="00C070A3" w:rsidRPr="00C41CBD">
        <w:rPr>
          <w:b/>
          <w:bCs/>
        </w:rPr>
        <w:t xml:space="preserve"> core pricing algorithm for the assignment stage </w:t>
      </w:r>
      <w:r w:rsidR="00C070A3" w:rsidRPr="002F143A">
        <w:rPr>
          <w:b/>
          <w:bCs/>
        </w:rPr>
        <w:t xml:space="preserve">of the </w:t>
      </w:r>
      <w:r w:rsidR="00201441" w:rsidRPr="002F143A">
        <w:rPr>
          <w:b/>
          <w:bCs/>
        </w:rPr>
        <w:t>26 </w:t>
      </w:r>
      <w:r w:rsidR="00C070A3" w:rsidRPr="002F143A">
        <w:rPr>
          <w:b/>
          <w:bCs/>
        </w:rPr>
        <w:t>GHz band auction</w:t>
      </w:r>
      <w:r w:rsidR="00C070A3" w:rsidRPr="005A344F">
        <w:t>.</w:t>
      </w:r>
    </w:p>
    <w:p w14:paraId="22A2AD58" w14:textId="2E24F050" w:rsidR="002D58D7" w:rsidRPr="00605D02" w:rsidRDefault="002D58D7" w:rsidP="002D58D7">
      <w:pPr>
        <w:pBdr>
          <w:top w:val="single" w:sz="4" w:space="1" w:color="auto"/>
          <w:left w:val="single" w:sz="4" w:space="4" w:color="auto"/>
          <w:bottom w:val="single" w:sz="4" w:space="1" w:color="auto"/>
          <w:right w:val="single" w:sz="4" w:space="4" w:color="auto"/>
        </w:pBdr>
        <w:shd w:val="clear" w:color="auto" w:fill="F2F2F2" w:themeFill="background1" w:themeFillShade="F2"/>
        <w:spacing w:after="120"/>
      </w:pPr>
      <w:r>
        <w:rPr>
          <w:b/>
        </w:rPr>
        <w:t>26 GHz band auction</w:t>
      </w:r>
      <w:r w:rsidR="00E443F9">
        <w:rPr>
          <w:b/>
        </w:rPr>
        <w:t>—</w:t>
      </w:r>
      <w:r>
        <w:rPr>
          <w:b/>
        </w:rPr>
        <w:t>assignment stage pricing rule</w:t>
      </w:r>
    </w:p>
    <w:p w14:paraId="55E0CCB4" w14:textId="678ED65B" w:rsidR="002D58D7" w:rsidRPr="009C5A85" w:rsidRDefault="002D58D7" w:rsidP="004E6F93">
      <w:pPr>
        <w:pBdr>
          <w:top w:val="single" w:sz="4" w:space="1" w:color="auto"/>
          <w:left w:val="single" w:sz="4" w:space="4" w:color="auto"/>
          <w:bottom w:val="single" w:sz="4" w:space="1" w:color="auto"/>
          <w:right w:val="single" w:sz="4" w:space="4" w:color="auto"/>
        </w:pBdr>
        <w:shd w:val="clear" w:color="auto" w:fill="F2F2F2" w:themeFill="background1" w:themeFillShade="F2"/>
        <w:rPr>
          <w:rFonts w:cs="Arial"/>
        </w:rPr>
      </w:pPr>
      <w:r>
        <w:rPr>
          <w:rFonts w:cs="Arial"/>
        </w:rPr>
        <w:t>We seek views on using the nearest Vickery core pricing algorithm for determining the winning prices in the assignment stage of the 26 GHz band auction.</w:t>
      </w:r>
    </w:p>
    <w:p w14:paraId="360AB971" w14:textId="6BE7C7A4" w:rsidR="00E739E0" w:rsidRDefault="00C070A3" w:rsidP="00B653B7">
      <w:pPr>
        <w:pStyle w:val="Paragraph"/>
      </w:pPr>
      <w:r>
        <w:t xml:space="preserve">In the digital dividend auction, </w:t>
      </w:r>
      <w:r w:rsidR="00DB379E">
        <w:t xml:space="preserve">we </w:t>
      </w:r>
      <w:r>
        <w:t xml:space="preserve">undertook external verification of the results from the pricing rule algorithm. However, this involved an auction format where a pricing rule applied in the primary stage, rather than the assignment stage only. </w:t>
      </w:r>
      <w:r w:rsidR="00DB379E">
        <w:t>We</w:t>
      </w:r>
      <w:r>
        <w:t xml:space="preserve"> expect that the assignment stage bids will be a small fraction of the total bids for the auction</w:t>
      </w:r>
      <w:r w:rsidR="00DB379E">
        <w:t xml:space="preserve">, </w:t>
      </w:r>
      <w:proofErr w:type="gramStart"/>
      <w:r w:rsidR="00DB379E">
        <w:t>similar to</w:t>
      </w:r>
      <w:proofErr w:type="gramEnd"/>
      <w:r w:rsidR="00DB379E">
        <w:t xml:space="preserve"> </w:t>
      </w:r>
      <w:r w:rsidR="000A620F">
        <w:t>our</w:t>
      </w:r>
      <w:r w:rsidR="00DB379E">
        <w:t xml:space="preserve"> 3.6 GHz auction</w:t>
      </w:r>
      <w:r>
        <w:t xml:space="preserve">. </w:t>
      </w:r>
    </w:p>
    <w:p w14:paraId="7A32515A" w14:textId="4D905B48" w:rsidR="00C070A3" w:rsidRDefault="00132804" w:rsidP="00B653B7">
      <w:pPr>
        <w:pStyle w:val="Paragraph"/>
        <w:rPr>
          <w:b/>
        </w:rPr>
      </w:pPr>
      <w:r w:rsidRPr="007F1936">
        <w:rPr>
          <w:b/>
          <w:bCs/>
        </w:rPr>
        <w:t xml:space="preserve">We </w:t>
      </w:r>
      <w:r>
        <w:rPr>
          <w:b/>
        </w:rPr>
        <w:t>t</w:t>
      </w:r>
      <w:r w:rsidR="00C070A3" w:rsidRPr="005A344F">
        <w:rPr>
          <w:b/>
        </w:rPr>
        <w:t>herefore do not believe that external verification of the assignment stage results is justified for this auction.</w:t>
      </w:r>
    </w:p>
    <w:p w14:paraId="7E2525C9" w14:textId="7E33463F" w:rsidR="000A620F" w:rsidRDefault="00C070A3" w:rsidP="00B653B7">
      <w:pPr>
        <w:pStyle w:val="Paragraph"/>
      </w:pPr>
      <w:r>
        <w:t>After the conclusion of the primary stage</w:t>
      </w:r>
      <w:r w:rsidR="0029669E">
        <w:t>,</w:t>
      </w:r>
      <w:r w:rsidR="000A620F">
        <w:t xml:space="preserve"> and</w:t>
      </w:r>
      <w:r w:rsidR="00E22807">
        <w:t xml:space="preserve"> </w:t>
      </w:r>
      <w:r w:rsidR="0042330A">
        <w:t>at least 24 hours before commencement of the assignment stage</w:t>
      </w:r>
      <w:r w:rsidR="000A620F">
        <w:t>, winning bidders will be provided</w:t>
      </w:r>
      <w:r w:rsidR="005E62F2">
        <w:t xml:space="preserve"> with</w:t>
      </w:r>
      <w:r w:rsidR="000A620F">
        <w:t xml:space="preserve"> their feasible frequency range options for each product in the assignment stage. A</w:t>
      </w:r>
      <w:r w:rsidR="00435A01">
        <w:t>ny un</w:t>
      </w:r>
      <w:r w:rsidR="00136642">
        <w:t>allocated</w:t>
      </w:r>
      <w:r w:rsidR="00435A01">
        <w:t xml:space="preserve"> lots </w:t>
      </w:r>
      <w:r w:rsidR="000A620F">
        <w:t xml:space="preserve">will be </w:t>
      </w:r>
      <w:r w:rsidR="00435A01">
        <w:t>assigned to the highest position in the band</w:t>
      </w:r>
      <w:r>
        <w:t>.</w:t>
      </w:r>
    </w:p>
    <w:p w14:paraId="7C5EE519" w14:textId="77777777" w:rsidR="00C070A3" w:rsidRDefault="00C070A3" w:rsidP="00C070A3">
      <w:pPr>
        <w:pStyle w:val="Heading2"/>
        <w:spacing w:before="240"/>
      </w:pPr>
      <w:bookmarkStart w:id="74" w:name="_Toc459210821"/>
      <w:bookmarkStart w:id="75" w:name="_Toc461025819"/>
      <w:bookmarkStart w:id="76" w:name="_Toc512246164"/>
      <w:bookmarkStart w:id="77" w:name="_Toc512503298"/>
      <w:bookmarkStart w:id="78" w:name="_Toc514330450"/>
      <w:bookmarkStart w:id="79" w:name="_Toc45112211"/>
      <w:r>
        <w:t>Application and registration process</w:t>
      </w:r>
      <w:bookmarkEnd w:id="74"/>
      <w:bookmarkEnd w:id="75"/>
      <w:bookmarkEnd w:id="76"/>
      <w:bookmarkEnd w:id="77"/>
      <w:bookmarkEnd w:id="78"/>
      <w:bookmarkEnd w:id="79"/>
    </w:p>
    <w:p w14:paraId="5F87FCDF" w14:textId="58A16549" w:rsidR="00C070A3" w:rsidRDefault="00C070A3" w:rsidP="00C070A3">
      <w:r w:rsidRPr="00880169">
        <w:t xml:space="preserve">The draft </w:t>
      </w:r>
      <w:r>
        <w:t xml:space="preserve">allocation </w:t>
      </w:r>
      <w:r w:rsidRPr="00880169">
        <w:t xml:space="preserve">determination </w:t>
      </w:r>
      <w:r>
        <w:t>sets out</w:t>
      </w:r>
      <w:r w:rsidRPr="00880169">
        <w:t xml:space="preserve"> the application process </w:t>
      </w:r>
      <w:r>
        <w:t>that</w:t>
      </w:r>
      <w:r w:rsidRPr="00880169">
        <w:t xml:space="preserve"> interested parties must comply</w:t>
      </w:r>
      <w:r>
        <w:t xml:space="preserve"> with,</w:t>
      </w:r>
      <w:r w:rsidRPr="00880169">
        <w:t xml:space="preserve"> </w:t>
      </w:r>
      <w:r>
        <w:t>in order</w:t>
      </w:r>
      <w:r w:rsidRPr="00880169">
        <w:t xml:space="preserve"> to be eligible to participate and bid for spectrum at auction. This includes </w:t>
      </w:r>
      <w:r>
        <w:t>specifying</w:t>
      </w:r>
      <w:r w:rsidRPr="00880169">
        <w:t xml:space="preserve"> all required documentation and when it must be submitted. </w:t>
      </w:r>
    </w:p>
    <w:p w14:paraId="7EFCDC89" w14:textId="3818642C" w:rsidR="00C070A3" w:rsidRPr="00136642" w:rsidRDefault="00C070A3" w:rsidP="00C070A3">
      <w:proofErr w:type="gramStart"/>
      <w:r>
        <w:t>Similar to</w:t>
      </w:r>
      <w:proofErr w:type="gramEnd"/>
      <w:r>
        <w:t xml:space="preserve"> </w:t>
      </w:r>
      <w:r w:rsidR="000A620F">
        <w:t xml:space="preserve">our </w:t>
      </w:r>
      <w:r w:rsidR="00B35592">
        <w:t xml:space="preserve">3.6 GHz </w:t>
      </w:r>
      <w:r>
        <w:t xml:space="preserve">auction, </w:t>
      </w:r>
      <w:r w:rsidR="000A620F">
        <w:t>we are</w:t>
      </w:r>
      <w:r w:rsidRPr="00067EE2">
        <w:t xml:space="preserve"> proposing a </w:t>
      </w:r>
      <w:r w:rsidR="00FB5516">
        <w:t>two</w:t>
      </w:r>
      <w:r>
        <w:t>-stage</w:t>
      </w:r>
      <w:r w:rsidRPr="00067EE2">
        <w:t xml:space="preserve"> </w:t>
      </w:r>
      <w:r>
        <w:t xml:space="preserve">application </w:t>
      </w:r>
      <w:r w:rsidRPr="00067EE2">
        <w:t xml:space="preserve">process for </w:t>
      </w:r>
      <w:r>
        <w:t>parties</w:t>
      </w:r>
      <w:r w:rsidRPr="00067EE2">
        <w:t xml:space="preserve"> who wish to participate in the auction</w:t>
      </w:r>
      <w:r>
        <w:t>.</w:t>
      </w:r>
    </w:p>
    <w:p w14:paraId="36BCBEAF" w14:textId="62EEC979" w:rsidR="00136642" w:rsidRDefault="000A620F" w:rsidP="00136642">
      <w:pPr>
        <w:pStyle w:val="Heading3"/>
      </w:pPr>
      <w:r>
        <w:t xml:space="preserve">Application </w:t>
      </w:r>
      <w:r w:rsidR="00136642">
        <w:t>stage</w:t>
      </w:r>
    </w:p>
    <w:p w14:paraId="464058D9" w14:textId="3292703E" w:rsidR="00FB5516" w:rsidRDefault="00C070A3" w:rsidP="004E6F93">
      <w:pPr>
        <w:pStyle w:val="Paragraph"/>
      </w:pPr>
      <w:r w:rsidRPr="00777DA9">
        <w:t>When</w:t>
      </w:r>
      <w:r w:rsidR="000A620F">
        <w:t xml:space="preserve"> we advertise</w:t>
      </w:r>
      <w:r w:rsidRPr="00777DA9">
        <w:t xml:space="preserve"> the auction, parties will be invited to apply. </w:t>
      </w:r>
      <w:r w:rsidR="001D58B1">
        <w:t>T</w:t>
      </w:r>
      <w:r w:rsidRPr="00777DA9">
        <w:t>hey will need to submit a completed application form</w:t>
      </w:r>
      <w:r>
        <w:t xml:space="preserve"> </w:t>
      </w:r>
      <w:r w:rsidR="00FB5516">
        <w:t>register</w:t>
      </w:r>
      <w:r w:rsidR="006C7C0F">
        <w:t>ing their intent to</w:t>
      </w:r>
      <w:r w:rsidR="00FB5516">
        <w:t xml:space="preserve"> participate in the auction.</w:t>
      </w:r>
    </w:p>
    <w:p w14:paraId="4E833F27" w14:textId="60D1F087" w:rsidR="00476DD3" w:rsidRDefault="00476DD3" w:rsidP="00476DD3">
      <w:r>
        <w:rPr>
          <w:rFonts w:cs="Arial"/>
        </w:rPr>
        <w:t>By the application deadline, applicants are also required to submit</w:t>
      </w:r>
      <w:r w:rsidRPr="00777DA9">
        <w:rPr>
          <w:rFonts w:cs="Arial"/>
        </w:rPr>
        <w:t xml:space="preserve"> other</w:t>
      </w:r>
      <w:r w:rsidR="000C2DE0">
        <w:rPr>
          <w:rFonts w:cs="Arial"/>
        </w:rPr>
        <w:t xml:space="preserve"> </w:t>
      </w:r>
      <w:r w:rsidRPr="00777DA9">
        <w:rPr>
          <w:rFonts w:cs="Arial"/>
        </w:rPr>
        <w:t>documentation</w:t>
      </w:r>
      <w:r>
        <w:rPr>
          <w:rFonts w:cs="Arial"/>
        </w:rPr>
        <w:t xml:space="preserve">, </w:t>
      </w:r>
      <w:r w:rsidRPr="00777DA9">
        <w:rPr>
          <w:rFonts w:cs="Arial"/>
        </w:rPr>
        <w:t>such as deeds</w:t>
      </w:r>
      <w:r>
        <w:rPr>
          <w:rFonts w:cs="Arial"/>
        </w:rPr>
        <w:t xml:space="preserve"> of confidentiality and a deed of acknowledgment. </w:t>
      </w:r>
      <w:r>
        <w:t>At the same time, applicants are required to pay</w:t>
      </w:r>
      <w:r w:rsidRPr="00777DA9">
        <w:t xml:space="preserve"> a non-refundable application fee, proposed to </w:t>
      </w:r>
      <w:r w:rsidRPr="00A15A9F">
        <w:t>be $10,000.</w:t>
      </w:r>
      <w:r>
        <w:t xml:space="preserve"> </w:t>
      </w:r>
    </w:p>
    <w:p w14:paraId="5C87544F" w14:textId="7105434F" w:rsidR="00136642" w:rsidRDefault="000A620F" w:rsidP="00136642">
      <w:pPr>
        <w:pStyle w:val="Heading3"/>
      </w:pPr>
      <w:r>
        <w:t xml:space="preserve">Eligibility nomination </w:t>
      </w:r>
      <w:r w:rsidR="00136642">
        <w:t>stage</w:t>
      </w:r>
    </w:p>
    <w:p w14:paraId="45A578B1" w14:textId="3091AF4B" w:rsidR="00C070A3" w:rsidRPr="00676A0E" w:rsidRDefault="00FB5516" w:rsidP="004E6F93">
      <w:pPr>
        <w:pStyle w:val="Paragraphbeforelist"/>
      </w:pPr>
      <w:r w:rsidRPr="00676A0E">
        <w:t xml:space="preserve">Closer to the auction registered </w:t>
      </w:r>
      <w:r w:rsidR="002329CD" w:rsidRPr="00676A0E">
        <w:t xml:space="preserve">applicants </w:t>
      </w:r>
      <w:r w:rsidR="006C7C0F" w:rsidRPr="00676A0E">
        <w:t xml:space="preserve">are required to </w:t>
      </w:r>
      <w:r w:rsidRPr="00676A0E" w:rsidDel="00B85B95">
        <w:t xml:space="preserve">nominate their </w:t>
      </w:r>
      <w:r w:rsidR="000C2DE0" w:rsidRPr="00676A0E">
        <w:t xml:space="preserve">start </w:t>
      </w:r>
      <w:r w:rsidRPr="00676A0E" w:rsidDel="00B85B95">
        <w:t>demand</w:t>
      </w:r>
      <w:r w:rsidR="001508B6" w:rsidRPr="00676A0E">
        <w:t xml:space="preserve"> in the eligibility nomination form. This specifies</w:t>
      </w:r>
      <w:r w:rsidR="00C070A3" w:rsidRPr="00676A0E" w:rsidDel="00B85B95">
        <w:t>:</w:t>
      </w:r>
    </w:p>
    <w:p w14:paraId="78140121" w14:textId="6B9BC16C" w:rsidR="00C070A3" w:rsidRPr="00CC1360" w:rsidRDefault="00C070A3" w:rsidP="00CC1360">
      <w:pPr>
        <w:pStyle w:val="ListBullet"/>
      </w:pPr>
      <w:r w:rsidRPr="00CC1360">
        <w:t xml:space="preserve">which </w:t>
      </w:r>
      <w:r w:rsidR="00894BB3" w:rsidRPr="00CC1360">
        <w:t xml:space="preserve">products </w:t>
      </w:r>
      <w:r w:rsidRPr="00CC1360">
        <w:t xml:space="preserve">they intend to bid on </w:t>
      </w:r>
    </w:p>
    <w:p w14:paraId="6392982B" w14:textId="08D08B6A" w:rsidR="00C070A3" w:rsidRPr="00CC1360" w:rsidRDefault="00C070A3" w:rsidP="004E6F93">
      <w:pPr>
        <w:pStyle w:val="Bulletlevel1last"/>
      </w:pPr>
      <w:r w:rsidRPr="00CC1360">
        <w:t xml:space="preserve">the maximum number of lots they intend to bid on for each </w:t>
      </w:r>
      <w:r w:rsidR="00894BB3" w:rsidRPr="00CC1360">
        <w:t>product</w:t>
      </w:r>
      <w:r w:rsidRPr="00CC1360">
        <w:t>.</w:t>
      </w:r>
    </w:p>
    <w:p w14:paraId="09E48C61" w14:textId="79086B4C" w:rsidR="00C070A3" w:rsidRPr="00B74F13" w:rsidRDefault="001508B6" w:rsidP="00CC1360">
      <w:r w:rsidRPr="00CC1360">
        <w:t xml:space="preserve">A bidder’s </w:t>
      </w:r>
      <w:r w:rsidR="003A6075" w:rsidRPr="00CC1360">
        <w:t>start demand</w:t>
      </w:r>
      <w:r w:rsidRPr="00CC1360">
        <w:t xml:space="preserve"> is binding in the first round and </w:t>
      </w:r>
      <w:r w:rsidR="00A1190A" w:rsidRPr="00CC1360">
        <w:t>is kept confidential from other bidders</w:t>
      </w:r>
      <w:r w:rsidRPr="00CC1360">
        <w:t>.</w:t>
      </w:r>
      <w:r w:rsidR="003A6075" w:rsidRPr="00CC1360">
        <w:t xml:space="preserve"> </w:t>
      </w:r>
      <w:r w:rsidRPr="00CC1360">
        <w:t xml:space="preserve">It </w:t>
      </w:r>
      <w:r w:rsidR="003A6075" w:rsidRPr="00CC1360">
        <w:t xml:space="preserve">also </w:t>
      </w:r>
      <w:r w:rsidRPr="00CC1360">
        <w:t>determine</w:t>
      </w:r>
      <w:r w:rsidR="003A6075" w:rsidRPr="00CC1360">
        <w:t>s</w:t>
      </w:r>
      <w:r w:rsidRPr="00CC1360">
        <w:t xml:space="preserve"> the number of eligib</w:t>
      </w:r>
      <w:r w:rsidR="003A6075" w:rsidRPr="00CC1360">
        <w:t>i</w:t>
      </w:r>
      <w:r w:rsidRPr="00CC1360">
        <w:t>l</w:t>
      </w:r>
      <w:r w:rsidR="003A6075" w:rsidRPr="00CC1360">
        <w:t>i</w:t>
      </w:r>
      <w:r w:rsidRPr="00CC1360">
        <w:t>ty points for the auction</w:t>
      </w:r>
      <w:r w:rsidR="003A6075" w:rsidRPr="00CC1360">
        <w:t xml:space="preserve"> and the amount of the</w:t>
      </w:r>
      <w:r w:rsidR="00C070A3" w:rsidRPr="00CC1360">
        <w:t xml:space="preserve"> required eligibility payment. Registered bidders are not required to bid in all </w:t>
      </w:r>
      <w:r w:rsidR="00F338D5" w:rsidRPr="00CC1360">
        <w:t>products</w:t>
      </w:r>
      <w:r w:rsidR="00C070A3" w:rsidRPr="00CC1360">
        <w:t xml:space="preserve"> nominated, or up to the maximum number of nominated lots, but they are not permitted to exceed their </w:t>
      </w:r>
      <w:r w:rsidR="00F6540E" w:rsidRPr="00CC1360">
        <w:t xml:space="preserve">total </w:t>
      </w:r>
      <w:r w:rsidR="00666BB1" w:rsidRPr="00CC1360">
        <w:t>eligibility</w:t>
      </w:r>
      <w:r w:rsidR="00C070A3" w:rsidRPr="00CC1360">
        <w:t>.</w:t>
      </w:r>
      <w:r w:rsidR="00C070A3">
        <w:t xml:space="preserve"> </w:t>
      </w:r>
    </w:p>
    <w:p w14:paraId="30219C72" w14:textId="7960A7D7" w:rsidR="00517BC6" w:rsidRDefault="00C37D4D" w:rsidP="00C070A3">
      <w:r>
        <w:t>R</w:t>
      </w:r>
      <w:r w:rsidR="007429C8">
        <w:t>egistered bidders are required to nominate their demand and</w:t>
      </w:r>
      <w:r w:rsidR="00C070A3">
        <w:t xml:space="preserve"> </w:t>
      </w:r>
      <w:r w:rsidR="00666BB1">
        <w:t>make</w:t>
      </w:r>
      <w:r w:rsidR="00C070A3">
        <w:t xml:space="preserve"> </w:t>
      </w:r>
      <w:r w:rsidR="00C070A3" w:rsidRPr="001546D2">
        <w:t>a</w:t>
      </w:r>
      <w:r w:rsidR="00C070A3">
        <w:t xml:space="preserve">n eligibility payment </w:t>
      </w:r>
      <w:r w:rsidR="00C070A3" w:rsidRPr="001546D2">
        <w:t xml:space="preserve">or </w:t>
      </w:r>
      <w:r w:rsidR="00C070A3">
        <w:t xml:space="preserve">give a </w:t>
      </w:r>
      <w:r w:rsidR="00C070A3" w:rsidRPr="001546D2">
        <w:t>deed of financial security</w:t>
      </w:r>
      <w:r w:rsidR="00C070A3">
        <w:t xml:space="preserve"> </w:t>
      </w:r>
      <w:r w:rsidR="00C070A3" w:rsidRPr="006012D7">
        <w:t>(or a mixture of both</w:t>
      </w:r>
      <w:r w:rsidR="00C070A3">
        <w:t xml:space="preserve">) for their </w:t>
      </w:r>
      <w:r w:rsidR="006C7C0F">
        <w:t xml:space="preserve">nominated </w:t>
      </w:r>
      <w:r w:rsidR="00C070A3">
        <w:t>lots</w:t>
      </w:r>
      <w:r w:rsidR="00C070A3" w:rsidRPr="001546D2">
        <w:t xml:space="preserve"> by the </w:t>
      </w:r>
      <w:r w:rsidR="007429C8">
        <w:t>eligibility</w:t>
      </w:r>
      <w:r w:rsidR="007429C8" w:rsidRPr="001546D2">
        <w:t xml:space="preserve"> </w:t>
      </w:r>
      <w:r w:rsidR="00C070A3" w:rsidRPr="001546D2">
        <w:t>deadline</w:t>
      </w:r>
      <w:r w:rsidR="00C070A3">
        <w:t>.</w:t>
      </w:r>
    </w:p>
    <w:p w14:paraId="75131B82" w14:textId="2EC33980" w:rsidR="00C070A3" w:rsidRPr="00A15A9F" w:rsidRDefault="007814A3" w:rsidP="00C070A3">
      <w:r>
        <w:t>In the 3.6</w:t>
      </w:r>
      <w:r w:rsidR="00592752">
        <w:t xml:space="preserve"> GHz</w:t>
      </w:r>
      <w:r>
        <w:t xml:space="preserve"> auction</w:t>
      </w:r>
      <w:r w:rsidR="00FC4714">
        <w:t>, eligibility points were assigned a dollar value which was multiplied by the total lot ratings for the bidder’s start demand</w:t>
      </w:r>
      <w:r w:rsidR="00517BC6">
        <w:t xml:space="preserve"> to calculate the eligibility payment</w:t>
      </w:r>
      <w:r w:rsidR="00995700">
        <w:t xml:space="preserve"> amount</w:t>
      </w:r>
      <w:r w:rsidR="00517BC6">
        <w:t>. This led to eligibility payments being significantly different percentages of the start demand value between different bidders</w:t>
      </w:r>
      <w:r w:rsidR="00FC4714">
        <w:t>.</w:t>
      </w:r>
      <w:r w:rsidR="00517BC6">
        <w:t xml:space="preserve"> To avoid a similar effect with the 26 GHz band auction, we propose </w:t>
      </w:r>
      <w:r w:rsidR="00FC4714">
        <w:t>that t</w:t>
      </w:r>
      <w:r w:rsidR="00C070A3">
        <w:t xml:space="preserve">he amount of the eligibility payment for a bidder </w:t>
      </w:r>
      <w:r w:rsidR="00A34018">
        <w:t xml:space="preserve">be </w:t>
      </w:r>
      <w:r w:rsidR="00C070A3">
        <w:t xml:space="preserve">calculated by multiplying the </w:t>
      </w:r>
      <w:r w:rsidR="00AE6892">
        <w:t xml:space="preserve">total value </w:t>
      </w:r>
      <w:r w:rsidR="00C070A3">
        <w:t>of</w:t>
      </w:r>
      <w:r w:rsidR="00741B5A">
        <w:t xml:space="preserve"> the</w:t>
      </w:r>
      <w:r w:rsidR="00C070A3">
        <w:t xml:space="preserve"> nominated lots </w:t>
      </w:r>
      <w:r w:rsidR="00741B5A">
        <w:t xml:space="preserve">at the starting prices for those lots </w:t>
      </w:r>
      <w:r w:rsidR="00741B5A" w:rsidRPr="00A15A9F">
        <w:t xml:space="preserve">by </w:t>
      </w:r>
      <w:r w:rsidR="006D5AFC">
        <w:t>10</w:t>
      </w:r>
      <w:r w:rsidR="006D5AFC" w:rsidRPr="00A15A9F">
        <w:t xml:space="preserve"> </w:t>
      </w:r>
      <w:r w:rsidR="00741B5A" w:rsidRPr="00A15A9F">
        <w:t>percent.</w:t>
      </w:r>
      <w:r w:rsidR="00C070A3" w:rsidRPr="00A15A9F">
        <w:t xml:space="preserve"> </w:t>
      </w:r>
      <w:r w:rsidR="00741B5A" w:rsidRPr="00A15A9F">
        <w:t>The starting prices</w:t>
      </w:r>
      <w:r w:rsidR="00C070A3" w:rsidRPr="00A15A9F">
        <w:t xml:space="preserve"> will be stated in the AIP.</w:t>
      </w:r>
    </w:p>
    <w:p w14:paraId="3D49ECB0" w14:textId="35E2C41B" w:rsidR="00E739E0" w:rsidRDefault="00C070A3" w:rsidP="00C070A3">
      <w:r w:rsidRPr="00A15A9F">
        <w:t xml:space="preserve">Anyone wishing to apply will need to submit the application requirements by the application deadline—currently estimated to be </w:t>
      </w:r>
      <w:r w:rsidR="00550995" w:rsidRPr="00A15A9F">
        <w:rPr>
          <w:b/>
        </w:rPr>
        <w:t xml:space="preserve">late </w:t>
      </w:r>
      <w:r w:rsidR="003170A5" w:rsidRPr="00A15A9F">
        <w:rPr>
          <w:b/>
        </w:rPr>
        <w:t>January 2021</w:t>
      </w:r>
      <w:r w:rsidRPr="00A15A9F">
        <w:t>.</w:t>
      </w:r>
      <w:r w:rsidR="00741B5A" w:rsidRPr="00A15A9F">
        <w:t xml:space="preserve"> </w:t>
      </w:r>
    </w:p>
    <w:p w14:paraId="79134508" w14:textId="5478E730" w:rsidR="00C070A3" w:rsidRPr="00A15A9F" w:rsidRDefault="00741B5A" w:rsidP="00C070A3">
      <w:r w:rsidRPr="00A15A9F">
        <w:t xml:space="preserve">Registered applicants will need to submit their eligibility requirements by the eligibility deadline which is estimated to be </w:t>
      </w:r>
      <w:r w:rsidR="00550995" w:rsidRPr="00A15A9F">
        <w:rPr>
          <w:b/>
          <w:bCs/>
        </w:rPr>
        <w:t xml:space="preserve">early </w:t>
      </w:r>
      <w:r w:rsidR="00666BB1" w:rsidRPr="00A15A9F">
        <w:rPr>
          <w:b/>
          <w:bCs/>
        </w:rPr>
        <w:t>March</w:t>
      </w:r>
      <w:r w:rsidRPr="00A15A9F">
        <w:rPr>
          <w:b/>
          <w:bCs/>
        </w:rPr>
        <w:t xml:space="preserve"> 2021</w:t>
      </w:r>
      <w:r w:rsidRPr="00A15A9F">
        <w:t>.</w:t>
      </w:r>
    </w:p>
    <w:p w14:paraId="734C3904" w14:textId="5A233EF3" w:rsidR="00C070A3" w:rsidRPr="00A15A9F" w:rsidRDefault="003170A5" w:rsidP="00C070A3">
      <w:pPr>
        <w:pBdr>
          <w:top w:val="single" w:sz="4" w:space="1" w:color="auto"/>
          <w:left w:val="single" w:sz="4" w:space="4" w:color="auto"/>
          <w:bottom w:val="single" w:sz="4" w:space="1" w:color="auto"/>
          <w:right w:val="single" w:sz="4" w:space="4" w:color="auto"/>
        </w:pBdr>
        <w:shd w:val="clear" w:color="auto" w:fill="F2F2F2" w:themeFill="background1" w:themeFillShade="F2"/>
        <w:spacing w:after="120"/>
      </w:pPr>
      <w:r w:rsidRPr="00A15A9F">
        <w:rPr>
          <w:b/>
        </w:rPr>
        <w:t>2</w:t>
      </w:r>
      <w:r w:rsidR="00C070A3" w:rsidRPr="00A15A9F">
        <w:rPr>
          <w:b/>
        </w:rPr>
        <w:t>6 GHz band application process</w:t>
      </w:r>
    </w:p>
    <w:p w14:paraId="4E344B0F" w14:textId="170642C1" w:rsidR="00C070A3" w:rsidRDefault="00F6540E" w:rsidP="00C070A3">
      <w:pPr>
        <w:pBdr>
          <w:top w:val="single" w:sz="4" w:space="1" w:color="auto"/>
          <w:left w:val="single" w:sz="4" w:space="4" w:color="auto"/>
          <w:bottom w:val="single" w:sz="4" w:space="1" w:color="auto"/>
          <w:right w:val="single" w:sz="4" w:space="4" w:color="auto"/>
        </w:pBdr>
        <w:shd w:val="clear" w:color="auto" w:fill="F2F2F2" w:themeFill="background1" w:themeFillShade="F2"/>
        <w:spacing w:after="120"/>
        <w:rPr>
          <w:rFonts w:cs="Arial"/>
        </w:rPr>
      </w:pPr>
      <w:r w:rsidRPr="00A15A9F">
        <w:rPr>
          <w:rFonts w:cs="Arial"/>
        </w:rPr>
        <w:t>We</w:t>
      </w:r>
      <w:r w:rsidR="00C070A3" w:rsidRPr="00A15A9F">
        <w:rPr>
          <w:rFonts w:cs="Arial"/>
        </w:rPr>
        <w:t xml:space="preserve"> propose to set the application fee for the auction at $10,000.</w:t>
      </w:r>
    </w:p>
    <w:p w14:paraId="555584FF" w14:textId="37980E91" w:rsidR="002D58D7" w:rsidRDefault="00F6540E" w:rsidP="004E6F93">
      <w:pPr>
        <w:pBdr>
          <w:top w:val="single" w:sz="4" w:space="1" w:color="auto"/>
          <w:left w:val="single" w:sz="4" w:space="4" w:color="auto"/>
          <w:bottom w:val="single" w:sz="4" w:space="1" w:color="auto"/>
          <w:right w:val="single" w:sz="4" w:space="4" w:color="auto"/>
        </w:pBdr>
        <w:shd w:val="clear" w:color="auto" w:fill="F2F2F2" w:themeFill="background1" w:themeFillShade="F2"/>
        <w:spacing w:after="80"/>
        <w:rPr>
          <w:rFonts w:cs="Arial"/>
        </w:rPr>
      </w:pPr>
      <w:r>
        <w:rPr>
          <w:rFonts w:cs="Arial"/>
        </w:rPr>
        <w:t>We</w:t>
      </w:r>
      <w:r w:rsidR="00C070A3">
        <w:rPr>
          <w:rFonts w:cs="Arial"/>
        </w:rPr>
        <w:t xml:space="preserve"> </w:t>
      </w:r>
      <w:r w:rsidR="002D58D7">
        <w:rPr>
          <w:rFonts w:cs="Arial"/>
        </w:rPr>
        <w:t>seek views on the proposed</w:t>
      </w:r>
      <w:r w:rsidR="00C070A3">
        <w:rPr>
          <w:rFonts w:cs="Arial"/>
        </w:rPr>
        <w:t xml:space="preserve"> </w:t>
      </w:r>
      <w:r w:rsidR="00FB5516">
        <w:rPr>
          <w:rFonts w:cs="Arial"/>
        </w:rPr>
        <w:t>two</w:t>
      </w:r>
      <w:r w:rsidR="00C070A3">
        <w:rPr>
          <w:rFonts w:cs="Arial"/>
        </w:rPr>
        <w:t>-stage application process</w:t>
      </w:r>
      <w:r w:rsidR="002D58D7">
        <w:rPr>
          <w:rFonts w:cs="Arial"/>
        </w:rPr>
        <w:t xml:space="preserve"> requiring:</w:t>
      </w:r>
    </w:p>
    <w:p w14:paraId="013144AF" w14:textId="63E50C9A" w:rsidR="002D58D7" w:rsidRDefault="002D58D7" w:rsidP="004E6F93">
      <w:pPr>
        <w:pBdr>
          <w:top w:val="single" w:sz="4" w:space="1" w:color="auto"/>
          <w:left w:val="single" w:sz="4" w:space="4" w:color="auto"/>
          <w:bottom w:val="single" w:sz="4" w:space="1" w:color="auto"/>
          <w:right w:val="single" w:sz="4" w:space="4" w:color="auto"/>
        </w:pBdr>
        <w:shd w:val="clear" w:color="auto" w:fill="F2F2F2" w:themeFill="background1" w:themeFillShade="F2"/>
        <w:spacing w:after="80"/>
        <w:rPr>
          <w:rFonts w:cs="Arial"/>
        </w:rPr>
      </w:pPr>
      <w:r>
        <w:rPr>
          <w:rFonts w:cs="Arial"/>
        </w:rPr>
        <w:t>&gt;</w:t>
      </w:r>
      <w:r w:rsidR="00C070A3">
        <w:rPr>
          <w:rFonts w:cs="Arial"/>
        </w:rPr>
        <w:t xml:space="preserve"> </w:t>
      </w:r>
      <w:r w:rsidR="00000AAC">
        <w:rPr>
          <w:rFonts w:cs="Arial"/>
        </w:rPr>
        <w:t xml:space="preserve">By the application deadline, applicants </w:t>
      </w:r>
      <w:r w:rsidR="00277BB5">
        <w:rPr>
          <w:rFonts w:cs="Arial"/>
        </w:rPr>
        <w:t xml:space="preserve">to </w:t>
      </w:r>
      <w:proofErr w:type="gramStart"/>
      <w:r w:rsidR="00C070A3">
        <w:rPr>
          <w:rFonts w:cs="Arial"/>
        </w:rPr>
        <w:t>submit an application</w:t>
      </w:r>
      <w:proofErr w:type="gramEnd"/>
      <w:r w:rsidR="00C070A3">
        <w:rPr>
          <w:rFonts w:cs="Arial"/>
        </w:rPr>
        <w:t xml:space="preserve"> form and other supporting documentation, along with the payment of the application fee</w:t>
      </w:r>
      <w:r w:rsidR="00C37D4D">
        <w:rPr>
          <w:rFonts w:cs="Arial"/>
        </w:rPr>
        <w:t>.</w:t>
      </w:r>
    </w:p>
    <w:p w14:paraId="47305AFC" w14:textId="4D2BE6BF" w:rsidR="00C070A3" w:rsidRPr="009C5A85" w:rsidRDefault="002D58D7" w:rsidP="00C070A3">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rPr>
          <w:rFonts w:cs="Arial"/>
        </w:rPr>
      </w:pPr>
      <w:r>
        <w:rPr>
          <w:rFonts w:cs="Arial"/>
        </w:rPr>
        <w:t>&gt;</w:t>
      </w:r>
      <w:r w:rsidR="00C37D4D">
        <w:rPr>
          <w:rFonts w:cs="Arial"/>
        </w:rPr>
        <w:t xml:space="preserve"> </w:t>
      </w:r>
      <w:r w:rsidR="00000AAC">
        <w:rPr>
          <w:rFonts w:cs="Arial"/>
        </w:rPr>
        <w:t>By the eligibility deadline</w:t>
      </w:r>
      <w:r w:rsidR="00C070A3">
        <w:rPr>
          <w:rFonts w:cs="Arial"/>
        </w:rPr>
        <w:t>,</w:t>
      </w:r>
      <w:r w:rsidR="00666BB1">
        <w:rPr>
          <w:rFonts w:cs="Arial"/>
        </w:rPr>
        <w:t xml:space="preserve"> </w:t>
      </w:r>
      <w:r w:rsidR="00C37D4D">
        <w:rPr>
          <w:rFonts w:cs="Arial"/>
        </w:rPr>
        <w:t xml:space="preserve">applicants </w:t>
      </w:r>
      <w:r w:rsidR="00277BB5">
        <w:rPr>
          <w:rFonts w:cs="Arial"/>
        </w:rPr>
        <w:t xml:space="preserve">to </w:t>
      </w:r>
      <w:r w:rsidR="00666BB1">
        <w:rPr>
          <w:rFonts w:cs="Arial"/>
        </w:rPr>
        <w:t xml:space="preserve">provide their nominated lots and </w:t>
      </w:r>
      <w:r w:rsidR="00C070A3">
        <w:rPr>
          <w:rFonts w:cs="Arial"/>
        </w:rPr>
        <w:t xml:space="preserve">either an eligibility payment or a deed of financial security (or a </w:t>
      </w:r>
      <w:r w:rsidR="00C070A3" w:rsidRPr="006012D7">
        <w:rPr>
          <w:rFonts w:cs="Arial"/>
        </w:rPr>
        <w:t xml:space="preserve">mixture of </w:t>
      </w:r>
      <w:r w:rsidR="00C070A3">
        <w:rPr>
          <w:rFonts w:cs="Arial"/>
        </w:rPr>
        <w:t xml:space="preserve">both) for </w:t>
      </w:r>
      <w:r w:rsidR="00666BB1">
        <w:rPr>
          <w:rFonts w:cs="Arial"/>
        </w:rPr>
        <w:t>those</w:t>
      </w:r>
      <w:r w:rsidR="00C070A3">
        <w:rPr>
          <w:rFonts w:cs="Arial"/>
        </w:rPr>
        <w:t xml:space="preserve"> nominated lots.</w:t>
      </w:r>
    </w:p>
    <w:p w14:paraId="3F15650A" w14:textId="77777777" w:rsidR="00C070A3" w:rsidRPr="00880169" w:rsidRDefault="00C070A3" w:rsidP="004E6F93">
      <w:pPr>
        <w:pStyle w:val="Heading2"/>
        <w:keepLines/>
        <w:spacing w:before="240"/>
      </w:pPr>
      <w:bookmarkStart w:id="80" w:name="_Toc459210816"/>
      <w:bookmarkStart w:id="81" w:name="_Toc461025815"/>
      <w:bookmarkStart w:id="82" w:name="_Toc512246165"/>
      <w:bookmarkStart w:id="83" w:name="_Toc512503299"/>
      <w:bookmarkStart w:id="84" w:name="_Toc514330451"/>
      <w:bookmarkStart w:id="85" w:name="_Toc45112212"/>
      <w:bookmarkStart w:id="86" w:name="_Toc461025820"/>
      <w:bookmarkStart w:id="87" w:name="_Toc459210822"/>
      <w:r>
        <w:t xml:space="preserve">Lot ratings and starting </w:t>
      </w:r>
      <w:r w:rsidRPr="006A2295">
        <w:t>prices</w:t>
      </w:r>
      <w:bookmarkEnd w:id="80"/>
      <w:bookmarkEnd w:id="81"/>
      <w:bookmarkEnd w:id="82"/>
      <w:bookmarkEnd w:id="83"/>
      <w:bookmarkEnd w:id="84"/>
      <w:bookmarkEnd w:id="85"/>
    </w:p>
    <w:p w14:paraId="48D25411" w14:textId="2B7166A6" w:rsidR="00245228" w:rsidRDefault="005D136B" w:rsidP="004E6F93">
      <w:pPr>
        <w:keepNext/>
        <w:keepLines/>
      </w:pPr>
      <w:r>
        <w:rPr>
          <w:rFonts w:cs="Arial"/>
        </w:rPr>
        <w:t>Under the terms of the draft allocation determination w</w:t>
      </w:r>
      <w:r w:rsidR="00BB53E9">
        <w:rPr>
          <w:rFonts w:cs="Arial"/>
        </w:rPr>
        <w:t>e</w:t>
      </w:r>
      <w:r w:rsidR="00C070A3" w:rsidRPr="00880169">
        <w:rPr>
          <w:rFonts w:cs="Arial"/>
        </w:rPr>
        <w:t xml:space="preserve"> </w:t>
      </w:r>
      <w:r w:rsidR="00C070A3">
        <w:rPr>
          <w:rFonts w:cs="Arial"/>
        </w:rPr>
        <w:t>must</w:t>
      </w:r>
      <w:r w:rsidR="00C070A3" w:rsidRPr="00880169">
        <w:rPr>
          <w:rFonts w:cs="Arial"/>
        </w:rPr>
        <w:t xml:space="preserve"> specify </w:t>
      </w:r>
      <w:r w:rsidR="00C070A3">
        <w:rPr>
          <w:rFonts w:cs="Arial"/>
        </w:rPr>
        <w:t xml:space="preserve">a </w:t>
      </w:r>
      <w:r w:rsidR="00C070A3" w:rsidRPr="00880169">
        <w:rPr>
          <w:rFonts w:cs="Arial"/>
        </w:rPr>
        <w:t xml:space="preserve">lot rating and </w:t>
      </w:r>
      <w:r w:rsidR="00C070A3">
        <w:rPr>
          <w:rFonts w:cs="Arial"/>
        </w:rPr>
        <w:t>starting</w:t>
      </w:r>
      <w:r w:rsidR="00C070A3" w:rsidRPr="00880169">
        <w:rPr>
          <w:rFonts w:cs="Arial"/>
        </w:rPr>
        <w:t xml:space="preserve"> price for each lot</w:t>
      </w:r>
      <w:r w:rsidR="007D7CF5">
        <w:rPr>
          <w:rFonts w:cs="Arial"/>
        </w:rPr>
        <w:t xml:space="preserve"> of the products</w:t>
      </w:r>
      <w:r w:rsidR="00C070A3" w:rsidRPr="00880169">
        <w:rPr>
          <w:rFonts w:cs="Arial"/>
        </w:rPr>
        <w:t xml:space="preserve"> on offer. Lot ratings </w:t>
      </w:r>
      <w:r w:rsidR="00C070A3">
        <w:rPr>
          <w:rFonts w:cs="Arial"/>
        </w:rPr>
        <w:t>provide indications of</w:t>
      </w:r>
      <w:r w:rsidR="00C070A3" w:rsidRPr="00880169">
        <w:rPr>
          <w:rFonts w:cs="Arial"/>
        </w:rPr>
        <w:t xml:space="preserve"> the relative value of a spectrum lot for the purpose of the auction. </w:t>
      </w:r>
      <w:r w:rsidR="00781CF7">
        <w:rPr>
          <w:rFonts w:cs="Arial"/>
        </w:rPr>
        <w:t>Geographic r</w:t>
      </w:r>
      <w:r w:rsidR="00B85B95">
        <w:rPr>
          <w:rFonts w:cs="Arial"/>
        </w:rPr>
        <w:t>egions</w:t>
      </w:r>
      <w:r w:rsidR="00C070A3" w:rsidRPr="00880169">
        <w:rPr>
          <w:rFonts w:cs="Arial"/>
        </w:rPr>
        <w:t xml:space="preserve"> valued more highly </w:t>
      </w:r>
      <w:r w:rsidR="00892DE8">
        <w:rPr>
          <w:rFonts w:cs="Arial"/>
        </w:rPr>
        <w:t xml:space="preserve">are </w:t>
      </w:r>
      <w:r w:rsidR="00C070A3" w:rsidRPr="00880169">
        <w:rPr>
          <w:rFonts w:cs="Arial"/>
        </w:rPr>
        <w:t xml:space="preserve">given a higher </w:t>
      </w:r>
      <w:r w:rsidR="00892DE8">
        <w:rPr>
          <w:rFonts w:cs="Arial"/>
        </w:rPr>
        <w:t xml:space="preserve">lot rating. </w:t>
      </w:r>
      <w:r w:rsidR="00C070A3" w:rsidRPr="00880169">
        <w:t xml:space="preserve">Lot ratings are used to determine the </w:t>
      </w:r>
      <w:r w:rsidR="00472226">
        <w:t>total eligibility points available to bidders at the start of the auction</w:t>
      </w:r>
      <w:r w:rsidR="00245228">
        <w:t xml:space="preserve">. </w:t>
      </w:r>
    </w:p>
    <w:p w14:paraId="3F307265" w14:textId="36CCE058" w:rsidR="00C070A3" w:rsidRPr="00880169" w:rsidRDefault="007D7CF5" w:rsidP="004E6F93">
      <w:pPr>
        <w:keepNext/>
        <w:keepLines/>
      </w:pPr>
      <w:r>
        <w:t>By the eligibility deadline</w:t>
      </w:r>
      <w:r w:rsidR="00C070A3" w:rsidRPr="00880169">
        <w:t xml:space="preserve">, each bidder nominates </w:t>
      </w:r>
      <w:r w:rsidR="00C070A3">
        <w:t>the number of</w:t>
      </w:r>
      <w:r w:rsidR="00C070A3" w:rsidRPr="00880169">
        <w:t xml:space="preserve"> lots </w:t>
      </w:r>
      <w:r w:rsidR="00C070A3">
        <w:t>they are</w:t>
      </w:r>
      <w:r w:rsidR="00C070A3" w:rsidRPr="00880169">
        <w:t xml:space="preserve"> interested in acquiring </w:t>
      </w:r>
      <w:r w:rsidR="00C070A3">
        <w:t>in each region</w:t>
      </w:r>
      <w:r w:rsidR="00245228">
        <w:t>. To calculate the eligibility points</w:t>
      </w:r>
      <w:r w:rsidR="00FD109E">
        <w:t>,</w:t>
      </w:r>
      <w:r w:rsidR="00245228">
        <w:t xml:space="preserve"> the applicant multipl</w:t>
      </w:r>
      <w:r w:rsidR="00BB0D69">
        <w:t>i</w:t>
      </w:r>
      <w:r w:rsidR="00245228">
        <w:t>es the</w:t>
      </w:r>
      <w:r w:rsidR="00781CF7">
        <w:t>ir nominated</w:t>
      </w:r>
      <w:r w:rsidR="00245228">
        <w:t xml:space="preserve"> number of lots in each region by the specified lot rating. The total </w:t>
      </w:r>
      <w:r w:rsidR="00781CF7">
        <w:t>lot ratings for all the bidder’s nominated lots</w:t>
      </w:r>
      <w:r w:rsidR="00245228">
        <w:t xml:space="preserve"> </w:t>
      </w:r>
      <w:r w:rsidR="00C070A3" w:rsidRPr="00880169">
        <w:t xml:space="preserve">determines the bidder’s maximum eligibility to bid in the first round. </w:t>
      </w:r>
    </w:p>
    <w:p w14:paraId="40A17225" w14:textId="75D37D68" w:rsidR="00C070A3" w:rsidRDefault="00C070A3" w:rsidP="00C070A3">
      <w:r>
        <w:t>Appropriate lot ratings facilitate price discovery in the auction. They</w:t>
      </w:r>
      <w:r w:rsidRPr="00880169">
        <w:t xml:space="preserve"> enable bidders to bid on their most </w:t>
      </w:r>
      <w:r>
        <w:t>valuable</w:t>
      </w:r>
      <w:r w:rsidRPr="00880169">
        <w:t xml:space="preserve"> </w:t>
      </w:r>
      <w:r>
        <w:t>lots</w:t>
      </w:r>
      <w:r w:rsidRPr="00880169">
        <w:t xml:space="preserve"> in each round and, where </w:t>
      </w:r>
      <w:r>
        <w:t>possible</w:t>
      </w:r>
      <w:r w:rsidRPr="00880169">
        <w:t xml:space="preserve">, to substitute different lots in response to changes in their relative price. </w:t>
      </w:r>
    </w:p>
    <w:p w14:paraId="0CA4CD09" w14:textId="593D82C0" w:rsidR="00C070A3" w:rsidRPr="00880169" w:rsidRDefault="00C070A3" w:rsidP="00C070A3">
      <w:pPr>
        <w:rPr>
          <w:rFonts w:cs="Arial"/>
        </w:rPr>
      </w:pPr>
      <w:r>
        <w:rPr>
          <w:rFonts w:cs="Arial"/>
        </w:rPr>
        <w:t>Starting prices are the initial prices for each lot in the first round of the auction. If demand exceeds supply for a geographic region, the price for all lots in the region increases according to the clock price for that round.</w:t>
      </w:r>
    </w:p>
    <w:p w14:paraId="295A92B6" w14:textId="43A66F56" w:rsidR="00C070A3" w:rsidRDefault="00C070A3" w:rsidP="00C070A3">
      <w:pPr>
        <w:rPr>
          <w:rFonts w:cs="Arial"/>
        </w:rPr>
      </w:pPr>
      <w:r>
        <w:rPr>
          <w:rFonts w:cs="Arial"/>
        </w:rPr>
        <w:t xml:space="preserve">The lot ratings and starting prices for </w:t>
      </w:r>
      <w:r w:rsidR="0096188A">
        <w:rPr>
          <w:rFonts w:cs="Arial"/>
        </w:rPr>
        <w:t>the</w:t>
      </w:r>
      <w:r>
        <w:rPr>
          <w:rFonts w:cs="Arial"/>
        </w:rPr>
        <w:t xml:space="preserve"> lot</w:t>
      </w:r>
      <w:r w:rsidR="00655B31">
        <w:rPr>
          <w:rFonts w:cs="Arial"/>
        </w:rPr>
        <w:t>s</w:t>
      </w:r>
      <w:r>
        <w:rPr>
          <w:rFonts w:cs="Arial"/>
        </w:rPr>
        <w:t xml:space="preserve"> </w:t>
      </w:r>
      <w:r w:rsidR="0096188A">
        <w:rPr>
          <w:rFonts w:cs="Arial"/>
        </w:rPr>
        <w:t xml:space="preserve">of each product </w:t>
      </w:r>
      <w:r>
        <w:rPr>
          <w:rFonts w:cs="Arial"/>
        </w:rPr>
        <w:t xml:space="preserve">will be published </w:t>
      </w:r>
      <w:r w:rsidR="00D102DE">
        <w:rPr>
          <w:rFonts w:cs="Arial"/>
        </w:rPr>
        <w:t>in the AIP</w:t>
      </w:r>
      <w:r>
        <w:rPr>
          <w:rFonts w:cs="Arial"/>
        </w:rPr>
        <w:t xml:space="preserve">, in accordance with the draft allocation determination. </w:t>
      </w:r>
    </w:p>
    <w:p w14:paraId="79FE1E5F" w14:textId="42497364" w:rsidR="00550995" w:rsidRPr="006035C0" w:rsidRDefault="00550995" w:rsidP="006035C0">
      <w:pPr>
        <w:pStyle w:val="Heading3"/>
      </w:pPr>
      <w:r w:rsidRPr="006035C0">
        <w:t xml:space="preserve">Potential for change in starting prices </w:t>
      </w:r>
    </w:p>
    <w:p w14:paraId="195FB07A" w14:textId="118FFDB2" w:rsidR="00DD57AB" w:rsidRDefault="00DD57AB" w:rsidP="00C070A3">
      <w:pPr>
        <w:rPr>
          <w:rFonts w:cs="Arial"/>
        </w:rPr>
      </w:pPr>
      <w:r>
        <w:rPr>
          <w:rFonts w:cs="Arial"/>
        </w:rPr>
        <w:t xml:space="preserve">The draft allocation determination </w:t>
      </w:r>
      <w:r w:rsidR="00143693">
        <w:rPr>
          <w:rFonts w:cs="Arial"/>
        </w:rPr>
        <w:t xml:space="preserve">provides </w:t>
      </w:r>
      <w:r w:rsidR="00BB53E9">
        <w:rPr>
          <w:rFonts w:cs="Arial"/>
        </w:rPr>
        <w:t>us</w:t>
      </w:r>
      <w:r w:rsidR="00143693">
        <w:rPr>
          <w:rFonts w:cs="Arial"/>
        </w:rPr>
        <w:t xml:space="preserve"> with the flexibility t</w:t>
      </w:r>
      <w:r>
        <w:rPr>
          <w:rFonts w:cs="Arial"/>
        </w:rPr>
        <w:t xml:space="preserve">o change the starting prices after applications open </w:t>
      </w:r>
      <w:r w:rsidR="00252129">
        <w:rPr>
          <w:rFonts w:cs="Arial"/>
        </w:rPr>
        <w:t>but</w:t>
      </w:r>
      <w:r>
        <w:rPr>
          <w:rFonts w:cs="Arial"/>
        </w:rPr>
        <w:t xml:space="preserve"> before the eligibility deadline. </w:t>
      </w:r>
      <w:r w:rsidR="00550995">
        <w:rPr>
          <w:rFonts w:cs="Arial"/>
        </w:rPr>
        <w:t xml:space="preserve">We expect that this </w:t>
      </w:r>
      <w:r>
        <w:rPr>
          <w:rFonts w:cs="Arial"/>
        </w:rPr>
        <w:t xml:space="preserve">would only </w:t>
      </w:r>
      <w:r w:rsidR="00550995">
        <w:rPr>
          <w:rFonts w:cs="Arial"/>
        </w:rPr>
        <w:t xml:space="preserve">occur </w:t>
      </w:r>
      <w:r>
        <w:rPr>
          <w:rFonts w:cs="Arial"/>
        </w:rPr>
        <w:t xml:space="preserve">in </w:t>
      </w:r>
      <w:r w:rsidR="00B85403">
        <w:rPr>
          <w:rFonts w:cs="Arial"/>
        </w:rPr>
        <w:t>unusual or necessary</w:t>
      </w:r>
      <w:r>
        <w:rPr>
          <w:rFonts w:cs="Arial"/>
        </w:rPr>
        <w:t xml:space="preserve"> circumstances</w:t>
      </w:r>
      <w:r w:rsidR="00D01194">
        <w:rPr>
          <w:rFonts w:cs="Arial"/>
        </w:rPr>
        <w:t xml:space="preserve"> such as </w:t>
      </w:r>
      <w:r w:rsidR="004B22E2">
        <w:rPr>
          <w:rFonts w:cs="Arial"/>
        </w:rPr>
        <w:t xml:space="preserve">where </w:t>
      </w:r>
      <w:r w:rsidR="00D01194">
        <w:rPr>
          <w:rFonts w:cs="Arial"/>
        </w:rPr>
        <w:t xml:space="preserve">there </w:t>
      </w:r>
      <w:r w:rsidR="004B22E2">
        <w:rPr>
          <w:rFonts w:cs="Arial"/>
        </w:rPr>
        <w:t>is a</w:t>
      </w:r>
      <w:r w:rsidR="00D01194">
        <w:rPr>
          <w:rFonts w:cs="Arial"/>
        </w:rPr>
        <w:t xml:space="preserve"> significant change in the market</w:t>
      </w:r>
      <w:r w:rsidR="007300C6">
        <w:rPr>
          <w:rFonts w:cs="Arial"/>
        </w:rPr>
        <w:t xml:space="preserve"> after prices were set</w:t>
      </w:r>
      <w:r>
        <w:rPr>
          <w:rFonts w:cs="Arial"/>
        </w:rPr>
        <w:t xml:space="preserve">. </w:t>
      </w:r>
      <w:r w:rsidR="00550995">
        <w:rPr>
          <w:rFonts w:cs="Arial"/>
        </w:rPr>
        <w:t xml:space="preserve">If </w:t>
      </w:r>
      <w:r>
        <w:rPr>
          <w:rFonts w:cs="Arial"/>
        </w:rPr>
        <w:t>starting prices are changed</w:t>
      </w:r>
      <w:r w:rsidR="00E90BAD">
        <w:rPr>
          <w:rFonts w:cs="Arial"/>
        </w:rPr>
        <w:t>, the lot ratings may also be changed</w:t>
      </w:r>
      <w:r w:rsidR="00550995">
        <w:rPr>
          <w:rFonts w:cs="Arial"/>
        </w:rPr>
        <w:t>,</w:t>
      </w:r>
      <w:r w:rsidR="00E90BAD">
        <w:rPr>
          <w:rFonts w:cs="Arial"/>
        </w:rPr>
        <w:t xml:space="preserve"> and</w:t>
      </w:r>
      <w:r>
        <w:rPr>
          <w:rFonts w:cs="Arial"/>
        </w:rPr>
        <w:t xml:space="preserve"> the application and the eligibility deadline</w:t>
      </w:r>
      <w:r w:rsidR="00143693">
        <w:rPr>
          <w:rFonts w:cs="Arial"/>
        </w:rPr>
        <w:t>s would be</w:t>
      </w:r>
      <w:r>
        <w:rPr>
          <w:rFonts w:cs="Arial"/>
        </w:rPr>
        <w:t xml:space="preserve"> extended. </w:t>
      </w:r>
      <w:r w:rsidR="00143693">
        <w:rPr>
          <w:rFonts w:cs="Arial"/>
        </w:rPr>
        <w:t>This would allow a</w:t>
      </w:r>
      <w:r>
        <w:rPr>
          <w:rFonts w:cs="Arial"/>
        </w:rPr>
        <w:t xml:space="preserve">pplicants </w:t>
      </w:r>
      <w:r w:rsidR="00143693">
        <w:rPr>
          <w:rFonts w:cs="Arial"/>
        </w:rPr>
        <w:t xml:space="preserve">to </w:t>
      </w:r>
      <w:r w:rsidR="00894BB3">
        <w:rPr>
          <w:rFonts w:cs="Arial"/>
        </w:rPr>
        <w:t>retain, vary</w:t>
      </w:r>
      <w:r w:rsidR="00143693">
        <w:rPr>
          <w:rFonts w:cs="Arial"/>
        </w:rPr>
        <w:t xml:space="preserve"> or</w:t>
      </w:r>
      <w:r>
        <w:rPr>
          <w:rFonts w:cs="Arial"/>
        </w:rPr>
        <w:t xml:space="preserve"> withdraw </w:t>
      </w:r>
      <w:r w:rsidR="00143693">
        <w:rPr>
          <w:rFonts w:cs="Arial"/>
        </w:rPr>
        <w:t xml:space="preserve">their application </w:t>
      </w:r>
      <w:r>
        <w:rPr>
          <w:rFonts w:cs="Arial"/>
        </w:rPr>
        <w:t>without penalty</w:t>
      </w:r>
      <w:r w:rsidR="00143693">
        <w:rPr>
          <w:rFonts w:cs="Arial"/>
        </w:rPr>
        <w:t xml:space="preserve"> and n</w:t>
      </w:r>
      <w:r>
        <w:rPr>
          <w:rFonts w:cs="Arial"/>
        </w:rPr>
        <w:t xml:space="preserve">ew applications </w:t>
      </w:r>
      <w:r w:rsidR="00143693">
        <w:rPr>
          <w:rFonts w:cs="Arial"/>
        </w:rPr>
        <w:t xml:space="preserve">to </w:t>
      </w:r>
      <w:r>
        <w:rPr>
          <w:rFonts w:cs="Arial"/>
        </w:rPr>
        <w:t>be received</w:t>
      </w:r>
      <w:r w:rsidR="00D102DE">
        <w:rPr>
          <w:rFonts w:cs="Arial"/>
        </w:rPr>
        <w:t>.</w:t>
      </w:r>
      <w:r w:rsidR="008678B7">
        <w:rPr>
          <w:rStyle w:val="FootnoteReference"/>
          <w:rFonts w:cs="Arial"/>
        </w:rPr>
        <w:footnoteReference w:id="20"/>
      </w:r>
    </w:p>
    <w:p w14:paraId="3D6A4BA2" w14:textId="33C90820" w:rsidR="003357A6" w:rsidRDefault="003357A6" w:rsidP="003357A6">
      <w:pPr>
        <w:keepNext/>
        <w:pBdr>
          <w:top w:val="single" w:sz="4" w:space="1" w:color="auto"/>
          <w:left w:val="single" w:sz="4" w:space="4" w:color="auto"/>
          <w:bottom w:val="single" w:sz="4" w:space="1" w:color="auto"/>
          <w:right w:val="single" w:sz="4" w:space="4" w:color="auto"/>
        </w:pBdr>
        <w:shd w:val="clear" w:color="auto" w:fill="F2F2F2" w:themeFill="background1" w:themeFillShade="F2"/>
        <w:spacing w:after="120"/>
        <w:rPr>
          <w:b/>
        </w:rPr>
      </w:pPr>
      <w:r>
        <w:rPr>
          <w:b/>
        </w:rPr>
        <w:t xml:space="preserve">26 GHz band </w:t>
      </w:r>
      <w:r w:rsidR="00BB0D69">
        <w:rPr>
          <w:b/>
        </w:rPr>
        <w:t>auction</w:t>
      </w:r>
      <w:r w:rsidR="00E443F9">
        <w:rPr>
          <w:b/>
        </w:rPr>
        <w:t>—</w:t>
      </w:r>
      <w:r>
        <w:rPr>
          <w:b/>
        </w:rPr>
        <w:t>change in starting prices</w:t>
      </w:r>
    </w:p>
    <w:p w14:paraId="31E46529" w14:textId="6FFBD716" w:rsidR="003357A6" w:rsidRDefault="003357A6" w:rsidP="003357A6">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pPr>
      <w:r>
        <w:t>We seek stakeholder views on providing the ACMA with the power to change the starting prices before the auction.</w:t>
      </w:r>
    </w:p>
    <w:p w14:paraId="12BB0BB0" w14:textId="72BCA60E" w:rsidR="00C070A3" w:rsidRDefault="000D3DDE" w:rsidP="00C070A3">
      <w:pPr>
        <w:pStyle w:val="Heading2"/>
      </w:pPr>
      <w:bookmarkStart w:id="88" w:name="_Toc512246166"/>
      <w:bookmarkStart w:id="89" w:name="_Toc512503300"/>
      <w:bookmarkStart w:id="90" w:name="_Toc514330452"/>
      <w:bookmarkStart w:id="91" w:name="_Toc45112213"/>
      <w:r>
        <w:t>Allocation</w:t>
      </w:r>
      <w:r w:rsidR="00C070A3">
        <w:t xml:space="preserve"> limits</w:t>
      </w:r>
      <w:bookmarkEnd w:id="86"/>
      <w:bookmarkEnd w:id="87"/>
      <w:bookmarkEnd w:id="88"/>
      <w:bookmarkEnd w:id="89"/>
      <w:bookmarkEnd w:id="90"/>
      <w:bookmarkEnd w:id="91"/>
    </w:p>
    <w:p w14:paraId="2CBC21ED" w14:textId="22159C98" w:rsidR="00C070A3" w:rsidRDefault="000D3DDE" w:rsidP="00C070A3">
      <w:r>
        <w:t>Allocation</w:t>
      </w:r>
      <w:r w:rsidR="00C070A3" w:rsidRPr="00880169">
        <w:t xml:space="preserve"> limits (also referred to as spectrum </w:t>
      </w:r>
      <w:r w:rsidR="00C070A3">
        <w:t xml:space="preserve">licence limits, spectrum </w:t>
      </w:r>
      <w:r w:rsidR="00C070A3" w:rsidRPr="00880169">
        <w:t xml:space="preserve">caps or </w:t>
      </w:r>
      <w:r>
        <w:t>competition</w:t>
      </w:r>
      <w:r w:rsidR="00C070A3" w:rsidRPr="00880169">
        <w:t xml:space="preserve"> limits) have the effect of capping the total amount of spectrum that a single bidder can acquire in </w:t>
      </w:r>
      <w:r w:rsidR="00C070A3">
        <w:t>an auction</w:t>
      </w:r>
      <w:r w:rsidR="00C070A3" w:rsidRPr="00880169">
        <w:t xml:space="preserve">. </w:t>
      </w:r>
      <w:r w:rsidR="00C070A3">
        <w:t>I</w:t>
      </w:r>
      <w:r w:rsidR="00C070A3" w:rsidRPr="00512FB3">
        <w:t xml:space="preserve">f the </w:t>
      </w:r>
      <w:r w:rsidR="00447ADB">
        <w:t>Minister</w:t>
      </w:r>
      <w:r w:rsidR="00C070A3" w:rsidRPr="00512FB3">
        <w:t xml:space="preserve"> directs the ACMA to impose limits on the amount of spectrum that may be allocated to one bidder and its associates</w:t>
      </w:r>
      <w:r w:rsidR="00C070A3">
        <w:t xml:space="preserve">, </w:t>
      </w:r>
      <w:r w:rsidR="00BB53E9">
        <w:t>we</w:t>
      </w:r>
      <w:r w:rsidR="00C070A3">
        <w:t xml:space="preserve"> must ensure that</w:t>
      </w:r>
      <w:r w:rsidR="00C070A3" w:rsidRPr="00CB0100">
        <w:t xml:space="preserve"> </w:t>
      </w:r>
      <w:r w:rsidR="00C070A3">
        <w:t xml:space="preserve">the allocation </w:t>
      </w:r>
      <w:r w:rsidR="00C070A3" w:rsidRPr="00480203">
        <w:t>determination specifies the process for ensuring that competition limits are observed.</w:t>
      </w:r>
      <w:bookmarkStart w:id="92" w:name="_Toc319572503"/>
      <w:bookmarkStart w:id="93" w:name="_Toc459210823"/>
      <w:bookmarkStart w:id="94" w:name="_Toc461025821"/>
    </w:p>
    <w:p w14:paraId="486E4369" w14:textId="44D9A1C5" w:rsidR="00C070A3" w:rsidRDefault="00E326C1" w:rsidP="004E6F93">
      <w:pPr>
        <w:keepNext/>
        <w:keepLines/>
        <w:rPr>
          <w:rFonts w:cs="Arial"/>
        </w:rPr>
      </w:pPr>
      <w:r>
        <w:t>After</w:t>
      </w:r>
      <w:r w:rsidR="00C070A3">
        <w:t xml:space="preserve"> the </w:t>
      </w:r>
      <w:r w:rsidR="00447ADB">
        <w:t>Minister</w:t>
      </w:r>
      <w:r w:rsidR="00C070A3">
        <w:t xml:space="preserve"> </w:t>
      </w:r>
      <w:r>
        <w:t>made</w:t>
      </w:r>
      <w:r w:rsidR="00C070A3">
        <w:t xml:space="preserve"> the </w:t>
      </w:r>
      <w:r w:rsidR="004E7783">
        <w:t>re-allocation</w:t>
      </w:r>
      <w:r w:rsidR="00C070A3">
        <w:t xml:space="preserve"> declaration on</w:t>
      </w:r>
      <w:r w:rsidR="00595E9E">
        <w:t xml:space="preserve"> </w:t>
      </w:r>
      <w:r>
        <w:t>18 October 2019</w:t>
      </w:r>
      <w:r w:rsidR="00C070A3">
        <w:t xml:space="preserve">, he also </w:t>
      </w:r>
      <w:r w:rsidR="0096188A" w:rsidRPr="0096188A">
        <w:rPr>
          <w:u w:color="0000FF"/>
        </w:rPr>
        <w:t>requested advice</w:t>
      </w:r>
      <w:r w:rsidR="00C070A3">
        <w:t xml:space="preserve"> from the ACCC regarding competition limits</w:t>
      </w:r>
      <w:r w:rsidR="009557B4">
        <w:t xml:space="preserve">. The </w:t>
      </w:r>
      <w:hyperlink r:id="rId58" w:history="1">
        <w:r w:rsidR="009557B4" w:rsidRPr="008049A4">
          <w:rPr>
            <w:rStyle w:val="Hyperlink"/>
          </w:rPr>
          <w:t>ACCC consult</w:t>
        </w:r>
        <w:r w:rsidR="008049A4" w:rsidRPr="008049A4">
          <w:rPr>
            <w:rStyle w:val="Hyperlink"/>
          </w:rPr>
          <w:t>ation</w:t>
        </w:r>
      </w:hyperlink>
      <w:r w:rsidR="009557B4">
        <w:t xml:space="preserve"> on this matter</w:t>
      </w:r>
      <w:r w:rsidR="00BD5DD6">
        <w:t xml:space="preserve"> is now closed, with </w:t>
      </w:r>
      <w:hyperlink r:id="rId59" w:history="1">
        <w:r w:rsidR="009557B4" w:rsidRPr="00B513A0">
          <w:rPr>
            <w:rStyle w:val="Hyperlink"/>
          </w:rPr>
          <w:t>submissions published</w:t>
        </w:r>
      </w:hyperlink>
      <w:r w:rsidR="009557B4">
        <w:t>.</w:t>
      </w:r>
      <w:r w:rsidR="00C070A3">
        <w:t xml:space="preserve"> </w:t>
      </w:r>
      <w:r w:rsidR="009557B4">
        <w:t xml:space="preserve">The Minister </w:t>
      </w:r>
      <w:r w:rsidR="00C070A3">
        <w:t xml:space="preserve">may direct the ACMA to implement competition limits for the </w:t>
      </w:r>
      <w:r w:rsidR="00143693">
        <w:t>26</w:t>
      </w:r>
      <w:r w:rsidR="00C070A3">
        <w:t xml:space="preserve"> GHz band auction. Due to the timing of this consultation, </w:t>
      </w:r>
      <w:r w:rsidR="00BB53E9">
        <w:t>we are</w:t>
      </w:r>
      <w:r w:rsidR="00C070A3">
        <w:t xml:space="preserve"> unable to include any information about competition limits in the draft allocation determination but will include any limits in the final allocation determination if directed by the </w:t>
      </w:r>
      <w:r w:rsidR="00447ADB">
        <w:t>Minister</w:t>
      </w:r>
      <w:r w:rsidR="00C070A3">
        <w:t>.</w:t>
      </w:r>
    </w:p>
    <w:p w14:paraId="491CE378" w14:textId="77777777" w:rsidR="00C070A3" w:rsidRDefault="00C070A3" w:rsidP="00C070A3">
      <w:pPr>
        <w:pStyle w:val="Heading2"/>
      </w:pPr>
      <w:bookmarkStart w:id="95" w:name="_Toc512246167"/>
      <w:bookmarkStart w:id="96" w:name="_Toc512503301"/>
      <w:bookmarkStart w:id="97" w:name="_Toc514330453"/>
      <w:bookmarkStart w:id="98" w:name="_Toc45112214"/>
      <w:r>
        <w:t>Affiliated</w:t>
      </w:r>
      <w:r w:rsidRPr="00880169">
        <w:t xml:space="preserve"> applicants</w:t>
      </w:r>
      <w:bookmarkEnd w:id="92"/>
      <w:bookmarkEnd w:id="93"/>
      <w:bookmarkEnd w:id="94"/>
      <w:bookmarkEnd w:id="95"/>
      <w:bookmarkEnd w:id="96"/>
      <w:bookmarkEnd w:id="97"/>
      <w:bookmarkEnd w:id="98"/>
      <w:r w:rsidRPr="00880169">
        <w:t xml:space="preserve"> </w:t>
      </w:r>
    </w:p>
    <w:p w14:paraId="744F41A4" w14:textId="28B1274A" w:rsidR="00C070A3" w:rsidRDefault="00C070A3" w:rsidP="00C070A3">
      <w:r>
        <w:t xml:space="preserve">On an assumption that the </w:t>
      </w:r>
      <w:r w:rsidR="00447ADB">
        <w:t>Minister</w:t>
      </w:r>
      <w:r>
        <w:t xml:space="preserve"> will direct the ACMA on competition limits, Part </w:t>
      </w:r>
      <w:r w:rsidRPr="00A15A9F">
        <w:t>2</w:t>
      </w:r>
      <w:r>
        <w:t xml:space="preserve"> of the </w:t>
      </w:r>
      <w:r w:rsidR="005818A8">
        <w:t xml:space="preserve">draft </w:t>
      </w:r>
      <w:r>
        <w:t>allocation determination contains affiliation provisions, as discussed below.</w:t>
      </w:r>
    </w:p>
    <w:p w14:paraId="1F96229F" w14:textId="537D7AFC" w:rsidR="00C070A3" w:rsidRPr="00D54A8E" w:rsidRDefault="00C070A3" w:rsidP="00C070A3">
      <w:r w:rsidRPr="00D54A8E">
        <w:t xml:space="preserve">To ensure </w:t>
      </w:r>
      <w:r w:rsidR="00BB53E9">
        <w:t>we</w:t>
      </w:r>
      <w:r w:rsidRPr="00D54A8E">
        <w:t xml:space="preserve"> can conduct a competitive and fair auction </w:t>
      </w:r>
      <w:r>
        <w:t xml:space="preserve">and comply </w:t>
      </w:r>
      <w:r w:rsidRPr="00D54A8E">
        <w:t xml:space="preserve">with any </w:t>
      </w:r>
      <w:r w:rsidR="005818A8">
        <w:t>allocation</w:t>
      </w:r>
      <w:r w:rsidR="005818A8" w:rsidRPr="00D54A8E">
        <w:t xml:space="preserve"> </w:t>
      </w:r>
      <w:r w:rsidRPr="00D54A8E">
        <w:t xml:space="preserve">limits that </w:t>
      </w:r>
      <w:r>
        <w:t>may be</w:t>
      </w:r>
      <w:r w:rsidRPr="00D54A8E">
        <w:t xml:space="preserve"> imposed by the </w:t>
      </w:r>
      <w:r w:rsidR="00447ADB">
        <w:t>Minister</w:t>
      </w:r>
      <w:r w:rsidRPr="00D54A8E">
        <w:t xml:space="preserve">, applicants who are ‘affiliated’ will not be permitted to participate in the auction as separate bidding entities. Two bidders will be affiliated if one is an ‘associate’ of the other, within the definition set out in the draft </w:t>
      </w:r>
      <w:r>
        <w:t xml:space="preserve">allocation </w:t>
      </w:r>
      <w:r w:rsidRPr="00D54A8E">
        <w:t xml:space="preserve">determination, or if they have an associate in common (for example, a director in common). </w:t>
      </w:r>
    </w:p>
    <w:p w14:paraId="44C73441" w14:textId="695F049B" w:rsidR="00A2716D" w:rsidRDefault="00C070A3" w:rsidP="00194BDB">
      <w:pPr>
        <w:pStyle w:val="Paragraphbeforelist"/>
      </w:pPr>
      <w:r w:rsidRPr="00D54A8E">
        <w:t xml:space="preserve">If an affiliation is identified </w:t>
      </w:r>
      <w:r w:rsidR="00A2716D">
        <w:t xml:space="preserve">between applicants </w:t>
      </w:r>
      <w:r w:rsidRPr="00D54A8E">
        <w:t xml:space="preserve">prior to the </w:t>
      </w:r>
      <w:r w:rsidR="004D1FCD">
        <w:t>eligibility deadline</w:t>
      </w:r>
      <w:r w:rsidRPr="00D54A8E">
        <w:t xml:space="preserve">, options are proposed </w:t>
      </w:r>
      <w:r w:rsidR="009C1066">
        <w:t xml:space="preserve">in the allocation determination </w:t>
      </w:r>
      <w:r w:rsidR="004D1FCD">
        <w:t>to</w:t>
      </w:r>
      <w:r w:rsidRPr="00D54A8E">
        <w:t xml:space="preserve"> remedy the affiliation and allow participation in the auction.</w:t>
      </w:r>
      <w:r w:rsidR="00894BB3">
        <w:t xml:space="preserve"> </w:t>
      </w:r>
      <w:r w:rsidR="00A2716D">
        <w:t>Options</w:t>
      </w:r>
      <w:r w:rsidR="009834FD">
        <w:t xml:space="preserve"> for a</w:t>
      </w:r>
      <w:r w:rsidR="00894BB3">
        <w:t>ffiliated applicant</w:t>
      </w:r>
      <w:r w:rsidR="009834FD">
        <w:t>s</w:t>
      </w:r>
      <w:r w:rsidR="00894BB3">
        <w:t xml:space="preserve"> </w:t>
      </w:r>
      <w:r w:rsidR="00A2716D">
        <w:t xml:space="preserve">identified </w:t>
      </w:r>
      <w:r w:rsidR="004D1FCD">
        <w:t>before</w:t>
      </w:r>
      <w:r w:rsidR="00A2716D">
        <w:t xml:space="preserve"> the </w:t>
      </w:r>
      <w:r w:rsidR="00601A3C">
        <w:t>eligibility deadline</w:t>
      </w:r>
      <w:r w:rsidR="00894BB3">
        <w:t xml:space="preserve"> include</w:t>
      </w:r>
      <w:r w:rsidR="00A2716D">
        <w:t>:</w:t>
      </w:r>
      <w:r w:rsidR="00894BB3">
        <w:t xml:space="preserve"> </w:t>
      </w:r>
    </w:p>
    <w:p w14:paraId="290A9404" w14:textId="7DCC55E0" w:rsidR="00A2716D" w:rsidRDefault="00AA3B59" w:rsidP="00A2716D">
      <w:pPr>
        <w:pStyle w:val="ListBullet"/>
      </w:pPr>
      <w:r>
        <w:t xml:space="preserve">All but one </w:t>
      </w:r>
      <w:r w:rsidR="00A2716D">
        <w:t xml:space="preserve">of the affiliated </w:t>
      </w:r>
      <w:r w:rsidR="00894BB3">
        <w:t>applicant</w:t>
      </w:r>
      <w:r w:rsidR="00A2716D">
        <w:t>s</w:t>
      </w:r>
      <w:r w:rsidR="00894BB3">
        <w:t xml:space="preserve"> </w:t>
      </w:r>
      <w:r w:rsidR="00A2716D">
        <w:t>must withdraw</w:t>
      </w:r>
      <w:r w:rsidR="009834FD">
        <w:t xml:space="preserve"> </w:t>
      </w:r>
      <w:r w:rsidR="00A2716D">
        <w:t>their application,</w:t>
      </w:r>
      <w:r w:rsidR="00894BB3">
        <w:t xml:space="preserve"> allowing the </w:t>
      </w:r>
      <w:r w:rsidR="005D136B">
        <w:t xml:space="preserve">remaining </w:t>
      </w:r>
      <w:r w:rsidR="00894BB3">
        <w:t>applicant to</w:t>
      </w:r>
      <w:r w:rsidR="009834FD">
        <w:t xml:space="preserve"> continue</w:t>
      </w:r>
      <w:r w:rsidR="00894BB3">
        <w:t xml:space="preserve"> participat</w:t>
      </w:r>
      <w:r w:rsidR="009834FD">
        <w:t>ing</w:t>
      </w:r>
      <w:r w:rsidR="00894BB3">
        <w:t xml:space="preserve"> in the auction</w:t>
      </w:r>
      <w:r w:rsidR="00A2716D">
        <w:t>.</w:t>
      </w:r>
    </w:p>
    <w:p w14:paraId="5DBAF2EB" w14:textId="61DBC38C" w:rsidR="00C070A3" w:rsidRPr="00D54A8E" w:rsidRDefault="00AA3B59" w:rsidP="004E6F93">
      <w:pPr>
        <w:pStyle w:val="ListBulletLast"/>
      </w:pPr>
      <w:r>
        <w:t xml:space="preserve">All </w:t>
      </w:r>
      <w:r w:rsidR="00894BB3">
        <w:t xml:space="preserve">the affiliated applicants </w:t>
      </w:r>
      <w:r w:rsidR="00A2716D">
        <w:t xml:space="preserve">withdraw their applications </w:t>
      </w:r>
      <w:r w:rsidR="00F76A4F">
        <w:t xml:space="preserve">and </w:t>
      </w:r>
      <w:r w:rsidR="00A2716D">
        <w:t>submit</w:t>
      </w:r>
      <w:r w:rsidR="00894BB3">
        <w:t xml:space="preserve"> a new single application</w:t>
      </w:r>
      <w:r w:rsidR="009834FD">
        <w:t xml:space="preserve"> on behalf of </w:t>
      </w:r>
      <w:r>
        <w:t xml:space="preserve">all </w:t>
      </w:r>
      <w:r w:rsidR="009834FD">
        <w:t>applicants.</w:t>
      </w:r>
      <w:r w:rsidR="00C070A3" w:rsidRPr="00D54A8E">
        <w:t xml:space="preserve"> </w:t>
      </w:r>
    </w:p>
    <w:p w14:paraId="09394394" w14:textId="2B9C8C63" w:rsidR="00A2716D" w:rsidRDefault="00A2716D" w:rsidP="00194BDB">
      <w:pPr>
        <w:pStyle w:val="Paragraphbeforelist"/>
      </w:pPr>
      <w:r>
        <w:t>I</w:t>
      </w:r>
      <w:r w:rsidR="00C070A3" w:rsidRPr="00D54A8E">
        <w:t xml:space="preserve">f an affiliation </w:t>
      </w:r>
      <w:r w:rsidR="00601A3C">
        <w:t>forms</w:t>
      </w:r>
      <w:r w:rsidR="00C070A3" w:rsidRPr="00D54A8E">
        <w:t xml:space="preserve"> between </w:t>
      </w:r>
      <w:r w:rsidR="00F609F4">
        <w:t>bidders</w:t>
      </w:r>
      <w:r w:rsidR="00F609F4" w:rsidRPr="00D54A8E">
        <w:t xml:space="preserve"> </w:t>
      </w:r>
      <w:r w:rsidR="00C070A3" w:rsidRPr="00D54A8E">
        <w:t xml:space="preserve">during the auction, </w:t>
      </w:r>
      <w:r w:rsidR="009834FD">
        <w:t>there are two options</w:t>
      </w:r>
      <w:r>
        <w:t xml:space="preserve"> proposed in the draft allocation determination that would ensure the </w:t>
      </w:r>
      <w:r w:rsidR="00601A3C">
        <w:t xml:space="preserve">allocation </w:t>
      </w:r>
      <w:r>
        <w:t xml:space="preserve">limits are </w:t>
      </w:r>
      <w:r w:rsidR="00D92246">
        <w:t>applied</w:t>
      </w:r>
      <w:r>
        <w:t>:</w:t>
      </w:r>
    </w:p>
    <w:p w14:paraId="0CB051D0" w14:textId="31A05EA5" w:rsidR="00D92246" w:rsidRDefault="00F16948" w:rsidP="00A2716D">
      <w:pPr>
        <w:pStyle w:val="Bulletlevel1"/>
      </w:pPr>
      <w:r>
        <w:t xml:space="preserve">The affiliated bidders </w:t>
      </w:r>
      <w:r w:rsidR="00AA3B59">
        <w:t xml:space="preserve">must </w:t>
      </w:r>
      <w:r>
        <w:t xml:space="preserve">jointly give the ACMA </w:t>
      </w:r>
      <w:r w:rsidR="005D136B">
        <w:t xml:space="preserve">a </w:t>
      </w:r>
      <w:r>
        <w:t>direction on how to allocate the lots between the</w:t>
      </w:r>
      <w:r w:rsidR="00601A3C">
        <w:t xml:space="preserve"> affiliated</w:t>
      </w:r>
      <w:r>
        <w:t xml:space="preserve"> bidders</w:t>
      </w:r>
      <w:r w:rsidR="00601A3C">
        <w:t xml:space="preserve"> to ensure that the limits are not exceeded</w:t>
      </w:r>
      <w:r>
        <w:t>.</w:t>
      </w:r>
    </w:p>
    <w:p w14:paraId="25762A10" w14:textId="07FED5D6" w:rsidR="00D92246" w:rsidRDefault="00AA3B59" w:rsidP="004E6F93">
      <w:pPr>
        <w:pStyle w:val="ListBulletLast"/>
      </w:pPr>
      <w:r>
        <w:t>I</w:t>
      </w:r>
      <w:r w:rsidR="00F16948">
        <w:t xml:space="preserve">f the ACMA does not receive such </w:t>
      </w:r>
      <w:r w:rsidR="005D136B">
        <w:t xml:space="preserve">a </w:t>
      </w:r>
      <w:r w:rsidR="00F16948">
        <w:t>direction, we would allocate the spectrum between the affiliated bidders at our di</w:t>
      </w:r>
      <w:r w:rsidR="00CB4EB9">
        <w:t>scretion</w:t>
      </w:r>
      <w:r w:rsidR="00F16948">
        <w:t>, up to the limit specified by the allocation limits direction.</w:t>
      </w:r>
    </w:p>
    <w:p w14:paraId="6806144F" w14:textId="24A2842A" w:rsidR="00C070A3" w:rsidRPr="00D54A8E" w:rsidRDefault="00AA3B59" w:rsidP="001A3E36">
      <w:pPr>
        <w:pStyle w:val="Bulletlevel1"/>
        <w:numPr>
          <w:ilvl w:val="0"/>
          <w:numId w:val="0"/>
        </w:numPr>
      </w:pPr>
      <w:r>
        <w:t>B</w:t>
      </w:r>
      <w:r w:rsidR="003113F8">
        <w:t xml:space="preserve">efore issue of any licences, </w:t>
      </w:r>
      <w:r w:rsidR="00F609F4">
        <w:t>each affiliated bidder would be required</w:t>
      </w:r>
      <w:r w:rsidR="00CB4EB9">
        <w:t xml:space="preserve"> to pay the balance of their full </w:t>
      </w:r>
      <w:r w:rsidR="003113F8">
        <w:t xml:space="preserve">auction </w:t>
      </w:r>
      <w:r w:rsidR="00CB4EB9">
        <w:t>bid</w:t>
      </w:r>
      <w:r w:rsidR="003113F8">
        <w:t xml:space="preserve"> despite receiving less spectrum</w:t>
      </w:r>
      <w:r w:rsidR="00F609F4">
        <w:t>.</w:t>
      </w:r>
      <w:r w:rsidR="001A3E36">
        <w:t xml:space="preserve"> Where an</w:t>
      </w:r>
      <w:r w:rsidR="00B17179">
        <w:t xml:space="preserve"> </w:t>
      </w:r>
      <w:r w:rsidR="00601A3C">
        <w:t xml:space="preserve">affiliated </w:t>
      </w:r>
      <w:r w:rsidR="00F609F4">
        <w:t>bidder</w:t>
      </w:r>
      <w:r w:rsidR="001A3E36">
        <w:t xml:space="preserve"> does not pay the balance of their full auction </w:t>
      </w:r>
      <w:proofErr w:type="gramStart"/>
      <w:r w:rsidR="001A3E36">
        <w:t>bid</w:t>
      </w:r>
      <w:proofErr w:type="gramEnd"/>
      <w:r w:rsidR="001A3E36">
        <w:t xml:space="preserve"> they</w:t>
      </w:r>
      <w:r w:rsidR="00C070A3" w:rsidRPr="00D54A8E">
        <w:t xml:space="preserve"> </w:t>
      </w:r>
      <w:r w:rsidR="00C070A3">
        <w:t>may</w:t>
      </w:r>
      <w:r w:rsidR="00C070A3" w:rsidRPr="00D54A8E">
        <w:t xml:space="preserve"> be excluded from obtaining a spectrum licence and any eligibility payment paid may be forfeited. In addition, any amounts secured under a deed provided by the applicant would be recoverable by the ACMA on behalf of the Commonwealth.</w:t>
      </w:r>
    </w:p>
    <w:p w14:paraId="366C39A5" w14:textId="3332992B" w:rsidR="00C070A3" w:rsidRDefault="00C070A3" w:rsidP="00C070A3">
      <w:pPr>
        <w:pStyle w:val="Heading2"/>
      </w:pPr>
      <w:bookmarkStart w:id="99" w:name="_Payment_terms"/>
      <w:bookmarkStart w:id="100" w:name="_Toc512246168"/>
      <w:bookmarkStart w:id="101" w:name="_Toc512503302"/>
      <w:bookmarkStart w:id="102" w:name="_Toc514330454"/>
      <w:bookmarkStart w:id="103" w:name="_Toc45112215"/>
      <w:bookmarkEnd w:id="99"/>
      <w:r>
        <w:t>Payment terms</w:t>
      </w:r>
      <w:bookmarkEnd w:id="100"/>
      <w:bookmarkEnd w:id="101"/>
      <w:bookmarkEnd w:id="102"/>
      <w:bookmarkEnd w:id="103"/>
    </w:p>
    <w:p w14:paraId="0141A3AC" w14:textId="3366A602" w:rsidR="00547C15" w:rsidRDefault="00C070A3" w:rsidP="00547C15">
      <w:r w:rsidRPr="00480203">
        <w:rPr>
          <w:rFonts w:cs="Arial"/>
        </w:rPr>
        <w:t>The draft allocation determination sets out the financial obligations to be met by successful bidders before the ACMA can issue spectrum licences</w:t>
      </w:r>
      <w:r w:rsidR="00F72A9F">
        <w:rPr>
          <w:rFonts w:cs="Arial"/>
        </w:rPr>
        <w:t xml:space="preserve">, </w:t>
      </w:r>
      <w:proofErr w:type="gramStart"/>
      <w:r w:rsidR="00F72A9F">
        <w:rPr>
          <w:rFonts w:cs="Arial"/>
        </w:rPr>
        <w:t>in particular payment</w:t>
      </w:r>
      <w:proofErr w:type="gramEnd"/>
      <w:r w:rsidR="00F72A9F">
        <w:rPr>
          <w:rFonts w:cs="Arial"/>
        </w:rPr>
        <w:t xml:space="preserve"> of the winning high bid price</w:t>
      </w:r>
      <w:r w:rsidRPr="00480203">
        <w:rPr>
          <w:rFonts w:cs="Arial"/>
        </w:rPr>
        <w:t>.</w:t>
      </w:r>
      <w:r w:rsidR="00457616">
        <w:rPr>
          <w:rFonts w:cs="Arial"/>
        </w:rPr>
        <w:t xml:space="preserve"> </w:t>
      </w:r>
      <w:r w:rsidR="00547C15">
        <w:rPr>
          <w:rFonts w:cs="Arial"/>
        </w:rPr>
        <w:t>The draft allocation determination also includes</w:t>
      </w:r>
      <w:r w:rsidR="00547C15" w:rsidRPr="00480203">
        <w:rPr>
          <w:rFonts w:cs="Arial"/>
        </w:rPr>
        <w:t xml:space="preserve"> the procedure for the ACMA to return </w:t>
      </w:r>
      <w:r w:rsidR="00547C15">
        <w:rPr>
          <w:rFonts w:cs="Arial"/>
        </w:rPr>
        <w:t>eligibility payment</w:t>
      </w:r>
      <w:r w:rsidR="00547C15" w:rsidRPr="00480203">
        <w:rPr>
          <w:rFonts w:cs="Arial"/>
        </w:rPr>
        <w:t>s, which are held by the ACMA during the auction, to unsuccessful bidders.</w:t>
      </w:r>
      <w:r w:rsidR="00547C15" w:rsidRPr="00670F14">
        <w:t xml:space="preserve"> </w:t>
      </w:r>
    </w:p>
    <w:p w14:paraId="301FB0CD" w14:textId="5229E96D" w:rsidR="00375B6C" w:rsidRPr="00375B6C" w:rsidRDefault="00FD2B2E" w:rsidP="004E6F93">
      <w:pPr>
        <w:keepNext/>
        <w:keepLines/>
        <w:spacing w:after="80"/>
        <w:rPr>
          <w:rFonts w:cs="Arial"/>
        </w:rPr>
      </w:pPr>
      <w:r w:rsidRPr="00375B6C">
        <w:rPr>
          <w:rFonts w:cs="Arial"/>
        </w:rPr>
        <w:t xml:space="preserve">In the past, </w:t>
      </w:r>
      <w:r w:rsidR="00BB53E9">
        <w:rPr>
          <w:rFonts w:cs="Arial"/>
        </w:rPr>
        <w:t>we have</w:t>
      </w:r>
      <w:r w:rsidRPr="00375B6C">
        <w:rPr>
          <w:rFonts w:cs="Arial"/>
        </w:rPr>
        <w:t xml:space="preserve"> used two methods for payment of winning high bids: </w:t>
      </w:r>
    </w:p>
    <w:p w14:paraId="6286A630" w14:textId="44E68A5E" w:rsidR="00375B6C" w:rsidRDefault="00FD2B2E" w:rsidP="004E6F93">
      <w:pPr>
        <w:pStyle w:val="ListBullet"/>
        <w:keepNext/>
        <w:keepLines/>
      </w:pPr>
      <w:r>
        <w:t>upfront payment, where the entire winning bid price is required to be paid before licence issue and commencement</w:t>
      </w:r>
    </w:p>
    <w:p w14:paraId="0A0A82BB" w14:textId="01A643E0" w:rsidR="00FD2B2E" w:rsidRDefault="00F72A9F" w:rsidP="004E6F93">
      <w:pPr>
        <w:pStyle w:val="ListBulletLast"/>
      </w:pPr>
      <w:r>
        <w:t>delayed</w:t>
      </w:r>
      <w:r w:rsidR="00FD2B2E">
        <w:t xml:space="preserve"> payment, where only the first of several instalments is required to be paid before licence issue and commencement.</w:t>
      </w:r>
    </w:p>
    <w:p w14:paraId="0E7D639E" w14:textId="77777777" w:rsidR="00E739E0" w:rsidRDefault="00FD2B2E" w:rsidP="0024469E">
      <w:pPr>
        <w:rPr>
          <w:rFonts w:cs="Arial"/>
        </w:rPr>
      </w:pPr>
      <w:r>
        <w:rPr>
          <w:rFonts w:cs="Arial"/>
          <w:b/>
          <w:bCs/>
        </w:rPr>
        <w:t>For the 26 GHz band auction, we</w:t>
      </w:r>
      <w:r w:rsidR="0024469E" w:rsidRPr="00C41CBD">
        <w:rPr>
          <w:rFonts w:cs="Arial"/>
          <w:b/>
          <w:bCs/>
        </w:rPr>
        <w:t xml:space="preserve"> propose </w:t>
      </w:r>
      <w:r>
        <w:rPr>
          <w:rFonts w:cs="Arial"/>
          <w:b/>
          <w:bCs/>
        </w:rPr>
        <w:t>an upfront payment arrangement</w:t>
      </w:r>
      <w:r w:rsidR="0024469E">
        <w:rPr>
          <w:rFonts w:cs="Arial"/>
        </w:rPr>
        <w:t xml:space="preserve">. </w:t>
      </w:r>
    </w:p>
    <w:p w14:paraId="4BC53CDF" w14:textId="77777777" w:rsidR="00E443F9" w:rsidRDefault="00FD2B2E" w:rsidP="0024469E">
      <w:pPr>
        <w:rPr>
          <w:rFonts w:cs="Arial"/>
        </w:rPr>
      </w:pPr>
      <w:r>
        <w:rPr>
          <w:rFonts w:cs="Arial"/>
        </w:rPr>
        <w:t xml:space="preserve">This is consistent with the approach taken in </w:t>
      </w:r>
      <w:proofErr w:type="gramStart"/>
      <w:r>
        <w:rPr>
          <w:rFonts w:cs="Arial"/>
        </w:rPr>
        <w:t>the majority of</w:t>
      </w:r>
      <w:proofErr w:type="gramEnd"/>
      <w:r>
        <w:rPr>
          <w:rFonts w:cs="Arial"/>
        </w:rPr>
        <w:t xml:space="preserve"> auctions the ACMA has undertaken. We note that this is also consistent with the findings of the</w:t>
      </w:r>
      <w:r w:rsidR="0024469E">
        <w:rPr>
          <w:rFonts w:cs="Arial"/>
        </w:rPr>
        <w:t xml:space="preserve"> government’s </w:t>
      </w:r>
      <w:hyperlink r:id="rId60" w:history="1">
        <w:r w:rsidR="0024469E" w:rsidRPr="008678B7">
          <w:rPr>
            <w:rStyle w:val="Hyperlink"/>
            <w:rFonts w:cs="Arial"/>
          </w:rPr>
          <w:t>Spectrum Pricing review</w:t>
        </w:r>
      </w:hyperlink>
      <w:r w:rsidR="0024469E">
        <w:rPr>
          <w:rFonts w:cs="Arial"/>
        </w:rPr>
        <w:t xml:space="preserve"> </w:t>
      </w:r>
      <w:r w:rsidR="001D104E">
        <w:rPr>
          <w:rFonts w:cs="Arial"/>
        </w:rPr>
        <w:t>which state</w:t>
      </w:r>
      <w:r>
        <w:rPr>
          <w:rFonts w:cs="Arial"/>
        </w:rPr>
        <w:t>d that</w:t>
      </w:r>
      <w:r w:rsidR="00E443F9">
        <w:rPr>
          <w:rFonts w:cs="Arial"/>
        </w:rPr>
        <w:t>:</w:t>
      </w:r>
    </w:p>
    <w:p w14:paraId="4316ED0A" w14:textId="62C611C2" w:rsidR="0024469E" w:rsidRPr="004E6F93" w:rsidRDefault="0024469E" w:rsidP="004E6F93">
      <w:pPr>
        <w:ind w:left="284"/>
        <w:rPr>
          <w:sz w:val="18"/>
          <w:szCs w:val="18"/>
        </w:rPr>
      </w:pPr>
      <w:r w:rsidRPr="004E6F93">
        <w:rPr>
          <w:rFonts w:cs="Arial"/>
          <w:sz w:val="18"/>
          <w:szCs w:val="18"/>
        </w:rPr>
        <w:t>“</w:t>
      </w:r>
      <w:r w:rsidR="00FD2B2E" w:rsidRPr="004E6F93">
        <w:rPr>
          <w:rFonts w:cs="Arial"/>
          <w:sz w:val="18"/>
          <w:szCs w:val="18"/>
        </w:rPr>
        <w:t>[f]</w:t>
      </w:r>
      <w:r w:rsidRPr="004E6F93">
        <w:rPr>
          <w:rFonts w:cs="Arial"/>
          <w:sz w:val="18"/>
          <w:szCs w:val="18"/>
        </w:rPr>
        <w:t>or spectrum access charges determined by auction, the ACMA should generally</w:t>
      </w:r>
      <w:r w:rsidRPr="004E6F93">
        <w:rPr>
          <w:sz w:val="18"/>
          <w:szCs w:val="18"/>
        </w:rPr>
        <w:t xml:space="preserve"> require upfront lump-sum payments</w:t>
      </w:r>
      <w:r w:rsidR="00F72A9F" w:rsidRPr="004E6F93">
        <w:rPr>
          <w:sz w:val="18"/>
          <w:szCs w:val="18"/>
        </w:rPr>
        <w:t>.</w:t>
      </w:r>
      <w:r w:rsidR="00941C31" w:rsidRPr="004E6F93">
        <w:rPr>
          <w:sz w:val="18"/>
          <w:szCs w:val="18"/>
        </w:rPr>
        <w:t xml:space="preserve"> .</w:t>
      </w:r>
      <w:r w:rsidR="00F72A9F" w:rsidRPr="004E6F93">
        <w:rPr>
          <w:sz w:val="18"/>
          <w:szCs w:val="18"/>
        </w:rPr>
        <w:t>.</w:t>
      </w:r>
      <w:r w:rsidRPr="004E6F93">
        <w:rPr>
          <w:sz w:val="18"/>
          <w:szCs w:val="18"/>
        </w:rPr>
        <w:t>. In considering use of instalments, the ACMA should assess the risks to the state of default and the potential impact on competition.”</w:t>
      </w:r>
    </w:p>
    <w:p w14:paraId="6DE2F928" w14:textId="77777777" w:rsidR="00E739E0" w:rsidRDefault="0024469E" w:rsidP="0024469E">
      <w:r>
        <w:t xml:space="preserve">However, </w:t>
      </w:r>
      <w:r w:rsidR="00FD2B2E">
        <w:t xml:space="preserve">the Spectrum Pricing review also acknowledged that there </w:t>
      </w:r>
      <w:r w:rsidR="00A0060A">
        <w:t xml:space="preserve">may be </w:t>
      </w:r>
      <w:r w:rsidR="00F72A9F">
        <w:t xml:space="preserve">circumstances where delayed – or instalment - payments are warranted shortly after the beginning of a licence term. </w:t>
      </w:r>
    </w:p>
    <w:p w14:paraId="76635AF4" w14:textId="55835594" w:rsidR="0024469E" w:rsidRDefault="00F72A9F" w:rsidP="0024469E">
      <w:pPr>
        <w:rPr>
          <w:rFonts w:cs="Arial"/>
        </w:rPr>
      </w:pPr>
      <w:r>
        <w:t>G</w:t>
      </w:r>
      <w:r w:rsidR="0024469E">
        <w:t xml:space="preserve">iven the current environment with </w:t>
      </w:r>
      <w:r w:rsidR="00382899">
        <w:t>COVID</w:t>
      </w:r>
      <w:r w:rsidR="00E739E0">
        <w:t>-</w:t>
      </w:r>
      <w:r w:rsidR="0024469E">
        <w:t>19</w:t>
      </w:r>
      <w:r>
        <w:t>,</w:t>
      </w:r>
      <w:r w:rsidR="0024469E">
        <w:t xml:space="preserve"> we </w:t>
      </w:r>
      <w:r w:rsidR="005D136B">
        <w:t xml:space="preserve">seek </w:t>
      </w:r>
      <w:r w:rsidR="0024469E">
        <w:t>views on whether we should includ</w:t>
      </w:r>
      <w:r w:rsidR="00457616">
        <w:t>e</w:t>
      </w:r>
      <w:r w:rsidR="0024469E">
        <w:t xml:space="preserve"> </w:t>
      </w:r>
      <w:r w:rsidR="002A515C">
        <w:t>a</w:t>
      </w:r>
      <w:r>
        <w:t xml:space="preserve"> </w:t>
      </w:r>
      <w:r w:rsidR="002A515C">
        <w:t xml:space="preserve">delayed </w:t>
      </w:r>
      <w:r w:rsidR="0024469E">
        <w:t xml:space="preserve">payment option in the final allocation determination. </w:t>
      </w:r>
      <w:r>
        <w:t xml:space="preserve">If </w:t>
      </w:r>
      <w:r w:rsidR="0024469E">
        <w:t>a</w:t>
      </w:r>
      <w:r w:rsidR="002A515C">
        <w:t xml:space="preserve"> delayed</w:t>
      </w:r>
      <w:r w:rsidR="0024469E">
        <w:t xml:space="preserve"> payment option is included</w:t>
      </w:r>
      <w:r w:rsidR="001B49F7">
        <w:t>,</w:t>
      </w:r>
      <w:r w:rsidR="0024469E">
        <w:t xml:space="preserve"> the procedures would differ from the draft allocation determination.</w:t>
      </w:r>
      <w:r w:rsidR="00E739E0">
        <w:t xml:space="preserve"> </w:t>
      </w:r>
      <w:r>
        <w:rPr>
          <w:rFonts w:cs="Arial"/>
        </w:rPr>
        <w:t>In that case, f</w:t>
      </w:r>
      <w:r w:rsidR="0024469E" w:rsidRPr="00480203">
        <w:rPr>
          <w:rFonts w:cs="Arial"/>
        </w:rPr>
        <w:t>ollowing the close of the auction</w:t>
      </w:r>
      <w:r>
        <w:rPr>
          <w:rFonts w:cs="Arial"/>
        </w:rPr>
        <w:t xml:space="preserve"> </w:t>
      </w:r>
      <w:r w:rsidR="00B17179">
        <w:rPr>
          <w:rFonts w:cs="Arial"/>
        </w:rPr>
        <w:t xml:space="preserve">we </w:t>
      </w:r>
      <w:r w:rsidR="0024469E" w:rsidRPr="00480203">
        <w:rPr>
          <w:rFonts w:cs="Arial"/>
        </w:rPr>
        <w:t>w</w:t>
      </w:r>
      <w:r w:rsidR="0024469E">
        <w:rPr>
          <w:rFonts w:cs="Arial"/>
        </w:rPr>
        <w:t>ould</w:t>
      </w:r>
      <w:r w:rsidR="0024469E" w:rsidRPr="00480203">
        <w:rPr>
          <w:rFonts w:cs="Arial"/>
        </w:rPr>
        <w:t xml:space="preserve"> advise a winning bidder of the balance of the upfront winning price</w:t>
      </w:r>
      <w:r w:rsidR="00455101">
        <w:rPr>
          <w:rFonts w:cs="Arial"/>
        </w:rPr>
        <w:t xml:space="preserve"> and</w:t>
      </w:r>
      <w:r w:rsidR="0024469E" w:rsidRPr="00480203">
        <w:rPr>
          <w:rFonts w:cs="Arial"/>
        </w:rPr>
        <w:t xml:space="preserve"> the </w:t>
      </w:r>
      <w:r w:rsidR="002A515C">
        <w:rPr>
          <w:rFonts w:cs="Arial"/>
        </w:rPr>
        <w:t>delayed winning price</w:t>
      </w:r>
      <w:r w:rsidR="0024469E" w:rsidRPr="00480203">
        <w:rPr>
          <w:rFonts w:cs="Arial"/>
        </w:rPr>
        <w:t xml:space="preserve"> (that is, the winning price that would be payable if the winning bidder takes the </w:t>
      </w:r>
      <w:r w:rsidR="002A515C">
        <w:rPr>
          <w:rFonts w:cs="Arial"/>
        </w:rPr>
        <w:t>delayed</w:t>
      </w:r>
      <w:r w:rsidR="0024469E" w:rsidRPr="00480203">
        <w:rPr>
          <w:rFonts w:cs="Arial"/>
        </w:rPr>
        <w:t xml:space="preserve"> payment option)</w:t>
      </w:r>
      <w:r w:rsidR="00455101">
        <w:rPr>
          <w:rFonts w:cs="Arial"/>
        </w:rPr>
        <w:t>. Our advice would also include</w:t>
      </w:r>
      <w:r w:rsidR="0024469E" w:rsidRPr="00480203">
        <w:rPr>
          <w:rFonts w:cs="Arial"/>
        </w:rPr>
        <w:t xml:space="preserve"> the amount and payment date of each instalment of the delayed winning price</w:t>
      </w:r>
      <w:r w:rsidR="00B420B8">
        <w:rPr>
          <w:rFonts w:cs="Arial"/>
        </w:rPr>
        <w:t xml:space="preserve"> plus</w:t>
      </w:r>
      <w:r w:rsidR="00A94624">
        <w:rPr>
          <w:rFonts w:cs="Arial"/>
        </w:rPr>
        <w:t xml:space="preserve"> details of</w:t>
      </w:r>
      <w:r w:rsidR="00B420B8">
        <w:rPr>
          <w:rFonts w:cs="Arial"/>
        </w:rPr>
        <w:t xml:space="preserve"> the bank guarantee</w:t>
      </w:r>
      <w:r w:rsidR="00B93633">
        <w:rPr>
          <w:rFonts w:cs="Arial"/>
        </w:rPr>
        <w:t>s</w:t>
      </w:r>
      <w:r w:rsidR="006755BB">
        <w:rPr>
          <w:rFonts w:cs="Arial"/>
        </w:rPr>
        <w:t xml:space="preserve"> required</w:t>
      </w:r>
      <w:r w:rsidR="00B420B8">
        <w:rPr>
          <w:rFonts w:cs="Arial"/>
        </w:rPr>
        <w:t xml:space="preserve"> as security for the outstanding payment</w:t>
      </w:r>
      <w:r w:rsidR="00B93633">
        <w:rPr>
          <w:rFonts w:cs="Arial"/>
        </w:rPr>
        <w:t>s</w:t>
      </w:r>
      <w:r w:rsidR="0024469E" w:rsidRPr="00480203">
        <w:rPr>
          <w:rFonts w:cs="Arial"/>
        </w:rPr>
        <w:t xml:space="preserve">. The winning bidder must then advise </w:t>
      </w:r>
      <w:r w:rsidR="0024469E">
        <w:rPr>
          <w:rFonts w:cs="Arial"/>
        </w:rPr>
        <w:t>us</w:t>
      </w:r>
      <w:r w:rsidR="0024469E" w:rsidRPr="00480203">
        <w:rPr>
          <w:rFonts w:cs="Arial"/>
        </w:rPr>
        <w:t xml:space="preserve">, within </w:t>
      </w:r>
      <w:r w:rsidR="001B49F7">
        <w:rPr>
          <w:rFonts w:cs="Arial"/>
        </w:rPr>
        <w:t xml:space="preserve">a </w:t>
      </w:r>
      <w:r w:rsidR="00E66B5A">
        <w:rPr>
          <w:rFonts w:cs="Arial"/>
        </w:rPr>
        <w:t>specified time</w:t>
      </w:r>
      <w:r w:rsidR="0024469E" w:rsidRPr="00480203">
        <w:rPr>
          <w:rFonts w:cs="Arial"/>
        </w:rPr>
        <w:t xml:space="preserve"> of </w:t>
      </w:r>
      <w:r w:rsidR="0024469E">
        <w:rPr>
          <w:rFonts w:cs="Arial"/>
        </w:rPr>
        <w:t>our</w:t>
      </w:r>
      <w:r w:rsidR="0024469E" w:rsidRPr="00480203">
        <w:rPr>
          <w:rFonts w:cs="Arial"/>
        </w:rPr>
        <w:t xml:space="preserve"> advice, of how it elects to pay </w:t>
      </w:r>
      <w:r>
        <w:rPr>
          <w:rFonts w:cs="Arial"/>
        </w:rPr>
        <w:t xml:space="preserve">its winning </w:t>
      </w:r>
      <w:r w:rsidR="0024469E" w:rsidRPr="00480203">
        <w:rPr>
          <w:rFonts w:cs="Arial"/>
        </w:rPr>
        <w:t>price.</w:t>
      </w:r>
      <w:r w:rsidR="0024469E">
        <w:rPr>
          <w:rFonts w:cs="Arial"/>
        </w:rPr>
        <w:t xml:space="preserve"> </w:t>
      </w:r>
    </w:p>
    <w:p w14:paraId="741E91B6" w14:textId="11FCD9E7" w:rsidR="003E54D3" w:rsidRDefault="003E54D3" w:rsidP="0024469E">
      <w:pPr>
        <w:rPr>
          <w:rFonts w:cs="Arial"/>
        </w:rPr>
      </w:pPr>
      <w:r>
        <w:rPr>
          <w:rFonts w:cs="Arial"/>
        </w:rPr>
        <w:t xml:space="preserve">The delayed winning price would be greater than the upfront </w:t>
      </w:r>
      <w:r w:rsidR="00455101">
        <w:rPr>
          <w:rFonts w:cs="Arial"/>
        </w:rPr>
        <w:t>winning</w:t>
      </w:r>
      <w:r>
        <w:rPr>
          <w:rFonts w:cs="Arial"/>
        </w:rPr>
        <w:t xml:space="preserve"> price to reflect forgone interest. </w:t>
      </w:r>
    </w:p>
    <w:p w14:paraId="55F3CC9F" w14:textId="77777777" w:rsidR="0024469E" w:rsidRDefault="0024469E" w:rsidP="0024469E">
      <w:pPr>
        <w:pStyle w:val="Heading3"/>
      </w:pPr>
      <w:bookmarkStart w:id="104" w:name="_Toc463862920"/>
      <w:r>
        <w:t>Upfront payment</w:t>
      </w:r>
      <w:bookmarkEnd w:id="104"/>
    </w:p>
    <w:p w14:paraId="04FDDE82" w14:textId="4E44D32D" w:rsidR="0024469E" w:rsidRDefault="003C69C9" w:rsidP="0024469E">
      <w:pPr>
        <w:rPr>
          <w:rFonts w:cs="Arial"/>
        </w:rPr>
      </w:pPr>
      <w:r>
        <w:rPr>
          <w:rFonts w:cs="Arial"/>
        </w:rPr>
        <w:t>As set out in the draft allocation determination, u</w:t>
      </w:r>
      <w:r w:rsidR="0024469E">
        <w:rPr>
          <w:rFonts w:cs="Arial"/>
        </w:rPr>
        <w:t xml:space="preserve">nder this payment arrangement, the balance of the winning price must be paid to the ACMA no later than 20 working days after the date of the invoice. It is expected that the licence would be issued and commence shortly </w:t>
      </w:r>
      <w:r w:rsidR="002A515C">
        <w:rPr>
          <w:rFonts w:cs="Arial"/>
        </w:rPr>
        <w:t>after we have received the payment</w:t>
      </w:r>
      <w:r w:rsidR="0024469E">
        <w:rPr>
          <w:rFonts w:cs="Arial"/>
        </w:rPr>
        <w:t>.</w:t>
      </w:r>
    </w:p>
    <w:p w14:paraId="1A4DE68A" w14:textId="5DC3A883" w:rsidR="0024469E" w:rsidRDefault="002A515C" w:rsidP="0024469E">
      <w:pPr>
        <w:pStyle w:val="Heading3"/>
      </w:pPr>
      <w:bookmarkStart w:id="105" w:name="_Toc463862921"/>
      <w:r>
        <w:t>Delayed</w:t>
      </w:r>
      <w:r w:rsidR="0024469E">
        <w:t xml:space="preserve"> payment</w:t>
      </w:r>
      <w:bookmarkEnd w:id="105"/>
    </w:p>
    <w:p w14:paraId="7A98F454" w14:textId="45E3D231" w:rsidR="003C69C9" w:rsidRDefault="0024469E" w:rsidP="004E6F93">
      <w:pPr>
        <w:pStyle w:val="Paragraph"/>
      </w:pPr>
      <w:bookmarkStart w:id="106" w:name="_Hlk43990498"/>
      <w:r>
        <w:t xml:space="preserve">Under this payment arrangement, the ACMA </w:t>
      </w:r>
      <w:r w:rsidR="002A515C">
        <w:t>would</w:t>
      </w:r>
      <w:r>
        <w:t xml:space="preserve"> advise the winning bidder that the delayed winning </w:t>
      </w:r>
      <w:r w:rsidRPr="00480203">
        <w:t xml:space="preserve">price must be paid to the ACMA </w:t>
      </w:r>
      <w:r w:rsidR="002A515C">
        <w:t>in a specified number of annual instalment payments</w:t>
      </w:r>
      <w:r w:rsidR="00CB6BCA">
        <w:t xml:space="preserve"> and additional bank </w:t>
      </w:r>
      <w:proofErr w:type="spellStart"/>
      <w:r w:rsidR="00CB6BCA">
        <w:t>guarrantees</w:t>
      </w:r>
      <w:proofErr w:type="spellEnd"/>
      <w:r w:rsidR="002A515C">
        <w:t xml:space="preserve">. </w:t>
      </w:r>
      <w:r w:rsidR="00282B86">
        <w:t>Should the ACMA choose to offer this payment arrangement, w</w:t>
      </w:r>
      <w:r w:rsidR="00E66B5A">
        <w:t>e would require each instalment payment</w:t>
      </w:r>
      <w:r w:rsidR="003C69C9">
        <w:t xml:space="preserve"> of the delayed winning price</w:t>
      </w:r>
      <w:r w:rsidR="00E66B5A">
        <w:t xml:space="preserve"> </w:t>
      </w:r>
      <w:r w:rsidR="003E54D3">
        <w:t xml:space="preserve">to be </w:t>
      </w:r>
      <w:r w:rsidR="00E66B5A">
        <w:t>paid by a specific date in each successive year.</w:t>
      </w:r>
      <w:r w:rsidR="003C69C9">
        <w:t xml:space="preserve"> </w:t>
      </w:r>
      <w:r w:rsidR="003111F8">
        <w:t>It is expected that the licence would be issued and commence shortly after we have received the first instalment payment.</w:t>
      </w:r>
    </w:p>
    <w:p w14:paraId="622BF454" w14:textId="659BB51E" w:rsidR="003C69C9" w:rsidRPr="002F143A" w:rsidRDefault="003C69C9" w:rsidP="002F143A">
      <w:r>
        <w:rPr>
          <w:rFonts w:cs="Arial"/>
        </w:rPr>
        <w:t xml:space="preserve">This process could be similar to that set out in section 46 of the </w:t>
      </w:r>
      <w:hyperlink r:id="rId61" w:history="1">
        <w:r w:rsidRPr="00E66B5A">
          <w:rPr>
            <w:rStyle w:val="Hyperlink"/>
            <w:rFonts w:cs="Arial"/>
          </w:rPr>
          <w:t>Radiocommunications (Spectrum Licence Allocation – 700 MHz Band) Determination 2016</w:t>
        </w:r>
      </w:hyperlink>
      <w:r>
        <w:rPr>
          <w:rFonts w:cs="Arial"/>
        </w:rPr>
        <w:t xml:space="preserve">. </w:t>
      </w:r>
    </w:p>
    <w:bookmarkEnd w:id="106"/>
    <w:p w14:paraId="41E6BBCE" w14:textId="3C9ABE91" w:rsidR="00C070A3" w:rsidRDefault="001D104E" w:rsidP="00C070A3">
      <w:pPr>
        <w:keepNext/>
        <w:pBdr>
          <w:top w:val="single" w:sz="4" w:space="1" w:color="auto"/>
          <w:left w:val="single" w:sz="4" w:space="4" w:color="auto"/>
          <w:bottom w:val="single" w:sz="4" w:space="1" w:color="auto"/>
          <w:right w:val="single" w:sz="4" w:space="4" w:color="auto"/>
        </w:pBdr>
        <w:shd w:val="clear" w:color="auto" w:fill="F2F2F2" w:themeFill="background1" w:themeFillShade="F2"/>
        <w:spacing w:after="120"/>
        <w:rPr>
          <w:b/>
        </w:rPr>
      </w:pPr>
      <w:r>
        <w:rPr>
          <w:b/>
        </w:rPr>
        <w:t>D</w:t>
      </w:r>
      <w:r w:rsidR="00C070A3">
        <w:rPr>
          <w:b/>
        </w:rPr>
        <w:t xml:space="preserve">raft allocation determination </w:t>
      </w:r>
    </w:p>
    <w:p w14:paraId="4BBFA401" w14:textId="5A5E25D0" w:rsidR="00C070A3" w:rsidRDefault="001D104E" w:rsidP="00C070A3">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pPr>
      <w:r>
        <w:t>We</w:t>
      </w:r>
      <w:r w:rsidR="00C070A3">
        <w:t xml:space="preserve"> seek stakeholder views on the draft allocation determination and the auction rules for the </w:t>
      </w:r>
      <w:r w:rsidR="0060597F">
        <w:t>2</w:t>
      </w:r>
      <w:r w:rsidR="00C070A3">
        <w:t>6 GHz band auction</w:t>
      </w:r>
      <w:r w:rsidR="003A1F55">
        <w:t xml:space="preserve"> including the payment terms</w:t>
      </w:r>
      <w:r w:rsidR="00C070A3">
        <w:t>.</w:t>
      </w:r>
    </w:p>
    <w:p w14:paraId="791B865B" w14:textId="5005A220" w:rsidR="006C1631" w:rsidRDefault="006C1631" w:rsidP="006C1631">
      <w:pPr>
        <w:pStyle w:val="Heading1"/>
      </w:pPr>
      <w:bookmarkStart w:id="107" w:name="_Toc45112216"/>
      <w:r>
        <w:t>Invitation to comment</w:t>
      </w:r>
      <w:bookmarkEnd w:id="107"/>
    </w:p>
    <w:p w14:paraId="2FFE560F" w14:textId="77777777" w:rsidR="006C1631" w:rsidRDefault="006C1631" w:rsidP="006C1631">
      <w:pPr>
        <w:pStyle w:val="Heading2"/>
      </w:pPr>
      <w:bookmarkStart w:id="108" w:name="_Toc433122131"/>
      <w:bookmarkStart w:id="109" w:name="_Toc348105637"/>
      <w:bookmarkStart w:id="110" w:name="_Toc300909556"/>
      <w:bookmarkStart w:id="111" w:name="_Toc298924673"/>
      <w:bookmarkStart w:id="112" w:name="_Toc45112217"/>
      <w:bookmarkStart w:id="113" w:name="_Toc348105638"/>
      <w:bookmarkStart w:id="114" w:name="_Toc300909557"/>
      <w:bookmarkStart w:id="115" w:name="_Toc298924674"/>
      <w:bookmarkStart w:id="116" w:name="_Toc274296357"/>
      <w:r>
        <w:t>Making a submission</w:t>
      </w:r>
      <w:bookmarkEnd w:id="108"/>
      <w:bookmarkEnd w:id="109"/>
      <w:bookmarkEnd w:id="110"/>
      <w:bookmarkEnd w:id="111"/>
      <w:bookmarkEnd w:id="112"/>
    </w:p>
    <w:p w14:paraId="4B3840CF" w14:textId="5806BB8D" w:rsidR="006C1631" w:rsidRDefault="00BB53E9" w:rsidP="006C1631">
      <w:r>
        <w:t>We invite</w:t>
      </w:r>
      <w:r w:rsidR="006C1631">
        <w:t xml:space="preserve"> comments on the issues set out in this </w:t>
      </w:r>
      <w:r w:rsidR="005D136B">
        <w:t xml:space="preserve">consultation </w:t>
      </w:r>
      <w:r w:rsidR="006C1631">
        <w:t xml:space="preserve">paper. </w:t>
      </w:r>
    </w:p>
    <w:p w14:paraId="481B2A5A" w14:textId="259171D4" w:rsidR="0070133D" w:rsidRDefault="00C6611B" w:rsidP="0070133D">
      <w:pPr>
        <w:pStyle w:val="Bulletlevel1"/>
      </w:pPr>
      <w:hyperlink r:id="rId62" w:history="1">
        <w:r w:rsidR="0070133D">
          <w:rPr>
            <w:rStyle w:val="Hyperlink"/>
          </w:rPr>
          <w:t>Online submissions</w:t>
        </w:r>
      </w:hyperlink>
      <w:r w:rsidR="0070133D">
        <w:t xml:space="preserve"> can be made by </w:t>
      </w:r>
      <w:r w:rsidR="0070133D" w:rsidRPr="0070133D">
        <w:t>uploading</w:t>
      </w:r>
      <w:r w:rsidR="0070133D">
        <w:t xml:space="preserve"> a document. Submissions in</w:t>
      </w:r>
      <w:r w:rsidR="00396DC2">
        <w:t xml:space="preserve"> PDF</w:t>
      </w:r>
      <w:r w:rsidR="00F869CB">
        <w:t xml:space="preserve"> or </w:t>
      </w:r>
      <w:r w:rsidR="0070133D">
        <w:t>Microsoft Word are preferred.</w:t>
      </w:r>
    </w:p>
    <w:p w14:paraId="5534A0C7" w14:textId="77777777" w:rsidR="006C1631" w:rsidRDefault="006C1631" w:rsidP="0070133D">
      <w:pPr>
        <w:pStyle w:val="Bulletlevel1"/>
      </w:pPr>
      <w:r>
        <w:t xml:space="preserve">Submissions by post can be sent to: </w:t>
      </w:r>
    </w:p>
    <w:p w14:paraId="5F08C337" w14:textId="77777777" w:rsidR="006C1631" w:rsidRPr="00E30AA7" w:rsidRDefault="006C1631" w:rsidP="006C1631">
      <w:pPr>
        <w:tabs>
          <w:tab w:val="num" w:pos="295"/>
        </w:tabs>
        <w:spacing w:after="0"/>
        <w:ind w:left="295"/>
        <w:rPr>
          <w:szCs w:val="20"/>
        </w:rPr>
      </w:pPr>
      <w:r w:rsidRPr="00E30AA7">
        <w:rPr>
          <w:szCs w:val="20"/>
        </w:rPr>
        <w:t>The Manager</w:t>
      </w:r>
    </w:p>
    <w:p w14:paraId="6E35F569" w14:textId="5BC32D99" w:rsidR="006C1631" w:rsidRPr="00E30AA7" w:rsidRDefault="00394C89" w:rsidP="006C1631">
      <w:pPr>
        <w:spacing w:after="0"/>
        <w:ind w:left="295"/>
        <w:rPr>
          <w:szCs w:val="20"/>
        </w:rPr>
      </w:pPr>
      <w:r w:rsidRPr="00E30AA7">
        <w:rPr>
          <w:szCs w:val="20"/>
        </w:rPr>
        <w:t>Major Spectrum</w:t>
      </w:r>
      <w:r w:rsidR="00E30AA7" w:rsidRPr="00E30AA7">
        <w:rPr>
          <w:szCs w:val="20"/>
        </w:rPr>
        <w:t xml:space="preserve"> Allocations Section</w:t>
      </w:r>
    </w:p>
    <w:p w14:paraId="2714B495" w14:textId="77777777" w:rsidR="006C1631" w:rsidRPr="00E30AA7" w:rsidRDefault="006C1631" w:rsidP="006C1631">
      <w:pPr>
        <w:spacing w:after="0"/>
        <w:ind w:left="295"/>
        <w:rPr>
          <w:szCs w:val="20"/>
        </w:rPr>
      </w:pPr>
      <w:r w:rsidRPr="00E30AA7">
        <w:rPr>
          <w:szCs w:val="20"/>
        </w:rPr>
        <w:t>Australian Communications and Media Authority</w:t>
      </w:r>
    </w:p>
    <w:p w14:paraId="60608048" w14:textId="77777777" w:rsidR="006C1631" w:rsidRPr="00E30AA7" w:rsidRDefault="006C1631" w:rsidP="006C1631">
      <w:pPr>
        <w:spacing w:after="0"/>
        <w:ind w:left="295"/>
        <w:rPr>
          <w:szCs w:val="20"/>
        </w:rPr>
      </w:pPr>
      <w:r w:rsidRPr="00E30AA7">
        <w:rPr>
          <w:szCs w:val="20"/>
        </w:rPr>
        <w:t>PO Box 78</w:t>
      </w:r>
    </w:p>
    <w:p w14:paraId="71264749" w14:textId="77777777" w:rsidR="006C1631" w:rsidRDefault="006C1631" w:rsidP="006C1631">
      <w:pPr>
        <w:ind w:left="295"/>
        <w:rPr>
          <w:szCs w:val="20"/>
        </w:rPr>
      </w:pPr>
      <w:r w:rsidRPr="00E30AA7">
        <w:rPr>
          <w:szCs w:val="20"/>
        </w:rPr>
        <w:t>Belconnen ACT 2616</w:t>
      </w:r>
    </w:p>
    <w:p w14:paraId="6489A265" w14:textId="22E1BA55" w:rsidR="006C1631" w:rsidRPr="00E30AA7" w:rsidRDefault="006C1631" w:rsidP="006C1631">
      <w:pPr>
        <w:rPr>
          <w:b/>
          <w:bCs/>
        </w:rPr>
      </w:pPr>
      <w:r w:rsidRPr="00E30AA7">
        <w:rPr>
          <w:b/>
          <w:bCs/>
        </w:rPr>
        <w:t xml:space="preserve">The closing date for submissions is COB, </w:t>
      </w:r>
      <w:r w:rsidR="00A37B2A">
        <w:rPr>
          <w:b/>
          <w:bCs/>
        </w:rPr>
        <w:t>Monday 10 August</w:t>
      </w:r>
      <w:r w:rsidRPr="00A15A9F">
        <w:rPr>
          <w:b/>
          <w:bCs/>
        </w:rPr>
        <w:t xml:space="preserve"> 20</w:t>
      </w:r>
      <w:r w:rsidR="00E30AA7" w:rsidRPr="00A15A9F">
        <w:rPr>
          <w:b/>
          <w:bCs/>
        </w:rPr>
        <w:t>20</w:t>
      </w:r>
      <w:r w:rsidRPr="00E30AA7">
        <w:rPr>
          <w:b/>
          <w:bCs/>
        </w:rPr>
        <w:t>.</w:t>
      </w:r>
    </w:p>
    <w:p w14:paraId="0F27E5AB" w14:textId="77DAC039" w:rsidR="006C1631" w:rsidRDefault="006C1631" w:rsidP="006C1631">
      <w:pPr>
        <w:rPr>
          <w:szCs w:val="20"/>
        </w:rPr>
      </w:pPr>
      <w:r>
        <w:t xml:space="preserve">Consultation enquiries can be emailed </w:t>
      </w:r>
      <w:r>
        <w:rPr>
          <w:szCs w:val="20"/>
        </w:rPr>
        <w:t xml:space="preserve">to </w:t>
      </w:r>
      <w:hyperlink r:id="rId63" w:history="1">
        <w:r w:rsidR="00E7582E" w:rsidRPr="00E30AA7">
          <w:rPr>
            <w:rStyle w:val="Hyperlink"/>
            <w:szCs w:val="20"/>
          </w:rPr>
          <w:t>spectrumallocations@acma.gov.au</w:t>
        </w:r>
      </w:hyperlink>
      <w:r w:rsidRPr="00E30AA7">
        <w:rPr>
          <w:szCs w:val="20"/>
        </w:rPr>
        <w:t>.</w:t>
      </w:r>
    </w:p>
    <w:p w14:paraId="08A296F5" w14:textId="77777777" w:rsidR="006C1631" w:rsidRDefault="006C1631" w:rsidP="004E6F93">
      <w:pPr>
        <w:pStyle w:val="Heading3"/>
      </w:pPr>
      <w:bookmarkStart w:id="117" w:name="_Toc348105639"/>
      <w:bookmarkStart w:id="118" w:name="_Toc300909558"/>
      <w:bookmarkEnd w:id="113"/>
      <w:bookmarkEnd w:id="114"/>
      <w:r>
        <w:t xml:space="preserve">Publication of </w:t>
      </w:r>
      <w:r w:rsidRPr="005B2F0D">
        <w:t>submissions</w:t>
      </w:r>
      <w:bookmarkEnd w:id="115"/>
      <w:bookmarkEnd w:id="116"/>
      <w:bookmarkEnd w:id="117"/>
      <w:bookmarkEnd w:id="118"/>
    </w:p>
    <w:p w14:paraId="6085F391" w14:textId="3D040F3F" w:rsidR="006C1631" w:rsidRDefault="00BB53E9" w:rsidP="006C1631">
      <w:bookmarkStart w:id="119" w:name="_Toc348105640"/>
      <w:bookmarkStart w:id="120" w:name="_Toc300909559"/>
      <w:bookmarkStart w:id="121" w:name="_Toc265246234"/>
      <w:r>
        <w:t>We publish</w:t>
      </w:r>
      <w:r w:rsidR="006C1631">
        <w:t xml:space="preserve"> submissions on our website</w:t>
      </w:r>
      <w:r w:rsidR="006C1631">
        <w:rPr>
          <w:rFonts w:cs="Arial"/>
        </w:rPr>
        <w:t>, including personal information (such as names and contact details)</w:t>
      </w:r>
      <w:r w:rsidR="006C1631">
        <w:t xml:space="preserve">, except for information that you have claimed (and we have accepted) is confidential. </w:t>
      </w:r>
    </w:p>
    <w:p w14:paraId="0DDDF538" w14:textId="77777777" w:rsidR="006C1631" w:rsidRDefault="006C1631" w:rsidP="006C1631">
      <w:r>
        <w:t>Confidential information will not be published or otherwise released unless required or authorised by law.</w:t>
      </w:r>
    </w:p>
    <w:p w14:paraId="17151C45" w14:textId="77777777" w:rsidR="006C1631" w:rsidRDefault="006C1631" w:rsidP="004E6F93">
      <w:pPr>
        <w:pStyle w:val="Heading3"/>
      </w:pPr>
      <w:r>
        <w:t>Privacy</w:t>
      </w:r>
    </w:p>
    <w:p w14:paraId="1FEA3C04" w14:textId="77777777" w:rsidR="006C1631" w:rsidRDefault="00E21056" w:rsidP="005B2F0D">
      <w:pPr>
        <w:pStyle w:val="Paragraph"/>
      </w:pPr>
      <w:r>
        <w:t>View</w:t>
      </w:r>
      <w:r w:rsidR="006C1631">
        <w:t xml:space="preserve"> information about </w:t>
      </w:r>
      <w:r>
        <w:t xml:space="preserve">our policy on the </w:t>
      </w:r>
      <w:hyperlink r:id="rId64" w:history="1">
        <w:r>
          <w:rPr>
            <w:rStyle w:val="Hyperlink"/>
          </w:rPr>
          <w:t>p</w:t>
        </w:r>
        <w:r w:rsidRPr="00E21056">
          <w:rPr>
            <w:rStyle w:val="Hyperlink"/>
          </w:rPr>
          <w:t>ublication of submissions</w:t>
        </w:r>
      </w:hyperlink>
      <w:r>
        <w:t xml:space="preserve">, including </w:t>
      </w:r>
      <w:r w:rsidR="006C1631">
        <w:t>collection of personal information during consultation and how we handle that information</w:t>
      </w:r>
      <w:r>
        <w:t>.</w:t>
      </w:r>
    </w:p>
    <w:bookmarkEnd w:id="119"/>
    <w:bookmarkEnd w:id="120"/>
    <w:bookmarkEnd w:id="121"/>
    <w:p w14:paraId="780D1AB9" w14:textId="77777777" w:rsidR="00A4193E" w:rsidRPr="0041233F" w:rsidRDefault="006C1631" w:rsidP="005B2F0D">
      <w:pPr>
        <w:pStyle w:val="Paragraph"/>
      </w:pPr>
      <w:r>
        <w:t xml:space="preserve">Information on the </w:t>
      </w:r>
      <w:r>
        <w:rPr>
          <w:i/>
        </w:rPr>
        <w:t>Privacy Act 1988</w:t>
      </w:r>
      <w:r w:rsidR="006A4CCA">
        <w:rPr>
          <w:i/>
        </w:rPr>
        <w:t xml:space="preserve">, </w:t>
      </w:r>
      <w:r>
        <w:t>how to access or correct personal information, how to make a privacy complaint and how we will deal with the complaint</w:t>
      </w:r>
      <w:r w:rsidR="00BB6335">
        <w:t>,</w:t>
      </w:r>
      <w:r w:rsidR="00CF0BFE">
        <w:t xml:space="preserve"> </w:t>
      </w:r>
      <w:r>
        <w:t xml:space="preserve">is available </w:t>
      </w:r>
      <w:r w:rsidR="00E21056">
        <w:t xml:space="preserve">in our </w:t>
      </w:r>
      <w:hyperlink r:id="rId65" w:history="1">
        <w:r w:rsidR="00E21056" w:rsidRPr="00E21056">
          <w:rPr>
            <w:rStyle w:val="Hyperlink"/>
          </w:rPr>
          <w:t>privacy policy</w:t>
        </w:r>
      </w:hyperlink>
      <w:r>
        <w:t>.</w:t>
      </w:r>
      <w:r w:rsidR="00A4193E">
        <w:t xml:space="preserve"> </w:t>
      </w:r>
    </w:p>
    <w:p w14:paraId="59B0C344" w14:textId="1262ABB5" w:rsidR="00FF3C69" w:rsidRDefault="00FF3C69" w:rsidP="00851F3F"/>
    <w:sectPr w:rsidR="00FF3C69" w:rsidSect="00401614">
      <w:headerReference w:type="even" r:id="rId66"/>
      <w:headerReference w:type="default" r:id="rId67"/>
      <w:footerReference w:type="even" r:id="rId68"/>
      <w:footerReference w:type="default" r:id="rId69"/>
      <w:type w:val="continuous"/>
      <w:pgSz w:w="11906" w:h="16838" w:code="9"/>
      <w:pgMar w:top="1945" w:right="3101" w:bottom="1134" w:left="1134" w:header="709" w:footer="119"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6B3343E" w14:textId="77777777" w:rsidR="00C17A9C" w:rsidRDefault="00C17A9C">
      <w:r>
        <w:separator/>
      </w:r>
    </w:p>
  </w:endnote>
  <w:endnote w:type="continuationSeparator" w:id="0">
    <w:p w14:paraId="5650D812" w14:textId="77777777" w:rsidR="00C17A9C" w:rsidRDefault="00C17A9C">
      <w:r>
        <w:continuationSeparator/>
      </w:r>
    </w:p>
  </w:endnote>
  <w:endnote w:type="continuationNotice" w:id="1">
    <w:p w14:paraId="5C35A681" w14:textId="77777777" w:rsidR="00C17A9C" w:rsidRDefault="00C17A9C">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HelveticaNeueLT Std Lt">
    <w:altName w:val="Arial"/>
    <w:panose1 w:val="020B0403020202020204"/>
    <w:charset w:val="00"/>
    <w:family w:val="swiss"/>
    <w:notTrueType/>
    <w:pitch w:val="variable"/>
    <w:sig w:usb0="800000AF" w:usb1="4000204A" w:usb2="00000000" w:usb3="00000000" w:csb0="0000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NeueLT Std">
    <w:altName w:val="Arial"/>
    <w:panose1 w:val="020B0604020202020204"/>
    <w:charset w:val="00"/>
    <w:family w:val="swiss"/>
    <w:notTrueType/>
    <w:pitch w:val="variable"/>
    <w:sig w:usb0="800000AF" w:usb1="4000204A" w:usb2="00000000" w:usb3="00000000" w:csb0="00000001" w:csb1="00000000"/>
  </w:font>
  <w:font w:name="Vrinda">
    <w:panose1 w:val="00000400000000000000"/>
    <w:charset w:val="00"/>
    <w:family w:val="swiss"/>
    <w:pitch w:val="variable"/>
    <w:sig w:usb0="00010003" w:usb1="00000000" w:usb2="00000000" w:usb3="00000000" w:csb0="00000001" w:csb1="00000000"/>
  </w:font>
  <w:font w:name="Arial">
    <w:panose1 w:val="020B0604020202020204"/>
    <w:charset w:val="00"/>
    <w:family w:val="swiss"/>
    <w:pitch w:val="variable"/>
    <w:sig w:usb0="E0002EFF" w:usb1="C0007843" w:usb2="00000009" w:usb3="00000000" w:csb0="000001FF" w:csb1="00000000"/>
  </w:font>
  <w:font w:name="Segoe UI">
    <w:panose1 w:val="020B0502040204020203"/>
    <w:charset w:val="00"/>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3FAD025" w14:textId="77777777" w:rsidR="00C17A9C" w:rsidRDefault="00C17A9C" w:rsidP="005E250B">
    <w:pPr>
      <w:pStyle w:val="Footer"/>
      <w:jc w:val="right"/>
    </w:pPr>
    <w:r w:rsidRPr="005E250B">
      <w:rPr>
        <w:noProof/>
        <w:vertAlign w:val="subscript"/>
      </w:rPr>
      <w:drawing>
        <wp:inline distT="0" distB="0" distL="0" distR="0" wp14:anchorId="15515529" wp14:editId="059CFEAE">
          <wp:extent cx="1066800" cy="277368"/>
          <wp:effectExtent l="0" t="0" r="0" b="0"/>
          <wp:docPr id="15" name="Picture 15" descr="acma.gov.au">
            <a:hlinkClick xmlns:a="http://schemas.openxmlformats.org/drawingml/2006/main" r:id="rId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acma.gov.au">
                    <a:hlinkClick r:id="rId1"/>
                  </pic:cNvPr>
                  <pic:cNvPicPr/>
                </pic:nvPicPr>
                <pic:blipFill>
                  <a:blip r:embed="rId2"/>
                  <a:stretch>
                    <a:fillRect/>
                  </a:stretch>
                </pic:blipFill>
                <pic:spPr>
                  <a:xfrm>
                    <a:off x="0" y="0"/>
                    <a:ext cx="1133985" cy="294836"/>
                  </a:xfrm>
                  <a:prstGeom prst="rect">
                    <a:avLst/>
                  </a:prstGeom>
                </pic:spPr>
              </pic:pic>
            </a:graphicData>
          </a:graphic>
        </wp:inline>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984388F" w14:textId="77777777" w:rsidR="00C17A9C" w:rsidRDefault="00C17A9C">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A11C868" w14:textId="77777777" w:rsidR="00C17A9C" w:rsidRDefault="00C17A9C">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A17307A" w14:textId="77777777" w:rsidR="00C17A9C" w:rsidRPr="00622A3B" w:rsidRDefault="00C17A9C" w:rsidP="00971914">
    <w:pPr>
      <w:pStyle w:val="Footer"/>
      <w:framePr w:w="1334" w:h="357" w:hRule="exact" w:vSpace="425" w:wrap="around" w:vAnchor="page" w:hAnchor="page" w:x="1156" w:y="16166"/>
      <w:pBdr>
        <w:top w:val="single" w:sz="4" w:space="1" w:color="auto"/>
      </w:pBdr>
      <w:tabs>
        <w:tab w:val="clear" w:pos="113"/>
        <w:tab w:val="left" w:pos="284"/>
      </w:tabs>
      <w:rPr>
        <w:rFonts w:cs="Arial"/>
      </w:rPr>
    </w:pPr>
    <w:r w:rsidRPr="00622A3B">
      <w:rPr>
        <w:rFonts w:cs="Arial"/>
        <w:b/>
        <w:noProof/>
        <w:spacing w:val="-16"/>
        <w:sz w:val="20"/>
        <w:szCs w:val="20"/>
      </w:rPr>
      <w:t>a</w:t>
    </w:r>
    <w:r w:rsidRPr="00622A3B">
      <w:rPr>
        <w:rFonts w:cs="Arial"/>
        <w:b/>
        <w:noProof/>
        <w:spacing w:val="-15"/>
        <w:sz w:val="20"/>
        <w:szCs w:val="20"/>
      </w:rPr>
      <w:t>c</w:t>
    </w:r>
    <w:r w:rsidRPr="00622A3B">
      <w:rPr>
        <w:rFonts w:cs="Arial"/>
        <w:b/>
        <w:noProof/>
        <w:spacing w:val="-16"/>
        <w:sz w:val="20"/>
        <w:szCs w:val="20"/>
      </w:rPr>
      <w:t>m</w:t>
    </w:r>
    <w:r w:rsidRPr="00622A3B">
      <w:rPr>
        <w:rFonts w:cs="Arial"/>
        <w:b/>
        <w:noProof/>
        <w:spacing w:val="-14"/>
        <w:sz w:val="20"/>
        <w:szCs w:val="20"/>
      </w:rPr>
      <w:t>a</w:t>
    </w:r>
    <w:r w:rsidRPr="0094078F">
      <w:rPr>
        <w:rFonts w:cs="Arial"/>
      </w:rPr>
      <w:tab/>
    </w:r>
    <w:r>
      <w:rPr>
        <w:rFonts w:cs="Arial"/>
      </w:rPr>
      <w:t xml:space="preserve"> </w:t>
    </w:r>
    <w:r w:rsidRPr="00622A3B">
      <w:rPr>
        <w:rFonts w:cs="Arial"/>
      </w:rPr>
      <w:t>|</w:t>
    </w:r>
    <w:r>
      <w:tab/>
    </w:r>
    <w:r w:rsidRPr="002E4DDC">
      <w:rPr>
        <w:color w:val="505050"/>
      </w:rPr>
      <w:fldChar w:fldCharType="begin"/>
    </w:r>
    <w:r w:rsidRPr="002E4DDC">
      <w:rPr>
        <w:color w:val="505050"/>
      </w:rPr>
      <w:instrText xml:space="preserve"> PAGE  \* roman  \* MERGEFORMAT </w:instrText>
    </w:r>
    <w:r w:rsidRPr="002E4DDC">
      <w:rPr>
        <w:color w:val="505050"/>
      </w:rPr>
      <w:fldChar w:fldCharType="separate"/>
    </w:r>
    <w:r>
      <w:rPr>
        <w:noProof/>
        <w:color w:val="505050"/>
      </w:rPr>
      <w:t>iv</w:t>
    </w:r>
    <w:r w:rsidRPr="002E4DDC">
      <w:rPr>
        <w:color w:val="505050"/>
      </w:rPr>
      <w:fldChar w:fldCharType="end"/>
    </w:r>
  </w:p>
  <w:p w14:paraId="66ABA14B" w14:textId="77777777" w:rsidR="00C17A9C" w:rsidRPr="00A5474E" w:rsidRDefault="00C17A9C" w:rsidP="00A5474E">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A9C01D9" w14:textId="77777777" w:rsidR="00C17A9C" w:rsidRPr="00622A3B" w:rsidRDefault="00C17A9C" w:rsidP="00971914">
    <w:pPr>
      <w:pStyle w:val="Footer"/>
      <w:framePr w:w="1334" w:h="357" w:hRule="exact" w:vSpace="425" w:wrap="around" w:vAnchor="page" w:hAnchor="page" w:x="7335" w:y="16166"/>
      <w:pBdr>
        <w:top w:val="single" w:sz="4" w:space="1" w:color="auto"/>
      </w:pBdr>
      <w:tabs>
        <w:tab w:val="clear" w:pos="113"/>
        <w:tab w:val="left" w:pos="284"/>
      </w:tabs>
      <w:jc w:val="right"/>
      <w:rPr>
        <w:rFonts w:cs="Arial"/>
      </w:rPr>
    </w:pPr>
    <w:r w:rsidRPr="00622A3B">
      <w:rPr>
        <w:rFonts w:cs="Arial"/>
        <w:b/>
        <w:noProof/>
        <w:spacing w:val="-16"/>
        <w:sz w:val="20"/>
        <w:szCs w:val="20"/>
      </w:rPr>
      <w:t>a</w:t>
    </w:r>
    <w:r w:rsidRPr="00622A3B">
      <w:rPr>
        <w:rFonts w:cs="Arial"/>
        <w:b/>
        <w:noProof/>
        <w:spacing w:val="-15"/>
        <w:sz w:val="20"/>
        <w:szCs w:val="20"/>
      </w:rPr>
      <w:t>c</w:t>
    </w:r>
    <w:r w:rsidRPr="00622A3B">
      <w:rPr>
        <w:rFonts w:cs="Arial"/>
        <w:b/>
        <w:noProof/>
        <w:spacing w:val="-16"/>
        <w:sz w:val="20"/>
        <w:szCs w:val="20"/>
      </w:rPr>
      <w:t>m</w:t>
    </w:r>
    <w:r w:rsidRPr="00622A3B">
      <w:rPr>
        <w:rFonts w:cs="Arial"/>
        <w:b/>
        <w:noProof/>
        <w:spacing w:val="-14"/>
        <w:sz w:val="20"/>
        <w:szCs w:val="20"/>
      </w:rPr>
      <w:t>a</w:t>
    </w:r>
    <w:r w:rsidRPr="0094078F">
      <w:rPr>
        <w:rFonts w:cs="Arial"/>
      </w:rPr>
      <w:tab/>
    </w:r>
    <w:r>
      <w:rPr>
        <w:rFonts w:cs="Arial"/>
      </w:rPr>
      <w:t xml:space="preserve"> </w:t>
    </w:r>
    <w:r w:rsidRPr="00622A3B">
      <w:rPr>
        <w:rFonts w:cs="Arial"/>
      </w:rPr>
      <w:t>|</w:t>
    </w:r>
    <w:r>
      <w:tab/>
    </w:r>
    <w:r w:rsidRPr="002E4DDC">
      <w:rPr>
        <w:color w:val="505050"/>
      </w:rPr>
      <w:fldChar w:fldCharType="begin"/>
    </w:r>
    <w:r w:rsidRPr="002E4DDC">
      <w:rPr>
        <w:color w:val="505050"/>
      </w:rPr>
      <w:instrText xml:space="preserve"> PAGE  \* roman  \* MERGEFORMAT </w:instrText>
    </w:r>
    <w:r w:rsidRPr="002E4DDC">
      <w:rPr>
        <w:color w:val="505050"/>
      </w:rPr>
      <w:fldChar w:fldCharType="separate"/>
    </w:r>
    <w:r>
      <w:rPr>
        <w:noProof/>
        <w:color w:val="505050"/>
      </w:rPr>
      <w:t>v</w:t>
    </w:r>
    <w:r w:rsidRPr="002E4DDC">
      <w:rPr>
        <w:color w:val="505050"/>
      </w:rPr>
      <w:fldChar w:fldCharType="end"/>
    </w:r>
  </w:p>
  <w:p w14:paraId="4DFFD140" w14:textId="77777777" w:rsidR="00C17A9C" w:rsidRPr="00A5474E" w:rsidRDefault="00C17A9C" w:rsidP="00A5474E">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1BAE34D" w14:textId="77777777" w:rsidR="00C17A9C" w:rsidRPr="00622A3B" w:rsidRDefault="00C17A9C" w:rsidP="0094078F">
    <w:pPr>
      <w:pStyle w:val="Footer"/>
      <w:framePr w:w="1334" w:h="357" w:hRule="exact" w:vSpace="425" w:wrap="around" w:vAnchor="page" w:hAnchor="page" w:x="7335" w:y="16166"/>
      <w:pBdr>
        <w:top w:val="single" w:sz="4" w:space="1" w:color="auto"/>
      </w:pBdr>
      <w:tabs>
        <w:tab w:val="clear" w:pos="113"/>
        <w:tab w:val="left" w:pos="284"/>
      </w:tabs>
      <w:jc w:val="right"/>
      <w:rPr>
        <w:rFonts w:cs="Arial"/>
      </w:rPr>
    </w:pPr>
    <w:r w:rsidRPr="00622A3B">
      <w:rPr>
        <w:rFonts w:cs="Arial"/>
        <w:b/>
        <w:noProof/>
        <w:spacing w:val="-16"/>
        <w:sz w:val="20"/>
        <w:szCs w:val="20"/>
      </w:rPr>
      <w:t>a</w:t>
    </w:r>
    <w:r w:rsidRPr="00622A3B">
      <w:rPr>
        <w:rFonts w:cs="Arial"/>
        <w:b/>
        <w:noProof/>
        <w:spacing w:val="-15"/>
        <w:sz w:val="20"/>
        <w:szCs w:val="20"/>
      </w:rPr>
      <w:t>c</w:t>
    </w:r>
    <w:r w:rsidRPr="00622A3B">
      <w:rPr>
        <w:rFonts w:cs="Arial"/>
        <w:b/>
        <w:noProof/>
        <w:spacing w:val="-16"/>
        <w:sz w:val="20"/>
        <w:szCs w:val="20"/>
      </w:rPr>
      <w:t>m</w:t>
    </w:r>
    <w:r w:rsidRPr="00622A3B">
      <w:rPr>
        <w:rFonts w:cs="Arial"/>
        <w:b/>
        <w:noProof/>
        <w:spacing w:val="-14"/>
        <w:sz w:val="20"/>
        <w:szCs w:val="20"/>
      </w:rPr>
      <w:t>a</w:t>
    </w:r>
    <w:r w:rsidRPr="0094078F">
      <w:rPr>
        <w:rFonts w:cs="Arial"/>
      </w:rPr>
      <w:tab/>
    </w:r>
    <w:r>
      <w:rPr>
        <w:rFonts w:cs="Arial"/>
      </w:rPr>
      <w:t xml:space="preserve"> </w:t>
    </w:r>
    <w:r w:rsidRPr="00622A3B">
      <w:rPr>
        <w:rFonts w:cs="Arial"/>
      </w:rPr>
      <w:t>|</w:t>
    </w:r>
    <w:r>
      <w:tab/>
    </w:r>
    <w:r w:rsidRPr="002E4DDC">
      <w:rPr>
        <w:color w:val="505050"/>
      </w:rPr>
      <w:fldChar w:fldCharType="begin"/>
    </w:r>
    <w:r w:rsidRPr="002E4DDC">
      <w:rPr>
        <w:color w:val="505050"/>
      </w:rPr>
      <w:instrText xml:space="preserve"> PAGE  \* roman  \* MERGEFORMAT </w:instrText>
    </w:r>
    <w:r w:rsidRPr="002E4DDC">
      <w:rPr>
        <w:color w:val="505050"/>
      </w:rPr>
      <w:fldChar w:fldCharType="separate"/>
    </w:r>
    <w:r>
      <w:rPr>
        <w:noProof/>
        <w:color w:val="505050"/>
      </w:rPr>
      <w:t>iii</w:t>
    </w:r>
    <w:r w:rsidRPr="002E4DDC">
      <w:rPr>
        <w:color w:val="505050"/>
      </w:rPr>
      <w:fldChar w:fldCharType="end"/>
    </w:r>
  </w:p>
  <w:p w14:paraId="09AEEA40" w14:textId="77777777" w:rsidR="00C17A9C" w:rsidRPr="00A5474E" w:rsidRDefault="00C17A9C" w:rsidP="00A5474E">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AA50D3A" w14:textId="77777777" w:rsidR="00C17A9C" w:rsidRPr="00622A3B" w:rsidRDefault="00C17A9C" w:rsidP="00C97682">
    <w:pPr>
      <w:pStyle w:val="FooterLeft"/>
      <w:framePr w:wrap="around" w:x="1141" w:y="16166"/>
      <w:tabs>
        <w:tab w:val="clear" w:pos="113"/>
        <w:tab w:val="right" w:pos="397"/>
      </w:tabs>
    </w:pPr>
    <w:r w:rsidRPr="00575AC5">
      <w:fldChar w:fldCharType="begin"/>
    </w:r>
    <w:r w:rsidRPr="00575AC5">
      <w:instrText xml:space="preserve"> PAGE  \* Arabic  \* MERGEFORMAT </w:instrText>
    </w:r>
    <w:r w:rsidRPr="00575AC5">
      <w:fldChar w:fldCharType="separate"/>
    </w:r>
    <w:r>
      <w:t>2</w:t>
    </w:r>
    <w:r w:rsidRPr="00575AC5">
      <w:fldChar w:fldCharType="end"/>
    </w:r>
    <w:r w:rsidRPr="0094078F">
      <w:tab/>
    </w:r>
    <w:r w:rsidRPr="00622A3B">
      <w:t>|</w:t>
    </w:r>
    <w:r>
      <w:tab/>
    </w:r>
    <w:r w:rsidRPr="00622A3B">
      <w:rPr>
        <w:b/>
        <w:noProof/>
        <w:spacing w:val="-16"/>
        <w:sz w:val="20"/>
        <w:szCs w:val="20"/>
      </w:rPr>
      <w:t>a</w:t>
    </w:r>
    <w:r w:rsidRPr="00622A3B">
      <w:rPr>
        <w:b/>
        <w:noProof/>
        <w:spacing w:val="-15"/>
        <w:sz w:val="20"/>
        <w:szCs w:val="20"/>
      </w:rPr>
      <w:t>c</w:t>
    </w:r>
    <w:r w:rsidRPr="00622A3B">
      <w:rPr>
        <w:b/>
        <w:noProof/>
        <w:spacing w:val="-16"/>
        <w:sz w:val="20"/>
        <w:szCs w:val="20"/>
      </w:rPr>
      <w:t>m</w:t>
    </w:r>
    <w:r w:rsidRPr="00622A3B">
      <w:rPr>
        <w:b/>
        <w:noProof/>
        <w:spacing w:val="-14"/>
        <w:sz w:val="20"/>
        <w:szCs w:val="20"/>
      </w:rPr>
      <w:t>a</w:t>
    </w:r>
  </w:p>
  <w:p w14:paraId="2459E4A3" w14:textId="77777777" w:rsidR="00C17A9C" w:rsidRPr="00A5474E" w:rsidRDefault="00C17A9C" w:rsidP="00A5474E">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845A6FA" w14:textId="77777777" w:rsidR="00C17A9C" w:rsidRPr="00622A3B" w:rsidRDefault="00C17A9C" w:rsidP="00447037">
    <w:pPr>
      <w:pStyle w:val="Footer"/>
      <w:framePr w:w="1440" w:h="357" w:hRule="exact" w:vSpace="425" w:wrap="around" w:vAnchor="page" w:hAnchor="page" w:x="7335" w:y="16166"/>
      <w:pBdr>
        <w:top w:val="single" w:sz="4" w:space="1" w:color="auto"/>
      </w:pBdr>
      <w:tabs>
        <w:tab w:val="clear" w:pos="113"/>
        <w:tab w:val="left" w:pos="397"/>
      </w:tabs>
      <w:jc w:val="right"/>
      <w:rPr>
        <w:rFonts w:cs="Arial"/>
      </w:rPr>
    </w:pPr>
    <w:r w:rsidRPr="00622A3B">
      <w:rPr>
        <w:rFonts w:cs="Arial"/>
        <w:b/>
        <w:noProof/>
        <w:spacing w:val="-16"/>
        <w:sz w:val="20"/>
        <w:szCs w:val="20"/>
      </w:rPr>
      <w:t>a</w:t>
    </w:r>
    <w:r w:rsidRPr="00622A3B">
      <w:rPr>
        <w:rFonts w:cs="Arial"/>
        <w:b/>
        <w:noProof/>
        <w:spacing w:val="-15"/>
        <w:sz w:val="20"/>
        <w:szCs w:val="20"/>
      </w:rPr>
      <w:t>c</w:t>
    </w:r>
    <w:r w:rsidRPr="00622A3B">
      <w:rPr>
        <w:rFonts w:cs="Arial"/>
        <w:b/>
        <w:noProof/>
        <w:spacing w:val="-16"/>
        <w:sz w:val="20"/>
        <w:szCs w:val="20"/>
      </w:rPr>
      <w:t>m</w:t>
    </w:r>
    <w:r w:rsidRPr="00622A3B">
      <w:rPr>
        <w:rFonts w:cs="Arial"/>
        <w:b/>
        <w:noProof/>
        <w:spacing w:val="-14"/>
        <w:sz w:val="20"/>
        <w:szCs w:val="20"/>
      </w:rPr>
      <w:t>a</w:t>
    </w:r>
    <w:r w:rsidRPr="0094078F">
      <w:rPr>
        <w:rFonts w:cs="Arial"/>
      </w:rPr>
      <w:tab/>
    </w:r>
    <w:r>
      <w:rPr>
        <w:rFonts w:cs="Arial"/>
      </w:rPr>
      <w:t xml:space="preserve"> </w:t>
    </w:r>
    <w:r w:rsidRPr="00622A3B">
      <w:rPr>
        <w:rFonts w:cs="Arial"/>
      </w:rPr>
      <w:t>|</w:t>
    </w:r>
    <w:r>
      <w:tab/>
    </w:r>
    <w:r w:rsidRPr="00575AC5">
      <w:rPr>
        <w:color w:val="505050"/>
      </w:rPr>
      <w:fldChar w:fldCharType="begin"/>
    </w:r>
    <w:r w:rsidRPr="00575AC5">
      <w:rPr>
        <w:color w:val="505050"/>
      </w:rPr>
      <w:instrText xml:space="preserve"> PAGE  \* Arabic  \* MERGEFORMAT </w:instrText>
    </w:r>
    <w:r w:rsidRPr="00575AC5">
      <w:rPr>
        <w:color w:val="505050"/>
      </w:rPr>
      <w:fldChar w:fldCharType="separate"/>
    </w:r>
    <w:r>
      <w:rPr>
        <w:noProof/>
        <w:color w:val="505050"/>
      </w:rPr>
      <w:t>1</w:t>
    </w:r>
    <w:r w:rsidRPr="00575AC5">
      <w:rPr>
        <w:color w:val="505050"/>
      </w:rPr>
      <w:fldChar w:fldCharType="end"/>
    </w:r>
  </w:p>
  <w:p w14:paraId="1323882F" w14:textId="77777777" w:rsidR="00C17A9C" w:rsidRPr="00A5474E" w:rsidRDefault="00C17A9C" w:rsidP="00A5474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EEB5E79" w14:textId="77777777" w:rsidR="00C17A9C" w:rsidRDefault="00C17A9C">
      <w:r>
        <w:separator/>
      </w:r>
    </w:p>
  </w:footnote>
  <w:footnote w:type="continuationSeparator" w:id="0">
    <w:p w14:paraId="1E906206" w14:textId="77777777" w:rsidR="00C17A9C" w:rsidRDefault="00C17A9C">
      <w:r>
        <w:continuationSeparator/>
      </w:r>
    </w:p>
  </w:footnote>
  <w:footnote w:type="continuationNotice" w:id="1">
    <w:p w14:paraId="2D68F8D4" w14:textId="77777777" w:rsidR="00C17A9C" w:rsidRDefault="00C17A9C">
      <w:pPr>
        <w:spacing w:after="0" w:line="240" w:lineRule="auto"/>
      </w:pPr>
    </w:p>
  </w:footnote>
  <w:footnote w:id="2">
    <w:p w14:paraId="671123DF" w14:textId="39334CB7" w:rsidR="00C17A9C" w:rsidRDefault="00C17A9C">
      <w:pPr>
        <w:pStyle w:val="FootnoteText"/>
      </w:pPr>
      <w:r>
        <w:rPr>
          <w:rStyle w:val="FootnoteReference"/>
        </w:rPr>
        <w:footnoteRef/>
      </w:r>
      <w:r>
        <w:t xml:space="preserve"> mmWaves span 30 to 300 GHz (that is a wavelength of 1 cm to 1 mm), however, in the current 5G context, the mmWave bands in consideration span from around 24 GHz up to 86 GHz.</w:t>
      </w:r>
    </w:p>
  </w:footnote>
  <w:footnote w:id="3">
    <w:p w14:paraId="3908DAD2" w14:textId="37380177" w:rsidR="00C17A9C" w:rsidRDefault="00C17A9C" w:rsidP="00F03093">
      <w:pPr>
        <w:pStyle w:val="FootnoteText"/>
      </w:pPr>
      <w:r>
        <w:rPr>
          <w:rStyle w:val="FootnoteReference"/>
        </w:rPr>
        <w:footnoteRef/>
      </w:r>
      <w:r>
        <w:t xml:space="preserve"> </w:t>
      </w:r>
      <w:r w:rsidRPr="00FE53C1">
        <w:t>A fallback synchronisation requirement is proposed to be included on 26 GHz band spectrum licences. This means that if interference occurs between frequency or area adjacent devices, and a negotiated solution cannot be reached, then licensees are required to synchronise the operation of their affected devices. In this context, synchronisation refers to aligning transmit and receive frames in a time-division duplex (TDD) configuration to minimise interference risk. The synchronisation configuration to be used is proposed to be included in an administrative instrument.</w:t>
      </w:r>
    </w:p>
  </w:footnote>
  <w:footnote w:id="4">
    <w:p w14:paraId="570BF3FC" w14:textId="2D10A7B2" w:rsidR="00C17A9C" w:rsidRDefault="00C17A9C">
      <w:pPr>
        <w:pStyle w:val="FootnoteText"/>
      </w:pPr>
      <w:r>
        <w:rPr>
          <w:rStyle w:val="FootnoteReference"/>
        </w:rPr>
        <w:footnoteRef/>
      </w:r>
      <w:r>
        <w:t xml:space="preserve"> </w:t>
      </w:r>
      <w:bookmarkStart w:id="19" w:name="_Hlk43195106"/>
      <w:r>
        <w:t xml:space="preserve">Consultation </w:t>
      </w:r>
      <w:r w:rsidRPr="00B74D9E">
        <w:t xml:space="preserve">closes </w:t>
      </w:r>
      <w:r>
        <w:t>10 August 2020</w:t>
      </w:r>
      <w:bookmarkEnd w:id="19"/>
    </w:p>
  </w:footnote>
  <w:footnote w:id="5">
    <w:p w14:paraId="1E119265" w14:textId="328034E8" w:rsidR="00C17A9C" w:rsidRDefault="00C17A9C">
      <w:pPr>
        <w:pStyle w:val="FootnoteText"/>
      </w:pPr>
      <w:r>
        <w:rPr>
          <w:rStyle w:val="FootnoteReference"/>
        </w:rPr>
        <w:footnoteRef/>
      </w:r>
      <w:r>
        <w:t xml:space="preserve"> A number of technical framework instruments are also required. The draft technical framework instruments and associated consultation paper have been published alongside this paper.</w:t>
      </w:r>
    </w:p>
  </w:footnote>
  <w:footnote w:id="6">
    <w:p w14:paraId="732ED0CA" w14:textId="77777777" w:rsidR="00C17A9C" w:rsidRPr="003A7F87" w:rsidRDefault="00C17A9C" w:rsidP="003B1F5E">
      <w:pPr>
        <w:pStyle w:val="FootnoteText"/>
        <w:rPr>
          <w:rFonts w:cs="Arial"/>
        </w:rPr>
      </w:pPr>
      <w:r w:rsidRPr="003A7F87">
        <w:rPr>
          <w:rStyle w:val="FootnoteReference"/>
          <w:rFonts w:cs="Arial"/>
        </w:rPr>
        <w:footnoteRef/>
      </w:r>
      <w:r w:rsidRPr="003A7F87">
        <w:rPr>
          <w:rFonts w:cs="Arial"/>
        </w:rPr>
        <w:t xml:space="preserve"> Subsection 39A</w:t>
      </w:r>
      <w:r>
        <w:rPr>
          <w:rFonts w:cs="Arial"/>
        </w:rPr>
        <w:t>(4) of the Act.</w:t>
      </w:r>
    </w:p>
  </w:footnote>
  <w:footnote w:id="7">
    <w:p w14:paraId="660CC21A" w14:textId="77777777" w:rsidR="00C17A9C" w:rsidRPr="003A7F87" w:rsidRDefault="00C17A9C" w:rsidP="003B1F5E">
      <w:pPr>
        <w:pStyle w:val="FootnoteText"/>
        <w:rPr>
          <w:rFonts w:cs="Arial"/>
        </w:rPr>
      </w:pPr>
      <w:r w:rsidRPr="003A7F87">
        <w:rPr>
          <w:rStyle w:val="FootnoteReference"/>
          <w:rFonts w:cs="Arial"/>
        </w:rPr>
        <w:footnoteRef/>
      </w:r>
      <w:r w:rsidRPr="003A7F87">
        <w:rPr>
          <w:rFonts w:cs="Arial"/>
        </w:rPr>
        <w:t xml:space="preserve"> Subsection 60(2)</w:t>
      </w:r>
      <w:r>
        <w:rPr>
          <w:rFonts w:cs="Arial"/>
        </w:rPr>
        <w:t xml:space="preserve"> of the Act.</w:t>
      </w:r>
    </w:p>
  </w:footnote>
  <w:footnote w:id="8">
    <w:p w14:paraId="127F4EDE" w14:textId="77777777" w:rsidR="00C17A9C" w:rsidRPr="003A7F87" w:rsidRDefault="00C17A9C" w:rsidP="003B1F5E">
      <w:pPr>
        <w:pStyle w:val="FootnoteText"/>
        <w:rPr>
          <w:rFonts w:cs="Arial"/>
        </w:rPr>
      </w:pPr>
      <w:r w:rsidRPr="003A7F87">
        <w:rPr>
          <w:rStyle w:val="FootnoteReference"/>
          <w:rFonts w:cs="Arial"/>
        </w:rPr>
        <w:footnoteRef/>
      </w:r>
      <w:r w:rsidRPr="003A7F87">
        <w:rPr>
          <w:rFonts w:cs="Arial"/>
        </w:rPr>
        <w:t xml:space="preserve"> Subsection 60(5)</w:t>
      </w:r>
      <w:r>
        <w:rPr>
          <w:rFonts w:cs="Arial"/>
        </w:rPr>
        <w:t xml:space="preserve"> of the Act.</w:t>
      </w:r>
    </w:p>
  </w:footnote>
  <w:footnote w:id="9">
    <w:p w14:paraId="390151F2" w14:textId="77777777" w:rsidR="00C17A9C" w:rsidRPr="003A7F87" w:rsidRDefault="00C17A9C" w:rsidP="003B1F5E">
      <w:pPr>
        <w:pStyle w:val="FootnoteText"/>
        <w:rPr>
          <w:rFonts w:cs="Arial"/>
        </w:rPr>
      </w:pPr>
      <w:r w:rsidRPr="003A7F87">
        <w:rPr>
          <w:rStyle w:val="FootnoteReference"/>
          <w:rFonts w:cs="Arial"/>
        </w:rPr>
        <w:footnoteRef/>
      </w:r>
      <w:r w:rsidRPr="003A7F87">
        <w:rPr>
          <w:rFonts w:cs="Arial"/>
        </w:rPr>
        <w:t xml:space="preserve"> Subsection 60(9)</w:t>
      </w:r>
      <w:r>
        <w:rPr>
          <w:rFonts w:cs="Arial"/>
        </w:rPr>
        <w:t xml:space="preserve"> of the Act.</w:t>
      </w:r>
    </w:p>
  </w:footnote>
  <w:footnote w:id="10">
    <w:p w14:paraId="40C007C0" w14:textId="34500699" w:rsidR="00C17A9C" w:rsidRDefault="00C17A9C">
      <w:pPr>
        <w:pStyle w:val="FootnoteText"/>
      </w:pPr>
      <w:r>
        <w:rPr>
          <w:rStyle w:val="FootnoteReference"/>
        </w:rPr>
        <w:footnoteRef/>
      </w:r>
      <w:r>
        <w:t xml:space="preserve"> The </w:t>
      </w:r>
      <w:r>
        <w:rPr>
          <w:i/>
          <w:iCs/>
        </w:rPr>
        <w:t>Radiocommunications (Spectrum Licence Tax) Act 1997</w:t>
      </w:r>
      <w:r>
        <w:t xml:space="preserve"> (the SLT Act) provides for the imposition of spectrum licence tax. The SLT Act provides that the amount of tax in relation to a spectrum licence is the amount ascertained in accordance with a written determination made by the ACMA. This written determination is the SLT Determination. The ACMA has made the SLT Determination so that the tax recovers, from spectrum licensees, the indirect costs of spectrum management activities such as international coordination, domestic planning, interference investigation and policy development. The methodology for calculating each spectrum licensee’s amount of tax is contained in the SLT Determination. The annual licence tax amount for a spectrum licence is calculated on the basis of the bandwidth (in MHz) and the population covered by each licence and is imposed on 11 October of each year.</w:t>
      </w:r>
    </w:p>
  </w:footnote>
  <w:footnote w:id="11">
    <w:p w14:paraId="61147289" w14:textId="77777777" w:rsidR="00C17A9C" w:rsidRPr="003A7F87" w:rsidRDefault="00C17A9C" w:rsidP="002572F1">
      <w:pPr>
        <w:pStyle w:val="FootnoteText"/>
        <w:rPr>
          <w:rFonts w:cs="Arial"/>
        </w:rPr>
      </w:pPr>
      <w:r w:rsidRPr="003A7F87">
        <w:rPr>
          <w:rStyle w:val="FootnoteReference"/>
          <w:rFonts w:cs="Arial"/>
        </w:rPr>
        <w:footnoteRef/>
      </w:r>
      <w:r w:rsidRPr="003A7F87">
        <w:rPr>
          <w:rFonts w:cs="Arial"/>
        </w:rPr>
        <w:t xml:space="preserve"> The ACMA may make rules about third</w:t>
      </w:r>
      <w:r>
        <w:rPr>
          <w:rFonts w:cs="Arial"/>
        </w:rPr>
        <w:t>-</w:t>
      </w:r>
      <w:r w:rsidRPr="003A7F87">
        <w:rPr>
          <w:rFonts w:cs="Arial"/>
        </w:rPr>
        <w:t>party use of spectrum licences under section 68 of the Act.</w:t>
      </w:r>
    </w:p>
  </w:footnote>
  <w:footnote w:id="12">
    <w:p w14:paraId="687AE276" w14:textId="77777777" w:rsidR="00C17A9C" w:rsidRPr="003A7F87" w:rsidRDefault="00C17A9C" w:rsidP="002572F1">
      <w:pPr>
        <w:pStyle w:val="FootnoteText"/>
        <w:rPr>
          <w:rFonts w:cs="Arial"/>
        </w:rPr>
      </w:pPr>
      <w:r w:rsidRPr="003A7F87">
        <w:rPr>
          <w:rStyle w:val="FootnoteReference"/>
          <w:rFonts w:cs="Arial"/>
        </w:rPr>
        <w:footnoteRef/>
      </w:r>
      <w:r w:rsidRPr="003A7F87">
        <w:rPr>
          <w:rFonts w:cs="Arial"/>
        </w:rPr>
        <w:t xml:space="preserve"> Section 69 of the Act provides that a spectrum licence must include a condition that transmitters not be operated under the licence unless the requirements of Part 3.5 of the Act</w:t>
      </w:r>
      <w:r>
        <w:rPr>
          <w:rFonts w:cs="Arial"/>
        </w:rPr>
        <w:t xml:space="preserve"> (relating to registration of devices)</w:t>
      </w:r>
      <w:r w:rsidRPr="003A7F87">
        <w:rPr>
          <w:rFonts w:cs="Arial"/>
        </w:rPr>
        <w:t xml:space="preserve"> have been met. </w:t>
      </w:r>
    </w:p>
  </w:footnote>
  <w:footnote w:id="13">
    <w:p w14:paraId="36980949" w14:textId="3EC1957F" w:rsidR="00C17A9C" w:rsidRDefault="00C17A9C" w:rsidP="00133A57">
      <w:pPr>
        <w:pStyle w:val="FootnoteText"/>
      </w:pPr>
      <w:r>
        <w:rPr>
          <w:rStyle w:val="FootnoteReference"/>
        </w:rPr>
        <w:footnoteRef/>
      </w:r>
      <w:r>
        <w:t xml:space="preserve"> The commencement date was set as 30 May 2017 and the expiry date was set as 17 June 2028 providing a fixed licence term of 11 years and 19 days.</w:t>
      </w:r>
    </w:p>
  </w:footnote>
  <w:footnote w:id="14">
    <w:p w14:paraId="71F80D24" w14:textId="311167CD" w:rsidR="00C17A9C" w:rsidRDefault="00C17A9C">
      <w:pPr>
        <w:pStyle w:val="FootnoteText"/>
      </w:pPr>
      <w:r>
        <w:rPr>
          <w:rStyle w:val="FootnoteReference"/>
        </w:rPr>
        <w:footnoteRef/>
      </w:r>
      <w:r>
        <w:t xml:space="preserve"> There is one incumbent apparatus licensee in the 26 GHz band. The incumbent operates in the Perth metropolitan area within the 24.125</w:t>
      </w:r>
      <w:r>
        <w:rPr>
          <w:rFonts w:cs="Arial"/>
        </w:rPr>
        <w:t>−</w:t>
      </w:r>
      <w:r>
        <w:t>30.0 GHz frequency range.</w:t>
      </w:r>
    </w:p>
  </w:footnote>
  <w:footnote w:id="15">
    <w:p w14:paraId="472FBDEB" w14:textId="4A77B9BD" w:rsidR="00C17A9C" w:rsidRDefault="00C17A9C">
      <w:pPr>
        <w:pStyle w:val="FootnoteText"/>
      </w:pPr>
      <w:r>
        <w:rPr>
          <w:rStyle w:val="FootnoteReference"/>
        </w:rPr>
        <w:footnoteRef/>
      </w:r>
      <w:r>
        <w:t xml:space="preserve"> The draft amendment bill proposes increasing the maximum spectrum licence term to 20 years. To provide regulatory certainty the 26 GHz band allocation will be conducted under the current Act and spectrum licences will be issued with a maximum term of 15 years.</w:t>
      </w:r>
    </w:p>
  </w:footnote>
  <w:footnote w:id="16">
    <w:p w14:paraId="0EEAF1FE" w14:textId="468AB236" w:rsidR="00C17A9C" w:rsidRDefault="00C17A9C">
      <w:pPr>
        <w:pStyle w:val="FootnoteText"/>
      </w:pPr>
      <w:r>
        <w:rPr>
          <w:rStyle w:val="FootnoteReference"/>
        </w:rPr>
        <w:footnoteRef/>
      </w:r>
      <w:r>
        <w:t xml:space="preserve"> We</w:t>
      </w:r>
      <w:r w:rsidRPr="00671FA9">
        <w:t xml:space="preserve"> will issue an invoice to each winning bidder. After payment is received, the spectrum licence will commence on the date of issue.</w:t>
      </w:r>
    </w:p>
  </w:footnote>
  <w:footnote w:id="17">
    <w:p w14:paraId="5E88F3F8" w14:textId="2F2ABFF2" w:rsidR="00C17A9C" w:rsidRDefault="00C17A9C">
      <w:pPr>
        <w:pStyle w:val="FootnoteText"/>
      </w:pPr>
      <w:r>
        <w:rPr>
          <w:rStyle w:val="FootnoteReference"/>
        </w:rPr>
        <w:footnoteRef/>
      </w:r>
      <w:r>
        <w:t xml:space="preserve"> The draft marketing plan also includes a condition on the Canberra area for coexistence with the Canberra Deep Space Communication Complex, located west of the Canberra, at Tidbinbilla. Radiocommunications transmitters are limited from operating in the frequency range 25.5-27.0 GHz within the declared Canberra area in the </w:t>
      </w:r>
      <w:hyperlink r:id="rId1" w:history="1">
        <w:r w:rsidRPr="00A335A7">
          <w:rPr>
            <w:rStyle w:val="Hyperlink"/>
          </w:rPr>
          <w:t>HCIS</w:t>
        </w:r>
      </w:hyperlink>
      <w:r>
        <w:t xml:space="preserve"> level 1 cells: MW4H3, MW4H9, MW4L3, MW5I1.</w:t>
      </w:r>
    </w:p>
  </w:footnote>
  <w:footnote w:id="18">
    <w:p w14:paraId="10C4AF47" w14:textId="40827AF7" w:rsidR="00C17A9C" w:rsidRDefault="00C17A9C" w:rsidP="000D6BC8">
      <w:pPr>
        <w:pStyle w:val="FootnoteText"/>
      </w:pPr>
      <w:r>
        <w:rPr>
          <w:rStyle w:val="FootnoteReference"/>
        </w:rPr>
        <w:footnoteRef/>
      </w:r>
      <w:r>
        <w:t xml:space="preserve"> This is true where bid prices are a proxy for the value of service which the spectrum will be put to use. The assumption is that; all things being equal, those that value spectrum most would go on to create the highest social and economic value with that spectrum.</w:t>
      </w:r>
    </w:p>
  </w:footnote>
  <w:footnote w:id="19">
    <w:p w14:paraId="372EA38D" w14:textId="3A362D0B" w:rsidR="00C17A9C" w:rsidRDefault="00C17A9C">
      <w:pPr>
        <w:pStyle w:val="FootnoteText"/>
      </w:pPr>
      <w:r>
        <w:rPr>
          <w:rStyle w:val="FootnoteReference"/>
        </w:rPr>
        <w:footnoteRef/>
      </w:r>
      <w:r>
        <w:t xml:space="preserve"> Vickrey pricing selects the highest value frequency assignment but bidders pay the next highest value bid by others for that assignment, i.e. the second price. Nearest Vickrey core pricing modifies this approach to ensure that there is not a bidder / group of bidders who bid more for the frequency assignment than the price paid by the winning bidder(s).</w:t>
      </w:r>
    </w:p>
  </w:footnote>
  <w:footnote w:id="20">
    <w:p w14:paraId="3ED12C7C" w14:textId="2B35B8B9" w:rsidR="00C17A9C" w:rsidRDefault="00C17A9C">
      <w:pPr>
        <w:pStyle w:val="FootnoteText"/>
      </w:pPr>
      <w:r>
        <w:rPr>
          <w:rStyle w:val="FootnoteReference"/>
        </w:rPr>
        <w:footnoteRef/>
      </w:r>
      <w:r>
        <w:t xml:space="preserve"> </w:t>
      </w:r>
      <w:r w:rsidRPr="00A15A9F">
        <w:t>Section 3</w:t>
      </w:r>
      <w:r>
        <w:t>7</w:t>
      </w:r>
      <w:r w:rsidRPr="00A15A9F">
        <w:t xml:space="preserve"> in</w:t>
      </w:r>
      <w:r>
        <w:t xml:space="preserve"> the draft allocation determination sets out the procedures for varying the starting prices.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6C71AE4" w14:textId="77777777" w:rsidR="00C17A9C" w:rsidRPr="00A5474E" w:rsidRDefault="00C17A9C" w:rsidP="00A5474E">
    <w:pPr>
      <w:pStyle w:val="Header"/>
    </w:pPr>
    <w:r>
      <w:rPr>
        <w:noProof/>
      </w:rPr>
      <w:drawing>
        <wp:inline distT="0" distB="0" distL="0" distR="0" wp14:anchorId="23B87AF4" wp14:editId="414FFDE6">
          <wp:extent cx="6210300" cy="571134"/>
          <wp:effectExtent l="0" t="0" r="0" b="0"/>
          <wp:docPr id="14" name="Picture 14" descr="ACM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scussion-paper-header-block.pdf"/>
                  <pic:cNvPicPr/>
                </pic:nvPicPr>
                <pic:blipFill>
                  <a:blip r:embed="rId1"/>
                  <a:stretch>
                    <a:fillRect/>
                  </a:stretch>
                </pic:blipFill>
                <pic:spPr>
                  <a:xfrm>
                    <a:off x="0" y="0"/>
                    <a:ext cx="6210300" cy="571134"/>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19BBDE1" w14:textId="77777777" w:rsidR="00C17A9C" w:rsidRPr="00A5474E" w:rsidRDefault="00C17A9C" w:rsidP="00594E9C">
    <w:pPr>
      <w:pStyle w:val="TOCHeading"/>
    </w:pPr>
    <w:r w:rsidRPr="0029593B">
      <w:t>Contents</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1E3D9D8" w14:textId="77777777" w:rsidR="00C17A9C" w:rsidRDefault="00C17A9C">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A2FCA0A" w14:textId="77777777" w:rsidR="00C17A9C" w:rsidRDefault="00C17A9C">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7678" w:type="dxa"/>
      <w:tblLayout w:type="fixed"/>
      <w:tblCellMar>
        <w:left w:w="0" w:type="dxa"/>
        <w:right w:w="0" w:type="dxa"/>
      </w:tblCellMar>
      <w:tblLook w:val="01E0" w:firstRow="1" w:lastRow="1" w:firstColumn="1" w:lastColumn="1" w:noHBand="0" w:noVBand="0"/>
    </w:tblPr>
    <w:tblGrid>
      <w:gridCol w:w="7678"/>
    </w:tblGrid>
    <w:tr w:rsidR="00C17A9C" w14:paraId="6EAA1FFD" w14:textId="77777777" w:rsidTr="000F74F2">
      <w:trPr>
        <w:trHeight w:hRule="exact" w:val="988"/>
      </w:trPr>
      <w:tc>
        <w:tcPr>
          <w:tcW w:w="7678" w:type="dxa"/>
          <w:shd w:val="clear" w:color="auto" w:fill="auto"/>
        </w:tcPr>
        <w:p w14:paraId="2646369E" w14:textId="77777777" w:rsidR="00C17A9C" w:rsidRDefault="00C17A9C" w:rsidP="00971914">
          <w:pPr>
            <w:pStyle w:val="Header"/>
          </w:pPr>
        </w:p>
      </w:tc>
    </w:tr>
    <w:tr w:rsidR="00C17A9C" w14:paraId="292BDE6C" w14:textId="77777777" w:rsidTr="000F74F2">
      <w:tc>
        <w:tcPr>
          <w:tcW w:w="7678" w:type="dxa"/>
          <w:shd w:val="clear" w:color="auto" w:fill="auto"/>
        </w:tcPr>
        <w:p w14:paraId="0F9A2FE3" w14:textId="77777777" w:rsidR="00C17A9C" w:rsidRDefault="00C17A9C" w:rsidP="00971914">
          <w:pPr>
            <w:pStyle w:val="GridTable31"/>
          </w:pPr>
          <w:r>
            <w:t xml:space="preserve">Contents </w:t>
          </w:r>
          <w:r w:rsidRPr="00915B1C">
            <w:rPr>
              <w:b w:val="0"/>
              <w:spacing w:val="0"/>
              <w:sz w:val="28"/>
              <w:szCs w:val="28"/>
            </w:rPr>
            <w:t>(Continued)</w:t>
          </w:r>
        </w:p>
      </w:tc>
    </w:tr>
    <w:tr w:rsidR="00C17A9C" w14:paraId="1C5D5CAC" w14:textId="77777777" w:rsidTr="000F74F2">
      <w:trPr>
        <w:trHeight w:val="1220"/>
      </w:trPr>
      <w:tc>
        <w:tcPr>
          <w:tcW w:w="7678" w:type="dxa"/>
          <w:shd w:val="clear" w:color="auto" w:fill="auto"/>
        </w:tcPr>
        <w:p w14:paraId="1300AF9A" w14:textId="77777777" w:rsidR="00C17A9C" w:rsidRDefault="00C17A9C" w:rsidP="00971914"/>
      </w:tc>
    </w:tr>
  </w:tbl>
  <w:p w14:paraId="44B8EF07" w14:textId="77777777" w:rsidR="00C17A9C" w:rsidRDefault="00C17A9C" w:rsidP="00971914">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7678" w:type="dxa"/>
      <w:tblLayout w:type="fixed"/>
      <w:tblCellMar>
        <w:left w:w="0" w:type="dxa"/>
        <w:right w:w="0" w:type="dxa"/>
      </w:tblCellMar>
      <w:tblLook w:val="01E0" w:firstRow="1" w:lastRow="1" w:firstColumn="1" w:lastColumn="1" w:noHBand="0" w:noVBand="0"/>
    </w:tblPr>
    <w:tblGrid>
      <w:gridCol w:w="7678"/>
    </w:tblGrid>
    <w:tr w:rsidR="00C17A9C" w14:paraId="4245D1F1" w14:textId="77777777" w:rsidTr="000F74F2">
      <w:trPr>
        <w:trHeight w:hRule="exact" w:val="988"/>
      </w:trPr>
      <w:tc>
        <w:tcPr>
          <w:tcW w:w="7678" w:type="dxa"/>
          <w:shd w:val="clear" w:color="auto" w:fill="auto"/>
        </w:tcPr>
        <w:p w14:paraId="4C99C5CB" w14:textId="77777777" w:rsidR="00C17A9C" w:rsidRDefault="00C17A9C" w:rsidP="00971914">
          <w:pPr>
            <w:pStyle w:val="Header"/>
          </w:pPr>
        </w:p>
      </w:tc>
    </w:tr>
    <w:tr w:rsidR="00C17A9C" w14:paraId="40F3216D" w14:textId="77777777" w:rsidTr="000F74F2">
      <w:tc>
        <w:tcPr>
          <w:tcW w:w="7678" w:type="dxa"/>
          <w:shd w:val="clear" w:color="auto" w:fill="auto"/>
        </w:tcPr>
        <w:p w14:paraId="0B93D230" w14:textId="77777777" w:rsidR="00C17A9C" w:rsidRDefault="00C17A9C" w:rsidP="00971914">
          <w:pPr>
            <w:pStyle w:val="GridTable31"/>
          </w:pPr>
          <w:r>
            <w:t xml:space="preserve">Contents </w:t>
          </w:r>
          <w:r w:rsidRPr="00915B1C">
            <w:rPr>
              <w:b w:val="0"/>
              <w:spacing w:val="0"/>
              <w:sz w:val="28"/>
              <w:szCs w:val="28"/>
            </w:rPr>
            <w:t>(Continued)</w:t>
          </w:r>
        </w:p>
      </w:tc>
    </w:tr>
    <w:tr w:rsidR="00C17A9C" w14:paraId="677AB047" w14:textId="77777777" w:rsidTr="000F74F2">
      <w:trPr>
        <w:trHeight w:val="1220"/>
      </w:trPr>
      <w:tc>
        <w:tcPr>
          <w:tcW w:w="7678" w:type="dxa"/>
          <w:shd w:val="clear" w:color="auto" w:fill="auto"/>
        </w:tcPr>
        <w:p w14:paraId="4A562FF5" w14:textId="77777777" w:rsidR="00C17A9C" w:rsidRDefault="00C17A9C" w:rsidP="00971914"/>
      </w:tc>
    </w:tr>
  </w:tbl>
  <w:p w14:paraId="68C991AC" w14:textId="77777777" w:rsidR="00C17A9C" w:rsidRPr="00A5474E" w:rsidRDefault="00C17A9C" w:rsidP="00A5474E">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16B9F9B" w14:textId="77777777" w:rsidR="00C17A9C" w:rsidRPr="00A5474E" w:rsidRDefault="00C17A9C" w:rsidP="00594E9C">
    <w:pPr>
      <w:pStyle w:val="TOCHeading"/>
    </w:pPr>
    <w:r w:rsidRPr="0029593B">
      <w:t>Contents</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3EA99B3" w14:textId="77777777" w:rsidR="00C17A9C" w:rsidRDefault="00C17A9C" w:rsidP="00971914">
    <w:pPr>
      <w:pStyle w:val="Heade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BD79064" w14:textId="77777777" w:rsidR="00C17A9C" w:rsidRDefault="00C17A9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7F"/>
    <w:multiLevelType w:val="singleLevel"/>
    <w:tmpl w:val="75F22F60"/>
    <w:lvl w:ilvl="0">
      <w:start w:val="1"/>
      <w:numFmt w:val="lowerRoman"/>
      <w:pStyle w:val="ListNumber2"/>
      <w:lvlText w:val="%1."/>
      <w:lvlJc w:val="right"/>
      <w:pPr>
        <w:ind w:left="717" w:hanging="360"/>
      </w:pPr>
      <w:rPr>
        <w:rFonts w:hint="default"/>
      </w:rPr>
    </w:lvl>
  </w:abstractNum>
  <w:abstractNum w:abstractNumId="1" w15:restartNumberingAfterBreak="0">
    <w:nsid w:val="FFFFFF83"/>
    <w:multiLevelType w:val="singleLevel"/>
    <w:tmpl w:val="909E78BC"/>
    <w:lvl w:ilvl="0">
      <w:start w:val="1"/>
      <w:numFmt w:val="bullet"/>
      <w:pStyle w:val="ListBullet2"/>
      <w:lvlText w:val="&gt;"/>
      <w:lvlJc w:val="left"/>
      <w:pPr>
        <w:tabs>
          <w:tab w:val="num" w:pos="845"/>
        </w:tabs>
        <w:ind w:left="845" w:hanging="544"/>
      </w:pPr>
      <w:rPr>
        <w:rFonts w:ascii="HelveticaNeueLT Std Lt" w:hAnsi="HelveticaNeueLT Std Lt" w:hint="default"/>
        <w:sz w:val="20"/>
      </w:rPr>
    </w:lvl>
  </w:abstractNum>
  <w:abstractNum w:abstractNumId="2" w15:restartNumberingAfterBreak="0">
    <w:nsid w:val="FFFFFF88"/>
    <w:multiLevelType w:val="singleLevel"/>
    <w:tmpl w:val="51B60EB2"/>
    <w:lvl w:ilvl="0">
      <w:start w:val="1"/>
      <w:numFmt w:val="decimal"/>
      <w:lvlText w:val="%1."/>
      <w:lvlJc w:val="left"/>
      <w:pPr>
        <w:ind w:left="360" w:hanging="360"/>
      </w:pPr>
      <w:rPr>
        <w:rFonts w:hint="default"/>
        <w:b w:val="0"/>
        <w:bCs/>
        <w:caps/>
        <w:sz w:val="20"/>
      </w:rPr>
    </w:lvl>
  </w:abstractNum>
  <w:abstractNum w:abstractNumId="3" w15:restartNumberingAfterBreak="0">
    <w:nsid w:val="FFFFFF89"/>
    <w:multiLevelType w:val="singleLevel"/>
    <w:tmpl w:val="4762F2C8"/>
    <w:lvl w:ilvl="0">
      <w:start w:val="1"/>
      <w:numFmt w:val="bullet"/>
      <w:pStyle w:val="ListBullet"/>
      <w:lvlText w:val="&gt;"/>
      <w:lvlJc w:val="left"/>
      <w:pPr>
        <w:tabs>
          <w:tab w:val="num" w:pos="295"/>
        </w:tabs>
        <w:ind w:left="295" w:hanging="295"/>
      </w:pPr>
      <w:rPr>
        <w:rFonts w:ascii="HelveticaNeueLT Std Lt" w:hAnsi="HelveticaNeueLT Std Lt" w:hint="default"/>
        <w:sz w:val="20"/>
      </w:rPr>
    </w:lvl>
  </w:abstractNum>
  <w:abstractNum w:abstractNumId="4" w15:restartNumberingAfterBreak="0">
    <w:nsid w:val="00C24EAF"/>
    <w:multiLevelType w:val="hybridMultilevel"/>
    <w:tmpl w:val="958248C8"/>
    <w:lvl w:ilvl="0" w:tplc="0C09000F">
      <w:start w:val="1"/>
      <w:numFmt w:val="decimal"/>
      <w:lvlText w:val="%1."/>
      <w:lvlJc w:val="left"/>
      <w:pPr>
        <w:ind w:left="720" w:hanging="360"/>
      </w:pPr>
    </w:lvl>
    <w:lvl w:ilvl="1" w:tplc="0C090019">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5" w15:restartNumberingAfterBreak="0">
    <w:nsid w:val="02AF1222"/>
    <w:multiLevelType w:val="hybridMultilevel"/>
    <w:tmpl w:val="BC6E3CCC"/>
    <w:lvl w:ilvl="0" w:tplc="0C09000F">
      <w:start w:val="1"/>
      <w:numFmt w:val="decimal"/>
      <w:lvlText w:val="%1."/>
      <w:lvlJc w:val="left"/>
      <w:pPr>
        <w:ind w:left="720" w:hanging="360"/>
      </w:pPr>
      <w:rPr>
        <w:rFont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 w15:restartNumberingAfterBreak="0">
    <w:nsid w:val="03CC69AC"/>
    <w:multiLevelType w:val="hybridMultilevel"/>
    <w:tmpl w:val="5232DA4E"/>
    <w:lvl w:ilvl="0" w:tplc="0C09001B">
      <w:start w:val="1"/>
      <w:numFmt w:val="lowerRoman"/>
      <w:lvlText w:val="%1."/>
      <w:lvlJc w:val="righ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7" w15:restartNumberingAfterBreak="0">
    <w:nsid w:val="087C268C"/>
    <w:multiLevelType w:val="hybridMultilevel"/>
    <w:tmpl w:val="E0A6CA9A"/>
    <w:lvl w:ilvl="0" w:tplc="44EEC084">
      <w:start w:val="1"/>
      <w:numFmt w:val="bullet"/>
      <w:lvlText w:val="&gt;"/>
      <w:lvlJc w:val="left"/>
      <w:pPr>
        <w:ind w:left="720" w:hanging="360"/>
      </w:pPr>
      <w:rPr>
        <w:rFonts w:ascii="HelveticaNeueLT Std" w:hAnsi="HelveticaNeueLT Std"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 w15:restartNumberingAfterBreak="0">
    <w:nsid w:val="15C73148"/>
    <w:multiLevelType w:val="hybridMultilevel"/>
    <w:tmpl w:val="D2D28326"/>
    <w:lvl w:ilvl="0" w:tplc="3D043DC4">
      <w:start w:val="1"/>
      <w:numFmt w:val="decimal"/>
      <w:lvlText w:val="%1."/>
      <w:lvlJc w:val="left"/>
      <w:pPr>
        <w:ind w:left="360" w:hanging="360"/>
      </w:pPr>
      <w:rPr>
        <w:rFonts w:hint="default"/>
      </w:r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9" w15:restartNumberingAfterBreak="0">
    <w:nsid w:val="16C2501F"/>
    <w:multiLevelType w:val="hybridMultilevel"/>
    <w:tmpl w:val="67D26B64"/>
    <w:lvl w:ilvl="0" w:tplc="0C090019">
      <w:start w:val="1"/>
      <w:numFmt w:val="lowerLetter"/>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0" w15:restartNumberingAfterBreak="0">
    <w:nsid w:val="1F2C0D28"/>
    <w:multiLevelType w:val="hybridMultilevel"/>
    <w:tmpl w:val="DAF8D442"/>
    <w:lvl w:ilvl="0" w:tplc="FE9EAA6A">
      <w:start w:val="1"/>
      <w:numFmt w:val="bullet"/>
      <w:lvlText w:val="&gt;"/>
      <w:lvlJc w:val="left"/>
      <w:pPr>
        <w:ind w:left="360" w:hanging="360"/>
      </w:pPr>
      <w:rPr>
        <w:rFonts w:ascii="Vrinda" w:hAnsi="Vrinda" w:hint="default"/>
        <w:b w:val="0"/>
        <w:sz w:val="20"/>
        <w:szCs w:val="20"/>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1" w15:restartNumberingAfterBreak="0">
    <w:nsid w:val="23AF1F83"/>
    <w:multiLevelType w:val="hybridMultilevel"/>
    <w:tmpl w:val="08B0BA3E"/>
    <w:lvl w:ilvl="0" w:tplc="0C090019">
      <w:start w:val="1"/>
      <w:numFmt w:val="lowerLetter"/>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2" w15:restartNumberingAfterBreak="0">
    <w:nsid w:val="24E92756"/>
    <w:multiLevelType w:val="hybridMultilevel"/>
    <w:tmpl w:val="7AACB4D4"/>
    <w:lvl w:ilvl="0" w:tplc="BB0C39E4">
      <w:start w:val="1"/>
      <w:numFmt w:val="bullet"/>
      <w:pStyle w:val="Listparagraphbullets"/>
      <w:lvlText w:val=""/>
      <w:lvlJc w:val="left"/>
      <w:pPr>
        <w:ind w:left="360" w:hanging="360"/>
      </w:pPr>
      <w:rPr>
        <w:rFonts w:ascii="Symbol" w:hAnsi="Symbol" w:hint="default"/>
        <w:caps w:val="0"/>
        <w:strike w:val="0"/>
        <w:dstrike w:val="0"/>
        <w:vanish w:val="0"/>
        <w:webHidden w:val="0"/>
        <w:color w:val="auto"/>
        <w:sz w:val="22"/>
        <w:u w:val="none"/>
        <w:effect w:val="none"/>
        <w:vertAlign w:val="baseline"/>
        <w:specVanish w:val="0"/>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13" w15:restartNumberingAfterBreak="0">
    <w:nsid w:val="281D1869"/>
    <w:multiLevelType w:val="hybridMultilevel"/>
    <w:tmpl w:val="44CCDBB4"/>
    <w:lvl w:ilvl="0" w:tplc="B4DE576E">
      <w:start w:val="1"/>
      <w:numFmt w:val="decimal"/>
      <w:pStyle w:val="ACMANumberedList"/>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 w15:restartNumberingAfterBreak="0">
    <w:nsid w:val="28980BDC"/>
    <w:multiLevelType w:val="hybridMultilevel"/>
    <w:tmpl w:val="C3B0B0C8"/>
    <w:lvl w:ilvl="0" w:tplc="FE9EAA6A">
      <w:start w:val="1"/>
      <w:numFmt w:val="bullet"/>
      <w:lvlText w:val="&gt;"/>
      <w:lvlJc w:val="left"/>
      <w:pPr>
        <w:ind w:left="720" w:hanging="360"/>
      </w:pPr>
      <w:rPr>
        <w:rFonts w:ascii="Vrinda" w:hAnsi="Vrinda" w:hint="default"/>
        <w:b w:val="0"/>
        <w:sz w:val="20"/>
        <w:szCs w:val="20"/>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5" w15:restartNumberingAfterBreak="0">
    <w:nsid w:val="2AAA0783"/>
    <w:multiLevelType w:val="hybridMultilevel"/>
    <w:tmpl w:val="D0CA7926"/>
    <w:lvl w:ilvl="0" w:tplc="44EEC084">
      <w:start w:val="1"/>
      <w:numFmt w:val="bullet"/>
      <w:lvlText w:val="&gt;"/>
      <w:lvlJc w:val="left"/>
      <w:pPr>
        <w:ind w:left="720" w:hanging="360"/>
      </w:pPr>
      <w:rPr>
        <w:rFonts w:ascii="HelveticaNeueLT Std" w:hAnsi="HelveticaNeueLT Std"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cs="Wingdings" w:hint="default"/>
      </w:rPr>
    </w:lvl>
    <w:lvl w:ilvl="3" w:tplc="0C090001" w:tentative="1">
      <w:start w:val="1"/>
      <w:numFmt w:val="bullet"/>
      <w:lvlText w:val=""/>
      <w:lvlJc w:val="left"/>
      <w:pPr>
        <w:ind w:left="2880" w:hanging="360"/>
      </w:pPr>
      <w:rPr>
        <w:rFonts w:ascii="Symbol" w:hAnsi="Symbol" w:cs="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cs="Wingdings" w:hint="default"/>
      </w:rPr>
    </w:lvl>
    <w:lvl w:ilvl="6" w:tplc="0C090001" w:tentative="1">
      <w:start w:val="1"/>
      <w:numFmt w:val="bullet"/>
      <w:lvlText w:val=""/>
      <w:lvlJc w:val="left"/>
      <w:pPr>
        <w:ind w:left="5040" w:hanging="360"/>
      </w:pPr>
      <w:rPr>
        <w:rFonts w:ascii="Symbol" w:hAnsi="Symbol" w:cs="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cs="Wingdings" w:hint="default"/>
      </w:rPr>
    </w:lvl>
  </w:abstractNum>
  <w:abstractNum w:abstractNumId="16" w15:restartNumberingAfterBreak="0">
    <w:nsid w:val="2E301DD4"/>
    <w:multiLevelType w:val="multilevel"/>
    <w:tmpl w:val="04090023"/>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pStyle w:val="Heading5"/>
      <w:lvlText w:val="%5)"/>
      <w:lvlJc w:val="left"/>
      <w:pPr>
        <w:ind w:left="1008" w:hanging="432"/>
      </w:pPr>
    </w:lvl>
    <w:lvl w:ilvl="5">
      <w:start w:val="1"/>
      <w:numFmt w:val="lowerLetter"/>
      <w:pStyle w:val="Heading6"/>
      <w:lvlText w:val="%6)"/>
      <w:lvlJc w:val="left"/>
      <w:pPr>
        <w:ind w:left="1152" w:hanging="432"/>
      </w:pPr>
    </w:lvl>
    <w:lvl w:ilvl="6">
      <w:start w:val="1"/>
      <w:numFmt w:val="lowerRoman"/>
      <w:pStyle w:val="Heading7"/>
      <w:lvlText w:val="%7)"/>
      <w:lvlJc w:val="right"/>
      <w:pPr>
        <w:ind w:left="1296" w:hanging="288"/>
      </w:pPr>
    </w:lvl>
    <w:lvl w:ilvl="7">
      <w:start w:val="1"/>
      <w:numFmt w:val="lowerLetter"/>
      <w:pStyle w:val="Heading8"/>
      <w:lvlText w:val="%8."/>
      <w:lvlJc w:val="left"/>
      <w:pPr>
        <w:ind w:left="1440" w:hanging="432"/>
      </w:pPr>
    </w:lvl>
    <w:lvl w:ilvl="8">
      <w:start w:val="1"/>
      <w:numFmt w:val="lowerRoman"/>
      <w:pStyle w:val="Heading9"/>
      <w:lvlText w:val="%9."/>
      <w:lvlJc w:val="right"/>
      <w:pPr>
        <w:ind w:left="1584" w:hanging="144"/>
      </w:pPr>
    </w:lvl>
  </w:abstractNum>
  <w:abstractNum w:abstractNumId="17" w15:restartNumberingAfterBreak="0">
    <w:nsid w:val="2F5A5080"/>
    <w:multiLevelType w:val="hybridMultilevel"/>
    <w:tmpl w:val="BE2AF6CE"/>
    <w:lvl w:ilvl="0" w:tplc="D05E2434">
      <w:start w:val="1"/>
      <w:numFmt w:val="bullet"/>
      <w:pStyle w:val="ACMABulletLevel1"/>
      <w:lvlText w:val="●"/>
      <w:lvlJc w:val="left"/>
      <w:pPr>
        <w:ind w:left="357" w:hanging="357"/>
      </w:pPr>
      <w:rPr>
        <w:rFonts w:ascii="Arial" w:hAnsi="Arial" w:cs="Arial" w:hint="default"/>
        <w:sz w:val="20"/>
        <w:szCs w:val="20"/>
      </w:rPr>
    </w:lvl>
    <w:lvl w:ilvl="1" w:tplc="04090003">
      <w:start w:val="1"/>
      <w:numFmt w:val="bullet"/>
      <w:lvlText w:val="o"/>
      <w:lvlJc w:val="left"/>
      <w:pPr>
        <w:tabs>
          <w:tab w:val="num" w:pos="1728"/>
        </w:tabs>
        <w:ind w:left="1728" w:hanging="360"/>
      </w:pPr>
      <w:rPr>
        <w:rFonts w:ascii="Courier New" w:hAnsi="Courier New" w:cs="Times New Roman" w:hint="default"/>
      </w:rPr>
    </w:lvl>
    <w:lvl w:ilvl="2" w:tplc="04090005">
      <w:start w:val="1"/>
      <w:numFmt w:val="bullet"/>
      <w:lvlText w:val=""/>
      <w:lvlJc w:val="left"/>
      <w:pPr>
        <w:tabs>
          <w:tab w:val="num" w:pos="2448"/>
        </w:tabs>
        <w:ind w:left="2448" w:hanging="360"/>
      </w:pPr>
      <w:rPr>
        <w:rFonts w:ascii="Wingdings" w:hAnsi="Wingdings" w:hint="default"/>
      </w:rPr>
    </w:lvl>
    <w:lvl w:ilvl="3" w:tplc="04090001">
      <w:start w:val="1"/>
      <w:numFmt w:val="bullet"/>
      <w:lvlText w:val=""/>
      <w:lvlJc w:val="left"/>
      <w:pPr>
        <w:tabs>
          <w:tab w:val="num" w:pos="3168"/>
        </w:tabs>
        <w:ind w:left="3168" w:hanging="360"/>
      </w:pPr>
      <w:rPr>
        <w:rFonts w:ascii="Symbol" w:hAnsi="Symbol" w:hint="default"/>
      </w:rPr>
    </w:lvl>
    <w:lvl w:ilvl="4" w:tplc="04090003">
      <w:start w:val="1"/>
      <w:numFmt w:val="bullet"/>
      <w:lvlText w:val="o"/>
      <w:lvlJc w:val="left"/>
      <w:pPr>
        <w:tabs>
          <w:tab w:val="num" w:pos="3888"/>
        </w:tabs>
        <w:ind w:left="3888" w:hanging="360"/>
      </w:pPr>
      <w:rPr>
        <w:rFonts w:ascii="Courier New" w:hAnsi="Courier New" w:cs="Times New Roman" w:hint="default"/>
      </w:rPr>
    </w:lvl>
    <w:lvl w:ilvl="5" w:tplc="04090005">
      <w:start w:val="1"/>
      <w:numFmt w:val="bullet"/>
      <w:lvlText w:val=""/>
      <w:lvlJc w:val="left"/>
      <w:pPr>
        <w:tabs>
          <w:tab w:val="num" w:pos="4608"/>
        </w:tabs>
        <w:ind w:left="4608" w:hanging="360"/>
      </w:pPr>
      <w:rPr>
        <w:rFonts w:ascii="Wingdings" w:hAnsi="Wingdings" w:hint="default"/>
      </w:rPr>
    </w:lvl>
    <w:lvl w:ilvl="6" w:tplc="04090001">
      <w:start w:val="1"/>
      <w:numFmt w:val="bullet"/>
      <w:lvlText w:val=""/>
      <w:lvlJc w:val="left"/>
      <w:pPr>
        <w:tabs>
          <w:tab w:val="num" w:pos="5328"/>
        </w:tabs>
        <w:ind w:left="5328" w:hanging="360"/>
      </w:pPr>
      <w:rPr>
        <w:rFonts w:ascii="Symbol" w:hAnsi="Symbol" w:hint="default"/>
      </w:rPr>
    </w:lvl>
    <w:lvl w:ilvl="7" w:tplc="04090003">
      <w:start w:val="1"/>
      <w:numFmt w:val="bullet"/>
      <w:lvlText w:val="o"/>
      <w:lvlJc w:val="left"/>
      <w:pPr>
        <w:tabs>
          <w:tab w:val="num" w:pos="6048"/>
        </w:tabs>
        <w:ind w:left="6048" w:hanging="360"/>
      </w:pPr>
      <w:rPr>
        <w:rFonts w:ascii="Courier New" w:hAnsi="Courier New" w:cs="Times New Roman" w:hint="default"/>
      </w:rPr>
    </w:lvl>
    <w:lvl w:ilvl="8" w:tplc="04090005">
      <w:start w:val="1"/>
      <w:numFmt w:val="bullet"/>
      <w:lvlText w:val=""/>
      <w:lvlJc w:val="left"/>
      <w:pPr>
        <w:tabs>
          <w:tab w:val="num" w:pos="6768"/>
        </w:tabs>
        <w:ind w:left="6768" w:hanging="360"/>
      </w:pPr>
      <w:rPr>
        <w:rFonts w:ascii="Wingdings" w:hAnsi="Wingdings" w:hint="default"/>
      </w:rPr>
    </w:lvl>
  </w:abstractNum>
  <w:abstractNum w:abstractNumId="18" w15:restartNumberingAfterBreak="0">
    <w:nsid w:val="32EF4616"/>
    <w:multiLevelType w:val="hybridMultilevel"/>
    <w:tmpl w:val="467EBEAA"/>
    <w:lvl w:ilvl="0" w:tplc="E4482DE0">
      <w:start w:val="1"/>
      <w:numFmt w:val="decimal"/>
      <w:lvlText w:val="%1."/>
      <w:lvlJc w:val="left"/>
      <w:pPr>
        <w:ind w:left="1080" w:hanging="72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9" w15:restartNumberingAfterBreak="0">
    <w:nsid w:val="3A4C2B52"/>
    <w:multiLevelType w:val="hybridMultilevel"/>
    <w:tmpl w:val="5302C3DA"/>
    <w:lvl w:ilvl="0" w:tplc="0C090011">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0" w15:restartNumberingAfterBreak="0">
    <w:nsid w:val="3B560629"/>
    <w:multiLevelType w:val="hybridMultilevel"/>
    <w:tmpl w:val="F0663C54"/>
    <w:lvl w:ilvl="0" w:tplc="44EEC084">
      <w:start w:val="1"/>
      <w:numFmt w:val="bullet"/>
      <w:lvlText w:val="&gt;"/>
      <w:lvlJc w:val="left"/>
      <w:pPr>
        <w:ind w:left="720" w:hanging="360"/>
      </w:pPr>
      <w:rPr>
        <w:rFonts w:ascii="HelveticaNeueLT Std" w:hAnsi="HelveticaNeueLT Std"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1" w15:restartNumberingAfterBreak="0">
    <w:nsid w:val="3E667F5F"/>
    <w:multiLevelType w:val="hybridMultilevel"/>
    <w:tmpl w:val="E9B674B4"/>
    <w:lvl w:ilvl="0" w:tplc="0B3E9FCC">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2" w15:restartNumberingAfterBreak="0">
    <w:nsid w:val="43985591"/>
    <w:multiLevelType w:val="hybridMultilevel"/>
    <w:tmpl w:val="242037BE"/>
    <w:lvl w:ilvl="0" w:tplc="68B8B4D0">
      <w:start w:val="1"/>
      <w:numFmt w:val="decimal"/>
      <w:lvlText w:val="%1."/>
      <w:lvlJc w:val="left"/>
      <w:pPr>
        <w:ind w:left="1080" w:hanging="72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3" w15:restartNumberingAfterBreak="0">
    <w:nsid w:val="47EF59CD"/>
    <w:multiLevelType w:val="hybridMultilevel"/>
    <w:tmpl w:val="B0AE9FE8"/>
    <w:lvl w:ilvl="0" w:tplc="0C09000F">
      <w:start w:val="1"/>
      <w:numFmt w:val="decimal"/>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24" w15:restartNumberingAfterBreak="0">
    <w:nsid w:val="483A166F"/>
    <w:multiLevelType w:val="hybridMultilevel"/>
    <w:tmpl w:val="C35E8C74"/>
    <w:lvl w:ilvl="0" w:tplc="FE9EAA6A">
      <w:start w:val="1"/>
      <w:numFmt w:val="bullet"/>
      <w:lvlText w:val="&gt;"/>
      <w:lvlJc w:val="left"/>
      <w:pPr>
        <w:ind w:left="780" w:hanging="360"/>
      </w:pPr>
      <w:rPr>
        <w:rFonts w:ascii="Vrinda" w:hAnsi="Vrinda" w:hint="default"/>
        <w:b w:val="0"/>
        <w:sz w:val="20"/>
        <w:szCs w:val="20"/>
      </w:rPr>
    </w:lvl>
    <w:lvl w:ilvl="1" w:tplc="0C090003" w:tentative="1">
      <w:start w:val="1"/>
      <w:numFmt w:val="bullet"/>
      <w:lvlText w:val="o"/>
      <w:lvlJc w:val="left"/>
      <w:pPr>
        <w:ind w:left="1500" w:hanging="360"/>
      </w:pPr>
      <w:rPr>
        <w:rFonts w:ascii="Courier New" w:hAnsi="Courier New" w:cs="Courier New" w:hint="default"/>
      </w:rPr>
    </w:lvl>
    <w:lvl w:ilvl="2" w:tplc="0C090005" w:tentative="1">
      <w:start w:val="1"/>
      <w:numFmt w:val="bullet"/>
      <w:lvlText w:val=""/>
      <w:lvlJc w:val="left"/>
      <w:pPr>
        <w:ind w:left="2220" w:hanging="360"/>
      </w:pPr>
      <w:rPr>
        <w:rFonts w:ascii="Wingdings" w:hAnsi="Wingdings" w:hint="default"/>
      </w:rPr>
    </w:lvl>
    <w:lvl w:ilvl="3" w:tplc="0C090001" w:tentative="1">
      <w:start w:val="1"/>
      <w:numFmt w:val="bullet"/>
      <w:lvlText w:val=""/>
      <w:lvlJc w:val="left"/>
      <w:pPr>
        <w:ind w:left="2940" w:hanging="360"/>
      </w:pPr>
      <w:rPr>
        <w:rFonts w:ascii="Symbol" w:hAnsi="Symbol" w:hint="default"/>
      </w:rPr>
    </w:lvl>
    <w:lvl w:ilvl="4" w:tplc="0C090003" w:tentative="1">
      <w:start w:val="1"/>
      <w:numFmt w:val="bullet"/>
      <w:lvlText w:val="o"/>
      <w:lvlJc w:val="left"/>
      <w:pPr>
        <w:ind w:left="3660" w:hanging="360"/>
      </w:pPr>
      <w:rPr>
        <w:rFonts w:ascii="Courier New" w:hAnsi="Courier New" w:cs="Courier New" w:hint="default"/>
      </w:rPr>
    </w:lvl>
    <w:lvl w:ilvl="5" w:tplc="0C090005" w:tentative="1">
      <w:start w:val="1"/>
      <w:numFmt w:val="bullet"/>
      <w:lvlText w:val=""/>
      <w:lvlJc w:val="left"/>
      <w:pPr>
        <w:ind w:left="4380" w:hanging="360"/>
      </w:pPr>
      <w:rPr>
        <w:rFonts w:ascii="Wingdings" w:hAnsi="Wingdings" w:hint="default"/>
      </w:rPr>
    </w:lvl>
    <w:lvl w:ilvl="6" w:tplc="0C090001" w:tentative="1">
      <w:start w:val="1"/>
      <w:numFmt w:val="bullet"/>
      <w:lvlText w:val=""/>
      <w:lvlJc w:val="left"/>
      <w:pPr>
        <w:ind w:left="5100" w:hanging="360"/>
      </w:pPr>
      <w:rPr>
        <w:rFonts w:ascii="Symbol" w:hAnsi="Symbol" w:hint="default"/>
      </w:rPr>
    </w:lvl>
    <w:lvl w:ilvl="7" w:tplc="0C090003" w:tentative="1">
      <w:start w:val="1"/>
      <w:numFmt w:val="bullet"/>
      <w:lvlText w:val="o"/>
      <w:lvlJc w:val="left"/>
      <w:pPr>
        <w:ind w:left="5820" w:hanging="360"/>
      </w:pPr>
      <w:rPr>
        <w:rFonts w:ascii="Courier New" w:hAnsi="Courier New" w:cs="Courier New" w:hint="default"/>
      </w:rPr>
    </w:lvl>
    <w:lvl w:ilvl="8" w:tplc="0C090005" w:tentative="1">
      <w:start w:val="1"/>
      <w:numFmt w:val="bullet"/>
      <w:lvlText w:val=""/>
      <w:lvlJc w:val="left"/>
      <w:pPr>
        <w:ind w:left="6540" w:hanging="360"/>
      </w:pPr>
      <w:rPr>
        <w:rFonts w:ascii="Wingdings" w:hAnsi="Wingdings" w:hint="default"/>
      </w:rPr>
    </w:lvl>
  </w:abstractNum>
  <w:abstractNum w:abstractNumId="25" w15:restartNumberingAfterBreak="0">
    <w:nsid w:val="492C6BA8"/>
    <w:multiLevelType w:val="hybridMultilevel"/>
    <w:tmpl w:val="2DAEBBD0"/>
    <w:lvl w:ilvl="0" w:tplc="50F8B7D6">
      <w:numFmt w:val="bullet"/>
      <w:lvlText w:val="-"/>
      <w:lvlJc w:val="left"/>
      <w:pPr>
        <w:ind w:left="720" w:hanging="360"/>
      </w:pPr>
      <w:rPr>
        <w:rFonts w:ascii="Arial" w:eastAsia="Times New Roman" w:hAnsi="Arial" w:cs="Aria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6" w15:restartNumberingAfterBreak="0">
    <w:nsid w:val="4D1F5162"/>
    <w:multiLevelType w:val="hybridMultilevel"/>
    <w:tmpl w:val="F69A15FC"/>
    <w:lvl w:ilvl="0" w:tplc="03683094">
      <w:numFmt w:val="bullet"/>
      <w:lvlText w:val="-"/>
      <w:lvlJc w:val="left"/>
      <w:pPr>
        <w:ind w:left="720" w:hanging="360"/>
      </w:pPr>
      <w:rPr>
        <w:rFonts w:ascii="Arial" w:eastAsia="Times New Roman" w:hAnsi="Arial" w:cs="Aria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cs="Wingdings" w:hint="default"/>
      </w:rPr>
    </w:lvl>
    <w:lvl w:ilvl="3" w:tplc="0C090001" w:tentative="1">
      <w:start w:val="1"/>
      <w:numFmt w:val="bullet"/>
      <w:lvlText w:val=""/>
      <w:lvlJc w:val="left"/>
      <w:pPr>
        <w:ind w:left="2880" w:hanging="360"/>
      </w:pPr>
      <w:rPr>
        <w:rFonts w:ascii="Symbol" w:hAnsi="Symbol" w:cs="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cs="Wingdings" w:hint="default"/>
      </w:rPr>
    </w:lvl>
    <w:lvl w:ilvl="6" w:tplc="0C090001" w:tentative="1">
      <w:start w:val="1"/>
      <w:numFmt w:val="bullet"/>
      <w:lvlText w:val=""/>
      <w:lvlJc w:val="left"/>
      <w:pPr>
        <w:ind w:left="5040" w:hanging="360"/>
      </w:pPr>
      <w:rPr>
        <w:rFonts w:ascii="Symbol" w:hAnsi="Symbol" w:cs="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cs="Wingdings" w:hint="default"/>
      </w:rPr>
    </w:lvl>
  </w:abstractNum>
  <w:abstractNum w:abstractNumId="27" w15:restartNumberingAfterBreak="0">
    <w:nsid w:val="4E1E1EC8"/>
    <w:multiLevelType w:val="hybridMultilevel"/>
    <w:tmpl w:val="12ACB2D4"/>
    <w:lvl w:ilvl="0" w:tplc="FE9EAA6A">
      <w:start w:val="1"/>
      <w:numFmt w:val="bullet"/>
      <w:lvlText w:val="&gt;"/>
      <w:lvlJc w:val="left"/>
      <w:pPr>
        <w:ind w:left="720" w:hanging="360"/>
      </w:pPr>
      <w:rPr>
        <w:rFonts w:ascii="Vrinda" w:hAnsi="Vrinda" w:hint="default"/>
        <w:b w:val="0"/>
        <w:sz w:val="20"/>
        <w:szCs w:val="20"/>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8" w15:restartNumberingAfterBreak="0">
    <w:nsid w:val="516F4FB2"/>
    <w:multiLevelType w:val="hybridMultilevel"/>
    <w:tmpl w:val="669ABA72"/>
    <w:lvl w:ilvl="0" w:tplc="44EEC084">
      <w:start w:val="1"/>
      <w:numFmt w:val="bullet"/>
      <w:lvlText w:val="&gt;"/>
      <w:lvlJc w:val="left"/>
      <w:pPr>
        <w:ind w:left="780" w:hanging="360"/>
      </w:pPr>
      <w:rPr>
        <w:rFonts w:ascii="HelveticaNeueLT Std" w:hAnsi="HelveticaNeueLT Std" w:hint="default"/>
      </w:rPr>
    </w:lvl>
    <w:lvl w:ilvl="1" w:tplc="0C090003" w:tentative="1">
      <w:start w:val="1"/>
      <w:numFmt w:val="bullet"/>
      <w:lvlText w:val="o"/>
      <w:lvlJc w:val="left"/>
      <w:pPr>
        <w:ind w:left="1500" w:hanging="360"/>
      </w:pPr>
      <w:rPr>
        <w:rFonts w:ascii="Courier New" w:hAnsi="Courier New" w:cs="Courier New" w:hint="default"/>
      </w:rPr>
    </w:lvl>
    <w:lvl w:ilvl="2" w:tplc="0C090005" w:tentative="1">
      <w:start w:val="1"/>
      <w:numFmt w:val="bullet"/>
      <w:lvlText w:val=""/>
      <w:lvlJc w:val="left"/>
      <w:pPr>
        <w:ind w:left="2220" w:hanging="360"/>
      </w:pPr>
      <w:rPr>
        <w:rFonts w:ascii="Wingdings" w:hAnsi="Wingdings" w:cs="Wingdings" w:hint="default"/>
      </w:rPr>
    </w:lvl>
    <w:lvl w:ilvl="3" w:tplc="0C090001" w:tentative="1">
      <w:start w:val="1"/>
      <w:numFmt w:val="bullet"/>
      <w:lvlText w:val=""/>
      <w:lvlJc w:val="left"/>
      <w:pPr>
        <w:ind w:left="2940" w:hanging="360"/>
      </w:pPr>
      <w:rPr>
        <w:rFonts w:ascii="Symbol" w:hAnsi="Symbol" w:cs="Symbol" w:hint="default"/>
      </w:rPr>
    </w:lvl>
    <w:lvl w:ilvl="4" w:tplc="0C090003" w:tentative="1">
      <w:start w:val="1"/>
      <w:numFmt w:val="bullet"/>
      <w:lvlText w:val="o"/>
      <w:lvlJc w:val="left"/>
      <w:pPr>
        <w:ind w:left="3660" w:hanging="360"/>
      </w:pPr>
      <w:rPr>
        <w:rFonts w:ascii="Courier New" w:hAnsi="Courier New" w:cs="Courier New" w:hint="default"/>
      </w:rPr>
    </w:lvl>
    <w:lvl w:ilvl="5" w:tplc="0C090005" w:tentative="1">
      <w:start w:val="1"/>
      <w:numFmt w:val="bullet"/>
      <w:lvlText w:val=""/>
      <w:lvlJc w:val="left"/>
      <w:pPr>
        <w:ind w:left="4380" w:hanging="360"/>
      </w:pPr>
      <w:rPr>
        <w:rFonts w:ascii="Wingdings" w:hAnsi="Wingdings" w:cs="Wingdings" w:hint="default"/>
      </w:rPr>
    </w:lvl>
    <w:lvl w:ilvl="6" w:tplc="0C090001" w:tentative="1">
      <w:start w:val="1"/>
      <w:numFmt w:val="bullet"/>
      <w:lvlText w:val=""/>
      <w:lvlJc w:val="left"/>
      <w:pPr>
        <w:ind w:left="5100" w:hanging="360"/>
      </w:pPr>
      <w:rPr>
        <w:rFonts w:ascii="Symbol" w:hAnsi="Symbol" w:cs="Symbol" w:hint="default"/>
      </w:rPr>
    </w:lvl>
    <w:lvl w:ilvl="7" w:tplc="0C090003" w:tentative="1">
      <w:start w:val="1"/>
      <w:numFmt w:val="bullet"/>
      <w:lvlText w:val="o"/>
      <w:lvlJc w:val="left"/>
      <w:pPr>
        <w:ind w:left="5820" w:hanging="360"/>
      </w:pPr>
      <w:rPr>
        <w:rFonts w:ascii="Courier New" w:hAnsi="Courier New" w:cs="Courier New" w:hint="default"/>
      </w:rPr>
    </w:lvl>
    <w:lvl w:ilvl="8" w:tplc="0C090005" w:tentative="1">
      <w:start w:val="1"/>
      <w:numFmt w:val="bullet"/>
      <w:lvlText w:val=""/>
      <w:lvlJc w:val="left"/>
      <w:pPr>
        <w:ind w:left="6540" w:hanging="360"/>
      </w:pPr>
      <w:rPr>
        <w:rFonts w:ascii="Wingdings" w:hAnsi="Wingdings" w:cs="Wingdings" w:hint="default"/>
      </w:rPr>
    </w:lvl>
  </w:abstractNum>
  <w:abstractNum w:abstractNumId="29" w15:restartNumberingAfterBreak="0">
    <w:nsid w:val="55AA21F0"/>
    <w:multiLevelType w:val="hybridMultilevel"/>
    <w:tmpl w:val="9B5CB936"/>
    <w:lvl w:ilvl="0" w:tplc="CCA08FFA">
      <w:start w:val="1"/>
      <w:numFmt w:val="decimal"/>
      <w:lvlText w:val="Table %1:"/>
      <w:lvlJc w:val="left"/>
      <w:pPr>
        <w:tabs>
          <w:tab w:val="num" w:pos="964"/>
        </w:tabs>
        <w:ind w:left="964" w:hanging="964"/>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55D64436"/>
    <w:multiLevelType w:val="hybridMultilevel"/>
    <w:tmpl w:val="05889DC2"/>
    <w:lvl w:ilvl="0" w:tplc="0C090011">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1" w15:restartNumberingAfterBreak="0">
    <w:nsid w:val="56B36AE3"/>
    <w:multiLevelType w:val="hybridMultilevel"/>
    <w:tmpl w:val="8D963B18"/>
    <w:lvl w:ilvl="0" w:tplc="EF68F65A">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2" w15:restartNumberingAfterBreak="0">
    <w:nsid w:val="57047ACF"/>
    <w:multiLevelType w:val="hybridMultilevel"/>
    <w:tmpl w:val="60925242"/>
    <w:lvl w:ilvl="0" w:tplc="FE9EAA6A">
      <w:start w:val="1"/>
      <w:numFmt w:val="bullet"/>
      <w:lvlText w:val="&gt;"/>
      <w:lvlJc w:val="left"/>
      <w:pPr>
        <w:ind w:left="360" w:hanging="360"/>
      </w:pPr>
      <w:rPr>
        <w:rFonts w:ascii="Vrinda" w:hAnsi="Vrinda" w:hint="default"/>
        <w:b w:val="0"/>
        <w:sz w:val="20"/>
        <w:szCs w:val="20"/>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33" w15:restartNumberingAfterBreak="0">
    <w:nsid w:val="5BE660EA"/>
    <w:multiLevelType w:val="hybridMultilevel"/>
    <w:tmpl w:val="9B08F832"/>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4" w15:restartNumberingAfterBreak="0">
    <w:nsid w:val="63C30333"/>
    <w:multiLevelType w:val="hybridMultilevel"/>
    <w:tmpl w:val="A5FC2D54"/>
    <w:lvl w:ilvl="0" w:tplc="65EA47EC">
      <w:start w:val="1"/>
      <w:numFmt w:val="decimal"/>
      <w:pStyle w:val="Captionfigure"/>
      <w:lvlText w:val="Figure %1:"/>
      <w:lvlJc w:val="left"/>
      <w:pPr>
        <w:tabs>
          <w:tab w:val="num" w:pos="1021"/>
        </w:tabs>
        <w:ind w:left="1021" w:hanging="1021"/>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65071478"/>
    <w:multiLevelType w:val="hybridMultilevel"/>
    <w:tmpl w:val="16D2B96E"/>
    <w:lvl w:ilvl="0" w:tplc="3A9CF91A">
      <w:start w:val="1"/>
      <w:numFmt w:val="decimal"/>
      <w:pStyle w:val="ACMAFigureHeader"/>
      <w:lvlText w:val="Figure %1: "/>
      <w:lvlJc w:val="left"/>
      <w:pPr>
        <w:tabs>
          <w:tab w:val="num" w:pos="4424"/>
        </w:tabs>
        <w:ind w:left="4424" w:hanging="1021"/>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66F219D2"/>
    <w:multiLevelType w:val="hybridMultilevel"/>
    <w:tmpl w:val="970E602E"/>
    <w:lvl w:ilvl="0" w:tplc="17461A80">
      <w:start w:val="1"/>
      <w:numFmt w:val="bullet"/>
      <w:lvlText w:val="˃"/>
      <w:lvlJc w:val="left"/>
      <w:pPr>
        <w:ind w:left="720" w:hanging="360"/>
      </w:pPr>
      <w:rPr>
        <w:rFonts w:ascii="Courier New" w:hAnsi="Courier New"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7" w15:restartNumberingAfterBreak="0">
    <w:nsid w:val="6D757AE6"/>
    <w:multiLevelType w:val="hybridMultilevel"/>
    <w:tmpl w:val="4BAEE1E2"/>
    <w:lvl w:ilvl="0" w:tplc="0DA4929C">
      <w:start w:val="1"/>
      <w:numFmt w:val="decimal"/>
      <w:pStyle w:val="Caption"/>
      <w:lvlText w:val="Table %1:"/>
      <w:lvlJc w:val="left"/>
      <w:pPr>
        <w:tabs>
          <w:tab w:val="num" w:pos="964"/>
        </w:tabs>
        <w:ind w:left="964" w:hanging="964"/>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78EF48EF"/>
    <w:multiLevelType w:val="hybridMultilevel"/>
    <w:tmpl w:val="48044A8C"/>
    <w:lvl w:ilvl="0" w:tplc="0C509E60">
      <w:numFmt w:val="bullet"/>
      <w:lvlText w:val="-"/>
      <w:lvlJc w:val="left"/>
      <w:pPr>
        <w:ind w:left="720" w:hanging="360"/>
      </w:pPr>
      <w:rPr>
        <w:rFonts w:ascii="Arial" w:eastAsia="Times New Roman" w:hAnsi="Arial" w:cs="Aria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9" w15:restartNumberingAfterBreak="0">
    <w:nsid w:val="7DEF15F8"/>
    <w:multiLevelType w:val="hybridMultilevel"/>
    <w:tmpl w:val="0CBABEB6"/>
    <w:lvl w:ilvl="0" w:tplc="E2B6FFCE">
      <w:numFmt w:val="bullet"/>
      <w:lvlText w:val="-"/>
      <w:lvlJc w:val="left"/>
      <w:pPr>
        <w:ind w:left="720" w:hanging="360"/>
      </w:pPr>
      <w:rPr>
        <w:rFonts w:ascii="Arial" w:eastAsia="Times New Roman" w:hAnsi="Arial" w:cs="Aria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abstractNumId w:val="3"/>
  </w:num>
  <w:num w:numId="2">
    <w:abstractNumId w:val="1"/>
  </w:num>
  <w:num w:numId="3">
    <w:abstractNumId w:val="2"/>
  </w:num>
  <w:num w:numId="4">
    <w:abstractNumId w:val="0"/>
  </w:num>
  <w:num w:numId="5">
    <w:abstractNumId w:val="16"/>
  </w:num>
  <w:num w:numId="6">
    <w:abstractNumId w:val="35"/>
  </w:num>
  <w:num w:numId="7">
    <w:abstractNumId w:val="29"/>
  </w:num>
  <w:num w:numId="8">
    <w:abstractNumId w:val="34"/>
  </w:num>
  <w:num w:numId="9">
    <w:abstractNumId w:val="37"/>
  </w:num>
  <w:num w:numId="10">
    <w:abstractNumId w:val="7"/>
  </w:num>
  <w:num w:numId="11">
    <w:abstractNumId w:val="5"/>
  </w:num>
  <w:num w:numId="12">
    <w:abstractNumId w:val="3"/>
  </w:num>
  <w:num w:numId="13">
    <w:abstractNumId w:val="2"/>
    <w:lvlOverride w:ilvl="0">
      <w:startOverride w:val="1"/>
    </w:lvlOverride>
  </w:num>
  <w:num w:numId="14">
    <w:abstractNumId w:val="2"/>
    <w:lvlOverride w:ilvl="0">
      <w:startOverride w:val="1"/>
    </w:lvlOverride>
  </w:num>
  <w:num w:numId="15">
    <w:abstractNumId w:val="2"/>
    <w:lvlOverride w:ilvl="0">
      <w:startOverride w:val="1"/>
    </w:lvlOverride>
  </w:num>
  <w:num w:numId="16">
    <w:abstractNumId w:val="17"/>
  </w:num>
  <w:num w:numId="17">
    <w:abstractNumId w:val="36"/>
  </w:num>
  <w:num w:numId="18">
    <w:abstractNumId w:val="3"/>
  </w:num>
  <w:num w:numId="19">
    <w:abstractNumId w:val="3"/>
  </w:num>
  <w:num w:numId="20">
    <w:abstractNumId w:val="22"/>
  </w:num>
  <w:num w:numId="21">
    <w:abstractNumId w:val="29"/>
    <w:lvlOverride w:ilvl="0">
      <w:startOverride w:val="1"/>
    </w:lvlOverride>
  </w:num>
  <w:num w:numId="22">
    <w:abstractNumId w:val="13"/>
  </w:num>
  <w:num w:numId="23">
    <w:abstractNumId w:val="10"/>
  </w:num>
  <w:num w:numId="24">
    <w:abstractNumId w:val="2"/>
    <w:lvlOverride w:ilvl="0">
      <w:startOverride w:val="1"/>
    </w:lvlOverride>
  </w:num>
  <w:num w:numId="25">
    <w:abstractNumId w:val="8"/>
  </w:num>
  <w:num w:numId="26">
    <w:abstractNumId w:val="6"/>
  </w:num>
  <w:num w:numId="27">
    <w:abstractNumId w:val="18"/>
  </w:num>
  <w:num w:numId="28">
    <w:abstractNumId w:val="20"/>
  </w:num>
  <w:num w:numId="29">
    <w:abstractNumId w:val="3"/>
  </w:num>
  <w:num w:numId="30">
    <w:abstractNumId w:val="3"/>
  </w:num>
  <w:num w:numId="31">
    <w:abstractNumId w:val="3"/>
  </w:num>
  <w:num w:numId="32">
    <w:abstractNumId w:val="2"/>
    <w:lvlOverride w:ilvl="0">
      <w:startOverride w:val="1"/>
    </w:lvlOverride>
  </w:num>
  <w:num w:numId="33">
    <w:abstractNumId w:val="30"/>
  </w:num>
  <w:num w:numId="34">
    <w:abstractNumId w:val="25"/>
  </w:num>
  <w:num w:numId="35">
    <w:abstractNumId w:val="24"/>
  </w:num>
  <w:num w:numId="36">
    <w:abstractNumId w:val="3"/>
  </w:num>
  <w:num w:numId="37">
    <w:abstractNumId w:val="23"/>
  </w:num>
  <w:num w:numId="38">
    <w:abstractNumId w:val="4"/>
  </w:num>
  <w:num w:numId="39">
    <w:abstractNumId w:val="21"/>
  </w:num>
  <w:num w:numId="40">
    <w:abstractNumId w:val="31"/>
  </w:num>
  <w:num w:numId="41">
    <w:abstractNumId w:val="19"/>
  </w:num>
  <w:num w:numId="42">
    <w:abstractNumId w:val="27"/>
  </w:num>
  <w:num w:numId="43">
    <w:abstractNumId w:val="3"/>
  </w:num>
  <w:num w:numId="44">
    <w:abstractNumId w:val="3"/>
  </w:num>
  <w:num w:numId="45">
    <w:abstractNumId w:val="3"/>
  </w:num>
  <w:num w:numId="46">
    <w:abstractNumId w:val="9"/>
  </w:num>
  <w:num w:numId="47">
    <w:abstractNumId w:val="11"/>
  </w:num>
  <w:num w:numId="48">
    <w:abstractNumId w:val="26"/>
  </w:num>
  <w:num w:numId="49">
    <w:abstractNumId w:val="3"/>
  </w:num>
  <w:num w:numId="50">
    <w:abstractNumId w:val="33"/>
  </w:num>
  <w:num w:numId="51">
    <w:abstractNumId w:val="28"/>
  </w:num>
  <w:num w:numId="52">
    <w:abstractNumId w:val="3"/>
  </w:num>
  <w:num w:numId="53">
    <w:abstractNumId w:val="15"/>
  </w:num>
  <w:num w:numId="54">
    <w:abstractNumId w:val="3"/>
  </w:num>
  <w:num w:numId="55">
    <w:abstractNumId w:val="32"/>
  </w:num>
  <w:num w:numId="56">
    <w:abstractNumId w:val="14"/>
  </w:num>
  <w:num w:numId="57">
    <w:abstractNumId w:val="3"/>
  </w:num>
  <w:num w:numId="58">
    <w:abstractNumId w:val="39"/>
  </w:num>
  <w:num w:numId="59">
    <w:abstractNumId w:val="38"/>
  </w:num>
  <w:num w:numId="60">
    <w:abstractNumId w:val="12"/>
  </w:num>
  <w:numIdMacAtCleanup w:val="5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removePersonalInformation/>
  <w:removeDateAndTime/>
  <w:hideSpellingErrors/>
  <w:hideGrammaticalErrors/>
  <w:proofState w:spelling="clean" w:grammar="clean"/>
  <w:stylePaneFormatFilter w:val="D004" w:allStyles="0" w:customStyles="0" w:latentStyles="1" w:stylesInUse="0" w:headingStyles="0" w:numberingStyles="0" w:tableStyles="0" w:directFormattingOnRuns="0" w:directFormattingOnParagraphs="0" w:directFormattingOnNumbering="0" w:directFormattingOnTables="0" w:clearFormatting="1" w:top3HeadingStyles="0" w:visibleStyles="1" w:alternateStyleNames="1"/>
  <w:defaultTabStop w:val="284"/>
  <w:evenAndOddHeaders/>
  <w:drawingGridHorizontalSpacing w:val="100"/>
  <w:displayHorizontalDrawingGridEvery w:val="2"/>
  <w:characterSpacingControl w:val="doNotCompress"/>
  <w:hdrShapeDefaults>
    <o:shapedefaults v:ext="edit" spidmax="71681">
      <o:colormru v:ext="edit" colors="red,#4d4d4f"/>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B4F4E"/>
    <w:rsid w:val="00000AAC"/>
    <w:rsid w:val="00001699"/>
    <w:rsid w:val="00002FB9"/>
    <w:rsid w:val="000031BD"/>
    <w:rsid w:val="00003B8B"/>
    <w:rsid w:val="000046BB"/>
    <w:rsid w:val="0000598B"/>
    <w:rsid w:val="00007FDA"/>
    <w:rsid w:val="00010667"/>
    <w:rsid w:val="00011331"/>
    <w:rsid w:val="000129D5"/>
    <w:rsid w:val="00012DEF"/>
    <w:rsid w:val="00012F3E"/>
    <w:rsid w:val="00012F49"/>
    <w:rsid w:val="00015AE7"/>
    <w:rsid w:val="00016776"/>
    <w:rsid w:val="00016E21"/>
    <w:rsid w:val="0001719C"/>
    <w:rsid w:val="0001721F"/>
    <w:rsid w:val="0002021C"/>
    <w:rsid w:val="0002224E"/>
    <w:rsid w:val="00024302"/>
    <w:rsid w:val="000245E5"/>
    <w:rsid w:val="0002499B"/>
    <w:rsid w:val="0002513C"/>
    <w:rsid w:val="00026F91"/>
    <w:rsid w:val="00030573"/>
    <w:rsid w:val="00032621"/>
    <w:rsid w:val="00033F6A"/>
    <w:rsid w:val="00034114"/>
    <w:rsid w:val="00037FEF"/>
    <w:rsid w:val="000401E9"/>
    <w:rsid w:val="00040884"/>
    <w:rsid w:val="00040FB2"/>
    <w:rsid w:val="0004148A"/>
    <w:rsid w:val="00041BDE"/>
    <w:rsid w:val="0004227F"/>
    <w:rsid w:val="0004316B"/>
    <w:rsid w:val="00043C60"/>
    <w:rsid w:val="00044695"/>
    <w:rsid w:val="00046901"/>
    <w:rsid w:val="0004764C"/>
    <w:rsid w:val="00047771"/>
    <w:rsid w:val="0005011A"/>
    <w:rsid w:val="0005045A"/>
    <w:rsid w:val="0005186F"/>
    <w:rsid w:val="00051C1E"/>
    <w:rsid w:val="00052935"/>
    <w:rsid w:val="000532CF"/>
    <w:rsid w:val="000539F9"/>
    <w:rsid w:val="00054C27"/>
    <w:rsid w:val="00055EC3"/>
    <w:rsid w:val="000563CE"/>
    <w:rsid w:val="000644D1"/>
    <w:rsid w:val="000659B6"/>
    <w:rsid w:val="00065FDB"/>
    <w:rsid w:val="0006686F"/>
    <w:rsid w:val="0006722A"/>
    <w:rsid w:val="0007287E"/>
    <w:rsid w:val="00072D5C"/>
    <w:rsid w:val="000732CF"/>
    <w:rsid w:val="00075B96"/>
    <w:rsid w:val="0008196A"/>
    <w:rsid w:val="00085171"/>
    <w:rsid w:val="00086D26"/>
    <w:rsid w:val="0008707E"/>
    <w:rsid w:val="00087FDD"/>
    <w:rsid w:val="000915ED"/>
    <w:rsid w:val="0009209D"/>
    <w:rsid w:val="0009243D"/>
    <w:rsid w:val="0009406A"/>
    <w:rsid w:val="0009463C"/>
    <w:rsid w:val="000951C1"/>
    <w:rsid w:val="00095C45"/>
    <w:rsid w:val="000960E2"/>
    <w:rsid w:val="000969BD"/>
    <w:rsid w:val="000969BF"/>
    <w:rsid w:val="000A0C22"/>
    <w:rsid w:val="000A1320"/>
    <w:rsid w:val="000A1400"/>
    <w:rsid w:val="000A1AB1"/>
    <w:rsid w:val="000A1C26"/>
    <w:rsid w:val="000A2717"/>
    <w:rsid w:val="000A3C43"/>
    <w:rsid w:val="000A4A51"/>
    <w:rsid w:val="000A5D2B"/>
    <w:rsid w:val="000A620F"/>
    <w:rsid w:val="000A6801"/>
    <w:rsid w:val="000A79E1"/>
    <w:rsid w:val="000B00FE"/>
    <w:rsid w:val="000B02EF"/>
    <w:rsid w:val="000B1851"/>
    <w:rsid w:val="000B4664"/>
    <w:rsid w:val="000B5059"/>
    <w:rsid w:val="000B5A70"/>
    <w:rsid w:val="000B5AFF"/>
    <w:rsid w:val="000B5DE3"/>
    <w:rsid w:val="000B6B04"/>
    <w:rsid w:val="000C02CA"/>
    <w:rsid w:val="000C0A57"/>
    <w:rsid w:val="000C1212"/>
    <w:rsid w:val="000C1759"/>
    <w:rsid w:val="000C230C"/>
    <w:rsid w:val="000C2862"/>
    <w:rsid w:val="000C2DE0"/>
    <w:rsid w:val="000C334E"/>
    <w:rsid w:val="000C35EA"/>
    <w:rsid w:val="000C3EF7"/>
    <w:rsid w:val="000C6AB4"/>
    <w:rsid w:val="000C7356"/>
    <w:rsid w:val="000C7B79"/>
    <w:rsid w:val="000D0489"/>
    <w:rsid w:val="000D23C3"/>
    <w:rsid w:val="000D3DDE"/>
    <w:rsid w:val="000D4A3F"/>
    <w:rsid w:val="000D6BC8"/>
    <w:rsid w:val="000D6C8A"/>
    <w:rsid w:val="000D71D9"/>
    <w:rsid w:val="000D76E0"/>
    <w:rsid w:val="000D795A"/>
    <w:rsid w:val="000D79E6"/>
    <w:rsid w:val="000D7E8B"/>
    <w:rsid w:val="000E25B9"/>
    <w:rsid w:val="000E4449"/>
    <w:rsid w:val="000E6097"/>
    <w:rsid w:val="000E6A35"/>
    <w:rsid w:val="000E7B5C"/>
    <w:rsid w:val="000F25B0"/>
    <w:rsid w:val="000F2FED"/>
    <w:rsid w:val="000F3559"/>
    <w:rsid w:val="000F4FA5"/>
    <w:rsid w:val="000F674A"/>
    <w:rsid w:val="000F6786"/>
    <w:rsid w:val="000F69A7"/>
    <w:rsid w:val="000F74F2"/>
    <w:rsid w:val="000F7F98"/>
    <w:rsid w:val="00101BC1"/>
    <w:rsid w:val="00103829"/>
    <w:rsid w:val="0010397A"/>
    <w:rsid w:val="00103DDD"/>
    <w:rsid w:val="00105906"/>
    <w:rsid w:val="00105AEB"/>
    <w:rsid w:val="00107516"/>
    <w:rsid w:val="0011039D"/>
    <w:rsid w:val="00111FCE"/>
    <w:rsid w:val="00113826"/>
    <w:rsid w:val="00113C34"/>
    <w:rsid w:val="001172B0"/>
    <w:rsid w:val="001219EA"/>
    <w:rsid w:val="00122735"/>
    <w:rsid w:val="001229A5"/>
    <w:rsid w:val="0012489B"/>
    <w:rsid w:val="00124E75"/>
    <w:rsid w:val="00125025"/>
    <w:rsid w:val="00125240"/>
    <w:rsid w:val="00130017"/>
    <w:rsid w:val="00130F91"/>
    <w:rsid w:val="00132804"/>
    <w:rsid w:val="00133A57"/>
    <w:rsid w:val="00133E0F"/>
    <w:rsid w:val="001342BE"/>
    <w:rsid w:val="001349ED"/>
    <w:rsid w:val="00136642"/>
    <w:rsid w:val="0013728A"/>
    <w:rsid w:val="00137424"/>
    <w:rsid w:val="00140318"/>
    <w:rsid w:val="00141AD9"/>
    <w:rsid w:val="001423C6"/>
    <w:rsid w:val="00143693"/>
    <w:rsid w:val="0014383F"/>
    <w:rsid w:val="00146CE6"/>
    <w:rsid w:val="001508B6"/>
    <w:rsid w:val="00150A79"/>
    <w:rsid w:val="00150B64"/>
    <w:rsid w:val="00150DB6"/>
    <w:rsid w:val="00152903"/>
    <w:rsid w:val="001530FD"/>
    <w:rsid w:val="001536C8"/>
    <w:rsid w:val="00153FD5"/>
    <w:rsid w:val="001546B5"/>
    <w:rsid w:val="0015614F"/>
    <w:rsid w:val="001577C2"/>
    <w:rsid w:val="001615DB"/>
    <w:rsid w:val="001633C4"/>
    <w:rsid w:val="00163F24"/>
    <w:rsid w:val="00165B6E"/>
    <w:rsid w:val="00165E69"/>
    <w:rsid w:val="001669CD"/>
    <w:rsid w:val="00167149"/>
    <w:rsid w:val="001704D5"/>
    <w:rsid w:val="00170689"/>
    <w:rsid w:val="00170765"/>
    <w:rsid w:val="00170935"/>
    <w:rsid w:val="00171591"/>
    <w:rsid w:val="00171756"/>
    <w:rsid w:val="0017359A"/>
    <w:rsid w:val="00173981"/>
    <w:rsid w:val="0017444B"/>
    <w:rsid w:val="00174D08"/>
    <w:rsid w:val="001765B9"/>
    <w:rsid w:val="0017719D"/>
    <w:rsid w:val="001779D9"/>
    <w:rsid w:val="001779ED"/>
    <w:rsid w:val="0018089A"/>
    <w:rsid w:val="00181377"/>
    <w:rsid w:val="00183FD7"/>
    <w:rsid w:val="00184D57"/>
    <w:rsid w:val="00185CAB"/>
    <w:rsid w:val="00186A33"/>
    <w:rsid w:val="001875B7"/>
    <w:rsid w:val="00187CB3"/>
    <w:rsid w:val="0019050A"/>
    <w:rsid w:val="001910D4"/>
    <w:rsid w:val="001915F8"/>
    <w:rsid w:val="00194495"/>
    <w:rsid w:val="00194BDB"/>
    <w:rsid w:val="0019513C"/>
    <w:rsid w:val="00195DA4"/>
    <w:rsid w:val="00196E23"/>
    <w:rsid w:val="001976E3"/>
    <w:rsid w:val="00197B9B"/>
    <w:rsid w:val="00197E91"/>
    <w:rsid w:val="001A19F0"/>
    <w:rsid w:val="001A1C18"/>
    <w:rsid w:val="001A26DA"/>
    <w:rsid w:val="001A3E36"/>
    <w:rsid w:val="001A4174"/>
    <w:rsid w:val="001A44EC"/>
    <w:rsid w:val="001A4541"/>
    <w:rsid w:val="001A547C"/>
    <w:rsid w:val="001A5B36"/>
    <w:rsid w:val="001B19ED"/>
    <w:rsid w:val="001B2A3D"/>
    <w:rsid w:val="001B4859"/>
    <w:rsid w:val="001B49F7"/>
    <w:rsid w:val="001B58AA"/>
    <w:rsid w:val="001B68E5"/>
    <w:rsid w:val="001B7E48"/>
    <w:rsid w:val="001C0130"/>
    <w:rsid w:val="001C0D6A"/>
    <w:rsid w:val="001C0DA7"/>
    <w:rsid w:val="001C17CE"/>
    <w:rsid w:val="001C23BE"/>
    <w:rsid w:val="001C27EB"/>
    <w:rsid w:val="001C36CA"/>
    <w:rsid w:val="001C44D1"/>
    <w:rsid w:val="001C6AEE"/>
    <w:rsid w:val="001C7630"/>
    <w:rsid w:val="001D0C9A"/>
    <w:rsid w:val="001D0D6B"/>
    <w:rsid w:val="001D104E"/>
    <w:rsid w:val="001D35BD"/>
    <w:rsid w:val="001D37C1"/>
    <w:rsid w:val="001D58B1"/>
    <w:rsid w:val="001D6198"/>
    <w:rsid w:val="001D6D15"/>
    <w:rsid w:val="001D717B"/>
    <w:rsid w:val="001E1549"/>
    <w:rsid w:val="001E3F67"/>
    <w:rsid w:val="001E4E10"/>
    <w:rsid w:val="001E507E"/>
    <w:rsid w:val="001E6815"/>
    <w:rsid w:val="001E6F09"/>
    <w:rsid w:val="001F00FF"/>
    <w:rsid w:val="001F0274"/>
    <w:rsid w:val="001F0441"/>
    <w:rsid w:val="001F22ED"/>
    <w:rsid w:val="001F29EE"/>
    <w:rsid w:val="001F3E78"/>
    <w:rsid w:val="001F4DAC"/>
    <w:rsid w:val="001F50F7"/>
    <w:rsid w:val="001F5451"/>
    <w:rsid w:val="001F5BC1"/>
    <w:rsid w:val="001F6DD2"/>
    <w:rsid w:val="001F7558"/>
    <w:rsid w:val="00201441"/>
    <w:rsid w:val="00201EE2"/>
    <w:rsid w:val="00205B57"/>
    <w:rsid w:val="00205DB9"/>
    <w:rsid w:val="002060D0"/>
    <w:rsid w:val="0021426C"/>
    <w:rsid w:val="00214543"/>
    <w:rsid w:val="00214D9D"/>
    <w:rsid w:val="002154C5"/>
    <w:rsid w:val="002157E0"/>
    <w:rsid w:val="00215EEC"/>
    <w:rsid w:val="00216748"/>
    <w:rsid w:val="00216A57"/>
    <w:rsid w:val="00216F02"/>
    <w:rsid w:val="00217448"/>
    <w:rsid w:val="002176AC"/>
    <w:rsid w:val="002225CA"/>
    <w:rsid w:val="0022334F"/>
    <w:rsid w:val="002246ED"/>
    <w:rsid w:val="00226819"/>
    <w:rsid w:val="00231C21"/>
    <w:rsid w:val="002329CD"/>
    <w:rsid w:val="00232AB4"/>
    <w:rsid w:val="00233101"/>
    <w:rsid w:val="00233817"/>
    <w:rsid w:val="00233D5D"/>
    <w:rsid w:val="002342D1"/>
    <w:rsid w:val="002346FA"/>
    <w:rsid w:val="00235CBD"/>
    <w:rsid w:val="002367FF"/>
    <w:rsid w:val="00236D10"/>
    <w:rsid w:val="00237E20"/>
    <w:rsid w:val="00240CE9"/>
    <w:rsid w:val="00241372"/>
    <w:rsid w:val="0024202B"/>
    <w:rsid w:val="002434BA"/>
    <w:rsid w:val="00243818"/>
    <w:rsid w:val="0024469E"/>
    <w:rsid w:val="00244ABE"/>
    <w:rsid w:val="00244DD7"/>
    <w:rsid w:val="00245228"/>
    <w:rsid w:val="00246089"/>
    <w:rsid w:val="00246093"/>
    <w:rsid w:val="00246702"/>
    <w:rsid w:val="00246E88"/>
    <w:rsid w:val="00247C59"/>
    <w:rsid w:val="00247F2E"/>
    <w:rsid w:val="00250ADC"/>
    <w:rsid w:val="00250B07"/>
    <w:rsid w:val="002511EC"/>
    <w:rsid w:val="00252129"/>
    <w:rsid w:val="0025268E"/>
    <w:rsid w:val="0025381F"/>
    <w:rsid w:val="00254934"/>
    <w:rsid w:val="00254C04"/>
    <w:rsid w:val="00256700"/>
    <w:rsid w:val="002572F1"/>
    <w:rsid w:val="00257553"/>
    <w:rsid w:val="00260FB2"/>
    <w:rsid w:val="00262128"/>
    <w:rsid w:val="00265765"/>
    <w:rsid w:val="00265A59"/>
    <w:rsid w:val="00266CD5"/>
    <w:rsid w:val="00267721"/>
    <w:rsid w:val="00267FBF"/>
    <w:rsid w:val="00270402"/>
    <w:rsid w:val="00270CBC"/>
    <w:rsid w:val="0027165D"/>
    <w:rsid w:val="00272174"/>
    <w:rsid w:val="002721BB"/>
    <w:rsid w:val="00272E6F"/>
    <w:rsid w:val="0027391F"/>
    <w:rsid w:val="00273CEB"/>
    <w:rsid w:val="0027629C"/>
    <w:rsid w:val="00276393"/>
    <w:rsid w:val="00277BB5"/>
    <w:rsid w:val="00281C89"/>
    <w:rsid w:val="00282709"/>
    <w:rsid w:val="0028282F"/>
    <w:rsid w:val="00282B86"/>
    <w:rsid w:val="00284748"/>
    <w:rsid w:val="002857F7"/>
    <w:rsid w:val="00285BB5"/>
    <w:rsid w:val="00286CBD"/>
    <w:rsid w:val="00290F3E"/>
    <w:rsid w:val="002911DF"/>
    <w:rsid w:val="0029201A"/>
    <w:rsid w:val="0029593B"/>
    <w:rsid w:val="00295C90"/>
    <w:rsid w:val="0029664E"/>
    <w:rsid w:val="0029669E"/>
    <w:rsid w:val="00297E5D"/>
    <w:rsid w:val="00297FC5"/>
    <w:rsid w:val="002A0417"/>
    <w:rsid w:val="002A1147"/>
    <w:rsid w:val="002A16D8"/>
    <w:rsid w:val="002A1AD9"/>
    <w:rsid w:val="002A1BC8"/>
    <w:rsid w:val="002A2EED"/>
    <w:rsid w:val="002A3859"/>
    <w:rsid w:val="002A3EF2"/>
    <w:rsid w:val="002A4251"/>
    <w:rsid w:val="002A4E07"/>
    <w:rsid w:val="002A515C"/>
    <w:rsid w:val="002A7BD4"/>
    <w:rsid w:val="002B0DED"/>
    <w:rsid w:val="002B190F"/>
    <w:rsid w:val="002B19A2"/>
    <w:rsid w:val="002B278A"/>
    <w:rsid w:val="002B288A"/>
    <w:rsid w:val="002B353C"/>
    <w:rsid w:val="002B381A"/>
    <w:rsid w:val="002B46A5"/>
    <w:rsid w:val="002B4764"/>
    <w:rsid w:val="002B4FCC"/>
    <w:rsid w:val="002B5138"/>
    <w:rsid w:val="002B6FE8"/>
    <w:rsid w:val="002B7408"/>
    <w:rsid w:val="002B7CFD"/>
    <w:rsid w:val="002C0530"/>
    <w:rsid w:val="002C0AFD"/>
    <w:rsid w:val="002C210F"/>
    <w:rsid w:val="002C33CF"/>
    <w:rsid w:val="002C3E79"/>
    <w:rsid w:val="002D2FB9"/>
    <w:rsid w:val="002D3245"/>
    <w:rsid w:val="002D3600"/>
    <w:rsid w:val="002D58D7"/>
    <w:rsid w:val="002D6108"/>
    <w:rsid w:val="002D670C"/>
    <w:rsid w:val="002D6E3B"/>
    <w:rsid w:val="002D7862"/>
    <w:rsid w:val="002E2ED6"/>
    <w:rsid w:val="002E3366"/>
    <w:rsid w:val="002E4C69"/>
    <w:rsid w:val="002E4DDC"/>
    <w:rsid w:val="002E6201"/>
    <w:rsid w:val="002E79DE"/>
    <w:rsid w:val="002F143A"/>
    <w:rsid w:val="002F2ECC"/>
    <w:rsid w:val="002F4AA4"/>
    <w:rsid w:val="002F5CB1"/>
    <w:rsid w:val="002F5DDD"/>
    <w:rsid w:val="003004E7"/>
    <w:rsid w:val="00302480"/>
    <w:rsid w:val="00302758"/>
    <w:rsid w:val="00303A9B"/>
    <w:rsid w:val="003044F9"/>
    <w:rsid w:val="00304822"/>
    <w:rsid w:val="0030585D"/>
    <w:rsid w:val="0030659E"/>
    <w:rsid w:val="00306DA6"/>
    <w:rsid w:val="003103E1"/>
    <w:rsid w:val="00310A8D"/>
    <w:rsid w:val="003111F8"/>
    <w:rsid w:val="003113F8"/>
    <w:rsid w:val="003126F1"/>
    <w:rsid w:val="003127B9"/>
    <w:rsid w:val="003131C7"/>
    <w:rsid w:val="00313504"/>
    <w:rsid w:val="00313720"/>
    <w:rsid w:val="00315028"/>
    <w:rsid w:val="003165E6"/>
    <w:rsid w:val="00316DBF"/>
    <w:rsid w:val="003170A5"/>
    <w:rsid w:val="00317E95"/>
    <w:rsid w:val="00320AFC"/>
    <w:rsid w:val="00321065"/>
    <w:rsid w:val="003215B5"/>
    <w:rsid w:val="00321B2C"/>
    <w:rsid w:val="00321C1F"/>
    <w:rsid w:val="003221CF"/>
    <w:rsid w:val="003233ED"/>
    <w:rsid w:val="00323504"/>
    <w:rsid w:val="00324D9F"/>
    <w:rsid w:val="00326725"/>
    <w:rsid w:val="00327948"/>
    <w:rsid w:val="0033000F"/>
    <w:rsid w:val="00332011"/>
    <w:rsid w:val="00332518"/>
    <w:rsid w:val="00332925"/>
    <w:rsid w:val="00332C2E"/>
    <w:rsid w:val="00332E3F"/>
    <w:rsid w:val="003332ED"/>
    <w:rsid w:val="0033535B"/>
    <w:rsid w:val="003357A6"/>
    <w:rsid w:val="003368DC"/>
    <w:rsid w:val="00341EA6"/>
    <w:rsid w:val="00342FDA"/>
    <w:rsid w:val="00344DF8"/>
    <w:rsid w:val="00345886"/>
    <w:rsid w:val="00345927"/>
    <w:rsid w:val="00345DA6"/>
    <w:rsid w:val="00350584"/>
    <w:rsid w:val="00351857"/>
    <w:rsid w:val="003526CC"/>
    <w:rsid w:val="003545E8"/>
    <w:rsid w:val="00354A0F"/>
    <w:rsid w:val="00356546"/>
    <w:rsid w:val="003610E1"/>
    <w:rsid w:val="00362F10"/>
    <w:rsid w:val="00363733"/>
    <w:rsid w:val="00363771"/>
    <w:rsid w:val="00364C28"/>
    <w:rsid w:val="00365121"/>
    <w:rsid w:val="00365C21"/>
    <w:rsid w:val="003671BE"/>
    <w:rsid w:val="003701CF"/>
    <w:rsid w:val="00371A4B"/>
    <w:rsid w:val="00372485"/>
    <w:rsid w:val="00372A14"/>
    <w:rsid w:val="00373200"/>
    <w:rsid w:val="00375B6C"/>
    <w:rsid w:val="00375E03"/>
    <w:rsid w:val="00375EF5"/>
    <w:rsid w:val="0037602A"/>
    <w:rsid w:val="003767A5"/>
    <w:rsid w:val="00376919"/>
    <w:rsid w:val="00377894"/>
    <w:rsid w:val="003810A2"/>
    <w:rsid w:val="00381AFF"/>
    <w:rsid w:val="00381D15"/>
    <w:rsid w:val="00381FFA"/>
    <w:rsid w:val="003824BE"/>
    <w:rsid w:val="00382899"/>
    <w:rsid w:val="00385254"/>
    <w:rsid w:val="003870D7"/>
    <w:rsid w:val="00390984"/>
    <w:rsid w:val="003916A7"/>
    <w:rsid w:val="003925EE"/>
    <w:rsid w:val="003933E8"/>
    <w:rsid w:val="0039396F"/>
    <w:rsid w:val="00394031"/>
    <w:rsid w:val="003943EC"/>
    <w:rsid w:val="00394481"/>
    <w:rsid w:val="00394C89"/>
    <w:rsid w:val="0039657E"/>
    <w:rsid w:val="003969B0"/>
    <w:rsid w:val="00396DC2"/>
    <w:rsid w:val="003A04DB"/>
    <w:rsid w:val="003A065A"/>
    <w:rsid w:val="003A1050"/>
    <w:rsid w:val="003A1F55"/>
    <w:rsid w:val="003A39C5"/>
    <w:rsid w:val="003A500A"/>
    <w:rsid w:val="003A5F5B"/>
    <w:rsid w:val="003A6075"/>
    <w:rsid w:val="003A6ECF"/>
    <w:rsid w:val="003A789A"/>
    <w:rsid w:val="003B12EC"/>
    <w:rsid w:val="003B1671"/>
    <w:rsid w:val="003B1F5E"/>
    <w:rsid w:val="003B2C01"/>
    <w:rsid w:val="003B30AE"/>
    <w:rsid w:val="003B3A44"/>
    <w:rsid w:val="003B432A"/>
    <w:rsid w:val="003B6D41"/>
    <w:rsid w:val="003B7774"/>
    <w:rsid w:val="003C03B8"/>
    <w:rsid w:val="003C1EA1"/>
    <w:rsid w:val="003C5576"/>
    <w:rsid w:val="003C5C0B"/>
    <w:rsid w:val="003C60E9"/>
    <w:rsid w:val="003C69C9"/>
    <w:rsid w:val="003C6F0F"/>
    <w:rsid w:val="003C7437"/>
    <w:rsid w:val="003C77E0"/>
    <w:rsid w:val="003C7DCF"/>
    <w:rsid w:val="003D1368"/>
    <w:rsid w:val="003D17D7"/>
    <w:rsid w:val="003D2678"/>
    <w:rsid w:val="003D3347"/>
    <w:rsid w:val="003D415E"/>
    <w:rsid w:val="003D527C"/>
    <w:rsid w:val="003D6BBF"/>
    <w:rsid w:val="003D71A3"/>
    <w:rsid w:val="003D7D34"/>
    <w:rsid w:val="003E03BA"/>
    <w:rsid w:val="003E2B8A"/>
    <w:rsid w:val="003E2C2F"/>
    <w:rsid w:val="003E54D3"/>
    <w:rsid w:val="003E589F"/>
    <w:rsid w:val="003E6D77"/>
    <w:rsid w:val="003F10EE"/>
    <w:rsid w:val="003F16F6"/>
    <w:rsid w:val="003F4A81"/>
    <w:rsid w:val="003F4C98"/>
    <w:rsid w:val="003F4DC7"/>
    <w:rsid w:val="003F5235"/>
    <w:rsid w:val="003F784A"/>
    <w:rsid w:val="00401614"/>
    <w:rsid w:val="004027B4"/>
    <w:rsid w:val="004027E4"/>
    <w:rsid w:val="00403315"/>
    <w:rsid w:val="00406531"/>
    <w:rsid w:val="004065A5"/>
    <w:rsid w:val="00407DC7"/>
    <w:rsid w:val="00410585"/>
    <w:rsid w:val="0041071D"/>
    <w:rsid w:val="004125AD"/>
    <w:rsid w:val="00413914"/>
    <w:rsid w:val="00414AFC"/>
    <w:rsid w:val="004151A7"/>
    <w:rsid w:val="00415310"/>
    <w:rsid w:val="0041618F"/>
    <w:rsid w:val="00417128"/>
    <w:rsid w:val="00420059"/>
    <w:rsid w:val="0042108B"/>
    <w:rsid w:val="00421709"/>
    <w:rsid w:val="00421AF0"/>
    <w:rsid w:val="0042205C"/>
    <w:rsid w:val="004229C0"/>
    <w:rsid w:val="00422CBC"/>
    <w:rsid w:val="0042330A"/>
    <w:rsid w:val="00423763"/>
    <w:rsid w:val="00424B15"/>
    <w:rsid w:val="00424D83"/>
    <w:rsid w:val="00425DD8"/>
    <w:rsid w:val="00427257"/>
    <w:rsid w:val="0042762F"/>
    <w:rsid w:val="00427DC7"/>
    <w:rsid w:val="00430BFA"/>
    <w:rsid w:val="00431613"/>
    <w:rsid w:val="00431792"/>
    <w:rsid w:val="00431F9F"/>
    <w:rsid w:val="0043297A"/>
    <w:rsid w:val="00432EB2"/>
    <w:rsid w:val="004331C5"/>
    <w:rsid w:val="00433200"/>
    <w:rsid w:val="00434268"/>
    <w:rsid w:val="004349CE"/>
    <w:rsid w:val="00434ADA"/>
    <w:rsid w:val="0043511B"/>
    <w:rsid w:val="00435A01"/>
    <w:rsid w:val="00436E6E"/>
    <w:rsid w:val="00437068"/>
    <w:rsid w:val="0043714F"/>
    <w:rsid w:val="0043797B"/>
    <w:rsid w:val="00440079"/>
    <w:rsid w:val="00441310"/>
    <w:rsid w:val="004418C2"/>
    <w:rsid w:val="00441FAB"/>
    <w:rsid w:val="004438B5"/>
    <w:rsid w:val="00444280"/>
    <w:rsid w:val="004455BF"/>
    <w:rsid w:val="004460F0"/>
    <w:rsid w:val="00447037"/>
    <w:rsid w:val="00447ADB"/>
    <w:rsid w:val="004508F7"/>
    <w:rsid w:val="00450C3A"/>
    <w:rsid w:val="0045124D"/>
    <w:rsid w:val="004514FA"/>
    <w:rsid w:val="004529D9"/>
    <w:rsid w:val="00453B2B"/>
    <w:rsid w:val="00454596"/>
    <w:rsid w:val="00454E63"/>
    <w:rsid w:val="00455101"/>
    <w:rsid w:val="0045605D"/>
    <w:rsid w:val="004572AF"/>
    <w:rsid w:val="00457616"/>
    <w:rsid w:val="00457D39"/>
    <w:rsid w:val="00460666"/>
    <w:rsid w:val="0046135B"/>
    <w:rsid w:val="00461751"/>
    <w:rsid w:val="00461AD7"/>
    <w:rsid w:val="00461D47"/>
    <w:rsid w:val="00462EDD"/>
    <w:rsid w:val="004635AA"/>
    <w:rsid w:val="0046527D"/>
    <w:rsid w:val="00465734"/>
    <w:rsid w:val="004718CC"/>
    <w:rsid w:val="00472226"/>
    <w:rsid w:val="004731E4"/>
    <w:rsid w:val="004757EF"/>
    <w:rsid w:val="00475A25"/>
    <w:rsid w:val="00476DD3"/>
    <w:rsid w:val="004775C2"/>
    <w:rsid w:val="00481695"/>
    <w:rsid w:val="00484DB6"/>
    <w:rsid w:val="00485DFF"/>
    <w:rsid w:val="0048778E"/>
    <w:rsid w:val="00490189"/>
    <w:rsid w:val="00490D04"/>
    <w:rsid w:val="00494B73"/>
    <w:rsid w:val="00495642"/>
    <w:rsid w:val="00495A96"/>
    <w:rsid w:val="00495BB3"/>
    <w:rsid w:val="004969F2"/>
    <w:rsid w:val="00497D02"/>
    <w:rsid w:val="004A06D2"/>
    <w:rsid w:val="004A0D57"/>
    <w:rsid w:val="004A270B"/>
    <w:rsid w:val="004A27E3"/>
    <w:rsid w:val="004A350D"/>
    <w:rsid w:val="004A56BB"/>
    <w:rsid w:val="004A70D6"/>
    <w:rsid w:val="004A73AC"/>
    <w:rsid w:val="004A794D"/>
    <w:rsid w:val="004B0FB2"/>
    <w:rsid w:val="004B148B"/>
    <w:rsid w:val="004B1751"/>
    <w:rsid w:val="004B1899"/>
    <w:rsid w:val="004B22E2"/>
    <w:rsid w:val="004B339F"/>
    <w:rsid w:val="004B4429"/>
    <w:rsid w:val="004B52BC"/>
    <w:rsid w:val="004B61EE"/>
    <w:rsid w:val="004B7C4A"/>
    <w:rsid w:val="004C0253"/>
    <w:rsid w:val="004C0EC2"/>
    <w:rsid w:val="004C2192"/>
    <w:rsid w:val="004C22D8"/>
    <w:rsid w:val="004C3DAA"/>
    <w:rsid w:val="004C3EA1"/>
    <w:rsid w:val="004C508A"/>
    <w:rsid w:val="004C5A59"/>
    <w:rsid w:val="004C5F2F"/>
    <w:rsid w:val="004C6B05"/>
    <w:rsid w:val="004C6CF4"/>
    <w:rsid w:val="004D0505"/>
    <w:rsid w:val="004D083B"/>
    <w:rsid w:val="004D0A65"/>
    <w:rsid w:val="004D1FCD"/>
    <w:rsid w:val="004D2B7E"/>
    <w:rsid w:val="004D56FF"/>
    <w:rsid w:val="004D713C"/>
    <w:rsid w:val="004E0D99"/>
    <w:rsid w:val="004E0FBE"/>
    <w:rsid w:val="004E2FA8"/>
    <w:rsid w:val="004E39D3"/>
    <w:rsid w:val="004E3A6B"/>
    <w:rsid w:val="004E469E"/>
    <w:rsid w:val="004E508A"/>
    <w:rsid w:val="004E5669"/>
    <w:rsid w:val="004E616D"/>
    <w:rsid w:val="004E64B9"/>
    <w:rsid w:val="004E6D7D"/>
    <w:rsid w:val="004E6F93"/>
    <w:rsid w:val="004E7783"/>
    <w:rsid w:val="004F144B"/>
    <w:rsid w:val="004F19BF"/>
    <w:rsid w:val="004F1BDE"/>
    <w:rsid w:val="004F215E"/>
    <w:rsid w:val="004F2CEE"/>
    <w:rsid w:val="004F556E"/>
    <w:rsid w:val="004F591C"/>
    <w:rsid w:val="004F5F28"/>
    <w:rsid w:val="004F66B0"/>
    <w:rsid w:val="004F7723"/>
    <w:rsid w:val="004F7F44"/>
    <w:rsid w:val="005037B4"/>
    <w:rsid w:val="0050535B"/>
    <w:rsid w:val="005079BF"/>
    <w:rsid w:val="0051067B"/>
    <w:rsid w:val="005108E9"/>
    <w:rsid w:val="00510B2B"/>
    <w:rsid w:val="00511D89"/>
    <w:rsid w:val="0051269A"/>
    <w:rsid w:val="00515FBD"/>
    <w:rsid w:val="00517BC6"/>
    <w:rsid w:val="00520DAF"/>
    <w:rsid w:val="005219E7"/>
    <w:rsid w:val="00524476"/>
    <w:rsid w:val="005262E4"/>
    <w:rsid w:val="00526624"/>
    <w:rsid w:val="005271D4"/>
    <w:rsid w:val="00531B9A"/>
    <w:rsid w:val="00531D15"/>
    <w:rsid w:val="00535500"/>
    <w:rsid w:val="00535F2F"/>
    <w:rsid w:val="00537321"/>
    <w:rsid w:val="00537604"/>
    <w:rsid w:val="005403D7"/>
    <w:rsid w:val="00542377"/>
    <w:rsid w:val="005426F2"/>
    <w:rsid w:val="00542703"/>
    <w:rsid w:val="00543EC2"/>
    <w:rsid w:val="00544163"/>
    <w:rsid w:val="005446D6"/>
    <w:rsid w:val="005476EB"/>
    <w:rsid w:val="00547C15"/>
    <w:rsid w:val="00547FEE"/>
    <w:rsid w:val="00550995"/>
    <w:rsid w:val="00550C96"/>
    <w:rsid w:val="00551782"/>
    <w:rsid w:val="00552A0A"/>
    <w:rsid w:val="0055503F"/>
    <w:rsid w:val="00557BE0"/>
    <w:rsid w:val="00560B86"/>
    <w:rsid w:val="00561145"/>
    <w:rsid w:val="0056197C"/>
    <w:rsid w:val="00563EF1"/>
    <w:rsid w:val="00566AB4"/>
    <w:rsid w:val="00572938"/>
    <w:rsid w:val="00573812"/>
    <w:rsid w:val="00575042"/>
    <w:rsid w:val="00575AC5"/>
    <w:rsid w:val="0057605D"/>
    <w:rsid w:val="005760C6"/>
    <w:rsid w:val="0057640D"/>
    <w:rsid w:val="00577A7A"/>
    <w:rsid w:val="00580647"/>
    <w:rsid w:val="00581347"/>
    <w:rsid w:val="005818A8"/>
    <w:rsid w:val="00581AC9"/>
    <w:rsid w:val="00583627"/>
    <w:rsid w:val="005846AD"/>
    <w:rsid w:val="005849F8"/>
    <w:rsid w:val="005856EF"/>
    <w:rsid w:val="005877EC"/>
    <w:rsid w:val="00587A6B"/>
    <w:rsid w:val="00590F74"/>
    <w:rsid w:val="00592752"/>
    <w:rsid w:val="00592964"/>
    <w:rsid w:val="005938DF"/>
    <w:rsid w:val="00593A03"/>
    <w:rsid w:val="00594DE5"/>
    <w:rsid w:val="00594E9C"/>
    <w:rsid w:val="00595E9E"/>
    <w:rsid w:val="0059609E"/>
    <w:rsid w:val="00597010"/>
    <w:rsid w:val="005977EA"/>
    <w:rsid w:val="005A099B"/>
    <w:rsid w:val="005A2D9C"/>
    <w:rsid w:val="005A33B1"/>
    <w:rsid w:val="005A55FE"/>
    <w:rsid w:val="005A5B36"/>
    <w:rsid w:val="005A65DD"/>
    <w:rsid w:val="005A6A11"/>
    <w:rsid w:val="005A6B67"/>
    <w:rsid w:val="005A6CE2"/>
    <w:rsid w:val="005A7EF3"/>
    <w:rsid w:val="005B1EBE"/>
    <w:rsid w:val="005B1FBB"/>
    <w:rsid w:val="005B248B"/>
    <w:rsid w:val="005B2F0D"/>
    <w:rsid w:val="005B6DFC"/>
    <w:rsid w:val="005B7C8C"/>
    <w:rsid w:val="005C03BA"/>
    <w:rsid w:val="005C0C46"/>
    <w:rsid w:val="005C12EA"/>
    <w:rsid w:val="005C34EF"/>
    <w:rsid w:val="005C3DC5"/>
    <w:rsid w:val="005C42DB"/>
    <w:rsid w:val="005C4D90"/>
    <w:rsid w:val="005D0775"/>
    <w:rsid w:val="005D121D"/>
    <w:rsid w:val="005D136B"/>
    <w:rsid w:val="005D1847"/>
    <w:rsid w:val="005D1869"/>
    <w:rsid w:val="005D2502"/>
    <w:rsid w:val="005D40BB"/>
    <w:rsid w:val="005D47F3"/>
    <w:rsid w:val="005D49BF"/>
    <w:rsid w:val="005D4AA5"/>
    <w:rsid w:val="005D4FC6"/>
    <w:rsid w:val="005D6508"/>
    <w:rsid w:val="005D6B86"/>
    <w:rsid w:val="005D6F4E"/>
    <w:rsid w:val="005D7C73"/>
    <w:rsid w:val="005E0A88"/>
    <w:rsid w:val="005E105A"/>
    <w:rsid w:val="005E2169"/>
    <w:rsid w:val="005E250B"/>
    <w:rsid w:val="005E34DE"/>
    <w:rsid w:val="005E3ACD"/>
    <w:rsid w:val="005E62F2"/>
    <w:rsid w:val="005E6D6D"/>
    <w:rsid w:val="005E7226"/>
    <w:rsid w:val="005E7A57"/>
    <w:rsid w:val="005F014A"/>
    <w:rsid w:val="005F02FE"/>
    <w:rsid w:val="005F03B2"/>
    <w:rsid w:val="005F24B0"/>
    <w:rsid w:val="005F2762"/>
    <w:rsid w:val="005F4911"/>
    <w:rsid w:val="005F77B4"/>
    <w:rsid w:val="00601A3C"/>
    <w:rsid w:val="00601D5E"/>
    <w:rsid w:val="006035C0"/>
    <w:rsid w:val="00604315"/>
    <w:rsid w:val="0060464D"/>
    <w:rsid w:val="00604E26"/>
    <w:rsid w:val="0060523F"/>
    <w:rsid w:val="006052C5"/>
    <w:rsid w:val="006052CF"/>
    <w:rsid w:val="0060597F"/>
    <w:rsid w:val="006069E8"/>
    <w:rsid w:val="00607B8D"/>
    <w:rsid w:val="00611F5C"/>
    <w:rsid w:val="00612937"/>
    <w:rsid w:val="00616E09"/>
    <w:rsid w:val="00620589"/>
    <w:rsid w:val="00620D57"/>
    <w:rsid w:val="00621C32"/>
    <w:rsid w:val="00622A3B"/>
    <w:rsid w:val="00622EEA"/>
    <w:rsid w:val="0062396C"/>
    <w:rsid w:val="00623FF9"/>
    <w:rsid w:val="006251DA"/>
    <w:rsid w:val="00626F8C"/>
    <w:rsid w:val="00627D4E"/>
    <w:rsid w:val="0063030D"/>
    <w:rsid w:val="0063260D"/>
    <w:rsid w:val="00632B89"/>
    <w:rsid w:val="0063346D"/>
    <w:rsid w:val="00634478"/>
    <w:rsid w:val="006372F6"/>
    <w:rsid w:val="0063741B"/>
    <w:rsid w:val="00640B02"/>
    <w:rsid w:val="00642862"/>
    <w:rsid w:val="00644373"/>
    <w:rsid w:val="006453DB"/>
    <w:rsid w:val="00645915"/>
    <w:rsid w:val="00646CC4"/>
    <w:rsid w:val="006507A6"/>
    <w:rsid w:val="00650A0D"/>
    <w:rsid w:val="006519C3"/>
    <w:rsid w:val="00652133"/>
    <w:rsid w:val="0065259A"/>
    <w:rsid w:val="00652B30"/>
    <w:rsid w:val="00652E0D"/>
    <w:rsid w:val="00652F0D"/>
    <w:rsid w:val="00655B31"/>
    <w:rsid w:val="00655E35"/>
    <w:rsid w:val="00656345"/>
    <w:rsid w:val="00656DC6"/>
    <w:rsid w:val="006600F2"/>
    <w:rsid w:val="00660EC6"/>
    <w:rsid w:val="00662778"/>
    <w:rsid w:val="00663A04"/>
    <w:rsid w:val="00664110"/>
    <w:rsid w:val="00664926"/>
    <w:rsid w:val="00664D17"/>
    <w:rsid w:val="00666520"/>
    <w:rsid w:val="00666BB1"/>
    <w:rsid w:val="00667AFB"/>
    <w:rsid w:val="00667C5B"/>
    <w:rsid w:val="00671FA9"/>
    <w:rsid w:val="006730D6"/>
    <w:rsid w:val="006742E2"/>
    <w:rsid w:val="006746D6"/>
    <w:rsid w:val="00674B1F"/>
    <w:rsid w:val="006755BB"/>
    <w:rsid w:val="006757FE"/>
    <w:rsid w:val="00676A0E"/>
    <w:rsid w:val="00676A2F"/>
    <w:rsid w:val="0068090C"/>
    <w:rsid w:val="006812AF"/>
    <w:rsid w:val="006854D1"/>
    <w:rsid w:val="00685EDD"/>
    <w:rsid w:val="00687910"/>
    <w:rsid w:val="006879BB"/>
    <w:rsid w:val="00691419"/>
    <w:rsid w:val="00691EB8"/>
    <w:rsid w:val="00692624"/>
    <w:rsid w:val="00692CDE"/>
    <w:rsid w:val="00693073"/>
    <w:rsid w:val="00693270"/>
    <w:rsid w:val="00694F0D"/>
    <w:rsid w:val="00695D0C"/>
    <w:rsid w:val="00696D92"/>
    <w:rsid w:val="006977FF"/>
    <w:rsid w:val="006A01FA"/>
    <w:rsid w:val="006A0E9E"/>
    <w:rsid w:val="006A1051"/>
    <w:rsid w:val="006A16FD"/>
    <w:rsid w:val="006A25C7"/>
    <w:rsid w:val="006A2B61"/>
    <w:rsid w:val="006A481F"/>
    <w:rsid w:val="006A4AAD"/>
    <w:rsid w:val="006A4CCA"/>
    <w:rsid w:val="006A5CBB"/>
    <w:rsid w:val="006A6DA2"/>
    <w:rsid w:val="006A7AB2"/>
    <w:rsid w:val="006B0251"/>
    <w:rsid w:val="006B0685"/>
    <w:rsid w:val="006B2DD3"/>
    <w:rsid w:val="006B3A87"/>
    <w:rsid w:val="006B4DD9"/>
    <w:rsid w:val="006B52DE"/>
    <w:rsid w:val="006B5482"/>
    <w:rsid w:val="006B5717"/>
    <w:rsid w:val="006B582F"/>
    <w:rsid w:val="006B5EB2"/>
    <w:rsid w:val="006B7C88"/>
    <w:rsid w:val="006C0CEB"/>
    <w:rsid w:val="006C1631"/>
    <w:rsid w:val="006C291B"/>
    <w:rsid w:val="006C3B1E"/>
    <w:rsid w:val="006C47FD"/>
    <w:rsid w:val="006C4F2C"/>
    <w:rsid w:val="006C5C19"/>
    <w:rsid w:val="006C70A0"/>
    <w:rsid w:val="006C71CC"/>
    <w:rsid w:val="006C7C0F"/>
    <w:rsid w:val="006D01C4"/>
    <w:rsid w:val="006D1E68"/>
    <w:rsid w:val="006D27CB"/>
    <w:rsid w:val="006D2A29"/>
    <w:rsid w:val="006D2F08"/>
    <w:rsid w:val="006D3A88"/>
    <w:rsid w:val="006D576C"/>
    <w:rsid w:val="006D5865"/>
    <w:rsid w:val="006D5AFC"/>
    <w:rsid w:val="006D67B0"/>
    <w:rsid w:val="006E1610"/>
    <w:rsid w:val="006E4B1B"/>
    <w:rsid w:val="006E5445"/>
    <w:rsid w:val="006E6075"/>
    <w:rsid w:val="006E7D93"/>
    <w:rsid w:val="006F05A0"/>
    <w:rsid w:val="006F0E0A"/>
    <w:rsid w:val="006F2EE8"/>
    <w:rsid w:val="006F2F4E"/>
    <w:rsid w:val="006F30E8"/>
    <w:rsid w:val="006F3FF8"/>
    <w:rsid w:val="006F4D05"/>
    <w:rsid w:val="006F51B3"/>
    <w:rsid w:val="006F7ED6"/>
    <w:rsid w:val="00700302"/>
    <w:rsid w:val="0070133D"/>
    <w:rsid w:val="00701FFA"/>
    <w:rsid w:val="007029A3"/>
    <w:rsid w:val="0070336C"/>
    <w:rsid w:val="0070542E"/>
    <w:rsid w:val="007068DE"/>
    <w:rsid w:val="00706E4E"/>
    <w:rsid w:val="0070766C"/>
    <w:rsid w:val="0070791C"/>
    <w:rsid w:val="00707CC4"/>
    <w:rsid w:val="00710BB2"/>
    <w:rsid w:val="00710F5B"/>
    <w:rsid w:val="0071143F"/>
    <w:rsid w:val="0071371D"/>
    <w:rsid w:val="0071383C"/>
    <w:rsid w:val="00713B00"/>
    <w:rsid w:val="007141A7"/>
    <w:rsid w:val="007145B1"/>
    <w:rsid w:val="00715722"/>
    <w:rsid w:val="00715BAF"/>
    <w:rsid w:val="007173DE"/>
    <w:rsid w:val="00721032"/>
    <w:rsid w:val="00721B19"/>
    <w:rsid w:val="00721B55"/>
    <w:rsid w:val="00721D15"/>
    <w:rsid w:val="007223A8"/>
    <w:rsid w:val="00722465"/>
    <w:rsid w:val="00724180"/>
    <w:rsid w:val="00726CE4"/>
    <w:rsid w:val="007300C6"/>
    <w:rsid w:val="0073059C"/>
    <w:rsid w:val="00730C4E"/>
    <w:rsid w:val="007310E6"/>
    <w:rsid w:val="0073353D"/>
    <w:rsid w:val="00734143"/>
    <w:rsid w:val="00734198"/>
    <w:rsid w:val="007350D0"/>
    <w:rsid w:val="007352C7"/>
    <w:rsid w:val="00735301"/>
    <w:rsid w:val="0073625D"/>
    <w:rsid w:val="00736FF0"/>
    <w:rsid w:val="00737693"/>
    <w:rsid w:val="007378DE"/>
    <w:rsid w:val="00737E47"/>
    <w:rsid w:val="00740047"/>
    <w:rsid w:val="00740B67"/>
    <w:rsid w:val="00740EAC"/>
    <w:rsid w:val="007413D7"/>
    <w:rsid w:val="00741B5A"/>
    <w:rsid w:val="00741F2C"/>
    <w:rsid w:val="007429C8"/>
    <w:rsid w:val="00744898"/>
    <w:rsid w:val="00744956"/>
    <w:rsid w:val="00745A5C"/>
    <w:rsid w:val="0074605F"/>
    <w:rsid w:val="00746357"/>
    <w:rsid w:val="007478DB"/>
    <w:rsid w:val="00747E94"/>
    <w:rsid w:val="007528F5"/>
    <w:rsid w:val="007529D8"/>
    <w:rsid w:val="00752AB6"/>
    <w:rsid w:val="00752AD5"/>
    <w:rsid w:val="00752B8D"/>
    <w:rsid w:val="00753AC8"/>
    <w:rsid w:val="00754C83"/>
    <w:rsid w:val="00755AF4"/>
    <w:rsid w:val="0076064F"/>
    <w:rsid w:val="00760BDE"/>
    <w:rsid w:val="00761E5C"/>
    <w:rsid w:val="00762272"/>
    <w:rsid w:val="007622AC"/>
    <w:rsid w:val="00762387"/>
    <w:rsid w:val="00762BC9"/>
    <w:rsid w:val="00763BAF"/>
    <w:rsid w:val="007659B2"/>
    <w:rsid w:val="00765DF8"/>
    <w:rsid w:val="00766749"/>
    <w:rsid w:val="00767C1B"/>
    <w:rsid w:val="007708DA"/>
    <w:rsid w:val="00770B3F"/>
    <w:rsid w:val="00770E9F"/>
    <w:rsid w:val="007714A9"/>
    <w:rsid w:val="007732B7"/>
    <w:rsid w:val="00774DE9"/>
    <w:rsid w:val="00774F88"/>
    <w:rsid w:val="00774FDB"/>
    <w:rsid w:val="0077520F"/>
    <w:rsid w:val="00777BA2"/>
    <w:rsid w:val="00781408"/>
    <w:rsid w:val="0078144D"/>
    <w:rsid w:val="00781467"/>
    <w:rsid w:val="007814A3"/>
    <w:rsid w:val="00781CF7"/>
    <w:rsid w:val="007828FC"/>
    <w:rsid w:val="00783224"/>
    <w:rsid w:val="00783763"/>
    <w:rsid w:val="007842C9"/>
    <w:rsid w:val="00784F7F"/>
    <w:rsid w:val="00784F9C"/>
    <w:rsid w:val="0078608D"/>
    <w:rsid w:val="00787603"/>
    <w:rsid w:val="007878BD"/>
    <w:rsid w:val="0079150E"/>
    <w:rsid w:val="00791786"/>
    <w:rsid w:val="00791A62"/>
    <w:rsid w:val="00792A55"/>
    <w:rsid w:val="00793395"/>
    <w:rsid w:val="00793537"/>
    <w:rsid w:val="007957D5"/>
    <w:rsid w:val="007958A5"/>
    <w:rsid w:val="007961AE"/>
    <w:rsid w:val="00796F25"/>
    <w:rsid w:val="00797754"/>
    <w:rsid w:val="007A1F42"/>
    <w:rsid w:val="007A2468"/>
    <w:rsid w:val="007A2E98"/>
    <w:rsid w:val="007A3BA3"/>
    <w:rsid w:val="007A6C34"/>
    <w:rsid w:val="007A6CC0"/>
    <w:rsid w:val="007A70A2"/>
    <w:rsid w:val="007A7AF8"/>
    <w:rsid w:val="007A7D4E"/>
    <w:rsid w:val="007A7F6B"/>
    <w:rsid w:val="007A7FEC"/>
    <w:rsid w:val="007B1499"/>
    <w:rsid w:val="007B1BBF"/>
    <w:rsid w:val="007B2960"/>
    <w:rsid w:val="007B2E57"/>
    <w:rsid w:val="007B2EF4"/>
    <w:rsid w:val="007B355D"/>
    <w:rsid w:val="007B36B5"/>
    <w:rsid w:val="007B3A80"/>
    <w:rsid w:val="007B3EB0"/>
    <w:rsid w:val="007B482D"/>
    <w:rsid w:val="007B61D2"/>
    <w:rsid w:val="007B6389"/>
    <w:rsid w:val="007B7980"/>
    <w:rsid w:val="007C09B9"/>
    <w:rsid w:val="007C0DEF"/>
    <w:rsid w:val="007C1E6F"/>
    <w:rsid w:val="007C2C27"/>
    <w:rsid w:val="007C35CF"/>
    <w:rsid w:val="007C3D03"/>
    <w:rsid w:val="007C5D5A"/>
    <w:rsid w:val="007C607F"/>
    <w:rsid w:val="007C6335"/>
    <w:rsid w:val="007C76BC"/>
    <w:rsid w:val="007C79DD"/>
    <w:rsid w:val="007C7CEA"/>
    <w:rsid w:val="007D04FF"/>
    <w:rsid w:val="007D0864"/>
    <w:rsid w:val="007D1A97"/>
    <w:rsid w:val="007D21FF"/>
    <w:rsid w:val="007D2CD6"/>
    <w:rsid w:val="007D2D93"/>
    <w:rsid w:val="007D3063"/>
    <w:rsid w:val="007D3CEB"/>
    <w:rsid w:val="007D4E66"/>
    <w:rsid w:val="007D7CF5"/>
    <w:rsid w:val="007E0D51"/>
    <w:rsid w:val="007E1C80"/>
    <w:rsid w:val="007E21B9"/>
    <w:rsid w:val="007E2489"/>
    <w:rsid w:val="007E51E6"/>
    <w:rsid w:val="007E553E"/>
    <w:rsid w:val="007E7683"/>
    <w:rsid w:val="007F0202"/>
    <w:rsid w:val="007F1936"/>
    <w:rsid w:val="007F2083"/>
    <w:rsid w:val="007F26CD"/>
    <w:rsid w:val="007F3926"/>
    <w:rsid w:val="007F4227"/>
    <w:rsid w:val="007F4753"/>
    <w:rsid w:val="007F49FA"/>
    <w:rsid w:val="007F54C4"/>
    <w:rsid w:val="007F55CB"/>
    <w:rsid w:val="007F6E2A"/>
    <w:rsid w:val="007F6E9A"/>
    <w:rsid w:val="007F7047"/>
    <w:rsid w:val="00800CCD"/>
    <w:rsid w:val="00801BF6"/>
    <w:rsid w:val="00804206"/>
    <w:rsid w:val="008044D4"/>
    <w:rsid w:val="008049A4"/>
    <w:rsid w:val="008067B3"/>
    <w:rsid w:val="008077E5"/>
    <w:rsid w:val="008109A7"/>
    <w:rsid w:val="00810AB4"/>
    <w:rsid w:val="00810B29"/>
    <w:rsid w:val="008118B8"/>
    <w:rsid w:val="00811EB5"/>
    <w:rsid w:val="00811FD5"/>
    <w:rsid w:val="00812EB5"/>
    <w:rsid w:val="00813CC4"/>
    <w:rsid w:val="00817B56"/>
    <w:rsid w:val="0082066A"/>
    <w:rsid w:val="0082095E"/>
    <w:rsid w:val="00821357"/>
    <w:rsid w:val="00821A88"/>
    <w:rsid w:val="00821D8F"/>
    <w:rsid w:val="008222F6"/>
    <w:rsid w:val="00822433"/>
    <w:rsid w:val="0082247D"/>
    <w:rsid w:val="0082322E"/>
    <w:rsid w:val="0082495D"/>
    <w:rsid w:val="008251AA"/>
    <w:rsid w:val="0082767F"/>
    <w:rsid w:val="008276DF"/>
    <w:rsid w:val="00831AC3"/>
    <w:rsid w:val="00833375"/>
    <w:rsid w:val="008364EF"/>
    <w:rsid w:val="00836FCE"/>
    <w:rsid w:val="00837976"/>
    <w:rsid w:val="008408FF"/>
    <w:rsid w:val="00840BE1"/>
    <w:rsid w:val="00842E17"/>
    <w:rsid w:val="00843A9E"/>
    <w:rsid w:val="0084531B"/>
    <w:rsid w:val="00846A41"/>
    <w:rsid w:val="00846B18"/>
    <w:rsid w:val="008505EE"/>
    <w:rsid w:val="00850EF0"/>
    <w:rsid w:val="00851F3F"/>
    <w:rsid w:val="0085246E"/>
    <w:rsid w:val="00852ED2"/>
    <w:rsid w:val="0085573A"/>
    <w:rsid w:val="00855C57"/>
    <w:rsid w:val="00856CD8"/>
    <w:rsid w:val="00856EDC"/>
    <w:rsid w:val="0086002D"/>
    <w:rsid w:val="00860EDD"/>
    <w:rsid w:val="00861DE1"/>
    <w:rsid w:val="00862337"/>
    <w:rsid w:val="008623B5"/>
    <w:rsid w:val="0086376C"/>
    <w:rsid w:val="00863843"/>
    <w:rsid w:val="008646AF"/>
    <w:rsid w:val="008678B7"/>
    <w:rsid w:val="00867C56"/>
    <w:rsid w:val="0087004E"/>
    <w:rsid w:val="00870ABA"/>
    <w:rsid w:val="008710E1"/>
    <w:rsid w:val="008716E5"/>
    <w:rsid w:val="008728C4"/>
    <w:rsid w:val="008748B7"/>
    <w:rsid w:val="00876032"/>
    <w:rsid w:val="00881884"/>
    <w:rsid w:val="008818FD"/>
    <w:rsid w:val="00881CA9"/>
    <w:rsid w:val="00883628"/>
    <w:rsid w:val="00883985"/>
    <w:rsid w:val="00884788"/>
    <w:rsid w:val="00885544"/>
    <w:rsid w:val="0088634E"/>
    <w:rsid w:val="00887781"/>
    <w:rsid w:val="0089211D"/>
    <w:rsid w:val="00892DE8"/>
    <w:rsid w:val="00893AB8"/>
    <w:rsid w:val="00893D7E"/>
    <w:rsid w:val="00894BB3"/>
    <w:rsid w:val="00895AEC"/>
    <w:rsid w:val="00896E9E"/>
    <w:rsid w:val="008A04C8"/>
    <w:rsid w:val="008A1603"/>
    <w:rsid w:val="008A1C81"/>
    <w:rsid w:val="008A3F12"/>
    <w:rsid w:val="008A4186"/>
    <w:rsid w:val="008A492D"/>
    <w:rsid w:val="008A497A"/>
    <w:rsid w:val="008A6913"/>
    <w:rsid w:val="008B0247"/>
    <w:rsid w:val="008B056F"/>
    <w:rsid w:val="008B12ED"/>
    <w:rsid w:val="008B1346"/>
    <w:rsid w:val="008B3B82"/>
    <w:rsid w:val="008B57C4"/>
    <w:rsid w:val="008B5936"/>
    <w:rsid w:val="008B70F3"/>
    <w:rsid w:val="008B71C4"/>
    <w:rsid w:val="008B76DF"/>
    <w:rsid w:val="008C007B"/>
    <w:rsid w:val="008C10F4"/>
    <w:rsid w:val="008C415C"/>
    <w:rsid w:val="008C447B"/>
    <w:rsid w:val="008C54B9"/>
    <w:rsid w:val="008C65F7"/>
    <w:rsid w:val="008C7AAE"/>
    <w:rsid w:val="008D0F68"/>
    <w:rsid w:val="008D2A67"/>
    <w:rsid w:val="008D2FA0"/>
    <w:rsid w:val="008D38DA"/>
    <w:rsid w:val="008D3C67"/>
    <w:rsid w:val="008D56B2"/>
    <w:rsid w:val="008D76E5"/>
    <w:rsid w:val="008E0428"/>
    <w:rsid w:val="008E08BC"/>
    <w:rsid w:val="008E245B"/>
    <w:rsid w:val="008E2672"/>
    <w:rsid w:val="008E2F4C"/>
    <w:rsid w:val="008E4767"/>
    <w:rsid w:val="008E4FF0"/>
    <w:rsid w:val="008E7A8C"/>
    <w:rsid w:val="008F0844"/>
    <w:rsid w:val="008F23F6"/>
    <w:rsid w:val="008F26BF"/>
    <w:rsid w:val="008F2FD0"/>
    <w:rsid w:val="009005B2"/>
    <w:rsid w:val="00901A56"/>
    <w:rsid w:val="0090203B"/>
    <w:rsid w:val="0090220B"/>
    <w:rsid w:val="00902D8E"/>
    <w:rsid w:val="00903285"/>
    <w:rsid w:val="00904D0A"/>
    <w:rsid w:val="00906F40"/>
    <w:rsid w:val="0090731E"/>
    <w:rsid w:val="0091058A"/>
    <w:rsid w:val="009116FE"/>
    <w:rsid w:val="00911E78"/>
    <w:rsid w:val="009140AF"/>
    <w:rsid w:val="00915478"/>
    <w:rsid w:val="00915A68"/>
    <w:rsid w:val="00915B1C"/>
    <w:rsid w:val="009164C4"/>
    <w:rsid w:val="00916FFE"/>
    <w:rsid w:val="009174F3"/>
    <w:rsid w:val="0091797D"/>
    <w:rsid w:val="00920C03"/>
    <w:rsid w:val="00921373"/>
    <w:rsid w:val="00923171"/>
    <w:rsid w:val="00923CBA"/>
    <w:rsid w:val="00924678"/>
    <w:rsid w:val="00924C87"/>
    <w:rsid w:val="0092637B"/>
    <w:rsid w:val="009264D4"/>
    <w:rsid w:val="00926703"/>
    <w:rsid w:val="00927691"/>
    <w:rsid w:val="00927A5F"/>
    <w:rsid w:val="00930510"/>
    <w:rsid w:val="00931992"/>
    <w:rsid w:val="00933667"/>
    <w:rsid w:val="00933A10"/>
    <w:rsid w:val="009341D6"/>
    <w:rsid w:val="0093483D"/>
    <w:rsid w:val="00935B63"/>
    <w:rsid w:val="00935D6D"/>
    <w:rsid w:val="00936E95"/>
    <w:rsid w:val="00937779"/>
    <w:rsid w:val="0094078F"/>
    <w:rsid w:val="00940FA3"/>
    <w:rsid w:val="00941C31"/>
    <w:rsid w:val="00941FB0"/>
    <w:rsid w:val="009426D4"/>
    <w:rsid w:val="00945EDC"/>
    <w:rsid w:val="0094739C"/>
    <w:rsid w:val="00947F25"/>
    <w:rsid w:val="0095003D"/>
    <w:rsid w:val="00950159"/>
    <w:rsid w:val="0095310B"/>
    <w:rsid w:val="0095434C"/>
    <w:rsid w:val="0095490B"/>
    <w:rsid w:val="00954ACB"/>
    <w:rsid w:val="009557B4"/>
    <w:rsid w:val="00960A33"/>
    <w:rsid w:val="0096188A"/>
    <w:rsid w:val="009619C6"/>
    <w:rsid w:val="00964767"/>
    <w:rsid w:val="00964B2F"/>
    <w:rsid w:val="00965800"/>
    <w:rsid w:val="00967BC1"/>
    <w:rsid w:val="00967F44"/>
    <w:rsid w:val="00971914"/>
    <w:rsid w:val="00974363"/>
    <w:rsid w:val="0097675E"/>
    <w:rsid w:val="00977BC9"/>
    <w:rsid w:val="00981898"/>
    <w:rsid w:val="009834FD"/>
    <w:rsid w:val="00984B9A"/>
    <w:rsid w:val="00985CE3"/>
    <w:rsid w:val="00986CD0"/>
    <w:rsid w:val="00992C82"/>
    <w:rsid w:val="00993012"/>
    <w:rsid w:val="0099516D"/>
    <w:rsid w:val="00995700"/>
    <w:rsid w:val="0099577C"/>
    <w:rsid w:val="009A019C"/>
    <w:rsid w:val="009A021C"/>
    <w:rsid w:val="009A0609"/>
    <w:rsid w:val="009A1EFF"/>
    <w:rsid w:val="009A2514"/>
    <w:rsid w:val="009A258F"/>
    <w:rsid w:val="009A25CC"/>
    <w:rsid w:val="009A25D2"/>
    <w:rsid w:val="009A32C0"/>
    <w:rsid w:val="009A351D"/>
    <w:rsid w:val="009A7402"/>
    <w:rsid w:val="009A7B58"/>
    <w:rsid w:val="009B0AA0"/>
    <w:rsid w:val="009B2028"/>
    <w:rsid w:val="009B24A5"/>
    <w:rsid w:val="009B2601"/>
    <w:rsid w:val="009B357C"/>
    <w:rsid w:val="009B4E9E"/>
    <w:rsid w:val="009B512C"/>
    <w:rsid w:val="009B6601"/>
    <w:rsid w:val="009B6F43"/>
    <w:rsid w:val="009C0FCE"/>
    <w:rsid w:val="009C1066"/>
    <w:rsid w:val="009C1690"/>
    <w:rsid w:val="009C1DF9"/>
    <w:rsid w:val="009C296B"/>
    <w:rsid w:val="009C2EC8"/>
    <w:rsid w:val="009C448F"/>
    <w:rsid w:val="009C5176"/>
    <w:rsid w:val="009C5F30"/>
    <w:rsid w:val="009C6881"/>
    <w:rsid w:val="009C7759"/>
    <w:rsid w:val="009D043D"/>
    <w:rsid w:val="009D07C8"/>
    <w:rsid w:val="009D09F8"/>
    <w:rsid w:val="009D4C85"/>
    <w:rsid w:val="009D5E4C"/>
    <w:rsid w:val="009D6C71"/>
    <w:rsid w:val="009D77E3"/>
    <w:rsid w:val="009E0631"/>
    <w:rsid w:val="009E16D0"/>
    <w:rsid w:val="009E1B4D"/>
    <w:rsid w:val="009E2051"/>
    <w:rsid w:val="009E29A5"/>
    <w:rsid w:val="009E38FD"/>
    <w:rsid w:val="009E4652"/>
    <w:rsid w:val="009E586C"/>
    <w:rsid w:val="009E5CF2"/>
    <w:rsid w:val="009E5EF4"/>
    <w:rsid w:val="009E7924"/>
    <w:rsid w:val="009E7C49"/>
    <w:rsid w:val="009F13D6"/>
    <w:rsid w:val="009F1540"/>
    <w:rsid w:val="009F1CDE"/>
    <w:rsid w:val="009F23D5"/>
    <w:rsid w:val="009F2706"/>
    <w:rsid w:val="009F4893"/>
    <w:rsid w:val="009F4C6B"/>
    <w:rsid w:val="009F5455"/>
    <w:rsid w:val="009F57D4"/>
    <w:rsid w:val="009F6B2E"/>
    <w:rsid w:val="009F7194"/>
    <w:rsid w:val="009F78A8"/>
    <w:rsid w:val="00A0060A"/>
    <w:rsid w:val="00A02469"/>
    <w:rsid w:val="00A02AD6"/>
    <w:rsid w:val="00A03BFA"/>
    <w:rsid w:val="00A04085"/>
    <w:rsid w:val="00A04BC6"/>
    <w:rsid w:val="00A05BC2"/>
    <w:rsid w:val="00A05DEC"/>
    <w:rsid w:val="00A06122"/>
    <w:rsid w:val="00A07096"/>
    <w:rsid w:val="00A07318"/>
    <w:rsid w:val="00A075EB"/>
    <w:rsid w:val="00A078E3"/>
    <w:rsid w:val="00A07D82"/>
    <w:rsid w:val="00A11370"/>
    <w:rsid w:val="00A1190A"/>
    <w:rsid w:val="00A1192D"/>
    <w:rsid w:val="00A11936"/>
    <w:rsid w:val="00A11A0F"/>
    <w:rsid w:val="00A1390D"/>
    <w:rsid w:val="00A14D95"/>
    <w:rsid w:val="00A15A9F"/>
    <w:rsid w:val="00A175B9"/>
    <w:rsid w:val="00A179DA"/>
    <w:rsid w:val="00A20F40"/>
    <w:rsid w:val="00A224CE"/>
    <w:rsid w:val="00A22522"/>
    <w:rsid w:val="00A23338"/>
    <w:rsid w:val="00A24AFD"/>
    <w:rsid w:val="00A24F5C"/>
    <w:rsid w:val="00A26665"/>
    <w:rsid w:val="00A2716D"/>
    <w:rsid w:val="00A273E0"/>
    <w:rsid w:val="00A3083D"/>
    <w:rsid w:val="00A32541"/>
    <w:rsid w:val="00A32A6B"/>
    <w:rsid w:val="00A32F96"/>
    <w:rsid w:val="00A335A7"/>
    <w:rsid w:val="00A337D2"/>
    <w:rsid w:val="00A337DF"/>
    <w:rsid w:val="00A34018"/>
    <w:rsid w:val="00A34D4F"/>
    <w:rsid w:val="00A36992"/>
    <w:rsid w:val="00A37807"/>
    <w:rsid w:val="00A37B2A"/>
    <w:rsid w:val="00A4041B"/>
    <w:rsid w:val="00A40871"/>
    <w:rsid w:val="00A412AB"/>
    <w:rsid w:val="00A4193E"/>
    <w:rsid w:val="00A41A4A"/>
    <w:rsid w:val="00A440E0"/>
    <w:rsid w:val="00A442EF"/>
    <w:rsid w:val="00A44516"/>
    <w:rsid w:val="00A44759"/>
    <w:rsid w:val="00A44BBD"/>
    <w:rsid w:val="00A46B66"/>
    <w:rsid w:val="00A46C65"/>
    <w:rsid w:val="00A50159"/>
    <w:rsid w:val="00A50CBC"/>
    <w:rsid w:val="00A51513"/>
    <w:rsid w:val="00A515E5"/>
    <w:rsid w:val="00A519FD"/>
    <w:rsid w:val="00A51D1A"/>
    <w:rsid w:val="00A51EE0"/>
    <w:rsid w:val="00A52C52"/>
    <w:rsid w:val="00A54012"/>
    <w:rsid w:val="00A5418D"/>
    <w:rsid w:val="00A5474E"/>
    <w:rsid w:val="00A601EE"/>
    <w:rsid w:val="00A63133"/>
    <w:rsid w:val="00A63BE8"/>
    <w:rsid w:val="00A64234"/>
    <w:rsid w:val="00A64F91"/>
    <w:rsid w:val="00A6577E"/>
    <w:rsid w:val="00A6589F"/>
    <w:rsid w:val="00A65F92"/>
    <w:rsid w:val="00A66911"/>
    <w:rsid w:val="00A7054B"/>
    <w:rsid w:val="00A70ADF"/>
    <w:rsid w:val="00A71466"/>
    <w:rsid w:val="00A72E78"/>
    <w:rsid w:val="00A74B5E"/>
    <w:rsid w:val="00A76E4B"/>
    <w:rsid w:val="00A770BC"/>
    <w:rsid w:val="00A7728F"/>
    <w:rsid w:val="00A81BED"/>
    <w:rsid w:val="00A81EC4"/>
    <w:rsid w:val="00A824E8"/>
    <w:rsid w:val="00A82661"/>
    <w:rsid w:val="00A831AD"/>
    <w:rsid w:val="00A84E0F"/>
    <w:rsid w:val="00A9027C"/>
    <w:rsid w:val="00A926B0"/>
    <w:rsid w:val="00A94624"/>
    <w:rsid w:val="00A96445"/>
    <w:rsid w:val="00A967FD"/>
    <w:rsid w:val="00A972B7"/>
    <w:rsid w:val="00AA262B"/>
    <w:rsid w:val="00AA2C19"/>
    <w:rsid w:val="00AA2DE5"/>
    <w:rsid w:val="00AA3B59"/>
    <w:rsid w:val="00AA4EE4"/>
    <w:rsid w:val="00AB0668"/>
    <w:rsid w:val="00AB156C"/>
    <w:rsid w:val="00AB2379"/>
    <w:rsid w:val="00AB31C3"/>
    <w:rsid w:val="00AB3651"/>
    <w:rsid w:val="00AB5474"/>
    <w:rsid w:val="00AB5867"/>
    <w:rsid w:val="00AB6452"/>
    <w:rsid w:val="00AB6814"/>
    <w:rsid w:val="00AB6955"/>
    <w:rsid w:val="00AC04BA"/>
    <w:rsid w:val="00AC0CF7"/>
    <w:rsid w:val="00AC0DDC"/>
    <w:rsid w:val="00AC0E39"/>
    <w:rsid w:val="00AC1E50"/>
    <w:rsid w:val="00AC340C"/>
    <w:rsid w:val="00AD3082"/>
    <w:rsid w:val="00AD32B4"/>
    <w:rsid w:val="00AD332F"/>
    <w:rsid w:val="00AD3F94"/>
    <w:rsid w:val="00AD4AD0"/>
    <w:rsid w:val="00AD4D7F"/>
    <w:rsid w:val="00AD5436"/>
    <w:rsid w:val="00AD6001"/>
    <w:rsid w:val="00AD60CD"/>
    <w:rsid w:val="00AD67A7"/>
    <w:rsid w:val="00AD6C8C"/>
    <w:rsid w:val="00AD70FD"/>
    <w:rsid w:val="00AE0091"/>
    <w:rsid w:val="00AE04BC"/>
    <w:rsid w:val="00AE091D"/>
    <w:rsid w:val="00AE1218"/>
    <w:rsid w:val="00AE1C81"/>
    <w:rsid w:val="00AE3B60"/>
    <w:rsid w:val="00AE45E9"/>
    <w:rsid w:val="00AE4DED"/>
    <w:rsid w:val="00AE505C"/>
    <w:rsid w:val="00AE5299"/>
    <w:rsid w:val="00AE53A1"/>
    <w:rsid w:val="00AE6892"/>
    <w:rsid w:val="00AE6BA5"/>
    <w:rsid w:val="00AE6EC0"/>
    <w:rsid w:val="00AE79E9"/>
    <w:rsid w:val="00AF1255"/>
    <w:rsid w:val="00AF21E3"/>
    <w:rsid w:val="00AF2484"/>
    <w:rsid w:val="00AF31E3"/>
    <w:rsid w:val="00AF3505"/>
    <w:rsid w:val="00AF39A0"/>
    <w:rsid w:val="00AF3B12"/>
    <w:rsid w:val="00AF5B23"/>
    <w:rsid w:val="00AF63E7"/>
    <w:rsid w:val="00AF6404"/>
    <w:rsid w:val="00AF6E17"/>
    <w:rsid w:val="00B0165D"/>
    <w:rsid w:val="00B01A09"/>
    <w:rsid w:val="00B01B60"/>
    <w:rsid w:val="00B01D9C"/>
    <w:rsid w:val="00B031F3"/>
    <w:rsid w:val="00B04F4D"/>
    <w:rsid w:val="00B052A4"/>
    <w:rsid w:val="00B066D7"/>
    <w:rsid w:val="00B075CF"/>
    <w:rsid w:val="00B105F7"/>
    <w:rsid w:val="00B125DE"/>
    <w:rsid w:val="00B13FDD"/>
    <w:rsid w:val="00B16EA7"/>
    <w:rsid w:val="00B17179"/>
    <w:rsid w:val="00B21047"/>
    <w:rsid w:val="00B217AA"/>
    <w:rsid w:val="00B22EB2"/>
    <w:rsid w:val="00B23310"/>
    <w:rsid w:val="00B23512"/>
    <w:rsid w:val="00B25B48"/>
    <w:rsid w:val="00B27442"/>
    <w:rsid w:val="00B3048C"/>
    <w:rsid w:val="00B31167"/>
    <w:rsid w:val="00B31191"/>
    <w:rsid w:val="00B32000"/>
    <w:rsid w:val="00B329D8"/>
    <w:rsid w:val="00B32BB9"/>
    <w:rsid w:val="00B337D7"/>
    <w:rsid w:val="00B33A51"/>
    <w:rsid w:val="00B33AE1"/>
    <w:rsid w:val="00B35592"/>
    <w:rsid w:val="00B37C38"/>
    <w:rsid w:val="00B40361"/>
    <w:rsid w:val="00B420B8"/>
    <w:rsid w:val="00B4288C"/>
    <w:rsid w:val="00B43262"/>
    <w:rsid w:val="00B435A3"/>
    <w:rsid w:val="00B44100"/>
    <w:rsid w:val="00B46388"/>
    <w:rsid w:val="00B46CBA"/>
    <w:rsid w:val="00B46F94"/>
    <w:rsid w:val="00B50E6A"/>
    <w:rsid w:val="00B513A0"/>
    <w:rsid w:val="00B51E39"/>
    <w:rsid w:val="00B51EB9"/>
    <w:rsid w:val="00B6003C"/>
    <w:rsid w:val="00B60833"/>
    <w:rsid w:val="00B60E14"/>
    <w:rsid w:val="00B61F03"/>
    <w:rsid w:val="00B626E4"/>
    <w:rsid w:val="00B64921"/>
    <w:rsid w:val="00B64D14"/>
    <w:rsid w:val="00B64EC3"/>
    <w:rsid w:val="00B653B7"/>
    <w:rsid w:val="00B67EF6"/>
    <w:rsid w:val="00B71C01"/>
    <w:rsid w:val="00B72F4A"/>
    <w:rsid w:val="00B73AED"/>
    <w:rsid w:val="00B74761"/>
    <w:rsid w:val="00B74D9E"/>
    <w:rsid w:val="00B75634"/>
    <w:rsid w:val="00B778D3"/>
    <w:rsid w:val="00B779BD"/>
    <w:rsid w:val="00B806A6"/>
    <w:rsid w:val="00B81C4C"/>
    <w:rsid w:val="00B81C5C"/>
    <w:rsid w:val="00B83C27"/>
    <w:rsid w:val="00B84BC3"/>
    <w:rsid w:val="00B84BDD"/>
    <w:rsid w:val="00B84E5B"/>
    <w:rsid w:val="00B85403"/>
    <w:rsid w:val="00B85B95"/>
    <w:rsid w:val="00B85CF5"/>
    <w:rsid w:val="00B87F9C"/>
    <w:rsid w:val="00B903DE"/>
    <w:rsid w:val="00B919C8"/>
    <w:rsid w:val="00B92812"/>
    <w:rsid w:val="00B93633"/>
    <w:rsid w:val="00B9474C"/>
    <w:rsid w:val="00B956D7"/>
    <w:rsid w:val="00B95933"/>
    <w:rsid w:val="00B96B06"/>
    <w:rsid w:val="00B9713A"/>
    <w:rsid w:val="00BA350C"/>
    <w:rsid w:val="00BA473F"/>
    <w:rsid w:val="00BA5454"/>
    <w:rsid w:val="00BA59D2"/>
    <w:rsid w:val="00BA6EC5"/>
    <w:rsid w:val="00BB0D69"/>
    <w:rsid w:val="00BB1CD7"/>
    <w:rsid w:val="00BB21E3"/>
    <w:rsid w:val="00BB3CEE"/>
    <w:rsid w:val="00BB45A1"/>
    <w:rsid w:val="00BB4850"/>
    <w:rsid w:val="00BB53E9"/>
    <w:rsid w:val="00BB5DB6"/>
    <w:rsid w:val="00BB6335"/>
    <w:rsid w:val="00BB65B9"/>
    <w:rsid w:val="00BB7686"/>
    <w:rsid w:val="00BB7802"/>
    <w:rsid w:val="00BC020B"/>
    <w:rsid w:val="00BC23F9"/>
    <w:rsid w:val="00BC29C1"/>
    <w:rsid w:val="00BC3421"/>
    <w:rsid w:val="00BC4327"/>
    <w:rsid w:val="00BC54E8"/>
    <w:rsid w:val="00BC5D9F"/>
    <w:rsid w:val="00BC6223"/>
    <w:rsid w:val="00BC732C"/>
    <w:rsid w:val="00BD1D93"/>
    <w:rsid w:val="00BD2252"/>
    <w:rsid w:val="00BD4421"/>
    <w:rsid w:val="00BD5856"/>
    <w:rsid w:val="00BD5D69"/>
    <w:rsid w:val="00BD5DD6"/>
    <w:rsid w:val="00BD6305"/>
    <w:rsid w:val="00BD6581"/>
    <w:rsid w:val="00BE0C9F"/>
    <w:rsid w:val="00BE2580"/>
    <w:rsid w:val="00BE266D"/>
    <w:rsid w:val="00BE2913"/>
    <w:rsid w:val="00BE3938"/>
    <w:rsid w:val="00BE43DF"/>
    <w:rsid w:val="00BE4C11"/>
    <w:rsid w:val="00BE4EDC"/>
    <w:rsid w:val="00BE6FCD"/>
    <w:rsid w:val="00BE71C0"/>
    <w:rsid w:val="00BE7986"/>
    <w:rsid w:val="00BF0CC9"/>
    <w:rsid w:val="00BF10B2"/>
    <w:rsid w:val="00BF3CE2"/>
    <w:rsid w:val="00BF610C"/>
    <w:rsid w:val="00BF7985"/>
    <w:rsid w:val="00BF79ED"/>
    <w:rsid w:val="00C0060B"/>
    <w:rsid w:val="00C01967"/>
    <w:rsid w:val="00C01A6C"/>
    <w:rsid w:val="00C0277D"/>
    <w:rsid w:val="00C02F26"/>
    <w:rsid w:val="00C03ED9"/>
    <w:rsid w:val="00C053A1"/>
    <w:rsid w:val="00C061AA"/>
    <w:rsid w:val="00C070A3"/>
    <w:rsid w:val="00C079D3"/>
    <w:rsid w:val="00C105F5"/>
    <w:rsid w:val="00C10AEE"/>
    <w:rsid w:val="00C14F30"/>
    <w:rsid w:val="00C1586C"/>
    <w:rsid w:val="00C16198"/>
    <w:rsid w:val="00C1706F"/>
    <w:rsid w:val="00C170C0"/>
    <w:rsid w:val="00C1741A"/>
    <w:rsid w:val="00C17A9C"/>
    <w:rsid w:val="00C2083D"/>
    <w:rsid w:val="00C20C13"/>
    <w:rsid w:val="00C215A5"/>
    <w:rsid w:val="00C24A53"/>
    <w:rsid w:val="00C2510F"/>
    <w:rsid w:val="00C2532D"/>
    <w:rsid w:val="00C262B4"/>
    <w:rsid w:val="00C27DCD"/>
    <w:rsid w:val="00C311DA"/>
    <w:rsid w:val="00C328E2"/>
    <w:rsid w:val="00C33600"/>
    <w:rsid w:val="00C3460A"/>
    <w:rsid w:val="00C34A05"/>
    <w:rsid w:val="00C34EAD"/>
    <w:rsid w:val="00C35316"/>
    <w:rsid w:val="00C35CCE"/>
    <w:rsid w:val="00C3684E"/>
    <w:rsid w:val="00C36D20"/>
    <w:rsid w:val="00C37470"/>
    <w:rsid w:val="00C37D4D"/>
    <w:rsid w:val="00C4032F"/>
    <w:rsid w:val="00C411B4"/>
    <w:rsid w:val="00C41CBD"/>
    <w:rsid w:val="00C41F21"/>
    <w:rsid w:val="00C44047"/>
    <w:rsid w:val="00C45155"/>
    <w:rsid w:val="00C461D4"/>
    <w:rsid w:val="00C46C8C"/>
    <w:rsid w:val="00C51111"/>
    <w:rsid w:val="00C511E1"/>
    <w:rsid w:val="00C52FD3"/>
    <w:rsid w:val="00C53A5C"/>
    <w:rsid w:val="00C5498F"/>
    <w:rsid w:val="00C55235"/>
    <w:rsid w:val="00C60509"/>
    <w:rsid w:val="00C60AFD"/>
    <w:rsid w:val="00C61698"/>
    <w:rsid w:val="00C62757"/>
    <w:rsid w:val="00C64A14"/>
    <w:rsid w:val="00C64CD0"/>
    <w:rsid w:val="00C6565A"/>
    <w:rsid w:val="00C6579D"/>
    <w:rsid w:val="00C65A47"/>
    <w:rsid w:val="00C65F61"/>
    <w:rsid w:val="00C6611B"/>
    <w:rsid w:val="00C6684F"/>
    <w:rsid w:val="00C66900"/>
    <w:rsid w:val="00C67945"/>
    <w:rsid w:val="00C70E70"/>
    <w:rsid w:val="00C7368C"/>
    <w:rsid w:val="00C746BB"/>
    <w:rsid w:val="00C75609"/>
    <w:rsid w:val="00C75F8D"/>
    <w:rsid w:val="00C765EC"/>
    <w:rsid w:val="00C76BF9"/>
    <w:rsid w:val="00C77380"/>
    <w:rsid w:val="00C8096A"/>
    <w:rsid w:val="00C80FBC"/>
    <w:rsid w:val="00C81555"/>
    <w:rsid w:val="00C82D5C"/>
    <w:rsid w:val="00C85008"/>
    <w:rsid w:val="00C853A4"/>
    <w:rsid w:val="00C859F2"/>
    <w:rsid w:val="00C87A1C"/>
    <w:rsid w:val="00C87E8A"/>
    <w:rsid w:val="00C9080E"/>
    <w:rsid w:val="00C90E30"/>
    <w:rsid w:val="00C913D6"/>
    <w:rsid w:val="00C92636"/>
    <w:rsid w:val="00C93AEE"/>
    <w:rsid w:val="00C93B3E"/>
    <w:rsid w:val="00C93E43"/>
    <w:rsid w:val="00C9426A"/>
    <w:rsid w:val="00C97682"/>
    <w:rsid w:val="00C97736"/>
    <w:rsid w:val="00CA248E"/>
    <w:rsid w:val="00CA345A"/>
    <w:rsid w:val="00CA47A4"/>
    <w:rsid w:val="00CA5050"/>
    <w:rsid w:val="00CA7367"/>
    <w:rsid w:val="00CB1E82"/>
    <w:rsid w:val="00CB2160"/>
    <w:rsid w:val="00CB4BA8"/>
    <w:rsid w:val="00CB4EB9"/>
    <w:rsid w:val="00CB52D7"/>
    <w:rsid w:val="00CB6BCA"/>
    <w:rsid w:val="00CB70E4"/>
    <w:rsid w:val="00CC0FFF"/>
    <w:rsid w:val="00CC1360"/>
    <w:rsid w:val="00CC5C4A"/>
    <w:rsid w:val="00CC6732"/>
    <w:rsid w:val="00CC7790"/>
    <w:rsid w:val="00CD2A11"/>
    <w:rsid w:val="00CD4811"/>
    <w:rsid w:val="00CD6095"/>
    <w:rsid w:val="00CD6230"/>
    <w:rsid w:val="00CD6415"/>
    <w:rsid w:val="00CD6A8C"/>
    <w:rsid w:val="00CD6ACF"/>
    <w:rsid w:val="00CD7925"/>
    <w:rsid w:val="00CD7C3F"/>
    <w:rsid w:val="00CE0E08"/>
    <w:rsid w:val="00CE1F1B"/>
    <w:rsid w:val="00CE1FAF"/>
    <w:rsid w:val="00CE2B0A"/>
    <w:rsid w:val="00CE3C96"/>
    <w:rsid w:val="00CE51A8"/>
    <w:rsid w:val="00CE5808"/>
    <w:rsid w:val="00CF0BFE"/>
    <w:rsid w:val="00CF369B"/>
    <w:rsid w:val="00CF4223"/>
    <w:rsid w:val="00CF5658"/>
    <w:rsid w:val="00CF685A"/>
    <w:rsid w:val="00CF6903"/>
    <w:rsid w:val="00CF6DB5"/>
    <w:rsid w:val="00CF7776"/>
    <w:rsid w:val="00D00E28"/>
    <w:rsid w:val="00D01194"/>
    <w:rsid w:val="00D0251D"/>
    <w:rsid w:val="00D0269E"/>
    <w:rsid w:val="00D02D20"/>
    <w:rsid w:val="00D05D6C"/>
    <w:rsid w:val="00D06827"/>
    <w:rsid w:val="00D06DBE"/>
    <w:rsid w:val="00D07698"/>
    <w:rsid w:val="00D07FF7"/>
    <w:rsid w:val="00D10168"/>
    <w:rsid w:val="00D102DE"/>
    <w:rsid w:val="00D1216A"/>
    <w:rsid w:val="00D14785"/>
    <w:rsid w:val="00D14B00"/>
    <w:rsid w:val="00D15810"/>
    <w:rsid w:val="00D16D4E"/>
    <w:rsid w:val="00D16FE3"/>
    <w:rsid w:val="00D1794A"/>
    <w:rsid w:val="00D17B35"/>
    <w:rsid w:val="00D206AE"/>
    <w:rsid w:val="00D20C03"/>
    <w:rsid w:val="00D26098"/>
    <w:rsid w:val="00D27F41"/>
    <w:rsid w:val="00D3109D"/>
    <w:rsid w:val="00D322B6"/>
    <w:rsid w:val="00D35607"/>
    <w:rsid w:val="00D356DC"/>
    <w:rsid w:val="00D35B55"/>
    <w:rsid w:val="00D36441"/>
    <w:rsid w:val="00D36473"/>
    <w:rsid w:val="00D364F6"/>
    <w:rsid w:val="00D369AA"/>
    <w:rsid w:val="00D36AD6"/>
    <w:rsid w:val="00D4064E"/>
    <w:rsid w:val="00D44A09"/>
    <w:rsid w:val="00D44E9B"/>
    <w:rsid w:val="00D45895"/>
    <w:rsid w:val="00D45C89"/>
    <w:rsid w:val="00D476FA"/>
    <w:rsid w:val="00D47A28"/>
    <w:rsid w:val="00D47AEB"/>
    <w:rsid w:val="00D50DB9"/>
    <w:rsid w:val="00D51302"/>
    <w:rsid w:val="00D5217E"/>
    <w:rsid w:val="00D52AE9"/>
    <w:rsid w:val="00D52C43"/>
    <w:rsid w:val="00D53C83"/>
    <w:rsid w:val="00D55C61"/>
    <w:rsid w:val="00D55DA5"/>
    <w:rsid w:val="00D56266"/>
    <w:rsid w:val="00D60650"/>
    <w:rsid w:val="00D61243"/>
    <w:rsid w:val="00D64F59"/>
    <w:rsid w:val="00D6507F"/>
    <w:rsid w:val="00D6615A"/>
    <w:rsid w:val="00D67076"/>
    <w:rsid w:val="00D670E3"/>
    <w:rsid w:val="00D671AE"/>
    <w:rsid w:val="00D70301"/>
    <w:rsid w:val="00D70E96"/>
    <w:rsid w:val="00D715A8"/>
    <w:rsid w:val="00D71A05"/>
    <w:rsid w:val="00D71D3F"/>
    <w:rsid w:val="00D730BC"/>
    <w:rsid w:val="00D7379D"/>
    <w:rsid w:val="00D73912"/>
    <w:rsid w:val="00D75155"/>
    <w:rsid w:val="00D7716E"/>
    <w:rsid w:val="00D772F0"/>
    <w:rsid w:val="00D776C8"/>
    <w:rsid w:val="00D8040B"/>
    <w:rsid w:val="00D83B94"/>
    <w:rsid w:val="00D840FB"/>
    <w:rsid w:val="00D84309"/>
    <w:rsid w:val="00D85226"/>
    <w:rsid w:val="00D852F6"/>
    <w:rsid w:val="00D85812"/>
    <w:rsid w:val="00D8613A"/>
    <w:rsid w:val="00D879C1"/>
    <w:rsid w:val="00D87B94"/>
    <w:rsid w:val="00D900D4"/>
    <w:rsid w:val="00D915F6"/>
    <w:rsid w:val="00D920DF"/>
    <w:rsid w:val="00D92246"/>
    <w:rsid w:val="00D92D49"/>
    <w:rsid w:val="00D92EC1"/>
    <w:rsid w:val="00D939DC"/>
    <w:rsid w:val="00D93D3F"/>
    <w:rsid w:val="00D9500E"/>
    <w:rsid w:val="00D96DEA"/>
    <w:rsid w:val="00D97BD7"/>
    <w:rsid w:val="00DA1787"/>
    <w:rsid w:val="00DA2494"/>
    <w:rsid w:val="00DA2630"/>
    <w:rsid w:val="00DA306A"/>
    <w:rsid w:val="00DA4E41"/>
    <w:rsid w:val="00DA594D"/>
    <w:rsid w:val="00DB117A"/>
    <w:rsid w:val="00DB121E"/>
    <w:rsid w:val="00DB379E"/>
    <w:rsid w:val="00DB4C03"/>
    <w:rsid w:val="00DB5173"/>
    <w:rsid w:val="00DB5520"/>
    <w:rsid w:val="00DB5BFD"/>
    <w:rsid w:val="00DB618F"/>
    <w:rsid w:val="00DB7873"/>
    <w:rsid w:val="00DC187B"/>
    <w:rsid w:val="00DC251A"/>
    <w:rsid w:val="00DC2742"/>
    <w:rsid w:val="00DC5770"/>
    <w:rsid w:val="00DC6CBE"/>
    <w:rsid w:val="00DC7D5B"/>
    <w:rsid w:val="00DD07D7"/>
    <w:rsid w:val="00DD1A43"/>
    <w:rsid w:val="00DD455E"/>
    <w:rsid w:val="00DD5610"/>
    <w:rsid w:val="00DD57AB"/>
    <w:rsid w:val="00DD6F1E"/>
    <w:rsid w:val="00DD73C2"/>
    <w:rsid w:val="00DE0825"/>
    <w:rsid w:val="00DE0946"/>
    <w:rsid w:val="00DE0EC5"/>
    <w:rsid w:val="00DE30EA"/>
    <w:rsid w:val="00DE319B"/>
    <w:rsid w:val="00DE43B8"/>
    <w:rsid w:val="00DE6CAB"/>
    <w:rsid w:val="00DE7BB0"/>
    <w:rsid w:val="00DF1FDD"/>
    <w:rsid w:val="00DF2320"/>
    <w:rsid w:val="00DF244A"/>
    <w:rsid w:val="00DF34FE"/>
    <w:rsid w:val="00DF4B87"/>
    <w:rsid w:val="00DF56AA"/>
    <w:rsid w:val="00DF56AF"/>
    <w:rsid w:val="00DF5E9B"/>
    <w:rsid w:val="00DF63B0"/>
    <w:rsid w:val="00DF6BC4"/>
    <w:rsid w:val="00DF717A"/>
    <w:rsid w:val="00DF78E7"/>
    <w:rsid w:val="00E04FA3"/>
    <w:rsid w:val="00E060EF"/>
    <w:rsid w:val="00E110E0"/>
    <w:rsid w:val="00E11D2F"/>
    <w:rsid w:val="00E15371"/>
    <w:rsid w:val="00E158A0"/>
    <w:rsid w:val="00E21056"/>
    <w:rsid w:val="00E22807"/>
    <w:rsid w:val="00E23071"/>
    <w:rsid w:val="00E23B33"/>
    <w:rsid w:val="00E24104"/>
    <w:rsid w:val="00E24ACB"/>
    <w:rsid w:val="00E262EC"/>
    <w:rsid w:val="00E302D0"/>
    <w:rsid w:val="00E30AA7"/>
    <w:rsid w:val="00E3213E"/>
    <w:rsid w:val="00E326C1"/>
    <w:rsid w:val="00E33A6D"/>
    <w:rsid w:val="00E33F9B"/>
    <w:rsid w:val="00E350D7"/>
    <w:rsid w:val="00E35707"/>
    <w:rsid w:val="00E35CBE"/>
    <w:rsid w:val="00E35D49"/>
    <w:rsid w:val="00E36AA1"/>
    <w:rsid w:val="00E37E0E"/>
    <w:rsid w:val="00E41D9C"/>
    <w:rsid w:val="00E41ECB"/>
    <w:rsid w:val="00E42676"/>
    <w:rsid w:val="00E4370C"/>
    <w:rsid w:val="00E443F9"/>
    <w:rsid w:val="00E449FE"/>
    <w:rsid w:val="00E44B40"/>
    <w:rsid w:val="00E451AA"/>
    <w:rsid w:val="00E4548B"/>
    <w:rsid w:val="00E50822"/>
    <w:rsid w:val="00E5191A"/>
    <w:rsid w:val="00E54207"/>
    <w:rsid w:val="00E54FDB"/>
    <w:rsid w:val="00E5617D"/>
    <w:rsid w:val="00E563D7"/>
    <w:rsid w:val="00E60A11"/>
    <w:rsid w:val="00E637ED"/>
    <w:rsid w:val="00E648F6"/>
    <w:rsid w:val="00E663F4"/>
    <w:rsid w:val="00E666F2"/>
    <w:rsid w:val="00E66B5A"/>
    <w:rsid w:val="00E66DD4"/>
    <w:rsid w:val="00E6791E"/>
    <w:rsid w:val="00E71872"/>
    <w:rsid w:val="00E734CE"/>
    <w:rsid w:val="00E739E0"/>
    <w:rsid w:val="00E7411F"/>
    <w:rsid w:val="00E748CC"/>
    <w:rsid w:val="00E75415"/>
    <w:rsid w:val="00E7582E"/>
    <w:rsid w:val="00E75D36"/>
    <w:rsid w:val="00E775B1"/>
    <w:rsid w:val="00E810A7"/>
    <w:rsid w:val="00E8152A"/>
    <w:rsid w:val="00E81F41"/>
    <w:rsid w:val="00E82BC8"/>
    <w:rsid w:val="00E83B0A"/>
    <w:rsid w:val="00E84B0C"/>
    <w:rsid w:val="00E84BEC"/>
    <w:rsid w:val="00E84CC6"/>
    <w:rsid w:val="00E86132"/>
    <w:rsid w:val="00E87D7C"/>
    <w:rsid w:val="00E90BAD"/>
    <w:rsid w:val="00E90C41"/>
    <w:rsid w:val="00E9116E"/>
    <w:rsid w:val="00E912E0"/>
    <w:rsid w:val="00E93629"/>
    <w:rsid w:val="00E93B5C"/>
    <w:rsid w:val="00E94879"/>
    <w:rsid w:val="00E94CEC"/>
    <w:rsid w:val="00E95CBE"/>
    <w:rsid w:val="00E96878"/>
    <w:rsid w:val="00E97C48"/>
    <w:rsid w:val="00EA04EF"/>
    <w:rsid w:val="00EA18A8"/>
    <w:rsid w:val="00EA45EB"/>
    <w:rsid w:val="00EA5044"/>
    <w:rsid w:val="00EA59D0"/>
    <w:rsid w:val="00EA6C79"/>
    <w:rsid w:val="00EA6F19"/>
    <w:rsid w:val="00EB1B1C"/>
    <w:rsid w:val="00EB2B40"/>
    <w:rsid w:val="00EB3F88"/>
    <w:rsid w:val="00EB483F"/>
    <w:rsid w:val="00EB4FC2"/>
    <w:rsid w:val="00EB5122"/>
    <w:rsid w:val="00EB646E"/>
    <w:rsid w:val="00EB7090"/>
    <w:rsid w:val="00EC0281"/>
    <w:rsid w:val="00EC1BBE"/>
    <w:rsid w:val="00EC2B68"/>
    <w:rsid w:val="00EC3AEF"/>
    <w:rsid w:val="00EC46AE"/>
    <w:rsid w:val="00EC4ED4"/>
    <w:rsid w:val="00EC5CD7"/>
    <w:rsid w:val="00ED0E0B"/>
    <w:rsid w:val="00ED4E35"/>
    <w:rsid w:val="00ED5F65"/>
    <w:rsid w:val="00ED7165"/>
    <w:rsid w:val="00ED71D6"/>
    <w:rsid w:val="00EE1238"/>
    <w:rsid w:val="00EE5FB3"/>
    <w:rsid w:val="00EE6511"/>
    <w:rsid w:val="00EE68F4"/>
    <w:rsid w:val="00EE75BD"/>
    <w:rsid w:val="00EE7F79"/>
    <w:rsid w:val="00EF1C17"/>
    <w:rsid w:val="00EF3F8C"/>
    <w:rsid w:val="00EF43F8"/>
    <w:rsid w:val="00EF6008"/>
    <w:rsid w:val="00EF715A"/>
    <w:rsid w:val="00EF72C8"/>
    <w:rsid w:val="00F0294E"/>
    <w:rsid w:val="00F03093"/>
    <w:rsid w:val="00F030A0"/>
    <w:rsid w:val="00F05FC6"/>
    <w:rsid w:val="00F06E14"/>
    <w:rsid w:val="00F12B6E"/>
    <w:rsid w:val="00F15A0B"/>
    <w:rsid w:val="00F1680F"/>
    <w:rsid w:val="00F16948"/>
    <w:rsid w:val="00F179D4"/>
    <w:rsid w:val="00F21774"/>
    <w:rsid w:val="00F228B8"/>
    <w:rsid w:val="00F22A23"/>
    <w:rsid w:val="00F23D96"/>
    <w:rsid w:val="00F266BD"/>
    <w:rsid w:val="00F27989"/>
    <w:rsid w:val="00F33188"/>
    <w:rsid w:val="00F338D5"/>
    <w:rsid w:val="00F33C56"/>
    <w:rsid w:val="00F347C7"/>
    <w:rsid w:val="00F34848"/>
    <w:rsid w:val="00F365A6"/>
    <w:rsid w:val="00F405D1"/>
    <w:rsid w:val="00F40AC6"/>
    <w:rsid w:val="00F4175B"/>
    <w:rsid w:val="00F41DE5"/>
    <w:rsid w:val="00F42193"/>
    <w:rsid w:val="00F42D46"/>
    <w:rsid w:val="00F4496C"/>
    <w:rsid w:val="00F449E5"/>
    <w:rsid w:val="00F44F3A"/>
    <w:rsid w:val="00F46092"/>
    <w:rsid w:val="00F47C26"/>
    <w:rsid w:val="00F500DB"/>
    <w:rsid w:val="00F508EC"/>
    <w:rsid w:val="00F51F10"/>
    <w:rsid w:val="00F529A5"/>
    <w:rsid w:val="00F5310D"/>
    <w:rsid w:val="00F565E4"/>
    <w:rsid w:val="00F56897"/>
    <w:rsid w:val="00F57982"/>
    <w:rsid w:val="00F57C62"/>
    <w:rsid w:val="00F60547"/>
    <w:rsid w:val="00F6066D"/>
    <w:rsid w:val="00F609F4"/>
    <w:rsid w:val="00F60F00"/>
    <w:rsid w:val="00F614C0"/>
    <w:rsid w:val="00F62DD6"/>
    <w:rsid w:val="00F63837"/>
    <w:rsid w:val="00F6540E"/>
    <w:rsid w:val="00F66CBC"/>
    <w:rsid w:val="00F70A52"/>
    <w:rsid w:val="00F72A9F"/>
    <w:rsid w:val="00F72B9D"/>
    <w:rsid w:val="00F740DB"/>
    <w:rsid w:val="00F74D5C"/>
    <w:rsid w:val="00F76A4F"/>
    <w:rsid w:val="00F77986"/>
    <w:rsid w:val="00F802C6"/>
    <w:rsid w:val="00F83848"/>
    <w:rsid w:val="00F86359"/>
    <w:rsid w:val="00F869CB"/>
    <w:rsid w:val="00F90ACD"/>
    <w:rsid w:val="00F90C20"/>
    <w:rsid w:val="00F92056"/>
    <w:rsid w:val="00F96D7F"/>
    <w:rsid w:val="00F96F6F"/>
    <w:rsid w:val="00F973F8"/>
    <w:rsid w:val="00F975E9"/>
    <w:rsid w:val="00F9793C"/>
    <w:rsid w:val="00F97A69"/>
    <w:rsid w:val="00FA0FDE"/>
    <w:rsid w:val="00FA1B7D"/>
    <w:rsid w:val="00FA2831"/>
    <w:rsid w:val="00FA28D6"/>
    <w:rsid w:val="00FA3643"/>
    <w:rsid w:val="00FA6E33"/>
    <w:rsid w:val="00FA6F1C"/>
    <w:rsid w:val="00FB0D61"/>
    <w:rsid w:val="00FB2F99"/>
    <w:rsid w:val="00FB3067"/>
    <w:rsid w:val="00FB35F6"/>
    <w:rsid w:val="00FB4E2F"/>
    <w:rsid w:val="00FB4F4E"/>
    <w:rsid w:val="00FB5516"/>
    <w:rsid w:val="00FB5550"/>
    <w:rsid w:val="00FB704A"/>
    <w:rsid w:val="00FC07B9"/>
    <w:rsid w:val="00FC0937"/>
    <w:rsid w:val="00FC093F"/>
    <w:rsid w:val="00FC2C4C"/>
    <w:rsid w:val="00FC30A6"/>
    <w:rsid w:val="00FC3E5C"/>
    <w:rsid w:val="00FC4714"/>
    <w:rsid w:val="00FC4934"/>
    <w:rsid w:val="00FC4E21"/>
    <w:rsid w:val="00FC5F6D"/>
    <w:rsid w:val="00FC6797"/>
    <w:rsid w:val="00FC6A38"/>
    <w:rsid w:val="00FD0107"/>
    <w:rsid w:val="00FD076E"/>
    <w:rsid w:val="00FD109E"/>
    <w:rsid w:val="00FD1AAC"/>
    <w:rsid w:val="00FD1CF8"/>
    <w:rsid w:val="00FD1FF0"/>
    <w:rsid w:val="00FD2B2E"/>
    <w:rsid w:val="00FD2C2F"/>
    <w:rsid w:val="00FD3129"/>
    <w:rsid w:val="00FD3B31"/>
    <w:rsid w:val="00FD4BAC"/>
    <w:rsid w:val="00FD5920"/>
    <w:rsid w:val="00FD638F"/>
    <w:rsid w:val="00FD7CB0"/>
    <w:rsid w:val="00FE0708"/>
    <w:rsid w:val="00FE1823"/>
    <w:rsid w:val="00FE2FB4"/>
    <w:rsid w:val="00FE3B89"/>
    <w:rsid w:val="00FE487A"/>
    <w:rsid w:val="00FE56C0"/>
    <w:rsid w:val="00FE6478"/>
    <w:rsid w:val="00FE6728"/>
    <w:rsid w:val="00FE7480"/>
    <w:rsid w:val="00FF012E"/>
    <w:rsid w:val="00FF0569"/>
    <w:rsid w:val="00FF1164"/>
    <w:rsid w:val="00FF1EF6"/>
    <w:rsid w:val="00FF206E"/>
    <w:rsid w:val="00FF3C69"/>
    <w:rsid w:val="00FF6771"/>
    <w:rsid w:val="00FF6E0A"/>
  </w:rsids>
  <m:mathPr>
    <m:mathFont m:val="Cambria Math"/>
    <m:brkBin m:val="before"/>
    <m:brkBinSub m:val="--"/>
    <m:smallFrac/>
    <m:dispDef/>
    <m:lMargin m:val="0"/>
    <m:rMargin m:val="0"/>
    <m:defJc m:val="centerGroup"/>
    <m:wrapIndent m:val="1440"/>
    <m:intLim m:val="subSup"/>
    <m:naryLim m:val="undOvr"/>
  </m:mathPr>
  <w:themeFontLang w:val="en-AU"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71681">
      <o:colormru v:ext="edit" colors="red,#4d4d4f"/>
    </o:shapedefaults>
    <o:shapelayout v:ext="edit">
      <o:idmap v:ext="edit" data="1"/>
    </o:shapelayout>
  </w:shapeDefaults>
  <w:decimalSymbol w:val="."/>
  <w:listSeparator w:val=","/>
  <w14:docId w14:val="650CA7E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sz w:val="24"/>
        <w:szCs w:val="24"/>
        <w:lang w:val="en-AU" w:eastAsia="en-AU"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uiPriority="2" w:qFormat="1"/>
    <w:lsdException w:name="heading 5" w:qFormat="1"/>
    <w:lsdException w:name="heading 6" w:qFormat="1"/>
    <w:lsdException w:name="heading 7" w:qFormat="1"/>
    <w:lsdException w:name="heading 8" w:qFormat="1"/>
    <w:lsdException w:name="heading 9" w:qFormat="1"/>
    <w:lsdException w:name="index 1" w:semiHidden="1" w:unhideWhenUsed="1"/>
    <w:lsdException w:name="index 2" w:semiHidden="1"/>
    <w:lsdException w:name="index 3" w:semiHidden="1"/>
    <w:lsdException w:name="index 4" w:semiHidden="1"/>
    <w:lsdException w:name="index 5" w:semiHidden="1"/>
    <w:lsdException w:name="index 6" w:semiHidden="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iPriority="99" w:unhideWhenUsed="1"/>
    <w:lsdException w:name="header" w:semiHidden="1" w:unhideWhenUsed="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semiHidden="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qFormat="1"/>
    <w:lsdException w:name="List Bullet 3" w:semiHidden="1" w:unhideWhenUsed="1"/>
    <w:lsdException w:name="List Bullet 4" w:semiHidden="1" w:unhideWhenUsed="1"/>
    <w:lsdException w:name="List Bullet 5" w:semiHidden="1" w:unhideWhenUsed="1"/>
    <w:lsdException w:name="List Number 2" w:qFormat="1"/>
    <w:lsdException w:name="List Number 3" w:semiHidden="1" w:unhideWhenUsed="1"/>
    <w:lsdException w:name="List Number 4" w:semiHidden="1" w:unhideWhenUsed="1"/>
    <w:lsdException w:name="List Number 5" w:semiHidden="1"/>
    <w:lsdException w:name="Title" w:semiHidden="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lsdException w:name="Block Text" w:semiHidden="1"/>
    <w:lsdException w:name="Hyperlink" w:uiPriority="99" w:qFormat="1"/>
    <w:lsdException w:name="Strong" w:semiHidden="1"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semiHidden="1" w:uiPriority="34" w:qFormat="1"/>
    <w:lsdException w:name="Quote" w:semiHidden="1"/>
    <w:lsdException w:name="Intense Quote"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semiHidden="1"/>
    <w:lsdException w:name="Intense Emphasis" w:semiHidden="1"/>
    <w:lsdException w:name="Subtle Reference" w:semiHidden="1"/>
    <w:lsdException w:name="Intense Reference" w:semiHidden="1"/>
    <w:lsdException w:name="Book Title" w:semiHidden="1"/>
    <w:lsdException w:name="Bibliography" w:semiHidden="1" w:unhideWhenUsed="1"/>
    <w:lsdException w:name="TOC Heading" w:semiHidden="1"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semiHidden/>
    <w:qFormat/>
    <w:rsid w:val="005C34EF"/>
    <w:pPr>
      <w:spacing w:after="240" w:line="240" w:lineRule="atLeast"/>
    </w:pPr>
    <w:rPr>
      <w:rFonts w:ascii="Arial" w:hAnsi="Arial"/>
      <w:sz w:val="20"/>
    </w:rPr>
  </w:style>
  <w:style w:type="paragraph" w:styleId="Heading1">
    <w:name w:val="heading 1"/>
    <w:basedOn w:val="Normal"/>
    <w:next w:val="Normal"/>
    <w:link w:val="Heading1Char"/>
    <w:qFormat/>
    <w:rsid w:val="00C55235"/>
    <w:pPr>
      <w:keepNext/>
      <w:pageBreakBefore/>
      <w:widowControl w:val="0"/>
      <w:spacing w:after="360" w:line="550" w:lineRule="exact"/>
      <w:outlineLvl w:val="0"/>
    </w:pPr>
    <w:rPr>
      <w:rFonts w:cs="Arial"/>
      <w:bCs/>
      <w:color w:val="323232"/>
      <w:kern w:val="32"/>
      <w:sz w:val="53"/>
      <w:szCs w:val="32"/>
    </w:rPr>
  </w:style>
  <w:style w:type="paragraph" w:styleId="Heading2">
    <w:name w:val="heading 2"/>
    <w:basedOn w:val="Normal"/>
    <w:next w:val="Paragraph"/>
    <w:link w:val="Heading2Char"/>
    <w:qFormat/>
    <w:rsid w:val="00C55235"/>
    <w:pPr>
      <w:keepNext/>
      <w:spacing w:before="320" w:after="60"/>
      <w:outlineLvl w:val="1"/>
    </w:pPr>
    <w:rPr>
      <w:rFonts w:cs="Arial"/>
      <w:b/>
      <w:bCs/>
      <w:iCs/>
      <w:sz w:val="28"/>
      <w:szCs w:val="28"/>
    </w:rPr>
  </w:style>
  <w:style w:type="paragraph" w:styleId="Heading3">
    <w:name w:val="heading 3"/>
    <w:basedOn w:val="Normal"/>
    <w:next w:val="Normal"/>
    <w:link w:val="Heading3Char"/>
    <w:qFormat/>
    <w:rsid w:val="00C55235"/>
    <w:pPr>
      <w:keepNext/>
      <w:spacing w:before="60" w:after="60"/>
      <w:outlineLvl w:val="2"/>
    </w:pPr>
    <w:rPr>
      <w:rFonts w:cs="Arial"/>
      <w:b/>
      <w:bCs/>
      <w:szCs w:val="26"/>
    </w:rPr>
  </w:style>
  <w:style w:type="paragraph" w:styleId="Heading4">
    <w:name w:val="heading 4"/>
    <w:basedOn w:val="BodySubHeader"/>
    <w:next w:val="Normal"/>
    <w:uiPriority w:val="2"/>
    <w:qFormat/>
    <w:rsid w:val="005B2F0D"/>
    <w:pPr>
      <w:outlineLvl w:val="3"/>
    </w:pPr>
    <w:rPr>
      <w:rFonts w:cs="Arial"/>
    </w:rPr>
  </w:style>
  <w:style w:type="paragraph" w:styleId="Heading5">
    <w:name w:val="heading 5"/>
    <w:basedOn w:val="Normal"/>
    <w:next w:val="Normal"/>
    <w:semiHidden/>
    <w:qFormat/>
    <w:rsid w:val="00AD5436"/>
    <w:pPr>
      <w:numPr>
        <w:ilvl w:val="4"/>
        <w:numId w:val="5"/>
      </w:numPr>
      <w:spacing w:before="240" w:after="60"/>
      <w:outlineLvl w:val="4"/>
    </w:pPr>
    <w:rPr>
      <w:b/>
      <w:bCs/>
      <w:i/>
      <w:iCs/>
      <w:sz w:val="26"/>
      <w:szCs w:val="26"/>
    </w:rPr>
  </w:style>
  <w:style w:type="paragraph" w:styleId="Heading6">
    <w:name w:val="heading 6"/>
    <w:basedOn w:val="Normal"/>
    <w:next w:val="Normal"/>
    <w:semiHidden/>
    <w:qFormat/>
    <w:rsid w:val="00AD5436"/>
    <w:pPr>
      <w:numPr>
        <w:ilvl w:val="5"/>
        <w:numId w:val="5"/>
      </w:numPr>
      <w:spacing w:before="240" w:after="60"/>
      <w:outlineLvl w:val="5"/>
    </w:pPr>
    <w:rPr>
      <w:rFonts w:ascii="Times New Roman" w:hAnsi="Times New Roman"/>
      <w:b/>
      <w:bCs/>
      <w:sz w:val="22"/>
      <w:szCs w:val="22"/>
    </w:rPr>
  </w:style>
  <w:style w:type="paragraph" w:styleId="Heading7">
    <w:name w:val="heading 7"/>
    <w:basedOn w:val="Normal"/>
    <w:next w:val="Normal"/>
    <w:semiHidden/>
    <w:qFormat/>
    <w:rsid w:val="00AD5436"/>
    <w:pPr>
      <w:numPr>
        <w:ilvl w:val="6"/>
        <w:numId w:val="5"/>
      </w:numPr>
      <w:spacing w:before="240" w:after="60"/>
      <w:outlineLvl w:val="6"/>
    </w:pPr>
    <w:rPr>
      <w:rFonts w:ascii="Times New Roman" w:hAnsi="Times New Roman"/>
      <w:sz w:val="24"/>
    </w:rPr>
  </w:style>
  <w:style w:type="paragraph" w:styleId="Heading8">
    <w:name w:val="heading 8"/>
    <w:basedOn w:val="Normal"/>
    <w:next w:val="Normal"/>
    <w:semiHidden/>
    <w:qFormat/>
    <w:rsid w:val="00AD5436"/>
    <w:pPr>
      <w:numPr>
        <w:ilvl w:val="7"/>
        <w:numId w:val="5"/>
      </w:numPr>
      <w:spacing w:before="240" w:after="60"/>
      <w:outlineLvl w:val="7"/>
    </w:pPr>
    <w:rPr>
      <w:rFonts w:ascii="Times New Roman" w:hAnsi="Times New Roman"/>
      <w:i/>
      <w:iCs/>
      <w:sz w:val="24"/>
    </w:rPr>
  </w:style>
  <w:style w:type="paragraph" w:styleId="Heading9">
    <w:name w:val="heading 9"/>
    <w:basedOn w:val="Normal"/>
    <w:next w:val="Normal"/>
    <w:semiHidden/>
    <w:qFormat/>
    <w:rsid w:val="00AD5436"/>
    <w:pPr>
      <w:numPr>
        <w:ilvl w:val="8"/>
        <w:numId w:val="5"/>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semiHidden/>
    <w:rsid w:val="0070791C"/>
    <w:pPr>
      <w:tabs>
        <w:tab w:val="center" w:pos="4153"/>
        <w:tab w:val="right" w:pos="8306"/>
      </w:tabs>
      <w:spacing w:line="240" w:lineRule="auto"/>
    </w:pPr>
    <w:rPr>
      <w:sz w:val="16"/>
    </w:rPr>
  </w:style>
  <w:style w:type="paragraph" w:styleId="Footer">
    <w:name w:val="footer"/>
    <w:basedOn w:val="Normal"/>
    <w:link w:val="FooterChar"/>
    <w:semiHidden/>
    <w:qFormat/>
    <w:rsid w:val="0094078F"/>
    <w:pPr>
      <w:tabs>
        <w:tab w:val="right" w:pos="113"/>
      </w:tabs>
      <w:spacing w:line="240" w:lineRule="auto"/>
    </w:pPr>
    <w:rPr>
      <w:color w:val="323232"/>
      <w:sz w:val="16"/>
    </w:rPr>
  </w:style>
  <w:style w:type="character" w:customStyle="1" w:styleId="FooterChar">
    <w:name w:val="Footer Char"/>
    <w:basedOn w:val="DefaultParagraphFont"/>
    <w:link w:val="Footer"/>
    <w:semiHidden/>
    <w:rsid w:val="00EC2B68"/>
    <w:rPr>
      <w:rFonts w:ascii="Arial" w:hAnsi="Arial"/>
      <w:color w:val="323232"/>
      <w:sz w:val="16"/>
    </w:rPr>
  </w:style>
  <w:style w:type="paragraph" w:customStyle="1" w:styleId="Reporttitle">
    <w:name w:val="Report title"/>
    <w:basedOn w:val="Normal"/>
    <w:uiPriority w:val="19"/>
    <w:qFormat/>
    <w:rsid w:val="00A51D1A"/>
    <w:pPr>
      <w:spacing w:after="0" w:line="560" w:lineRule="exact"/>
    </w:pPr>
    <w:rPr>
      <w:b/>
      <w:spacing w:val="-28"/>
      <w:sz w:val="53"/>
    </w:rPr>
  </w:style>
  <w:style w:type="paragraph" w:customStyle="1" w:styleId="Reportsubtitle">
    <w:name w:val="Report subtitle"/>
    <w:basedOn w:val="Normal"/>
    <w:uiPriority w:val="20"/>
    <w:qFormat/>
    <w:rsid w:val="00950159"/>
    <w:pPr>
      <w:spacing w:after="200" w:line="560" w:lineRule="exact"/>
    </w:pPr>
    <w:rPr>
      <w:color w:val="323232"/>
      <w:spacing w:val="-28"/>
      <w:sz w:val="53"/>
    </w:rPr>
  </w:style>
  <w:style w:type="table" w:styleId="TableGrid">
    <w:name w:val="Table Grid"/>
    <w:basedOn w:val="TableNormal"/>
    <w:uiPriority w:val="39"/>
    <w:rsid w:val="00226819"/>
    <w:pPr>
      <w:spacing w:line="240" w:lineRule="atLeas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Reportdate">
    <w:name w:val="Report date"/>
    <w:basedOn w:val="Reportsubtitle"/>
    <w:uiPriority w:val="21"/>
    <w:qFormat/>
    <w:rsid w:val="00950159"/>
    <w:pPr>
      <w:spacing w:after="1200" w:line="240" w:lineRule="auto"/>
    </w:pPr>
    <w:rPr>
      <w:caps/>
      <w:spacing w:val="-10"/>
      <w:sz w:val="20"/>
    </w:rPr>
  </w:style>
  <w:style w:type="paragraph" w:customStyle="1" w:styleId="Tableheaderrow">
    <w:name w:val="Table header row"/>
    <w:basedOn w:val="Normal"/>
    <w:uiPriority w:val="14"/>
    <w:qFormat/>
    <w:rsid w:val="00774FDB"/>
    <w:pPr>
      <w:spacing w:after="0"/>
    </w:pPr>
    <w:rPr>
      <w:b/>
    </w:rPr>
  </w:style>
  <w:style w:type="paragraph" w:customStyle="1" w:styleId="PageNumber">
    <w:name w:val="PageNumber"/>
    <w:basedOn w:val="Normal"/>
    <w:semiHidden/>
    <w:rsid w:val="0070791C"/>
    <w:pPr>
      <w:spacing w:line="240" w:lineRule="auto"/>
    </w:pPr>
    <w:rPr>
      <w:sz w:val="16"/>
    </w:rPr>
  </w:style>
  <w:style w:type="paragraph" w:customStyle="1" w:styleId="Copyright">
    <w:name w:val="Copyright"/>
    <w:basedOn w:val="Normal"/>
    <w:semiHidden/>
    <w:rsid w:val="00454596"/>
    <w:pPr>
      <w:spacing w:line="160" w:lineRule="exact"/>
    </w:pPr>
    <w:rPr>
      <w:color w:val="4D4D4F"/>
      <w:sz w:val="13"/>
    </w:rPr>
  </w:style>
  <w:style w:type="paragraph" w:styleId="TOCHeading">
    <w:name w:val="TOC Heading"/>
    <w:basedOn w:val="Normal"/>
    <w:semiHidden/>
    <w:qFormat/>
    <w:rsid w:val="00950159"/>
    <w:pPr>
      <w:spacing w:before="1200" w:line="240" w:lineRule="auto"/>
    </w:pPr>
    <w:rPr>
      <w:b/>
      <w:color w:val="323232"/>
      <w:spacing w:val="-28"/>
      <w:sz w:val="53"/>
    </w:rPr>
  </w:style>
  <w:style w:type="paragraph" w:styleId="Caption">
    <w:name w:val="caption"/>
    <w:aliases w:val="Caption table"/>
    <w:basedOn w:val="Normal"/>
    <w:next w:val="Normal"/>
    <w:uiPriority w:val="35"/>
    <w:qFormat/>
    <w:rsid w:val="00E8152A"/>
    <w:pPr>
      <w:numPr>
        <w:numId w:val="9"/>
      </w:numPr>
      <w:spacing w:after="0"/>
    </w:pPr>
    <w:rPr>
      <w:b/>
      <w:bCs/>
      <w:color w:val="323232"/>
      <w:szCs w:val="20"/>
    </w:rPr>
  </w:style>
  <w:style w:type="paragraph" w:customStyle="1" w:styleId="BodySubHeader">
    <w:name w:val="BodySubHeader"/>
    <w:basedOn w:val="Normal"/>
    <w:next w:val="Normal"/>
    <w:qFormat/>
    <w:rsid w:val="00146CE6"/>
    <w:pPr>
      <w:spacing w:before="240" w:after="0"/>
    </w:pPr>
    <w:rPr>
      <w:b/>
      <w:i/>
    </w:rPr>
  </w:style>
  <w:style w:type="paragraph" w:styleId="ListBullet">
    <w:name w:val="List Bullet"/>
    <w:basedOn w:val="Normal"/>
    <w:qFormat/>
    <w:rsid w:val="001C6AEE"/>
    <w:pPr>
      <w:numPr>
        <w:numId w:val="1"/>
      </w:numPr>
      <w:spacing w:after="80"/>
    </w:pPr>
  </w:style>
  <w:style w:type="paragraph" w:styleId="ListBullet2">
    <w:name w:val="List Bullet 2"/>
    <w:basedOn w:val="Normal"/>
    <w:qFormat/>
    <w:rsid w:val="001C6AEE"/>
    <w:pPr>
      <w:numPr>
        <w:numId w:val="2"/>
      </w:numPr>
      <w:spacing w:after="80"/>
    </w:pPr>
  </w:style>
  <w:style w:type="paragraph" w:styleId="ListNumber">
    <w:name w:val="List Number"/>
    <w:basedOn w:val="Normal"/>
    <w:qFormat/>
    <w:rsid w:val="00C24A53"/>
    <w:pPr>
      <w:spacing w:after="80"/>
    </w:pPr>
  </w:style>
  <w:style w:type="paragraph" w:styleId="ListNumber2">
    <w:name w:val="List Number 2"/>
    <w:basedOn w:val="Normal"/>
    <w:qFormat/>
    <w:rsid w:val="004A70D6"/>
    <w:pPr>
      <w:numPr>
        <w:numId w:val="4"/>
      </w:numPr>
      <w:spacing w:after="80"/>
      <w:ind w:left="828" w:hanging="357"/>
    </w:pPr>
  </w:style>
  <w:style w:type="paragraph" w:customStyle="1" w:styleId="URLEmail">
    <w:name w:val="URL/Email"/>
    <w:basedOn w:val="Normal"/>
    <w:semiHidden/>
    <w:rsid w:val="00302480"/>
    <w:rPr>
      <w:color w:val="4D4D4F"/>
      <w:spacing w:val="4"/>
    </w:rPr>
  </w:style>
  <w:style w:type="paragraph" w:customStyle="1" w:styleId="Execsummaryheading">
    <w:name w:val="Exec summary heading"/>
    <w:basedOn w:val="Normal"/>
    <w:uiPriority w:val="22"/>
    <w:qFormat/>
    <w:rsid w:val="006B52DE"/>
    <w:pPr>
      <w:pageBreakBefore/>
      <w:spacing w:after="1440" w:line="550" w:lineRule="exact"/>
    </w:pPr>
    <w:rPr>
      <w:b/>
      <w:color w:val="323232"/>
      <w:spacing w:val="-18"/>
      <w:sz w:val="53"/>
    </w:rPr>
  </w:style>
  <w:style w:type="character" w:styleId="PageNumber0">
    <w:name w:val="page number"/>
    <w:basedOn w:val="DefaultParagraphFont"/>
    <w:semiHidden/>
    <w:rsid w:val="00542377"/>
  </w:style>
  <w:style w:type="paragraph" w:styleId="ListContinue5">
    <w:name w:val="List Continue 5"/>
    <w:basedOn w:val="Normal"/>
    <w:semiHidden/>
    <w:rsid w:val="00EC2B68"/>
    <w:pPr>
      <w:spacing w:after="120"/>
      <w:ind w:left="1415"/>
      <w:contextualSpacing/>
    </w:pPr>
  </w:style>
  <w:style w:type="paragraph" w:customStyle="1" w:styleId="Paragraphbeforelist">
    <w:name w:val="Paragraph before list"/>
    <w:basedOn w:val="Paragraph"/>
    <w:uiPriority w:val="4"/>
    <w:qFormat/>
    <w:rsid w:val="00C87E8A"/>
    <w:pPr>
      <w:spacing w:after="80"/>
    </w:pPr>
  </w:style>
  <w:style w:type="paragraph" w:styleId="TOC1">
    <w:name w:val="toc 1"/>
    <w:basedOn w:val="Normal"/>
    <w:next w:val="Normal"/>
    <w:uiPriority w:val="39"/>
    <w:qFormat/>
    <w:rsid w:val="007A6CC0"/>
    <w:pPr>
      <w:tabs>
        <w:tab w:val="right" w:pos="7660"/>
      </w:tabs>
      <w:spacing w:before="280" w:after="80" w:line="320" w:lineRule="exact"/>
      <w:ind w:right="851"/>
    </w:pPr>
    <w:rPr>
      <w:b/>
      <w:noProof/>
      <w:spacing w:val="-14"/>
      <w:sz w:val="28"/>
    </w:rPr>
  </w:style>
  <w:style w:type="paragraph" w:styleId="TOC2">
    <w:name w:val="toc 2"/>
    <w:basedOn w:val="Normal"/>
    <w:next w:val="Normal"/>
    <w:uiPriority w:val="39"/>
    <w:qFormat/>
    <w:rsid w:val="007A6CC0"/>
    <w:pPr>
      <w:tabs>
        <w:tab w:val="right" w:pos="7660"/>
      </w:tabs>
      <w:spacing w:after="80" w:line="300" w:lineRule="exact"/>
      <w:ind w:left="885" w:hanging="885"/>
    </w:pPr>
    <w:rPr>
      <w:noProof/>
      <w:spacing w:val="-14"/>
      <w:sz w:val="26"/>
      <w:szCs w:val="26"/>
    </w:rPr>
  </w:style>
  <w:style w:type="paragraph" w:styleId="TableofFigures">
    <w:name w:val="table of figures"/>
    <w:basedOn w:val="Normal"/>
    <w:next w:val="Normal"/>
    <w:semiHidden/>
    <w:rsid w:val="00AD3082"/>
    <w:pPr>
      <w:tabs>
        <w:tab w:val="right" w:pos="7615"/>
      </w:tabs>
      <w:spacing w:line="320" w:lineRule="exact"/>
    </w:pPr>
    <w:rPr>
      <w:noProof/>
      <w:color w:val="808285"/>
      <w:sz w:val="28"/>
    </w:rPr>
  </w:style>
  <w:style w:type="paragraph" w:styleId="TOC3">
    <w:name w:val="toc 3"/>
    <w:basedOn w:val="Normal"/>
    <w:next w:val="Normal"/>
    <w:uiPriority w:val="39"/>
    <w:qFormat/>
    <w:rsid w:val="007A6CC0"/>
    <w:pPr>
      <w:tabs>
        <w:tab w:val="right" w:pos="7661"/>
      </w:tabs>
      <w:spacing w:after="80" w:line="240" w:lineRule="auto"/>
    </w:pPr>
    <w:rPr>
      <w:noProof/>
      <w:sz w:val="22"/>
      <w:szCs w:val="22"/>
    </w:rPr>
  </w:style>
  <w:style w:type="character" w:styleId="Hyperlink">
    <w:name w:val="Hyperlink"/>
    <w:aliases w:val="CEO_Hyperlink"/>
    <w:basedOn w:val="DefaultParagraphFont"/>
    <w:uiPriority w:val="99"/>
    <w:qFormat/>
    <w:rsid w:val="00C35CCE"/>
    <w:rPr>
      <w:color w:val="0000FF"/>
      <w:u w:val="single" w:color="0000FF"/>
    </w:rPr>
  </w:style>
  <w:style w:type="character" w:styleId="FootnoteReference">
    <w:name w:val="footnote reference"/>
    <w:aliases w:val="Appel note de bas de p,Appel note de bas de p + 11 pt,Italic,Footnote,Appel note de bas de p1,Appel note de bas de p2,Appel note de bas de p3,Footnote Reference/,Style 12,(NECG) Footnote Reference,Style 124,o,fr,Style 3"/>
    <w:basedOn w:val="DefaultParagraphFont"/>
    <w:uiPriority w:val="99"/>
    <w:rsid w:val="00566AB4"/>
    <w:rPr>
      <w:rFonts w:ascii="Arial" w:hAnsi="Arial"/>
      <w:vertAlign w:val="superscript"/>
    </w:rPr>
  </w:style>
  <w:style w:type="paragraph" w:styleId="FootnoteText">
    <w:name w:val="footnote text"/>
    <w:aliases w:val="Footnote text,ACMA Footnote Text,footnote text,Footnote Text Char1,Footnote Text Char Char,Footnote Text Char1 Char Char,Footnote Text Char Char Char Char,Footnote Text Char1 Char Char Char Char,Footnote Text Char Char Char Char Char Char"/>
    <w:basedOn w:val="Normal"/>
    <w:link w:val="FootnoteTextChar"/>
    <w:uiPriority w:val="99"/>
    <w:rsid w:val="00D61243"/>
    <w:pPr>
      <w:spacing w:after="0"/>
    </w:pPr>
    <w:rPr>
      <w:sz w:val="16"/>
      <w:szCs w:val="16"/>
    </w:rPr>
  </w:style>
  <w:style w:type="paragraph" w:customStyle="1" w:styleId="TableBody">
    <w:name w:val="Table Body"/>
    <w:basedOn w:val="Normal"/>
    <w:uiPriority w:val="15"/>
    <w:qFormat/>
    <w:rsid w:val="00774FDB"/>
    <w:pPr>
      <w:spacing w:after="0" w:line="240" w:lineRule="auto"/>
    </w:pPr>
  </w:style>
  <w:style w:type="character" w:styleId="CommentReference">
    <w:name w:val="annotation reference"/>
    <w:basedOn w:val="DefaultParagraphFont"/>
    <w:uiPriority w:val="99"/>
    <w:semiHidden/>
    <w:rsid w:val="00EE7F79"/>
    <w:rPr>
      <w:sz w:val="16"/>
      <w:szCs w:val="16"/>
    </w:rPr>
  </w:style>
  <w:style w:type="paragraph" w:styleId="CommentText">
    <w:name w:val="annotation text"/>
    <w:basedOn w:val="Normal"/>
    <w:link w:val="CommentTextChar"/>
    <w:uiPriority w:val="99"/>
    <w:semiHidden/>
    <w:rsid w:val="00EE7F79"/>
    <w:pPr>
      <w:spacing w:line="240" w:lineRule="auto"/>
    </w:pPr>
    <w:rPr>
      <w:szCs w:val="20"/>
    </w:rPr>
  </w:style>
  <w:style w:type="character" w:customStyle="1" w:styleId="CommentTextChar">
    <w:name w:val="Comment Text Char"/>
    <w:basedOn w:val="DefaultParagraphFont"/>
    <w:link w:val="CommentText"/>
    <w:uiPriority w:val="99"/>
    <w:semiHidden/>
    <w:rsid w:val="00EE7F79"/>
    <w:rPr>
      <w:rFonts w:ascii="Arial" w:hAnsi="Arial"/>
    </w:rPr>
  </w:style>
  <w:style w:type="paragraph" w:styleId="CommentSubject">
    <w:name w:val="annotation subject"/>
    <w:basedOn w:val="CommentText"/>
    <w:next w:val="CommentText"/>
    <w:link w:val="CommentSubjectChar"/>
    <w:semiHidden/>
    <w:rsid w:val="00EE7F79"/>
    <w:rPr>
      <w:b/>
      <w:bCs/>
    </w:rPr>
  </w:style>
  <w:style w:type="character" w:customStyle="1" w:styleId="CommentSubjectChar">
    <w:name w:val="Comment Subject Char"/>
    <w:basedOn w:val="CommentTextChar"/>
    <w:link w:val="CommentSubject"/>
    <w:semiHidden/>
    <w:rsid w:val="00EE7F79"/>
    <w:rPr>
      <w:rFonts w:ascii="Arial" w:hAnsi="Arial"/>
      <w:b/>
      <w:bCs/>
    </w:rPr>
  </w:style>
  <w:style w:type="character" w:styleId="FollowedHyperlink">
    <w:name w:val="FollowedHyperlink"/>
    <w:basedOn w:val="DefaultParagraphFont"/>
    <w:semiHidden/>
    <w:rsid w:val="00F60F00"/>
    <w:rPr>
      <w:color w:val="800080" w:themeColor="followedHyperlink"/>
      <w:u w:val="single"/>
    </w:rPr>
  </w:style>
  <w:style w:type="character" w:styleId="PlaceholderText">
    <w:name w:val="Placeholder Text"/>
    <w:basedOn w:val="DefaultParagraphFont"/>
    <w:uiPriority w:val="99"/>
    <w:semiHidden/>
    <w:rsid w:val="00C97736"/>
    <w:rPr>
      <w:color w:val="808080"/>
    </w:rPr>
  </w:style>
  <w:style w:type="paragraph" w:customStyle="1" w:styleId="ACMAInstructions">
    <w:name w:val="ACMA_Instructions"/>
    <w:basedOn w:val="Normal"/>
    <w:semiHidden/>
    <w:unhideWhenUsed/>
    <w:qFormat/>
    <w:rsid w:val="00BF610C"/>
    <w:pPr>
      <w:spacing w:after="200"/>
    </w:pPr>
    <w:rPr>
      <w:rFonts w:cs="Arial"/>
      <w:b/>
      <w:vanish/>
      <w:sz w:val="24"/>
    </w:rPr>
  </w:style>
  <w:style w:type="paragraph" w:customStyle="1" w:styleId="CorporateAddresses">
    <w:name w:val="Corporate Addresses"/>
    <w:basedOn w:val="Normal"/>
    <w:semiHidden/>
    <w:rsid w:val="0005011A"/>
    <w:pPr>
      <w:spacing w:line="140" w:lineRule="exact"/>
    </w:pPr>
    <w:rPr>
      <w:color w:val="4D4D4F"/>
      <w:sz w:val="13"/>
    </w:rPr>
  </w:style>
  <w:style w:type="paragraph" w:customStyle="1" w:styleId="Bulletlevel1">
    <w:name w:val="Bullet level 1"/>
    <w:basedOn w:val="ListBullet"/>
    <w:uiPriority w:val="5"/>
    <w:qFormat/>
    <w:rsid w:val="00A824E8"/>
    <w:rPr>
      <w:rFonts w:cs="Arial"/>
    </w:rPr>
  </w:style>
  <w:style w:type="paragraph" w:customStyle="1" w:styleId="ACMACorporateAddressHeader">
    <w:name w:val="ACMA_CorporateAddressHeader"/>
    <w:basedOn w:val="Normal"/>
    <w:next w:val="ACMACorporateAddresses"/>
    <w:semiHidden/>
    <w:unhideWhenUsed/>
    <w:qFormat/>
    <w:rsid w:val="00FC07B9"/>
    <w:pPr>
      <w:tabs>
        <w:tab w:val="left" w:pos="142"/>
      </w:tabs>
      <w:spacing w:before="240" w:after="0" w:line="140" w:lineRule="exact"/>
    </w:pPr>
    <w:rPr>
      <w:b/>
      <w:sz w:val="13"/>
    </w:rPr>
  </w:style>
  <w:style w:type="paragraph" w:customStyle="1" w:styleId="ACMACorporateAddresses">
    <w:name w:val="ACMA_CorporateAddresses"/>
    <w:basedOn w:val="ACMACorporateAddressHeader"/>
    <w:semiHidden/>
    <w:unhideWhenUsed/>
    <w:qFormat/>
    <w:rsid w:val="00FC07B9"/>
    <w:pPr>
      <w:spacing w:before="0" w:after="120"/>
    </w:pPr>
    <w:rPr>
      <w:b w:val="0"/>
    </w:rPr>
  </w:style>
  <w:style w:type="paragraph" w:customStyle="1" w:styleId="ACMACopyrightHeader">
    <w:name w:val="ACMA_CopyrightHeader"/>
    <w:basedOn w:val="ACMACorporateAddressHeader"/>
    <w:semiHidden/>
    <w:unhideWhenUsed/>
    <w:qFormat/>
    <w:rsid w:val="00950159"/>
    <w:pPr>
      <w:spacing w:before="3000"/>
    </w:pPr>
  </w:style>
  <w:style w:type="paragraph" w:customStyle="1" w:styleId="ACMACClogo">
    <w:name w:val="ACMA_CClogo"/>
    <w:semiHidden/>
    <w:unhideWhenUsed/>
    <w:qFormat/>
    <w:rsid w:val="00623FF9"/>
    <w:pPr>
      <w:spacing w:before="160" w:after="120"/>
    </w:pPr>
    <w:rPr>
      <w:rFonts w:ascii="Arial" w:hAnsi="Arial"/>
      <w:b/>
      <w:sz w:val="13"/>
    </w:rPr>
  </w:style>
  <w:style w:type="paragraph" w:customStyle="1" w:styleId="ListBulletLast">
    <w:name w:val="List Bullet Last"/>
    <w:basedOn w:val="ListBullet"/>
    <w:qFormat/>
    <w:rsid w:val="00146CE6"/>
    <w:pPr>
      <w:spacing w:after="240"/>
    </w:pPr>
    <w:rPr>
      <w:rFonts w:cs="Arial"/>
    </w:rPr>
  </w:style>
  <w:style w:type="paragraph" w:customStyle="1" w:styleId="ListNumberLast">
    <w:name w:val="List Number Last"/>
    <w:basedOn w:val="ListNumber"/>
    <w:semiHidden/>
    <w:qFormat/>
    <w:rsid w:val="00C16198"/>
    <w:pPr>
      <w:spacing w:after="240"/>
      <w:ind w:left="357" w:hanging="357"/>
    </w:pPr>
    <w:rPr>
      <w:rFonts w:cs="Arial"/>
    </w:rPr>
  </w:style>
  <w:style w:type="paragraph" w:customStyle="1" w:styleId="ACMATableHeader">
    <w:name w:val="ACMA_TableHeader"/>
    <w:qFormat/>
    <w:rsid w:val="003F10EE"/>
    <w:pPr>
      <w:spacing w:after="160"/>
    </w:pPr>
    <w:rPr>
      <w:rFonts w:ascii="Arial" w:hAnsi="Arial"/>
      <w:b/>
      <w:bCs/>
      <w:color w:val="323232"/>
      <w:sz w:val="20"/>
      <w:szCs w:val="20"/>
    </w:rPr>
  </w:style>
  <w:style w:type="paragraph" w:customStyle="1" w:styleId="ACMANotes">
    <w:name w:val="ACMA_Notes"/>
    <w:semiHidden/>
    <w:rsid w:val="00FF206E"/>
    <w:pPr>
      <w:spacing w:before="80"/>
    </w:pPr>
    <w:rPr>
      <w:rFonts w:ascii="Arial" w:hAnsi="Arial" w:cs="Arial"/>
      <w:i/>
      <w:sz w:val="16"/>
    </w:rPr>
  </w:style>
  <w:style w:type="paragraph" w:customStyle="1" w:styleId="Numberlistlevel1">
    <w:name w:val="Number list level 1"/>
    <w:basedOn w:val="ListNumber"/>
    <w:uiPriority w:val="9"/>
    <w:qFormat/>
    <w:rsid w:val="004A70D6"/>
  </w:style>
  <w:style w:type="character" w:styleId="Emphasis">
    <w:name w:val="Emphasis"/>
    <w:basedOn w:val="DefaultParagraphFont"/>
    <w:semiHidden/>
    <w:qFormat/>
    <w:rsid w:val="006D576C"/>
    <w:rPr>
      <w:i/>
      <w:iCs/>
    </w:rPr>
  </w:style>
  <w:style w:type="paragraph" w:customStyle="1" w:styleId="ListNumber2Last">
    <w:name w:val="List Number 2 Last"/>
    <w:basedOn w:val="ListNumber2"/>
    <w:semiHidden/>
    <w:qFormat/>
    <w:rsid w:val="00E35707"/>
    <w:pPr>
      <w:spacing w:after="240"/>
      <w:ind w:left="907"/>
    </w:pPr>
    <w:rPr>
      <w:rFonts w:cs="Arial"/>
    </w:rPr>
  </w:style>
  <w:style w:type="paragraph" w:customStyle="1" w:styleId="Spaceaftertable">
    <w:name w:val="Space after table"/>
    <w:basedOn w:val="Normal"/>
    <w:uiPriority w:val="99"/>
    <w:qFormat/>
    <w:rsid w:val="00C2083D"/>
    <w:rPr>
      <w:rFonts w:cs="Arial"/>
    </w:rPr>
  </w:style>
  <w:style w:type="paragraph" w:customStyle="1" w:styleId="FooterLeft">
    <w:name w:val="Footer Left"/>
    <w:basedOn w:val="Footer"/>
    <w:semiHidden/>
    <w:qFormat/>
    <w:rsid w:val="00950159"/>
    <w:pPr>
      <w:framePr w:w="1440" w:h="357" w:hRule="exact" w:vSpace="425" w:wrap="around" w:vAnchor="page" w:hAnchor="page" w:x="935" w:y="15871"/>
      <w:pBdr>
        <w:top w:val="single" w:sz="4" w:space="1" w:color="auto"/>
      </w:pBdr>
    </w:pPr>
    <w:rPr>
      <w:rFonts w:cs="Arial"/>
    </w:rPr>
  </w:style>
  <w:style w:type="paragraph" w:customStyle="1" w:styleId="ACMAFigureHeader">
    <w:name w:val="ACMA_FigureHeader"/>
    <w:qFormat/>
    <w:rsid w:val="003F10EE"/>
    <w:pPr>
      <w:numPr>
        <w:numId w:val="6"/>
      </w:numPr>
      <w:tabs>
        <w:tab w:val="clear" w:pos="4424"/>
        <w:tab w:val="num" w:pos="1021"/>
      </w:tabs>
      <w:spacing w:after="160"/>
      <w:ind w:left="1021"/>
    </w:pPr>
    <w:rPr>
      <w:rFonts w:ascii="Arial" w:hAnsi="Arial"/>
      <w:b/>
      <w:bCs/>
      <w:color w:val="323232"/>
      <w:sz w:val="20"/>
      <w:szCs w:val="20"/>
    </w:rPr>
  </w:style>
  <w:style w:type="paragraph" w:customStyle="1" w:styleId="Captionfigure">
    <w:name w:val="Caption figure"/>
    <w:basedOn w:val="Caption"/>
    <w:semiHidden/>
    <w:qFormat/>
    <w:rsid w:val="00E8152A"/>
    <w:pPr>
      <w:keepNext/>
      <w:numPr>
        <w:numId w:val="8"/>
      </w:numPr>
    </w:pPr>
    <w:rPr>
      <w:rFonts w:cs="Arial"/>
    </w:rPr>
  </w:style>
  <w:style w:type="paragraph" w:customStyle="1" w:styleId="GridTable31">
    <w:name w:val="Grid Table 31"/>
    <w:basedOn w:val="Normal"/>
    <w:semiHidden/>
    <w:qFormat/>
    <w:rsid w:val="00971914"/>
    <w:pPr>
      <w:spacing w:after="0" w:line="240" w:lineRule="auto"/>
    </w:pPr>
    <w:rPr>
      <w:b/>
      <w:color w:val="4D4D4F"/>
      <w:spacing w:val="-28"/>
      <w:sz w:val="53"/>
    </w:rPr>
  </w:style>
  <w:style w:type="character" w:customStyle="1" w:styleId="HeaderChar">
    <w:name w:val="Header Char"/>
    <w:link w:val="Header"/>
    <w:semiHidden/>
    <w:rsid w:val="00971914"/>
    <w:rPr>
      <w:rFonts w:ascii="Arial" w:hAnsi="Arial"/>
      <w:sz w:val="16"/>
    </w:rPr>
  </w:style>
  <w:style w:type="character" w:customStyle="1" w:styleId="Heading1Char">
    <w:name w:val="Heading 1 Char"/>
    <w:basedOn w:val="DefaultParagraphFont"/>
    <w:link w:val="Heading1"/>
    <w:rsid w:val="00F5310D"/>
    <w:rPr>
      <w:rFonts w:ascii="Arial" w:hAnsi="Arial" w:cs="Arial"/>
      <w:bCs/>
      <w:color w:val="323232"/>
      <w:kern w:val="32"/>
      <w:sz w:val="53"/>
      <w:szCs w:val="32"/>
    </w:rPr>
  </w:style>
  <w:style w:type="character" w:customStyle="1" w:styleId="Heading2Char">
    <w:name w:val="Heading 2 Char"/>
    <w:basedOn w:val="DefaultParagraphFont"/>
    <w:link w:val="Heading2"/>
    <w:rsid w:val="00800CCD"/>
    <w:rPr>
      <w:rFonts w:ascii="Arial" w:hAnsi="Arial" w:cs="Arial"/>
      <w:b/>
      <w:bCs/>
      <w:iCs/>
      <w:sz w:val="28"/>
      <w:szCs w:val="28"/>
    </w:rPr>
  </w:style>
  <w:style w:type="character" w:styleId="UnresolvedMention">
    <w:name w:val="Unresolved Mention"/>
    <w:basedOn w:val="DefaultParagraphFont"/>
    <w:uiPriority w:val="99"/>
    <w:semiHidden/>
    <w:unhideWhenUsed/>
    <w:rsid w:val="006B52DE"/>
    <w:rPr>
      <w:color w:val="605E5C"/>
      <w:shd w:val="clear" w:color="auto" w:fill="E1DFDD"/>
    </w:rPr>
  </w:style>
  <w:style w:type="character" w:customStyle="1" w:styleId="Heading3Char">
    <w:name w:val="Heading 3 Char"/>
    <w:basedOn w:val="DefaultParagraphFont"/>
    <w:link w:val="Heading3"/>
    <w:rsid w:val="00800CCD"/>
    <w:rPr>
      <w:rFonts w:ascii="Arial" w:hAnsi="Arial" w:cs="Arial"/>
      <w:b/>
      <w:bCs/>
      <w:sz w:val="20"/>
      <w:szCs w:val="26"/>
    </w:rPr>
  </w:style>
  <w:style w:type="paragraph" w:customStyle="1" w:styleId="Paragraph">
    <w:name w:val="Paragraph"/>
    <w:basedOn w:val="Normal"/>
    <w:qFormat/>
    <w:rsid w:val="00A824E8"/>
    <w:rPr>
      <w:rFonts w:cs="Arial"/>
    </w:rPr>
  </w:style>
  <w:style w:type="paragraph" w:customStyle="1" w:styleId="Bulletlevel2">
    <w:name w:val="Bullet level 2"/>
    <w:basedOn w:val="ListBullet2"/>
    <w:uiPriority w:val="7"/>
    <w:qFormat/>
    <w:rsid w:val="00A824E8"/>
    <w:rPr>
      <w:rFonts w:cs="Arial"/>
    </w:rPr>
  </w:style>
  <w:style w:type="paragraph" w:customStyle="1" w:styleId="Bulletlevel1last">
    <w:name w:val="Bullet level 1 last"/>
    <w:basedOn w:val="ListBulletLast"/>
    <w:uiPriority w:val="6"/>
    <w:qFormat/>
    <w:rsid w:val="00A824E8"/>
  </w:style>
  <w:style w:type="paragraph" w:customStyle="1" w:styleId="Numberlistlevel2">
    <w:name w:val="Number list level 2"/>
    <w:basedOn w:val="ListNumber2"/>
    <w:uiPriority w:val="11"/>
    <w:qFormat/>
    <w:rsid w:val="004A70D6"/>
  </w:style>
  <w:style w:type="paragraph" w:customStyle="1" w:styleId="Numberlistlast">
    <w:name w:val="Number list last"/>
    <w:basedOn w:val="ListNumberLast"/>
    <w:uiPriority w:val="10"/>
    <w:qFormat/>
    <w:rsid w:val="004A70D6"/>
  </w:style>
  <w:style w:type="paragraph" w:customStyle="1" w:styleId="Numberlistlevel2last">
    <w:name w:val="Number list level 2 last"/>
    <w:basedOn w:val="Numberlistlevel2"/>
    <w:uiPriority w:val="12"/>
    <w:qFormat/>
    <w:rsid w:val="004A70D6"/>
    <w:pPr>
      <w:spacing w:after="240"/>
    </w:pPr>
  </w:style>
  <w:style w:type="paragraph" w:customStyle="1" w:styleId="Bulletlevel2last">
    <w:name w:val="Bullet level 2 last"/>
    <w:basedOn w:val="Bulletlevel2"/>
    <w:uiPriority w:val="8"/>
    <w:qFormat/>
    <w:rsid w:val="004A70D6"/>
    <w:pPr>
      <w:spacing w:after="240"/>
    </w:pPr>
  </w:style>
  <w:style w:type="table" w:customStyle="1" w:styleId="ACMAtablestyle">
    <w:name w:val="ACMA table style"/>
    <w:basedOn w:val="TableNormal"/>
    <w:uiPriority w:val="99"/>
    <w:rsid w:val="0063346D"/>
    <w:rPr>
      <w:rFonts w:ascii="Arial" w:hAnsi="Arial"/>
      <w:sz w:val="20"/>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bottom w:w="28" w:type="dxa"/>
      </w:tblCellMar>
    </w:tblPr>
    <w:tblStylePr w:type="firstRow">
      <w:rPr>
        <w:rFonts w:ascii="Arial" w:hAnsi="Arial"/>
        <w:b w:val="0"/>
        <w:color w:val="FFFFFF" w:themeColor="background1"/>
        <w:sz w:val="20"/>
      </w:rPr>
      <w:tblPr/>
      <w:trPr>
        <w:tblHeader/>
      </w:trPr>
      <w:tcPr>
        <w:tcBorders>
          <w:top w:val="single" w:sz="4" w:space="0" w:color="auto"/>
          <w:left w:val="single" w:sz="4" w:space="0" w:color="auto"/>
          <w:bottom w:val="single" w:sz="4" w:space="0" w:color="auto"/>
          <w:right w:val="single" w:sz="4" w:space="0" w:color="auto"/>
          <w:insideH w:val="nil"/>
          <w:insideV w:val="nil"/>
        </w:tcBorders>
        <w:shd w:val="clear" w:color="auto" w:fill="404040" w:themeFill="text1" w:themeFillTint="BF"/>
      </w:tcPr>
    </w:tblStylePr>
    <w:tblStylePr w:type="band1Horz">
      <w:rPr>
        <w:rFonts w:ascii="Arial" w:hAnsi="Arial"/>
        <w:sz w:val="20"/>
      </w:rPr>
      <w:tblPr/>
      <w:tcPr>
        <w:shd w:val="clear" w:color="auto" w:fill="F2F2F2" w:themeFill="background1" w:themeFillShade="F2"/>
      </w:tcPr>
    </w:tblStylePr>
    <w:tblStylePr w:type="band2Horz">
      <w:rPr>
        <w:rFonts w:ascii="Arial" w:hAnsi="Arial"/>
        <w:sz w:val="20"/>
      </w:rPr>
    </w:tblStylePr>
  </w:style>
  <w:style w:type="paragraph" w:customStyle="1" w:styleId="Tableheading">
    <w:name w:val="Table heading"/>
    <w:basedOn w:val="ACMATableHeader"/>
    <w:next w:val="Paragraph"/>
    <w:uiPriority w:val="13"/>
    <w:qFormat/>
    <w:rsid w:val="0063346D"/>
    <w:pPr>
      <w:keepNext/>
      <w:spacing w:line="240" w:lineRule="atLeast"/>
    </w:pPr>
  </w:style>
  <w:style w:type="paragraph" w:customStyle="1" w:styleId="Tableorfigurenote">
    <w:name w:val="Table or figure note"/>
    <w:basedOn w:val="ACMANotes"/>
    <w:uiPriority w:val="17"/>
    <w:qFormat/>
    <w:rsid w:val="00930510"/>
    <w:pPr>
      <w:spacing w:after="240"/>
    </w:pPr>
  </w:style>
  <w:style w:type="paragraph" w:customStyle="1" w:styleId="Figureheading">
    <w:name w:val="Figure heading"/>
    <w:basedOn w:val="ACMAFigureHeader"/>
    <w:next w:val="Paragraph"/>
    <w:uiPriority w:val="16"/>
    <w:qFormat/>
    <w:rsid w:val="0063346D"/>
    <w:pPr>
      <w:keepNext/>
      <w:spacing w:line="240" w:lineRule="atLeast"/>
    </w:pPr>
  </w:style>
  <w:style w:type="paragraph" w:customStyle="1" w:styleId="Tableorfigurenotemultiple">
    <w:name w:val="Table or figure note multiple"/>
    <w:basedOn w:val="Tableorfigurenote"/>
    <w:uiPriority w:val="18"/>
    <w:qFormat/>
    <w:rsid w:val="00930510"/>
    <w:pPr>
      <w:spacing w:after="80"/>
    </w:pPr>
  </w:style>
  <w:style w:type="paragraph" w:styleId="BalloonText">
    <w:name w:val="Balloon Text"/>
    <w:basedOn w:val="Normal"/>
    <w:link w:val="BalloonTextChar"/>
    <w:semiHidden/>
    <w:unhideWhenUsed/>
    <w:rsid w:val="003933E8"/>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semiHidden/>
    <w:rsid w:val="003933E8"/>
    <w:rPr>
      <w:rFonts w:ascii="Segoe UI" w:hAnsi="Segoe UI" w:cs="Segoe UI"/>
      <w:sz w:val="18"/>
      <w:szCs w:val="18"/>
    </w:rPr>
  </w:style>
  <w:style w:type="paragraph" w:customStyle="1" w:styleId="Note">
    <w:name w:val="Note"/>
    <w:basedOn w:val="ACMANotes"/>
    <w:uiPriority w:val="23"/>
    <w:semiHidden/>
    <w:qFormat/>
    <w:rsid w:val="00D61243"/>
  </w:style>
  <w:style w:type="paragraph" w:customStyle="1" w:styleId="ACMABulletLevel1">
    <w:name w:val="ACMA Bullet Level 1"/>
    <w:rsid w:val="005C34EF"/>
    <w:pPr>
      <w:numPr>
        <w:numId w:val="16"/>
      </w:numPr>
      <w:tabs>
        <w:tab w:val="num" w:pos="-31680"/>
      </w:tabs>
      <w:spacing w:after="120"/>
    </w:pPr>
    <w:rPr>
      <w:szCs w:val="20"/>
      <w:lang w:eastAsia="en-US"/>
    </w:rPr>
  </w:style>
  <w:style w:type="paragraph" w:customStyle="1" w:styleId="Protectivemarking">
    <w:name w:val="Protective marking"/>
    <w:basedOn w:val="ACMABulletLevel1"/>
    <w:uiPriority w:val="99"/>
    <w:qFormat/>
    <w:rsid w:val="005C34EF"/>
    <w:pPr>
      <w:numPr>
        <w:numId w:val="0"/>
      </w:numPr>
      <w:tabs>
        <w:tab w:val="left" w:pos="720"/>
      </w:tabs>
      <w:spacing w:after="0"/>
      <w:jc w:val="center"/>
    </w:pPr>
    <w:rPr>
      <w:rFonts w:ascii="Arial" w:hAnsi="Arial" w:cs="Arial"/>
      <w:b/>
      <w:bCs/>
      <w:color w:val="FF0000"/>
      <w:sz w:val="32"/>
      <w:szCs w:val="24"/>
    </w:rPr>
  </w:style>
  <w:style w:type="paragraph" w:customStyle="1" w:styleId="ACMASpaceaftertable">
    <w:name w:val="ACMA_Space after table"/>
    <w:basedOn w:val="Normal"/>
    <w:qFormat/>
    <w:rsid w:val="004F5F28"/>
    <w:rPr>
      <w:rFonts w:cs="Arial"/>
    </w:rPr>
  </w:style>
  <w:style w:type="character" w:customStyle="1" w:styleId="FootnoteTextChar">
    <w:name w:val="Footnote Text Char"/>
    <w:aliases w:val="Footnote text Char,ACMA Footnote Text Char,footnote text Char,Footnote Text Char1 Char,Footnote Text Char Char Char,Footnote Text Char1 Char Char Char,Footnote Text Char Char Char Char Char,Footnote Text Char1 Char Char Char Char Char"/>
    <w:basedOn w:val="DefaultParagraphFont"/>
    <w:link w:val="FootnoteText"/>
    <w:uiPriority w:val="99"/>
    <w:rsid w:val="004F5F28"/>
    <w:rPr>
      <w:rFonts w:ascii="Arial" w:hAnsi="Arial"/>
      <w:sz w:val="16"/>
      <w:szCs w:val="16"/>
    </w:rPr>
  </w:style>
  <w:style w:type="paragraph" w:customStyle="1" w:styleId="TableHeading0">
    <w:name w:val="Table Heading"/>
    <w:basedOn w:val="Normal"/>
    <w:qFormat/>
    <w:rsid w:val="00494B73"/>
    <w:pPr>
      <w:spacing w:after="0"/>
    </w:pPr>
    <w:rPr>
      <w:b/>
    </w:rPr>
  </w:style>
  <w:style w:type="paragraph" w:customStyle="1" w:styleId="ACMANumberedList">
    <w:name w:val="ACMA Numbered List"/>
    <w:rsid w:val="00494B73"/>
    <w:pPr>
      <w:numPr>
        <w:numId w:val="22"/>
      </w:numPr>
      <w:spacing w:before="20" w:after="20"/>
    </w:pPr>
    <w:rPr>
      <w:szCs w:val="20"/>
      <w:lang w:eastAsia="en-US"/>
    </w:rPr>
  </w:style>
  <w:style w:type="paragraph" w:styleId="ListParagraph">
    <w:name w:val="List Paragraph"/>
    <w:basedOn w:val="Normal"/>
    <w:uiPriority w:val="34"/>
    <w:qFormat/>
    <w:rsid w:val="003B1F5E"/>
    <w:pPr>
      <w:ind w:left="720"/>
      <w:contextualSpacing/>
    </w:pPr>
  </w:style>
  <w:style w:type="table" w:styleId="GridTable4">
    <w:name w:val="Grid Table 4"/>
    <w:basedOn w:val="TableNormal"/>
    <w:uiPriority w:val="49"/>
    <w:rsid w:val="003B1F5E"/>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customStyle="1" w:styleId="TableTextform">
    <w:name w:val="TableText form"/>
    <w:basedOn w:val="Normal"/>
    <w:qFormat/>
    <w:rsid w:val="00C070A3"/>
    <w:pPr>
      <w:spacing w:before="40" w:line="240" w:lineRule="auto"/>
    </w:pPr>
    <w:rPr>
      <w:rFonts w:eastAsiaTheme="majorEastAsia" w:cs="Arial"/>
      <w:bCs/>
      <w:szCs w:val="20"/>
      <w:lang w:eastAsia="en-US"/>
    </w:rPr>
  </w:style>
  <w:style w:type="paragraph" w:styleId="Revision">
    <w:name w:val="Revision"/>
    <w:hidden/>
    <w:semiHidden/>
    <w:rsid w:val="00FC2C4C"/>
    <w:rPr>
      <w:rFonts w:ascii="Arial" w:hAnsi="Arial"/>
      <w:sz w:val="20"/>
    </w:rPr>
  </w:style>
  <w:style w:type="paragraph" w:styleId="NormalWeb">
    <w:name w:val="Normal (Web)"/>
    <w:basedOn w:val="Normal"/>
    <w:semiHidden/>
    <w:unhideWhenUsed/>
    <w:rsid w:val="0093483D"/>
    <w:rPr>
      <w:rFonts w:ascii="Times New Roman" w:hAnsi="Times New Roman"/>
      <w:sz w:val="24"/>
    </w:rPr>
  </w:style>
  <w:style w:type="character" w:customStyle="1" w:styleId="topic-highlight1">
    <w:name w:val="topic-highlight1"/>
    <w:basedOn w:val="DefaultParagraphFont"/>
    <w:rsid w:val="00420059"/>
    <w:rPr>
      <w:color w:val="2E2E2E"/>
    </w:rPr>
  </w:style>
  <w:style w:type="paragraph" w:customStyle="1" w:styleId="Listparagraphbullets">
    <w:name w:val="List paragraph—bullets"/>
    <w:basedOn w:val="ListParagraph"/>
    <w:qFormat/>
    <w:rsid w:val="00304822"/>
    <w:pPr>
      <w:numPr>
        <w:numId w:val="60"/>
      </w:numPr>
      <w:tabs>
        <w:tab w:val="num" w:pos="360"/>
      </w:tabs>
      <w:spacing w:after="160" w:line="240" w:lineRule="auto"/>
      <w:ind w:left="567" w:hanging="567"/>
    </w:pPr>
    <w:rPr>
      <w:rFonts w:ascii="Segoe UI" w:eastAsiaTheme="minorHAnsi" w:hAnsi="Segoe UI" w:cstheme="minorBidi"/>
      <w:sz w:val="21"/>
      <w:szCs w:val="22"/>
      <w:lang w:eastAsia="zh-TW"/>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63271258">
      <w:bodyDiv w:val="1"/>
      <w:marLeft w:val="0"/>
      <w:marRight w:val="0"/>
      <w:marTop w:val="0"/>
      <w:marBottom w:val="0"/>
      <w:divBdr>
        <w:top w:val="none" w:sz="0" w:space="0" w:color="auto"/>
        <w:left w:val="none" w:sz="0" w:space="0" w:color="auto"/>
        <w:bottom w:val="none" w:sz="0" w:space="0" w:color="auto"/>
        <w:right w:val="none" w:sz="0" w:space="0" w:color="auto"/>
      </w:divBdr>
    </w:div>
    <w:div w:id="282813674">
      <w:bodyDiv w:val="1"/>
      <w:marLeft w:val="0"/>
      <w:marRight w:val="0"/>
      <w:marTop w:val="0"/>
      <w:marBottom w:val="0"/>
      <w:divBdr>
        <w:top w:val="none" w:sz="0" w:space="0" w:color="auto"/>
        <w:left w:val="none" w:sz="0" w:space="0" w:color="auto"/>
        <w:bottom w:val="none" w:sz="0" w:space="0" w:color="auto"/>
        <w:right w:val="none" w:sz="0" w:space="0" w:color="auto"/>
      </w:divBdr>
    </w:div>
    <w:div w:id="348793622">
      <w:bodyDiv w:val="1"/>
      <w:marLeft w:val="0"/>
      <w:marRight w:val="0"/>
      <w:marTop w:val="0"/>
      <w:marBottom w:val="0"/>
      <w:divBdr>
        <w:top w:val="none" w:sz="0" w:space="0" w:color="auto"/>
        <w:left w:val="none" w:sz="0" w:space="0" w:color="auto"/>
        <w:bottom w:val="none" w:sz="0" w:space="0" w:color="auto"/>
        <w:right w:val="none" w:sz="0" w:space="0" w:color="auto"/>
      </w:divBdr>
    </w:div>
    <w:div w:id="576784553">
      <w:bodyDiv w:val="1"/>
      <w:marLeft w:val="0"/>
      <w:marRight w:val="0"/>
      <w:marTop w:val="0"/>
      <w:marBottom w:val="0"/>
      <w:divBdr>
        <w:top w:val="none" w:sz="0" w:space="0" w:color="auto"/>
        <w:left w:val="none" w:sz="0" w:space="0" w:color="auto"/>
        <w:bottom w:val="none" w:sz="0" w:space="0" w:color="auto"/>
        <w:right w:val="none" w:sz="0" w:space="0" w:color="auto"/>
      </w:divBdr>
    </w:div>
    <w:div w:id="975767465">
      <w:bodyDiv w:val="1"/>
      <w:marLeft w:val="0"/>
      <w:marRight w:val="0"/>
      <w:marTop w:val="0"/>
      <w:marBottom w:val="0"/>
      <w:divBdr>
        <w:top w:val="none" w:sz="0" w:space="0" w:color="auto"/>
        <w:left w:val="none" w:sz="0" w:space="0" w:color="auto"/>
        <w:bottom w:val="none" w:sz="0" w:space="0" w:color="auto"/>
        <w:right w:val="none" w:sz="0" w:space="0" w:color="auto"/>
      </w:divBdr>
    </w:div>
    <w:div w:id="1043092872">
      <w:bodyDiv w:val="1"/>
      <w:marLeft w:val="0"/>
      <w:marRight w:val="0"/>
      <w:marTop w:val="0"/>
      <w:marBottom w:val="0"/>
      <w:divBdr>
        <w:top w:val="none" w:sz="0" w:space="0" w:color="auto"/>
        <w:left w:val="none" w:sz="0" w:space="0" w:color="auto"/>
        <w:bottom w:val="none" w:sz="0" w:space="0" w:color="auto"/>
        <w:right w:val="none" w:sz="0" w:space="0" w:color="auto"/>
      </w:divBdr>
    </w:div>
    <w:div w:id="1177500121">
      <w:bodyDiv w:val="1"/>
      <w:marLeft w:val="0"/>
      <w:marRight w:val="0"/>
      <w:marTop w:val="0"/>
      <w:marBottom w:val="0"/>
      <w:divBdr>
        <w:top w:val="none" w:sz="0" w:space="0" w:color="auto"/>
        <w:left w:val="none" w:sz="0" w:space="0" w:color="auto"/>
        <w:bottom w:val="none" w:sz="0" w:space="0" w:color="auto"/>
        <w:right w:val="none" w:sz="0" w:space="0" w:color="auto"/>
      </w:divBdr>
    </w:div>
    <w:div w:id="1236672694">
      <w:bodyDiv w:val="1"/>
      <w:marLeft w:val="0"/>
      <w:marRight w:val="0"/>
      <w:marTop w:val="0"/>
      <w:marBottom w:val="0"/>
      <w:divBdr>
        <w:top w:val="none" w:sz="0" w:space="0" w:color="auto"/>
        <w:left w:val="none" w:sz="0" w:space="0" w:color="auto"/>
        <w:bottom w:val="none" w:sz="0" w:space="0" w:color="auto"/>
        <w:right w:val="none" w:sz="0" w:space="0" w:color="auto"/>
      </w:divBdr>
    </w:div>
    <w:div w:id="1409771268">
      <w:bodyDiv w:val="1"/>
      <w:marLeft w:val="0"/>
      <w:marRight w:val="0"/>
      <w:marTop w:val="0"/>
      <w:marBottom w:val="0"/>
      <w:divBdr>
        <w:top w:val="none" w:sz="0" w:space="0" w:color="auto"/>
        <w:left w:val="none" w:sz="0" w:space="0" w:color="auto"/>
        <w:bottom w:val="none" w:sz="0" w:space="0" w:color="auto"/>
        <w:right w:val="none" w:sz="0" w:space="0" w:color="auto"/>
      </w:divBdr>
    </w:div>
    <w:div w:id="1551569744">
      <w:bodyDiv w:val="1"/>
      <w:marLeft w:val="0"/>
      <w:marRight w:val="0"/>
      <w:marTop w:val="0"/>
      <w:marBottom w:val="0"/>
      <w:divBdr>
        <w:top w:val="none" w:sz="0" w:space="0" w:color="auto"/>
        <w:left w:val="none" w:sz="0" w:space="0" w:color="auto"/>
        <w:bottom w:val="none" w:sz="0" w:space="0" w:color="auto"/>
        <w:right w:val="none" w:sz="0" w:space="0" w:color="auto"/>
      </w:divBdr>
    </w:div>
    <w:div w:id="1566910818">
      <w:bodyDiv w:val="1"/>
      <w:marLeft w:val="0"/>
      <w:marRight w:val="0"/>
      <w:marTop w:val="0"/>
      <w:marBottom w:val="0"/>
      <w:divBdr>
        <w:top w:val="none" w:sz="0" w:space="0" w:color="auto"/>
        <w:left w:val="none" w:sz="0" w:space="0" w:color="auto"/>
        <w:bottom w:val="none" w:sz="0" w:space="0" w:color="auto"/>
        <w:right w:val="none" w:sz="0" w:space="0" w:color="auto"/>
      </w:divBdr>
    </w:div>
    <w:div w:id="1672416919">
      <w:bodyDiv w:val="1"/>
      <w:marLeft w:val="0"/>
      <w:marRight w:val="0"/>
      <w:marTop w:val="0"/>
      <w:marBottom w:val="0"/>
      <w:divBdr>
        <w:top w:val="none" w:sz="0" w:space="0" w:color="auto"/>
        <w:left w:val="none" w:sz="0" w:space="0" w:color="auto"/>
        <w:bottom w:val="none" w:sz="0" w:space="0" w:color="auto"/>
        <w:right w:val="none" w:sz="0" w:space="0" w:color="auto"/>
      </w:divBdr>
    </w:div>
    <w:div w:id="1779326838">
      <w:bodyDiv w:val="1"/>
      <w:marLeft w:val="0"/>
      <w:marRight w:val="0"/>
      <w:marTop w:val="0"/>
      <w:marBottom w:val="0"/>
      <w:divBdr>
        <w:top w:val="none" w:sz="0" w:space="0" w:color="auto"/>
        <w:left w:val="none" w:sz="0" w:space="0" w:color="auto"/>
        <w:bottom w:val="none" w:sz="0" w:space="0" w:color="auto"/>
        <w:right w:val="none" w:sz="0" w:space="0" w:color="auto"/>
      </w:divBdr>
    </w:div>
    <w:div w:id="19259123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https://creativecommons.org/licenses/by/4.0/" TargetMode="External"/><Relationship Id="rId18" Type="http://schemas.openxmlformats.org/officeDocument/2006/relationships/footer" Target="footer3.xml"/><Relationship Id="rId26" Type="http://schemas.openxmlformats.org/officeDocument/2006/relationships/hyperlink" Target="https://www.communications.gov.au/what-we-do/spectrum/spectrum-reform" TargetMode="External"/><Relationship Id="rId39" Type="http://schemas.openxmlformats.org/officeDocument/2006/relationships/hyperlink" Target="https://www.acma.gov.au/consultations/2019-08/options-wireless-broadband-26-ghz-band-consultation-322018" TargetMode="External"/><Relationship Id="rId21" Type="http://schemas.openxmlformats.org/officeDocument/2006/relationships/footer" Target="footer4.xml"/><Relationship Id="rId34" Type="http://schemas.openxmlformats.org/officeDocument/2006/relationships/hyperlink" Target="https://www.acma.gov.au/consultations/2019-08/planning-options-28-ghz-band-consultation-092019" TargetMode="External"/><Relationship Id="rId42" Type="http://schemas.openxmlformats.org/officeDocument/2006/relationships/hyperlink" Target="https://www.acma.gov.au/consultations/2019-08/options-wireless-broadband-26-ghz-band-consultation-322018" TargetMode="External"/><Relationship Id="rId47" Type="http://schemas.openxmlformats.org/officeDocument/2006/relationships/hyperlink" Target="https://www.legislation.gov.au/Details/F2020L00590" TargetMode="External"/><Relationship Id="rId50" Type="http://schemas.openxmlformats.org/officeDocument/2006/relationships/hyperlink" Target="https://www.acma.gov.au/consultations/2019-08/draft-spectrum-reallocation-recommendation-26-ghz-band-consultation-142019" TargetMode="External"/><Relationship Id="rId55" Type="http://schemas.openxmlformats.org/officeDocument/2006/relationships/image" Target="media/image9.png"/><Relationship Id="rId63" Type="http://schemas.openxmlformats.org/officeDocument/2006/relationships/hyperlink" Target="mailto:spectrumallocations@acma.gov.au" TargetMode="External"/><Relationship Id="rId68" Type="http://schemas.openxmlformats.org/officeDocument/2006/relationships/footer" Target="footer7.xml"/><Relationship Id="rId7" Type="http://schemas.openxmlformats.org/officeDocument/2006/relationships/endnotes" Target="endnotes.xml"/><Relationship Id="rId71"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eader" Target="header4.xml"/><Relationship Id="rId29" Type="http://schemas.openxmlformats.org/officeDocument/2006/relationships/hyperlink" Target="https://www.communications.gov.au/have-your-say/exposure-draft-radiocommunications-legislation-amendment-reform-and-modernisation-bill"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i.creativecommons.org/l/by/3.0/88x31.png" TargetMode="External"/><Relationship Id="rId24" Type="http://schemas.openxmlformats.org/officeDocument/2006/relationships/footer" Target="footer6.xml"/><Relationship Id="rId32" Type="http://schemas.openxmlformats.org/officeDocument/2006/relationships/hyperlink" Target="https://www.acma.gov.au/consultations/2019-08/options-wireless-broadband-26-ghz-band-consultation-322018" TargetMode="External"/><Relationship Id="rId37" Type="http://schemas.openxmlformats.org/officeDocument/2006/relationships/image" Target="media/image4.png"/><Relationship Id="rId40" Type="http://schemas.openxmlformats.org/officeDocument/2006/relationships/hyperlink" Target="https://www.legislation.gov.au/Details/F2019C00681" TargetMode="External"/><Relationship Id="rId45" Type="http://schemas.openxmlformats.org/officeDocument/2006/relationships/hyperlink" Target="https://www.legislation.gov.au/" TargetMode="External"/><Relationship Id="rId53" Type="http://schemas.openxmlformats.org/officeDocument/2006/relationships/image" Target="media/image7.png"/><Relationship Id="rId58" Type="http://schemas.openxmlformats.org/officeDocument/2006/relationships/hyperlink" Target="https://www.accc.gov.au/regulated-infrastructure/communications/mobile-services/spectrum-competition-limits/request-for-advice-26-ghz-spectrum" TargetMode="External"/><Relationship Id="rId66" Type="http://schemas.openxmlformats.org/officeDocument/2006/relationships/header" Target="header8.xml"/><Relationship Id="rId5" Type="http://schemas.openxmlformats.org/officeDocument/2006/relationships/webSettings" Target="webSettings.xml"/><Relationship Id="rId15" Type="http://schemas.openxmlformats.org/officeDocument/2006/relationships/header" Target="header3.xml"/><Relationship Id="rId23" Type="http://schemas.openxmlformats.org/officeDocument/2006/relationships/header" Target="header7.xml"/><Relationship Id="rId28" Type="http://schemas.openxmlformats.org/officeDocument/2006/relationships/hyperlink" Target="https://www.acma.gov.au/object-and-scope-radiocommunications-act-1992" TargetMode="External"/><Relationship Id="rId36" Type="http://schemas.openxmlformats.org/officeDocument/2006/relationships/hyperlink" Target="https://www.acma.gov.au/acma-creates-new-licence-type" TargetMode="External"/><Relationship Id="rId49" Type="http://schemas.openxmlformats.org/officeDocument/2006/relationships/hyperlink" Target="https://www.acma.gov.au/consultations/2019-08/draft-spectrum-reallocation-recommendation-26-ghz-band-consultation-142019" TargetMode="External"/><Relationship Id="rId57" Type="http://schemas.openxmlformats.org/officeDocument/2006/relationships/hyperlink" Target="https://www.acma.gov.au/consultations/2019-08/draft-spectrum-reallocation-recommendation-26-ghz-band-consultation-142019" TargetMode="External"/><Relationship Id="rId61" Type="http://schemas.openxmlformats.org/officeDocument/2006/relationships/hyperlink" Target="https://www.legislation.gov.au/Details/F2016L01970" TargetMode="External"/><Relationship Id="rId10" Type="http://schemas.openxmlformats.org/officeDocument/2006/relationships/header" Target="header2.xml"/><Relationship Id="rId19" Type="http://schemas.openxmlformats.org/officeDocument/2006/relationships/header" Target="header5.xml"/><Relationship Id="rId31" Type="http://schemas.openxmlformats.org/officeDocument/2006/relationships/hyperlink" Target="https://www.acma.gov.au/publications/2019-07/publication/five-year-spectrum-outlook-2016-2020" TargetMode="External"/><Relationship Id="rId44" Type="http://schemas.openxmlformats.org/officeDocument/2006/relationships/hyperlink" Target="https://www.accc.gov.au/media-release/competition-issues-in-upcoming-5g-spectrum-allocation" TargetMode="External"/><Relationship Id="rId52" Type="http://schemas.openxmlformats.org/officeDocument/2006/relationships/image" Target="media/image6.png"/><Relationship Id="rId60" Type="http://schemas.openxmlformats.org/officeDocument/2006/relationships/hyperlink" Target="https://www.communications.gov.au/documents/spectrum-pricing-review" TargetMode="External"/><Relationship Id="rId65" Type="http://schemas.openxmlformats.org/officeDocument/2006/relationships/hyperlink" Target="https://www.acma.gov.au/privacy-policy" TargetMode="Externa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mailto:info@acma.gov.au" TargetMode="External"/><Relationship Id="rId22" Type="http://schemas.openxmlformats.org/officeDocument/2006/relationships/footer" Target="footer5.xml"/><Relationship Id="rId27" Type="http://schemas.openxmlformats.org/officeDocument/2006/relationships/hyperlink" Target="https://www.legislation.gov.au/Details/F2019L01374" TargetMode="External"/><Relationship Id="rId30" Type="http://schemas.openxmlformats.org/officeDocument/2006/relationships/hyperlink" Target="mailto:spectrumreform@communications.gov.au" TargetMode="External"/><Relationship Id="rId35" Type="http://schemas.openxmlformats.org/officeDocument/2006/relationships/hyperlink" Target="https://www.acma.gov.au/consultations/2019-08/planning-options-28-ghz-band-consultation-092019" TargetMode="External"/><Relationship Id="rId43" Type="http://schemas.openxmlformats.org/officeDocument/2006/relationships/hyperlink" Target="https://www.acma.gov.au/consultations/2019-08/draft-spectrum-reallocation-recommendation-26-ghz-band-consultation-142019" TargetMode="External"/><Relationship Id="rId48" Type="http://schemas.openxmlformats.org/officeDocument/2006/relationships/hyperlink" Target="https://www.acma.gov.au/consultations/2019-08/draft-spectrum-reallocation-recommendation-26-ghz-band-consultation-142019" TargetMode="External"/><Relationship Id="rId56" Type="http://schemas.openxmlformats.org/officeDocument/2006/relationships/hyperlink" Target="https://www.legislation.gov.au/Details/F2019L01374" TargetMode="External"/><Relationship Id="rId64" Type="http://schemas.openxmlformats.org/officeDocument/2006/relationships/hyperlink" Target="https://www.acma.gov.au/publication-submissions" TargetMode="External"/><Relationship Id="rId69" Type="http://schemas.openxmlformats.org/officeDocument/2006/relationships/footer" Target="footer8.xml"/><Relationship Id="rId8" Type="http://schemas.openxmlformats.org/officeDocument/2006/relationships/header" Target="header1.xml"/><Relationship Id="rId51" Type="http://schemas.openxmlformats.org/officeDocument/2006/relationships/image" Target="media/image5.png"/><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footer" Target="footer2.xml"/><Relationship Id="rId25" Type="http://schemas.openxmlformats.org/officeDocument/2006/relationships/hyperlink" Target="https://www.legislation.gov.au/Details/F2019L01374" TargetMode="External"/><Relationship Id="rId33" Type="http://schemas.openxmlformats.org/officeDocument/2006/relationships/hyperlink" Target="https://www.acma.gov.au/consultations/2019-08/options-wireless-broadband-26-ghz-band-consultation-322018" TargetMode="External"/><Relationship Id="rId38" Type="http://schemas.openxmlformats.org/officeDocument/2006/relationships/image" Target="cid:image001.png@01D5DCD1.0503D330" TargetMode="External"/><Relationship Id="rId46" Type="http://schemas.openxmlformats.org/officeDocument/2006/relationships/hyperlink" Target="https://www.legislation.gov.au/Series/F2014L00957" TargetMode="External"/><Relationship Id="rId59" Type="http://schemas.openxmlformats.org/officeDocument/2006/relationships/hyperlink" Target="https://www.accc.gov.au/regulated-infrastructure/communications/mobile-services/spectrum-competition-limits/request-for-advice-26-ghz-spectrum" TargetMode="External"/><Relationship Id="rId67" Type="http://schemas.openxmlformats.org/officeDocument/2006/relationships/header" Target="header9.xml"/><Relationship Id="rId20" Type="http://schemas.openxmlformats.org/officeDocument/2006/relationships/header" Target="header6.xml"/><Relationship Id="rId41" Type="http://schemas.openxmlformats.org/officeDocument/2006/relationships/hyperlink" Target="https://www.acma.gov.au/consultations/2019-08/proposed-area-wide-apparatus-licence-consultation-192019?utm_medium=email&amp;utm_campaign=ACMA%20releases%20response%20to%20submissions%20and%20approach%20to%20introducing%20area-wide%20licence%20types&amp;utm_content=ACMA%20releases%20response%20to%20submissions%20and%20approach%20to%20introducing%20area-wide%20licence%20types+CID_d1a0469099c729162681a7e17b8942ca&amp;utm_source=SendEmailCampaigns&amp;utm_term=summary%20of%20submissions" TargetMode="External"/><Relationship Id="rId54" Type="http://schemas.openxmlformats.org/officeDocument/2006/relationships/image" Target="media/image8.png"/><Relationship Id="rId62" Type="http://schemas.openxmlformats.org/officeDocument/2006/relationships/hyperlink" Target="https://www.acma.gov.au/have-your-say" TargetMode="External"/><Relationship Id="rId70"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hyperlink" Target="https://acma.gov.au/" TargetMode="External"/></Relationships>
</file>

<file path=word/_rels/footnotes.xml.rels><?xml version="1.0" encoding="UTF-8" standalone="yes"?>
<Relationships xmlns="http://schemas.openxmlformats.org/package/2006/relationships"><Relationship Id="rId1" Type="http://schemas.openxmlformats.org/officeDocument/2006/relationships/hyperlink" Target="https://www.acma.gov.au/sites/default/files/2019-08/australian-spectrum-map-grid-2012%20pdf.pdf"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378D15F-CBD6-42A2-9CD4-EDA30E7B960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34</Pages>
  <Words>10354</Words>
  <Characters>59018</Characters>
  <Application>Microsoft Office Word</Application>
  <DocSecurity>0</DocSecurity>
  <Lines>491</Lines>
  <Paragraphs>138</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69234</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2020-07-09T00:33:00Z</dcterms:created>
  <dcterms:modified xsi:type="dcterms:W3CDTF">2020-07-09T00:34:00Z</dcterms:modified>
  <cp:category/>
</cp:coreProperties>
</file>