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755C32" w14:textId="26DE8E77" w:rsidR="00F06E14" w:rsidRPr="00A51D1A" w:rsidRDefault="00BB1CD7" w:rsidP="00A51D1A">
      <w:pPr>
        <w:pStyle w:val="Reporttitle"/>
      </w:pPr>
      <w:r>
        <w:t>26 GHz (25.1</w:t>
      </w:r>
      <w:r w:rsidR="006B5B61">
        <w:t>–</w:t>
      </w:r>
      <w:r>
        <w:t xml:space="preserve">27.5 GHz) </w:t>
      </w:r>
      <w:r w:rsidR="0048711D">
        <w:t>band spectrum licence technical framework</w:t>
      </w:r>
    </w:p>
    <w:p w14:paraId="6D5ED875" w14:textId="259E826A" w:rsidR="00F06E14" w:rsidRDefault="00770B3F" w:rsidP="00F06E14">
      <w:pPr>
        <w:pStyle w:val="Reportsubtitle"/>
      </w:pPr>
      <w:r>
        <w:t xml:space="preserve">Consultation </w:t>
      </w:r>
      <w:r w:rsidR="00BB1CD7">
        <w:t>paper</w:t>
      </w:r>
    </w:p>
    <w:p w14:paraId="0ED03B68" w14:textId="6631E683" w:rsidR="00C97736" w:rsidRPr="000D76E0" w:rsidRDefault="00BB1CD7" w:rsidP="00EC2B68">
      <w:pPr>
        <w:pStyle w:val="Reportdate"/>
        <w:spacing w:after="720"/>
        <w:rPr>
          <w:rFonts w:cs="Arial"/>
        </w:rPr>
        <w:sectPr w:rsidR="00C97736" w:rsidRPr="000D76E0" w:rsidSect="0021426C">
          <w:headerReference w:type="default" r:id="rId8"/>
          <w:footerReference w:type="default" r:id="rId9"/>
          <w:headerReference w:type="first" r:id="rId10"/>
          <w:pgSz w:w="11906" w:h="16838" w:code="9"/>
          <w:pgMar w:top="3924" w:right="992" w:bottom="1440" w:left="1134" w:header="709" w:footer="454" w:gutter="0"/>
          <w:cols w:space="708"/>
          <w:docGrid w:linePitch="360"/>
        </w:sectPr>
      </w:pPr>
      <w:r>
        <w:t>Ju</w:t>
      </w:r>
      <w:r w:rsidR="003B7774">
        <w:t>LY</w:t>
      </w:r>
      <w:r w:rsidR="00BD4421">
        <w:t xml:space="preserve"> 20</w:t>
      </w:r>
      <w:r w:rsidR="008E0428">
        <w:t>20</w:t>
      </w:r>
    </w:p>
    <w:p w14:paraId="6583B003" w14:textId="77777777" w:rsidR="0005011A" w:rsidRPr="00F44F3A" w:rsidRDefault="0005011A" w:rsidP="00FC07B9">
      <w:pPr>
        <w:pStyle w:val="ACMACorporateAddressHeader"/>
      </w:pPr>
      <w:r w:rsidRPr="00F44F3A">
        <w:lastRenderedPageBreak/>
        <w:t>Canberra</w:t>
      </w:r>
    </w:p>
    <w:p w14:paraId="08045BE1" w14:textId="77777777" w:rsidR="0005011A" w:rsidRPr="00FC07B9" w:rsidRDefault="0005011A" w:rsidP="00FC07B9">
      <w:pPr>
        <w:pStyle w:val="ACMACorporateAddresses"/>
      </w:pPr>
      <w:r w:rsidRPr="00FC07B9">
        <w:t xml:space="preserve">Red Building </w:t>
      </w:r>
      <w:r w:rsidRPr="00FC07B9">
        <w:br/>
        <w:t>Benjamin Offices</w:t>
      </w:r>
      <w:r w:rsidRPr="00FC07B9">
        <w:br/>
        <w:t xml:space="preserve">Chan Street </w:t>
      </w:r>
      <w:r w:rsidRPr="00FC07B9">
        <w:br/>
        <w:t>Belconnen ACT</w:t>
      </w:r>
    </w:p>
    <w:p w14:paraId="2A4572B9" w14:textId="77777777" w:rsidR="0005011A" w:rsidRPr="00FC07B9" w:rsidRDefault="0005011A" w:rsidP="00FC07B9">
      <w:pPr>
        <w:pStyle w:val="ACMACorporateAddresses"/>
      </w:pPr>
      <w:r w:rsidRPr="00FC07B9">
        <w:t>PO Box 78</w:t>
      </w:r>
      <w:r w:rsidRPr="00FC07B9">
        <w:br/>
        <w:t>Belconnen ACT 2616</w:t>
      </w:r>
    </w:p>
    <w:p w14:paraId="454EEE96" w14:textId="77777777" w:rsidR="00FE1823" w:rsidRPr="00FC07B9" w:rsidRDefault="0005011A" w:rsidP="00FC07B9">
      <w:pPr>
        <w:pStyle w:val="ACMACorporateAddresses"/>
      </w:pPr>
      <w:r w:rsidRPr="00FC07B9">
        <w:t>T</w:t>
      </w:r>
      <w:r w:rsidR="00537604" w:rsidRPr="00FC07B9">
        <w:tab/>
      </w:r>
      <w:r w:rsidRPr="00FC07B9">
        <w:t>+61 2 6219 5555</w:t>
      </w:r>
      <w:r w:rsidRPr="00FC07B9">
        <w:br/>
        <w:t>F</w:t>
      </w:r>
      <w:r w:rsidR="00537604" w:rsidRPr="00FC07B9">
        <w:tab/>
      </w:r>
      <w:r w:rsidRPr="00FC07B9">
        <w:t>+61 2 6219 5353</w:t>
      </w:r>
    </w:p>
    <w:p w14:paraId="0023BFFF" w14:textId="77777777" w:rsidR="0005011A" w:rsidRPr="00F44F3A" w:rsidRDefault="0005011A" w:rsidP="00FC07B9">
      <w:pPr>
        <w:pStyle w:val="ACMACorporateAddressHeader"/>
      </w:pPr>
      <w:r w:rsidRPr="00F44F3A">
        <w:t>Melbourne</w:t>
      </w:r>
    </w:p>
    <w:p w14:paraId="76894265" w14:textId="77777777" w:rsidR="0005011A" w:rsidRPr="00F44F3A" w:rsidRDefault="0005011A" w:rsidP="00FC07B9">
      <w:pPr>
        <w:pStyle w:val="ACMACorporateAddresses"/>
      </w:pPr>
      <w:r w:rsidRPr="00F44F3A">
        <w:t xml:space="preserve">Level 32 </w:t>
      </w:r>
      <w:r w:rsidRPr="00F44F3A">
        <w:br/>
        <w:t>Melbourne Central Tower</w:t>
      </w:r>
      <w:r w:rsidRPr="00F44F3A">
        <w:br/>
        <w:t xml:space="preserve">360 Elizabeth Street </w:t>
      </w:r>
      <w:r w:rsidR="008C10F4" w:rsidRPr="00F44F3A">
        <w:br/>
      </w:r>
      <w:r w:rsidRPr="00F44F3A">
        <w:t>Melbourne VIC</w:t>
      </w:r>
    </w:p>
    <w:p w14:paraId="0AC515B5" w14:textId="77777777" w:rsidR="0005011A" w:rsidRPr="00F44F3A" w:rsidRDefault="0005011A" w:rsidP="00FC07B9">
      <w:pPr>
        <w:pStyle w:val="ACMACorporateAddresses"/>
      </w:pPr>
      <w:r w:rsidRPr="00F44F3A">
        <w:t>PO Box 13112</w:t>
      </w:r>
      <w:r w:rsidRPr="00F44F3A">
        <w:br/>
        <w:t xml:space="preserve">Law Courts </w:t>
      </w:r>
      <w:r w:rsidRPr="00F44F3A">
        <w:br/>
        <w:t>Melbourne VIC 8010</w:t>
      </w:r>
    </w:p>
    <w:p w14:paraId="45DE69BD" w14:textId="77777777" w:rsidR="0005011A" w:rsidRPr="00F44F3A" w:rsidRDefault="0005011A" w:rsidP="00FC07B9">
      <w:pPr>
        <w:pStyle w:val="ACMACorporateAddresses"/>
      </w:pPr>
      <w:r w:rsidRPr="00F44F3A">
        <w:t>T</w:t>
      </w:r>
      <w:r w:rsidR="00140318" w:rsidRPr="00F44F3A">
        <w:tab/>
      </w:r>
      <w:r w:rsidRPr="00F44F3A">
        <w:t>+61 3 9963 6800</w:t>
      </w:r>
      <w:r w:rsidRPr="00F44F3A">
        <w:br/>
        <w:t>F</w:t>
      </w:r>
      <w:r w:rsidR="00140318" w:rsidRPr="00F44F3A">
        <w:tab/>
      </w:r>
      <w:r w:rsidRPr="00F44F3A">
        <w:t>+61 3 9963 6899</w:t>
      </w:r>
    </w:p>
    <w:p w14:paraId="008B5F37" w14:textId="77777777" w:rsidR="0005011A" w:rsidRPr="00F44F3A" w:rsidRDefault="0005011A" w:rsidP="00FC07B9">
      <w:pPr>
        <w:pStyle w:val="ACMACorporateAddressHeader"/>
      </w:pPr>
      <w:r w:rsidRPr="00F44F3A">
        <w:t>Sydney</w:t>
      </w:r>
    </w:p>
    <w:p w14:paraId="7DD07580" w14:textId="77777777" w:rsidR="0005011A" w:rsidRPr="00F44F3A" w:rsidRDefault="0005011A" w:rsidP="00FC07B9">
      <w:pPr>
        <w:pStyle w:val="ACMACorporateAddresses"/>
      </w:pPr>
      <w:r w:rsidRPr="00F44F3A">
        <w:t xml:space="preserve">Level 5 </w:t>
      </w:r>
      <w:r w:rsidRPr="00F44F3A">
        <w:br/>
        <w:t>The Bay Centre</w:t>
      </w:r>
      <w:r w:rsidRPr="00F44F3A">
        <w:br/>
        <w:t xml:space="preserve">65 Pirrama Road </w:t>
      </w:r>
      <w:r w:rsidRPr="00F44F3A">
        <w:br/>
        <w:t>Pyrmont NSW</w:t>
      </w:r>
    </w:p>
    <w:p w14:paraId="4138BC5E" w14:textId="77777777" w:rsidR="0005011A" w:rsidRPr="00F44F3A" w:rsidRDefault="0005011A" w:rsidP="00FC07B9">
      <w:pPr>
        <w:pStyle w:val="ACMACorporateAddresses"/>
      </w:pPr>
      <w:r w:rsidRPr="00F44F3A">
        <w:t>PO Box Q500</w:t>
      </w:r>
      <w:r w:rsidRPr="00F44F3A">
        <w:br/>
        <w:t xml:space="preserve">Queen Victoria Building </w:t>
      </w:r>
      <w:r w:rsidRPr="00F44F3A">
        <w:br/>
        <w:t>NSW 1230</w:t>
      </w:r>
    </w:p>
    <w:p w14:paraId="389F33BF" w14:textId="77777777" w:rsidR="0005011A" w:rsidRPr="00F44F3A" w:rsidRDefault="0005011A" w:rsidP="00FC07B9">
      <w:pPr>
        <w:pStyle w:val="ACMACorporateAddresses"/>
      </w:pPr>
      <w:r w:rsidRPr="00F44F3A">
        <w:t>T</w:t>
      </w:r>
      <w:r w:rsidR="00140318" w:rsidRPr="00F44F3A">
        <w:tab/>
      </w:r>
      <w:r w:rsidRPr="00F44F3A">
        <w:t>+61 2 9334 7700</w:t>
      </w:r>
      <w:r w:rsidR="00140318" w:rsidRPr="00F44F3A">
        <w:t xml:space="preserve"> or</w:t>
      </w:r>
      <w:r w:rsidRPr="00F44F3A">
        <w:t xml:space="preserve"> 1800 226 667</w:t>
      </w:r>
      <w:r w:rsidRPr="00F44F3A">
        <w:br/>
        <w:t>F</w:t>
      </w:r>
      <w:r w:rsidR="00140318" w:rsidRPr="00F44F3A">
        <w:tab/>
      </w:r>
      <w:r w:rsidRPr="00F44F3A">
        <w:t>+61 2 9334 7799</w:t>
      </w:r>
    </w:p>
    <w:p w14:paraId="4E90F8CF" w14:textId="77777777" w:rsidR="00140318" w:rsidRPr="006D46E5" w:rsidRDefault="00140318" w:rsidP="00FC07B9">
      <w:pPr>
        <w:pStyle w:val="ACMACopyrightHeader"/>
      </w:pPr>
      <w:r w:rsidRPr="00140318">
        <w:t>Copyright notice</w:t>
      </w:r>
    </w:p>
    <w:p w14:paraId="2AA5EF8C" w14:textId="77777777" w:rsidR="00140318" w:rsidRPr="006D46E5" w:rsidRDefault="00623FF9" w:rsidP="00623FF9">
      <w:pPr>
        <w:pStyle w:val="ACMACClogo"/>
      </w:pPr>
      <w:r w:rsidRPr="00623FF9">
        <w:rPr>
          <w:noProof/>
        </w:rPr>
        <w:drawing>
          <wp:inline distT="0" distB="0" distL="0" distR="0" wp14:anchorId="1F37FEDD" wp14:editId="4239160A">
            <wp:extent cx="838200" cy="295275"/>
            <wp:effectExtent l="0" t="0" r="0" b="0"/>
            <wp:docPr id="1" name="Picture 1" title="Creative Commons 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1"/>
                    </pic:cNvPr>
                    <pic:cNvPicPr>
                      <a:picLocks noChangeAspect="1" noChangeArrowheads="1"/>
                    </pic:cNvPicPr>
                  </pic:nvPicPr>
                  <pic:blipFill>
                    <a:blip r:embed="rId12" cstate="print"/>
                    <a:srcRect/>
                    <a:stretch>
                      <a:fillRect/>
                    </a:stretch>
                  </pic:blipFill>
                  <pic:spPr bwMode="auto">
                    <a:xfrm>
                      <a:off x="0" y="0"/>
                      <a:ext cx="838200" cy="295275"/>
                    </a:xfrm>
                    <a:prstGeom prst="rect">
                      <a:avLst/>
                    </a:prstGeom>
                    <a:noFill/>
                  </pic:spPr>
                </pic:pic>
              </a:graphicData>
            </a:graphic>
          </wp:inline>
        </w:drawing>
      </w:r>
    </w:p>
    <w:p w14:paraId="3AE3993D" w14:textId="77777777" w:rsidR="00AA2DE5" w:rsidRDefault="00381642" w:rsidP="00AA2DE5">
      <w:pPr>
        <w:pStyle w:val="ACMACorporateAddresses"/>
        <w:rPr>
          <w:rStyle w:val="Hyperlink"/>
        </w:rPr>
      </w:pPr>
      <w:hyperlink r:id="rId13" w:history="1">
        <w:r w:rsidR="00AA2DE5">
          <w:rPr>
            <w:rStyle w:val="Hyperlink"/>
          </w:rPr>
          <w:t>https://creativecommons.org/licenses/by/4.0/</w:t>
        </w:r>
      </w:hyperlink>
    </w:p>
    <w:p w14:paraId="487A88A9" w14:textId="77777777" w:rsidR="00AA2DE5" w:rsidRDefault="00AA2DE5" w:rsidP="00AA2DE5">
      <w:pPr>
        <w:pStyle w:val="ACMACorporateAddresses"/>
      </w:pPr>
      <w:proofErr w:type="gramStart"/>
      <w:r>
        <w:t>With the exception of</w:t>
      </w:r>
      <w:proofErr w:type="gramEnd"/>
      <w:r>
        <w:t xml:space="preserve"> coats of arms, logos, emblems, images, other third-party material or devices protected by a trademark, this content is made available under the terms of the Creative Commons Attribution 4.0 International (CC BY 4.0) licence. </w:t>
      </w:r>
    </w:p>
    <w:p w14:paraId="1FD98A85" w14:textId="77777777" w:rsidR="00AA2DE5" w:rsidRDefault="00AA2DE5" w:rsidP="00AA2DE5">
      <w:pPr>
        <w:pStyle w:val="ACMACorporateAddresses"/>
      </w:pPr>
      <w:r>
        <w:t>We request attribution as © Commonwealth of Australia (Australian Communications and Media Authority) 20</w:t>
      </w:r>
      <w:r w:rsidR="00C41F21">
        <w:t>20</w:t>
      </w:r>
      <w:r>
        <w:t>.</w:t>
      </w:r>
    </w:p>
    <w:p w14:paraId="77A3E2F6" w14:textId="77777777" w:rsidR="00AA2DE5" w:rsidRDefault="00AA2DE5" w:rsidP="00AA2DE5">
      <w:pPr>
        <w:pStyle w:val="ACMACorporateAddresses"/>
      </w:pPr>
      <w:r>
        <w:t>All other rights are reserved.</w:t>
      </w:r>
    </w:p>
    <w:p w14:paraId="6546DE9E" w14:textId="77777777" w:rsidR="00AA2DE5" w:rsidRDefault="00AA2DE5" w:rsidP="00AA2DE5">
      <w:pPr>
        <w:pStyle w:val="ACMACorporateAddresses"/>
      </w:pPr>
      <w:r>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6AD738ED" w14:textId="77777777" w:rsidR="00AA2DE5" w:rsidRDefault="00AA2DE5" w:rsidP="00AA2DE5">
      <w:pPr>
        <w:pStyle w:val="ACMACorporateAddresses"/>
      </w:pPr>
      <w:r>
        <w:t>Written enquiries may be sent to:</w:t>
      </w:r>
    </w:p>
    <w:p w14:paraId="5DAFBAA8" w14:textId="77777777" w:rsidR="00AA2DE5" w:rsidRDefault="00AA2DE5" w:rsidP="00AA2DE5">
      <w:pPr>
        <w:pStyle w:val="ACMACorporateAddresses"/>
        <w:rPr>
          <w:rStyle w:val="Hyperlink"/>
        </w:rPr>
      </w:pPr>
      <w:r>
        <w:t xml:space="preserve">Manager, Editorial </w:t>
      </w:r>
      <w:r w:rsidR="000245E5">
        <w:t>Services</w:t>
      </w:r>
      <w:r>
        <w:br/>
        <w:t>PO Box 13112</w:t>
      </w:r>
      <w:r>
        <w:br/>
        <w:t>Law Courts</w:t>
      </w:r>
      <w:r>
        <w:br/>
        <w:t>Melbourne VIC 8010</w:t>
      </w:r>
      <w:r>
        <w:br/>
        <w:t xml:space="preserve">Email: </w:t>
      </w:r>
      <w:hyperlink r:id="rId14" w:history="1">
        <w:r>
          <w:rPr>
            <w:rStyle w:val="Hyperlink"/>
          </w:rPr>
          <w:t>info@acma.gov.au</w:t>
        </w:r>
      </w:hyperlink>
    </w:p>
    <w:p w14:paraId="3998A1DD" w14:textId="77777777" w:rsidR="00D16FE3" w:rsidRDefault="00D16FE3" w:rsidP="00D16FE3">
      <w:pPr>
        <w:pStyle w:val="ACMACorporateAddresses"/>
        <w:rPr>
          <w:rStyle w:val="Hyperlink"/>
        </w:rPr>
      </w:pPr>
    </w:p>
    <w:p w14:paraId="17423A9E" w14:textId="77777777" w:rsidR="00D16FE3" w:rsidRPr="00D16FE3" w:rsidRDefault="00D16FE3" w:rsidP="00D16FE3">
      <w:pPr>
        <w:pStyle w:val="ACMACorporateAddresses"/>
        <w:sectPr w:rsidR="00D16FE3" w:rsidRPr="00D16FE3">
          <w:headerReference w:type="even" r:id="rId15"/>
          <w:headerReference w:type="default" r:id="rId16"/>
          <w:footerReference w:type="even" r:id="rId17"/>
          <w:footerReference w:type="default" r:id="rId18"/>
          <w:pgSz w:w="11906" w:h="16838" w:code="9"/>
          <w:pgMar w:top="3924" w:right="1797" w:bottom="697" w:left="1134" w:header="709" w:footer="119" w:gutter="0"/>
          <w:cols w:space="708"/>
          <w:docGrid w:linePitch="360"/>
        </w:sectPr>
      </w:pPr>
    </w:p>
    <w:p w14:paraId="5CF14FFF" w14:textId="77F7472B" w:rsidR="0070343A" w:rsidRDefault="00E35BB9">
      <w:pPr>
        <w:pStyle w:val="TOC1"/>
        <w:rPr>
          <w:rFonts w:asciiTheme="minorHAnsi" w:eastAsiaTheme="minorEastAsia" w:hAnsiTheme="minorHAnsi" w:cstheme="minorBidi"/>
          <w:b w:val="0"/>
          <w:spacing w:val="0"/>
          <w:sz w:val="22"/>
          <w:szCs w:val="22"/>
        </w:rPr>
      </w:pPr>
      <w:r>
        <w:rPr>
          <w:rFonts w:cs="Arial"/>
        </w:rPr>
        <w:lastRenderedPageBreak/>
        <w:fldChar w:fldCharType="begin"/>
      </w:r>
      <w:r>
        <w:rPr>
          <w:rFonts w:cs="Arial"/>
        </w:rPr>
        <w:instrText xml:space="preserve"> TOC \o "1-2" \h \z \t "Exec summary heading,1" </w:instrText>
      </w:r>
      <w:r>
        <w:rPr>
          <w:rFonts w:cs="Arial"/>
        </w:rPr>
        <w:fldChar w:fldCharType="separate"/>
      </w:r>
      <w:hyperlink w:anchor="_Toc45091011" w:history="1">
        <w:r w:rsidR="0070343A" w:rsidRPr="00947578">
          <w:rPr>
            <w:rStyle w:val="Hyperlink"/>
          </w:rPr>
          <w:t>Executive summary</w:t>
        </w:r>
        <w:r w:rsidR="0070343A">
          <w:rPr>
            <w:webHidden/>
          </w:rPr>
          <w:tab/>
        </w:r>
        <w:r w:rsidR="0070343A">
          <w:rPr>
            <w:webHidden/>
          </w:rPr>
          <w:fldChar w:fldCharType="begin"/>
        </w:r>
        <w:r w:rsidR="0070343A">
          <w:rPr>
            <w:webHidden/>
          </w:rPr>
          <w:instrText xml:space="preserve"> PAGEREF _Toc45091011 \h </w:instrText>
        </w:r>
        <w:r w:rsidR="0070343A">
          <w:rPr>
            <w:webHidden/>
          </w:rPr>
        </w:r>
        <w:r w:rsidR="0070343A">
          <w:rPr>
            <w:webHidden/>
          </w:rPr>
          <w:fldChar w:fldCharType="separate"/>
        </w:r>
        <w:r w:rsidR="0070343A">
          <w:rPr>
            <w:webHidden/>
          </w:rPr>
          <w:t>1</w:t>
        </w:r>
        <w:r w:rsidR="0070343A">
          <w:rPr>
            <w:webHidden/>
          </w:rPr>
          <w:fldChar w:fldCharType="end"/>
        </w:r>
      </w:hyperlink>
    </w:p>
    <w:p w14:paraId="3096E3C5" w14:textId="6C28B4F3" w:rsidR="0070343A" w:rsidRDefault="00381642">
      <w:pPr>
        <w:pStyle w:val="TOC1"/>
        <w:rPr>
          <w:rFonts w:asciiTheme="minorHAnsi" w:eastAsiaTheme="minorEastAsia" w:hAnsiTheme="minorHAnsi" w:cstheme="minorBidi"/>
          <w:b w:val="0"/>
          <w:spacing w:val="0"/>
          <w:sz w:val="22"/>
          <w:szCs w:val="22"/>
        </w:rPr>
      </w:pPr>
      <w:hyperlink w:anchor="_Toc45091012" w:history="1">
        <w:r w:rsidR="0070343A" w:rsidRPr="00947578">
          <w:rPr>
            <w:rStyle w:val="Hyperlink"/>
          </w:rPr>
          <w:t>Introduction</w:t>
        </w:r>
        <w:r w:rsidR="0070343A">
          <w:rPr>
            <w:webHidden/>
          </w:rPr>
          <w:tab/>
        </w:r>
        <w:r w:rsidR="0070343A">
          <w:rPr>
            <w:webHidden/>
          </w:rPr>
          <w:fldChar w:fldCharType="begin"/>
        </w:r>
        <w:r w:rsidR="0070343A">
          <w:rPr>
            <w:webHidden/>
          </w:rPr>
          <w:instrText xml:space="preserve"> PAGEREF _Toc45091012 \h </w:instrText>
        </w:r>
        <w:r w:rsidR="0070343A">
          <w:rPr>
            <w:webHidden/>
          </w:rPr>
        </w:r>
        <w:r w:rsidR="0070343A">
          <w:rPr>
            <w:webHidden/>
          </w:rPr>
          <w:fldChar w:fldCharType="separate"/>
        </w:r>
        <w:r w:rsidR="0070343A">
          <w:rPr>
            <w:webHidden/>
          </w:rPr>
          <w:t>3</w:t>
        </w:r>
        <w:r w:rsidR="0070343A">
          <w:rPr>
            <w:webHidden/>
          </w:rPr>
          <w:fldChar w:fldCharType="end"/>
        </w:r>
      </w:hyperlink>
    </w:p>
    <w:p w14:paraId="27ACD941" w14:textId="1D8454F0" w:rsidR="0070343A" w:rsidRDefault="00381642">
      <w:pPr>
        <w:pStyle w:val="TOC2"/>
        <w:rPr>
          <w:rFonts w:asciiTheme="minorHAnsi" w:eastAsiaTheme="minorEastAsia" w:hAnsiTheme="minorHAnsi" w:cstheme="minorBidi"/>
          <w:spacing w:val="0"/>
          <w:sz w:val="22"/>
          <w:szCs w:val="22"/>
        </w:rPr>
      </w:pPr>
      <w:hyperlink w:anchor="_Toc45091013" w:history="1">
        <w:r w:rsidR="0070343A" w:rsidRPr="00947578">
          <w:rPr>
            <w:rStyle w:val="Hyperlink"/>
          </w:rPr>
          <w:t>Legislative context and policy environment</w:t>
        </w:r>
        <w:r w:rsidR="0070343A">
          <w:rPr>
            <w:webHidden/>
          </w:rPr>
          <w:tab/>
        </w:r>
        <w:r w:rsidR="0070343A">
          <w:rPr>
            <w:webHidden/>
          </w:rPr>
          <w:fldChar w:fldCharType="begin"/>
        </w:r>
        <w:r w:rsidR="0070343A">
          <w:rPr>
            <w:webHidden/>
          </w:rPr>
          <w:instrText xml:space="preserve"> PAGEREF _Toc45091013 \h </w:instrText>
        </w:r>
        <w:r w:rsidR="0070343A">
          <w:rPr>
            <w:webHidden/>
          </w:rPr>
        </w:r>
        <w:r w:rsidR="0070343A">
          <w:rPr>
            <w:webHidden/>
          </w:rPr>
          <w:fldChar w:fldCharType="separate"/>
        </w:r>
        <w:r w:rsidR="0070343A">
          <w:rPr>
            <w:webHidden/>
          </w:rPr>
          <w:t>3</w:t>
        </w:r>
        <w:r w:rsidR="0070343A">
          <w:rPr>
            <w:webHidden/>
          </w:rPr>
          <w:fldChar w:fldCharType="end"/>
        </w:r>
      </w:hyperlink>
    </w:p>
    <w:p w14:paraId="2D17608A" w14:textId="6EA20384" w:rsidR="0070343A" w:rsidRDefault="00381642">
      <w:pPr>
        <w:pStyle w:val="TOC2"/>
        <w:rPr>
          <w:rFonts w:asciiTheme="minorHAnsi" w:eastAsiaTheme="minorEastAsia" w:hAnsiTheme="minorHAnsi" w:cstheme="minorBidi"/>
          <w:spacing w:val="0"/>
          <w:sz w:val="22"/>
          <w:szCs w:val="22"/>
        </w:rPr>
      </w:pPr>
      <w:hyperlink w:anchor="_Toc45091014" w:history="1">
        <w:r w:rsidR="0070343A" w:rsidRPr="00947578">
          <w:rPr>
            <w:rStyle w:val="Hyperlink"/>
          </w:rPr>
          <w:t>Background</w:t>
        </w:r>
        <w:r w:rsidR="0070343A">
          <w:rPr>
            <w:webHidden/>
          </w:rPr>
          <w:tab/>
        </w:r>
        <w:r w:rsidR="0070343A">
          <w:rPr>
            <w:webHidden/>
          </w:rPr>
          <w:fldChar w:fldCharType="begin"/>
        </w:r>
        <w:r w:rsidR="0070343A">
          <w:rPr>
            <w:webHidden/>
          </w:rPr>
          <w:instrText xml:space="preserve"> PAGEREF _Toc45091014 \h </w:instrText>
        </w:r>
        <w:r w:rsidR="0070343A">
          <w:rPr>
            <w:webHidden/>
          </w:rPr>
        </w:r>
        <w:r w:rsidR="0070343A">
          <w:rPr>
            <w:webHidden/>
          </w:rPr>
          <w:fldChar w:fldCharType="separate"/>
        </w:r>
        <w:r w:rsidR="0070343A">
          <w:rPr>
            <w:webHidden/>
          </w:rPr>
          <w:t>4</w:t>
        </w:r>
        <w:r w:rsidR="0070343A">
          <w:rPr>
            <w:webHidden/>
          </w:rPr>
          <w:fldChar w:fldCharType="end"/>
        </w:r>
      </w:hyperlink>
    </w:p>
    <w:p w14:paraId="74DF645F" w14:textId="77051D02" w:rsidR="0070343A" w:rsidRDefault="00381642">
      <w:pPr>
        <w:pStyle w:val="TOC2"/>
        <w:rPr>
          <w:rFonts w:asciiTheme="minorHAnsi" w:eastAsiaTheme="minorEastAsia" w:hAnsiTheme="minorHAnsi" w:cstheme="minorBidi"/>
          <w:spacing w:val="0"/>
          <w:sz w:val="22"/>
          <w:szCs w:val="22"/>
        </w:rPr>
      </w:pPr>
      <w:hyperlink w:anchor="_Toc45091015" w:history="1">
        <w:r w:rsidR="0070343A" w:rsidRPr="00947578">
          <w:rPr>
            <w:rStyle w:val="Hyperlink"/>
          </w:rPr>
          <w:t>Scope</w:t>
        </w:r>
        <w:r w:rsidR="0070343A">
          <w:rPr>
            <w:webHidden/>
          </w:rPr>
          <w:tab/>
        </w:r>
        <w:r w:rsidR="0070343A">
          <w:rPr>
            <w:webHidden/>
          </w:rPr>
          <w:tab/>
        </w:r>
        <w:r w:rsidR="0070343A">
          <w:rPr>
            <w:webHidden/>
          </w:rPr>
          <w:fldChar w:fldCharType="begin"/>
        </w:r>
        <w:r w:rsidR="0070343A">
          <w:rPr>
            <w:webHidden/>
          </w:rPr>
          <w:instrText xml:space="preserve"> PAGEREF _Toc45091015 \h </w:instrText>
        </w:r>
        <w:r w:rsidR="0070343A">
          <w:rPr>
            <w:webHidden/>
          </w:rPr>
        </w:r>
        <w:r w:rsidR="0070343A">
          <w:rPr>
            <w:webHidden/>
          </w:rPr>
          <w:fldChar w:fldCharType="separate"/>
        </w:r>
        <w:r w:rsidR="0070343A">
          <w:rPr>
            <w:webHidden/>
          </w:rPr>
          <w:t>6</w:t>
        </w:r>
        <w:r w:rsidR="0070343A">
          <w:rPr>
            <w:webHidden/>
          </w:rPr>
          <w:fldChar w:fldCharType="end"/>
        </w:r>
      </w:hyperlink>
    </w:p>
    <w:p w14:paraId="391A9356" w14:textId="62FBA686" w:rsidR="0070343A" w:rsidRDefault="00381642">
      <w:pPr>
        <w:pStyle w:val="TOC2"/>
        <w:rPr>
          <w:rFonts w:asciiTheme="minorHAnsi" w:eastAsiaTheme="minorEastAsia" w:hAnsiTheme="minorHAnsi" w:cstheme="minorBidi"/>
          <w:spacing w:val="0"/>
          <w:sz w:val="22"/>
          <w:szCs w:val="22"/>
        </w:rPr>
      </w:pPr>
      <w:hyperlink w:anchor="_Toc45091016" w:history="1">
        <w:r w:rsidR="0070343A" w:rsidRPr="00947578">
          <w:rPr>
            <w:rStyle w:val="Hyperlink"/>
          </w:rPr>
          <w:t>Indicative timeline</w:t>
        </w:r>
        <w:r w:rsidR="0070343A">
          <w:rPr>
            <w:webHidden/>
          </w:rPr>
          <w:tab/>
        </w:r>
        <w:r w:rsidR="0070343A">
          <w:rPr>
            <w:webHidden/>
          </w:rPr>
          <w:fldChar w:fldCharType="begin"/>
        </w:r>
        <w:r w:rsidR="0070343A">
          <w:rPr>
            <w:webHidden/>
          </w:rPr>
          <w:instrText xml:space="preserve"> PAGEREF _Toc45091016 \h </w:instrText>
        </w:r>
        <w:r w:rsidR="0070343A">
          <w:rPr>
            <w:webHidden/>
          </w:rPr>
        </w:r>
        <w:r w:rsidR="0070343A">
          <w:rPr>
            <w:webHidden/>
          </w:rPr>
          <w:fldChar w:fldCharType="separate"/>
        </w:r>
        <w:r w:rsidR="0070343A">
          <w:rPr>
            <w:webHidden/>
          </w:rPr>
          <w:t>6</w:t>
        </w:r>
        <w:r w:rsidR="0070343A">
          <w:rPr>
            <w:webHidden/>
          </w:rPr>
          <w:fldChar w:fldCharType="end"/>
        </w:r>
      </w:hyperlink>
    </w:p>
    <w:p w14:paraId="4B9329C6" w14:textId="3594BCD9" w:rsidR="0070343A" w:rsidRDefault="00381642">
      <w:pPr>
        <w:pStyle w:val="TOC1"/>
        <w:rPr>
          <w:rFonts w:asciiTheme="minorHAnsi" w:eastAsiaTheme="minorEastAsia" w:hAnsiTheme="minorHAnsi" w:cstheme="minorBidi"/>
          <w:b w:val="0"/>
          <w:spacing w:val="0"/>
          <w:sz w:val="22"/>
          <w:szCs w:val="22"/>
        </w:rPr>
      </w:pPr>
      <w:hyperlink w:anchor="_Toc45091017" w:history="1">
        <w:r w:rsidR="0070343A" w:rsidRPr="00947578">
          <w:rPr>
            <w:rStyle w:val="Hyperlink"/>
          </w:rPr>
          <w:t>Proposed technical framework</w:t>
        </w:r>
        <w:r w:rsidR="0070343A">
          <w:rPr>
            <w:webHidden/>
          </w:rPr>
          <w:tab/>
        </w:r>
        <w:r w:rsidR="0070343A">
          <w:rPr>
            <w:webHidden/>
          </w:rPr>
          <w:fldChar w:fldCharType="begin"/>
        </w:r>
        <w:r w:rsidR="0070343A">
          <w:rPr>
            <w:webHidden/>
          </w:rPr>
          <w:instrText xml:space="preserve"> PAGEREF _Toc45091017 \h </w:instrText>
        </w:r>
        <w:r w:rsidR="0070343A">
          <w:rPr>
            <w:webHidden/>
          </w:rPr>
        </w:r>
        <w:r w:rsidR="0070343A">
          <w:rPr>
            <w:webHidden/>
          </w:rPr>
          <w:fldChar w:fldCharType="separate"/>
        </w:r>
        <w:r w:rsidR="0070343A">
          <w:rPr>
            <w:webHidden/>
          </w:rPr>
          <w:t>8</w:t>
        </w:r>
        <w:r w:rsidR="0070343A">
          <w:rPr>
            <w:webHidden/>
          </w:rPr>
          <w:fldChar w:fldCharType="end"/>
        </w:r>
      </w:hyperlink>
    </w:p>
    <w:p w14:paraId="67B68178" w14:textId="0F866E33" w:rsidR="0070343A" w:rsidRDefault="00381642">
      <w:pPr>
        <w:pStyle w:val="TOC2"/>
        <w:rPr>
          <w:rFonts w:asciiTheme="minorHAnsi" w:eastAsiaTheme="minorEastAsia" w:hAnsiTheme="minorHAnsi" w:cstheme="minorBidi"/>
          <w:spacing w:val="0"/>
          <w:sz w:val="22"/>
          <w:szCs w:val="22"/>
        </w:rPr>
      </w:pPr>
      <w:hyperlink w:anchor="_Toc45091018" w:history="1">
        <w:r w:rsidR="0070343A" w:rsidRPr="00947578">
          <w:rPr>
            <w:rStyle w:val="Hyperlink"/>
          </w:rPr>
          <w:t>Technical Liaison Groups (TLGs)</w:t>
        </w:r>
        <w:r w:rsidR="0070343A">
          <w:rPr>
            <w:webHidden/>
          </w:rPr>
          <w:tab/>
        </w:r>
        <w:r w:rsidR="0070343A">
          <w:rPr>
            <w:webHidden/>
          </w:rPr>
          <w:fldChar w:fldCharType="begin"/>
        </w:r>
        <w:r w:rsidR="0070343A">
          <w:rPr>
            <w:webHidden/>
          </w:rPr>
          <w:instrText xml:space="preserve"> PAGEREF _Toc45091018 \h </w:instrText>
        </w:r>
        <w:r w:rsidR="0070343A">
          <w:rPr>
            <w:webHidden/>
          </w:rPr>
        </w:r>
        <w:r w:rsidR="0070343A">
          <w:rPr>
            <w:webHidden/>
          </w:rPr>
          <w:fldChar w:fldCharType="separate"/>
        </w:r>
        <w:r w:rsidR="0070343A">
          <w:rPr>
            <w:webHidden/>
          </w:rPr>
          <w:t>8</w:t>
        </w:r>
        <w:r w:rsidR="0070343A">
          <w:rPr>
            <w:webHidden/>
          </w:rPr>
          <w:fldChar w:fldCharType="end"/>
        </w:r>
      </w:hyperlink>
    </w:p>
    <w:p w14:paraId="5F91D20D" w14:textId="044D1407" w:rsidR="0070343A" w:rsidRDefault="00381642">
      <w:pPr>
        <w:pStyle w:val="TOC2"/>
        <w:rPr>
          <w:rFonts w:asciiTheme="minorHAnsi" w:eastAsiaTheme="minorEastAsia" w:hAnsiTheme="minorHAnsi" w:cstheme="minorBidi"/>
          <w:spacing w:val="0"/>
          <w:sz w:val="22"/>
          <w:szCs w:val="22"/>
        </w:rPr>
      </w:pPr>
      <w:hyperlink w:anchor="_Toc45091019" w:history="1">
        <w:r w:rsidR="0070343A" w:rsidRPr="00947578">
          <w:rPr>
            <w:rStyle w:val="Hyperlink"/>
          </w:rPr>
          <w:t>Draft instruments for consultation</w:t>
        </w:r>
        <w:r w:rsidR="0070343A">
          <w:rPr>
            <w:webHidden/>
          </w:rPr>
          <w:tab/>
        </w:r>
        <w:r w:rsidR="0070343A">
          <w:rPr>
            <w:webHidden/>
          </w:rPr>
          <w:fldChar w:fldCharType="begin"/>
        </w:r>
        <w:r w:rsidR="0070343A">
          <w:rPr>
            <w:webHidden/>
          </w:rPr>
          <w:instrText xml:space="preserve"> PAGEREF _Toc45091019 \h </w:instrText>
        </w:r>
        <w:r w:rsidR="0070343A">
          <w:rPr>
            <w:webHidden/>
          </w:rPr>
        </w:r>
        <w:r w:rsidR="0070343A">
          <w:rPr>
            <w:webHidden/>
          </w:rPr>
          <w:fldChar w:fldCharType="separate"/>
        </w:r>
        <w:r w:rsidR="0070343A">
          <w:rPr>
            <w:webHidden/>
          </w:rPr>
          <w:t>8</w:t>
        </w:r>
        <w:r w:rsidR="0070343A">
          <w:rPr>
            <w:webHidden/>
          </w:rPr>
          <w:fldChar w:fldCharType="end"/>
        </w:r>
      </w:hyperlink>
    </w:p>
    <w:p w14:paraId="7834276B" w14:textId="0A4E3BD0" w:rsidR="0070343A" w:rsidRDefault="00381642">
      <w:pPr>
        <w:pStyle w:val="TOC2"/>
        <w:rPr>
          <w:rFonts w:asciiTheme="minorHAnsi" w:eastAsiaTheme="minorEastAsia" w:hAnsiTheme="minorHAnsi" w:cstheme="minorBidi"/>
          <w:spacing w:val="0"/>
          <w:sz w:val="22"/>
          <w:szCs w:val="22"/>
        </w:rPr>
      </w:pPr>
      <w:hyperlink w:anchor="_Toc45091020" w:history="1">
        <w:r w:rsidR="0070343A" w:rsidRPr="00947578">
          <w:rPr>
            <w:rStyle w:val="Hyperlink"/>
          </w:rPr>
          <w:t>Conditions in the spectrum licence</w:t>
        </w:r>
        <w:r w:rsidR="0070343A">
          <w:rPr>
            <w:webHidden/>
          </w:rPr>
          <w:tab/>
        </w:r>
        <w:r w:rsidR="0070343A">
          <w:rPr>
            <w:webHidden/>
          </w:rPr>
          <w:fldChar w:fldCharType="begin"/>
        </w:r>
        <w:r w:rsidR="0070343A">
          <w:rPr>
            <w:webHidden/>
          </w:rPr>
          <w:instrText xml:space="preserve"> PAGEREF _Toc45091020 \h </w:instrText>
        </w:r>
        <w:r w:rsidR="0070343A">
          <w:rPr>
            <w:webHidden/>
          </w:rPr>
        </w:r>
        <w:r w:rsidR="0070343A">
          <w:rPr>
            <w:webHidden/>
          </w:rPr>
          <w:fldChar w:fldCharType="separate"/>
        </w:r>
        <w:r w:rsidR="0070343A">
          <w:rPr>
            <w:webHidden/>
          </w:rPr>
          <w:t>9</w:t>
        </w:r>
        <w:r w:rsidR="0070343A">
          <w:rPr>
            <w:webHidden/>
          </w:rPr>
          <w:fldChar w:fldCharType="end"/>
        </w:r>
      </w:hyperlink>
    </w:p>
    <w:p w14:paraId="03D926E4" w14:textId="0D6B44B0" w:rsidR="0070343A" w:rsidRDefault="00381642">
      <w:pPr>
        <w:pStyle w:val="TOC2"/>
        <w:rPr>
          <w:rFonts w:asciiTheme="minorHAnsi" w:eastAsiaTheme="minorEastAsia" w:hAnsiTheme="minorHAnsi" w:cstheme="minorBidi"/>
          <w:spacing w:val="0"/>
          <w:sz w:val="22"/>
          <w:szCs w:val="22"/>
        </w:rPr>
      </w:pPr>
      <w:hyperlink w:anchor="_Toc45091021" w:history="1">
        <w:r w:rsidR="0070343A" w:rsidRPr="00947578">
          <w:rPr>
            <w:rStyle w:val="Hyperlink"/>
          </w:rPr>
          <w:t>TRP limit and coexistence with space receive stations</w:t>
        </w:r>
        <w:r w:rsidR="0070343A">
          <w:rPr>
            <w:webHidden/>
          </w:rPr>
          <w:tab/>
        </w:r>
        <w:r w:rsidR="0070343A">
          <w:rPr>
            <w:webHidden/>
          </w:rPr>
          <w:fldChar w:fldCharType="begin"/>
        </w:r>
        <w:r w:rsidR="0070343A">
          <w:rPr>
            <w:webHidden/>
          </w:rPr>
          <w:instrText xml:space="preserve"> PAGEREF _Toc45091021 \h </w:instrText>
        </w:r>
        <w:r w:rsidR="0070343A">
          <w:rPr>
            <w:webHidden/>
          </w:rPr>
        </w:r>
        <w:r w:rsidR="0070343A">
          <w:rPr>
            <w:webHidden/>
          </w:rPr>
          <w:fldChar w:fldCharType="separate"/>
        </w:r>
        <w:r w:rsidR="0070343A">
          <w:rPr>
            <w:webHidden/>
          </w:rPr>
          <w:t>11</w:t>
        </w:r>
        <w:r w:rsidR="0070343A">
          <w:rPr>
            <w:webHidden/>
          </w:rPr>
          <w:fldChar w:fldCharType="end"/>
        </w:r>
      </w:hyperlink>
    </w:p>
    <w:p w14:paraId="3CB5A569" w14:textId="705578B4" w:rsidR="0070343A" w:rsidRDefault="00381642">
      <w:pPr>
        <w:pStyle w:val="TOC2"/>
        <w:rPr>
          <w:rFonts w:asciiTheme="minorHAnsi" w:eastAsiaTheme="minorEastAsia" w:hAnsiTheme="minorHAnsi" w:cstheme="minorBidi"/>
          <w:spacing w:val="0"/>
          <w:sz w:val="22"/>
          <w:szCs w:val="22"/>
        </w:rPr>
      </w:pPr>
      <w:hyperlink w:anchor="_Toc45091022" w:history="1">
        <w:r w:rsidR="0070343A" w:rsidRPr="00947578">
          <w:rPr>
            <w:rStyle w:val="Hyperlink"/>
          </w:rPr>
          <w:t>Unacceptable levels of interference</w:t>
        </w:r>
        <w:r w:rsidR="0070343A">
          <w:rPr>
            <w:webHidden/>
          </w:rPr>
          <w:tab/>
        </w:r>
        <w:r w:rsidR="0070343A">
          <w:rPr>
            <w:webHidden/>
          </w:rPr>
          <w:fldChar w:fldCharType="begin"/>
        </w:r>
        <w:r w:rsidR="0070343A">
          <w:rPr>
            <w:webHidden/>
          </w:rPr>
          <w:instrText xml:space="preserve"> PAGEREF _Toc45091022 \h </w:instrText>
        </w:r>
        <w:r w:rsidR="0070343A">
          <w:rPr>
            <w:webHidden/>
          </w:rPr>
        </w:r>
        <w:r w:rsidR="0070343A">
          <w:rPr>
            <w:webHidden/>
          </w:rPr>
          <w:fldChar w:fldCharType="separate"/>
        </w:r>
        <w:r w:rsidR="0070343A">
          <w:rPr>
            <w:webHidden/>
          </w:rPr>
          <w:t>16</w:t>
        </w:r>
        <w:r w:rsidR="0070343A">
          <w:rPr>
            <w:webHidden/>
          </w:rPr>
          <w:fldChar w:fldCharType="end"/>
        </w:r>
      </w:hyperlink>
    </w:p>
    <w:p w14:paraId="1F9789E8" w14:textId="7A9EE091" w:rsidR="0070343A" w:rsidRDefault="00381642">
      <w:pPr>
        <w:pStyle w:val="TOC2"/>
        <w:rPr>
          <w:rFonts w:asciiTheme="minorHAnsi" w:eastAsiaTheme="minorEastAsia" w:hAnsiTheme="minorHAnsi" w:cstheme="minorBidi"/>
          <w:spacing w:val="0"/>
          <w:sz w:val="22"/>
          <w:szCs w:val="22"/>
        </w:rPr>
      </w:pPr>
      <w:hyperlink w:anchor="_Toc45091023" w:history="1">
        <w:r w:rsidR="0070343A" w:rsidRPr="00947578">
          <w:rPr>
            <w:rStyle w:val="Hyperlink"/>
          </w:rPr>
          <w:t>Radiocommunications Advisory Guidelines</w:t>
        </w:r>
        <w:r w:rsidR="0070343A">
          <w:rPr>
            <w:webHidden/>
          </w:rPr>
          <w:tab/>
        </w:r>
        <w:r w:rsidR="0070343A">
          <w:rPr>
            <w:webHidden/>
          </w:rPr>
          <w:fldChar w:fldCharType="begin"/>
        </w:r>
        <w:r w:rsidR="0070343A">
          <w:rPr>
            <w:webHidden/>
          </w:rPr>
          <w:instrText xml:space="preserve"> PAGEREF _Toc45091023 \h </w:instrText>
        </w:r>
        <w:r w:rsidR="0070343A">
          <w:rPr>
            <w:webHidden/>
          </w:rPr>
        </w:r>
        <w:r w:rsidR="0070343A">
          <w:rPr>
            <w:webHidden/>
          </w:rPr>
          <w:fldChar w:fldCharType="separate"/>
        </w:r>
        <w:r w:rsidR="0070343A">
          <w:rPr>
            <w:webHidden/>
          </w:rPr>
          <w:t>17</w:t>
        </w:r>
        <w:r w:rsidR="0070343A">
          <w:rPr>
            <w:webHidden/>
          </w:rPr>
          <w:fldChar w:fldCharType="end"/>
        </w:r>
      </w:hyperlink>
    </w:p>
    <w:p w14:paraId="13925E2E" w14:textId="0D903442" w:rsidR="0070343A" w:rsidRDefault="00381642">
      <w:pPr>
        <w:pStyle w:val="TOC2"/>
        <w:rPr>
          <w:rFonts w:asciiTheme="minorHAnsi" w:eastAsiaTheme="minorEastAsia" w:hAnsiTheme="minorHAnsi" w:cstheme="minorBidi"/>
          <w:spacing w:val="0"/>
          <w:sz w:val="22"/>
          <w:szCs w:val="22"/>
        </w:rPr>
      </w:pPr>
      <w:hyperlink w:anchor="_Toc45091024" w:history="1">
        <w:r w:rsidR="0070343A" w:rsidRPr="00947578">
          <w:rPr>
            <w:rStyle w:val="Hyperlink"/>
          </w:rPr>
          <w:t>Standard trading units and minimum contiguous bandwidth</w:t>
        </w:r>
        <w:r w:rsidR="0070343A">
          <w:rPr>
            <w:webHidden/>
          </w:rPr>
          <w:tab/>
        </w:r>
        <w:r w:rsidR="0070343A">
          <w:rPr>
            <w:webHidden/>
          </w:rPr>
          <w:fldChar w:fldCharType="begin"/>
        </w:r>
        <w:r w:rsidR="0070343A">
          <w:rPr>
            <w:webHidden/>
          </w:rPr>
          <w:instrText xml:space="preserve"> PAGEREF _Toc45091024 \h </w:instrText>
        </w:r>
        <w:r w:rsidR="0070343A">
          <w:rPr>
            <w:webHidden/>
          </w:rPr>
        </w:r>
        <w:r w:rsidR="0070343A">
          <w:rPr>
            <w:webHidden/>
          </w:rPr>
          <w:fldChar w:fldCharType="separate"/>
        </w:r>
        <w:r w:rsidR="0070343A">
          <w:rPr>
            <w:webHidden/>
          </w:rPr>
          <w:t>19</w:t>
        </w:r>
        <w:r w:rsidR="0070343A">
          <w:rPr>
            <w:webHidden/>
          </w:rPr>
          <w:fldChar w:fldCharType="end"/>
        </w:r>
      </w:hyperlink>
    </w:p>
    <w:p w14:paraId="7133B677" w14:textId="3D3C80BE" w:rsidR="0070343A" w:rsidRDefault="00381642">
      <w:pPr>
        <w:pStyle w:val="TOC1"/>
        <w:rPr>
          <w:rFonts w:asciiTheme="minorHAnsi" w:eastAsiaTheme="minorEastAsia" w:hAnsiTheme="minorHAnsi" w:cstheme="minorBidi"/>
          <w:b w:val="0"/>
          <w:spacing w:val="0"/>
          <w:sz w:val="22"/>
          <w:szCs w:val="22"/>
        </w:rPr>
      </w:pPr>
      <w:hyperlink w:anchor="_Toc45091025" w:history="1">
        <w:r w:rsidR="0070343A" w:rsidRPr="00947578">
          <w:rPr>
            <w:rStyle w:val="Hyperlink"/>
          </w:rPr>
          <w:t>Invitation to comment</w:t>
        </w:r>
        <w:r w:rsidR="0070343A">
          <w:rPr>
            <w:webHidden/>
          </w:rPr>
          <w:tab/>
        </w:r>
        <w:r w:rsidR="0070343A">
          <w:rPr>
            <w:webHidden/>
          </w:rPr>
          <w:fldChar w:fldCharType="begin"/>
        </w:r>
        <w:r w:rsidR="0070343A">
          <w:rPr>
            <w:webHidden/>
          </w:rPr>
          <w:instrText xml:space="preserve"> PAGEREF _Toc45091025 \h </w:instrText>
        </w:r>
        <w:r w:rsidR="0070343A">
          <w:rPr>
            <w:webHidden/>
          </w:rPr>
        </w:r>
        <w:r w:rsidR="0070343A">
          <w:rPr>
            <w:webHidden/>
          </w:rPr>
          <w:fldChar w:fldCharType="separate"/>
        </w:r>
        <w:r w:rsidR="0070343A">
          <w:rPr>
            <w:webHidden/>
          </w:rPr>
          <w:t>21</w:t>
        </w:r>
        <w:r w:rsidR="0070343A">
          <w:rPr>
            <w:webHidden/>
          </w:rPr>
          <w:fldChar w:fldCharType="end"/>
        </w:r>
      </w:hyperlink>
    </w:p>
    <w:p w14:paraId="67EBF66E" w14:textId="4B605FC8" w:rsidR="0070343A" w:rsidRDefault="00381642">
      <w:pPr>
        <w:pStyle w:val="TOC2"/>
        <w:rPr>
          <w:rFonts w:asciiTheme="minorHAnsi" w:eastAsiaTheme="minorEastAsia" w:hAnsiTheme="minorHAnsi" w:cstheme="minorBidi"/>
          <w:spacing w:val="0"/>
          <w:sz w:val="22"/>
          <w:szCs w:val="22"/>
        </w:rPr>
      </w:pPr>
      <w:hyperlink w:anchor="_Toc45091026" w:history="1">
        <w:r w:rsidR="0070343A" w:rsidRPr="00947578">
          <w:rPr>
            <w:rStyle w:val="Hyperlink"/>
          </w:rPr>
          <w:t>Making a submission</w:t>
        </w:r>
        <w:r w:rsidR="0070343A">
          <w:rPr>
            <w:webHidden/>
          </w:rPr>
          <w:tab/>
        </w:r>
        <w:r w:rsidR="0070343A">
          <w:rPr>
            <w:webHidden/>
          </w:rPr>
          <w:fldChar w:fldCharType="begin"/>
        </w:r>
        <w:r w:rsidR="0070343A">
          <w:rPr>
            <w:webHidden/>
          </w:rPr>
          <w:instrText xml:space="preserve"> PAGEREF _Toc45091026 \h </w:instrText>
        </w:r>
        <w:r w:rsidR="0070343A">
          <w:rPr>
            <w:webHidden/>
          </w:rPr>
        </w:r>
        <w:r w:rsidR="0070343A">
          <w:rPr>
            <w:webHidden/>
          </w:rPr>
          <w:fldChar w:fldCharType="separate"/>
        </w:r>
        <w:r w:rsidR="0070343A">
          <w:rPr>
            <w:webHidden/>
          </w:rPr>
          <w:t>21</w:t>
        </w:r>
        <w:r w:rsidR="0070343A">
          <w:rPr>
            <w:webHidden/>
          </w:rPr>
          <w:fldChar w:fldCharType="end"/>
        </w:r>
      </w:hyperlink>
    </w:p>
    <w:p w14:paraId="165D5499" w14:textId="78CE37B6" w:rsidR="004D56FF" w:rsidRPr="000D76E0" w:rsidRDefault="00E35BB9">
      <w:pPr>
        <w:rPr>
          <w:rFonts w:cs="Arial"/>
        </w:rPr>
        <w:sectPr w:rsidR="004D56FF" w:rsidRPr="000D76E0" w:rsidSect="00C77380">
          <w:headerReference w:type="even" r:id="rId19"/>
          <w:headerReference w:type="default" r:id="rId20"/>
          <w:footerReference w:type="even" r:id="rId21"/>
          <w:footerReference w:type="default" r:id="rId22"/>
          <w:headerReference w:type="first" r:id="rId23"/>
          <w:footerReference w:type="first" r:id="rId24"/>
          <w:pgSz w:w="11906" w:h="16838" w:code="9"/>
          <w:pgMar w:top="3646" w:right="3101" w:bottom="1134" w:left="1134" w:header="709" w:footer="119" w:gutter="0"/>
          <w:cols w:space="708"/>
          <w:titlePg/>
          <w:docGrid w:linePitch="360"/>
        </w:sectPr>
      </w:pPr>
      <w:r>
        <w:rPr>
          <w:rFonts w:cs="Arial"/>
          <w:noProof/>
          <w:spacing w:val="-14"/>
          <w:sz w:val="28"/>
        </w:rPr>
        <w:fldChar w:fldCharType="end"/>
      </w:r>
    </w:p>
    <w:p w14:paraId="15831FAA" w14:textId="77777777" w:rsidR="009D6C71" w:rsidRPr="009174F3" w:rsidRDefault="009D6C71" w:rsidP="009174F3">
      <w:pPr>
        <w:pStyle w:val="Execsummaryheading"/>
      </w:pPr>
      <w:bookmarkStart w:id="0" w:name="_Toc45091011"/>
      <w:r w:rsidRPr="009174F3">
        <w:lastRenderedPageBreak/>
        <w:t>Executive summary</w:t>
      </w:r>
      <w:bookmarkEnd w:id="0"/>
    </w:p>
    <w:p w14:paraId="603BFD33" w14:textId="46692BF4" w:rsidR="00A4041B" w:rsidRDefault="00BB1CD7" w:rsidP="000B02EF">
      <w:pPr>
        <w:pStyle w:val="Paragraph"/>
        <w:spacing w:after="200"/>
      </w:pPr>
      <w:r>
        <w:t xml:space="preserve">On </w:t>
      </w:r>
      <w:r w:rsidR="00B435A3">
        <w:t>18 October</w:t>
      </w:r>
      <w:r>
        <w:t xml:space="preserve"> 2019, </w:t>
      </w:r>
      <w:r w:rsidR="00FB5550">
        <w:t xml:space="preserve">the </w:t>
      </w:r>
      <w:r>
        <w:t xml:space="preserve">Minister for Communications, Cyber Safety and the Arts </w:t>
      </w:r>
      <w:r w:rsidR="00B435A3">
        <w:t xml:space="preserve">made the </w:t>
      </w:r>
      <w:hyperlink r:id="rId25" w:history="1">
        <w:r w:rsidR="000E7B5C" w:rsidRPr="00B81C5C">
          <w:rPr>
            <w:rStyle w:val="Hyperlink"/>
          </w:rPr>
          <w:t>Radiocommunications (Spectrum Re-allocation — 26</w:t>
        </w:r>
        <w:r w:rsidR="00B81C5C">
          <w:rPr>
            <w:rStyle w:val="Hyperlink"/>
          </w:rPr>
          <w:t xml:space="preserve"> </w:t>
        </w:r>
        <w:r w:rsidR="000E7B5C" w:rsidRPr="00B81C5C">
          <w:rPr>
            <w:rStyle w:val="Hyperlink"/>
          </w:rPr>
          <w:t>GHz Band) Declaration 2019</w:t>
        </w:r>
      </w:hyperlink>
      <w:r w:rsidR="00B435A3">
        <w:t xml:space="preserve"> (the </w:t>
      </w:r>
      <w:r w:rsidR="004E7783">
        <w:t>re-allocation</w:t>
      </w:r>
      <w:r w:rsidR="00BD6305">
        <w:t xml:space="preserve"> </w:t>
      </w:r>
      <w:r w:rsidR="00B435A3">
        <w:t>declaration)</w:t>
      </w:r>
      <w:r w:rsidR="000F7F98">
        <w:t>,</w:t>
      </w:r>
      <w:r w:rsidR="00B435A3">
        <w:t xml:space="preserve"> declaring</w:t>
      </w:r>
      <w:r w:rsidR="00A4041B">
        <w:t xml:space="preserve"> that</w:t>
      </w:r>
      <w:r w:rsidR="00B435A3">
        <w:t xml:space="preserve"> spectrum in the frequency range 25.1</w:t>
      </w:r>
      <w:r w:rsidR="000F7F98">
        <w:t>–</w:t>
      </w:r>
      <w:r w:rsidR="00B435A3">
        <w:t>27.5 GHz in metropolitan and certain regional area</w:t>
      </w:r>
      <w:r w:rsidR="00A05DEC">
        <w:t>s</w:t>
      </w:r>
      <w:r w:rsidR="00B435A3">
        <w:t xml:space="preserve"> (the 26 GHz band) is to be reallocated by </w:t>
      </w:r>
      <w:r w:rsidR="00DC7D5B">
        <w:t>issuing</w:t>
      </w:r>
      <w:r w:rsidR="00B435A3">
        <w:t xml:space="preserve"> spectrum licences. Accordingly, the Australian Communications and Media Authority (the ACMA) is preparing to allocate the spectrum by auction</w:t>
      </w:r>
      <w:r w:rsidR="00A05DEC">
        <w:t>.</w:t>
      </w:r>
      <w:r w:rsidR="00A4041B" w:rsidRPr="00A4041B">
        <w:t xml:space="preserve"> </w:t>
      </w:r>
    </w:p>
    <w:p w14:paraId="3E14D561" w14:textId="75C229C4" w:rsidR="00BB1CD7" w:rsidRDefault="00A4041B" w:rsidP="000B02EF">
      <w:pPr>
        <w:pStyle w:val="Paragraph"/>
        <w:spacing w:after="200"/>
      </w:pPr>
      <w:r>
        <w:t xml:space="preserve">The auction is </w:t>
      </w:r>
      <w:r w:rsidR="004E17A8">
        <w:t>expected</w:t>
      </w:r>
      <w:r>
        <w:t xml:space="preserve"> to commence in </w:t>
      </w:r>
      <w:r w:rsidR="00F042B1">
        <w:t xml:space="preserve">late </w:t>
      </w:r>
      <w:r w:rsidRPr="004B377D">
        <w:t>March 2021.</w:t>
      </w:r>
      <w:r>
        <w:t xml:space="preserve"> </w:t>
      </w:r>
    </w:p>
    <w:p w14:paraId="5BBECC73" w14:textId="64CDE242" w:rsidR="00DE34AD" w:rsidRDefault="007529D0" w:rsidP="000B02EF">
      <w:pPr>
        <w:pStyle w:val="ACMAInstructions"/>
        <w:rPr>
          <w:b w:val="0"/>
          <w:vanish w:val="0"/>
          <w:sz w:val="20"/>
          <w:szCs w:val="20"/>
        </w:rPr>
      </w:pPr>
      <w:r w:rsidRPr="007529D0">
        <w:rPr>
          <w:b w:val="0"/>
          <w:vanish w:val="0"/>
          <w:sz w:val="20"/>
          <w:szCs w:val="20"/>
        </w:rPr>
        <w:t xml:space="preserve">A necessary part of this process is the development of a technical framework that will apply to the band. </w:t>
      </w:r>
      <w:r w:rsidR="00DE34AD" w:rsidRPr="00DE34AD">
        <w:rPr>
          <w:b w:val="0"/>
          <w:vanish w:val="0"/>
          <w:sz w:val="20"/>
          <w:szCs w:val="20"/>
        </w:rPr>
        <w:t xml:space="preserve">Information and advice received during the </w:t>
      </w:r>
      <w:r w:rsidR="00DE34AD">
        <w:rPr>
          <w:b w:val="0"/>
          <w:vanish w:val="0"/>
          <w:sz w:val="20"/>
          <w:szCs w:val="20"/>
        </w:rPr>
        <w:t>2</w:t>
      </w:r>
      <w:r w:rsidR="00DE34AD" w:rsidRPr="00DE34AD">
        <w:rPr>
          <w:b w:val="0"/>
          <w:vanish w:val="0"/>
          <w:sz w:val="20"/>
          <w:szCs w:val="20"/>
        </w:rPr>
        <w:t xml:space="preserve">6 GHz band TLG process (which ran from </w:t>
      </w:r>
      <w:r w:rsidR="00C93F86">
        <w:rPr>
          <w:b w:val="0"/>
          <w:vanish w:val="0"/>
          <w:sz w:val="20"/>
          <w:szCs w:val="20"/>
        </w:rPr>
        <w:t>November</w:t>
      </w:r>
      <w:r w:rsidR="00DE34AD">
        <w:rPr>
          <w:b w:val="0"/>
          <w:vanish w:val="0"/>
          <w:sz w:val="20"/>
          <w:szCs w:val="20"/>
        </w:rPr>
        <w:t xml:space="preserve"> 2019</w:t>
      </w:r>
      <w:r w:rsidR="00DE34AD" w:rsidRPr="00DE34AD">
        <w:rPr>
          <w:b w:val="0"/>
          <w:vanish w:val="0"/>
          <w:sz w:val="20"/>
          <w:szCs w:val="20"/>
        </w:rPr>
        <w:t xml:space="preserve"> to</w:t>
      </w:r>
      <w:r w:rsidR="00DE34AD">
        <w:rPr>
          <w:b w:val="0"/>
          <w:vanish w:val="0"/>
          <w:sz w:val="20"/>
          <w:szCs w:val="20"/>
        </w:rPr>
        <w:t xml:space="preserve"> </w:t>
      </w:r>
      <w:r w:rsidR="00DE34AD" w:rsidRPr="00DE34AD">
        <w:rPr>
          <w:b w:val="0"/>
          <w:vanish w:val="0"/>
          <w:sz w:val="20"/>
          <w:szCs w:val="20"/>
        </w:rPr>
        <w:t>April 20</w:t>
      </w:r>
      <w:r w:rsidR="00DE34AD">
        <w:rPr>
          <w:b w:val="0"/>
          <w:vanish w:val="0"/>
          <w:sz w:val="20"/>
          <w:szCs w:val="20"/>
        </w:rPr>
        <w:t>20)</w:t>
      </w:r>
      <w:r w:rsidR="00DE34AD" w:rsidRPr="00DE34AD">
        <w:rPr>
          <w:b w:val="0"/>
          <w:vanish w:val="0"/>
          <w:sz w:val="20"/>
          <w:szCs w:val="20"/>
        </w:rPr>
        <w:t xml:space="preserve"> provides the basis for the technical framework presented for comment in this paper.</w:t>
      </w:r>
    </w:p>
    <w:p w14:paraId="13ABA8EE" w14:textId="1D3A3D64" w:rsidR="00A05DEC" w:rsidRPr="000B02EF" w:rsidRDefault="00A05DEC" w:rsidP="000B02EF">
      <w:pPr>
        <w:pStyle w:val="ACMAInstructions"/>
        <w:rPr>
          <w:b w:val="0"/>
          <w:vanish w:val="0"/>
          <w:sz w:val="20"/>
          <w:szCs w:val="20"/>
        </w:rPr>
      </w:pPr>
      <w:r w:rsidRPr="000B02EF">
        <w:rPr>
          <w:b w:val="0"/>
          <w:vanish w:val="0"/>
          <w:sz w:val="20"/>
          <w:szCs w:val="20"/>
        </w:rPr>
        <w:t xml:space="preserve">This paper </w:t>
      </w:r>
      <w:r w:rsidR="00A4041B" w:rsidRPr="000B02EF">
        <w:rPr>
          <w:b w:val="0"/>
          <w:vanish w:val="0"/>
          <w:sz w:val="20"/>
          <w:szCs w:val="20"/>
        </w:rPr>
        <w:t xml:space="preserve">briefly summarises the matters included in the </w:t>
      </w:r>
      <w:r w:rsidR="003D3DEF">
        <w:rPr>
          <w:b w:val="0"/>
          <w:vanish w:val="0"/>
          <w:sz w:val="20"/>
          <w:szCs w:val="20"/>
        </w:rPr>
        <w:t>technical</w:t>
      </w:r>
      <w:r w:rsidR="00A4041B" w:rsidRPr="000B02EF">
        <w:rPr>
          <w:b w:val="0"/>
          <w:vanish w:val="0"/>
          <w:sz w:val="20"/>
          <w:szCs w:val="20"/>
        </w:rPr>
        <w:t xml:space="preserve"> instruments, and invites comments from interested parties on those instruments, and any other issues relevant to the allocation of spectrum licences in the 26 GHz band. </w:t>
      </w:r>
    </w:p>
    <w:p w14:paraId="63FF277F" w14:textId="725E5614" w:rsidR="005C3DC5" w:rsidRPr="000B02EF" w:rsidRDefault="005C3DC5" w:rsidP="00F042B1">
      <w:pPr>
        <w:pStyle w:val="Paragraphbeforelist"/>
      </w:pPr>
      <w:r w:rsidRPr="000B02EF">
        <w:t xml:space="preserve">The </w:t>
      </w:r>
      <w:r w:rsidR="00D65B89">
        <w:t>technical</w:t>
      </w:r>
      <w:r w:rsidR="00FB5550" w:rsidRPr="000B02EF">
        <w:t xml:space="preserve"> </w:t>
      </w:r>
      <w:r w:rsidRPr="000B02EF">
        <w:t>instruments are:</w:t>
      </w:r>
    </w:p>
    <w:p w14:paraId="24201091" w14:textId="61850341" w:rsidR="00D65B89" w:rsidRDefault="00D65B89" w:rsidP="00AE1C81">
      <w:pPr>
        <w:pStyle w:val="Bulletlevel1"/>
      </w:pPr>
      <w:bookmarkStart w:id="1" w:name="_Hlk44931214"/>
      <w:r>
        <w:t xml:space="preserve">A </w:t>
      </w:r>
      <w:bookmarkStart w:id="2" w:name="_Hlk44930621"/>
      <w:r>
        <w:t>sample licence include</w:t>
      </w:r>
      <w:r w:rsidR="00A50CCB">
        <w:t xml:space="preserve">d in </w:t>
      </w:r>
      <w:r w:rsidR="00BA1818">
        <w:t>the draft Radiocommunications Spectrum Marketing Plan (26 GHz Ban</w:t>
      </w:r>
      <w:r w:rsidR="00BA1818" w:rsidRPr="00560D8D">
        <w:t>d) 2020</w:t>
      </w:r>
      <w:r w:rsidR="00BA1818" w:rsidRPr="00560D8D">
        <w:rPr>
          <w:i/>
          <w:iCs/>
        </w:rPr>
        <w:t xml:space="preserve"> </w:t>
      </w:r>
      <w:r w:rsidR="00BA1818" w:rsidRPr="00560D8D">
        <w:t>(</w:t>
      </w:r>
      <w:r w:rsidR="00965BBF">
        <w:t>draft m</w:t>
      </w:r>
      <w:r w:rsidR="00BA1818" w:rsidRPr="00560D8D">
        <w:t xml:space="preserve">arketing </w:t>
      </w:r>
      <w:r w:rsidR="00965BBF">
        <w:t>p</w:t>
      </w:r>
      <w:r w:rsidR="00BA1818" w:rsidRPr="00560D8D">
        <w:t>lan)</w:t>
      </w:r>
      <w:r w:rsidRPr="00560D8D">
        <w:t>,</w:t>
      </w:r>
      <w:bookmarkEnd w:id="2"/>
      <w:r>
        <w:t xml:space="preserve"> to be made under section 39A of the </w:t>
      </w:r>
      <w:r w:rsidRPr="000D4A3F">
        <w:rPr>
          <w:i/>
        </w:rPr>
        <w:t>Radiocommunications Act 1992</w:t>
      </w:r>
      <w:r>
        <w:t xml:space="preserve"> (the Act)</w:t>
      </w:r>
      <w:r w:rsidR="00BA1818">
        <w:t xml:space="preserve">. </w:t>
      </w:r>
      <w:r w:rsidR="00BA1818" w:rsidRPr="00560D8D">
        <w:t>A</w:t>
      </w:r>
      <w:r w:rsidR="00A50CCB" w:rsidRPr="00560D8D">
        <w:t xml:space="preserve"> draft version </w:t>
      </w:r>
      <w:r w:rsidR="00560D8D">
        <w:t xml:space="preserve">accompanies </w:t>
      </w:r>
      <w:r w:rsidR="005B3757" w:rsidRPr="00560D8D">
        <w:t>the allocation instruments consultation paper</w:t>
      </w:r>
      <w:r w:rsidR="00560D8D" w:rsidRPr="00560D8D">
        <w:t>, which is published alongside this paper on the ACMA website</w:t>
      </w:r>
      <w:r w:rsidR="006B5B61" w:rsidRPr="00560D8D">
        <w:t>.</w:t>
      </w:r>
    </w:p>
    <w:bookmarkEnd w:id="1"/>
    <w:p w14:paraId="40F3CB8B" w14:textId="68A21282" w:rsidR="00D65B89" w:rsidRDefault="00D65B89" w:rsidP="00AE1C81">
      <w:pPr>
        <w:pStyle w:val="Bulletlevel1"/>
      </w:pPr>
      <w:r>
        <w:t xml:space="preserve">An </w:t>
      </w:r>
      <w:bookmarkStart w:id="3" w:name="_Hlk44931240"/>
      <w:r>
        <w:t>unacceptable interference determination</w:t>
      </w:r>
      <w:r w:rsidRPr="00D65B89">
        <w:t xml:space="preserve"> </w:t>
      </w:r>
      <w:bookmarkEnd w:id="3"/>
      <w:r>
        <w:t xml:space="preserve">to be made under </w:t>
      </w:r>
      <w:r w:rsidR="00BA1818">
        <w:t>sub</w:t>
      </w:r>
      <w:r>
        <w:t>section 145(</w:t>
      </w:r>
      <w:r w:rsidR="0074584B">
        <w:t>4</w:t>
      </w:r>
      <w:r>
        <w:t>) of the Act</w:t>
      </w:r>
      <w:r w:rsidR="008A2061">
        <w:t>,</w:t>
      </w:r>
      <w:r w:rsidR="0015397B" w:rsidRPr="0015397B">
        <w:t xml:space="preserve"> </w:t>
      </w:r>
      <w:r w:rsidR="0015397B">
        <w:t xml:space="preserve">a draft version </w:t>
      </w:r>
      <w:r w:rsidR="008A2061">
        <w:t xml:space="preserve">of which </w:t>
      </w:r>
      <w:r w:rsidR="0015397B">
        <w:t xml:space="preserve">is at </w:t>
      </w:r>
      <w:r w:rsidR="0015397B" w:rsidRPr="00560D8D">
        <w:t xml:space="preserve">Attachment </w:t>
      </w:r>
      <w:r w:rsidR="005B3757" w:rsidRPr="00560D8D">
        <w:t>A</w:t>
      </w:r>
      <w:r w:rsidR="006B5B61" w:rsidRPr="00560D8D">
        <w:t>.</w:t>
      </w:r>
    </w:p>
    <w:p w14:paraId="084BE64A" w14:textId="03BEE9C2" w:rsidR="00D65B89" w:rsidRPr="00BA1818" w:rsidRDefault="0015397B" w:rsidP="00D65B89">
      <w:pPr>
        <w:pStyle w:val="Bulletlevel1"/>
      </w:pPr>
      <w:bookmarkStart w:id="4" w:name="_Hlk44931294"/>
      <w:r>
        <w:t>Two advisory guidelines</w:t>
      </w:r>
      <w:bookmarkEnd w:id="4"/>
      <w:r w:rsidR="00D65B89">
        <w:t>, to be made under section</w:t>
      </w:r>
      <w:r>
        <w:t xml:space="preserve"> 262</w:t>
      </w:r>
      <w:r w:rsidR="00D65B89">
        <w:t xml:space="preserve"> </w:t>
      </w:r>
      <w:r w:rsidR="00D65B89" w:rsidRPr="00560D8D">
        <w:t>of the Act</w:t>
      </w:r>
      <w:r w:rsidR="00BA1818" w:rsidRPr="00560D8D">
        <w:t>. D</w:t>
      </w:r>
      <w:r w:rsidRPr="00560D8D">
        <w:t>raft version</w:t>
      </w:r>
      <w:r w:rsidR="005B3757" w:rsidRPr="00560D8D">
        <w:t>s are</w:t>
      </w:r>
      <w:r w:rsidRPr="00560D8D">
        <w:t xml:space="preserve"> at </w:t>
      </w:r>
      <w:r w:rsidR="00560D8D" w:rsidRPr="00560D8D">
        <w:t>a</w:t>
      </w:r>
      <w:r w:rsidRPr="00560D8D">
        <w:t>ttachment</w:t>
      </w:r>
      <w:r w:rsidR="005B3757" w:rsidRPr="00560D8D">
        <w:t>s</w:t>
      </w:r>
      <w:r w:rsidRPr="00560D8D">
        <w:t xml:space="preserve"> </w:t>
      </w:r>
      <w:r w:rsidR="005B3757" w:rsidRPr="00560D8D">
        <w:t>B and C</w:t>
      </w:r>
      <w:r w:rsidR="00721F5C" w:rsidRPr="00560D8D">
        <w:t>.</w:t>
      </w:r>
    </w:p>
    <w:p w14:paraId="3DE14767" w14:textId="4CCB6044" w:rsidR="0015397B" w:rsidRPr="00BA1818" w:rsidRDefault="0015397B" w:rsidP="00F042B1">
      <w:pPr>
        <w:pStyle w:val="Bulletlevel1last"/>
      </w:pPr>
      <w:r w:rsidRPr="006D2818">
        <w:t xml:space="preserve">An </w:t>
      </w:r>
      <w:bookmarkStart w:id="5" w:name="_Hlk44931324"/>
      <w:r w:rsidRPr="006D2818">
        <w:t xml:space="preserve">amendment to the </w:t>
      </w:r>
      <w:hyperlink r:id="rId26" w:history="1">
        <w:r w:rsidRPr="006D2818">
          <w:rPr>
            <w:rStyle w:val="Hyperlink"/>
          </w:rPr>
          <w:t>Radiocommunications (Trading Rules for Spectrum Licences) Determination 2012</w:t>
        </w:r>
      </w:hyperlink>
      <w:bookmarkEnd w:id="5"/>
      <w:r w:rsidR="00BA1818" w:rsidRPr="00560D8D">
        <w:rPr>
          <w:rStyle w:val="Hyperlink"/>
          <w:color w:val="auto"/>
          <w:u w:val="none"/>
        </w:rPr>
        <w:t xml:space="preserve">. </w:t>
      </w:r>
      <w:r w:rsidR="004B377D">
        <w:t xml:space="preserve">A </w:t>
      </w:r>
      <w:r w:rsidRPr="00BA1818">
        <w:t xml:space="preserve">draft amendment determination is at </w:t>
      </w:r>
      <w:r w:rsidRPr="00560D8D">
        <w:t xml:space="preserve">Attachment </w:t>
      </w:r>
      <w:r w:rsidR="005B3757" w:rsidRPr="00560D8D">
        <w:t>D</w:t>
      </w:r>
      <w:r w:rsidR="004B377D" w:rsidRPr="00560D8D">
        <w:t>.</w:t>
      </w:r>
    </w:p>
    <w:p w14:paraId="583905ED" w14:textId="2925F980" w:rsidR="0015397B" w:rsidRDefault="0015397B" w:rsidP="005C3DC5">
      <w:pPr>
        <w:pStyle w:val="Paragraph"/>
      </w:pPr>
      <w:bookmarkStart w:id="6" w:name="_Hlk44931544"/>
      <w:r w:rsidRPr="00364B17">
        <w:t xml:space="preserve">A </w:t>
      </w:r>
      <w:bookmarkStart w:id="7" w:name="_Hlk44932051"/>
      <w:r w:rsidRPr="00364B17">
        <w:t xml:space="preserve">new </w:t>
      </w:r>
      <w:r w:rsidR="009E6C91" w:rsidRPr="00364B17">
        <w:t>Radiocommunications Assignment and Licensing Instruction (</w:t>
      </w:r>
      <w:r w:rsidRPr="00364B17">
        <w:t>RALI</w:t>
      </w:r>
      <w:r w:rsidR="009E6C91" w:rsidRPr="00364B17">
        <w:t>)</w:t>
      </w:r>
      <w:r w:rsidRPr="00364B17">
        <w:t xml:space="preserve"> (denoted </w:t>
      </w:r>
      <w:r w:rsidRPr="00722A7C">
        <w:t>RALI</w:t>
      </w:r>
      <w:r w:rsidR="00FE31DE" w:rsidRPr="00722A7C">
        <w:t xml:space="preserve"> </w:t>
      </w:r>
      <w:r w:rsidRPr="00722A7C">
        <w:t>[new] in</w:t>
      </w:r>
      <w:r w:rsidRPr="00560D8D">
        <w:t xml:space="preserve"> this</w:t>
      </w:r>
      <w:r w:rsidRPr="0063561B">
        <w:t xml:space="preserve"> paper) </w:t>
      </w:r>
      <w:bookmarkEnd w:id="6"/>
      <w:bookmarkEnd w:id="7"/>
      <w:r w:rsidRPr="0063561B">
        <w:t xml:space="preserve">is being developed </w:t>
      </w:r>
      <w:r w:rsidR="00787B71" w:rsidRPr="0063561B">
        <w:t xml:space="preserve">for </w:t>
      </w:r>
      <w:r w:rsidRPr="00BA3D21">
        <w:t xml:space="preserve">the introduction of </w:t>
      </w:r>
      <w:r w:rsidR="00CA7910" w:rsidRPr="00D876FE">
        <w:t xml:space="preserve">area-wide </w:t>
      </w:r>
      <w:r w:rsidR="001445C0" w:rsidRPr="00156242">
        <w:t>apparatus</w:t>
      </w:r>
      <w:r w:rsidR="00537C19">
        <w:t>-</w:t>
      </w:r>
      <w:r w:rsidR="001445C0" w:rsidRPr="00156242">
        <w:t xml:space="preserve">licensed </w:t>
      </w:r>
      <w:r w:rsidR="00CA7910" w:rsidRPr="005A4108">
        <w:t xml:space="preserve">(AWL) </w:t>
      </w:r>
      <w:r w:rsidR="001445C0" w:rsidRPr="00BA1818">
        <w:t xml:space="preserve">services </w:t>
      </w:r>
      <w:r w:rsidRPr="00BA1818">
        <w:t xml:space="preserve">in </w:t>
      </w:r>
      <w:r w:rsidR="00BA1818">
        <w:t>24.7</w:t>
      </w:r>
      <w:r w:rsidR="00537C19">
        <w:t>–</w:t>
      </w:r>
      <w:r w:rsidR="00AE6A8E">
        <w:t>29.5</w:t>
      </w:r>
      <w:r w:rsidR="00BA1818">
        <w:t xml:space="preserve"> GHz (the </w:t>
      </w:r>
      <w:r w:rsidRPr="00BA1818">
        <w:t>26/28 GHz band</w:t>
      </w:r>
      <w:r w:rsidR="00BA1818">
        <w:t>)</w:t>
      </w:r>
      <w:r w:rsidRPr="00BA1818">
        <w:t>.</w:t>
      </w:r>
      <w:r w:rsidR="00B1223D">
        <w:rPr>
          <w:rStyle w:val="FootnoteReference"/>
        </w:rPr>
        <w:footnoteReference w:id="2"/>
      </w:r>
      <w:r w:rsidRPr="00BA1818">
        <w:t xml:space="preserve"> Parts of RALI</w:t>
      </w:r>
      <w:r w:rsidR="00FE31DE" w:rsidRPr="00BA1818">
        <w:t xml:space="preserve"> </w:t>
      </w:r>
      <w:r w:rsidRPr="00722A7C">
        <w:t>[new] are</w:t>
      </w:r>
      <w:r w:rsidRPr="00BA1818">
        <w:t xml:space="preserve"> proposed to be incorporated by reference into the 26 GHz band spectrum licence technical framework</w:t>
      </w:r>
      <w:r w:rsidR="00CA7910" w:rsidRPr="00BA1818">
        <w:t xml:space="preserve">. </w:t>
      </w:r>
      <w:bookmarkStart w:id="8" w:name="_Hlk44931582"/>
      <w:r w:rsidR="00CA7910" w:rsidRPr="00BA1818">
        <w:t>These relevant parts of</w:t>
      </w:r>
      <w:r w:rsidRPr="00BA1818">
        <w:t xml:space="preserve"> draft </w:t>
      </w:r>
      <w:r w:rsidRPr="00722A7C">
        <w:t>RALI</w:t>
      </w:r>
      <w:r w:rsidR="00FE31DE" w:rsidRPr="00722A7C">
        <w:t xml:space="preserve"> </w:t>
      </w:r>
      <w:r w:rsidRPr="00722A7C">
        <w:t>[new]</w:t>
      </w:r>
      <w:r w:rsidRPr="00697483">
        <w:t xml:space="preserve"> </w:t>
      </w:r>
      <w:r w:rsidR="00A06E54" w:rsidRPr="00697483">
        <w:t>are</w:t>
      </w:r>
      <w:r w:rsidRPr="00364B17">
        <w:t xml:space="preserve"> </w:t>
      </w:r>
      <w:r w:rsidRPr="00344602">
        <w:t xml:space="preserve">at Attachment </w:t>
      </w:r>
      <w:r w:rsidR="005B3757" w:rsidRPr="00344602">
        <w:t>E</w:t>
      </w:r>
      <w:r w:rsidR="00CA7910" w:rsidRPr="00BA1818">
        <w:t xml:space="preserve">, </w:t>
      </w:r>
      <w:bookmarkEnd w:id="8"/>
      <w:r w:rsidR="00CA7910" w:rsidRPr="00BA1818">
        <w:t>noting that the</w:t>
      </w:r>
      <w:r w:rsidR="00FE31DE" w:rsidRPr="00BA1818">
        <w:t xml:space="preserve">re will be an opportunity for comment and feedback on the </w:t>
      </w:r>
      <w:r w:rsidR="00CA7910" w:rsidRPr="00BA1818">
        <w:t xml:space="preserve">entire </w:t>
      </w:r>
      <w:r w:rsidR="00A06E54" w:rsidRPr="006D2818">
        <w:t>draft</w:t>
      </w:r>
      <w:r w:rsidR="00A06E54">
        <w:t xml:space="preserve"> </w:t>
      </w:r>
      <w:r w:rsidR="00CA7910">
        <w:t xml:space="preserve">RALI when </w:t>
      </w:r>
      <w:r w:rsidR="00537C19">
        <w:t>we</w:t>
      </w:r>
      <w:r w:rsidR="00CA7910">
        <w:t xml:space="preserve"> consult on arrangements for 26/28GHz band AWLs</w:t>
      </w:r>
      <w:r>
        <w:t>.</w:t>
      </w:r>
    </w:p>
    <w:p w14:paraId="316183E5" w14:textId="496DEF1F" w:rsidR="005C3DC5" w:rsidRDefault="00FD1CF8" w:rsidP="005C3DC5">
      <w:pPr>
        <w:pStyle w:val="Paragraph"/>
      </w:pPr>
      <w:r>
        <w:t>We</w:t>
      </w:r>
      <w:r w:rsidR="005C3DC5">
        <w:t xml:space="preserve"> </w:t>
      </w:r>
      <w:r>
        <w:t xml:space="preserve">have </w:t>
      </w:r>
      <w:r w:rsidR="005C3DC5">
        <w:t xml:space="preserve">also </w:t>
      </w:r>
      <w:r>
        <w:t>prepared draft</w:t>
      </w:r>
      <w:r w:rsidR="00E33A6D">
        <w:t xml:space="preserve"> </w:t>
      </w:r>
      <w:r w:rsidR="00213C50">
        <w:t>allocation</w:t>
      </w:r>
      <w:r w:rsidR="00E33A6D">
        <w:t xml:space="preserve"> </w:t>
      </w:r>
      <w:r w:rsidR="00A4041B">
        <w:t xml:space="preserve">instruments that </w:t>
      </w:r>
      <w:r w:rsidR="006839EE">
        <w:t>d</w:t>
      </w:r>
      <w:r w:rsidR="006839EE">
        <w:rPr>
          <w:szCs w:val="20"/>
        </w:rPr>
        <w:t xml:space="preserve">escribe the products we are offering for auction in the 26 GHz band, as well as setting out the rules and </w:t>
      </w:r>
      <w:r w:rsidR="006839EE">
        <w:rPr>
          <w:szCs w:val="20"/>
        </w:rPr>
        <w:lastRenderedPageBreak/>
        <w:t>procedures that we propose will govern the auction process</w:t>
      </w:r>
      <w:r w:rsidR="00103DDD">
        <w:t xml:space="preserve">. </w:t>
      </w:r>
      <w:r w:rsidR="00FA3643">
        <w:t xml:space="preserve">Draft </w:t>
      </w:r>
      <w:r w:rsidR="006839EE">
        <w:t>allocation</w:t>
      </w:r>
      <w:r w:rsidR="00103DDD">
        <w:t xml:space="preserve"> instruments </w:t>
      </w:r>
      <w:r w:rsidR="00FA3643">
        <w:t>are desc</w:t>
      </w:r>
      <w:r w:rsidR="00C62757">
        <w:t>r</w:t>
      </w:r>
      <w:r w:rsidR="00FA3643">
        <w:t>i</w:t>
      </w:r>
      <w:r w:rsidR="00C62757">
        <w:t>b</w:t>
      </w:r>
      <w:r w:rsidR="00FA3643">
        <w:t xml:space="preserve">ed in a separate consultation paper, </w:t>
      </w:r>
      <w:r w:rsidR="00344602" w:rsidRPr="00885E65">
        <w:t>which is published alongside this paper on the ACMA website</w:t>
      </w:r>
      <w:r w:rsidR="00344602" w:rsidRPr="00560D8D">
        <w:t>.</w:t>
      </w:r>
    </w:p>
    <w:p w14:paraId="4C2ABF51" w14:textId="30E0C524" w:rsidR="004E17A8" w:rsidRDefault="004E17A8" w:rsidP="00F042B1">
      <w:pPr>
        <w:pStyle w:val="Paragraphbeforelist"/>
      </w:pPr>
      <w:r>
        <w:t>As well as seeking comment on the draft technical instruments, this paper also directs readers to information about processes that are being undertaken in parallel to this allocation process. These matters will be relevant to the use of 26 GHz spectrum into the future:</w:t>
      </w:r>
    </w:p>
    <w:p w14:paraId="1EFA625A" w14:textId="23824D3E" w:rsidR="004E17A8" w:rsidRPr="00344602" w:rsidRDefault="004E17A8" w:rsidP="00F042B1">
      <w:pPr>
        <w:pStyle w:val="Bulletlevel1"/>
      </w:pPr>
      <w:r w:rsidRPr="00537C19">
        <w:t>changes</w:t>
      </w:r>
      <w:r w:rsidRPr="004E17A8">
        <w:t xml:space="preserve"> to licensing arrangements </w:t>
      </w:r>
      <w:r w:rsidR="00537C19">
        <w:t>for</w:t>
      </w:r>
      <w:r w:rsidRPr="004E17A8">
        <w:t xml:space="preserve"> the wider 26 GHz band (24.25−27.5</w:t>
      </w:r>
      <w:r w:rsidR="000A05B9">
        <w:t xml:space="preserve"> G</w:t>
      </w:r>
      <w:r w:rsidRPr="004E17A8">
        <w:t xml:space="preserve">Hz) and 28 GHz band (27.5−29.5 GHz), including the implementation of both apparatus and class </w:t>
      </w:r>
      <w:r w:rsidRPr="00344602">
        <w:t>licen</w:t>
      </w:r>
      <w:r w:rsidR="00C534FC" w:rsidRPr="00344602">
        <w:t>s</w:t>
      </w:r>
      <w:r w:rsidRPr="00344602">
        <w:t>ing arrangements</w:t>
      </w:r>
    </w:p>
    <w:p w14:paraId="069BE047" w14:textId="77777777" w:rsidR="004E17A8" w:rsidRPr="00344602" w:rsidRDefault="004E17A8" w:rsidP="00F042B1">
      <w:pPr>
        <w:pStyle w:val="Bulletlevel1last"/>
      </w:pPr>
      <w:r w:rsidRPr="00344602">
        <w:t xml:space="preserve">the ongoing </w:t>
      </w:r>
      <w:hyperlink r:id="rId27" w:history="1">
        <w:r w:rsidRPr="00344602">
          <w:rPr>
            <w:rStyle w:val="Hyperlink"/>
          </w:rPr>
          <w:t>reform</w:t>
        </w:r>
      </w:hyperlink>
      <w:r w:rsidRPr="00344602">
        <w:rPr>
          <w:u w:color="0000FF"/>
        </w:rPr>
        <w:t xml:space="preserve"> of the Act</w:t>
      </w:r>
      <w:r w:rsidRPr="00344602">
        <w:t xml:space="preserve"> being undertaken by the Department of Infrastructure, Transport, Regional Development and Communications (the Department).</w:t>
      </w:r>
    </w:p>
    <w:p w14:paraId="10DF5D29" w14:textId="77777777" w:rsidR="004E17A8" w:rsidRDefault="004E17A8" w:rsidP="005C3DC5">
      <w:pPr>
        <w:pStyle w:val="Paragraph"/>
      </w:pPr>
    </w:p>
    <w:p w14:paraId="03297341" w14:textId="39CAC4E4" w:rsidR="00AE1C81" w:rsidRDefault="00AE1C81" w:rsidP="00F042B1">
      <w:pPr>
        <w:pStyle w:val="Heading1"/>
        <w:ind w:left="-11"/>
      </w:pPr>
      <w:bookmarkStart w:id="9" w:name="_Toc45091012"/>
      <w:r>
        <w:lastRenderedPageBreak/>
        <w:t>Introduction</w:t>
      </w:r>
      <w:bookmarkEnd w:id="9"/>
    </w:p>
    <w:p w14:paraId="4CB2A4B8" w14:textId="400D4855" w:rsidR="002311A2" w:rsidRPr="00D57EAA" w:rsidRDefault="002311A2" w:rsidP="002311A2">
      <w:pPr>
        <w:pStyle w:val="Paragraph"/>
        <w:rPr>
          <w:snapToGrid w:val="0"/>
          <w:lang w:eastAsia="en-US"/>
        </w:rPr>
      </w:pPr>
      <w:r w:rsidRPr="002311A2">
        <w:rPr>
          <w:snapToGrid w:val="0"/>
          <w:lang w:eastAsia="en-US"/>
        </w:rPr>
        <w:t>The Australian Communications and Media Authority (the ACMA) develops a technical framework for each spectrum-licensed</w:t>
      </w:r>
      <w:r w:rsidR="00F853E7">
        <w:rPr>
          <w:snapToGrid w:val="0"/>
          <w:lang w:eastAsia="en-US"/>
        </w:rPr>
        <w:t xml:space="preserve"> frequency</w:t>
      </w:r>
      <w:r w:rsidRPr="002311A2">
        <w:rPr>
          <w:snapToGrid w:val="0"/>
          <w:lang w:eastAsia="en-US"/>
        </w:rPr>
        <w:t xml:space="preserve"> band. </w:t>
      </w:r>
      <w:r w:rsidRPr="002311A2">
        <w:t xml:space="preserve">Each framework is a collection of technical and regulatory conditions applicable to the use of radiocommunications devices in a spectrum-licensed band. </w:t>
      </w:r>
      <w:r w:rsidRPr="002311A2">
        <w:rPr>
          <w:snapToGrid w:val="0"/>
          <w:lang w:eastAsia="en-US"/>
        </w:rPr>
        <w:t>The technical framework define</w:t>
      </w:r>
      <w:r w:rsidR="00D57EAA">
        <w:rPr>
          <w:snapToGrid w:val="0"/>
          <w:lang w:eastAsia="en-US"/>
        </w:rPr>
        <w:t>s</w:t>
      </w:r>
      <w:r w:rsidRPr="002311A2">
        <w:rPr>
          <w:snapToGrid w:val="0"/>
          <w:lang w:eastAsia="en-US"/>
        </w:rPr>
        <w:t xml:space="preserve"> the technical conditions and constraints under</w:t>
      </w:r>
      <w:r w:rsidRPr="002311A2">
        <w:t xml:space="preserve"> which a device may be deployed and operated within the geographic area and frequency bands specified in the licence.</w:t>
      </w:r>
    </w:p>
    <w:p w14:paraId="7C661090" w14:textId="77777777" w:rsidR="002311A2" w:rsidRPr="002311A2" w:rsidRDefault="002311A2" w:rsidP="002311A2">
      <w:pPr>
        <w:pStyle w:val="Paragraph"/>
        <w:rPr>
          <w:snapToGrid w:val="0"/>
          <w:lang w:eastAsia="en-US"/>
        </w:rPr>
      </w:pPr>
      <w:r w:rsidRPr="002311A2">
        <w:rPr>
          <w:snapToGrid w:val="0"/>
          <w:lang w:eastAsia="en-US"/>
        </w:rPr>
        <w:t xml:space="preserve">Although the technical framework is optimised for </w:t>
      </w:r>
      <w:r w:rsidRPr="002311A2">
        <w:t>technologies or services most likely to be deployed in the band,</w:t>
      </w:r>
      <w:r w:rsidRPr="002311A2">
        <w:rPr>
          <w:snapToGrid w:val="0"/>
          <w:lang w:eastAsia="en-US"/>
        </w:rPr>
        <w:t xml:space="preserve"> it is intended to be technology-flexible. This means licensees can operate any type of radiocommunications device for any purpose, provided they comply with the technical framework relevant to the licence. </w:t>
      </w:r>
    </w:p>
    <w:p w14:paraId="10A8A786" w14:textId="03345C64" w:rsidR="002311A2" w:rsidRDefault="00AE1C81" w:rsidP="002311A2">
      <w:pPr>
        <w:pStyle w:val="Paragraph"/>
      </w:pPr>
      <w:r>
        <w:t xml:space="preserve">The </w:t>
      </w:r>
      <w:r w:rsidR="00837F10">
        <w:t>M</w:t>
      </w:r>
      <w:r>
        <w:t xml:space="preserve">inister </w:t>
      </w:r>
      <w:r w:rsidR="00CE7BEA">
        <w:t xml:space="preserve">for Communications, Cyber Safety and the Arts </w:t>
      </w:r>
      <w:r>
        <w:t xml:space="preserve">made the </w:t>
      </w:r>
      <w:bookmarkStart w:id="10" w:name="_Hlk44931936"/>
      <w:r w:rsidR="00EF116B">
        <w:fldChar w:fldCharType="begin"/>
      </w:r>
      <w:r w:rsidR="00EF116B">
        <w:instrText xml:space="preserve"> HYPERLINK "https://www.legislation.gov.au/Details/F2019L01374" </w:instrText>
      </w:r>
      <w:r w:rsidR="00EF116B">
        <w:fldChar w:fldCharType="separate"/>
      </w:r>
      <w:r w:rsidRPr="006730D6">
        <w:rPr>
          <w:rStyle w:val="Hyperlink"/>
        </w:rPr>
        <w:t>Radiocommunications (Spectrum Re-allocation — 26GHz Band) Declaration 2019</w:t>
      </w:r>
      <w:r w:rsidR="00EF116B">
        <w:rPr>
          <w:rStyle w:val="Hyperlink"/>
        </w:rPr>
        <w:fldChar w:fldCharType="end"/>
      </w:r>
      <w:r>
        <w:rPr>
          <w:rFonts w:ascii="Helvetica Neue" w:hAnsi="Helvetica Neue"/>
        </w:rPr>
        <w:t xml:space="preserve"> (</w:t>
      </w:r>
      <w:r w:rsidR="00290F3E">
        <w:t xml:space="preserve">the </w:t>
      </w:r>
      <w:r w:rsidR="004E7783">
        <w:t>re-allocation</w:t>
      </w:r>
      <w:r>
        <w:t xml:space="preserve"> declaration) </w:t>
      </w:r>
      <w:bookmarkEnd w:id="10"/>
      <w:r>
        <w:t xml:space="preserve">for metropolitan and certain regional areas </w:t>
      </w:r>
      <w:r w:rsidR="00CE7BEA">
        <w:t>i</w:t>
      </w:r>
      <w:r>
        <w:t xml:space="preserve">n October 2019. </w:t>
      </w:r>
      <w:r w:rsidR="002311A2">
        <w:rPr>
          <w:snapToGrid w:val="0"/>
          <w:lang w:eastAsia="en-US"/>
        </w:rPr>
        <w:t xml:space="preserve">A technical framework for the 26 GHz band needs to be developed before spectrum licences can be allocated. This consultation paper outlines the proposed </w:t>
      </w:r>
      <w:r w:rsidR="00D57EAA">
        <w:rPr>
          <w:snapToGrid w:val="0"/>
          <w:lang w:eastAsia="en-US"/>
        </w:rPr>
        <w:t>26 </w:t>
      </w:r>
      <w:r w:rsidR="002311A2">
        <w:rPr>
          <w:snapToGrid w:val="0"/>
          <w:lang w:eastAsia="en-US"/>
        </w:rPr>
        <w:t>GHz spectrum licence technical framework.</w:t>
      </w:r>
    </w:p>
    <w:p w14:paraId="3B150FAA" w14:textId="59D58660" w:rsidR="004F5F28" w:rsidRDefault="004F5F28" w:rsidP="004F5F28">
      <w:pPr>
        <w:pStyle w:val="Heading2"/>
      </w:pPr>
      <w:bookmarkStart w:id="11" w:name="_Toc45091013"/>
      <w:r>
        <w:t>Legislative context</w:t>
      </w:r>
      <w:r w:rsidR="00D14081">
        <w:t xml:space="preserve"> and policy environment</w:t>
      </w:r>
      <w:bookmarkEnd w:id="11"/>
    </w:p>
    <w:p w14:paraId="1898DD1B" w14:textId="5E9312A6" w:rsidR="005B2B9B" w:rsidRDefault="005B2B9B" w:rsidP="005B2B9B">
      <w:r>
        <w:t>We are</w:t>
      </w:r>
      <w:r w:rsidRPr="005A1431">
        <w:t xml:space="preserve"> guided in </w:t>
      </w:r>
      <w:r>
        <w:t>our</w:t>
      </w:r>
      <w:r w:rsidRPr="005A1431">
        <w:t xml:space="preserve"> spectrum management functions by </w:t>
      </w:r>
      <w:hyperlink r:id="rId28" w:history="1">
        <w:r w:rsidRPr="00CE7BEA">
          <w:rPr>
            <w:rStyle w:val="Hyperlink"/>
          </w:rPr>
          <w:t>the object of the</w:t>
        </w:r>
        <w:r w:rsidRPr="00F042B1">
          <w:rPr>
            <w:rStyle w:val="Hyperlink"/>
            <w:i/>
            <w:iCs/>
          </w:rPr>
          <w:t xml:space="preserve"> Radiocommunications Act</w:t>
        </w:r>
      </w:hyperlink>
      <w:r w:rsidRPr="00F042B1">
        <w:rPr>
          <w:rStyle w:val="Hyperlink"/>
          <w:i/>
          <w:iCs/>
        </w:rPr>
        <w:t xml:space="preserve"> 1992</w:t>
      </w:r>
      <w:r w:rsidRPr="00F042B1">
        <w:rPr>
          <w:rStyle w:val="Hyperlink"/>
          <w:u w:val="none"/>
        </w:rPr>
        <w:t xml:space="preserve"> </w:t>
      </w:r>
      <w:r w:rsidRPr="00F042B1">
        <w:rPr>
          <w:rStyle w:val="Hyperlink"/>
          <w:color w:val="auto"/>
          <w:u w:val="none"/>
        </w:rPr>
        <w:t>(the Act)</w:t>
      </w:r>
      <w:r w:rsidRPr="008E5D81">
        <w:t>,</w:t>
      </w:r>
      <w:r w:rsidRPr="00CE7BEA">
        <w:t xml:space="preserve"> </w:t>
      </w:r>
      <w:r>
        <w:t>set out in</w:t>
      </w:r>
      <w:r w:rsidRPr="005A1431">
        <w:t xml:space="preserve"> </w:t>
      </w:r>
      <w:r w:rsidRPr="00F92CD2">
        <w:t>section 3</w:t>
      </w:r>
      <w:r>
        <w:t xml:space="preserve"> of the Act</w:t>
      </w:r>
      <w:r w:rsidRPr="005A1431">
        <w:t xml:space="preserve">. </w:t>
      </w:r>
      <w:r>
        <w:rPr>
          <w:rFonts w:cs="Arial"/>
        </w:rPr>
        <w:t>A balanced application of regulatory and market mechanisms is necessary to achieve</w:t>
      </w:r>
      <w:r w:rsidRPr="00880169">
        <w:rPr>
          <w:rFonts w:cs="Arial"/>
        </w:rPr>
        <w:t xml:space="preserve"> key </w:t>
      </w:r>
      <w:r>
        <w:rPr>
          <w:rFonts w:cs="Arial"/>
        </w:rPr>
        <w:t>elements of the object of the Act</w:t>
      </w:r>
      <w:r w:rsidR="00CE7BEA">
        <w:rPr>
          <w:rFonts w:cs="Arial"/>
        </w:rPr>
        <w:t>—</w:t>
      </w:r>
      <w:r>
        <w:rPr>
          <w:rFonts w:cs="Arial"/>
        </w:rPr>
        <w:t>in particular</w:t>
      </w:r>
      <w:r w:rsidR="00CE7BEA">
        <w:rPr>
          <w:rFonts w:cs="Arial"/>
        </w:rPr>
        <w:t>,</w:t>
      </w:r>
      <w:r w:rsidRPr="00880169">
        <w:rPr>
          <w:rFonts w:cs="Arial"/>
        </w:rPr>
        <w:t xml:space="preserve"> maximising the overall public benefit from</w:t>
      </w:r>
      <w:r>
        <w:rPr>
          <w:rFonts w:cs="Arial"/>
        </w:rPr>
        <w:t xml:space="preserve"> the efficient allocation and</w:t>
      </w:r>
      <w:r w:rsidRPr="00880169">
        <w:rPr>
          <w:rFonts w:cs="Arial"/>
        </w:rPr>
        <w:t xml:space="preserve"> use of the radiofrequency spectrum</w:t>
      </w:r>
      <w:r>
        <w:rPr>
          <w:rFonts w:cs="Arial"/>
        </w:rPr>
        <w:t xml:space="preserve"> and meeting the government’s policy objectives</w:t>
      </w:r>
      <w:r w:rsidR="004B377D">
        <w:rPr>
          <w:rFonts w:cs="Arial"/>
        </w:rPr>
        <w:t>, as advised for the 26 GHz band allocation</w:t>
      </w:r>
      <w:r>
        <w:rPr>
          <w:rFonts w:cs="Arial"/>
        </w:rPr>
        <w:t>.</w:t>
      </w:r>
      <w:r w:rsidRPr="00853887">
        <w:t xml:space="preserve"> </w:t>
      </w:r>
      <w:r w:rsidRPr="005A1431">
        <w:t xml:space="preserve">The </w:t>
      </w:r>
      <w:r>
        <w:t>draft technical instruments are</w:t>
      </w:r>
      <w:r w:rsidRPr="005A1431">
        <w:t xml:space="preserve"> informed by</w:t>
      </w:r>
      <w:r>
        <w:t>,</w:t>
      </w:r>
      <w:r w:rsidRPr="005A1431">
        <w:t xml:space="preserve"> and consistent with</w:t>
      </w:r>
      <w:r>
        <w:t>,</w:t>
      </w:r>
      <w:r w:rsidRPr="005A1431">
        <w:t xml:space="preserve"> the object</w:t>
      </w:r>
      <w:r>
        <w:t xml:space="preserve"> of the Act</w:t>
      </w:r>
      <w:r w:rsidR="004B377D">
        <w:t xml:space="preserve"> and communications policy objectives for the 26 GHz band allocation</w:t>
      </w:r>
      <w:r>
        <w:t>.</w:t>
      </w:r>
    </w:p>
    <w:p w14:paraId="6DD39EDA" w14:textId="77777777" w:rsidR="00D14081" w:rsidRDefault="00D14081" w:rsidP="00D14081">
      <w:pPr>
        <w:pStyle w:val="Heading3"/>
      </w:pPr>
      <w:r>
        <w:t>Object of the Act</w:t>
      </w:r>
    </w:p>
    <w:p w14:paraId="6A82003D" w14:textId="651E7C83" w:rsidR="00D14081" w:rsidRPr="005A1431" w:rsidRDefault="008E5D81" w:rsidP="00D14081">
      <w:pPr>
        <w:keepNext/>
        <w:spacing w:after="80"/>
      </w:pPr>
      <w:r>
        <w:t>M</w:t>
      </w:r>
      <w:r w:rsidRPr="008E5D81">
        <w:t>anagement of the radiofrequency spectrum</w:t>
      </w:r>
      <w:r>
        <w:t xml:space="preserve"> seeks to achieve </w:t>
      </w:r>
      <w:r w:rsidR="00D14081">
        <w:t xml:space="preserve">outcomes </w:t>
      </w:r>
      <w:r>
        <w:t>including</w:t>
      </w:r>
      <w:r w:rsidR="00D14081">
        <w:t>:</w:t>
      </w:r>
    </w:p>
    <w:p w14:paraId="1850057F" w14:textId="77777777" w:rsidR="00D14081" w:rsidRPr="00936D62" w:rsidRDefault="00D14081" w:rsidP="00D14081">
      <w:pPr>
        <w:pStyle w:val="ListBullet"/>
      </w:pPr>
      <w:r w:rsidRPr="00936D62">
        <w:t>Maximising, by ensuring the efficient allocation and use of the spectrum, the overall public benefit derived from using the radiofrequency spectrum.</w:t>
      </w:r>
    </w:p>
    <w:p w14:paraId="50EF8ABD" w14:textId="77777777" w:rsidR="00D14081" w:rsidRPr="00936D62" w:rsidRDefault="00D14081" w:rsidP="00D14081">
      <w:pPr>
        <w:pStyle w:val="ListBullet"/>
      </w:pPr>
      <w:r w:rsidRPr="00936D62">
        <w:t>Providing a responsive and flexible approach to meeting the needs of users of the spectrum.</w:t>
      </w:r>
    </w:p>
    <w:p w14:paraId="10AA57F1" w14:textId="77777777" w:rsidR="00D14081" w:rsidRPr="00936D62" w:rsidRDefault="00D14081" w:rsidP="00D14081">
      <w:pPr>
        <w:pStyle w:val="ListBullet"/>
      </w:pPr>
      <w:r w:rsidRPr="00936D62">
        <w:t>Providing an efficient, equitable and transparent system of charging for use of the spectrum, taking account of the value of both commercial and non-commercial use of spectrum.</w:t>
      </w:r>
    </w:p>
    <w:p w14:paraId="71FC85E0" w14:textId="77777777" w:rsidR="00D14081" w:rsidRPr="00936D62" w:rsidRDefault="00D14081" w:rsidP="00D14081">
      <w:pPr>
        <w:pStyle w:val="ListBulletLast"/>
      </w:pPr>
      <w:r w:rsidRPr="00936D62">
        <w:t>Supporting the communications policy objectives of the Commonwealth Government.</w:t>
      </w:r>
    </w:p>
    <w:p w14:paraId="765B0A86" w14:textId="77777777" w:rsidR="00D14081" w:rsidRDefault="00D14081" w:rsidP="00EE4DE7">
      <w:pPr>
        <w:pStyle w:val="Heading3"/>
      </w:pPr>
      <w:r>
        <w:t>Communications policy objectives for the allocation of the 26 GHz band</w:t>
      </w:r>
    </w:p>
    <w:p w14:paraId="1DAFB1A4" w14:textId="265DA39F" w:rsidR="00D14081" w:rsidRDefault="00C534FC" w:rsidP="00F042B1">
      <w:pPr>
        <w:pStyle w:val="Paragraphbeforelist"/>
      </w:pPr>
      <w:r>
        <w:t>As noted, t</w:t>
      </w:r>
      <w:r w:rsidR="00D14081">
        <w:t xml:space="preserve">he object of the Act includes </w:t>
      </w:r>
      <w:r w:rsidR="00D14081" w:rsidRPr="00954ACB">
        <w:t>support</w:t>
      </w:r>
      <w:r w:rsidR="00D14081">
        <w:t>ing</w:t>
      </w:r>
      <w:r w:rsidR="00D14081" w:rsidRPr="00954ACB">
        <w:t xml:space="preserve"> the communications policy objectives of the </w:t>
      </w:r>
      <w:r w:rsidR="00D14081">
        <w:t>Australian</w:t>
      </w:r>
      <w:r w:rsidR="00D14081" w:rsidRPr="00954ACB">
        <w:t xml:space="preserve"> Government</w:t>
      </w:r>
      <w:r w:rsidR="00D14081">
        <w:t>:</w:t>
      </w:r>
    </w:p>
    <w:p w14:paraId="783E96E6" w14:textId="77777777" w:rsidR="00D14081" w:rsidRDefault="00D14081" w:rsidP="00F042B1">
      <w:pPr>
        <w:pStyle w:val="Bulletlevel1"/>
      </w:pPr>
      <w:r>
        <w:t>supporting the deployment of fifth generation (5G) technologies</w:t>
      </w:r>
    </w:p>
    <w:p w14:paraId="142FE9D9" w14:textId="77777777" w:rsidR="00D14081" w:rsidRDefault="00D14081" w:rsidP="00F042B1">
      <w:pPr>
        <w:pStyle w:val="Bulletlevel1"/>
      </w:pPr>
      <w:r>
        <w:t>promoting competitive market outcomes for the long-term benefit of consumers</w:t>
      </w:r>
    </w:p>
    <w:p w14:paraId="0D2AD9B7" w14:textId="77777777" w:rsidR="00D14081" w:rsidRDefault="00D14081" w:rsidP="00F042B1">
      <w:pPr>
        <w:pStyle w:val="Bulletlevel1"/>
      </w:pPr>
      <w:r>
        <w:t>promoting the efficient allocation and use of spectrum</w:t>
      </w:r>
    </w:p>
    <w:p w14:paraId="3FEEF794" w14:textId="77777777" w:rsidR="00D14081" w:rsidRDefault="00D14081" w:rsidP="00F042B1">
      <w:pPr>
        <w:pStyle w:val="Bulletlevel1"/>
      </w:pPr>
      <w:r>
        <w:t>promoting co-existence with existing services</w:t>
      </w:r>
    </w:p>
    <w:p w14:paraId="4D9CC826" w14:textId="77777777" w:rsidR="00D14081" w:rsidRDefault="00D14081" w:rsidP="00F042B1">
      <w:pPr>
        <w:pStyle w:val="Bulletlevel1"/>
      </w:pPr>
      <w:r>
        <w:t>supporting technological innovation and a range of wireless broadband use cases</w:t>
      </w:r>
    </w:p>
    <w:p w14:paraId="12B73C6A" w14:textId="77777777" w:rsidR="00D14081" w:rsidRPr="000B5A70" w:rsidRDefault="00D14081" w:rsidP="00F042B1">
      <w:pPr>
        <w:pStyle w:val="Bulletlevel1last"/>
      </w:pPr>
      <w:r>
        <w:lastRenderedPageBreak/>
        <w:t>encouraging investment in infrastructure, including in regional Australia.</w:t>
      </w:r>
    </w:p>
    <w:p w14:paraId="1A95637C" w14:textId="77777777" w:rsidR="00D14081" w:rsidRDefault="00D14081" w:rsidP="00F042B1">
      <w:pPr>
        <w:pStyle w:val="Paragraph"/>
      </w:pPr>
      <w:r>
        <w:t>Further detail for these objectives are available on the Department’</w:t>
      </w:r>
      <w:bookmarkStart w:id="12" w:name="_Hlk38889384"/>
      <w:r>
        <w:t xml:space="preserve">s </w:t>
      </w:r>
      <w:bookmarkEnd w:id="12"/>
      <w:r>
        <w:fldChar w:fldCharType="begin"/>
      </w:r>
      <w:r>
        <w:instrText xml:space="preserve"> HYPERLINK "https://www.communications.gov.au/documents/communications-policy-objectives-allocation-26-ghz-band" </w:instrText>
      </w:r>
      <w:r>
        <w:fldChar w:fldCharType="separate"/>
      </w:r>
      <w:r w:rsidRPr="00AF3505">
        <w:rPr>
          <w:rStyle w:val="Hyperlink"/>
        </w:rPr>
        <w:t>website</w:t>
      </w:r>
      <w:r>
        <w:rPr>
          <w:rStyle w:val="Hyperlink"/>
        </w:rPr>
        <w:fldChar w:fldCharType="end"/>
      </w:r>
      <w:r>
        <w:t>.</w:t>
      </w:r>
    </w:p>
    <w:p w14:paraId="70164FA1" w14:textId="2CECB791" w:rsidR="00D14081" w:rsidRDefault="00D14081" w:rsidP="00F042B1">
      <w:pPr>
        <w:pStyle w:val="Paragraph"/>
      </w:pPr>
      <w:r>
        <w:t xml:space="preserve">The ACMA seeks to further these objectives in the development of the </w:t>
      </w:r>
      <w:r w:rsidR="003D1B40">
        <w:t>technical</w:t>
      </w:r>
      <w:r>
        <w:t xml:space="preserve"> instruments. </w:t>
      </w:r>
    </w:p>
    <w:p w14:paraId="22F9CD8C" w14:textId="5AF22964" w:rsidR="00D14081" w:rsidRDefault="004A2D6E" w:rsidP="00F042B1">
      <w:pPr>
        <w:pStyle w:val="Paragraph"/>
      </w:pPr>
      <w:r w:rsidRPr="005A1431">
        <w:t xml:space="preserve">The </w:t>
      </w:r>
      <w:r>
        <w:t xml:space="preserve">draft </w:t>
      </w:r>
      <w:r w:rsidR="0072403B">
        <w:t>technical</w:t>
      </w:r>
      <w:r>
        <w:t xml:space="preserve"> instruments are</w:t>
      </w:r>
      <w:r w:rsidRPr="005A1431">
        <w:t xml:space="preserve"> informed by</w:t>
      </w:r>
      <w:r>
        <w:t>,</w:t>
      </w:r>
      <w:r w:rsidRPr="005A1431">
        <w:t xml:space="preserve"> and consistent with</w:t>
      </w:r>
      <w:r>
        <w:t>,</w:t>
      </w:r>
      <w:r w:rsidRPr="005A1431">
        <w:t xml:space="preserve"> the object</w:t>
      </w:r>
      <w:r>
        <w:t xml:space="preserve"> of the Act.</w:t>
      </w:r>
    </w:p>
    <w:p w14:paraId="0759DEF5" w14:textId="4678D9F3" w:rsidR="00357781" w:rsidRDefault="00D14081" w:rsidP="00357781">
      <w:pPr>
        <w:pStyle w:val="Heading3"/>
      </w:pPr>
      <w:bookmarkStart w:id="13" w:name="_Toc314998855"/>
      <w:bookmarkStart w:id="14" w:name="_Toc496527227"/>
      <w:bookmarkStart w:id="15" w:name="_Toc496527402"/>
      <w:bookmarkStart w:id="16" w:name="_Toc496616222"/>
      <w:bookmarkEnd w:id="13"/>
      <w:r w:rsidRPr="00A67371">
        <w:t xml:space="preserve">Spectrum </w:t>
      </w:r>
      <w:r>
        <w:t>r</w:t>
      </w:r>
      <w:r w:rsidRPr="00A67371">
        <w:t>e</w:t>
      </w:r>
      <w:r>
        <w:t>form</w:t>
      </w:r>
      <w:bookmarkEnd w:id="14"/>
      <w:bookmarkEnd w:id="15"/>
      <w:bookmarkEnd w:id="16"/>
      <w:r w:rsidRPr="00A67371">
        <w:t xml:space="preserve"> </w:t>
      </w:r>
    </w:p>
    <w:p w14:paraId="1DCB14AE" w14:textId="77777777" w:rsidR="00357781" w:rsidRDefault="00357781" w:rsidP="00357781">
      <w:r>
        <w:t xml:space="preserve">The Department is consulting on a </w:t>
      </w:r>
      <w:hyperlink r:id="rId29" w:history="1">
        <w:r>
          <w:rPr>
            <w:rStyle w:val="Hyperlink"/>
          </w:rPr>
          <w:t>staged approach to reforms</w:t>
        </w:r>
      </w:hyperlink>
      <w:r>
        <w:t xml:space="preserve"> to the Act. An exposure draft amendment bill proposes to provide spectrum users with greater protection against interference while also improving investment certainty. The amendments propose to remove unnecessary constraints in spectrum allocation and re-allocation processes.</w:t>
      </w:r>
    </w:p>
    <w:p w14:paraId="12E5091E" w14:textId="77777777" w:rsidR="00357781" w:rsidRDefault="00357781" w:rsidP="00357781">
      <w:pPr>
        <w:pStyle w:val="Paragraph"/>
      </w:pPr>
      <w:r>
        <w:t>The duration of a spectrum licence is proposed to be extended from a maximum of 15 years to 20 years, with clearer licence renewal processes. The arrangements for apparatus licences are also proposed to be aligned with spectrum licences to the extent possible. Proposed transition arrangements provide that spectrum re-allocation declarations and any marketing plans in force before commencement of the amendment Bill will continue to apply.</w:t>
      </w:r>
    </w:p>
    <w:p w14:paraId="779B7652" w14:textId="77777777" w:rsidR="00357781" w:rsidRDefault="00357781" w:rsidP="00357781">
      <w:r>
        <w:t xml:space="preserve">The three-year re-allocation period set in the 26 GHz band re-allocation declaration means that arrangements applying to incumbent apparatus licensees in the 26 GHz band will not be affected by legislative change. We may continue to authorise incumbent licensees to operate until the end of the re-allocation period, should they choose to do so. </w:t>
      </w:r>
    </w:p>
    <w:p w14:paraId="2217315C" w14:textId="77777777" w:rsidR="00357781" w:rsidRDefault="00357781" w:rsidP="00357781">
      <w:r>
        <w:t>Given the timing of consideration of possible changes to the Act, we intend that the 26 GHz band allocation, having commenced under the terms of the current Act, will use those terms throughout the allocation and issue of licences. This maximises regulatory certainty for participants. The 26 GHz band allocation will be conducted under the current Act and spectrum licences will be issued for a maximum term of 15 years.</w:t>
      </w:r>
    </w:p>
    <w:p w14:paraId="6ECD5CC7" w14:textId="77777777" w:rsidR="00357781" w:rsidRDefault="00357781" w:rsidP="00357781">
      <w:r>
        <w:t xml:space="preserve">Further information on spectrum reform is available by emailing </w:t>
      </w:r>
      <w:hyperlink r:id="rId30" w:history="1">
        <w:r>
          <w:rPr>
            <w:rStyle w:val="Hyperlink"/>
          </w:rPr>
          <w:t>spectrumreform@communications.gov.au</w:t>
        </w:r>
      </w:hyperlink>
      <w:r>
        <w:t>.</w:t>
      </w:r>
    </w:p>
    <w:p w14:paraId="12D43A57" w14:textId="77777777" w:rsidR="00FD638F" w:rsidRDefault="00FD638F" w:rsidP="00FD638F">
      <w:pPr>
        <w:pStyle w:val="Heading2"/>
        <w:spacing w:before="0"/>
      </w:pPr>
      <w:bookmarkStart w:id="17" w:name="_Toc512246155"/>
      <w:bookmarkStart w:id="18" w:name="_Toc512503289"/>
      <w:bookmarkStart w:id="19" w:name="_Toc514330438"/>
      <w:bookmarkStart w:id="20" w:name="_Toc45091014"/>
      <w:r>
        <w:t>Background</w:t>
      </w:r>
      <w:bookmarkEnd w:id="17"/>
      <w:bookmarkEnd w:id="18"/>
      <w:bookmarkEnd w:id="19"/>
      <w:bookmarkEnd w:id="20"/>
    </w:p>
    <w:p w14:paraId="237E84D3" w14:textId="1B476189" w:rsidR="001C00AE" w:rsidRDefault="001C00AE" w:rsidP="001C00AE">
      <w:r w:rsidRPr="00F42193">
        <w:t xml:space="preserve">Work towards the standardisation and harmonisation for </w:t>
      </w:r>
      <w:proofErr w:type="spellStart"/>
      <w:r w:rsidRPr="00F42193">
        <w:t>mmWave</w:t>
      </w:r>
      <w:proofErr w:type="spellEnd"/>
      <w:r w:rsidRPr="00F42193">
        <w:t xml:space="preserve"> </w:t>
      </w:r>
      <w:r>
        <w:t>(millimetre wave</w:t>
      </w:r>
      <w:r>
        <w:rPr>
          <w:rStyle w:val="FootnoteReference"/>
        </w:rPr>
        <w:footnoteReference w:id="3"/>
      </w:r>
      <w:r>
        <w:t xml:space="preserve">) </w:t>
      </w:r>
      <w:r w:rsidRPr="00F42193">
        <w:t xml:space="preserve">bands for 5G is well advanced, with a strong focus internationally on the use of </w:t>
      </w:r>
      <w:proofErr w:type="spellStart"/>
      <w:r w:rsidRPr="00F42193">
        <w:t>mmWave</w:t>
      </w:r>
      <w:proofErr w:type="spellEnd"/>
      <w:r w:rsidRPr="00F42193">
        <w:t xml:space="preserve"> bands to provide short-range, high capacity services. The radiocommunications sector of the International Telecommunication Union </w:t>
      </w:r>
      <w:r>
        <w:t xml:space="preserve">examined bands above </w:t>
      </w:r>
      <w:r w:rsidRPr="00F42193">
        <w:t xml:space="preserve">24.25 GHz for wireless broadband 5G services </w:t>
      </w:r>
      <w:r>
        <w:t>at</w:t>
      </w:r>
      <w:r w:rsidRPr="00F42193">
        <w:t xml:space="preserve"> the 2019 World Radiocommunication Conference (WRC-19).</w:t>
      </w:r>
    </w:p>
    <w:p w14:paraId="47BA64A0" w14:textId="1C757E3E" w:rsidR="001C00AE" w:rsidRDefault="001C00AE" w:rsidP="001C00AE">
      <w:r>
        <w:t xml:space="preserve">Amongst other </w:t>
      </w:r>
      <w:proofErr w:type="spellStart"/>
      <w:r>
        <w:t>mmWave</w:t>
      </w:r>
      <w:proofErr w:type="spellEnd"/>
      <w:r>
        <w:t xml:space="preserve"> bands, the frequency range 24.25</w:t>
      </w:r>
      <w:r w:rsidR="005215EC">
        <w:t>–</w:t>
      </w:r>
      <w:r>
        <w:t xml:space="preserve">27.5 GHz (the wider 26 GHz band) was identified globally for international mobile telecommunications at the WRC-19. Separately, </w:t>
      </w:r>
      <w:proofErr w:type="gramStart"/>
      <w:r>
        <w:t>a number of</w:t>
      </w:r>
      <w:proofErr w:type="gramEnd"/>
      <w:r>
        <w:t xml:space="preserve"> countries considered allocation of </w:t>
      </w:r>
      <w:proofErr w:type="spellStart"/>
      <w:r>
        <w:t>mmWave</w:t>
      </w:r>
      <w:proofErr w:type="spellEnd"/>
      <w:r>
        <w:t xml:space="preserve"> </w:t>
      </w:r>
      <w:r>
        <w:lastRenderedPageBreak/>
        <w:t>bands</w:t>
      </w:r>
      <w:r w:rsidRPr="001D70F3">
        <w:t xml:space="preserve"> </w:t>
      </w:r>
      <w:r>
        <w:t xml:space="preserve">before the WRC-19; </w:t>
      </w:r>
      <w:r w:rsidR="00576DC5">
        <w:t xml:space="preserve">with </w:t>
      </w:r>
      <w:r>
        <w:t>the USA, South Korea, Italy, Hong Kong and Singapore hav</w:t>
      </w:r>
      <w:r w:rsidR="001E2DA4">
        <w:t>ing</w:t>
      </w:r>
      <w:r>
        <w:t xml:space="preserve"> already completed allocation processes. </w:t>
      </w:r>
    </w:p>
    <w:p w14:paraId="54B31D06" w14:textId="422FDD0D" w:rsidR="001C00AE" w:rsidRDefault="001C00AE" w:rsidP="001C00AE">
      <w:r>
        <w:t xml:space="preserve">The wider 26 GHz band is considered a pioneer </w:t>
      </w:r>
      <w:proofErr w:type="spellStart"/>
      <w:r>
        <w:t>mmWave</w:t>
      </w:r>
      <w:proofErr w:type="spellEnd"/>
      <w:r>
        <w:t xml:space="preserve"> band for 5G services internationally. This is a shorter-range, </w:t>
      </w:r>
      <w:r w:rsidRPr="00557BE0">
        <w:t>higher capacity band</w:t>
      </w:r>
      <w:r w:rsidR="005215EC">
        <w:t>, which</w:t>
      </w:r>
      <w:r w:rsidRPr="00557BE0">
        <w:t xml:space="preserve"> can complement the lower coverage bands (like the 3.6 GHz band) currently being used for 5G services</w:t>
      </w:r>
      <w:r>
        <w:t xml:space="preserve"> in Australia and internationally. </w:t>
      </w:r>
    </w:p>
    <w:p w14:paraId="766D5348" w14:textId="77777777" w:rsidR="001C00AE" w:rsidRDefault="001C00AE" w:rsidP="00F042B1">
      <w:pPr>
        <w:pStyle w:val="Heading3"/>
      </w:pPr>
      <w:r>
        <w:t>Wider 26 GHz band consultation</w:t>
      </w:r>
    </w:p>
    <w:p w14:paraId="5B20E4C5" w14:textId="543173D8" w:rsidR="001C00AE" w:rsidRDefault="001C00AE" w:rsidP="001C00AE">
      <w:r>
        <w:t xml:space="preserve">In September 2018, we released an </w:t>
      </w:r>
      <w:hyperlink r:id="rId31" w:history="1">
        <w:r>
          <w:rPr>
            <w:rStyle w:val="Hyperlink"/>
          </w:rPr>
          <w:t>options paper</w:t>
        </w:r>
      </w:hyperlink>
      <w:r w:rsidRPr="000F7CFD">
        <w:t xml:space="preserve"> </w:t>
      </w:r>
      <w:r>
        <w:t xml:space="preserve">for consultation </w:t>
      </w:r>
      <w:r w:rsidRPr="000F7CFD">
        <w:t xml:space="preserve">on the </w:t>
      </w:r>
      <w:r>
        <w:t xml:space="preserve">wider 26 GHz </w:t>
      </w:r>
      <w:r w:rsidRPr="000F7CFD">
        <w:t>band</w:t>
      </w:r>
      <w:r>
        <w:t xml:space="preserve">. This was followed by the release of our </w:t>
      </w:r>
      <w:hyperlink r:id="rId32" w:history="1">
        <w:r>
          <w:rPr>
            <w:rStyle w:val="Hyperlink"/>
          </w:rPr>
          <w:t>April 2019 planning decisions and preliminary views paper</w:t>
        </w:r>
      </w:hyperlink>
      <w:r>
        <w:t xml:space="preserve"> (26 GHz band decisions paper) on the future use of the band. The 26 GHz band decisions paper identified a suite of possible class</w:t>
      </w:r>
      <w:r w:rsidR="005215EC">
        <w:t>-</w:t>
      </w:r>
      <w:r>
        <w:t>, apparatus</w:t>
      </w:r>
      <w:r w:rsidR="005215EC">
        <w:t>-</w:t>
      </w:r>
      <w:r>
        <w:t xml:space="preserve"> and spectrum</w:t>
      </w:r>
      <w:r w:rsidR="005215EC">
        <w:t>-</w:t>
      </w:r>
      <w:r>
        <w:t xml:space="preserve">licensing measures </w:t>
      </w:r>
      <w:r w:rsidRPr="00001699">
        <w:t xml:space="preserve">to facilitate a broad range of wireless broadband use cases, underpinning the </w:t>
      </w:r>
      <w:r w:rsidR="005215EC">
        <w:t>g</w:t>
      </w:r>
      <w:r w:rsidRPr="00001699">
        <w:t>overnment’s policy objective to support technological innovation.</w:t>
      </w:r>
    </w:p>
    <w:p w14:paraId="17F53DE6" w14:textId="77777777" w:rsidR="001C00AE" w:rsidRDefault="001C00AE" w:rsidP="00F042B1">
      <w:pPr>
        <w:pStyle w:val="Heading3"/>
      </w:pPr>
      <w:r>
        <w:t>28 GHz band consultation</w:t>
      </w:r>
    </w:p>
    <w:p w14:paraId="36545C59" w14:textId="52096844" w:rsidR="001C00AE" w:rsidRDefault="001C00AE" w:rsidP="001C00AE">
      <w:r>
        <w:t>In parallel with the release of the 26 GHz band decisions paper</w:t>
      </w:r>
      <w:r w:rsidR="005215EC">
        <w:t>,</w:t>
      </w:r>
      <w:r>
        <w:t xml:space="preserve"> we also consulted on options for replanning the adjacent </w:t>
      </w:r>
      <w:hyperlink r:id="rId33" w:history="1">
        <w:r w:rsidRPr="00A23338">
          <w:rPr>
            <w:rStyle w:val="Hyperlink"/>
          </w:rPr>
          <w:t>28 GHz band</w:t>
        </w:r>
      </w:hyperlink>
      <w:r>
        <w:t xml:space="preserve"> </w:t>
      </w:r>
      <w:r w:rsidRPr="00DD5610">
        <w:t>(27.5</w:t>
      </w:r>
      <w:r w:rsidRPr="006965B3">
        <w:t>–</w:t>
      </w:r>
      <w:r w:rsidRPr="00DD5610">
        <w:t xml:space="preserve">29.5 GHz) </w:t>
      </w:r>
      <w:r>
        <w:t xml:space="preserve">including the potential introduction of </w:t>
      </w:r>
      <w:proofErr w:type="spellStart"/>
      <w:r>
        <w:t>mmWave</w:t>
      </w:r>
      <w:proofErr w:type="spellEnd"/>
      <w:r>
        <w:t xml:space="preserve"> 5G wireless broadband services. </w:t>
      </w:r>
      <w:r w:rsidR="007C1DF6">
        <w:t>I</w:t>
      </w:r>
      <w:r w:rsidRPr="00DD5610">
        <w:t>n September 2019</w:t>
      </w:r>
      <w:r w:rsidR="005215EC">
        <w:t>,</w:t>
      </w:r>
      <w:r>
        <w:t xml:space="preserve"> we </w:t>
      </w:r>
      <w:r w:rsidRPr="00DD5610">
        <w:t xml:space="preserve">released the </w:t>
      </w:r>
      <w:hyperlink r:id="rId34" w:history="1">
        <w:r>
          <w:rPr>
            <w:rStyle w:val="Hyperlink"/>
          </w:rPr>
          <w:t>28 GHz band planning decisions and preliminary views</w:t>
        </w:r>
      </w:hyperlink>
      <w:r w:rsidRPr="00DD5610">
        <w:t xml:space="preserve"> paper</w:t>
      </w:r>
      <w:r>
        <w:t xml:space="preserve"> (28 GHz decisions paper)</w:t>
      </w:r>
      <w:r w:rsidRPr="00DD5610">
        <w:t xml:space="preserve">. </w:t>
      </w:r>
      <w:r>
        <w:t>The</w:t>
      </w:r>
      <w:r w:rsidRPr="00DD5610">
        <w:t xml:space="preserve"> 28 GHz band </w:t>
      </w:r>
      <w:r>
        <w:t xml:space="preserve">decisions </w:t>
      </w:r>
      <w:r w:rsidRPr="00DD5610">
        <w:t>paper indicated we would develop and consult on apparatus licence arrangements to support fixed wireless access (FWA) use in the 28 GHz band</w:t>
      </w:r>
      <w:r w:rsidR="005215EC">
        <w:t>,</w:t>
      </w:r>
      <w:r>
        <w:t xml:space="preserve"> as well as expanded arrangements for fixed-satellite earth stations</w:t>
      </w:r>
      <w:r w:rsidRPr="00DD5610">
        <w:t>. This include</w:t>
      </w:r>
      <w:r>
        <w:t>d</w:t>
      </w:r>
      <w:r w:rsidRPr="00DD5610">
        <w:t xml:space="preserve"> investigating the use of </w:t>
      </w:r>
      <w:r w:rsidR="00180560">
        <w:t>the</w:t>
      </w:r>
      <w:r w:rsidR="00180560" w:rsidRPr="00DD5610">
        <w:t xml:space="preserve"> </w:t>
      </w:r>
      <w:r w:rsidRPr="00DD5610">
        <w:t>proposed new</w:t>
      </w:r>
      <w:r w:rsidR="00697483">
        <w:t xml:space="preserve"> </w:t>
      </w:r>
      <w:r>
        <w:t>AWL</w:t>
      </w:r>
      <w:r w:rsidR="00180560">
        <w:t xml:space="preserve"> concept for authorising access</w:t>
      </w:r>
      <w:r w:rsidRPr="00DD5610">
        <w:t>.</w:t>
      </w:r>
    </w:p>
    <w:p w14:paraId="5D679A39" w14:textId="53D7776F" w:rsidR="001C00AE" w:rsidRDefault="001C00AE" w:rsidP="001C00AE">
      <w:r w:rsidRPr="007C1DF6">
        <w:t xml:space="preserve">Figure </w:t>
      </w:r>
      <w:r w:rsidR="0027097C" w:rsidRPr="007C1DF6">
        <w:t>1</w:t>
      </w:r>
      <w:r w:rsidRPr="00001699">
        <w:t xml:space="preserve"> summarises the planned licensing arrangements across the wider 26 GHz band and the </w:t>
      </w:r>
      <w:r w:rsidRPr="00E158A0">
        <w:rPr>
          <w:u w:color="0000FF"/>
        </w:rPr>
        <w:t>28 GHz band</w:t>
      </w:r>
      <w:r w:rsidRPr="00001699">
        <w:t>.</w:t>
      </w:r>
    </w:p>
    <w:p w14:paraId="6A945904" w14:textId="6A1275E9" w:rsidR="001C00AE" w:rsidRPr="007A7F6B" w:rsidRDefault="001C00AE" w:rsidP="00716AA2">
      <w:pPr>
        <w:pStyle w:val="ACMAFigureHeader"/>
      </w:pPr>
      <w:r w:rsidRPr="007A7F6B">
        <w:t>Licensing arrangements to be implemented in 26</w:t>
      </w:r>
      <w:r w:rsidRPr="007A7F6B">
        <w:rPr>
          <w:rFonts w:cs="Arial"/>
        </w:rPr>
        <w:t>−</w:t>
      </w:r>
      <w:r w:rsidRPr="007A7F6B">
        <w:t>28 GHz band</w:t>
      </w:r>
    </w:p>
    <w:p w14:paraId="5827E643" w14:textId="77777777" w:rsidR="001C00AE" w:rsidRDefault="001C00AE" w:rsidP="001C00AE">
      <w:pPr>
        <w:keepNext/>
      </w:pPr>
      <w:r>
        <w:rPr>
          <w:noProof/>
        </w:rPr>
        <w:drawing>
          <wp:inline distT="0" distB="0" distL="0" distR="0" wp14:anchorId="15230543" wp14:editId="7B8D8D77">
            <wp:extent cx="4871085" cy="968375"/>
            <wp:effectExtent l="0" t="0" r="5715" b="3175"/>
            <wp:docPr id="3" name="Picture 3" descr="A diagram showing the licensing arrangements to be implemented in the 26 to 28 GHz b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r:link="rId36">
                      <a:extLst>
                        <a:ext uri="{28A0092B-C50C-407E-A947-70E740481C1C}">
                          <a14:useLocalDpi xmlns:a14="http://schemas.microsoft.com/office/drawing/2010/main" val="0"/>
                        </a:ext>
                      </a:extLst>
                    </a:blip>
                    <a:srcRect/>
                    <a:stretch>
                      <a:fillRect/>
                    </a:stretch>
                  </pic:blipFill>
                  <pic:spPr bwMode="auto">
                    <a:xfrm>
                      <a:off x="0" y="0"/>
                      <a:ext cx="4871085" cy="968375"/>
                    </a:xfrm>
                    <a:prstGeom prst="rect">
                      <a:avLst/>
                    </a:prstGeom>
                    <a:noFill/>
                    <a:ln>
                      <a:noFill/>
                    </a:ln>
                  </pic:spPr>
                </pic:pic>
              </a:graphicData>
            </a:graphic>
          </wp:inline>
        </w:drawing>
      </w:r>
    </w:p>
    <w:p w14:paraId="0DB98331" w14:textId="77777777" w:rsidR="001C00AE" w:rsidRDefault="001C00AE" w:rsidP="00F042B1">
      <w:pPr>
        <w:pStyle w:val="Tableorfigurenotemultiple"/>
        <w:spacing w:after="360"/>
      </w:pPr>
      <w:r>
        <w:t>Key:</w:t>
      </w:r>
      <w:r>
        <w:br/>
        <w:t>1 – Class licensed Australia-wide</w:t>
      </w:r>
      <w:r>
        <w:br/>
        <w:t>2 – Area wide apparatus licences (AWL) Australia-wide (</w:t>
      </w:r>
      <w:r w:rsidRPr="00C02EF7">
        <w:t>available no earlier than Q4 2020)</w:t>
      </w:r>
      <w:r w:rsidRPr="00C02EF7">
        <w:br/>
        <w:t>3 – Spectrum licensed in major population centres (auction Q1 2021)</w:t>
      </w:r>
      <w:r w:rsidRPr="00C02EF7">
        <w:br/>
        <w:t>4 – AWL outside major population centres (available shortly after spectrum licence auction)</w:t>
      </w:r>
    </w:p>
    <w:p w14:paraId="20EAA307" w14:textId="77777777" w:rsidR="001C00AE" w:rsidRDefault="001C00AE" w:rsidP="00F042B1">
      <w:pPr>
        <w:pStyle w:val="Heading3"/>
      </w:pPr>
      <w:r>
        <w:t>Class licensing</w:t>
      </w:r>
    </w:p>
    <w:p w14:paraId="647D0E2B" w14:textId="7D4F5BDE" w:rsidR="001C00AE" w:rsidRDefault="001C00AE" w:rsidP="001C00AE">
      <w:r>
        <w:t xml:space="preserve">The </w:t>
      </w:r>
      <w:hyperlink r:id="rId37" w:history="1">
        <w:r>
          <w:rPr>
            <w:rStyle w:val="Hyperlink"/>
          </w:rPr>
          <w:t>26 GHz decisions paper</w:t>
        </w:r>
      </w:hyperlink>
      <w:r>
        <w:t xml:space="preserve"> included the planning decision to consult on </w:t>
      </w:r>
      <w:r w:rsidRPr="006965B3">
        <w:t xml:space="preserve">adding </w:t>
      </w:r>
      <w:r>
        <w:t xml:space="preserve">the frequency range </w:t>
      </w:r>
      <w:r w:rsidRPr="006965B3">
        <w:t xml:space="preserve">24.25–25.1 GHz to the </w:t>
      </w:r>
      <w:hyperlink r:id="rId38" w:history="1">
        <w:r w:rsidRPr="001B19ED">
          <w:rPr>
            <w:rStyle w:val="Hyperlink"/>
          </w:rPr>
          <w:t>Radiocommunications (Low Interference Potential Devices) Class Licence 2015</w:t>
        </w:r>
      </w:hyperlink>
      <w:r>
        <w:t xml:space="preserve"> (LIPD class licence) to</w:t>
      </w:r>
      <w:r w:rsidRPr="006965B3">
        <w:t xml:space="preserve"> enabl</w:t>
      </w:r>
      <w:r>
        <w:t>e</w:t>
      </w:r>
      <w:r w:rsidRPr="006965B3">
        <w:t xml:space="preserve"> uncoordinated time-division duplex (TDD) wireless broadband deployments.</w:t>
      </w:r>
      <w:r>
        <w:t xml:space="preserve"> </w:t>
      </w:r>
      <w:proofErr w:type="gramStart"/>
      <w:r>
        <w:t>A number of</w:t>
      </w:r>
      <w:proofErr w:type="gramEnd"/>
      <w:r>
        <w:t xml:space="preserve"> conditions were outlined in the paper, including limiting operation in 24.25</w:t>
      </w:r>
      <w:r w:rsidR="005215EC">
        <w:t>–</w:t>
      </w:r>
      <w:r>
        <w:t>24.7 GHz to indoor use only</w:t>
      </w:r>
      <w:r w:rsidR="005215EC">
        <w:t>,</w:t>
      </w:r>
      <w:r>
        <w:t xml:space="preserve"> while allowing operation both indoors and outdoors in 24.7</w:t>
      </w:r>
      <w:r w:rsidR="005215EC">
        <w:t>–</w:t>
      </w:r>
      <w:r>
        <w:t>25.1 GHz. A draft variation to the LIPD class licence is expected to be released for consultation later in 2020.</w:t>
      </w:r>
    </w:p>
    <w:p w14:paraId="2C958487" w14:textId="614250CC" w:rsidR="001C00AE" w:rsidRDefault="001C00AE" w:rsidP="00F042B1">
      <w:pPr>
        <w:pStyle w:val="Heading3"/>
      </w:pPr>
      <w:r>
        <w:lastRenderedPageBreak/>
        <w:t>Apparatus licen</w:t>
      </w:r>
      <w:r w:rsidR="006132D1">
        <w:t>s</w:t>
      </w:r>
      <w:r>
        <w:t>ing</w:t>
      </w:r>
    </w:p>
    <w:p w14:paraId="7F0A0103" w14:textId="68845978" w:rsidR="001C00AE" w:rsidRDefault="001C00AE" w:rsidP="001C00AE">
      <w:r w:rsidRPr="00001699">
        <w:t xml:space="preserve">Following our </w:t>
      </w:r>
      <w:r w:rsidR="009C1C01" w:rsidRPr="0072403B">
        <w:t xml:space="preserve">July 2019 </w:t>
      </w:r>
      <w:hyperlink r:id="rId39" w:history="1">
        <w:r w:rsidR="009C1C01" w:rsidRPr="009C1C01">
          <w:rPr>
            <w:rStyle w:val="Hyperlink"/>
          </w:rPr>
          <w:t>consultation</w:t>
        </w:r>
        <w:r w:rsidRPr="009C1C01">
          <w:rPr>
            <w:rStyle w:val="Hyperlink"/>
          </w:rPr>
          <w:t xml:space="preserve"> on the proposed AWL</w:t>
        </w:r>
      </w:hyperlink>
      <w:r w:rsidR="005215EC" w:rsidRPr="00F042B1">
        <w:rPr>
          <w:rStyle w:val="Hyperlink"/>
          <w:color w:val="auto"/>
          <w:u w:val="none"/>
        </w:rPr>
        <w:t>,</w:t>
      </w:r>
      <w:r>
        <w:t xml:space="preserve"> </w:t>
      </w:r>
      <w:r w:rsidRPr="00001699">
        <w:t xml:space="preserve">we </w:t>
      </w:r>
      <w:r>
        <w:t>are preparing</w:t>
      </w:r>
      <w:r w:rsidRPr="00AB6452">
        <w:t xml:space="preserve"> draft technical instruments </w:t>
      </w:r>
      <w:r>
        <w:t xml:space="preserve">and policy documents </w:t>
      </w:r>
      <w:r w:rsidRPr="00AB6452">
        <w:t>to provide the technical and</w:t>
      </w:r>
      <w:r>
        <w:t xml:space="preserve"> interference framework for the operation of AWLs in both the wider 26 GHz band and the </w:t>
      </w:r>
      <w:r w:rsidR="009C1C01">
        <w:t xml:space="preserve">adjacent </w:t>
      </w:r>
      <w:r>
        <w:t xml:space="preserve">28 GHz band. The draft technical framework for AWLs in these bands will be </w:t>
      </w:r>
      <w:r w:rsidR="005215EC">
        <w:t xml:space="preserve">examined </w:t>
      </w:r>
      <w:r>
        <w:t>in a future consultation paper.</w:t>
      </w:r>
    </w:p>
    <w:p w14:paraId="3DD5C55A" w14:textId="77777777" w:rsidR="001C00AE" w:rsidRDefault="001C00AE" w:rsidP="00F042B1">
      <w:pPr>
        <w:pStyle w:val="Heading3"/>
      </w:pPr>
      <w:r>
        <w:t>Spectrum licensing</w:t>
      </w:r>
    </w:p>
    <w:p w14:paraId="4D00F1E0" w14:textId="3ACE32D0" w:rsidR="001C00AE" w:rsidRDefault="001C00AE" w:rsidP="001C00AE">
      <w:r>
        <w:t xml:space="preserve">The </w:t>
      </w:r>
      <w:hyperlink r:id="rId40" w:history="1">
        <w:r>
          <w:rPr>
            <w:rStyle w:val="Hyperlink"/>
          </w:rPr>
          <w:t>26 GHz decision paper</w:t>
        </w:r>
      </w:hyperlink>
      <w:r>
        <w:t xml:space="preserve"> formed the basis for a </w:t>
      </w:r>
      <w:hyperlink r:id="rId41" w:history="1">
        <w:r w:rsidRPr="000E2415">
          <w:rPr>
            <w:rStyle w:val="Hyperlink"/>
          </w:rPr>
          <w:t xml:space="preserve">draft spectrum </w:t>
        </w:r>
        <w:r>
          <w:rPr>
            <w:rStyle w:val="Hyperlink"/>
          </w:rPr>
          <w:t>re-allocation</w:t>
        </w:r>
        <w:r w:rsidRPr="000E2415">
          <w:rPr>
            <w:rStyle w:val="Hyperlink"/>
          </w:rPr>
          <w:t xml:space="preserve"> recommendation</w:t>
        </w:r>
      </w:hyperlink>
      <w:r>
        <w:t xml:space="preserve"> we proposed to make to the </w:t>
      </w:r>
      <w:r w:rsidR="00697483">
        <w:t>M</w:t>
      </w:r>
      <w:r>
        <w:t xml:space="preserve">inister about reallocating spectrum in the band. Following consideration of stakeholder submissions, we made such a recommendation to the </w:t>
      </w:r>
      <w:r w:rsidR="001E2DA4">
        <w:t>M</w:t>
      </w:r>
      <w:r>
        <w:t xml:space="preserve">inister under section 153F of the Act. </w:t>
      </w:r>
    </w:p>
    <w:p w14:paraId="384BF298" w14:textId="0FBB421F" w:rsidR="001C00AE" w:rsidRDefault="001C00AE" w:rsidP="001C00AE">
      <w:r>
        <w:t xml:space="preserve">On 18 October 2019, following consideration of our recommendation, the </w:t>
      </w:r>
      <w:r w:rsidR="00697483">
        <w:t>M</w:t>
      </w:r>
      <w:r>
        <w:t xml:space="preserve">inister made the re-allocation declaration. </w:t>
      </w:r>
    </w:p>
    <w:p w14:paraId="5D238681" w14:textId="38693A51" w:rsidR="008E5649" w:rsidRDefault="008E5649" w:rsidP="008E5649">
      <w:pPr>
        <w:pStyle w:val="Paragraph"/>
      </w:pPr>
      <w:r w:rsidRPr="003B2207">
        <w:t xml:space="preserve">A spectrum </w:t>
      </w:r>
      <w:r>
        <w:t>re-allocation</w:t>
      </w:r>
      <w:r w:rsidRPr="003B2207">
        <w:t xml:space="preserve"> declaration has the effect of cancelling apparatus licences in the spectrum to be re</w:t>
      </w:r>
      <w:r>
        <w:t>-</w:t>
      </w:r>
      <w:r w:rsidRPr="003B2207">
        <w:t xml:space="preserve">allocated, at the end of the </w:t>
      </w:r>
      <w:r>
        <w:t>re-allocation</w:t>
      </w:r>
      <w:r w:rsidRPr="003B2207">
        <w:t xml:space="preserve"> period. </w:t>
      </w:r>
      <w:r w:rsidR="00160CDE">
        <w:t>T</w:t>
      </w:r>
      <w:r>
        <w:t>he re-allocation declaration provides for a re-allocation period of three years</w:t>
      </w:r>
      <w:r w:rsidR="0082569D">
        <w:t>,</w:t>
      </w:r>
      <w:r>
        <w:t xml:space="preserve"> ending on </w:t>
      </w:r>
      <w:r w:rsidR="0082569D">
        <w:t>14 </w:t>
      </w:r>
      <w:r>
        <w:t xml:space="preserve">November 2022. Any </w:t>
      </w:r>
      <w:r w:rsidRPr="003B2207">
        <w:t xml:space="preserve">apparatus licences remaining in the band </w:t>
      </w:r>
      <w:r>
        <w:t xml:space="preserve">on that date </w:t>
      </w:r>
      <w:r w:rsidRPr="003B2207">
        <w:t>are automatically cancelled.</w:t>
      </w:r>
    </w:p>
    <w:p w14:paraId="756D823B" w14:textId="28506B70" w:rsidR="001C00AE" w:rsidRDefault="001C00AE" w:rsidP="001C00AE">
      <w:pPr>
        <w:pStyle w:val="ACMAInstructions"/>
        <w:rPr>
          <w:b w:val="0"/>
          <w:vanish w:val="0"/>
          <w:sz w:val="20"/>
          <w:szCs w:val="20"/>
        </w:rPr>
      </w:pPr>
      <w:r w:rsidRPr="007529D0">
        <w:rPr>
          <w:b w:val="0"/>
          <w:vanish w:val="0"/>
          <w:sz w:val="20"/>
          <w:szCs w:val="20"/>
        </w:rPr>
        <w:t xml:space="preserve">Following </w:t>
      </w:r>
      <w:r>
        <w:rPr>
          <w:b w:val="0"/>
          <w:vanish w:val="0"/>
          <w:sz w:val="20"/>
          <w:szCs w:val="20"/>
        </w:rPr>
        <w:t xml:space="preserve">the making of the re-allocation </w:t>
      </w:r>
      <w:r w:rsidR="00470629">
        <w:rPr>
          <w:b w:val="0"/>
          <w:vanish w:val="0"/>
          <w:sz w:val="20"/>
          <w:szCs w:val="20"/>
        </w:rPr>
        <w:t>declaration</w:t>
      </w:r>
      <w:r>
        <w:rPr>
          <w:b w:val="0"/>
          <w:vanish w:val="0"/>
          <w:sz w:val="20"/>
          <w:szCs w:val="20"/>
        </w:rPr>
        <w:t xml:space="preserve">, the ACMA commenced development of the draft 26 GHz spectrum licence technical framework. One </w:t>
      </w:r>
      <w:r w:rsidR="002D1860">
        <w:rPr>
          <w:b w:val="0"/>
          <w:vanish w:val="0"/>
          <w:sz w:val="20"/>
          <w:szCs w:val="20"/>
        </w:rPr>
        <w:t xml:space="preserve">of </w:t>
      </w:r>
      <w:r>
        <w:rPr>
          <w:b w:val="0"/>
          <w:vanish w:val="0"/>
          <w:sz w:val="20"/>
          <w:szCs w:val="20"/>
        </w:rPr>
        <w:t>the key step</w:t>
      </w:r>
      <w:r w:rsidR="002D1860">
        <w:rPr>
          <w:b w:val="0"/>
          <w:vanish w:val="0"/>
          <w:sz w:val="20"/>
          <w:szCs w:val="20"/>
        </w:rPr>
        <w:t>s in this process</w:t>
      </w:r>
      <w:r>
        <w:rPr>
          <w:b w:val="0"/>
          <w:vanish w:val="0"/>
          <w:sz w:val="20"/>
          <w:szCs w:val="20"/>
        </w:rPr>
        <w:t xml:space="preserve"> is undertaking </w:t>
      </w:r>
      <w:r w:rsidRPr="007529D0">
        <w:rPr>
          <w:b w:val="0"/>
          <w:vanish w:val="0"/>
          <w:sz w:val="20"/>
          <w:szCs w:val="20"/>
        </w:rPr>
        <w:t>preliminary industry engagement through a Technical Liaison Group (TLG)</w:t>
      </w:r>
      <w:r>
        <w:rPr>
          <w:b w:val="0"/>
          <w:vanish w:val="0"/>
          <w:sz w:val="20"/>
          <w:szCs w:val="20"/>
        </w:rPr>
        <w:t xml:space="preserve">. The 26 GHz </w:t>
      </w:r>
      <w:r w:rsidR="007F1285">
        <w:rPr>
          <w:b w:val="0"/>
          <w:vanish w:val="0"/>
          <w:sz w:val="20"/>
          <w:szCs w:val="20"/>
        </w:rPr>
        <w:t>band</w:t>
      </w:r>
      <w:r>
        <w:rPr>
          <w:b w:val="0"/>
          <w:vanish w:val="0"/>
          <w:sz w:val="20"/>
          <w:szCs w:val="20"/>
        </w:rPr>
        <w:t xml:space="preserve"> TLG was convened in November 2019 and concluded</w:t>
      </w:r>
      <w:r w:rsidR="002D1860">
        <w:rPr>
          <w:b w:val="0"/>
          <w:vanish w:val="0"/>
          <w:sz w:val="20"/>
          <w:szCs w:val="20"/>
        </w:rPr>
        <w:t xml:space="preserve"> in</w:t>
      </w:r>
      <w:r>
        <w:rPr>
          <w:b w:val="0"/>
          <w:vanish w:val="0"/>
          <w:sz w:val="20"/>
          <w:szCs w:val="20"/>
        </w:rPr>
        <w:t xml:space="preserve"> April 2020.</w:t>
      </w:r>
      <w:r w:rsidR="00697483" w:rsidRPr="00F042B1">
        <w:rPr>
          <w:rStyle w:val="FootnoteReference"/>
          <w:b w:val="0"/>
          <w:bCs/>
          <w:snapToGrid w:val="0"/>
          <w:lang w:eastAsia="en-US"/>
        </w:rPr>
        <w:footnoteReference w:id="4"/>
      </w:r>
      <w:r>
        <w:rPr>
          <w:b w:val="0"/>
          <w:vanish w:val="0"/>
          <w:sz w:val="20"/>
          <w:szCs w:val="20"/>
        </w:rPr>
        <w:t xml:space="preserve"> </w:t>
      </w:r>
    </w:p>
    <w:p w14:paraId="052A18C2" w14:textId="37EF1A94" w:rsidR="001C00AE" w:rsidRDefault="001C00AE" w:rsidP="001C00AE">
      <w:pPr>
        <w:pStyle w:val="ACMAInstructions"/>
      </w:pPr>
      <w:r>
        <w:rPr>
          <w:b w:val="0"/>
          <w:vanish w:val="0"/>
          <w:sz w:val="20"/>
          <w:szCs w:val="20"/>
        </w:rPr>
        <w:t>The TLG outcomes provide a basis for the proposed technical framework detailed in this paper</w:t>
      </w:r>
      <w:r w:rsidR="0082569D">
        <w:rPr>
          <w:b w:val="0"/>
          <w:vanish w:val="0"/>
          <w:sz w:val="20"/>
          <w:szCs w:val="20"/>
        </w:rPr>
        <w:t>—</w:t>
      </w:r>
      <w:r>
        <w:rPr>
          <w:b w:val="0"/>
          <w:vanish w:val="0"/>
          <w:sz w:val="20"/>
          <w:szCs w:val="20"/>
        </w:rPr>
        <w:t xml:space="preserve">a summary of the TLG outcomes is available on the </w:t>
      </w:r>
      <w:hyperlink r:id="rId42" w:history="1">
        <w:r w:rsidRPr="00953449">
          <w:rPr>
            <w:rStyle w:val="Hyperlink"/>
            <w:b w:val="0"/>
            <w:vanish w:val="0"/>
            <w:sz w:val="20"/>
            <w:szCs w:val="20"/>
          </w:rPr>
          <w:t>ACMA website</w:t>
        </w:r>
      </w:hyperlink>
      <w:r>
        <w:rPr>
          <w:b w:val="0"/>
          <w:vanish w:val="0"/>
          <w:sz w:val="20"/>
          <w:szCs w:val="20"/>
        </w:rPr>
        <w:t>.</w:t>
      </w:r>
    </w:p>
    <w:p w14:paraId="12C2AEDF" w14:textId="7ABDEE2A" w:rsidR="00A00968" w:rsidRDefault="00A00968" w:rsidP="00A00968">
      <w:pPr>
        <w:pStyle w:val="Heading2"/>
      </w:pPr>
      <w:bookmarkStart w:id="21" w:name="_Toc45091015"/>
      <w:r>
        <w:t>Scope</w:t>
      </w:r>
      <w:bookmarkEnd w:id="21"/>
    </w:p>
    <w:p w14:paraId="604F82E5" w14:textId="5B9AAA4B" w:rsidR="00A00968" w:rsidRDefault="00A00968" w:rsidP="00A00968">
      <w:pPr>
        <w:rPr>
          <w:rFonts w:cs="Arial"/>
        </w:rPr>
      </w:pPr>
      <w:r>
        <w:rPr>
          <w:rFonts w:cs="Arial"/>
        </w:rPr>
        <w:t>The scope</w:t>
      </w:r>
      <w:r w:rsidDel="00470629">
        <w:rPr>
          <w:rFonts w:cs="Arial"/>
        </w:rPr>
        <w:t xml:space="preserve"> </w:t>
      </w:r>
      <w:r w:rsidR="00470629">
        <w:rPr>
          <w:rFonts w:cs="Arial"/>
        </w:rPr>
        <w:t>of</w:t>
      </w:r>
      <w:r>
        <w:rPr>
          <w:rFonts w:cs="Arial"/>
        </w:rPr>
        <w:t xml:space="preserve"> this consultation paper is limited to the technical framework instruments for spectrum licences in the 26 GHz band only—</w:t>
      </w:r>
      <w:r w:rsidRPr="00965BBF">
        <w:rPr>
          <w:rFonts w:cs="Arial"/>
        </w:rPr>
        <w:t xml:space="preserve">these are included in </w:t>
      </w:r>
      <w:r w:rsidR="00965BBF">
        <w:rPr>
          <w:rFonts w:cs="Arial"/>
        </w:rPr>
        <w:t>a</w:t>
      </w:r>
      <w:r w:rsidRPr="00965BBF">
        <w:rPr>
          <w:rFonts w:cs="Arial"/>
        </w:rPr>
        <w:t>ttachments A–</w:t>
      </w:r>
      <w:r w:rsidR="005B3757" w:rsidRPr="00965BBF">
        <w:rPr>
          <w:rFonts w:cs="Arial"/>
        </w:rPr>
        <w:t xml:space="preserve">D, </w:t>
      </w:r>
      <w:r w:rsidR="00470629" w:rsidRPr="00965BBF">
        <w:rPr>
          <w:rFonts w:cs="Arial"/>
        </w:rPr>
        <w:t>as</w:t>
      </w:r>
      <w:r w:rsidR="005B3757" w:rsidRPr="00965BBF">
        <w:rPr>
          <w:rFonts w:cs="Arial"/>
        </w:rPr>
        <w:t xml:space="preserve"> well as the sample licence in the draft </w:t>
      </w:r>
      <w:r w:rsidR="00965BBF">
        <w:rPr>
          <w:rFonts w:cs="Arial"/>
        </w:rPr>
        <w:t>m</w:t>
      </w:r>
      <w:r w:rsidR="005B3757" w:rsidRPr="00965BBF">
        <w:rPr>
          <w:rFonts w:cs="Arial"/>
        </w:rPr>
        <w:t xml:space="preserve">arketing </w:t>
      </w:r>
      <w:r w:rsidR="00965BBF">
        <w:rPr>
          <w:rFonts w:cs="Arial"/>
        </w:rPr>
        <w:t>p</w:t>
      </w:r>
      <w:r w:rsidR="005B3757" w:rsidRPr="00965BBF">
        <w:rPr>
          <w:rFonts w:cs="Arial"/>
        </w:rPr>
        <w:t>lan</w:t>
      </w:r>
      <w:r w:rsidRPr="00965BBF">
        <w:rPr>
          <w:rFonts w:cs="Arial"/>
        </w:rPr>
        <w:t>.</w:t>
      </w:r>
      <w:r>
        <w:rPr>
          <w:rFonts w:cs="Arial"/>
        </w:rPr>
        <w:t xml:space="preserve"> A </w:t>
      </w:r>
      <w:r w:rsidR="0082569D" w:rsidRPr="0082569D">
        <w:rPr>
          <w:rFonts w:cs="Arial"/>
        </w:rPr>
        <w:t>n</w:t>
      </w:r>
      <w:r w:rsidRPr="0082569D">
        <w:rPr>
          <w:rFonts w:cs="Arial"/>
        </w:rPr>
        <w:t>ew RALI</w:t>
      </w:r>
      <w:r>
        <w:rPr>
          <w:rFonts w:cs="Arial"/>
        </w:rPr>
        <w:t xml:space="preserve"> is being developed primarily </w:t>
      </w:r>
      <w:r w:rsidR="0082569D">
        <w:rPr>
          <w:rFonts w:cs="Arial"/>
        </w:rPr>
        <w:t xml:space="preserve">to provide </w:t>
      </w:r>
      <w:r>
        <w:rPr>
          <w:rFonts w:cs="Arial"/>
        </w:rPr>
        <w:t xml:space="preserve">guidance on licensing and registration of devices </w:t>
      </w:r>
      <w:r w:rsidR="005B7497">
        <w:rPr>
          <w:rFonts w:cs="Arial"/>
        </w:rPr>
        <w:t xml:space="preserve">authorised to operate </w:t>
      </w:r>
      <w:r>
        <w:rPr>
          <w:rFonts w:cs="Arial"/>
        </w:rPr>
        <w:t>under AWLs in the 26/28 GHz bands</w:t>
      </w:r>
      <w:r w:rsidR="00E6152B">
        <w:rPr>
          <w:rFonts w:cs="Arial"/>
        </w:rPr>
        <w:t>. P</w:t>
      </w:r>
      <w:r>
        <w:rPr>
          <w:rFonts w:cs="Arial"/>
        </w:rPr>
        <w:t xml:space="preserve">arts of this new RALI are proposed to be incorporated by reference into the spectrum licence technical framework. </w:t>
      </w:r>
      <w:r w:rsidR="00EF52E5">
        <w:rPr>
          <w:rFonts w:cs="Arial"/>
        </w:rPr>
        <w:t>Relevant parts of t</w:t>
      </w:r>
      <w:r>
        <w:rPr>
          <w:rFonts w:cs="Arial"/>
        </w:rPr>
        <w:t>his draft new RALI (</w:t>
      </w:r>
      <w:r w:rsidR="00012F6C" w:rsidRPr="00722A7C">
        <w:rPr>
          <w:rFonts w:cs="Arial"/>
        </w:rPr>
        <w:t>denoted</w:t>
      </w:r>
      <w:r w:rsidRPr="00722A7C">
        <w:rPr>
          <w:rFonts w:cs="Arial"/>
        </w:rPr>
        <w:t xml:space="preserve"> RALI</w:t>
      </w:r>
      <w:r w:rsidR="00722A7C">
        <w:rPr>
          <w:rFonts w:cs="Arial"/>
        </w:rPr>
        <w:t xml:space="preserve"> </w:t>
      </w:r>
      <w:r w:rsidRPr="00722A7C">
        <w:rPr>
          <w:rFonts w:cs="Arial"/>
        </w:rPr>
        <w:t>[new]</w:t>
      </w:r>
      <w:r>
        <w:rPr>
          <w:rFonts w:cs="Arial"/>
        </w:rPr>
        <w:t xml:space="preserve"> in this paper) </w:t>
      </w:r>
      <w:r w:rsidR="008E7C4B">
        <w:rPr>
          <w:rFonts w:cs="Arial"/>
        </w:rPr>
        <w:t>are</w:t>
      </w:r>
      <w:r>
        <w:rPr>
          <w:rFonts w:cs="Arial"/>
        </w:rPr>
        <w:t xml:space="preserve"> included in </w:t>
      </w:r>
      <w:r w:rsidR="00E6152B" w:rsidRPr="00965BBF">
        <w:rPr>
          <w:rFonts w:cs="Arial"/>
        </w:rPr>
        <w:t>A</w:t>
      </w:r>
      <w:r w:rsidRPr="00965BBF">
        <w:rPr>
          <w:rFonts w:cs="Arial"/>
        </w:rPr>
        <w:t xml:space="preserve">ttachment </w:t>
      </w:r>
      <w:r w:rsidR="005B3757" w:rsidRPr="00965BBF">
        <w:rPr>
          <w:rFonts w:cs="Arial"/>
        </w:rPr>
        <w:t>E</w:t>
      </w:r>
      <w:r w:rsidR="0082569D">
        <w:t>. T</w:t>
      </w:r>
      <w:r w:rsidR="00A06E54">
        <w:t xml:space="preserve">he entire draft RALI will be publicly consulted on when </w:t>
      </w:r>
      <w:r w:rsidR="0082569D">
        <w:t>we</w:t>
      </w:r>
      <w:r w:rsidR="00A06E54">
        <w:t xml:space="preserve"> consult on arrangements for 26/28GHz band AWLs.</w:t>
      </w:r>
    </w:p>
    <w:p w14:paraId="655D725E" w14:textId="61131003" w:rsidR="00A00968" w:rsidRDefault="0082569D" w:rsidP="00A00968">
      <w:pPr>
        <w:rPr>
          <w:rFonts w:cs="Arial"/>
        </w:rPr>
      </w:pPr>
      <w:r>
        <w:rPr>
          <w:rFonts w:cs="Arial"/>
        </w:rPr>
        <w:t>We are c</w:t>
      </w:r>
      <w:r w:rsidR="00A00968">
        <w:rPr>
          <w:rFonts w:cs="Arial"/>
        </w:rPr>
        <w:t>onsult</w:t>
      </w:r>
      <w:r>
        <w:rPr>
          <w:rFonts w:cs="Arial"/>
        </w:rPr>
        <w:t>ing</w:t>
      </w:r>
      <w:r w:rsidR="00A00968">
        <w:rPr>
          <w:rFonts w:cs="Arial"/>
        </w:rPr>
        <w:t xml:space="preserve"> on the proposed allocation instruments for the 26 GHz band </w:t>
      </w:r>
      <w:r w:rsidR="005B3757">
        <w:rPr>
          <w:rFonts w:cs="Arial"/>
        </w:rPr>
        <w:t xml:space="preserve">spectrum licences </w:t>
      </w:r>
      <w:r w:rsidR="00A00968">
        <w:rPr>
          <w:rFonts w:cs="Arial"/>
        </w:rPr>
        <w:t xml:space="preserve">in parallel to this paper. Further details are available on the </w:t>
      </w:r>
      <w:hyperlink r:id="rId43" w:history="1">
        <w:r w:rsidR="00A00968" w:rsidRPr="00607E2E">
          <w:rPr>
            <w:rStyle w:val="Hyperlink"/>
            <w:rFonts w:cs="Arial"/>
          </w:rPr>
          <w:t>ACMA website</w:t>
        </w:r>
      </w:hyperlink>
      <w:r w:rsidR="00A00968">
        <w:rPr>
          <w:rFonts w:cs="Arial"/>
        </w:rPr>
        <w:t>.</w:t>
      </w:r>
    </w:p>
    <w:p w14:paraId="6366A9A2" w14:textId="5783EE4A" w:rsidR="00A00968" w:rsidRPr="00A00968" w:rsidRDefault="00012F6C" w:rsidP="00A00968">
      <w:pPr>
        <w:pStyle w:val="Paragraph"/>
      </w:pPr>
      <w:r>
        <w:t>Consultation on the proposed technical framework for AWLs</w:t>
      </w:r>
      <w:r w:rsidR="004A2A54">
        <w:t xml:space="preserve"> (including broader parts of RALI</w:t>
      </w:r>
      <w:r w:rsidR="00576DC5">
        <w:t xml:space="preserve"> </w:t>
      </w:r>
      <w:r w:rsidR="004A2A54">
        <w:t>[</w:t>
      </w:r>
      <w:r w:rsidR="004A2A54" w:rsidRPr="00722A7C">
        <w:t>new])</w:t>
      </w:r>
      <w:r>
        <w:t xml:space="preserve"> in the 26/28 GHz band will be carried out in a separate process and is outside the scope of this paper, except for the parts of </w:t>
      </w:r>
      <w:r w:rsidRPr="00722A7C">
        <w:t>RALI</w:t>
      </w:r>
      <w:r w:rsidR="00722A7C" w:rsidRPr="00722A7C">
        <w:t xml:space="preserve"> </w:t>
      </w:r>
      <w:r w:rsidRPr="00722A7C">
        <w:t xml:space="preserve">[new] </w:t>
      </w:r>
      <w:r w:rsidR="0082569D" w:rsidRPr="00722A7C">
        <w:t>that</w:t>
      </w:r>
      <w:r w:rsidR="0082569D">
        <w:t xml:space="preserve"> </w:t>
      </w:r>
      <w:r>
        <w:t>are incorporated by reference in the spectrum licence technical framework.</w:t>
      </w:r>
      <w:r w:rsidR="004A2A54">
        <w:t xml:space="preserve"> </w:t>
      </w:r>
    </w:p>
    <w:p w14:paraId="2CB5F103" w14:textId="77777777" w:rsidR="00494B73" w:rsidRDefault="00494B73" w:rsidP="0001334D">
      <w:pPr>
        <w:pStyle w:val="Heading2"/>
      </w:pPr>
      <w:bookmarkStart w:id="22" w:name="_Toc45091016"/>
      <w:r>
        <w:lastRenderedPageBreak/>
        <w:t>Indicative timeline</w:t>
      </w:r>
      <w:bookmarkEnd w:id="22"/>
    </w:p>
    <w:p w14:paraId="5AEBDAE7" w14:textId="3E9DBABD" w:rsidR="00494B73" w:rsidRDefault="00FD1CF8" w:rsidP="00494B73">
      <w:r>
        <w:t>We have</w:t>
      </w:r>
      <w:r w:rsidR="00494B73">
        <w:t xml:space="preserve"> prepared an indicative timeline, shown in Table </w:t>
      </w:r>
      <w:r w:rsidR="00192DC9">
        <w:t>1</w:t>
      </w:r>
      <w:r w:rsidR="00494B73">
        <w:t xml:space="preserve">, </w:t>
      </w:r>
      <w:r w:rsidR="0001334D">
        <w:t xml:space="preserve">to assist those interested in the 26 GHz band technical framework, as well as potential bidders in the </w:t>
      </w:r>
      <w:r w:rsidR="00577070">
        <w:t>2</w:t>
      </w:r>
      <w:r w:rsidR="0001334D">
        <w:t>6 GHz band auction.</w:t>
      </w:r>
      <w:r w:rsidR="00494B73">
        <w:t xml:space="preserve"> </w:t>
      </w:r>
      <w:r w:rsidR="000644D1">
        <w:t>We</w:t>
      </w:r>
      <w:r w:rsidR="00494B73" w:rsidRPr="00120D4C">
        <w:t xml:space="preserve"> emphasise that the dates in this timeline are estimates only</w:t>
      </w:r>
      <w:r w:rsidR="0082569D">
        <w:t>,</w:t>
      </w:r>
      <w:r w:rsidR="00494B73" w:rsidRPr="00120D4C">
        <w:t xml:space="preserve"> and may change as the allocation process progresses</w:t>
      </w:r>
      <w:r w:rsidR="00494B73">
        <w:t xml:space="preserve">, including </w:t>
      </w:r>
      <w:r w:rsidR="00E97C48">
        <w:t xml:space="preserve">as a result of </w:t>
      </w:r>
      <w:r w:rsidR="00494B73">
        <w:t xml:space="preserve">information provided by industry stakeholders during consultation. The final </w:t>
      </w:r>
      <w:r w:rsidR="00B60833">
        <w:t xml:space="preserve">allocation </w:t>
      </w:r>
      <w:r w:rsidR="00494B73">
        <w:t xml:space="preserve">process will </w:t>
      </w:r>
      <w:proofErr w:type="gramStart"/>
      <w:r w:rsidR="00494B73">
        <w:t>tak</w:t>
      </w:r>
      <w:r w:rsidR="0082569D">
        <w:t>e</w:t>
      </w:r>
      <w:r w:rsidR="00494B73">
        <w:t xml:space="preserve"> into account</w:t>
      </w:r>
      <w:proofErr w:type="gramEnd"/>
      <w:r w:rsidR="005760C6">
        <w:t xml:space="preserve"> </w:t>
      </w:r>
      <w:r w:rsidR="005B2B9B">
        <w:t xml:space="preserve">feedback from </w:t>
      </w:r>
      <w:r w:rsidR="00494B73">
        <w:t>submissions.</w:t>
      </w:r>
    </w:p>
    <w:p w14:paraId="310CBF52" w14:textId="4411B8F4" w:rsidR="00494B73" w:rsidRDefault="000644D1" w:rsidP="00EA18A8">
      <w:r>
        <w:t>We</w:t>
      </w:r>
      <w:r w:rsidR="00494B73">
        <w:t xml:space="preserve"> propose to commence the application process in </w:t>
      </w:r>
      <w:r w:rsidR="006730D6" w:rsidRPr="0072403B">
        <w:t>mid-Dec</w:t>
      </w:r>
      <w:r w:rsidR="0063260D" w:rsidRPr="0072403B">
        <w:t>ember</w:t>
      </w:r>
      <w:r w:rsidR="000F74F2" w:rsidRPr="0072403B">
        <w:t xml:space="preserve"> 2020</w:t>
      </w:r>
      <w:r w:rsidR="00494B73">
        <w:t xml:space="preserve">. </w:t>
      </w:r>
      <w:r>
        <w:t>We</w:t>
      </w:r>
      <w:r w:rsidR="00494B73" w:rsidRPr="00CB2C6F">
        <w:t xml:space="preserve"> will provide updated timelines on </w:t>
      </w:r>
      <w:r>
        <w:t>our</w:t>
      </w:r>
      <w:r w:rsidRPr="00CB2C6F">
        <w:t xml:space="preserve"> </w:t>
      </w:r>
      <w:r w:rsidR="00494B73" w:rsidRPr="00CB2C6F">
        <w:t>website.</w:t>
      </w:r>
      <w:r w:rsidR="00494B73">
        <w:t xml:space="preserve"> </w:t>
      </w:r>
    </w:p>
    <w:p w14:paraId="51147FE2" w14:textId="31214214" w:rsidR="00494B73" w:rsidRPr="00CA50B4" w:rsidRDefault="00494B73" w:rsidP="00F042B1">
      <w:pPr>
        <w:pStyle w:val="Caption"/>
        <w:spacing w:after="120"/>
      </w:pPr>
      <w:r w:rsidRPr="00CA50B4">
        <w:t xml:space="preserve">Indicative timeline for the </w:t>
      </w:r>
      <w:r w:rsidR="000F74F2">
        <w:t>2</w:t>
      </w:r>
      <w:r w:rsidRPr="00CA50B4">
        <w:t>6 GHz band auction</w:t>
      </w:r>
    </w:p>
    <w:tbl>
      <w:tblPr>
        <w:tblStyle w:val="TableGrid"/>
        <w:tblW w:w="8511" w:type="dxa"/>
        <w:tblInd w:w="55" w:type="dxa"/>
        <w:tblLayout w:type="fixed"/>
        <w:tblCellMar>
          <w:top w:w="85" w:type="dxa"/>
          <w:left w:w="57" w:type="dxa"/>
          <w:bottom w:w="85" w:type="dxa"/>
          <w:right w:w="57" w:type="dxa"/>
        </w:tblCellMar>
        <w:tblLook w:val="04A0" w:firstRow="1" w:lastRow="0" w:firstColumn="1" w:lastColumn="0" w:noHBand="0" w:noVBand="1"/>
        <w:tblCaption w:val="Indicative timeline for unsold lot auctions"/>
        <w:tblDescription w:val="Includes desciption of the event and date."/>
      </w:tblPr>
      <w:tblGrid>
        <w:gridCol w:w="427"/>
        <w:gridCol w:w="5924"/>
        <w:gridCol w:w="2160"/>
      </w:tblGrid>
      <w:tr w:rsidR="00D70E43" w:rsidRPr="00080443" w14:paraId="34ECFF89" w14:textId="77777777" w:rsidTr="008C4FE0">
        <w:trPr>
          <w:trHeight w:val="278"/>
          <w:tblHeader/>
        </w:trPr>
        <w:tc>
          <w:tcPr>
            <w:tcW w:w="427" w:type="dxa"/>
            <w:tcBorders>
              <w:top w:val="nil"/>
              <w:left w:val="nil"/>
              <w:bottom w:val="single" w:sz="4" w:space="0" w:color="auto"/>
            </w:tcBorders>
            <w:shd w:val="clear" w:color="auto" w:fill="auto"/>
          </w:tcPr>
          <w:p w14:paraId="4718D1BF" w14:textId="77777777" w:rsidR="00D70E43" w:rsidRPr="00080443" w:rsidRDefault="00D70E43" w:rsidP="008C4FE0">
            <w:pPr>
              <w:spacing w:before="80" w:after="0"/>
              <w:rPr>
                <w:rFonts w:cs="Arial"/>
                <w:b/>
              </w:rPr>
            </w:pPr>
          </w:p>
        </w:tc>
        <w:tc>
          <w:tcPr>
            <w:tcW w:w="5924" w:type="dxa"/>
            <w:tcBorders>
              <w:bottom w:val="single" w:sz="4" w:space="0" w:color="auto"/>
            </w:tcBorders>
            <w:shd w:val="clear" w:color="auto" w:fill="404040" w:themeFill="text1" w:themeFillTint="BF"/>
          </w:tcPr>
          <w:p w14:paraId="1E335D3D" w14:textId="77777777" w:rsidR="00D70E43" w:rsidRPr="00625FEF" w:rsidRDefault="00D70E43" w:rsidP="008C4FE0">
            <w:pPr>
              <w:pStyle w:val="TableHeading0"/>
              <w:rPr>
                <w:b w:val="0"/>
                <w:color w:val="FFFFFF" w:themeColor="background1"/>
              </w:rPr>
            </w:pPr>
            <w:r w:rsidRPr="00625FEF">
              <w:rPr>
                <w:color w:val="FFFFFF" w:themeColor="background1"/>
              </w:rPr>
              <w:t>Event</w:t>
            </w:r>
          </w:p>
        </w:tc>
        <w:tc>
          <w:tcPr>
            <w:tcW w:w="2160" w:type="dxa"/>
            <w:tcBorders>
              <w:bottom w:val="single" w:sz="4" w:space="0" w:color="auto"/>
            </w:tcBorders>
            <w:shd w:val="clear" w:color="auto" w:fill="404040" w:themeFill="text1" w:themeFillTint="BF"/>
          </w:tcPr>
          <w:p w14:paraId="338CA043" w14:textId="77777777" w:rsidR="00D70E43" w:rsidRPr="00625FEF" w:rsidRDefault="00D70E43" w:rsidP="008C4FE0">
            <w:pPr>
              <w:pStyle w:val="TableHeading0"/>
              <w:rPr>
                <w:b w:val="0"/>
                <w:color w:val="FFFFFF" w:themeColor="background1"/>
              </w:rPr>
            </w:pPr>
            <w:r w:rsidRPr="00625FEF">
              <w:rPr>
                <w:color w:val="FFFFFF" w:themeColor="background1"/>
              </w:rPr>
              <w:t>Date</w:t>
            </w:r>
          </w:p>
        </w:tc>
      </w:tr>
      <w:tr w:rsidR="00D70E43" w:rsidRPr="00080443" w14:paraId="044F2862" w14:textId="77777777" w:rsidTr="008C4FE0">
        <w:trPr>
          <w:trHeight w:val="467"/>
        </w:trPr>
        <w:tc>
          <w:tcPr>
            <w:tcW w:w="427" w:type="dxa"/>
            <w:shd w:val="clear" w:color="auto" w:fill="E5DFEC" w:themeFill="accent4" w:themeFillTint="33"/>
          </w:tcPr>
          <w:p w14:paraId="0313F268" w14:textId="77777777" w:rsidR="00D70E43" w:rsidRPr="00080443" w:rsidRDefault="00D70E43" w:rsidP="00D70E43">
            <w:pPr>
              <w:pStyle w:val="ListNumber"/>
              <w:numPr>
                <w:ilvl w:val="0"/>
                <w:numId w:val="13"/>
              </w:numPr>
              <w:spacing w:after="0"/>
            </w:pPr>
            <w:r>
              <w:t>1.</w:t>
            </w:r>
          </w:p>
        </w:tc>
        <w:tc>
          <w:tcPr>
            <w:tcW w:w="5924" w:type="dxa"/>
            <w:shd w:val="clear" w:color="auto" w:fill="E5DFEC" w:themeFill="accent4" w:themeFillTint="33"/>
          </w:tcPr>
          <w:p w14:paraId="2F4725C5" w14:textId="3D94ECA3" w:rsidR="00D70E43" w:rsidRPr="00080443" w:rsidRDefault="001C00AE" w:rsidP="008C4FE0">
            <w:pPr>
              <w:spacing w:after="0"/>
            </w:pPr>
            <w:r>
              <w:t>Release of this consultation paper inviting comments on the draft technical instruments.</w:t>
            </w:r>
          </w:p>
        </w:tc>
        <w:tc>
          <w:tcPr>
            <w:tcW w:w="2160" w:type="dxa"/>
            <w:shd w:val="clear" w:color="auto" w:fill="E5DFEC" w:themeFill="accent4" w:themeFillTint="33"/>
          </w:tcPr>
          <w:p w14:paraId="5780D3EE" w14:textId="1E1EBA4D" w:rsidR="00D70E43" w:rsidRPr="00722A7C" w:rsidRDefault="00D70E43" w:rsidP="008C4FE0">
            <w:pPr>
              <w:spacing w:after="0"/>
              <w:rPr>
                <w:rFonts w:cs="Arial"/>
              </w:rPr>
            </w:pPr>
            <w:r w:rsidRPr="00722A7C">
              <w:rPr>
                <w:rFonts w:cs="Arial"/>
              </w:rPr>
              <w:t>9 July 2020</w:t>
            </w:r>
            <w:r w:rsidR="00577070" w:rsidRPr="00722A7C">
              <w:rPr>
                <w:rStyle w:val="FootnoteReference"/>
                <w:rFonts w:cs="Arial"/>
              </w:rPr>
              <w:footnoteReference w:id="5"/>
            </w:r>
          </w:p>
        </w:tc>
      </w:tr>
      <w:tr w:rsidR="00D70E43" w:rsidRPr="00080443" w14:paraId="450793E9" w14:textId="77777777" w:rsidTr="008C4FE0">
        <w:tc>
          <w:tcPr>
            <w:tcW w:w="427" w:type="dxa"/>
          </w:tcPr>
          <w:p w14:paraId="6BCCDFB0" w14:textId="77777777" w:rsidR="00D70E43" w:rsidRPr="00080443" w:rsidRDefault="00D70E43" w:rsidP="008C4FE0">
            <w:pPr>
              <w:pStyle w:val="ListNumber"/>
              <w:spacing w:after="0"/>
            </w:pPr>
            <w:r>
              <w:t>2.</w:t>
            </w:r>
          </w:p>
        </w:tc>
        <w:tc>
          <w:tcPr>
            <w:tcW w:w="5924" w:type="dxa"/>
          </w:tcPr>
          <w:p w14:paraId="2DAE4399" w14:textId="14E45A33" w:rsidR="00D70E43" w:rsidRPr="00080443" w:rsidRDefault="00D70E43" w:rsidP="008C4FE0">
            <w:pPr>
              <w:spacing w:after="0"/>
            </w:pPr>
            <w:r>
              <w:t xml:space="preserve">The ACMA makes </w:t>
            </w:r>
            <w:r w:rsidR="007F5CF0">
              <w:t>technical</w:t>
            </w:r>
            <w:r>
              <w:t xml:space="preserve"> instruments and registers them on the Federal Register of Legislation.</w:t>
            </w:r>
          </w:p>
        </w:tc>
        <w:tc>
          <w:tcPr>
            <w:tcW w:w="2160" w:type="dxa"/>
          </w:tcPr>
          <w:p w14:paraId="11640459" w14:textId="77777777" w:rsidR="00D70E43" w:rsidRPr="00FF4E55" w:rsidRDefault="00D70E43" w:rsidP="008C4FE0">
            <w:pPr>
              <w:tabs>
                <w:tab w:val="right" w:pos="2046"/>
              </w:tabs>
              <w:spacing w:before="80" w:after="120"/>
              <w:rPr>
                <w:rFonts w:cs="Arial"/>
              </w:rPr>
            </w:pPr>
            <w:r>
              <w:rPr>
                <w:rFonts w:cs="Arial"/>
              </w:rPr>
              <w:t>Late November 2020</w:t>
            </w:r>
          </w:p>
        </w:tc>
      </w:tr>
      <w:tr w:rsidR="00D70E43" w:rsidRPr="00080443" w14:paraId="2BC87B8D" w14:textId="77777777" w:rsidTr="008C4FE0">
        <w:tc>
          <w:tcPr>
            <w:tcW w:w="427" w:type="dxa"/>
            <w:shd w:val="clear" w:color="auto" w:fill="F2F2F2" w:themeFill="background1" w:themeFillShade="F2"/>
          </w:tcPr>
          <w:p w14:paraId="4EC239B8" w14:textId="77777777" w:rsidR="00D70E43" w:rsidRPr="00080443" w:rsidRDefault="00D70E43" w:rsidP="008C4FE0">
            <w:pPr>
              <w:pStyle w:val="ListNumber"/>
              <w:rPr>
                <w:rFonts w:cs="Arial"/>
              </w:rPr>
            </w:pPr>
            <w:r>
              <w:rPr>
                <w:rFonts w:cs="Arial"/>
              </w:rPr>
              <w:t>3.</w:t>
            </w:r>
          </w:p>
        </w:tc>
        <w:tc>
          <w:tcPr>
            <w:tcW w:w="5924" w:type="dxa"/>
            <w:shd w:val="clear" w:color="auto" w:fill="F2F2F2" w:themeFill="background1" w:themeFillShade="F2"/>
          </w:tcPr>
          <w:p w14:paraId="0C2D2D26" w14:textId="49FFF3EE" w:rsidR="00D70E43" w:rsidRPr="00080443" w:rsidRDefault="00D70E43" w:rsidP="008C4FE0">
            <w:pPr>
              <w:spacing w:after="0"/>
            </w:pPr>
            <w:r w:rsidRPr="00080443">
              <w:t xml:space="preserve">The ACMA </w:t>
            </w:r>
            <w:r w:rsidR="00837D3D">
              <w:t>undertakes preparations for the auction of 26 GHz band spectrum licences</w:t>
            </w:r>
            <w:r w:rsidR="00A373EB">
              <w:t>—</w:t>
            </w:r>
            <w:r w:rsidR="00837D3D">
              <w:t>see the allocation instruments consultation paper for more details (</w:t>
            </w:r>
            <w:r w:rsidR="00A373EB">
              <w:t>published alongside this paper</w:t>
            </w:r>
            <w:r w:rsidR="00837D3D">
              <w:t xml:space="preserve"> on the </w:t>
            </w:r>
            <w:r w:rsidR="00A373EB" w:rsidRPr="0098576C">
              <w:rPr>
                <w:rFonts w:cs="Arial"/>
                <w:u w:color="0000FF"/>
              </w:rPr>
              <w:t>ACMA website</w:t>
            </w:r>
            <w:r w:rsidR="00837D3D">
              <w:t>)</w:t>
            </w:r>
            <w:r>
              <w:t>.</w:t>
            </w:r>
          </w:p>
        </w:tc>
        <w:tc>
          <w:tcPr>
            <w:tcW w:w="2160" w:type="dxa"/>
            <w:shd w:val="clear" w:color="auto" w:fill="F2F2F2" w:themeFill="background1" w:themeFillShade="F2"/>
          </w:tcPr>
          <w:p w14:paraId="3C29D476" w14:textId="074F3FE1" w:rsidR="00D70E43" w:rsidRPr="00080443" w:rsidRDefault="00D70E43" w:rsidP="008C4FE0">
            <w:r>
              <w:t>Mid-December 2020</w:t>
            </w:r>
            <w:r w:rsidR="00837D3D">
              <w:t xml:space="preserve"> to </w:t>
            </w:r>
            <w:r w:rsidR="008E5649">
              <w:t>mid</w:t>
            </w:r>
            <w:r w:rsidR="00837D3D">
              <w:t>-March 2021</w:t>
            </w:r>
          </w:p>
        </w:tc>
      </w:tr>
      <w:tr w:rsidR="00D70E43" w:rsidRPr="00080443" w14:paraId="3AF08BCC" w14:textId="77777777" w:rsidTr="008C4FE0">
        <w:trPr>
          <w:trHeight w:val="312"/>
        </w:trPr>
        <w:tc>
          <w:tcPr>
            <w:tcW w:w="427" w:type="dxa"/>
            <w:shd w:val="clear" w:color="auto" w:fill="auto"/>
          </w:tcPr>
          <w:p w14:paraId="67EDAB48" w14:textId="77777777" w:rsidR="00D70E43" w:rsidRPr="00080443" w:rsidRDefault="00D70E43" w:rsidP="008C4FE0">
            <w:pPr>
              <w:pStyle w:val="ListNumber"/>
              <w:spacing w:after="0"/>
              <w:rPr>
                <w:rFonts w:cs="Arial"/>
              </w:rPr>
            </w:pPr>
            <w:r>
              <w:rPr>
                <w:rFonts w:cs="Arial"/>
              </w:rPr>
              <w:t>10.</w:t>
            </w:r>
          </w:p>
        </w:tc>
        <w:tc>
          <w:tcPr>
            <w:tcW w:w="5924" w:type="dxa"/>
            <w:shd w:val="clear" w:color="auto" w:fill="auto"/>
          </w:tcPr>
          <w:p w14:paraId="23D0CE29" w14:textId="77777777" w:rsidR="00D70E43" w:rsidRPr="00080443" w:rsidRDefault="00D70E43" w:rsidP="008C4FE0">
            <w:pPr>
              <w:spacing w:after="0"/>
            </w:pPr>
            <w:r>
              <w:t>Estimated au</w:t>
            </w:r>
            <w:r w:rsidRPr="00080443">
              <w:t xml:space="preserve">ction </w:t>
            </w:r>
            <w:r>
              <w:t xml:space="preserve">commencement </w:t>
            </w:r>
          </w:p>
        </w:tc>
        <w:tc>
          <w:tcPr>
            <w:tcW w:w="2160" w:type="dxa"/>
            <w:shd w:val="clear" w:color="auto" w:fill="auto"/>
          </w:tcPr>
          <w:p w14:paraId="1C81CF0B" w14:textId="77777777" w:rsidR="00D70E43" w:rsidRPr="00025A88" w:rsidRDefault="00D70E43" w:rsidP="008C4FE0">
            <w:pPr>
              <w:spacing w:after="0"/>
            </w:pPr>
            <w:r>
              <w:t>Late March 2021</w:t>
            </w:r>
          </w:p>
        </w:tc>
      </w:tr>
    </w:tbl>
    <w:p w14:paraId="5BD1A102" w14:textId="7D4A08D5" w:rsidR="00494B73" w:rsidRDefault="00494B73" w:rsidP="00B778D3"/>
    <w:p w14:paraId="442B2789" w14:textId="77777777" w:rsidR="00D70E43" w:rsidRDefault="00D70E43" w:rsidP="003B1F5E">
      <w:pPr>
        <w:keepNext/>
        <w:keepLines/>
      </w:pPr>
    </w:p>
    <w:p w14:paraId="02EB3926" w14:textId="41BD48C6" w:rsidR="00656C45" w:rsidRDefault="00656C45" w:rsidP="00F042B1">
      <w:pPr>
        <w:pStyle w:val="Heading1"/>
        <w:ind w:left="-11"/>
      </w:pPr>
      <w:bookmarkStart w:id="23" w:name="_Toc45091017"/>
      <w:r>
        <w:lastRenderedPageBreak/>
        <w:t>Proposed technical framework</w:t>
      </w:r>
      <w:bookmarkEnd w:id="23"/>
    </w:p>
    <w:p w14:paraId="0AD56CF4" w14:textId="243C4E6E" w:rsidR="00656C45" w:rsidRDefault="00656C45" w:rsidP="00656C45">
      <w:pPr>
        <w:spacing w:after="80"/>
        <w:rPr>
          <w:rFonts w:cs="Arial"/>
        </w:rPr>
      </w:pPr>
      <w:bookmarkStart w:id="24" w:name="OLE_LINK6"/>
      <w:r w:rsidRPr="00304201">
        <w:rPr>
          <w:rFonts w:cs="Arial"/>
        </w:rPr>
        <w:t xml:space="preserve">A technical framework consists of three </w:t>
      </w:r>
      <w:r>
        <w:rPr>
          <w:rFonts w:cs="Arial"/>
        </w:rPr>
        <w:t xml:space="preserve">interlocking </w:t>
      </w:r>
      <w:r w:rsidRPr="00304201">
        <w:rPr>
          <w:rFonts w:cs="Arial"/>
        </w:rPr>
        <w:t>regulatory elements</w:t>
      </w:r>
      <w:r>
        <w:rPr>
          <w:rFonts w:cs="Arial"/>
        </w:rPr>
        <w:t xml:space="preserve"> provided for under the </w:t>
      </w:r>
      <w:r w:rsidRPr="00F042B1">
        <w:rPr>
          <w:rFonts w:cs="Arial"/>
          <w:iCs/>
        </w:rPr>
        <w:t>Act</w:t>
      </w:r>
      <w:r w:rsidRPr="00304201">
        <w:rPr>
          <w:rFonts w:cs="Arial"/>
        </w:rPr>
        <w:t>:</w:t>
      </w:r>
    </w:p>
    <w:p w14:paraId="38C17387" w14:textId="77446CF7" w:rsidR="00656C45" w:rsidRDefault="00656C45" w:rsidP="00656C45">
      <w:pPr>
        <w:pStyle w:val="ListBullet"/>
      </w:pPr>
      <w:r w:rsidRPr="00FA1D98">
        <w:t>The conditions specified on the spectrum licence</w:t>
      </w:r>
      <w:r w:rsidR="0082569D">
        <w:t>—</w:t>
      </w:r>
      <w:r w:rsidRPr="00FA1D98">
        <w:t>in particular</w:t>
      </w:r>
      <w:r>
        <w:t>,</w:t>
      </w:r>
      <w:r w:rsidRPr="00FA1D98">
        <w:t xml:space="preserve"> the core conditions that define the spectrum space (both frequency and geographical area) and the </w:t>
      </w:r>
      <w:r w:rsidR="00D660CA">
        <w:t xml:space="preserve">maximum </w:t>
      </w:r>
      <w:r w:rsidRPr="00FA1D98">
        <w:t>level of emissions permitted inside and across the frequency boundaries of the licence</w:t>
      </w:r>
      <w:r>
        <w:t xml:space="preserve"> (section 66)</w:t>
      </w:r>
      <w:r w:rsidRPr="00FA1D98">
        <w:t xml:space="preserve">. </w:t>
      </w:r>
      <w:r>
        <w:t xml:space="preserve">Section 71 also provides for the ACMA to </w:t>
      </w:r>
      <w:r w:rsidR="00D660CA">
        <w:t>include</w:t>
      </w:r>
      <w:r>
        <w:t xml:space="preserve"> other conditions in a spectrum licence.</w:t>
      </w:r>
    </w:p>
    <w:p w14:paraId="7079E64B" w14:textId="3DE1A3C1" w:rsidR="00656C45" w:rsidRDefault="00656C45" w:rsidP="00656C45">
      <w:pPr>
        <w:pStyle w:val="ListBullet"/>
      </w:pPr>
      <w:r w:rsidRPr="00FA1D98">
        <w:t>A determination of unacceptable interference for the purpose of device registration in each band</w:t>
      </w:r>
      <w:r>
        <w:t xml:space="preserve"> (</w:t>
      </w:r>
      <w:r w:rsidR="00D660CA">
        <w:t>sub</w:t>
      </w:r>
      <w:r>
        <w:t>section 145</w:t>
      </w:r>
      <w:r w:rsidR="00D660CA">
        <w:t>(4)</w:t>
      </w:r>
      <w:r>
        <w:t>)</w:t>
      </w:r>
      <w:r w:rsidRPr="00FA1D98">
        <w:t xml:space="preserve">. </w:t>
      </w:r>
    </w:p>
    <w:p w14:paraId="0F84CCCD" w14:textId="700676F0" w:rsidR="00656C45" w:rsidRDefault="00656C45" w:rsidP="00656C45">
      <w:pPr>
        <w:pStyle w:val="ListBulletLast"/>
      </w:pPr>
      <w:r>
        <w:t>R</w:t>
      </w:r>
      <w:r w:rsidRPr="00FA1D98">
        <w:t xml:space="preserve">adiocommunications advisory guidelines that </w:t>
      </w:r>
      <w:proofErr w:type="gramStart"/>
      <w:r w:rsidRPr="00FA1D98">
        <w:t>provide assistance</w:t>
      </w:r>
      <w:proofErr w:type="gramEnd"/>
      <w:r w:rsidRPr="00FA1D98">
        <w:t xml:space="preserve"> and advice for coordination with stations in other services when and where required</w:t>
      </w:r>
      <w:r>
        <w:t xml:space="preserve"> (section 262)</w:t>
      </w:r>
      <w:r w:rsidRPr="00FA1D98">
        <w:t>.</w:t>
      </w:r>
      <w:r w:rsidR="00D660CA" w:rsidRPr="00D660CA">
        <w:t xml:space="preserve"> </w:t>
      </w:r>
      <w:r w:rsidR="00D660CA">
        <w:t>These may sometimes be wholly or partly mandatory, by incorporation in spectrum licence conditions.</w:t>
      </w:r>
    </w:p>
    <w:p w14:paraId="74B18A31" w14:textId="77777777" w:rsidR="00656C45" w:rsidRDefault="00656C45" w:rsidP="00656C45">
      <w:pPr>
        <w:rPr>
          <w:rFonts w:cs="Arial"/>
          <w:bCs/>
          <w:iCs/>
        </w:rPr>
      </w:pPr>
      <w:r w:rsidRPr="00304201">
        <w:rPr>
          <w:rFonts w:cs="Arial"/>
          <w:bCs/>
          <w:iCs/>
        </w:rPr>
        <w:t>A more compre</w:t>
      </w:r>
      <w:r>
        <w:rPr>
          <w:rFonts w:cs="Arial"/>
          <w:bCs/>
          <w:iCs/>
        </w:rPr>
        <w:t xml:space="preserve">hensive explanation of spectrum licence technical frameworks is provided </w:t>
      </w:r>
      <w:r w:rsidRPr="00304201">
        <w:rPr>
          <w:rFonts w:cs="Arial"/>
          <w:bCs/>
          <w:iCs/>
        </w:rPr>
        <w:t xml:space="preserve">in the document </w:t>
      </w:r>
      <w:hyperlink r:id="rId44" w:history="1">
        <w:r w:rsidRPr="003A77FD">
          <w:rPr>
            <w:rStyle w:val="Hyperlink"/>
            <w:rFonts w:cs="Arial"/>
            <w:bCs/>
            <w:i/>
            <w:iCs/>
          </w:rPr>
          <w:t>Know your obligations—Spectrum licensees</w:t>
        </w:r>
      </w:hyperlink>
      <w:r w:rsidRPr="00304201">
        <w:rPr>
          <w:rFonts w:cs="Arial"/>
          <w:bCs/>
          <w:iCs/>
        </w:rPr>
        <w:t>.</w:t>
      </w:r>
    </w:p>
    <w:p w14:paraId="5A0F8311" w14:textId="77777777" w:rsidR="00656C45" w:rsidRPr="006D46E5" w:rsidRDefault="00656C45" w:rsidP="00656C45">
      <w:pPr>
        <w:pStyle w:val="Heading2"/>
      </w:pPr>
      <w:bookmarkStart w:id="25" w:name="_Toc403740549"/>
      <w:bookmarkStart w:id="26" w:name="_Toc404333444"/>
      <w:bookmarkStart w:id="27" w:name="_Toc514146651"/>
      <w:bookmarkStart w:id="28" w:name="_Toc45091018"/>
      <w:bookmarkStart w:id="29" w:name="_Toc513143737"/>
      <w:bookmarkEnd w:id="24"/>
      <w:r w:rsidRPr="003A4D0D">
        <w:t>Technical Liaison Groups (TLGs)</w:t>
      </w:r>
      <w:bookmarkEnd w:id="25"/>
      <w:bookmarkEnd w:id="26"/>
      <w:bookmarkEnd w:id="27"/>
      <w:bookmarkEnd w:id="28"/>
      <w:r w:rsidRPr="006D46E5">
        <w:t xml:space="preserve"> </w:t>
      </w:r>
      <w:bookmarkEnd w:id="29"/>
    </w:p>
    <w:p w14:paraId="20241A64" w14:textId="6F03B9DA" w:rsidR="00656C45" w:rsidRDefault="00656C45" w:rsidP="00656C45">
      <w:pPr>
        <w:rPr>
          <w:rFonts w:cs="Arial"/>
        </w:rPr>
      </w:pPr>
      <w:r>
        <w:rPr>
          <w:rFonts w:cs="Arial"/>
        </w:rPr>
        <w:t>The ACMA generally reviews or develops a new technical framework through the formation of a TLG. A TLG</w:t>
      </w:r>
      <w:r w:rsidRPr="00B9508D">
        <w:rPr>
          <w:rFonts w:cs="Arial"/>
        </w:rPr>
        <w:t xml:space="preserve"> </w:t>
      </w:r>
      <w:r>
        <w:rPr>
          <w:rFonts w:cs="Arial"/>
        </w:rPr>
        <w:t>is</w:t>
      </w:r>
      <w:r w:rsidRPr="00B9508D">
        <w:rPr>
          <w:rFonts w:cs="Arial"/>
        </w:rPr>
        <w:t xml:space="preserve"> </w:t>
      </w:r>
      <w:r>
        <w:rPr>
          <w:rFonts w:cs="Arial"/>
        </w:rPr>
        <w:t>a short-term advisory body</w:t>
      </w:r>
      <w:r w:rsidRPr="00B9508D">
        <w:rPr>
          <w:rFonts w:cs="Arial"/>
        </w:rPr>
        <w:t xml:space="preserve"> convened by the ACMA</w:t>
      </w:r>
      <w:r w:rsidR="002901C0">
        <w:rPr>
          <w:rFonts w:cs="Arial"/>
        </w:rPr>
        <w:t>,</w:t>
      </w:r>
      <w:r w:rsidRPr="00B9508D">
        <w:rPr>
          <w:rFonts w:cs="Arial"/>
        </w:rPr>
        <w:t xml:space="preserve"> </w:t>
      </w:r>
      <w:r w:rsidR="009521FA">
        <w:rPr>
          <w:rFonts w:cs="Arial"/>
        </w:rPr>
        <w:t xml:space="preserve">which </w:t>
      </w:r>
      <w:r w:rsidR="002901C0">
        <w:rPr>
          <w:rFonts w:cs="Arial"/>
        </w:rPr>
        <w:t xml:space="preserve">provides </w:t>
      </w:r>
      <w:r w:rsidRPr="00B9508D">
        <w:rPr>
          <w:rFonts w:cs="Arial"/>
        </w:rPr>
        <w:t xml:space="preserve">a </w:t>
      </w:r>
      <w:r w:rsidR="009521FA">
        <w:rPr>
          <w:rFonts w:cs="Arial"/>
        </w:rPr>
        <w:t xml:space="preserve">discussion </w:t>
      </w:r>
      <w:r w:rsidRPr="00B9508D">
        <w:rPr>
          <w:rFonts w:cs="Arial"/>
        </w:rPr>
        <w:t>forum between the ACMA, industry and other stakeholders with an interest in the technical aspects of spectrum licences</w:t>
      </w:r>
      <w:r>
        <w:rPr>
          <w:rFonts w:cs="Arial"/>
        </w:rPr>
        <w:t>.</w:t>
      </w:r>
    </w:p>
    <w:p w14:paraId="637B2A64" w14:textId="0C459F4E" w:rsidR="0006138A" w:rsidRDefault="00656C45" w:rsidP="00656C45">
      <w:pPr>
        <w:rPr>
          <w:rFonts w:cs="Arial"/>
          <w:snapToGrid w:val="0"/>
          <w:lang w:eastAsia="en-US"/>
        </w:rPr>
      </w:pPr>
      <w:r>
        <w:rPr>
          <w:rFonts w:cs="Arial"/>
          <w:snapToGrid w:val="0"/>
          <w:lang w:eastAsia="en-US"/>
        </w:rPr>
        <w:t xml:space="preserve">In </w:t>
      </w:r>
      <w:r w:rsidR="00A8574A" w:rsidRPr="007E59F8">
        <w:rPr>
          <w:rFonts w:cs="Arial"/>
          <w:snapToGrid w:val="0"/>
          <w:lang w:eastAsia="en-US"/>
        </w:rPr>
        <w:t>November</w:t>
      </w:r>
      <w:r w:rsidRPr="007E59F8">
        <w:rPr>
          <w:rFonts w:cs="Arial"/>
          <w:snapToGrid w:val="0"/>
          <w:lang w:eastAsia="en-US"/>
        </w:rPr>
        <w:t xml:space="preserve"> 201</w:t>
      </w:r>
      <w:r w:rsidR="00A8574A" w:rsidRPr="007E59F8">
        <w:rPr>
          <w:rFonts w:cs="Arial"/>
          <w:snapToGrid w:val="0"/>
          <w:lang w:eastAsia="en-US"/>
        </w:rPr>
        <w:t>9</w:t>
      </w:r>
      <w:r w:rsidRPr="007E59F8">
        <w:rPr>
          <w:rFonts w:cs="Arial"/>
          <w:snapToGrid w:val="0"/>
          <w:lang w:eastAsia="en-US"/>
        </w:rPr>
        <w:t xml:space="preserve">, the ACMA formed the </w:t>
      </w:r>
      <w:r w:rsidR="00A8574A" w:rsidRPr="007E59F8">
        <w:rPr>
          <w:rFonts w:cs="Arial"/>
          <w:snapToGrid w:val="0"/>
          <w:lang w:eastAsia="en-US"/>
        </w:rPr>
        <w:t>2</w:t>
      </w:r>
      <w:r w:rsidRPr="007E59F8">
        <w:rPr>
          <w:rFonts w:cs="Arial"/>
          <w:snapToGrid w:val="0"/>
          <w:lang w:eastAsia="en-US"/>
        </w:rPr>
        <w:t>6 GHz band</w:t>
      </w:r>
      <w:r w:rsidR="00A8574A" w:rsidRPr="007E59F8">
        <w:rPr>
          <w:rFonts w:cs="Arial"/>
          <w:snapToGrid w:val="0"/>
          <w:lang w:eastAsia="en-US"/>
        </w:rPr>
        <w:t xml:space="preserve"> </w:t>
      </w:r>
      <w:r w:rsidRPr="007E59F8">
        <w:rPr>
          <w:rFonts w:cs="Arial"/>
          <w:snapToGrid w:val="0"/>
          <w:lang w:eastAsia="en-US"/>
        </w:rPr>
        <w:t xml:space="preserve">TLG to provide advice on the development of each component of the </w:t>
      </w:r>
      <w:r w:rsidR="00DF2E4E">
        <w:rPr>
          <w:rFonts w:cs="Arial"/>
          <w:snapToGrid w:val="0"/>
          <w:lang w:eastAsia="en-US"/>
        </w:rPr>
        <w:t xml:space="preserve">spectrum licence </w:t>
      </w:r>
      <w:r w:rsidRPr="007E59F8">
        <w:rPr>
          <w:rFonts w:cs="Arial"/>
          <w:snapToGrid w:val="0"/>
          <w:lang w:eastAsia="en-US"/>
        </w:rPr>
        <w:t xml:space="preserve">technical framework for the </w:t>
      </w:r>
      <w:r w:rsidR="00A8574A" w:rsidRPr="007E59F8">
        <w:rPr>
          <w:rFonts w:cs="Arial"/>
          <w:snapToGrid w:val="0"/>
          <w:lang w:eastAsia="en-US"/>
        </w:rPr>
        <w:t>2</w:t>
      </w:r>
      <w:r w:rsidRPr="007E59F8">
        <w:rPr>
          <w:rFonts w:cs="Arial"/>
          <w:snapToGrid w:val="0"/>
          <w:lang w:eastAsia="en-US"/>
        </w:rPr>
        <w:t xml:space="preserve">6 GHz band. </w:t>
      </w:r>
      <w:r w:rsidR="003857B8" w:rsidRPr="007E59F8">
        <w:rPr>
          <w:rFonts w:cs="Arial"/>
          <w:snapToGrid w:val="0"/>
          <w:lang w:eastAsia="en-US"/>
        </w:rPr>
        <w:t>T</w:t>
      </w:r>
      <w:r w:rsidRPr="007E59F8">
        <w:rPr>
          <w:rFonts w:cs="Arial"/>
        </w:rPr>
        <w:t>he TLG completed consideration of the</w:t>
      </w:r>
      <w:r w:rsidR="003857B8" w:rsidRPr="007E59F8">
        <w:rPr>
          <w:rFonts w:cs="Arial"/>
        </w:rPr>
        <w:t xml:space="preserve"> draft technical framework in April 2020.</w:t>
      </w:r>
      <w:r w:rsidR="003857B8">
        <w:rPr>
          <w:rFonts w:cs="Arial"/>
        </w:rPr>
        <w:t xml:space="preserve"> </w:t>
      </w:r>
      <w:r>
        <w:rPr>
          <w:rFonts w:cs="Arial"/>
        </w:rPr>
        <w:t xml:space="preserve">The outcomes of the </w:t>
      </w:r>
      <w:r w:rsidR="00A8574A">
        <w:rPr>
          <w:rFonts w:cs="Arial"/>
        </w:rPr>
        <w:t>2</w:t>
      </w:r>
      <w:r>
        <w:rPr>
          <w:rFonts w:cs="Arial"/>
        </w:rPr>
        <w:t>6 GHz</w:t>
      </w:r>
      <w:r w:rsidR="007E59F8">
        <w:rPr>
          <w:rFonts w:cs="Arial"/>
        </w:rPr>
        <w:t xml:space="preserve"> </w:t>
      </w:r>
      <w:r w:rsidR="007F1285">
        <w:rPr>
          <w:rFonts w:cs="Arial"/>
        </w:rPr>
        <w:t xml:space="preserve">band </w:t>
      </w:r>
      <w:r>
        <w:rPr>
          <w:rFonts w:cs="Arial"/>
        </w:rPr>
        <w:t xml:space="preserve">TLG are available on the </w:t>
      </w:r>
      <w:hyperlink r:id="rId45" w:history="1">
        <w:r w:rsidRPr="003A77FD">
          <w:rPr>
            <w:rStyle w:val="Hyperlink"/>
            <w:rFonts w:cs="Arial"/>
          </w:rPr>
          <w:t>ACMA website</w:t>
        </w:r>
      </w:hyperlink>
      <w:r>
        <w:rPr>
          <w:rFonts w:cs="Arial"/>
        </w:rPr>
        <w:t xml:space="preserve">, </w:t>
      </w:r>
      <w:r>
        <w:rPr>
          <w:rFonts w:cs="Arial"/>
          <w:snapToGrid w:val="0"/>
          <w:lang w:eastAsia="en-US"/>
        </w:rPr>
        <w:t xml:space="preserve">with a summary of these outcomes provided in the next section. </w:t>
      </w:r>
    </w:p>
    <w:p w14:paraId="67C397D5" w14:textId="3AF7D48C" w:rsidR="00DF2E4E" w:rsidRDefault="00DF2E4E" w:rsidP="00656C45">
      <w:pPr>
        <w:rPr>
          <w:rFonts w:cs="Arial"/>
          <w:snapToGrid w:val="0"/>
          <w:lang w:eastAsia="en-US"/>
        </w:rPr>
      </w:pPr>
      <w:r>
        <w:rPr>
          <w:rFonts w:cs="Arial"/>
          <w:snapToGrid w:val="0"/>
          <w:lang w:eastAsia="en-US"/>
        </w:rPr>
        <w:t xml:space="preserve">The </w:t>
      </w:r>
      <w:r w:rsidR="00BA62AE">
        <w:rPr>
          <w:rFonts w:cs="Arial"/>
          <w:snapToGrid w:val="0"/>
          <w:lang w:eastAsia="en-US"/>
        </w:rPr>
        <w:t xml:space="preserve">parallel </w:t>
      </w:r>
      <w:r>
        <w:rPr>
          <w:rFonts w:cs="Arial"/>
          <w:snapToGrid w:val="0"/>
          <w:lang w:eastAsia="en-US"/>
        </w:rPr>
        <w:t>26</w:t>
      </w:r>
      <w:r w:rsidR="00BA62AE">
        <w:rPr>
          <w:rFonts w:cs="Arial"/>
          <w:snapToGrid w:val="0"/>
          <w:lang w:eastAsia="en-US"/>
        </w:rPr>
        <w:t>/28</w:t>
      </w:r>
      <w:r>
        <w:rPr>
          <w:rFonts w:cs="Arial"/>
          <w:snapToGrid w:val="0"/>
          <w:lang w:eastAsia="en-US"/>
        </w:rPr>
        <w:t xml:space="preserve"> GHz </w:t>
      </w:r>
      <w:r w:rsidR="00D660CA">
        <w:rPr>
          <w:rFonts w:cs="Arial"/>
          <w:snapToGrid w:val="0"/>
          <w:lang w:eastAsia="en-US"/>
        </w:rPr>
        <w:t xml:space="preserve">band </w:t>
      </w:r>
      <w:r>
        <w:rPr>
          <w:rFonts w:cs="Arial"/>
          <w:snapToGrid w:val="0"/>
          <w:lang w:eastAsia="en-US"/>
        </w:rPr>
        <w:t>TLG looked at apparatus</w:t>
      </w:r>
      <w:r w:rsidR="00232832">
        <w:rPr>
          <w:rFonts w:cs="Arial"/>
          <w:snapToGrid w:val="0"/>
          <w:lang w:eastAsia="en-US"/>
        </w:rPr>
        <w:t>-</w:t>
      </w:r>
      <w:r>
        <w:rPr>
          <w:rFonts w:cs="Arial"/>
          <w:snapToGrid w:val="0"/>
          <w:lang w:eastAsia="en-US"/>
        </w:rPr>
        <w:t>licensing frameworks</w:t>
      </w:r>
      <w:r w:rsidR="00232832">
        <w:rPr>
          <w:rFonts w:cs="Arial"/>
          <w:snapToGrid w:val="0"/>
          <w:lang w:eastAsia="en-US"/>
        </w:rPr>
        <w:t>,</w:t>
      </w:r>
      <w:r>
        <w:rPr>
          <w:rFonts w:cs="Arial"/>
          <w:snapToGrid w:val="0"/>
          <w:lang w:eastAsia="en-US"/>
        </w:rPr>
        <w:t xml:space="preserve"> which are beyond the scope of this paper.</w:t>
      </w:r>
    </w:p>
    <w:p w14:paraId="44CF0588" w14:textId="77777777" w:rsidR="00F041F2" w:rsidRDefault="00F041F2" w:rsidP="00F041F2">
      <w:pPr>
        <w:pStyle w:val="Heading2"/>
      </w:pPr>
      <w:bookmarkStart w:id="30" w:name="_Toc513143738"/>
      <w:bookmarkStart w:id="31" w:name="_Toc514146652"/>
      <w:bookmarkStart w:id="32" w:name="_Toc45091019"/>
      <w:r>
        <w:t>Draft instruments for consultation</w:t>
      </w:r>
      <w:bookmarkEnd w:id="30"/>
      <w:bookmarkEnd w:id="31"/>
      <w:bookmarkEnd w:id="32"/>
    </w:p>
    <w:p w14:paraId="55141563" w14:textId="4D42D52F" w:rsidR="00F041F2" w:rsidRDefault="00F041F2" w:rsidP="00F041F2">
      <w:r>
        <w:rPr>
          <w:rFonts w:cs="Arial"/>
        </w:rPr>
        <w:t xml:space="preserve">Based on the outcomes of the 26 GHz </w:t>
      </w:r>
      <w:r w:rsidR="00D660CA">
        <w:rPr>
          <w:rFonts w:cs="Arial"/>
        </w:rPr>
        <w:t xml:space="preserve">band </w:t>
      </w:r>
      <w:r>
        <w:rPr>
          <w:rFonts w:cs="Arial"/>
        </w:rPr>
        <w:t xml:space="preserve">TLG, </w:t>
      </w:r>
      <w:r w:rsidR="00232832">
        <w:rPr>
          <w:rFonts w:cs="Arial"/>
        </w:rPr>
        <w:t>we have</w:t>
      </w:r>
      <w:r>
        <w:rPr>
          <w:rFonts w:cs="Arial"/>
        </w:rPr>
        <w:t xml:space="preserve"> drafted the relevant technical framework instruments</w:t>
      </w:r>
      <w:r w:rsidR="00232832">
        <w:rPr>
          <w:rFonts w:cs="Arial"/>
        </w:rPr>
        <w:t>—</w:t>
      </w:r>
      <w:r>
        <w:rPr>
          <w:rFonts w:cs="Arial"/>
        </w:rPr>
        <w:t xml:space="preserve">these are included at </w:t>
      </w:r>
      <w:r w:rsidRPr="00C02EF7">
        <w:rPr>
          <w:rFonts w:cs="Arial"/>
        </w:rPr>
        <w:t xml:space="preserve">Attachments </w:t>
      </w:r>
      <w:r w:rsidR="007E59F8" w:rsidRPr="00C02EF7">
        <w:rPr>
          <w:rFonts w:cs="Arial"/>
        </w:rPr>
        <w:t>A</w:t>
      </w:r>
      <w:r w:rsidR="00232832">
        <w:rPr>
          <w:rFonts w:cs="Arial"/>
        </w:rPr>
        <w:t>–</w:t>
      </w:r>
      <w:r w:rsidR="007E59F8" w:rsidRPr="00C02EF7">
        <w:rPr>
          <w:rFonts w:cs="Arial"/>
        </w:rPr>
        <w:t>D</w:t>
      </w:r>
      <w:r>
        <w:rPr>
          <w:rFonts w:cs="Arial"/>
        </w:rPr>
        <w:t>.</w:t>
      </w:r>
      <w:r w:rsidR="007E59F8">
        <w:rPr>
          <w:rFonts w:cs="Arial"/>
        </w:rPr>
        <w:t xml:space="preserve"> The </w:t>
      </w:r>
      <w:r w:rsidR="007E59F8">
        <w:t xml:space="preserve">sample licence included in the draft </w:t>
      </w:r>
      <w:r w:rsidR="00965BBF" w:rsidRPr="00965BBF">
        <w:t>m</w:t>
      </w:r>
      <w:r w:rsidR="007E59F8" w:rsidRPr="00965BBF">
        <w:t xml:space="preserve">arketing </w:t>
      </w:r>
      <w:r w:rsidR="00965BBF" w:rsidRPr="00965BBF">
        <w:t>p</w:t>
      </w:r>
      <w:r w:rsidR="007E59F8" w:rsidRPr="00965BBF">
        <w:t>lan</w:t>
      </w:r>
      <w:r w:rsidR="007E59F8">
        <w:t xml:space="preserve"> also forms </w:t>
      </w:r>
      <w:r w:rsidR="006A02FE">
        <w:t>part of the technical framework</w:t>
      </w:r>
      <w:r w:rsidR="00D927D6">
        <w:t xml:space="preserve">. </w:t>
      </w:r>
    </w:p>
    <w:p w14:paraId="5DCC4F82" w14:textId="22A65E55" w:rsidR="0028056D" w:rsidRDefault="000E049B" w:rsidP="0028056D">
      <w:pPr>
        <w:pStyle w:val="Paragraph"/>
        <w:rPr>
          <w:snapToGrid w:val="0"/>
          <w:lang w:eastAsia="en-US"/>
        </w:rPr>
      </w:pPr>
      <w:r>
        <w:rPr>
          <w:snapToGrid w:val="0"/>
          <w:lang w:eastAsia="en-US"/>
        </w:rPr>
        <w:t xml:space="preserve">While </w:t>
      </w:r>
      <w:r w:rsidR="00232832">
        <w:rPr>
          <w:snapToGrid w:val="0"/>
          <w:lang w:eastAsia="en-US"/>
        </w:rPr>
        <w:t>we</w:t>
      </w:r>
      <w:r>
        <w:rPr>
          <w:snapToGrid w:val="0"/>
          <w:lang w:eastAsia="en-US"/>
        </w:rPr>
        <w:t xml:space="preserve"> aim to resolve all </w:t>
      </w:r>
      <w:r w:rsidR="005B2B9B">
        <w:rPr>
          <w:snapToGrid w:val="0"/>
          <w:lang w:eastAsia="en-US"/>
        </w:rPr>
        <w:t xml:space="preserve">technical </w:t>
      </w:r>
      <w:r>
        <w:rPr>
          <w:snapToGrid w:val="0"/>
          <w:lang w:eastAsia="en-US"/>
        </w:rPr>
        <w:t xml:space="preserve">issues during </w:t>
      </w:r>
      <w:r w:rsidR="003F3BAB">
        <w:rPr>
          <w:snapToGrid w:val="0"/>
          <w:lang w:eastAsia="en-US"/>
        </w:rPr>
        <w:t>a</w:t>
      </w:r>
      <w:r>
        <w:rPr>
          <w:snapToGrid w:val="0"/>
          <w:lang w:eastAsia="en-US"/>
        </w:rPr>
        <w:t xml:space="preserve"> TLG</w:t>
      </w:r>
      <w:r w:rsidR="003F3BAB">
        <w:rPr>
          <w:snapToGrid w:val="0"/>
          <w:lang w:eastAsia="en-US"/>
        </w:rPr>
        <w:t xml:space="preserve"> process</w:t>
      </w:r>
      <w:r>
        <w:rPr>
          <w:snapToGrid w:val="0"/>
          <w:lang w:eastAsia="en-US"/>
        </w:rPr>
        <w:t xml:space="preserve">, </w:t>
      </w:r>
      <w:r w:rsidR="00232832">
        <w:rPr>
          <w:snapToGrid w:val="0"/>
          <w:lang w:eastAsia="en-US"/>
        </w:rPr>
        <w:t xml:space="preserve">it </w:t>
      </w:r>
      <w:r>
        <w:rPr>
          <w:snapToGrid w:val="0"/>
          <w:lang w:eastAsia="en-US"/>
        </w:rPr>
        <w:t>is not always possible. At the conclusion of the 26 GHz band TLG</w:t>
      </w:r>
      <w:r w:rsidR="005B2B9B">
        <w:rPr>
          <w:snapToGrid w:val="0"/>
          <w:lang w:eastAsia="en-US"/>
        </w:rPr>
        <w:t xml:space="preserve">, </w:t>
      </w:r>
      <w:r>
        <w:rPr>
          <w:snapToGrid w:val="0"/>
          <w:lang w:eastAsia="en-US"/>
        </w:rPr>
        <w:t xml:space="preserve">there </w:t>
      </w:r>
      <w:r w:rsidR="00F96F02">
        <w:rPr>
          <w:snapToGrid w:val="0"/>
          <w:lang w:eastAsia="en-US"/>
        </w:rPr>
        <w:t>were</w:t>
      </w:r>
      <w:r>
        <w:rPr>
          <w:snapToGrid w:val="0"/>
          <w:lang w:eastAsia="en-US"/>
        </w:rPr>
        <w:t xml:space="preserve"> still some diverging views within the TLG membership</w:t>
      </w:r>
      <w:r w:rsidR="00D660CA">
        <w:rPr>
          <w:snapToGrid w:val="0"/>
          <w:lang w:eastAsia="en-US"/>
        </w:rPr>
        <w:t xml:space="preserve">. One </w:t>
      </w:r>
      <w:proofErr w:type="gramStart"/>
      <w:r w:rsidR="00D660CA">
        <w:rPr>
          <w:snapToGrid w:val="0"/>
          <w:lang w:eastAsia="en-US"/>
        </w:rPr>
        <w:t>particular issue</w:t>
      </w:r>
      <w:proofErr w:type="gramEnd"/>
      <w:r w:rsidR="00D660CA">
        <w:rPr>
          <w:snapToGrid w:val="0"/>
          <w:lang w:eastAsia="en-US"/>
        </w:rPr>
        <w:t xml:space="preserve"> related to </w:t>
      </w:r>
      <w:r w:rsidR="007506CD">
        <w:rPr>
          <w:snapToGrid w:val="0"/>
          <w:lang w:eastAsia="en-US"/>
        </w:rPr>
        <w:t xml:space="preserve">total radiated </w:t>
      </w:r>
      <w:r w:rsidR="005B2B9B">
        <w:rPr>
          <w:snapToGrid w:val="0"/>
          <w:lang w:eastAsia="en-US"/>
        </w:rPr>
        <w:t xml:space="preserve">power </w:t>
      </w:r>
      <w:r w:rsidR="007506CD">
        <w:rPr>
          <w:snapToGrid w:val="0"/>
          <w:lang w:eastAsia="en-US"/>
        </w:rPr>
        <w:t xml:space="preserve">(TRP) </w:t>
      </w:r>
      <w:r w:rsidR="005B2B9B">
        <w:rPr>
          <w:snapToGrid w:val="0"/>
          <w:lang w:eastAsia="en-US"/>
        </w:rPr>
        <w:t>limits for coexistence conditions</w:t>
      </w:r>
      <w:r w:rsidR="00D660CA">
        <w:rPr>
          <w:snapToGrid w:val="0"/>
          <w:lang w:eastAsia="en-US"/>
        </w:rPr>
        <w:t>.</w:t>
      </w:r>
      <w:r w:rsidR="007506CD">
        <w:rPr>
          <w:snapToGrid w:val="0"/>
          <w:lang w:eastAsia="en-US"/>
        </w:rPr>
        <w:t xml:space="preserve"> </w:t>
      </w:r>
      <w:r w:rsidR="00232832">
        <w:rPr>
          <w:snapToGrid w:val="0"/>
          <w:lang w:eastAsia="en-US"/>
        </w:rPr>
        <w:t>We</w:t>
      </w:r>
      <w:r w:rsidR="007506CD" w:rsidRPr="00630E88">
        <w:t xml:space="preserve"> indicated to the TLG that higher TRP limits could be considered if this increase is accompanied </w:t>
      </w:r>
      <w:r w:rsidR="00232832">
        <w:t>by</w:t>
      </w:r>
      <w:r w:rsidR="00232832" w:rsidRPr="00630E88">
        <w:t xml:space="preserve"> </w:t>
      </w:r>
      <w:r w:rsidR="007506CD" w:rsidRPr="00630E88">
        <w:t xml:space="preserve">additional mitigation measures to maintain coexistence with satellite services. </w:t>
      </w:r>
      <w:r w:rsidR="00232832">
        <w:rPr>
          <w:snapToGrid w:val="0"/>
          <w:lang w:eastAsia="en-US"/>
        </w:rPr>
        <w:t>While we were</w:t>
      </w:r>
      <w:r w:rsidR="007506CD">
        <w:rPr>
          <w:snapToGrid w:val="0"/>
          <w:lang w:eastAsia="en-US"/>
        </w:rPr>
        <w:t xml:space="preserve"> </w:t>
      </w:r>
      <w:r>
        <w:rPr>
          <w:snapToGrid w:val="0"/>
          <w:lang w:eastAsia="en-US"/>
        </w:rPr>
        <w:t>open to receiving additional information from stakeholders prior to public consultation on the proposed technical framework</w:t>
      </w:r>
      <w:r w:rsidR="007506CD">
        <w:rPr>
          <w:snapToGrid w:val="0"/>
          <w:lang w:eastAsia="en-US"/>
        </w:rPr>
        <w:t xml:space="preserve">, no </w:t>
      </w:r>
      <w:r w:rsidR="006F2B2F">
        <w:rPr>
          <w:snapToGrid w:val="0"/>
          <w:lang w:eastAsia="en-US"/>
        </w:rPr>
        <w:t xml:space="preserve">agreed proposals </w:t>
      </w:r>
      <w:r w:rsidR="007506CD">
        <w:rPr>
          <w:snapToGrid w:val="0"/>
          <w:lang w:eastAsia="en-US"/>
        </w:rPr>
        <w:t>were received.</w:t>
      </w:r>
      <w:r w:rsidR="006F2B2F">
        <w:rPr>
          <w:snapToGrid w:val="0"/>
          <w:lang w:eastAsia="en-US"/>
        </w:rPr>
        <w:t xml:space="preserve"> In this paper</w:t>
      </w:r>
      <w:r w:rsidR="00232832">
        <w:rPr>
          <w:snapToGrid w:val="0"/>
          <w:lang w:eastAsia="en-US"/>
        </w:rPr>
        <w:t>,</w:t>
      </w:r>
      <w:r w:rsidR="006F2B2F">
        <w:rPr>
          <w:snapToGrid w:val="0"/>
          <w:lang w:eastAsia="en-US"/>
        </w:rPr>
        <w:t xml:space="preserve"> we have </w:t>
      </w:r>
      <w:r w:rsidR="007506CD">
        <w:rPr>
          <w:snapToGrid w:val="0"/>
          <w:lang w:eastAsia="en-US"/>
        </w:rPr>
        <w:t>considered w</w:t>
      </w:r>
      <w:r w:rsidR="006F2B2F">
        <w:rPr>
          <w:snapToGrid w:val="0"/>
          <w:lang w:eastAsia="en-US"/>
        </w:rPr>
        <w:t>hat additional flexibility could be offered</w:t>
      </w:r>
      <w:r w:rsidR="007506CD">
        <w:rPr>
          <w:snapToGrid w:val="0"/>
          <w:lang w:eastAsia="en-US"/>
        </w:rPr>
        <w:t xml:space="preserve"> in technical conditions. T</w:t>
      </w:r>
      <w:r>
        <w:rPr>
          <w:snapToGrid w:val="0"/>
          <w:lang w:eastAsia="en-US"/>
        </w:rPr>
        <w:t xml:space="preserve">he rationale for </w:t>
      </w:r>
      <w:r w:rsidR="007506CD">
        <w:rPr>
          <w:snapToGrid w:val="0"/>
          <w:lang w:eastAsia="en-US"/>
        </w:rPr>
        <w:t xml:space="preserve">providing additional flexibility on power limits </w:t>
      </w:r>
      <w:r>
        <w:rPr>
          <w:snapToGrid w:val="0"/>
          <w:lang w:eastAsia="en-US"/>
        </w:rPr>
        <w:t xml:space="preserve">is discussed in subsequent sections of this paper. </w:t>
      </w:r>
      <w:bookmarkStart w:id="33" w:name="_Toc513143739"/>
      <w:bookmarkStart w:id="34" w:name="_Toc514146653"/>
    </w:p>
    <w:p w14:paraId="39B790F5" w14:textId="194CD251" w:rsidR="00B44557" w:rsidRPr="006D46E5" w:rsidRDefault="00B44557" w:rsidP="0028056D">
      <w:pPr>
        <w:pStyle w:val="Heading2"/>
      </w:pPr>
      <w:bookmarkStart w:id="35" w:name="_Toc45091020"/>
      <w:r>
        <w:lastRenderedPageBreak/>
        <w:t xml:space="preserve">Conditions </w:t>
      </w:r>
      <w:r w:rsidR="003F3BAB">
        <w:t>i</w:t>
      </w:r>
      <w:r>
        <w:t>n the spectrum licence</w:t>
      </w:r>
      <w:bookmarkEnd w:id="33"/>
      <w:bookmarkEnd w:id="34"/>
      <w:bookmarkEnd w:id="35"/>
      <w:r w:rsidRPr="006D46E5">
        <w:t xml:space="preserve"> </w:t>
      </w:r>
    </w:p>
    <w:p w14:paraId="5240E2F1" w14:textId="6C61DEA5" w:rsidR="00B44557" w:rsidRDefault="00B44557" w:rsidP="00B44557">
      <w:pPr>
        <w:spacing w:before="80" w:after="80"/>
        <w:rPr>
          <w:rFonts w:cs="Arial"/>
          <w:bCs/>
          <w:iCs/>
        </w:rPr>
      </w:pPr>
      <w:r w:rsidRPr="00FA1D98">
        <w:rPr>
          <w:rFonts w:cs="Arial"/>
          <w:bCs/>
          <w:iCs/>
        </w:rPr>
        <w:t>Each spectrum licence includes both core and statutory conditions</w:t>
      </w:r>
      <w:r>
        <w:rPr>
          <w:rFonts w:cs="Arial"/>
          <w:bCs/>
          <w:iCs/>
        </w:rPr>
        <w:t xml:space="preserve"> specified under relevant sections of the Act</w:t>
      </w:r>
      <w:r w:rsidRPr="00FA1D98">
        <w:rPr>
          <w:rFonts w:cs="Arial"/>
          <w:bCs/>
          <w:iCs/>
        </w:rPr>
        <w:t xml:space="preserve">. </w:t>
      </w:r>
      <w:r>
        <w:rPr>
          <w:rFonts w:cs="Arial"/>
          <w:bCs/>
          <w:iCs/>
        </w:rPr>
        <w:t xml:space="preserve">The Act also </w:t>
      </w:r>
      <w:r w:rsidR="00232832">
        <w:rPr>
          <w:rFonts w:cs="Arial"/>
          <w:bCs/>
          <w:iCs/>
        </w:rPr>
        <w:t>allows us to include</w:t>
      </w:r>
      <w:r>
        <w:rPr>
          <w:rFonts w:cs="Arial"/>
          <w:bCs/>
          <w:iCs/>
        </w:rPr>
        <w:t xml:space="preserve"> </w:t>
      </w:r>
      <w:r w:rsidRPr="00FA1D98">
        <w:rPr>
          <w:rFonts w:cs="Arial"/>
          <w:bCs/>
          <w:iCs/>
        </w:rPr>
        <w:t>other specific conditions</w:t>
      </w:r>
      <w:r>
        <w:rPr>
          <w:rFonts w:cs="Arial"/>
          <w:bCs/>
          <w:iCs/>
        </w:rPr>
        <w:t>.</w:t>
      </w:r>
    </w:p>
    <w:p w14:paraId="1E4F0C86" w14:textId="08E46685" w:rsidR="00B44557" w:rsidRDefault="00B44557" w:rsidP="00B44557">
      <w:pPr>
        <w:pStyle w:val="ListBullet"/>
      </w:pPr>
      <w:r w:rsidRPr="000C11FA">
        <w:rPr>
          <w:b/>
        </w:rPr>
        <w:t>Core conditions</w:t>
      </w:r>
      <w:r>
        <w:t>—required</w:t>
      </w:r>
      <w:r w:rsidRPr="00BF54C7">
        <w:t xml:space="preserve"> under section 66</w:t>
      </w:r>
      <w:r>
        <w:t xml:space="preserve">, these </w:t>
      </w:r>
      <w:r w:rsidRPr="00BF54C7">
        <w:t xml:space="preserve">define the spectrum space within </w:t>
      </w:r>
      <w:r w:rsidRPr="009928F7">
        <w:t>which</w:t>
      </w:r>
      <w:r w:rsidRPr="00BF54C7">
        <w:t xml:space="preserve"> the licensee is authorised to operate radiocommunications devices</w:t>
      </w:r>
      <w:r>
        <w:t>,</w:t>
      </w:r>
      <w:r w:rsidRPr="00BF54C7">
        <w:t xml:space="preserve"> and the maximum permitted level of radio emissions </w:t>
      </w:r>
      <w:r w:rsidR="00D660CA">
        <w:t>in parts of the spectrum outside of the band or outside of the area</w:t>
      </w:r>
      <w:r w:rsidRPr="00BF54C7">
        <w:t>. These conditions are included in all spectrum licences.</w:t>
      </w:r>
    </w:p>
    <w:p w14:paraId="59A02368" w14:textId="0279B154" w:rsidR="00B44557" w:rsidRDefault="00B44557" w:rsidP="00B44557">
      <w:pPr>
        <w:pStyle w:val="ListBullet"/>
      </w:pPr>
      <w:r w:rsidRPr="000C11FA">
        <w:rPr>
          <w:b/>
        </w:rPr>
        <w:t>Statutory conditions</w:t>
      </w:r>
      <w:r>
        <w:t>—</w:t>
      </w:r>
      <w:r w:rsidRPr="009928F7">
        <w:t>required</w:t>
      </w:r>
      <w:r w:rsidRPr="00BF54C7">
        <w:t xml:space="preserve"> under sections 67 to 69A</w:t>
      </w:r>
      <w:r w:rsidR="00D660CA">
        <w:t xml:space="preserve"> of the Act</w:t>
      </w:r>
      <w:r>
        <w:t xml:space="preserve">, these </w:t>
      </w:r>
      <w:r w:rsidRPr="00BF54C7">
        <w:t xml:space="preserve">include </w:t>
      </w:r>
      <w:r w:rsidR="00D660CA">
        <w:t>requirements</w:t>
      </w:r>
      <w:r>
        <w:t xml:space="preserve"> </w:t>
      </w:r>
      <w:r w:rsidRPr="00BF54C7">
        <w:t>about payment of charges, use by third parties, residency, registration of transmitters and devices exempt from registration. These conditions are included in all spectrum licences.</w:t>
      </w:r>
    </w:p>
    <w:p w14:paraId="6F7B257E" w14:textId="11948D07" w:rsidR="00B44557" w:rsidRDefault="00B44557" w:rsidP="00B44557">
      <w:pPr>
        <w:pStyle w:val="ListBulletLast"/>
      </w:pPr>
      <w:r w:rsidRPr="000C11FA">
        <w:rPr>
          <w:b/>
        </w:rPr>
        <w:t>Other conditions</w:t>
      </w:r>
      <w:r>
        <w:t>—</w:t>
      </w:r>
      <w:r w:rsidR="00232832">
        <w:t xml:space="preserve">these are </w:t>
      </w:r>
      <w:r w:rsidRPr="00BF54C7">
        <w:t xml:space="preserve">placed on licences under section 71 </w:t>
      </w:r>
      <w:r w:rsidR="00232832">
        <w:t xml:space="preserve">and </w:t>
      </w:r>
      <w:r>
        <w:t>generally</w:t>
      </w:r>
      <w:r w:rsidRPr="00BF54C7">
        <w:t xml:space="preserve"> provide for the efficient management of the spectrum and administration of the Act. These conditions may vary from one band or licence to another.</w:t>
      </w:r>
    </w:p>
    <w:p w14:paraId="625A555F" w14:textId="669B7D5D" w:rsidR="00B44557" w:rsidRDefault="00B44557" w:rsidP="00F042B1">
      <w:pPr>
        <w:pStyle w:val="Paragraphbeforelist"/>
      </w:pPr>
      <w:r w:rsidRPr="00B9508D">
        <w:t>The core conditions of a spectrum licence form the fundamental building blocks for operation of a spectrum-licensed device</w:t>
      </w:r>
      <w:r>
        <w:t>,</w:t>
      </w:r>
      <w:r w:rsidRPr="00B9508D">
        <w:t xml:space="preserve"> and for managing interference with adjacent frequency bands and geographic areas. Section 66 of the Act</w:t>
      </w:r>
      <w:r>
        <w:t xml:space="preserve"> states spectrum licences must </w:t>
      </w:r>
      <w:r w:rsidRPr="00B9508D">
        <w:t>specif</w:t>
      </w:r>
      <w:r>
        <w:t>y</w:t>
      </w:r>
      <w:r w:rsidRPr="00B9508D">
        <w:t xml:space="preserve"> the following core conditions:</w:t>
      </w:r>
    </w:p>
    <w:p w14:paraId="3E8A0E6E" w14:textId="77777777" w:rsidR="00B44557" w:rsidRDefault="00B44557" w:rsidP="00F042B1">
      <w:pPr>
        <w:pStyle w:val="Bulletlevel1"/>
      </w:pPr>
      <w:r w:rsidRPr="00ED036E">
        <w:t xml:space="preserve">the part or parts of the spectrum in which operation of radiocommunications devices is </w:t>
      </w:r>
      <w:r w:rsidRPr="009928F7">
        <w:t>authorised</w:t>
      </w:r>
      <w:r w:rsidRPr="00ED036E">
        <w:t xml:space="preserve"> under the licence (frequency range of operation)</w:t>
      </w:r>
    </w:p>
    <w:p w14:paraId="51586189" w14:textId="7839DD61" w:rsidR="00B44557" w:rsidRDefault="00B44557" w:rsidP="00F042B1">
      <w:pPr>
        <w:pStyle w:val="Bulletlevel1"/>
      </w:pPr>
      <w:r w:rsidRPr="00ED036E">
        <w:t xml:space="preserve">the maximum permitted level of radio emission, in parts of the spectrum outside the frequency </w:t>
      </w:r>
      <w:r w:rsidRPr="009928F7">
        <w:t>range</w:t>
      </w:r>
      <w:r w:rsidRPr="00ED036E">
        <w:t xml:space="preserve"> specified on the licence, that may be caused by operation of radiocommunications devices under the licence (out</w:t>
      </w:r>
      <w:r w:rsidR="007537E7">
        <w:t>-of</w:t>
      </w:r>
      <w:r w:rsidRPr="00ED036E">
        <w:t xml:space="preserve">-band </w:t>
      </w:r>
      <w:r w:rsidR="007537E7">
        <w:t>core condition</w:t>
      </w:r>
      <w:r w:rsidRPr="00ED036E">
        <w:t>)</w:t>
      </w:r>
    </w:p>
    <w:p w14:paraId="46A29ADD" w14:textId="77777777" w:rsidR="00B44557" w:rsidRDefault="00B44557" w:rsidP="00F042B1">
      <w:pPr>
        <w:pStyle w:val="Bulletlevel1"/>
      </w:pPr>
      <w:r w:rsidRPr="00ED036E">
        <w:t xml:space="preserve">the area within </w:t>
      </w:r>
      <w:r w:rsidRPr="009928F7">
        <w:t>which</w:t>
      </w:r>
      <w:r w:rsidRPr="00ED036E">
        <w:t xml:space="preserve"> operation of radiocommunications devices is authorised under the licence (geographic area of operation)</w:t>
      </w:r>
    </w:p>
    <w:p w14:paraId="671BDECF" w14:textId="08180CBD" w:rsidR="00B44557" w:rsidRDefault="00B44557" w:rsidP="00F042B1">
      <w:pPr>
        <w:pStyle w:val="Bulletlevel1last"/>
      </w:pPr>
      <w:r w:rsidRPr="00ED036E">
        <w:t>the maximum permitted level of radio emission that may be caused by the operation of radiocommunications devices under the licence (out</w:t>
      </w:r>
      <w:r w:rsidR="007537E7">
        <w:t>-of</w:t>
      </w:r>
      <w:r w:rsidRPr="00ED036E">
        <w:t>-area</w:t>
      </w:r>
      <w:r w:rsidR="007537E7">
        <w:t xml:space="preserve"> core condition</w:t>
      </w:r>
      <w:r w:rsidRPr="00ED036E">
        <w:t>).</w:t>
      </w:r>
    </w:p>
    <w:p w14:paraId="17260840" w14:textId="3830672D" w:rsidR="00F66136" w:rsidRDefault="00F66136" w:rsidP="00011534">
      <w:pPr>
        <w:pStyle w:val="Paragraph"/>
      </w:pPr>
      <w:r>
        <w:t>The proposed sample licence is</w:t>
      </w:r>
      <w:r w:rsidR="00824E63">
        <w:t xml:space="preserve"> included in the draft </w:t>
      </w:r>
      <w:r w:rsidR="00965BBF">
        <w:t>m</w:t>
      </w:r>
      <w:r w:rsidR="00824E63">
        <w:t xml:space="preserve">arketing </w:t>
      </w:r>
      <w:r w:rsidR="00965BBF">
        <w:t>p</w:t>
      </w:r>
      <w:r w:rsidR="00824E63">
        <w:t>lan</w:t>
      </w:r>
      <w:r w:rsidR="008F481E">
        <w:t>.</w:t>
      </w:r>
      <w:r>
        <w:t xml:space="preserve"> </w:t>
      </w:r>
      <w:r w:rsidRPr="00B9508D">
        <w:t xml:space="preserve">Some of the key </w:t>
      </w:r>
      <w:r w:rsidR="007537E7">
        <w:t>aspects</w:t>
      </w:r>
      <w:r>
        <w:t xml:space="preserve"> are</w:t>
      </w:r>
      <w:r w:rsidR="00011534">
        <w:t xml:space="preserve"> discussed below.</w:t>
      </w:r>
    </w:p>
    <w:p w14:paraId="29174503" w14:textId="08F1469A" w:rsidR="00F66136" w:rsidRDefault="00011534" w:rsidP="00011534">
      <w:pPr>
        <w:pStyle w:val="Heading3"/>
      </w:pPr>
      <w:r>
        <w:t>C</w:t>
      </w:r>
      <w:r w:rsidR="00002ED5">
        <w:t xml:space="preserve">ore </w:t>
      </w:r>
      <w:r w:rsidR="00002ED5" w:rsidRPr="00011534">
        <w:t>conditions</w:t>
      </w:r>
    </w:p>
    <w:p w14:paraId="28284605" w14:textId="63DC637C" w:rsidR="00011534" w:rsidRPr="00011534" w:rsidRDefault="00011534" w:rsidP="00F042B1">
      <w:pPr>
        <w:pStyle w:val="Paragraphbeforelist"/>
      </w:pPr>
      <w:r>
        <w:t>This comprises:</w:t>
      </w:r>
    </w:p>
    <w:p w14:paraId="3E3901C8" w14:textId="266E05CA" w:rsidR="00FF22F6" w:rsidRDefault="00011534" w:rsidP="00F042B1">
      <w:pPr>
        <w:pStyle w:val="ListBullet"/>
      </w:pPr>
      <w:r>
        <w:t>o</w:t>
      </w:r>
      <w:r w:rsidR="00FF22F6">
        <w:t>ut-of-band core condition</w:t>
      </w:r>
      <w:r>
        <w:t>:</w:t>
      </w:r>
    </w:p>
    <w:p w14:paraId="2C063DCF" w14:textId="7CE340A0" w:rsidR="00FF22F6" w:rsidRPr="00011534" w:rsidRDefault="00011534" w:rsidP="00F042B1">
      <w:pPr>
        <w:pStyle w:val="ListBullet2"/>
      </w:pPr>
      <w:r w:rsidRPr="00011534">
        <w:t>a</w:t>
      </w:r>
      <w:r w:rsidR="00FF22F6" w:rsidRPr="00011534">
        <w:t xml:space="preserve">lignment </w:t>
      </w:r>
      <w:r w:rsidR="00CA6CE4" w:rsidRPr="00011534">
        <w:t xml:space="preserve">of unwanted emission limits </w:t>
      </w:r>
      <w:r w:rsidR="00FF22F6" w:rsidRPr="00011534">
        <w:t>with international equipment standards</w:t>
      </w:r>
    </w:p>
    <w:p w14:paraId="067DF41C" w14:textId="536E5B07" w:rsidR="00FF22F6" w:rsidRPr="00011534" w:rsidRDefault="00011534" w:rsidP="00F042B1">
      <w:pPr>
        <w:pStyle w:val="ListBullet2"/>
      </w:pPr>
      <w:r w:rsidRPr="00011534">
        <w:t>a</w:t>
      </w:r>
      <w:r w:rsidR="00FF22F6" w:rsidRPr="00011534">
        <w:t>dditional unwanted emission limits are included to protect sensitive passive earth exploration satellite services (EESS) in the adjacent 23.6</w:t>
      </w:r>
      <w:r w:rsidRPr="00011534">
        <w:t>–</w:t>
      </w:r>
      <w:r w:rsidR="00FF22F6" w:rsidRPr="00011534">
        <w:t>24 GHz band. These limits align with those agreed at WRC-19</w:t>
      </w:r>
    </w:p>
    <w:p w14:paraId="290A9BB5" w14:textId="6EE96B84" w:rsidR="00FF22F6" w:rsidRDefault="00011534" w:rsidP="00F042B1">
      <w:pPr>
        <w:pStyle w:val="ListBullet2"/>
      </w:pPr>
      <w:r w:rsidRPr="00011534">
        <w:t>h</w:t>
      </w:r>
      <w:r w:rsidR="00FF22F6" w:rsidRPr="00011534">
        <w:t>igher</w:t>
      </w:r>
      <w:r w:rsidR="00FF22F6">
        <w:t xml:space="preserve"> unwanted emissions are permitted in the frequency range 24.7</w:t>
      </w:r>
      <w:r>
        <w:t>–</w:t>
      </w:r>
      <w:r w:rsidR="00FF22F6">
        <w:t>29.5 GHz range if agreement can be reach</w:t>
      </w:r>
      <w:r w:rsidR="003F3BAB">
        <w:t>ed</w:t>
      </w:r>
      <w:r w:rsidR="00FF22F6">
        <w:t xml:space="preserve"> with affected spectrum and apparatus licensees (known as a core condition agreement)</w:t>
      </w:r>
    </w:p>
    <w:p w14:paraId="4D5657AD" w14:textId="0DFE889A" w:rsidR="00D57C2D" w:rsidRDefault="00011534" w:rsidP="00F042B1">
      <w:pPr>
        <w:pStyle w:val="Bulletlevel1"/>
      </w:pPr>
      <w:r>
        <w:t>o</w:t>
      </w:r>
      <w:r w:rsidR="00002ED5">
        <w:t>ut-of-area core condition</w:t>
      </w:r>
      <w:r>
        <w:t>:</w:t>
      </w:r>
      <w:r w:rsidR="00002ED5">
        <w:t xml:space="preserve"> </w:t>
      </w:r>
    </w:p>
    <w:p w14:paraId="566DF9D9" w14:textId="78CB23A7" w:rsidR="00364B17" w:rsidRDefault="00011534" w:rsidP="00F042B1">
      <w:pPr>
        <w:pStyle w:val="Bulletlevel2"/>
      </w:pPr>
      <w:r w:rsidRPr="00011534">
        <w:t>m</w:t>
      </w:r>
      <w:r w:rsidR="00364B17" w:rsidRPr="00011534">
        <w:t>aximum</w:t>
      </w:r>
      <w:r w:rsidR="00364B17">
        <w:t xml:space="preserve"> </w:t>
      </w:r>
      <w:r w:rsidR="00364B17" w:rsidRPr="008D4A57">
        <w:t xml:space="preserve">total radiated power </w:t>
      </w:r>
      <w:r w:rsidR="00364B17">
        <w:t xml:space="preserve">(TRP) </w:t>
      </w:r>
      <w:r w:rsidR="00364B17" w:rsidRPr="008D4A57">
        <w:t>limits</w:t>
      </w:r>
      <w:r w:rsidR="00364B17">
        <w:t xml:space="preserve"> of:</w:t>
      </w:r>
    </w:p>
    <w:p w14:paraId="3874C2F8" w14:textId="0BC493EA" w:rsidR="0063561B" w:rsidRDefault="0063561B" w:rsidP="00F042B1">
      <w:pPr>
        <w:pStyle w:val="ListBullet2"/>
        <w:keepNext/>
        <w:keepLines/>
        <w:tabs>
          <w:tab w:val="clear" w:pos="845"/>
          <w:tab w:val="num" w:pos="1396"/>
        </w:tabs>
        <w:ind w:left="1396"/>
      </w:pPr>
      <w:r>
        <w:lastRenderedPageBreak/>
        <w:t>45 dBm/200 for transmitters in 25.1</w:t>
      </w:r>
      <w:r w:rsidR="00011534">
        <w:t>–</w:t>
      </w:r>
      <w:r w:rsidR="003D5540">
        <w:t>2</w:t>
      </w:r>
      <w:r>
        <w:t xml:space="preserve">7 GHz </w:t>
      </w:r>
    </w:p>
    <w:p w14:paraId="2B2027C4" w14:textId="32532F66" w:rsidR="0063561B" w:rsidRDefault="0063561B" w:rsidP="0063561B">
      <w:pPr>
        <w:pStyle w:val="ListBullet2"/>
        <w:tabs>
          <w:tab w:val="clear" w:pos="845"/>
          <w:tab w:val="num" w:pos="1396"/>
        </w:tabs>
        <w:ind w:left="1396"/>
      </w:pPr>
      <w:r>
        <w:t>42 dBm/200 MHz for transmitters in 27</w:t>
      </w:r>
      <w:r w:rsidR="00011534">
        <w:t>–</w:t>
      </w:r>
      <w:r>
        <w:t xml:space="preserve">27.5 </w:t>
      </w:r>
      <w:r w:rsidR="008F481E">
        <w:t xml:space="preserve">GHz </w:t>
      </w:r>
      <w:r>
        <w:t>and located outside gateway footprint areas</w:t>
      </w:r>
      <w:r w:rsidR="00D10C4E">
        <w:rPr>
          <w:rStyle w:val="FootnoteReference"/>
        </w:rPr>
        <w:footnoteReference w:id="6"/>
      </w:r>
    </w:p>
    <w:p w14:paraId="463963A8" w14:textId="38069B3F" w:rsidR="0063561B" w:rsidRDefault="0063561B" w:rsidP="00084C97">
      <w:pPr>
        <w:pStyle w:val="ListBullet2"/>
        <w:tabs>
          <w:tab w:val="clear" w:pos="845"/>
          <w:tab w:val="num" w:pos="1396"/>
        </w:tabs>
        <w:ind w:left="1396"/>
      </w:pPr>
      <w:r>
        <w:t>30 dBm/200 MHz for transmitters in 27</w:t>
      </w:r>
      <w:r w:rsidR="00011534">
        <w:t>–</w:t>
      </w:r>
      <w:r>
        <w:t>27.5 GHz located inside gateway footprint areas</w:t>
      </w:r>
    </w:p>
    <w:p w14:paraId="1CC3C031" w14:textId="4163E2B2" w:rsidR="00364B17" w:rsidRDefault="00011534" w:rsidP="00F042B1">
      <w:pPr>
        <w:pStyle w:val="Bulletlevel2last"/>
      </w:pPr>
      <w:r>
        <w:t>n</w:t>
      </w:r>
      <w:r w:rsidR="00364B17">
        <w:t>o provision to permit operation above the prescribed TRP limits via a core condition agreement</w:t>
      </w:r>
      <w:r>
        <w:t>.</w:t>
      </w:r>
    </w:p>
    <w:p w14:paraId="1F4824D5" w14:textId="57CB761E" w:rsidR="00002ED5" w:rsidRDefault="00CA6CE4" w:rsidP="00F042B1">
      <w:pPr>
        <w:pStyle w:val="Paragraph"/>
      </w:pPr>
      <w:r>
        <w:t>S</w:t>
      </w:r>
      <w:r w:rsidR="0037255D">
        <w:t xml:space="preserve">ee the </w:t>
      </w:r>
      <w:r w:rsidR="0037255D" w:rsidRPr="00F042B1">
        <w:rPr>
          <w:i/>
          <w:iCs/>
        </w:rPr>
        <w:fldChar w:fldCharType="begin"/>
      </w:r>
      <w:r w:rsidR="0037255D" w:rsidRPr="00F042B1">
        <w:rPr>
          <w:i/>
          <w:iCs/>
        </w:rPr>
        <w:instrText xml:space="preserve"> REF _Ref42604859 \h  \* MERGEFORMAT </w:instrText>
      </w:r>
      <w:r w:rsidR="0037255D" w:rsidRPr="00F042B1">
        <w:rPr>
          <w:i/>
          <w:iCs/>
        </w:rPr>
      </w:r>
      <w:r w:rsidR="0037255D" w:rsidRPr="00F042B1">
        <w:rPr>
          <w:i/>
          <w:iCs/>
        </w:rPr>
        <w:fldChar w:fldCharType="separate"/>
      </w:r>
      <w:r w:rsidR="0037255D" w:rsidRPr="00F042B1">
        <w:rPr>
          <w:i/>
          <w:iCs/>
        </w:rPr>
        <w:t>T</w:t>
      </w:r>
      <w:r w:rsidR="002162A0" w:rsidRPr="00F042B1">
        <w:rPr>
          <w:i/>
          <w:iCs/>
        </w:rPr>
        <w:t>RP</w:t>
      </w:r>
      <w:r w:rsidR="0037255D" w:rsidRPr="00F042B1">
        <w:rPr>
          <w:i/>
          <w:iCs/>
        </w:rPr>
        <w:t xml:space="preserve"> limit and coexistence with space </w:t>
      </w:r>
      <w:r w:rsidR="00E13C11" w:rsidRPr="00F042B1">
        <w:rPr>
          <w:i/>
          <w:iCs/>
        </w:rPr>
        <w:t xml:space="preserve">receive </w:t>
      </w:r>
      <w:r w:rsidR="0037255D" w:rsidRPr="00F042B1">
        <w:rPr>
          <w:i/>
          <w:iCs/>
        </w:rPr>
        <w:t>station</w:t>
      </w:r>
      <w:r w:rsidR="00E13C11" w:rsidRPr="00F042B1">
        <w:rPr>
          <w:i/>
          <w:iCs/>
        </w:rPr>
        <w:t>s</w:t>
      </w:r>
      <w:r w:rsidR="0037255D" w:rsidRPr="00F042B1">
        <w:rPr>
          <w:i/>
          <w:iCs/>
        </w:rPr>
        <w:fldChar w:fldCharType="end"/>
      </w:r>
      <w:r w:rsidR="0037255D">
        <w:t xml:space="preserve"> section for</w:t>
      </w:r>
      <w:r w:rsidR="00364B17">
        <w:t xml:space="preserve"> further information</w:t>
      </w:r>
      <w:r w:rsidR="00D57C2D">
        <w:t>.</w:t>
      </w:r>
    </w:p>
    <w:p w14:paraId="6964B3A0" w14:textId="2FFC921E" w:rsidR="00975A70" w:rsidRDefault="00975A70" w:rsidP="00F042B1">
      <w:pPr>
        <w:pStyle w:val="Heading3"/>
      </w:pPr>
      <w:r>
        <w:t>Statutory conditions</w:t>
      </w:r>
    </w:p>
    <w:p w14:paraId="6D638721" w14:textId="47E7CDF3" w:rsidR="00975A70" w:rsidRDefault="00EE3263" w:rsidP="00F042B1">
      <w:pPr>
        <w:pStyle w:val="ListBullet"/>
      </w:pPr>
      <w:r>
        <w:t>Spectrum licensed t</w:t>
      </w:r>
      <w:r w:rsidR="00975A70">
        <w:t xml:space="preserve">ransmitters </w:t>
      </w:r>
      <w:r>
        <w:t>are to b</w:t>
      </w:r>
      <w:r w:rsidR="00975A70">
        <w:t>e registered before they can be operated, unless specifically exempt</w:t>
      </w:r>
      <w:r>
        <w:t>.</w:t>
      </w:r>
    </w:p>
    <w:p w14:paraId="59ECC5FF" w14:textId="33A2834F" w:rsidR="00975A70" w:rsidRDefault="00975A70" w:rsidP="00F042B1">
      <w:pPr>
        <w:pStyle w:val="ListBullet"/>
      </w:pPr>
      <w:r>
        <w:t xml:space="preserve">The following </w:t>
      </w:r>
      <w:r w:rsidRPr="007277D3">
        <w:t>transmitters</w:t>
      </w:r>
      <w:r>
        <w:t xml:space="preserve"> are exempt from registration:</w:t>
      </w:r>
    </w:p>
    <w:p w14:paraId="7ACF1F63" w14:textId="161D6428" w:rsidR="00975A70" w:rsidRDefault="007277D3" w:rsidP="00F042B1">
      <w:pPr>
        <w:pStyle w:val="ListBullet2"/>
      </w:pPr>
      <w:r w:rsidRPr="007277D3">
        <w:t>t</w:t>
      </w:r>
      <w:r w:rsidR="00975A70" w:rsidRPr="007277D3">
        <w:t>ransmitters</w:t>
      </w:r>
      <w:r w:rsidR="00975A70">
        <w:t xml:space="preserve"> with a TRP less than or equal to 23 dBm per occupied bandwidth</w:t>
      </w:r>
    </w:p>
    <w:p w14:paraId="19A119E5" w14:textId="6225B82A" w:rsidR="00975A70" w:rsidRDefault="007277D3" w:rsidP="00F042B1">
      <w:pPr>
        <w:pStyle w:val="ListBullet2"/>
      </w:pPr>
      <w:r>
        <w:t>t</w:t>
      </w:r>
      <w:r w:rsidR="00975A70" w:rsidRPr="007277D3">
        <w:t>ransmitters</w:t>
      </w:r>
      <w:r w:rsidR="00975A70">
        <w:t xml:space="preserve"> located indoors</w:t>
      </w:r>
    </w:p>
    <w:p w14:paraId="1E43E3DE" w14:textId="5C171A65" w:rsidR="00975A70" w:rsidRDefault="007277D3" w:rsidP="00F042B1">
      <w:pPr>
        <w:pStyle w:val="Bulletlevel2last"/>
      </w:pPr>
      <w:r>
        <w:t>f</w:t>
      </w:r>
      <w:r w:rsidR="00975A70" w:rsidRPr="007277D3">
        <w:t>ixed</w:t>
      </w:r>
      <w:r w:rsidR="00975A70">
        <w:t xml:space="preserve"> transmitters</w:t>
      </w:r>
      <w:r w:rsidR="00562577">
        <w:t xml:space="preserve"> </w:t>
      </w:r>
      <w:r w:rsidR="0040735B">
        <w:t xml:space="preserve">that </w:t>
      </w:r>
      <w:r w:rsidR="00562577">
        <w:t xml:space="preserve">are not base stations </w:t>
      </w:r>
      <w:r w:rsidR="0040735B">
        <w:t>and</w:t>
      </w:r>
      <w:r w:rsidR="00562577">
        <w:t xml:space="preserve"> operate </w:t>
      </w:r>
      <w:r w:rsidR="0040735B">
        <w:t xml:space="preserve">with </w:t>
      </w:r>
      <w:r w:rsidR="00975A70">
        <w:t xml:space="preserve">a TRP </w:t>
      </w:r>
      <w:r w:rsidR="00640514">
        <w:t xml:space="preserve">greater than </w:t>
      </w:r>
      <w:r w:rsidR="00562577">
        <w:t>23</w:t>
      </w:r>
      <w:r w:rsidR="00640514">
        <w:t xml:space="preserve"> dBm and less than or equal to 3</w:t>
      </w:r>
      <w:r w:rsidR="00562577">
        <w:t>5</w:t>
      </w:r>
      <w:r w:rsidR="00975A70">
        <w:t xml:space="preserve"> dBm</w:t>
      </w:r>
      <w:r w:rsidR="00562577">
        <w:t xml:space="preserve"> per occupied bandwidth</w:t>
      </w:r>
      <w:r w:rsidR="00975A70">
        <w:t>.</w:t>
      </w:r>
    </w:p>
    <w:p w14:paraId="5B500B94" w14:textId="7D5C72A6" w:rsidR="00975A70" w:rsidRDefault="00067928" w:rsidP="00F042B1">
      <w:pPr>
        <w:pStyle w:val="Heading3"/>
      </w:pPr>
      <w:r>
        <w:t>Other conditions</w:t>
      </w:r>
    </w:p>
    <w:p w14:paraId="3F00B5F0" w14:textId="5917F2EA" w:rsidR="00067928" w:rsidRDefault="00067928" w:rsidP="00F042B1">
      <w:pPr>
        <w:pStyle w:val="ListBullet"/>
      </w:pPr>
      <w:r>
        <w:t>Record keeping</w:t>
      </w:r>
      <w:r w:rsidR="007277D3">
        <w:t>—</w:t>
      </w:r>
      <w:r>
        <w:t>there are additional record</w:t>
      </w:r>
      <w:r w:rsidR="007277D3">
        <w:t>-</w:t>
      </w:r>
      <w:r>
        <w:t xml:space="preserve">keeping requirements for transmitters at communal sites and </w:t>
      </w:r>
      <w:r w:rsidR="0040735B">
        <w:t xml:space="preserve">for </w:t>
      </w:r>
      <w:r>
        <w:t>fixed</w:t>
      </w:r>
      <w:r w:rsidR="0040735B">
        <w:t xml:space="preserve"> outdoor transmitters</w:t>
      </w:r>
      <w:r w:rsidR="002876DA">
        <w:t xml:space="preserve"> (</w:t>
      </w:r>
      <w:r w:rsidR="0040735B">
        <w:t>which are not base stations</w:t>
      </w:r>
      <w:r w:rsidR="002876DA">
        <w:t>)</w:t>
      </w:r>
      <w:r w:rsidR="0040735B">
        <w:t xml:space="preserve"> that operate with </w:t>
      </w:r>
      <w:r>
        <w:t>a TRP in 23</w:t>
      </w:r>
      <w:r w:rsidR="007277D3">
        <w:t>–</w:t>
      </w:r>
      <w:r>
        <w:t>35 dBm. This condition requires licensees to keep a record of the transmitter’s key technical details and make these records available to the ACMA on request.</w:t>
      </w:r>
    </w:p>
    <w:p w14:paraId="157512A5" w14:textId="77777777" w:rsidR="00067928" w:rsidRDefault="00067928" w:rsidP="00F042B1">
      <w:pPr>
        <w:pStyle w:val="ListBullet"/>
      </w:pPr>
      <w:r>
        <w:t>Fallback synchronisation requirement:</w:t>
      </w:r>
    </w:p>
    <w:p w14:paraId="4758F3BF" w14:textId="06CED8F9" w:rsidR="00067928" w:rsidRDefault="00067928" w:rsidP="00F042B1">
      <w:pPr>
        <w:pStyle w:val="ListBullet2"/>
      </w:pPr>
      <w:r>
        <w:t>If interference occurs between spectrum</w:t>
      </w:r>
      <w:r w:rsidR="007277D3">
        <w:t>-</w:t>
      </w:r>
      <w:r>
        <w:t xml:space="preserve">licensed </w:t>
      </w:r>
      <w:r w:rsidR="002876DA">
        <w:t>devices</w:t>
      </w:r>
      <w:r>
        <w:t xml:space="preserve"> (or with devices</w:t>
      </w:r>
      <w:r w:rsidR="00D66B6C">
        <w:t xml:space="preserve"> operated under an AWL</w:t>
      </w:r>
      <w:r>
        <w:t xml:space="preserve">, other than earth stations), and a resolution cannot be </w:t>
      </w:r>
      <w:r w:rsidRPr="007277D3">
        <w:t>negotiated</w:t>
      </w:r>
      <w:r>
        <w:t xml:space="preserve"> between affected parties, </w:t>
      </w:r>
      <w:r w:rsidR="00F14443">
        <w:t xml:space="preserve">a </w:t>
      </w:r>
      <w:r>
        <w:t>spectrum licensee</w:t>
      </w:r>
      <w:r w:rsidR="00F14443">
        <w:t xml:space="preserve"> i</w:t>
      </w:r>
      <w:r>
        <w:t xml:space="preserve">s required to synchronise </w:t>
      </w:r>
      <w:r w:rsidR="00D66B6C">
        <w:t>its</w:t>
      </w:r>
      <w:r>
        <w:t xml:space="preserve"> device</w:t>
      </w:r>
      <w:r w:rsidR="00F14443">
        <w:t>(</w:t>
      </w:r>
      <w:r>
        <w:t>s</w:t>
      </w:r>
      <w:r w:rsidR="00F14443">
        <w:t>)</w:t>
      </w:r>
      <w:r w:rsidR="002876DA">
        <w:t xml:space="preserve"> with</w:t>
      </w:r>
      <w:r w:rsidR="00F14443">
        <w:t xml:space="preserve"> the</w:t>
      </w:r>
      <w:r w:rsidR="002876DA">
        <w:t xml:space="preserve"> affected devices operated by other licensees</w:t>
      </w:r>
      <w:r>
        <w:t xml:space="preserve"> (limited only to </w:t>
      </w:r>
      <w:r w:rsidR="00D66B6C">
        <w:t xml:space="preserve">those </w:t>
      </w:r>
      <w:r>
        <w:t>devices causing</w:t>
      </w:r>
      <w:r w:rsidR="00D66B6C">
        <w:t xml:space="preserve"> or </w:t>
      </w:r>
      <w:r>
        <w:t>receiving interference).</w:t>
      </w:r>
    </w:p>
    <w:p w14:paraId="3A8BBBE1" w14:textId="1EEBC07C" w:rsidR="00067928" w:rsidRDefault="00067928" w:rsidP="00F042B1">
      <w:pPr>
        <w:pStyle w:val="ListBullet2"/>
      </w:pPr>
      <w:r>
        <w:t>The uplink/downlink configuration to use when the synchronisation requirement is triggered is proposed to be contained in</w:t>
      </w:r>
      <w:r w:rsidR="00800DA2">
        <w:t xml:space="preserve"> </w:t>
      </w:r>
      <w:r w:rsidR="00800DA2" w:rsidRPr="00722A7C">
        <w:t>section 3.</w:t>
      </w:r>
      <w:r w:rsidR="00CA7910" w:rsidRPr="00722A7C">
        <w:t>4</w:t>
      </w:r>
      <w:r w:rsidR="00800DA2" w:rsidRPr="00722A7C">
        <w:t xml:space="preserve"> of </w:t>
      </w:r>
      <w:r w:rsidRPr="00722A7C">
        <w:t>draft</w:t>
      </w:r>
      <w:r w:rsidR="006C2C44" w:rsidRPr="00722A7C">
        <w:t xml:space="preserve"> RALI</w:t>
      </w:r>
      <w:r w:rsidR="002162A0" w:rsidRPr="00722A7C">
        <w:t xml:space="preserve"> </w:t>
      </w:r>
      <w:r w:rsidR="006C2C44" w:rsidRPr="00722A7C">
        <w:t>[new]</w:t>
      </w:r>
      <w:r w:rsidR="00800DA2">
        <w:t xml:space="preserve"> at </w:t>
      </w:r>
      <w:r w:rsidR="00800DA2" w:rsidRPr="008F481E">
        <w:t>A</w:t>
      </w:r>
      <w:r w:rsidR="00BE645D" w:rsidRPr="008F481E">
        <w:t xml:space="preserve">ttachment </w:t>
      </w:r>
      <w:r w:rsidR="00800DA2" w:rsidRPr="008F481E">
        <w:t>E</w:t>
      </w:r>
      <w:r w:rsidRPr="008F481E">
        <w:t>.</w:t>
      </w:r>
    </w:p>
    <w:p w14:paraId="0EA77105" w14:textId="4F789D73" w:rsidR="00047EC3" w:rsidRDefault="00F14443" w:rsidP="00F042B1">
      <w:pPr>
        <w:pStyle w:val="ListBullet2"/>
      </w:pPr>
      <w:r>
        <w:t>T</w:t>
      </w:r>
      <w:r w:rsidR="00047EC3">
        <w:t xml:space="preserve">he 26 </w:t>
      </w:r>
      <w:r w:rsidR="00047EC3" w:rsidRPr="007277D3">
        <w:t>GHz</w:t>
      </w:r>
      <w:r w:rsidR="00047EC3">
        <w:t xml:space="preserve"> </w:t>
      </w:r>
      <w:r w:rsidR="00D66B6C">
        <w:t>band</w:t>
      </w:r>
      <w:r w:rsidR="00047EC3">
        <w:t xml:space="preserve"> TLG did not </w:t>
      </w:r>
      <w:r w:rsidR="007277D3">
        <w:t xml:space="preserve">settle </w:t>
      </w:r>
      <w:r w:rsidR="00047EC3">
        <w:t xml:space="preserve">on the uplink/downlink configuration to use when the fallback synchronisation requirement is triggered. Two options are included in section </w:t>
      </w:r>
      <w:r w:rsidR="00047EC3" w:rsidRPr="005B30A4">
        <w:t>3.</w:t>
      </w:r>
      <w:r w:rsidR="00CA7910" w:rsidRPr="005B30A4">
        <w:t>4</w:t>
      </w:r>
      <w:r w:rsidR="00047EC3">
        <w:t xml:space="preserve"> of the </w:t>
      </w:r>
      <w:r w:rsidR="00047EC3" w:rsidRPr="00722A7C">
        <w:t>draft RALI</w:t>
      </w:r>
      <w:r w:rsidR="002162A0" w:rsidRPr="00722A7C">
        <w:t xml:space="preserve"> </w:t>
      </w:r>
      <w:r w:rsidR="00047EC3" w:rsidRPr="00722A7C">
        <w:t>[new</w:t>
      </w:r>
      <w:r w:rsidR="00047EC3">
        <w:t xml:space="preserve">]. Both options are sourced from 3GPP </w:t>
      </w:r>
      <w:r w:rsidR="00DC6CA1">
        <w:t xml:space="preserve">documentation </w:t>
      </w:r>
      <w:r w:rsidR="00047EC3">
        <w:t>and</w:t>
      </w:r>
      <w:r>
        <w:t>,</w:t>
      </w:r>
      <w:r w:rsidR="00047EC3">
        <w:t xml:space="preserve"> in </w:t>
      </w:r>
      <w:r w:rsidR="007277D3">
        <w:t>our</w:t>
      </w:r>
      <w:r w:rsidR="00047EC3">
        <w:t xml:space="preserve"> </w:t>
      </w:r>
      <w:r>
        <w:t xml:space="preserve">preliminary </w:t>
      </w:r>
      <w:r w:rsidR="00047EC3">
        <w:t>view</w:t>
      </w:r>
      <w:r>
        <w:t>,</w:t>
      </w:r>
      <w:r w:rsidR="00047EC3">
        <w:t xml:space="preserve"> </w:t>
      </w:r>
      <w:r>
        <w:t>are suitable for</w:t>
      </w:r>
      <w:r w:rsidR="00047EC3">
        <w:t xml:space="preserve"> synchronis</w:t>
      </w:r>
      <w:r>
        <w:t>ing</w:t>
      </w:r>
      <w:r w:rsidR="00047EC3">
        <w:t xml:space="preserve"> devices if/when required. </w:t>
      </w:r>
      <w:r>
        <w:t xml:space="preserve">As </w:t>
      </w:r>
      <w:r w:rsidR="00193EAF">
        <w:t xml:space="preserve">the fallback synchronisation requirement can </w:t>
      </w:r>
      <w:r>
        <w:t>only</w:t>
      </w:r>
      <w:r w:rsidR="00193EAF">
        <w:t xml:space="preserve"> detail</w:t>
      </w:r>
      <w:r>
        <w:t xml:space="preserve"> a single uplink/downlink configuration, </w:t>
      </w:r>
      <w:r w:rsidR="007277D3">
        <w:t>we are</w:t>
      </w:r>
      <w:r w:rsidR="00047EC3">
        <w:t xml:space="preserve"> seeking further stakeholder views on which configuration should be adopted into the technical framework.</w:t>
      </w:r>
    </w:p>
    <w:p w14:paraId="1DB38A3F" w14:textId="77777777" w:rsidR="00067928" w:rsidRDefault="00067928" w:rsidP="00F042B1">
      <w:pPr>
        <w:pStyle w:val="ListBullet"/>
      </w:pPr>
      <w:r>
        <w:t xml:space="preserve">Coexistence with </w:t>
      </w:r>
      <w:r w:rsidRPr="007277D3">
        <w:t>other</w:t>
      </w:r>
      <w:r>
        <w:t xml:space="preserve"> services:</w:t>
      </w:r>
    </w:p>
    <w:p w14:paraId="027687A6" w14:textId="0A74C0FB" w:rsidR="00AF74A0" w:rsidRDefault="00AF74A0" w:rsidP="00F042B1">
      <w:pPr>
        <w:pStyle w:val="ListBullet2"/>
      </w:pPr>
      <w:r>
        <w:t xml:space="preserve">To </w:t>
      </w:r>
      <w:r w:rsidRPr="007277D3">
        <w:t>manage</w:t>
      </w:r>
      <w:r>
        <w:t xml:space="preserve"> coexistence with the Canberra Deep Space Communications Complex at Tidbinbilla, spectrum</w:t>
      </w:r>
      <w:r w:rsidR="007277D3">
        <w:t>-</w:t>
      </w:r>
      <w:r>
        <w:t>licensed transmitters are not permitted to operate in the 25.5</w:t>
      </w:r>
      <w:r w:rsidR="007277D3">
        <w:t>–</w:t>
      </w:r>
      <w:r>
        <w:t xml:space="preserve">27 GHz range within the following HCIS cells: </w:t>
      </w:r>
      <w:r w:rsidRPr="00853499">
        <w:t>MW4H3, MW4H9, MW4L3, MW5I1</w:t>
      </w:r>
      <w:r>
        <w:t>.</w:t>
      </w:r>
    </w:p>
    <w:p w14:paraId="6CBF887E" w14:textId="1CC908C8" w:rsidR="00967507" w:rsidRDefault="00967507" w:rsidP="00F042B1">
      <w:pPr>
        <w:pStyle w:val="ListBullet2"/>
        <w:spacing w:after="240"/>
      </w:pPr>
      <w:r>
        <w:lastRenderedPageBreak/>
        <w:t xml:space="preserve">To </w:t>
      </w:r>
      <w:r w:rsidRPr="007277D3">
        <w:t>manage</w:t>
      </w:r>
      <w:r>
        <w:t xml:space="preserve"> coexistence with space </w:t>
      </w:r>
      <w:r w:rsidR="00D66B6C">
        <w:t xml:space="preserve">receive </w:t>
      </w:r>
      <w:r>
        <w:t>stations</w:t>
      </w:r>
      <w:r w:rsidR="00AF74A0">
        <w:t xml:space="preserve"> (including domestic fixed satellite services)</w:t>
      </w:r>
      <w:r>
        <w:t>, a</w:t>
      </w:r>
      <w:r w:rsidR="00067928">
        <w:t xml:space="preserve"> licence condition will</w:t>
      </w:r>
      <w:r>
        <w:t xml:space="preserve"> require adherence to the protection requirements contained in the draft </w:t>
      </w:r>
      <w:bookmarkStart w:id="36" w:name="_Hlk44935647"/>
      <w:r>
        <w:t xml:space="preserve">Radiocommunications Advisory Guidelines (Managing Interference from </w:t>
      </w:r>
      <w:r w:rsidRPr="00C209B0">
        <w:t xml:space="preserve">Spectrum Licensed Transmitters – 26 GHz Band) 2020 </w:t>
      </w:r>
      <w:r w:rsidR="00BB5A5C" w:rsidRPr="00C209B0">
        <w:t>(RAG Tx)</w:t>
      </w:r>
      <w:r w:rsidR="007277D3">
        <w:t>—</w:t>
      </w:r>
      <w:r w:rsidRPr="008F481E">
        <w:t xml:space="preserve">see </w:t>
      </w:r>
      <w:r w:rsidR="00AF74A0" w:rsidRPr="008F481E">
        <w:t>A</w:t>
      </w:r>
      <w:r w:rsidRPr="008F481E">
        <w:t xml:space="preserve">ttachment </w:t>
      </w:r>
      <w:r w:rsidR="0040735B" w:rsidRPr="008F481E">
        <w:t>B</w:t>
      </w:r>
      <w:bookmarkEnd w:id="36"/>
      <w:r w:rsidR="00067928" w:rsidRPr="008F481E">
        <w:t>.</w:t>
      </w:r>
      <w:r w:rsidR="00DC6CA1">
        <w:t xml:space="preserve"> These protection requirements are discussed further in the </w:t>
      </w:r>
      <w:r w:rsidR="00DC6CA1" w:rsidRPr="00DC6CA1">
        <w:rPr>
          <w:i/>
          <w:iCs/>
        </w:rPr>
        <w:fldChar w:fldCharType="begin"/>
      </w:r>
      <w:r w:rsidR="00DC6CA1" w:rsidRPr="00DC6CA1">
        <w:rPr>
          <w:i/>
          <w:iCs/>
        </w:rPr>
        <w:instrText xml:space="preserve"> REF _Ref42604859 \h </w:instrText>
      </w:r>
      <w:r w:rsidR="00DC6CA1">
        <w:rPr>
          <w:i/>
          <w:iCs/>
        </w:rPr>
        <w:instrText xml:space="preserve"> \* MERGEFORMAT </w:instrText>
      </w:r>
      <w:r w:rsidR="00DC6CA1" w:rsidRPr="00DC6CA1">
        <w:rPr>
          <w:i/>
          <w:iCs/>
        </w:rPr>
      </w:r>
      <w:r w:rsidR="00DC6CA1" w:rsidRPr="00DC6CA1">
        <w:rPr>
          <w:i/>
          <w:iCs/>
        </w:rPr>
        <w:fldChar w:fldCharType="separate"/>
      </w:r>
      <w:r w:rsidR="00DC6CA1" w:rsidRPr="00DC6CA1">
        <w:rPr>
          <w:i/>
          <w:iCs/>
        </w:rPr>
        <w:t>TR</w:t>
      </w:r>
      <w:r w:rsidR="00AF74A0">
        <w:rPr>
          <w:i/>
          <w:iCs/>
        </w:rPr>
        <w:t>P</w:t>
      </w:r>
      <w:r w:rsidR="00DC6CA1" w:rsidRPr="00DC6CA1">
        <w:rPr>
          <w:i/>
          <w:iCs/>
        </w:rPr>
        <w:t xml:space="preserve"> limit and coexistence with space </w:t>
      </w:r>
      <w:r w:rsidR="00D66B6C">
        <w:rPr>
          <w:i/>
          <w:iCs/>
        </w:rPr>
        <w:t xml:space="preserve">receive </w:t>
      </w:r>
      <w:r w:rsidR="00DC6CA1" w:rsidRPr="00DC6CA1">
        <w:rPr>
          <w:i/>
          <w:iCs/>
        </w:rPr>
        <w:t>stations</w:t>
      </w:r>
      <w:r w:rsidR="00DC6CA1" w:rsidRPr="00DC6CA1">
        <w:rPr>
          <w:i/>
          <w:iCs/>
        </w:rPr>
        <w:fldChar w:fldCharType="end"/>
      </w:r>
      <w:r w:rsidR="00DC6CA1">
        <w:t xml:space="preserve"> section.</w:t>
      </w:r>
      <w:r w:rsidR="00067928">
        <w:t xml:space="preserve"> </w:t>
      </w:r>
    </w:p>
    <w:p w14:paraId="219091A0" w14:textId="1D1F6B02" w:rsidR="00967507" w:rsidRDefault="00AF74A0" w:rsidP="00F042B1">
      <w:pPr>
        <w:pStyle w:val="Heading2"/>
      </w:pPr>
      <w:bookmarkStart w:id="37" w:name="_Ref42604859"/>
      <w:bookmarkStart w:id="38" w:name="_Toc45091021"/>
      <w:r>
        <w:t>T</w:t>
      </w:r>
      <w:r w:rsidR="00967507">
        <w:t>R</w:t>
      </w:r>
      <w:r w:rsidR="002013CD">
        <w:t>P</w:t>
      </w:r>
      <w:r w:rsidR="00967507">
        <w:t xml:space="preserve"> limit and coexistence with space receive</w:t>
      </w:r>
      <w:r w:rsidR="00C12D45">
        <w:t xml:space="preserve"> </w:t>
      </w:r>
      <w:r w:rsidR="00967507">
        <w:t>s</w:t>
      </w:r>
      <w:bookmarkEnd w:id="37"/>
      <w:r w:rsidR="00C12D45">
        <w:t>tations</w:t>
      </w:r>
      <w:bookmarkEnd w:id="38"/>
    </w:p>
    <w:p w14:paraId="42DEC084" w14:textId="5F28C40F" w:rsidR="00F1233B" w:rsidRDefault="00C12529" w:rsidP="00D26151">
      <w:r>
        <w:t>The 26 GHz band is currently used by domestic and international satellite services</w:t>
      </w:r>
      <w:r w:rsidR="00F1233B">
        <w:t>. Internationally, there are fixed-satellite and inter-satellite service</w:t>
      </w:r>
      <w:r w:rsidR="00EC55DC">
        <w:t>s</w:t>
      </w:r>
      <w:r w:rsidR="00F1233B">
        <w:t xml:space="preserve"> operating in 25.1</w:t>
      </w:r>
      <w:r w:rsidR="007277D3">
        <w:t>–</w:t>
      </w:r>
      <w:r w:rsidR="00F1233B">
        <w:t>27.5 GHz. Domestically, there are</w:t>
      </w:r>
      <w:r w:rsidR="00116F31">
        <w:t xml:space="preserve"> </w:t>
      </w:r>
      <w:r w:rsidR="00363271">
        <w:t>fixed satellite services</w:t>
      </w:r>
      <w:r w:rsidR="00116F31">
        <w:t xml:space="preserve"> operated </w:t>
      </w:r>
      <w:r w:rsidR="00BE2222">
        <w:t>a</w:t>
      </w:r>
      <w:r w:rsidR="007427D1">
        <w:t>t</w:t>
      </w:r>
      <w:r w:rsidR="00BE2222">
        <w:t xml:space="preserve"> discrete locations </w:t>
      </w:r>
      <w:r w:rsidR="00363271">
        <w:t>in 27</w:t>
      </w:r>
      <w:r w:rsidR="007277D3">
        <w:t>–</w:t>
      </w:r>
      <w:r w:rsidR="00363271">
        <w:t>27.5 GHz</w:t>
      </w:r>
      <w:r w:rsidR="007427D1">
        <w:t xml:space="preserve"> (and above)</w:t>
      </w:r>
      <w:r w:rsidR="00F1233B">
        <w:t>, including gateway uplinks operated by</w:t>
      </w:r>
      <w:r w:rsidR="0085373A">
        <w:t xml:space="preserve"> NBN Co Ltd</w:t>
      </w:r>
      <w:r w:rsidR="00F1233B">
        <w:t xml:space="preserve"> </w:t>
      </w:r>
      <w:r w:rsidR="0085373A">
        <w:t>(</w:t>
      </w:r>
      <w:r w:rsidR="007277D3">
        <w:t>NBN</w:t>
      </w:r>
      <w:r w:rsidR="0085373A">
        <w:t>)</w:t>
      </w:r>
      <w:r>
        <w:t xml:space="preserve">. </w:t>
      </w:r>
      <w:r w:rsidR="00F1233B">
        <w:t>These satellite services operate in the earth-to-space direction</w:t>
      </w:r>
      <w:r w:rsidR="007277D3">
        <w:t>, creating</w:t>
      </w:r>
      <w:r w:rsidR="00F1233B">
        <w:t xml:space="preserve"> a risk of interference from terrestrial services to </w:t>
      </w:r>
      <w:r w:rsidR="00C12D45">
        <w:t>space receive stations.</w:t>
      </w:r>
    </w:p>
    <w:p w14:paraId="30F8121B" w14:textId="613D2A9A" w:rsidR="00167A7F" w:rsidRPr="008D4A57" w:rsidRDefault="00BA3D21" w:rsidP="00167A7F">
      <w:r w:rsidRPr="00327FB2">
        <w:t xml:space="preserve">Australia is a member of the International Telecommunication Union (ITU) and has ratified the </w:t>
      </w:r>
      <w:r w:rsidRPr="00327FB2">
        <w:rPr>
          <w:i/>
          <w:iCs/>
        </w:rPr>
        <w:t xml:space="preserve">Constitution and Convention of the ITU. </w:t>
      </w:r>
      <w:r w:rsidRPr="00327FB2">
        <w:t>Under the Constitution, member states are bound to comply with the</w:t>
      </w:r>
      <w:r>
        <w:t xml:space="preserve"> </w:t>
      </w:r>
      <w:r w:rsidR="00167A7F" w:rsidRPr="008D4A57">
        <w:t xml:space="preserve">ITU’s Radio Regulations (RRs). Article 21 of the RRs </w:t>
      </w:r>
      <w:r w:rsidR="002E6376" w:rsidRPr="008D4A57">
        <w:t xml:space="preserve">(chapter 6) </w:t>
      </w:r>
      <w:r w:rsidR="00CF3579" w:rsidRPr="008D4A57">
        <w:t xml:space="preserve">contains provisions </w:t>
      </w:r>
      <w:r w:rsidR="00B91D2C">
        <w:t>that</w:t>
      </w:r>
      <w:r w:rsidR="00B91D2C" w:rsidRPr="008D4A57">
        <w:t xml:space="preserve"> </w:t>
      </w:r>
      <w:r w:rsidR="00CF3579" w:rsidRPr="008D4A57">
        <w:t>manage coexistence in frequency bands shared between terrestrial and satellite services above 1 GHz</w:t>
      </w:r>
      <w:r w:rsidR="002E6376" w:rsidRPr="008D4A57">
        <w:t>, including prescribed conducted and radiated emission limits on terrestrial services</w:t>
      </w:r>
      <w:r w:rsidR="00CF3579" w:rsidRPr="008D4A57">
        <w:t>.</w:t>
      </w:r>
      <w:r w:rsidR="00CF3579" w:rsidRPr="008D4A57">
        <w:rPr>
          <w:rStyle w:val="FootnoteReference"/>
        </w:rPr>
        <w:footnoteReference w:id="7"/>
      </w:r>
      <w:r w:rsidR="00CF3579" w:rsidRPr="008D4A57">
        <w:t xml:space="preserve"> </w:t>
      </w:r>
      <w:r w:rsidR="00EA1815" w:rsidRPr="008D4A57">
        <w:t xml:space="preserve">The ACMA must </w:t>
      </w:r>
      <w:r w:rsidR="00C43A14">
        <w:t>have regard to the</w:t>
      </w:r>
      <w:r w:rsidR="00B91D2C">
        <w:t xml:space="preserve"> </w:t>
      </w:r>
      <w:r w:rsidR="00EA1815" w:rsidRPr="008D4A57">
        <w:t>RRs</w:t>
      </w:r>
      <w:r w:rsidR="00167A7F" w:rsidRPr="008D4A57">
        <w:t xml:space="preserve"> in determining domestic planning arrangements.</w:t>
      </w:r>
      <w:r>
        <w:rPr>
          <w:rStyle w:val="FootnoteReference"/>
        </w:rPr>
        <w:footnoteReference w:id="8"/>
      </w:r>
      <w:r w:rsidR="00167A7F" w:rsidRPr="008D4A57">
        <w:t xml:space="preserve"> </w:t>
      </w:r>
    </w:p>
    <w:p w14:paraId="37DB7558" w14:textId="1B5483E9" w:rsidR="00167A7F" w:rsidRPr="008D4A57" w:rsidRDefault="00167A7F" w:rsidP="00F042B1">
      <w:pPr>
        <w:pStyle w:val="Paragraphbeforelist"/>
      </w:pPr>
      <w:r w:rsidRPr="008D4A57">
        <w:t>In the context of defining TRP</w:t>
      </w:r>
      <w:r w:rsidR="001253F8">
        <w:t xml:space="preserve"> limits</w:t>
      </w:r>
      <w:r w:rsidRPr="008D4A57">
        <w:t xml:space="preserve"> and </w:t>
      </w:r>
      <w:r w:rsidR="008309E5" w:rsidRPr="008D4A57">
        <w:t>e</w:t>
      </w:r>
      <w:r w:rsidR="008309E5">
        <w:t>quivalent</w:t>
      </w:r>
      <w:r w:rsidRPr="008D4A57">
        <w:t xml:space="preserve"> </w:t>
      </w:r>
      <w:proofErr w:type="spellStart"/>
      <w:r w:rsidRPr="008D4A57">
        <w:t>isotropic</w:t>
      </w:r>
      <w:r w:rsidR="008309E5">
        <w:t>ally</w:t>
      </w:r>
      <w:proofErr w:type="spellEnd"/>
      <w:r w:rsidRPr="008D4A57">
        <w:t xml:space="preserve"> radiated power (EIRP) limits in certain angular directions, we have had</w:t>
      </w:r>
      <w:r w:rsidR="003C6BBF" w:rsidRPr="008D4A57">
        <w:t xml:space="preserve"> </w:t>
      </w:r>
      <w:proofErr w:type="gramStart"/>
      <w:r w:rsidR="003C6BBF" w:rsidRPr="008D4A57">
        <w:t>particular</w:t>
      </w:r>
      <w:r w:rsidRPr="008D4A57">
        <w:t xml:space="preserve"> regard</w:t>
      </w:r>
      <w:proofErr w:type="gramEnd"/>
      <w:r w:rsidRPr="008D4A57">
        <w:t xml:space="preserve"> to</w:t>
      </w:r>
      <w:r w:rsidR="002E6376" w:rsidRPr="008D4A57">
        <w:t xml:space="preserve"> Articles 21.2, 21.3 and 21.5</w:t>
      </w:r>
      <w:r w:rsidR="00B91D2C">
        <w:t>,</w:t>
      </w:r>
      <w:r w:rsidR="002E6376" w:rsidRPr="008D4A57">
        <w:t xml:space="preserve"> which (respectively) deal with:</w:t>
      </w:r>
    </w:p>
    <w:p w14:paraId="73264BB7" w14:textId="4D82DF25" w:rsidR="002E6376" w:rsidRPr="008D4A57" w:rsidRDefault="002E6376" w:rsidP="00F042B1">
      <w:pPr>
        <w:pStyle w:val="Bulletlevel1"/>
      </w:pPr>
      <w:r w:rsidRPr="008D4A57">
        <w:t>EIRP limits for certain angles of separation from the geostationary orbit</w:t>
      </w:r>
    </w:p>
    <w:p w14:paraId="3FBF53C5" w14:textId="30B7782B" w:rsidR="002E6376" w:rsidRPr="008D4A57" w:rsidRDefault="002E6376" w:rsidP="00F042B1">
      <w:pPr>
        <w:pStyle w:val="Bulletlevel1"/>
      </w:pPr>
      <w:r w:rsidRPr="008D4A57">
        <w:t>maximum overall EIRP limits from a station in the fixed or mobile service</w:t>
      </w:r>
      <w:r w:rsidR="003C6BBF" w:rsidRPr="008D4A57">
        <w:t xml:space="preserve"> (55 dBW)</w:t>
      </w:r>
    </w:p>
    <w:p w14:paraId="315EDE18" w14:textId="0989C86A" w:rsidR="00EC55DC" w:rsidRPr="008D4A57" w:rsidRDefault="003C6BBF" w:rsidP="00F042B1">
      <w:pPr>
        <w:pStyle w:val="Bulletlevel1last"/>
      </w:pPr>
      <w:r w:rsidRPr="008D4A57">
        <w:t xml:space="preserve">total </w:t>
      </w:r>
      <w:r w:rsidR="00EA1815" w:rsidRPr="008D4A57">
        <w:t>power delivered to the antenna</w:t>
      </w:r>
      <w:r w:rsidRPr="008D4A57">
        <w:t xml:space="preserve"> for stations in the fixed or mobile service</w:t>
      </w:r>
      <w:r w:rsidR="00EC55DC" w:rsidRPr="008D4A57">
        <w:t xml:space="preserve"> </w:t>
      </w:r>
      <w:r w:rsidRPr="008D4A57">
        <w:t>(</w:t>
      </w:r>
      <w:r w:rsidR="00B91D2C" w:rsidRPr="008D4A57">
        <w:t>10</w:t>
      </w:r>
      <w:r w:rsidR="00B91D2C">
        <w:t> </w:t>
      </w:r>
      <w:r w:rsidR="00EC55DC" w:rsidRPr="008D4A57">
        <w:t xml:space="preserve">dBW </w:t>
      </w:r>
      <w:r w:rsidRPr="008D4A57">
        <w:t>above 10 GHz)</w:t>
      </w:r>
      <w:r w:rsidR="00EC55DC" w:rsidRPr="008D4A57">
        <w:t>.</w:t>
      </w:r>
      <w:r w:rsidR="00EC55DC" w:rsidRPr="008D4A57">
        <w:rPr>
          <w:rStyle w:val="FootnoteReference"/>
        </w:rPr>
        <w:footnoteReference w:id="9"/>
      </w:r>
      <w:r w:rsidR="00EC55DC" w:rsidRPr="008D4A57">
        <w:t xml:space="preserve">  </w:t>
      </w:r>
    </w:p>
    <w:p w14:paraId="1853486F" w14:textId="1B37C3B5" w:rsidR="00B91D2C" w:rsidRDefault="002E6376" w:rsidP="00F042B1">
      <w:pPr>
        <w:spacing w:after="120"/>
      </w:pPr>
      <w:r w:rsidRPr="008D4A57">
        <w:t xml:space="preserve">While Australia </w:t>
      </w:r>
      <w:r w:rsidR="00EC55DC" w:rsidRPr="008D4A57">
        <w:t>has international obligation</w:t>
      </w:r>
      <w:r w:rsidRPr="008D4A57">
        <w:t>s</w:t>
      </w:r>
      <w:r w:rsidR="00EC55DC" w:rsidRPr="008D4A57">
        <w:t xml:space="preserve"> to</w:t>
      </w:r>
      <w:r w:rsidR="00D82B28" w:rsidRPr="008D4A57">
        <w:t xml:space="preserve"> adhere to</w:t>
      </w:r>
      <w:r w:rsidR="00EC55DC" w:rsidRPr="008D4A57">
        <w:t xml:space="preserve"> the provisions in the </w:t>
      </w:r>
      <w:r w:rsidR="00B91D2C">
        <w:t>RRs</w:t>
      </w:r>
      <w:r w:rsidR="00EC55DC" w:rsidRPr="008D4A57">
        <w:t xml:space="preserve">, Article 4.4 </w:t>
      </w:r>
      <w:r w:rsidRPr="008D4A57">
        <w:t>of the RR</w:t>
      </w:r>
      <w:r w:rsidR="00B91D2C">
        <w:t>s</w:t>
      </w:r>
      <w:r w:rsidRPr="008D4A57">
        <w:t xml:space="preserve"> </w:t>
      </w:r>
      <w:r w:rsidR="00EC55DC" w:rsidRPr="008D4A57">
        <w:t>provide</w:t>
      </w:r>
      <w:r w:rsidR="00084C97">
        <w:t>s</w:t>
      </w:r>
      <w:r w:rsidR="00EC55DC" w:rsidRPr="008D4A57">
        <w:t xml:space="preserve"> some flexibility to allow the operation of stations </w:t>
      </w:r>
      <w:r w:rsidR="00B91D2C">
        <w:t>that</w:t>
      </w:r>
      <w:r w:rsidR="00B91D2C" w:rsidRPr="008D4A57">
        <w:t xml:space="preserve"> </w:t>
      </w:r>
      <w:r w:rsidR="00EC55DC" w:rsidRPr="008D4A57">
        <w:t>contravene the RR</w:t>
      </w:r>
      <w:r w:rsidR="00F72103" w:rsidRPr="008D4A57">
        <w:t>s</w:t>
      </w:r>
      <w:r w:rsidR="00B91D2C">
        <w:t>:</w:t>
      </w:r>
    </w:p>
    <w:p w14:paraId="2BEB94A6" w14:textId="53088B9E" w:rsidR="00B91D2C" w:rsidRPr="00F042B1" w:rsidRDefault="00EC55DC" w:rsidP="00F042B1">
      <w:pPr>
        <w:ind w:left="567" w:right="867"/>
        <w:rPr>
          <w:iCs/>
          <w:sz w:val="18"/>
          <w:szCs w:val="18"/>
        </w:rPr>
      </w:pPr>
      <w:r w:rsidRPr="008D4A57">
        <w:t xml:space="preserve"> </w:t>
      </w:r>
      <w:r w:rsidRPr="00F042B1">
        <w:rPr>
          <w:iCs/>
          <w:sz w:val="18"/>
          <w:szCs w:val="18"/>
        </w:rPr>
        <w:t>…on the express condition that such a station, when using such a frequency assignment, shall not cause harmful interference to, and shall not claim protection from harmful interference caused by, a station operating in accordance with the provision of the Constitution, the Convention and these Regulation</w:t>
      </w:r>
      <w:r w:rsidR="00D10C4E">
        <w:rPr>
          <w:iCs/>
          <w:sz w:val="18"/>
          <w:szCs w:val="18"/>
        </w:rPr>
        <w:t>s</w:t>
      </w:r>
      <w:r w:rsidRPr="00F042B1">
        <w:rPr>
          <w:iCs/>
          <w:sz w:val="18"/>
          <w:szCs w:val="18"/>
        </w:rPr>
        <w:t>.</w:t>
      </w:r>
      <w:r w:rsidR="002E6376" w:rsidRPr="00F042B1">
        <w:rPr>
          <w:iCs/>
          <w:sz w:val="18"/>
          <w:szCs w:val="18"/>
        </w:rPr>
        <w:t xml:space="preserve"> </w:t>
      </w:r>
    </w:p>
    <w:p w14:paraId="1F7AFFD5" w14:textId="4E6C4DA5" w:rsidR="00EC55DC" w:rsidRPr="00D21E9B" w:rsidRDefault="002E6376" w:rsidP="00EC55DC">
      <w:r w:rsidRPr="008D4A57">
        <w:t>In any case, while the proposals in this paper do not necessarily directly mirror the provisions of the abovementioned Articles under chapter 6 of the RR, they are broadly aligned with those provisions.</w:t>
      </w:r>
      <w:r w:rsidR="00EA1815" w:rsidRPr="008D4A57">
        <w:t xml:space="preserve"> </w:t>
      </w:r>
    </w:p>
    <w:p w14:paraId="0CAE4354" w14:textId="491F1DD2" w:rsidR="00C12529" w:rsidRDefault="00C12529" w:rsidP="00D26151">
      <w:r>
        <w:t xml:space="preserve">Placing a </w:t>
      </w:r>
      <w:r w:rsidR="00363271">
        <w:t>maximum power limit on spectrum</w:t>
      </w:r>
      <w:r w:rsidR="00C318BE">
        <w:t>-</w:t>
      </w:r>
      <w:r w:rsidR="00363271">
        <w:t>licensed transmitters</w:t>
      </w:r>
      <w:r>
        <w:t xml:space="preserve"> is </w:t>
      </w:r>
      <w:r w:rsidR="00363271">
        <w:t xml:space="preserve">one of </w:t>
      </w:r>
      <w:proofErr w:type="gramStart"/>
      <w:r w:rsidR="002E6376">
        <w:t>a number of</w:t>
      </w:r>
      <w:proofErr w:type="gramEnd"/>
      <w:r w:rsidR="002E6376">
        <w:t xml:space="preserve"> </w:t>
      </w:r>
      <w:r w:rsidR="00363271">
        <w:t xml:space="preserve">methods to </w:t>
      </w:r>
      <w:r>
        <w:t xml:space="preserve">enable terrestrial services to coexist with satellite services </w:t>
      </w:r>
      <w:r w:rsidR="00C318BE">
        <w:t xml:space="preserve">that </w:t>
      </w:r>
      <w:r>
        <w:t xml:space="preserve">operate </w:t>
      </w:r>
      <w:r>
        <w:lastRenderedPageBreak/>
        <w:t>in 25.1</w:t>
      </w:r>
      <w:r w:rsidR="00C318BE">
        <w:t>–</w:t>
      </w:r>
      <w:r>
        <w:t>27.5 GHz</w:t>
      </w:r>
      <w:r w:rsidR="00BE2222">
        <w:t xml:space="preserve"> (additional methods are discussed later in this section)</w:t>
      </w:r>
      <w:r>
        <w:t>. However, setting limits too low will unnecessarily restrict terrestrial deployments and degrade the utility of the band.</w:t>
      </w:r>
    </w:p>
    <w:p w14:paraId="6D78A7DB" w14:textId="7A22AA02" w:rsidR="00E97052" w:rsidRDefault="00DA0E1E" w:rsidP="00F042B1">
      <w:pPr>
        <w:pStyle w:val="Paragraphbeforelist"/>
      </w:pPr>
      <w:r>
        <w:t xml:space="preserve">In recognition </w:t>
      </w:r>
      <w:r w:rsidR="00BE2222">
        <w:t xml:space="preserve">of the domestic satellite services </w:t>
      </w:r>
      <w:r w:rsidR="00C318BE">
        <w:t xml:space="preserve">that </w:t>
      </w:r>
      <w:r w:rsidR="00BE2222">
        <w:t>currently operate in 27</w:t>
      </w:r>
      <w:r w:rsidR="00C318BE">
        <w:t>–</w:t>
      </w:r>
      <w:r w:rsidR="00BE2222">
        <w:t>27.5 GHz, as well as the conditions contained in</w:t>
      </w:r>
      <w:r>
        <w:t xml:space="preserve"> the ITU-R R</w:t>
      </w:r>
      <w:r w:rsidR="001253F8">
        <w:t>Rs</w:t>
      </w:r>
      <w:r w:rsidR="00BE2222">
        <w:t>,</w:t>
      </w:r>
      <w:r>
        <w:t xml:space="preserve"> t</w:t>
      </w:r>
      <w:r w:rsidR="00E97052">
        <w:t xml:space="preserve">he following maximum TRP limits were proposed in the </w:t>
      </w:r>
      <w:r w:rsidR="00DC6CA1">
        <w:t xml:space="preserve">26 GHz </w:t>
      </w:r>
      <w:r w:rsidR="003A2FF0">
        <w:t xml:space="preserve">band </w:t>
      </w:r>
      <w:r w:rsidR="00E97052">
        <w:t>T</w:t>
      </w:r>
      <w:r w:rsidR="00C12529">
        <w:t>LG</w:t>
      </w:r>
      <w:r w:rsidR="00E97052">
        <w:t>:</w:t>
      </w:r>
    </w:p>
    <w:p w14:paraId="6566A6EF" w14:textId="77777777" w:rsidR="00E97052" w:rsidRDefault="00E97052" w:rsidP="00F042B1">
      <w:pPr>
        <w:pStyle w:val="Bulletlevel1"/>
      </w:pPr>
      <w:r>
        <w:t>37 dBm/200 MHz for transmitters in the range:</w:t>
      </w:r>
    </w:p>
    <w:p w14:paraId="22073186" w14:textId="1EE0F947" w:rsidR="00E97052" w:rsidRDefault="00E97052" w:rsidP="00F042B1">
      <w:pPr>
        <w:pStyle w:val="ListBullet2"/>
      </w:pPr>
      <w:r>
        <w:t>25.1</w:t>
      </w:r>
      <w:r w:rsidR="00C318BE">
        <w:t>–</w:t>
      </w:r>
      <w:r>
        <w:t xml:space="preserve">27 GHz </w:t>
      </w:r>
    </w:p>
    <w:p w14:paraId="55F4CAEA" w14:textId="02985062" w:rsidR="00E97052" w:rsidRDefault="00E97052" w:rsidP="00F042B1">
      <w:pPr>
        <w:pStyle w:val="Bulletlevel2"/>
      </w:pPr>
      <w:r>
        <w:t>27</w:t>
      </w:r>
      <w:r w:rsidR="00C318BE">
        <w:t>–</w:t>
      </w:r>
      <w:r>
        <w:t xml:space="preserve">27.5 GHz and located outside of </w:t>
      </w:r>
      <w:r w:rsidR="00BB5A5C">
        <w:t xml:space="preserve">gateway </w:t>
      </w:r>
      <w:r>
        <w:t>footprint areas</w:t>
      </w:r>
    </w:p>
    <w:p w14:paraId="77E6F7CF" w14:textId="5DCCBF6E" w:rsidR="00E97052" w:rsidRDefault="00E97052" w:rsidP="00E97052">
      <w:pPr>
        <w:pStyle w:val="ListBulletLast"/>
      </w:pPr>
      <w:r>
        <w:t xml:space="preserve">25 dBm/200 MHz for </w:t>
      </w:r>
      <w:r w:rsidR="00BB5A5C">
        <w:t xml:space="preserve">outdoor </w:t>
      </w:r>
      <w:r>
        <w:t>transmitters in 27</w:t>
      </w:r>
      <w:r w:rsidR="00C318BE">
        <w:t>–</w:t>
      </w:r>
      <w:r>
        <w:t>27.5 GHz and located inside</w:t>
      </w:r>
      <w:r w:rsidR="00E13C11">
        <w:t xml:space="preserve"> a</w:t>
      </w:r>
      <w:r w:rsidR="00BB5A5C">
        <w:t xml:space="preserve"> gateway</w:t>
      </w:r>
      <w:r>
        <w:t xml:space="preserve"> footprint area. Additional antenna pointing restrictions were also proposed </w:t>
      </w:r>
      <w:r w:rsidR="00FE1293">
        <w:t>to be placed on</w:t>
      </w:r>
      <w:r>
        <w:t xml:space="preserve"> these transmitters.</w:t>
      </w:r>
    </w:p>
    <w:p w14:paraId="68651060" w14:textId="5A8B336E" w:rsidR="00E97052" w:rsidRDefault="002162A0" w:rsidP="00E97052">
      <w:pPr>
        <w:pStyle w:val="Paragraph"/>
      </w:pPr>
      <w:r>
        <w:t>T</w:t>
      </w:r>
      <w:r w:rsidR="00746535">
        <w:t>here was disagreement with</w:t>
      </w:r>
      <w:r w:rsidR="00361243">
        <w:t>in</w:t>
      </w:r>
      <w:r w:rsidR="00746535">
        <w:t xml:space="preserve"> the </w:t>
      </w:r>
      <w:r w:rsidR="003A2FF0">
        <w:t xml:space="preserve">26 GHz band </w:t>
      </w:r>
      <w:r w:rsidR="00DA0E1E">
        <w:t>TLG</w:t>
      </w:r>
      <w:r w:rsidR="00BB5A5C">
        <w:t xml:space="preserve"> </w:t>
      </w:r>
      <w:r w:rsidR="00746535">
        <w:t>on whether the</w:t>
      </w:r>
      <w:r w:rsidR="00E97052">
        <w:t xml:space="preserve"> proposed limits </w:t>
      </w:r>
      <w:r w:rsidR="00746535">
        <w:t xml:space="preserve">would be </w:t>
      </w:r>
      <w:r w:rsidR="00E97052">
        <w:t xml:space="preserve">too restrictive and </w:t>
      </w:r>
      <w:r w:rsidR="002928A5">
        <w:t xml:space="preserve">lead to </w:t>
      </w:r>
      <w:r w:rsidR="00E97052">
        <w:t>increase</w:t>
      </w:r>
      <w:r w:rsidR="00E13C11">
        <w:t>d</w:t>
      </w:r>
      <w:r w:rsidR="00E97052">
        <w:t xml:space="preserve"> deployment costs and</w:t>
      </w:r>
      <w:r w:rsidR="002928A5">
        <w:t xml:space="preserve"> a d</w:t>
      </w:r>
      <w:r w:rsidR="00E97052">
        <w:t>egrad</w:t>
      </w:r>
      <w:r w:rsidR="002928A5">
        <w:t>ation of the band</w:t>
      </w:r>
      <w:r w:rsidR="00746535">
        <w:t>’</w:t>
      </w:r>
      <w:r w:rsidR="002928A5">
        <w:t>s</w:t>
      </w:r>
      <w:r w:rsidR="00E97052">
        <w:t xml:space="preserve"> utility. It was also argued that studies considering the coexistence of terrestrial and satellite services showed large interference margins</w:t>
      </w:r>
      <w:r w:rsidR="00C318BE">
        <w:t>,</w:t>
      </w:r>
      <w:r w:rsidR="00E97052">
        <w:t xml:space="preserve"> which suggest</w:t>
      </w:r>
      <w:r w:rsidR="00E13C11">
        <w:t>ed</w:t>
      </w:r>
      <w:r w:rsidR="00E97052">
        <w:t xml:space="preserve"> that </w:t>
      </w:r>
      <w:r w:rsidR="00770B8F">
        <w:t>the</w:t>
      </w:r>
      <w:r w:rsidR="00E97052">
        <w:t xml:space="preserve"> TRP limits </w:t>
      </w:r>
      <w:r w:rsidR="00770B8F">
        <w:t xml:space="preserve">can be increased </w:t>
      </w:r>
      <w:r w:rsidR="00E32E76">
        <w:t>while still maintaining coexistence with</w:t>
      </w:r>
      <w:r w:rsidR="00770B8F">
        <w:t xml:space="preserve"> satellite services</w:t>
      </w:r>
      <w:r w:rsidR="00E97052">
        <w:t>.</w:t>
      </w:r>
    </w:p>
    <w:p w14:paraId="4BB446C3" w14:textId="229F64C5" w:rsidR="00E97052" w:rsidRDefault="00DA0E1E" w:rsidP="00E97052">
      <w:pPr>
        <w:pStyle w:val="Paragraph"/>
      </w:pPr>
      <w:r w:rsidRPr="007506CD">
        <w:t xml:space="preserve">In recognition of these concerns, </w:t>
      </w:r>
      <w:r w:rsidR="00C318BE">
        <w:t xml:space="preserve">we </w:t>
      </w:r>
      <w:r w:rsidRPr="007506CD">
        <w:t xml:space="preserve">indicated to the </w:t>
      </w:r>
      <w:r w:rsidR="003A2FF0">
        <w:t xml:space="preserve">26 GHz band </w:t>
      </w:r>
      <w:r w:rsidRPr="007506CD">
        <w:t xml:space="preserve">TLG that higher TRP limits could be considered if this increase is accompanied </w:t>
      </w:r>
      <w:r w:rsidR="00C318BE">
        <w:t>by</w:t>
      </w:r>
      <w:r w:rsidR="00C318BE" w:rsidRPr="007506CD">
        <w:t xml:space="preserve"> </w:t>
      </w:r>
      <w:r w:rsidRPr="007506CD">
        <w:t>additional mitigation measures to maintain coexistence with satellite services.</w:t>
      </w:r>
      <w:r w:rsidR="00E32E76" w:rsidRPr="007506CD">
        <w:t xml:space="preserve"> </w:t>
      </w:r>
      <w:r w:rsidR="00C318BE">
        <w:t>We</w:t>
      </w:r>
      <w:r w:rsidR="00E32E76" w:rsidRPr="007506CD">
        <w:t xml:space="preserve"> also noted that </w:t>
      </w:r>
      <w:r w:rsidR="00C318BE">
        <w:t>we</w:t>
      </w:r>
      <w:r w:rsidR="00C318BE" w:rsidRPr="007506CD">
        <w:t xml:space="preserve"> </w:t>
      </w:r>
      <w:r w:rsidR="00E32E76" w:rsidRPr="007506CD">
        <w:t xml:space="preserve">would expect any additional proposals brought forward after </w:t>
      </w:r>
      <w:r w:rsidR="00C710AA" w:rsidRPr="007506CD">
        <w:t>the</w:t>
      </w:r>
      <w:r w:rsidR="00E32E76" w:rsidRPr="007506CD">
        <w:t xml:space="preserve"> TLG process </w:t>
      </w:r>
      <w:r w:rsidR="00C710AA" w:rsidRPr="007506CD">
        <w:t>would</w:t>
      </w:r>
      <w:r w:rsidR="00E32E76" w:rsidRPr="007506CD">
        <w:t xml:space="preserve"> reflect an agreement reached between interested</w:t>
      </w:r>
      <w:r w:rsidR="003A2FF0">
        <w:t xml:space="preserve"> or </w:t>
      </w:r>
      <w:r w:rsidR="00E32E76" w:rsidRPr="007506CD">
        <w:t>affected stakeholders (specifically, stakeholders in the terrestrial wireless broadband and satellite sectors).</w:t>
      </w:r>
      <w:r w:rsidR="0096694B" w:rsidRPr="007506CD">
        <w:t xml:space="preserve"> While </w:t>
      </w:r>
      <w:r w:rsidR="00C318BE">
        <w:t xml:space="preserve">we are </w:t>
      </w:r>
      <w:r w:rsidR="0096694B" w:rsidRPr="007506CD">
        <w:t xml:space="preserve">aware that some discussions </w:t>
      </w:r>
      <w:r w:rsidR="007506CD" w:rsidRPr="003A2FF0">
        <w:t>were progressing,</w:t>
      </w:r>
      <w:r w:rsidR="0096694B" w:rsidRPr="007506CD">
        <w:t xml:space="preserve"> </w:t>
      </w:r>
      <w:r w:rsidR="0096694B" w:rsidRPr="00084C97">
        <w:t xml:space="preserve">no agreed proposals </w:t>
      </w:r>
      <w:r w:rsidR="007506CD" w:rsidRPr="00084C97">
        <w:t>were</w:t>
      </w:r>
      <w:r w:rsidR="006F2B2F" w:rsidRPr="00084C97">
        <w:t xml:space="preserve"> presented </w:t>
      </w:r>
      <w:r w:rsidR="00C318BE">
        <w:t>before</w:t>
      </w:r>
      <w:r w:rsidR="007506CD" w:rsidRPr="00084C97">
        <w:t xml:space="preserve"> the release of this paper</w:t>
      </w:r>
      <w:r w:rsidR="0096694B" w:rsidRPr="00084C97">
        <w:t>.</w:t>
      </w:r>
    </w:p>
    <w:p w14:paraId="26600D6C" w14:textId="6E9FCF35" w:rsidR="002162A0" w:rsidRDefault="002162A0" w:rsidP="00F042B1">
      <w:pPr>
        <w:pStyle w:val="Heading3"/>
      </w:pPr>
      <w:r>
        <w:t xml:space="preserve">Additional flexibility </w:t>
      </w:r>
    </w:p>
    <w:p w14:paraId="06CABE5B" w14:textId="39416939" w:rsidR="00967507" w:rsidRDefault="00A659DB" w:rsidP="00967507">
      <w:r>
        <w:t>T</w:t>
      </w:r>
      <w:r w:rsidR="00C12529">
        <w:t xml:space="preserve">o provide </w:t>
      </w:r>
      <w:r w:rsidR="0096694B">
        <w:t xml:space="preserve">additional </w:t>
      </w:r>
      <w:r w:rsidR="00C12529">
        <w:t xml:space="preserve">flexibility </w:t>
      </w:r>
      <w:r w:rsidR="002162A0">
        <w:t xml:space="preserve">for </w:t>
      </w:r>
      <w:r w:rsidR="00C12529">
        <w:t>services deployed under a 26 GHz band spectrum licence, while also maintaining coexistence with existing services (in particular international and domestic satellite service</w:t>
      </w:r>
      <w:r>
        <w:t>s</w:t>
      </w:r>
      <w:r w:rsidR="00C12529">
        <w:t>)</w:t>
      </w:r>
      <w:r w:rsidR="00C318BE">
        <w:t>,</w:t>
      </w:r>
      <w:r w:rsidR="00C12529">
        <w:t xml:space="preserve"> </w:t>
      </w:r>
      <w:r>
        <w:t>a range of TRP limit</w:t>
      </w:r>
      <w:r w:rsidR="00770B8F">
        <w:t>s</w:t>
      </w:r>
      <w:r>
        <w:t xml:space="preserve"> and additional mitigation measures are proposed in Table </w:t>
      </w:r>
      <w:r w:rsidR="00770B8F">
        <w:t>2</w:t>
      </w:r>
      <w:r w:rsidR="003A2FF0">
        <w:t xml:space="preserve"> (below)</w:t>
      </w:r>
      <w:r>
        <w:t>. The proposed limits and conditions vary depending on frequency range and location of the transmitter</w:t>
      </w:r>
      <w:r w:rsidR="00770B8F">
        <w:t xml:space="preserve"> to account for </w:t>
      </w:r>
      <w:r w:rsidR="008162C1">
        <w:t xml:space="preserve">different </w:t>
      </w:r>
      <w:r w:rsidR="00A90A09">
        <w:t>coexistence scenario</w:t>
      </w:r>
      <w:r w:rsidR="00770B8F">
        <w:t>s</w:t>
      </w:r>
      <w:r w:rsidR="00A90A09">
        <w:t>.</w:t>
      </w:r>
    </w:p>
    <w:p w14:paraId="44981F07" w14:textId="77777777" w:rsidR="002162A0" w:rsidRDefault="00A90A09" w:rsidP="00F042B1">
      <w:pPr>
        <w:pStyle w:val="Paragraphbeforelist"/>
      </w:pPr>
      <w:r>
        <w:t>In each frequency/area segment, there are two TRP limits</w:t>
      </w:r>
      <w:r w:rsidR="002162A0">
        <w:t xml:space="preserve"> proposed</w:t>
      </w:r>
      <w:r>
        <w:t>:</w:t>
      </w:r>
    </w:p>
    <w:p w14:paraId="71D424AC" w14:textId="1D6E922A" w:rsidR="00C35015" w:rsidRDefault="00A90A09" w:rsidP="00C318BE">
      <w:pPr>
        <w:pStyle w:val="ListBullet"/>
      </w:pPr>
      <w:r>
        <w:t xml:space="preserve">a </w:t>
      </w:r>
      <w:r w:rsidR="00D95B54">
        <w:t>‘</w:t>
      </w:r>
      <w:r>
        <w:t>baseline</w:t>
      </w:r>
      <w:r w:rsidR="00D95B54">
        <w:t>’</w:t>
      </w:r>
      <w:r>
        <w:t xml:space="preserve"> </w:t>
      </w:r>
      <w:r w:rsidRPr="00C318BE">
        <w:t>limit</w:t>
      </w:r>
      <w:r>
        <w:t xml:space="preserve"> </w:t>
      </w:r>
    </w:p>
    <w:p w14:paraId="10054EE2" w14:textId="0B44BA7C" w:rsidR="00C35015" w:rsidRDefault="00A90A09" w:rsidP="00F042B1">
      <w:pPr>
        <w:pStyle w:val="ListBulletLast"/>
      </w:pPr>
      <w:r>
        <w:t xml:space="preserve">an </w:t>
      </w:r>
      <w:r w:rsidR="00D95B54">
        <w:t>‘upper’</w:t>
      </w:r>
      <w:r>
        <w:t xml:space="preserve"> limit</w:t>
      </w:r>
      <w:r w:rsidR="00C318BE">
        <w:t>,</w:t>
      </w:r>
      <w:r>
        <w:t xml:space="preserve"> which will require </w:t>
      </w:r>
      <w:r w:rsidR="00770B8F">
        <w:t>adherence</w:t>
      </w:r>
      <w:r>
        <w:t xml:space="preserve"> to</w:t>
      </w:r>
      <w:r w:rsidR="00770B8F">
        <w:t xml:space="preserve"> the</w:t>
      </w:r>
      <w:r>
        <w:t xml:space="preserve"> additional mitigation measures</w:t>
      </w:r>
      <w:r w:rsidR="00B31E3B">
        <w:t xml:space="preserve"> (which consist of antenna pointing restrictions and EIRP masks).</w:t>
      </w:r>
      <w:r w:rsidR="00746535">
        <w:t xml:space="preserve"> </w:t>
      </w:r>
    </w:p>
    <w:p w14:paraId="420C0D4A" w14:textId="2E7752A7" w:rsidR="00AE0FEF" w:rsidRDefault="00746535" w:rsidP="003A2FF0">
      <w:pPr>
        <w:pStyle w:val="Paragraph"/>
      </w:pPr>
      <w:r>
        <w:t xml:space="preserve">The baseline limits are those proposed in the </w:t>
      </w:r>
      <w:r w:rsidR="003A2FF0">
        <w:t xml:space="preserve">26 GHz band </w:t>
      </w:r>
      <w:r>
        <w:t>TLG</w:t>
      </w:r>
      <w:r w:rsidR="00C318BE">
        <w:t>—</w:t>
      </w:r>
      <w:r>
        <w:t>anything above those limits trigger</w:t>
      </w:r>
      <w:r w:rsidR="00084C97">
        <w:t>s</w:t>
      </w:r>
      <w:r>
        <w:t xml:space="preserve"> the need for additional mitigations</w:t>
      </w:r>
      <w:r w:rsidR="00C318BE">
        <w:t>—</w:t>
      </w:r>
      <w:r>
        <w:t xml:space="preserve">with the exception of </w:t>
      </w:r>
      <w:r w:rsidR="007127B3">
        <w:t>the</w:t>
      </w:r>
      <w:r w:rsidR="00A04BF0">
        <w:t xml:space="preserve"> baseline limits</w:t>
      </w:r>
      <w:r w:rsidR="007127B3">
        <w:t xml:space="preserve"> for frequencies below 27 GHz</w:t>
      </w:r>
      <w:r w:rsidR="00C318BE">
        <w:t>,</w:t>
      </w:r>
      <w:r w:rsidR="00A04BF0">
        <w:t xml:space="preserve"> which have been raised by 3dB (to </w:t>
      </w:r>
      <w:r w:rsidR="00C318BE">
        <w:t>40 </w:t>
      </w:r>
      <w:r w:rsidR="00A04BF0">
        <w:t>dBm</w:t>
      </w:r>
      <w:r w:rsidR="00D656EB">
        <w:t xml:space="preserve">). </w:t>
      </w:r>
      <w:r w:rsidR="00A04BF0">
        <w:t xml:space="preserve"> </w:t>
      </w:r>
    </w:p>
    <w:p w14:paraId="0DEC0029" w14:textId="4DCAA840" w:rsidR="00D656EB" w:rsidRDefault="00AE0FEF" w:rsidP="00967507">
      <w:r>
        <w:lastRenderedPageBreak/>
        <w:t>It is proposed that the TRP limits</w:t>
      </w:r>
      <w:r w:rsidR="00520C6B">
        <w:t xml:space="preserve"> in Table 2</w:t>
      </w:r>
      <w:r w:rsidR="00746535">
        <w:t xml:space="preserve"> will</w:t>
      </w:r>
      <w:r>
        <w:t xml:space="preserve"> apply to all transmitters (</w:t>
      </w:r>
      <w:r w:rsidR="00993931">
        <w:t>for example,</w:t>
      </w:r>
      <w:r w:rsidR="00F94213">
        <w:t xml:space="preserve"> </w:t>
      </w:r>
      <w:r>
        <w:t>base stations and user equipment) and will be specified as the out-of-area core condition</w:t>
      </w:r>
      <w:r w:rsidR="00993931">
        <w:t>—</w:t>
      </w:r>
      <w:r w:rsidR="005626F9">
        <w:t xml:space="preserve">see </w:t>
      </w:r>
      <w:r w:rsidR="00F94213">
        <w:t xml:space="preserve">the </w:t>
      </w:r>
      <w:r w:rsidR="005626F9">
        <w:t xml:space="preserve">draft </w:t>
      </w:r>
      <w:r w:rsidR="00965BBF" w:rsidRPr="00965BBF">
        <w:t>m</w:t>
      </w:r>
      <w:r w:rsidR="005626F9" w:rsidRPr="00965BBF">
        <w:t xml:space="preserve">arketing </w:t>
      </w:r>
      <w:r w:rsidR="00965BBF" w:rsidRPr="00965BBF">
        <w:t>p</w:t>
      </w:r>
      <w:r w:rsidR="005626F9" w:rsidRPr="00965BBF">
        <w:t>lan</w:t>
      </w:r>
      <w:r w:rsidRPr="00965BBF">
        <w:t>.</w:t>
      </w:r>
      <w:r w:rsidR="00C76395" w:rsidRPr="00965BBF">
        <w:rPr>
          <w:rStyle w:val="FootnoteReference"/>
        </w:rPr>
        <w:footnoteReference w:id="10"/>
      </w:r>
      <w:r>
        <w:t xml:space="preserve"> </w:t>
      </w:r>
    </w:p>
    <w:p w14:paraId="0653D032" w14:textId="08C09A57" w:rsidR="00C8194C" w:rsidRDefault="00520C6B" w:rsidP="00967507">
      <w:r>
        <w:t xml:space="preserve">It is also proposed that the TRP limits </w:t>
      </w:r>
      <w:r w:rsidR="00746535">
        <w:t xml:space="preserve">will </w:t>
      </w:r>
      <w:r>
        <w:t xml:space="preserve">apply </w:t>
      </w:r>
      <w:r w:rsidR="00746535">
        <w:t>to a device’s</w:t>
      </w:r>
      <w:r>
        <w:t xml:space="preserve"> ent</w:t>
      </w:r>
      <w:r w:rsidR="00746535">
        <w:t>i</w:t>
      </w:r>
      <w:r>
        <w:t>re antenna array (</w:t>
      </w:r>
      <w:r w:rsidR="00993931">
        <w:t>for example,</w:t>
      </w:r>
      <w:r>
        <w:t xml:space="preserve"> if the antenna array is ‘subdivided’ to produce two concurrent beams using the same 200 MHz channel, then the TRP limit applies to the aggregate TRP of both beams). Further, the TRP limit is to be scaled </w:t>
      </w:r>
      <w:r w:rsidR="00746535">
        <w:t xml:space="preserve">appropriately </w:t>
      </w:r>
      <w:r>
        <w:t xml:space="preserve">for transmitters </w:t>
      </w:r>
      <w:r w:rsidR="00993931">
        <w:t xml:space="preserve">that </w:t>
      </w:r>
      <w:r>
        <w:t>operate with a bandwidth other than 200 MHz (</w:t>
      </w:r>
      <w:r w:rsidR="00993931">
        <w:t>for example,</w:t>
      </w:r>
      <w:r>
        <w:t xml:space="preserve"> the maximum TRP limit for a transmitter in 21.5</w:t>
      </w:r>
      <w:r w:rsidR="00993931">
        <w:t>–</w:t>
      </w:r>
      <w:r>
        <w:t>27 GHz operating with a 100 MHz bandwidth would be 42</w:t>
      </w:r>
      <w:r w:rsidR="0029487C">
        <w:t> </w:t>
      </w:r>
      <w:r>
        <w:t>dBm</w:t>
      </w:r>
      <w:r w:rsidR="00746535">
        <w:t>, essentially retaining a common power spectral density across all bandwidth profiles</w:t>
      </w:r>
      <w:r>
        <w:t>).</w:t>
      </w:r>
    </w:p>
    <w:p w14:paraId="677204A1" w14:textId="44A31DFC" w:rsidR="00D656EB" w:rsidRDefault="00AE0FEF" w:rsidP="00967507">
      <w:r>
        <w:t>The</w:t>
      </w:r>
      <w:r w:rsidR="00746535">
        <w:t xml:space="preserve"> additional mitigations (</w:t>
      </w:r>
      <w:r>
        <w:t>EIRP masks</w:t>
      </w:r>
      <w:r w:rsidR="00970143">
        <w:t xml:space="preserve"> and antenna pointing restrictions</w:t>
      </w:r>
      <w:r w:rsidR="00746535">
        <w:t>)</w:t>
      </w:r>
      <w:r w:rsidR="005626F9">
        <w:t xml:space="preserve"> </w:t>
      </w:r>
      <w:r>
        <w:t>would apply to all outdoor transmitter types</w:t>
      </w:r>
      <w:r w:rsidR="00970143">
        <w:t xml:space="preserve"> </w:t>
      </w:r>
      <w:r w:rsidR="00993931">
        <w:t xml:space="preserve">that </w:t>
      </w:r>
      <w:r w:rsidR="00970143">
        <w:t xml:space="preserve">exceed the baseline TRP </w:t>
      </w:r>
      <w:r w:rsidR="00970143" w:rsidRPr="00A373EB">
        <w:t>limit</w:t>
      </w:r>
      <w:r w:rsidR="00AC40BB" w:rsidRPr="00A373EB">
        <w:t xml:space="preserve">, noting that licensees will be required to adhere to the provisions in </w:t>
      </w:r>
      <w:r w:rsidR="00AC40BB" w:rsidRPr="00A373EB">
        <w:rPr>
          <w:i/>
          <w:iCs/>
        </w:rPr>
        <w:t>resolves</w:t>
      </w:r>
      <w:r w:rsidR="00AC40BB" w:rsidRPr="00A373EB">
        <w:t xml:space="preserve"> 2.1 and 2.2 of ITU-R Resolution 242 (WRC-19) for deployments in all frequency ranges and areas</w:t>
      </w:r>
      <w:r w:rsidRPr="00A373EB">
        <w:t>.</w:t>
      </w:r>
      <w:r w:rsidR="00AC40BB" w:rsidRPr="00A373EB">
        <w:rPr>
          <w:rStyle w:val="FootnoteReference"/>
        </w:rPr>
        <w:footnoteReference w:id="11"/>
      </w:r>
      <w:r w:rsidR="005626F9">
        <w:t xml:space="preserve"> </w:t>
      </w:r>
    </w:p>
    <w:p w14:paraId="0A606F6B" w14:textId="3AD8BC05" w:rsidR="00A90A09" w:rsidRDefault="005626F9" w:rsidP="00967507">
      <w:r>
        <w:t>These provisions are proposed to be included in the</w:t>
      </w:r>
      <w:r w:rsidR="0037255D">
        <w:t xml:space="preserve"> </w:t>
      </w:r>
      <w:r>
        <w:t>RAG Tx</w:t>
      </w:r>
      <w:r w:rsidR="00993931">
        <w:t>—</w:t>
      </w:r>
      <w:r w:rsidR="0037255D">
        <w:t xml:space="preserve">see draft </w:t>
      </w:r>
      <w:r w:rsidR="0037255D" w:rsidRPr="003605DE">
        <w:t xml:space="preserve">at Attachment </w:t>
      </w:r>
      <w:r w:rsidR="004E4817" w:rsidRPr="003605DE">
        <w:t>B</w:t>
      </w:r>
      <w:r w:rsidRPr="00C209B0">
        <w:t>, with</w:t>
      </w:r>
      <w:r>
        <w:t xml:space="preserve"> a condition on the licence requiring compliance with these provisions.</w:t>
      </w:r>
    </w:p>
    <w:p w14:paraId="7084F92F" w14:textId="7223F66C" w:rsidR="00A659DB" w:rsidRPr="00F042B1" w:rsidRDefault="00A659DB" w:rsidP="00F042B1">
      <w:pPr>
        <w:pStyle w:val="Caption"/>
        <w:spacing w:after="120"/>
        <w:rPr>
          <w:color w:val="auto"/>
        </w:rPr>
      </w:pPr>
      <w:r w:rsidRPr="00F042B1">
        <w:rPr>
          <w:color w:val="auto"/>
        </w:rPr>
        <w:t>Proposed TRP limits and additional mitigations</w:t>
      </w:r>
    </w:p>
    <w:tbl>
      <w:tblPr>
        <w:tblStyle w:val="TableGrid"/>
        <w:tblW w:w="0" w:type="auto"/>
        <w:tblCellMar>
          <w:top w:w="85" w:type="dxa"/>
          <w:left w:w="85" w:type="dxa"/>
          <w:bottom w:w="85" w:type="dxa"/>
          <w:right w:w="85" w:type="dxa"/>
        </w:tblCellMar>
        <w:tblLook w:val="04A0" w:firstRow="1" w:lastRow="0" w:firstColumn="1" w:lastColumn="0" w:noHBand="0" w:noVBand="1"/>
      </w:tblPr>
      <w:tblGrid>
        <w:gridCol w:w="2637"/>
        <w:gridCol w:w="1810"/>
        <w:gridCol w:w="3214"/>
      </w:tblGrid>
      <w:tr w:rsidR="00970143" w14:paraId="60CC0A63" w14:textId="77777777" w:rsidTr="00F042B1">
        <w:tc>
          <w:tcPr>
            <w:tcW w:w="3005" w:type="dxa"/>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AEED9D2" w14:textId="77777777" w:rsidR="00827660" w:rsidRPr="00F042B1" w:rsidRDefault="00827660">
            <w:pPr>
              <w:spacing w:after="0" w:line="240" w:lineRule="auto"/>
              <w:rPr>
                <w:rFonts w:asciiTheme="minorHAnsi" w:hAnsiTheme="minorHAnsi"/>
                <w:b/>
                <w:bCs/>
                <w:color w:val="FFFFFF" w:themeColor="background1"/>
              </w:rPr>
            </w:pPr>
            <w:r w:rsidRPr="00F042B1">
              <w:rPr>
                <w:b/>
                <w:bCs/>
                <w:color w:val="FFFFFF" w:themeColor="background1"/>
              </w:rPr>
              <w:t>Frequency/area</w:t>
            </w:r>
          </w:p>
        </w:tc>
        <w:tc>
          <w:tcPr>
            <w:tcW w:w="2093" w:type="dxa"/>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8271B11" w14:textId="4B2DA510" w:rsidR="00827660" w:rsidRPr="00F042B1" w:rsidRDefault="00827660">
            <w:pPr>
              <w:spacing w:after="0" w:line="240" w:lineRule="auto"/>
              <w:rPr>
                <w:b/>
                <w:bCs/>
                <w:color w:val="FFFFFF" w:themeColor="background1"/>
              </w:rPr>
            </w:pPr>
            <w:r w:rsidRPr="00F042B1">
              <w:rPr>
                <w:b/>
                <w:bCs/>
                <w:color w:val="FFFFFF" w:themeColor="background1"/>
              </w:rPr>
              <w:t>TRP limit</w:t>
            </w:r>
          </w:p>
        </w:tc>
        <w:tc>
          <w:tcPr>
            <w:tcW w:w="3918" w:type="dxa"/>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1F46237C" w14:textId="3EF9BF98" w:rsidR="00827660" w:rsidRPr="00F042B1" w:rsidRDefault="00A659DB">
            <w:pPr>
              <w:spacing w:after="0" w:line="240" w:lineRule="auto"/>
              <w:rPr>
                <w:b/>
                <w:bCs/>
                <w:color w:val="FFFFFF" w:themeColor="background1"/>
              </w:rPr>
            </w:pPr>
            <w:r w:rsidRPr="00F042B1">
              <w:rPr>
                <w:b/>
                <w:bCs/>
                <w:color w:val="FFFFFF" w:themeColor="background1"/>
              </w:rPr>
              <w:t>Additional conditions</w:t>
            </w:r>
            <w:r w:rsidR="00AC40BB">
              <w:rPr>
                <w:rStyle w:val="FootnoteReference"/>
                <w:b/>
                <w:bCs/>
                <w:color w:val="FFFFFF" w:themeColor="background1"/>
              </w:rPr>
              <w:footnoteReference w:id="12"/>
            </w:r>
          </w:p>
        </w:tc>
      </w:tr>
      <w:tr w:rsidR="00970143" w14:paraId="3F88D19A" w14:textId="77777777" w:rsidTr="00F042B1">
        <w:tc>
          <w:tcPr>
            <w:tcW w:w="3005" w:type="dxa"/>
            <w:vMerge w:val="restart"/>
            <w:tcBorders>
              <w:top w:val="single" w:sz="4" w:space="0" w:color="auto"/>
              <w:left w:val="single" w:sz="4" w:space="0" w:color="auto"/>
              <w:bottom w:val="single" w:sz="4" w:space="0" w:color="auto"/>
              <w:right w:val="single" w:sz="4" w:space="0" w:color="auto"/>
            </w:tcBorders>
            <w:hideMark/>
          </w:tcPr>
          <w:p w14:paraId="0EB7569A" w14:textId="27B1DA58" w:rsidR="00827660" w:rsidRDefault="00827660">
            <w:pPr>
              <w:spacing w:after="0" w:line="240" w:lineRule="auto"/>
            </w:pPr>
            <w:r>
              <w:t>25.1</w:t>
            </w:r>
            <w:r w:rsidR="00993931">
              <w:t>–</w:t>
            </w:r>
            <w:r>
              <w:t>27 GHz all areas</w:t>
            </w:r>
          </w:p>
        </w:tc>
        <w:tc>
          <w:tcPr>
            <w:tcW w:w="2093" w:type="dxa"/>
            <w:tcBorders>
              <w:top w:val="single" w:sz="4" w:space="0" w:color="auto"/>
              <w:left w:val="single" w:sz="4" w:space="0" w:color="auto"/>
              <w:bottom w:val="single" w:sz="4" w:space="0" w:color="auto"/>
              <w:right w:val="single" w:sz="4" w:space="0" w:color="auto"/>
            </w:tcBorders>
            <w:hideMark/>
          </w:tcPr>
          <w:p w14:paraId="2A82153C" w14:textId="5A7E000B" w:rsidR="00827660" w:rsidRDefault="00827660">
            <w:pPr>
              <w:spacing w:after="0" w:line="240" w:lineRule="auto"/>
            </w:pPr>
            <w:r>
              <w:t>40 dBm</w:t>
            </w:r>
            <w:r w:rsidR="00C8194C">
              <w:t xml:space="preserve">/200 MHz </w:t>
            </w:r>
            <w:r w:rsidR="00970143">
              <w:t>(baseline)</w:t>
            </w:r>
          </w:p>
        </w:tc>
        <w:tc>
          <w:tcPr>
            <w:tcW w:w="3918" w:type="dxa"/>
            <w:tcBorders>
              <w:top w:val="single" w:sz="4" w:space="0" w:color="auto"/>
              <w:left w:val="single" w:sz="4" w:space="0" w:color="auto"/>
              <w:bottom w:val="single" w:sz="4" w:space="0" w:color="auto"/>
              <w:right w:val="single" w:sz="4" w:space="0" w:color="auto"/>
            </w:tcBorders>
            <w:hideMark/>
          </w:tcPr>
          <w:p w14:paraId="5B75569E" w14:textId="77777777" w:rsidR="00827660" w:rsidRDefault="00827660">
            <w:pPr>
              <w:spacing w:after="0" w:line="240" w:lineRule="auto"/>
            </w:pPr>
            <w:r>
              <w:t>No extra conditions</w:t>
            </w:r>
          </w:p>
        </w:tc>
      </w:tr>
      <w:tr w:rsidR="00970143" w14:paraId="32BF4DF9" w14:textId="77777777" w:rsidTr="00F042B1">
        <w:tc>
          <w:tcPr>
            <w:tcW w:w="0" w:type="auto"/>
            <w:vMerge/>
            <w:tcBorders>
              <w:top w:val="single" w:sz="4" w:space="0" w:color="auto"/>
              <w:left w:val="single" w:sz="4" w:space="0" w:color="auto"/>
              <w:bottom w:val="single" w:sz="4" w:space="0" w:color="auto"/>
              <w:right w:val="single" w:sz="4" w:space="0" w:color="auto"/>
            </w:tcBorders>
            <w:vAlign w:val="center"/>
            <w:hideMark/>
          </w:tcPr>
          <w:p w14:paraId="7EDDD17D" w14:textId="77777777" w:rsidR="00827660" w:rsidRDefault="00827660">
            <w:pPr>
              <w:spacing w:after="0" w:line="240" w:lineRule="auto"/>
              <w:rPr>
                <w:sz w:val="22"/>
                <w:szCs w:val="22"/>
                <w:lang w:eastAsia="en-US"/>
              </w:rPr>
            </w:pPr>
          </w:p>
        </w:tc>
        <w:tc>
          <w:tcPr>
            <w:tcW w:w="2093" w:type="dxa"/>
            <w:tcBorders>
              <w:top w:val="single" w:sz="4" w:space="0" w:color="auto"/>
              <w:left w:val="single" w:sz="4" w:space="0" w:color="auto"/>
              <w:bottom w:val="single" w:sz="4" w:space="0" w:color="auto"/>
              <w:right w:val="single" w:sz="4" w:space="0" w:color="auto"/>
            </w:tcBorders>
            <w:hideMark/>
          </w:tcPr>
          <w:p w14:paraId="35D2D725" w14:textId="77777777" w:rsidR="00827660" w:rsidRDefault="00827660">
            <w:pPr>
              <w:spacing w:after="0" w:line="240" w:lineRule="auto"/>
            </w:pPr>
            <w:r>
              <w:t>45 dBm</w:t>
            </w:r>
            <w:r w:rsidR="00C8194C">
              <w:t>/200 MHz</w:t>
            </w:r>
          </w:p>
          <w:p w14:paraId="1EBAB2BB" w14:textId="6AD58664" w:rsidR="00D95B54" w:rsidRDefault="00D95B54">
            <w:pPr>
              <w:spacing w:after="0" w:line="240" w:lineRule="auto"/>
            </w:pPr>
            <w:r>
              <w:t>(upper limit)</w:t>
            </w:r>
          </w:p>
        </w:tc>
        <w:tc>
          <w:tcPr>
            <w:tcW w:w="3918" w:type="dxa"/>
            <w:tcBorders>
              <w:top w:val="single" w:sz="4" w:space="0" w:color="auto"/>
              <w:left w:val="single" w:sz="4" w:space="0" w:color="auto"/>
              <w:bottom w:val="single" w:sz="4" w:space="0" w:color="auto"/>
              <w:right w:val="single" w:sz="4" w:space="0" w:color="auto"/>
            </w:tcBorders>
            <w:hideMark/>
          </w:tcPr>
          <w:p w14:paraId="7B676F65" w14:textId="77ACBEAF" w:rsidR="00827660" w:rsidRDefault="00827660">
            <w:pPr>
              <w:spacing w:after="0" w:line="240" w:lineRule="auto"/>
            </w:pPr>
            <w:r>
              <w:t>Antenna pointing restrictions</w:t>
            </w:r>
            <w:r w:rsidR="00A90A09">
              <w:t>*</w:t>
            </w:r>
            <w:r>
              <w:t xml:space="preserve"> </w:t>
            </w:r>
            <w:r w:rsidR="00454C87">
              <w:t>and</w:t>
            </w:r>
            <w:r>
              <w:t xml:space="preserve"> </w:t>
            </w:r>
          </w:p>
          <w:p w14:paraId="4A297020" w14:textId="19183C9A" w:rsidR="00827660" w:rsidRDefault="00827660">
            <w:pPr>
              <w:spacing w:after="0" w:line="240" w:lineRule="auto"/>
            </w:pPr>
            <w:r w:rsidRPr="00827660">
              <w:t>EIRP mask</w:t>
            </w:r>
          </w:p>
        </w:tc>
      </w:tr>
      <w:tr w:rsidR="00970143" w14:paraId="057AB4E6" w14:textId="77777777" w:rsidTr="00F042B1">
        <w:tc>
          <w:tcPr>
            <w:tcW w:w="3005" w:type="dxa"/>
            <w:vMerge w:val="restart"/>
            <w:tcBorders>
              <w:top w:val="single" w:sz="4" w:space="0" w:color="auto"/>
              <w:left w:val="single" w:sz="4" w:space="0" w:color="auto"/>
              <w:bottom w:val="single" w:sz="4" w:space="0" w:color="auto"/>
              <w:right w:val="single" w:sz="4" w:space="0" w:color="auto"/>
            </w:tcBorders>
            <w:hideMark/>
          </w:tcPr>
          <w:p w14:paraId="701F14D5" w14:textId="530BB909" w:rsidR="00827660" w:rsidRDefault="00827660">
            <w:pPr>
              <w:spacing w:after="0" w:line="240" w:lineRule="auto"/>
            </w:pPr>
            <w:r>
              <w:t>27</w:t>
            </w:r>
            <w:r w:rsidR="00993931">
              <w:t>–</w:t>
            </w:r>
            <w:r>
              <w:t xml:space="preserve">27.5 GHz outside </w:t>
            </w:r>
            <w:r w:rsidR="00D10C4E">
              <w:t xml:space="preserve">gateway </w:t>
            </w:r>
            <w:r>
              <w:t>footprint areas</w:t>
            </w:r>
          </w:p>
        </w:tc>
        <w:tc>
          <w:tcPr>
            <w:tcW w:w="2093" w:type="dxa"/>
            <w:tcBorders>
              <w:top w:val="single" w:sz="4" w:space="0" w:color="auto"/>
              <w:left w:val="single" w:sz="4" w:space="0" w:color="auto"/>
              <w:bottom w:val="single" w:sz="4" w:space="0" w:color="auto"/>
              <w:right w:val="single" w:sz="4" w:space="0" w:color="auto"/>
            </w:tcBorders>
            <w:hideMark/>
          </w:tcPr>
          <w:p w14:paraId="736F253D" w14:textId="403D87AD" w:rsidR="00827660" w:rsidRDefault="00827660">
            <w:pPr>
              <w:spacing w:after="0" w:line="240" w:lineRule="auto"/>
            </w:pPr>
            <w:r>
              <w:t>37 dBm</w:t>
            </w:r>
            <w:r w:rsidR="00C8194C">
              <w:t xml:space="preserve">/200 MHz </w:t>
            </w:r>
            <w:r w:rsidR="00970143">
              <w:t>(baseline)</w:t>
            </w:r>
          </w:p>
        </w:tc>
        <w:tc>
          <w:tcPr>
            <w:tcW w:w="3918" w:type="dxa"/>
            <w:tcBorders>
              <w:top w:val="single" w:sz="4" w:space="0" w:color="auto"/>
              <w:left w:val="single" w:sz="4" w:space="0" w:color="auto"/>
              <w:bottom w:val="single" w:sz="4" w:space="0" w:color="auto"/>
              <w:right w:val="single" w:sz="4" w:space="0" w:color="auto"/>
            </w:tcBorders>
            <w:hideMark/>
          </w:tcPr>
          <w:p w14:paraId="09F48ABA" w14:textId="77777777" w:rsidR="00827660" w:rsidRDefault="00827660">
            <w:pPr>
              <w:spacing w:after="0" w:line="240" w:lineRule="auto"/>
            </w:pPr>
            <w:r>
              <w:t>No extra conditions</w:t>
            </w:r>
          </w:p>
        </w:tc>
      </w:tr>
      <w:tr w:rsidR="00970143" w14:paraId="1645DB4E" w14:textId="77777777" w:rsidTr="00F042B1">
        <w:tc>
          <w:tcPr>
            <w:tcW w:w="0" w:type="auto"/>
            <w:vMerge/>
            <w:tcBorders>
              <w:top w:val="single" w:sz="4" w:space="0" w:color="auto"/>
              <w:left w:val="single" w:sz="4" w:space="0" w:color="auto"/>
              <w:bottom w:val="single" w:sz="4" w:space="0" w:color="auto"/>
              <w:right w:val="single" w:sz="4" w:space="0" w:color="auto"/>
            </w:tcBorders>
            <w:vAlign w:val="center"/>
            <w:hideMark/>
          </w:tcPr>
          <w:p w14:paraId="4F7A9F4A" w14:textId="77777777" w:rsidR="00827660" w:rsidRDefault="00827660">
            <w:pPr>
              <w:spacing w:after="0" w:line="240" w:lineRule="auto"/>
              <w:rPr>
                <w:sz w:val="22"/>
                <w:szCs w:val="22"/>
                <w:lang w:eastAsia="en-US"/>
              </w:rPr>
            </w:pPr>
          </w:p>
        </w:tc>
        <w:tc>
          <w:tcPr>
            <w:tcW w:w="2093" w:type="dxa"/>
            <w:tcBorders>
              <w:top w:val="single" w:sz="4" w:space="0" w:color="auto"/>
              <w:left w:val="single" w:sz="4" w:space="0" w:color="auto"/>
              <w:bottom w:val="single" w:sz="4" w:space="0" w:color="auto"/>
              <w:right w:val="single" w:sz="4" w:space="0" w:color="auto"/>
            </w:tcBorders>
            <w:hideMark/>
          </w:tcPr>
          <w:p w14:paraId="31797AB6" w14:textId="77777777" w:rsidR="00827660" w:rsidRDefault="00827660">
            <w:pPr>
              <w:spacing w:after="0" w:line="240" w:lineRule="auto"/>
            </w:pPr>
            <w:r>
              <w:t>42 dBm</w:t>
            </w:r>
            <w:r w:rsidR="00C8194C">
              <w:t>/200 MHz</w:t>
            </w:r>
          </w:p>
          <w:p w14:paraId="2E3DBB84" w14:textId="63BDE942" w:rsidR="00D95B54" w:rsidRDefault="00D95B54">
            <w:pPr>
              <w:spacing w:after="0" w:line="240" w:lineRule="auto"/>
            </w:pPr>
            <w:r>
              <w:t>(upper limit)</w:t>
            </w:r>
          </w:p>
        </w:tc>
        <w:tc>
          <w:tcPr>
            <w:tcW w:w="3918" w:type="dxa"/>
            <w:tcBorders>
              <w:top w:val="single" w:sz="4" w:space="0" w:color="auto"/>
              <w:left w:val="single" w:sz="4" w:space="0" w:color="auto"/>
              <w:bottom w:val="single" w:sz="4" w:space="0" w:color="auto"/>
              <w:right w:val="single" w:sz="4" w:space="0" w:color="auto"/>
            </w:tcBorders>
            <w:hideMark/>
          </w:tcPr>
          <w:p w14:paraId="1EDE8B79" w14:textId="391C4300" w:rsidR="00827660" w:rsidRDefault="00827660" w:rsidP="00827660">
            <w:pPr>
              <w:spacing w:after="0" w:line="240" w:lineRule="auto"/>
            </w:pPr>
            <w:r>
              <w:t>Antenna pointing restrictions</w:t>
            </w:r>
            <w:r w:rsidR="00A90A09">
              <w:t>*</w:t>
            </w:r>
            <w:r>
              <w:t xml:space="preserve"> </w:t>
            </w:r>
            <w:r w:rsidR="00454C87">
              <w:t>and</w:t>
            </w:r>
            <w:r>
              <w:t xml:space="preserve"> </w:t>
            </w:r>
          </w:p>
          <w:p w14:paraId="329842C2" w14:textId="5A995B06" w:rsidR="00827660" w:rsidRDefault="00827660" w:rsidP="00827660">
            <w:pPr>
              <w:spacing w:after="0" w:line="240" w:lineRule="auto"/>
            </w:pPr>
            <w:r w:rsidRPr="00827660">
              <w:t>EIRP mask</w:t>
            </w:r>
          </w:p>
        </w:tc>
      </w:tr>
      <w:tr w:rsidR="00970143" w14:paraId="2B544296" w14:textId="77777777" w:rsidTr="00F042B1">
        <w:tc>
          <w:tcPr>
            <w:tcW w:w="3005" w:type="dxa"/>
            <w:vMerge w:val="restart"/>
            <w:tcBorders>
              <w:top w:val="single" w:sz="4" w:space="0" w:color="auto"/>
              <w:left w:val="single" w:sz="4" w:space="0" w:color="auto"/>
              <w:bottom w:val="single" w:sz="4" w:space="0" w:color="auto"/>
              <w:right w:val="single" w:sz="4" w:space="0" w:color="auto"/>
            </w:tcBorders>
            <w:hideMark/>
          </w:tcPr>
          <w:p w14:paraId="10FAF61D" w14:textId="5295CEDE" w:rsidR="00827660" w:rsidRDefault="00827660">
            <w:pPr>
              <w:spacing w:after="0" w:line="240" w:lineRule="auto"/>
            </w:pPr>
            <w:r>
              <w:t>27</w:t>
            </w:r>
            <w:r w:rsidR="00993931">
              <w:t>–</w:t>
            </w:r>
            <w:r>
              <w:t xml:space="preserve">27.5 GHz inside </w:t>
            </w:r>
            <w:r w:rsidR="00D10C4E">
              <w:t xml:space="preserve">gateway </w:t>
            </w:r>
            <w:r>
              <w:t>footprint areas</w:t>
            </w:r>
          </w:p>
        </w:tc>
        <w:tc>
          <w:tcPr>
            <w:tcW w:w="2093" w:type="dxa"/>
            <w:tcBorders>
              <w:top w:val="single" w:sz="4" w:space="0" w:color="auto"/>
              <w:left w:val="single" w:sz="4" w:space="0" w:color="auto"/>
              <w:bottom w:val="single" w:sz="4" w:space="0" w:color="auto"/>
              <w:right w:val="single" w:sz="4" w:space="0" w:color="auto"/>
            </w:tcBorders>
            <w:hideMark/>
          </w:tcPr>
          <w:p w14:paraId="06C0618C" w14:textId="69D9761A" w:rsidR="00827660" w:rsidRDefault="00827660">
            <w:pPr>
              <w:spacing w:after="0" w:line="240" w:lineRule="auto"/>
            </w:pPr>
            <w:r>
              <w:t>25 dBm</w:t>
            </w:r>
            <w:r w:rsidR="00C8194C">
              <w:t>/200 MHz</w:t>
            </w:r>
            <w:r w:rsidR="00970143">
              <w:t xml:space="preserve"> (baseline)</w:t>
            </w:r>
          </w:p>
        </w:tc>
        <w:tc>
          <w:tcPr>
            <w:tcW w:w="3918" w:type="dxa"/>
            <w:tcBorders>
              <w:top w:val="single" w:sz="4" w:space="0" w:color="auto"/>
              <w:left w:val="single" w:sz="4" w:space="0" w:color="auto"/>
              <w:bottom w:val="single" w:sz="4" w:space="0" w:color="auto"/>
              <w:right w:val="single" w:sz="4" w:space="0" w:color="auto"/>
            </w:tcBorders>
            <w:hideMark/>
          </w:tcPr>
          <w:p w14:paraId="1D6AF561" w14:textId="0C0F07D0" w:rsidR="00827660" w:rsidRDefault="00700446">
            <w:pPr>
              <w:spacing w:after="0" w:line="240" w:lineRule="auto"/>
            </w:pPr>
            <w:r>
              <w:t>E</w:t>
            </w:r>
            <w:r w:rsidR="00827660">
              <w:t xml:space="preserve">xtra </w:t>
            </w:r>
            <w:r>
              <w:t>antenna restrictions developed in the TLG</w:t>
            </w:r>
            <w:r w:rsidR="00827660">
              <w:t>**</w:t>
            </w:r>
          </w:p>
        </w:tc>
      </w:tr>
      <w:tr w:rsidR="00700446" w14:paraId="23047858" w14:textId="77777777" w:rsidTr="00F042B1">
        <w:tc>
          <w:tcPr>
            <w:tcW w:w="0" w:type="auto"/>
            <w:vMerge/>
            <w:tcBorders>
              <w:top w:val="single" w:sz="4" w:space="0" w:color="auto"/>
              <w:left w:val="single" w:sz="4" w:space="0" w:color="auto"/>
              <w:bottom w:val="single" w:sz="4" w:space="0" w:color="auto"/>
              <w:right w:val="single" w:sz="4" w:space="0" w:color="auto"/>
            </w:tcBorders>
            <w:vAlign w:val="center"/>
            <w:hideMark/>
          </w:tcPr>
          <w:p w14:paraId="5A8B3EBF" w14:textId="77777777" w:rsidR="00827660" w:rsidRDefault="00827660">
            <w:pPr>
              <w:spacing w:after="0" w:line="240" w:lineRule="auto"/>
              <w:rPr>
                <w:sz w:val="22"/>
                <w:szCs w:val="22"/>
                <w:lang w:eastAsia="en-US"/>
              </w:rPr>
            </w:pPr>
          </w:p>
        </w:tc>
        <w:tc>
          <w:tcPr>
            <w:tcW w:w="2093" w:type="dxa"/>
            <w:tcBorders>
              <w:top w:val="single" w:sz="4" w:space="0" w:color="auto"/>
              <w:left w:val="single" w:sz="4" w:space="0" w:color="auto"/>
              <w:bottom w:val="single" w:sz="4" w:space="0" w:color="auto"/>
              <w:right w:val="single" w:sz="4" w:space="0" w:color="auto"/>
            </w:tcBorders>
            <w:hideMark/>
          </w:tcPr>
          <w:p w14:paraId="17FC6C98" w14:textId="77777777" w:rsidR="00827660" w:rsidRDefault="00827660">
            <w:pPr>
              <w:spacing w:after="0" w:line="240" w:lineRule="auto"/>
            </w:pPr>
            <w:r>
              <w:t>30 dBm</w:t>
            </w:r>
            <w:r w:rsidR="00C8194C">
              <w:t>/200 MHz</w:t>
            </w:r>
          </w:p>
          <w:p w14:paraId="2AF2FF74" w14:textId="49DEB56C" w:rsidR="00700AA3" w:rsidRDefault="00700AA3">
            <w:pPr>
              <w:spacing w:after="0" w:line="240" w:lineRule="auto"/>
            </w:pPr>
            <w:r>
              <w:t>(upper limit)</w:t>
            </w:r>
          </w:p>
        </w:tc>
        <w:tc>
          <w:tcPr>
            <w:tcW w:w="3918" w:type="dxa"/>
            <w:tcBorders>
              <w:top w:val="single" w:sz="4" w:space="0" w:color="auto"/>
              <w:left w:val="single" w:sz="4" w:space="0" w:color="auto"/>
              <w:bottom w:val="single" w:sz="4" w:space="0" w:color="auto"/>
              <w:right w:val="single" w:sz="4" w:space="0" w:color="auto"/>
            </w:tcBorders>
            <w:hideMark/>
          </w:tcPr>
          <w:p w14:paraId="3D24EECB" w14:textId="0C43218F" w:rsidR="00827660" w:rsidRDefault="00827660" w:rsidP="00827660">
            <w:pPr>
              <w:spacing w:after="0" w:line="240" w:lineRule="auto"/>
            </w:pPr>
            <w:r>
              <w:t>Antenna pointing restrictions</w:t>
            </w:r>
            <w:r w:rsidR="00A90A09">
              <w:t>*</w:t>
            </w:r>
            <w:r>
              <w:t xml:space="preserve"> </w:t>
            </w:r>
            <w:r w:rsidR="00454C87">
              <w:t>and</w:t>
            </w:r>
            <w:r>
              <w:t xml:space="preserve"> </w:t>
            </w:r>
          </w:p>
          <w:p w14:paraId="4E260116" w14:textId="4CE9A388" w:rsidR="00827660" w:rsidRDefault="00827660" w:rsidP="00827660">
            <w:pPr>
              <w:spacing w:after="0" w:line="240" w:lineRule="auto"/>
            </w:pPr>
            <w:r w:rsidRPr="00827660">
              <w:t>EIRP mask</w:t>
            </w:r>
          </w:p>
        </w:tc>
      </w:tr>
    </w:tbl>
    <w:p w14:paraId="68AEEF64" w14:textId="5D7081E1" w:rsidR="00827660" w:rsidRPr="0072403B" w:rsidRDefault="00A90A09" w:rsidP="00F042B1">
      <w:pPr>
        <w:pStyle w:val="Tableorfigurenotemultiple"/>
      </w:pPr>
      <w:r w:rsidRPr="0072403B">
        <w:t>* The main antenna beam is not to be mechanically or electrically steer</w:t>
      </w:r>
      <w:r w:rsidR="004E4817" w:rsidRPr="0072403B">
        <w:t>ed</w:t>
      </w:r>
      <w:r w:rsidRPr="0072403B">
        <w:t xml:space="preserve"> above the horizon</w:t>
      </w:r>
      <w:r w:rsidR="00AE0FEF" w:rsidRPr="0072403B">
        <w:t xml:space="preserve">. </w:t>
      </w:r>
      <w:r w:rsidR="004E4817" w:rsidRPr="0072403B">
        <w:t>This restriction a</w:t>
      </w:r>
      <w:r w:rsidR="00AE0FEF" w:rsidRPr="0072403B">
        <w:t>pplies to all outdoor transmitters.</w:t>
      </w:r>
    </w:p>
    <w:p w14:paraId="0EC9A7B4" w14:textId="4F86A96A" w:rsidR="00A90A09" w:rsidRPr="0072403B" w:rsidRDefault="00A90A09" w:rsidP="00F042B1">
      <w:pPr>
        <w:pStyle w:val="Tableorfigurenotemultiple"/>
        <w:spacing w:after="240"/>
      </w:pPr>
      <w:r w:rsidRPr="0072403B">
        <w:t xml:space="preserve">** </w:t>
      </w:r>
      <w:r w:rsidR="00700446" w:rsidRPr="0072403B">
        <w:t xml:space="preserve">Outdoor base stations must </w:t>
      </w:r>
      <w:r w:rsidR="00EC48E2" w:rsidRPr="0072403B">
        <w:t xml:space="preserve">not be mechanically steered above the horizon </w:t>
      </w:r>
      <w:r w:rsidR="00700446" w:rsidRPr="0072403B">
        <w:t>and must not direct the main beam (via electrical steering) to elevation angles greater than 5° above the horizon for more tha</w:t>
      </w:r>
      <w:r w:rsidR="00AE0B1C" w:rsidRPr="0072403B">
        <w:t>n</w:t>
      </w:r>
      <w:r w:rsidR="00700446" w:rsidRPr="0072403B">
        <w:t xml:space="preserve"> 5% of time within a </w:t>
      </w:r>
      <w:r w:rsidR="00993931" w:rsidRPr="0072403B">
        <w:t>24-hour</w:t>
      </w:r>
      <w:r w:rsidR="00700446" w:rsidRPr="0072403B">
        <w:t xml:space="preserve"> period. Outdoor fixed </w:t>
      </w:r>
      <w:r w:rsidR="004E4817" w:rsidRPr="0072403B">
        <w:t>transmitters, which are not base stations,</w:t>
      </w:r>
      <w:r w:rsidR="00700446" w:rsidRPr="0072403B">
        <w:t xml:space="preserve"> must not direct their main beam</w:t>
      </w:r>
      <w:r w:rsidR="004E4817" w:rsidRPr="0072403B">
        <w:t xml:space="preserve"> to</w:t>
      </w:r>
      <w:r w:rsidR="00700446" w:rsidRPr="0072403B">
        <w:t xml:space="preserve"> within defined angle</w:t>
      </w:r>
      <w:r w:rsidR="004E4817" w:rsidRPr="0072403B">
        <w:t>s</w:t>
      </w:r>
      <w:r w:rsidR="00700446" w:rsidRPr="0072403B">
        <w:t xml:space="preserve"> from the geostationary orbit.</w:t>
      </w:r>
    </w:p>
    <w:p w14:paraId="50860A1D" w14:textId="2F01E0D2" w:rsidR="00535C6B" w:rsidRDefault="005626F9" w:rsidP="0070343A">
      <w:pPr>
        <w:pStyle w:val="Paragraphbeforelist"/>
        <w:keepNext/>
        <w:keepLines/>
      </w:pPr>
      <w:r>
        <w:lastRenderedPageBreak/>
        <w:t>The r</w:t>
      </w:r>
      <w:r w:rsidR="00535C6B">
        <w:t xml:space="preserve">ationale for the proposed TRP limits </w:t>
      </w:r>
      <w:r w:rsidR="00C710AA">
        <w:t xml:space="preserve">and additional conditions </w:t>
      </w:r>
      <w:r w:rsidR="00535C6B">
        <w:t xml:space="preserve">in Table </w:t>
      </w:r>
      <w:r w:rsidR="004E4817">
        <w:t>2</w:t>
      </w:r>
      <w:r w:rsidR="00535C6B">
        <w:t xml:space="preserve"> is:</w:t>
      </w:r>
    </w:p>
    <w:p w14:paraId="7125F4EC" w14:textId="22B4A8C7" w:rsidR="00535C6B" w:rsidRDefault="00535C6B" w:rsidP="0070343A">
      <w:pPr>
        <w:pStyle w:val="Bulletlevel1"/>
        <w:keepNext/>
        <w:keepLines/>
      </w:pPr>
      <w:r>
        <w:t>In</w:t>
      </w:r>
      <w:r w:rsidR="005626F9">
        <w:t xml:space="preserve"> </w:t>
      </w:r>
      <w:r>
        <w:t>25.1</w:t>
      </w:r>
      <w:r w:rsidR="00993931">
        <w:t>–</w:t>
      </w:r>
      <w:r>
        <w:t>27 GHz:</w:t>
      </w:r>
    </w:p>
    <w:p w14:paraId="12BAFE5B" w14:textId="07BB9B7C" w:rsidR="005A4F95" w:rsidRDefault="00535C6B" w:rsidP="0070343A">
      <w:pPr>
        <w:pStyle w:val="Bulletlevel2"/>
        <w:keepNext/>
        <w:keepLines/>
      </w:pPr>
      <w:r>
        <w:t xml:space="preserve">40 dBm is the highest conducted power permitted by Article 21.5 of the </w:t>
      </w:r>
      <w:r w:rsidR="003A2FF0">
        <w:t>RRs</w:t>
      </w:r>
      <w:r>
        <w:t xml:space="preserve">. </w:t>
      </w:r>
      <w:r w:rsidR="004E4817">
        <w:t>Assuming no ohmic losses</w:t>
      </w:r>
      <w:r w:rsidR="00125156">
        <w:t>,</w:t>
      </w:r>
      <w:r w:rsidR="004E4817">
        <w:t xml:space="preserve"> t</w:t>
      </w:r>
      <w:r>
        <w:t>his equates to a TRP of 40</w:t>
      </w:r>
      <w:r w:rsidR="0029487C">
        <w:t> </w:t>
      </w:r>
      <w:r>
        <w:t>dBm</w:t>
      </w:r>
      <w:r w:rsidR="00937F5D">
        <w:t xml:space="preserve"> </w:t>
      </w:r>
    </w:p>
    <w:p w14:paraId="675DC6F6" w14:textId="641AB469" w:rsidR="00535C6B" w:rsidRDefault="00993931" w:rsidP="0070343A">
      <w:pPr>
        <w:pStyle w:val="Bulletlevel2"/>
        <w:keepNext/>
        <w:keepLines/>
      </w:pPr>
      <w:r>
        <w:t>a</w:t>
      </w:r>
      <w:r w:rsidR="00937F5D">
        <w:t xml:space="preserve"> TRP limit </w:t>
      </w:r>
      <w:r>
        <w:t xml:space="preserve">that </w:t>
      </w:r>
      <w:r w:rsidR="00937F5D">
        <w:t>exceeds 40 dBm could be permitted if it is offset b</w:t>
      </w:r>
      <w:r w:rsidR="00B943CA">
        <w:t>y</w:t>
      </w:r>
      <w:r w:rsidR="00937F5D">
        <w:t xml:space="preserve"> additional mitigation measures </w:t>
      </w:r>
      <w:r>
        <w:t xml:space="preserve">that </w:t>
      </w:r>
      <w:r w:rsidR="00937F5D">
        <w:t>limit radiation above the horizon.</w:t>
      </w:r>
      <w:r w:rsidR="005A4F95">
        <w:t xml:space="preserve"> These additional measures are necessary to satisfy Article 4.4 of the RRs</w:t>
      </w:r>
      <w:r w:rsidR="00763034">
        <w:t xml:space="preserve"> (</w:t>
      </w:r>
      <w:r>
        <w:t>that is,</w:t>
      </w:r>
      <w:r w:rsidR="00763034">
        <w:t xml:space="preserve"> that a station operating in contravention of the RRs (namely Article 21.5) will not cause harmful interference to another station)</w:t>
      </w:r>
    </w:p>
    <w:p w14:paraId="41211BC0" w14:textId="6F880C7D" w:rsidR="00535C6B" w:rsidRDefault="00993931" w:rsidP="0070343A">
      <w:pPr>
        <w:pStyle w:val="Bulletlevel2"/>
        <w:keepNext/>
        <w:keepLines/>
      </w:pPr>
      <w:proofErr w:type="gramStart"/>
      <w:r>
        <w:t>t</w:t>
      </w:r>
      <w:r w:rsidR="00535C6B">
        <w:t>he majority of</w:t>
      </w:r>
      <w:proofErr w:type="gramEnd"/>
      <w:r w:rsidR="00535C6B">
        <w:t xml:space="preserve"> proponents for an increased TRP in the </w:t>
      </w:r>
      <w:r w:rsidR="003A2FF0">
        <w:t xml:space="preserve">26 GHz band </w:t>
      </w:r>
      <w:r w:rsidR="00535C6B">
        <w:t>TLG indicated that a maximum TRP of 45 dBm/200 MHz would be suitable.</w:t>
      </w:r>
    </w:p>
    <w:p w14:paraId="267E21B2" w14:textId="201B0ACE" w:rsidR="00535C6B" w:rsidRDefault="00535C6B" w:rsidP="0070343A">
      <w:pPr>
        <w:pStyle w:val="Bulletlevel1"/>
        <w:keepNext/>
        <w:keepLines/>
      </w:pPr>
      <w:r>
        <w:t>In 27</w:t>
      </w:r>
      <w:r w:rsidR="00993931">
        <w:t>–</w:t>
      </w:r>
      <w:r>
        <w:t xml:space="preserve">27.5 GHz outside </w:t>
      </w:r>
      <w:r w:rsidR="00F94213">
        <w:t xml:space="preserve">gateway </w:t>
      </w:r>
      <w:r>
        <w:t>footprint areas:</w:t>
      </w:r>
    </w:p>
    <w:p w14:paraId="6EA76633" w14:textId="3D125165" w:rsidR="00471479" w:rsidRDefault="00535C6B" w:rsidP="00F042B1">
      <w:pPr>
        <w:pStyle w:val="Bulletlevel2"/>
      </w:pPr>
      <w:r>
        <w:t xml:space="preserve">37 dBm is consistent with the outcome of the TLG. </w:t>
      </w:r>
      <w:r w:rsidR="00471479">
        <w:t xml:space="preserve">This baseline limit, and the </w:t>
      </w:r>
      <w:r w:rsidR="00E57939">
        <w:t xml:space="preserve">upper </w:t>
      </w:r>
      <w:r w:rsidR="00471479">
        <w:t>limit of 42 dB</w:t>
      </w:r>
      <w:r w:rsidR="00F94213">
        <w:t>,</w:t>
      </w:r>
      <w:r w:rsidR="00471479">
        <w:t xml:space="preserve"> are</w:t>
      </w:r>
      <w:r>
        <w:t xml:space="preserve"> 3 dB less than the proposed limit</w:t>
      </w:r>
      <w:r w:rsidR="00471479">
        <w:t>s</w:t>
      </w:r>
      <w:r>
        <w:t xml:space="preserve"> below 27 GHz</w:t>
      </w:r>
      <w:r w:rsidR="00993931">
        <w:t>. This</w:t>
      </w:r>
      <w:r>
        <w:t xml:space="preserve"> </w:t>
      </w:r>
      <w:r w:rsidR="00993931">
        <w:t xml:space="preserve">recognises </w:t>
      </w:r>
      <w:r>
        <w:t xml:space="preserve">that </w:t>
      </w:r>
      <w:r w:rsidR="00054543">
        <w:t xml:space="preserve">the frequency range is shared with domestic satellite services and that </w:t>
      </w:r>
      <w:r>
        <w:t xml:space="preserve">high power transmitters located near (but just outside) the </w:t>
      </w:r>
      <w:r w:rsidR="00F94213">
        <w:t xml:space="preserve">gateway </w:t>
      </w:r>
      <w:r>
        <w:t xml:space="preserve">footprint areas </w:t>
      </w:r>
      <w:r w:rsidR="0096694B">
        <w:t>will contribute to</w:t>
      </w:r>
      <w:r w:rsidR="00471479">
        <w:t xml:space="preserve"> the aggregate interference level at the satellite receiver</w:t>
      </w:r>
      <w:r w:rsidR="004E4817">
        <w:t>.</w:t>
      </w:r>
    </w:p>
    <w:p w14:paraId="27D5D5EE" w14:textId="1AE71212" w:rsidR="00471479" w:rsidRDefault="00471479" w:rsidP="00993931">
      <w:pPr>
        <w:pStyle w:val="Bulletlevel1"/>
      </w:pPr>
      <w:r>
        <w:t>In 27</w:t>
      </w:r>
      <w:r w:rsidR="00993931">
        <w:t>–</w:t>
      </w:r>
      <w:r>
        <w:t xml:space="preserve">27.5 GHz inside </w:t>
      </w:r>
      <w:r w:rsidR="00F94213">
        <w:t xml:space="preserve">gateway </w:t>
      </w:r>
      <w:r>
        <w:t>footprint areas:</w:t>
      </w:r>
    </w:p>
    <w:p w14:paraId="548E905C" w14:textId="5D9205DC" w:rsidR="00471479" w:rsidRDefault="00993931" w:rsidP="00F042B1">
      <w:pPr>
        <w:pStyle w:val="Bulletlevel2"/>
      </w:pPr>
      <w:r>
        <w:t>t</w:t>
      </w:r>
      <w:r w:rsidR="00471479">
        <w:t xml:space="preserve">he baseline limit is consistent with the </w:t>
      </w:r>
      <w:r w:rsidR="003A2FF0">
        <w:t xml:space="preserve">26 GHz band </w:t>
      </w:r>
      <w:r w:rsidR="00471479">
        <w:t>TLG outcome</w:t>
      </w:r>
      <w:r w:rsidR="008F10E9">
        <w:t xml:space="preserve"> and preliminary views articulated in the decision paper</w:t>
      </w:r>
    </w:p>
    <w:p w14:paraId="003DF30D" w14:textId="54496779" w:rsidR="00535C6B" w:rsidRDefault="00993931" w:rsidP="00F042B1">
      <w:pPr>
        <w:pStyle w:val="Bulletlevel2last"/>
      </w:pPr>
      <w:r>
        <w:t>t</w:t>
      </w:r>
      <w:r w:rsidR="00471479">
        <w:t xml:space="preserve">he </w:t>
      </w:r>
      <w:r w:rsidR="00E57939">
        <w:t>upper</w:t>
      </w:r>
      <w:r w:rsidR="00471479">
        <w:t xml:space="preserve"> limit of 30 dBm/200 MHz is based on </w:t>
      </w:r>
      <w:r>
        <w:t xml:space="preserve">NBN’s </w:t>
      </w:r>
      <w:r w:rsidR="00471479">
        <w:t>input to the</w:t>
      </w:r>
      <w:r w:rsidR="003A2FF0">
        <w:t xml:space="preserve"> 26 GHz band</w:t>
      </w:r>
      <w:r w:rsidR="00471479">
        <w:t xml:space="preserve"> TLG</w:t>
      </w:r>
      <w:r>
        <w:t>,</w:t>
      </w:r>
      <w:r w:rsidR="00471479">
        <w:t xml:space="preserve"> </w:t>
      </w:r>
      <w:r w:rsidR="004E4817">
        <w:t xml:space="preserve">which indicated </w:t>
      </w:r>
      <w:r w:rsidR="00471479">
        <w:t xml:space="preserve">that this limit, together with an appropriate EIRP mask, is acceptable </w:t>
      </w:r>
      <w:r w:rsidR="004E4817">
        <w:t xml:space="preserve">to protect </w:t>
      </w:r>
      <w:r w:rsidR="003A2FF0">
        <w:t xml:space="preserve">its </w:t>
      </w:r>
      <w:r w:rsidR="004E4817">
        <w:t xml:space="preserve">satellite receivers </w:t>
      </w:r>
      <w:r w:rsidR="00471479">
        <w:t xml:space="preserve">in the 28 GHz band. As the coexistence scenario in the </w:t>
      </w:r>
      <w:r w:rsidR="00F34744">
        <w:t>27</w:t>
      </w:r>
      <w:r>
        <w:t>–</w:t>
      </w:r>
      <w:r w:rsidR="00F34744">
        <w:t xml:space="preserve">27.5 GHz segment of the </w:t>
      </w:r>
      <w:r w:rsidR="00471479">
        <w:t>2</w:t>
      </w:r>
      <w:r w:rsidR="008746B6">
        <w:t>6</w:t>
      </w:r>
      <w:r w:rsidR="00471479">
        <w:t xml:space="preserve"> GHz band is almost identical to the 2</w:t>
      </w:r>
      <w:r w:rsidR="008746B6">
        <w:t>8</w:t>
      </w:r>
      <w:r w:rsidR="00471479">
        <w:t xml:space="preserve"> GHz band</w:t>
      </w:r>
      <w:r w:rsidR="00F34744">
        <w:t xml:space="preserve"> (the key difference being that mobile us</w:t>
      </w:r>
      <w:r w:rsidR="00C71032">
        <w:t>e</w:t>
      </w:r>
      <w:r w:rsidR="00F34744">
        <w:t xml:space="preserve"> is contemplated in the 26 GHz band but not the 28 GHz band)</w:t>
      </w:r>
      <w:r w:rsidR="00471479">
        <w:t xml:space="preserve">, it </w:t>
      </w:r>
      <w:r w:rsidR="004E4817">
        <w:t>could be considered that a TRP of 30 dBm/200 MHz plus</w:t>
      </w:r>
      <w:r w:rsidR="00471479">
        <w:t xml:space="preserve"> additional mitigations would be appropriate </w:t>
      </w:r>
      <w:r w:rsidR="004E4817">
        <w:t>in the</w:t>
      </w:r>
      <w:r w:rsidR="00471479">
        <w:t xml:space="preserve"> 26 GHz spectrum</w:t>
      </w:r>
      <w:r>
        <w:t>-</w:t>
      </w:r>
      <w:r w:rsidR="00471479">
        <w:t>licensed</w:t>
      </w:r>
      <w:r w:rsidR="004E4817">
        <w:t xml:space="preserve"> band.</w:t>
      </w:r>
    </w:p>
    <w:p w14:paraId="26119AF0" w14:textId="2DEFCD3B" w:rsidR="002D42A2" w:rsidRDefault="002D42A2" w:rsidP="00F042B1">
      <w:pPr>
        <w:pStyle w:val="Paragraphbeforelist"/>
      </w:pPr>
      <w:r>
        <w:t>The</w:t>
      </w:r>
      <w:r w:rsidR="00921A98">
        <w:t xml:space="preserve">re </w:t>
      </w:r>
      <w:r w:rsidR="00DD7CC8">
        <w:t>is a unique</w:t>
      </w:r>
      <w:r w:rsidR="00921A98">
        <w:t xml:space="preserve"> </w:t>
      </w:r>
      <w:r>
        <w:t>EIRP mask</w:t>
      </w:r>
      <w:r w:rsidR="00921A98">
        <w:t xml:space="preserve"> proposed for </w:t>
      </w:r>
      <w:r w:rsidR="00DD7CC8">
        <w:t>each for the frequencies/area combinations detailed in Table 2</w:t>
      </w:r>
      <w:r w:rsidR="00921A98">
        <w:t>. These</w:t>
      </w:r>
      <w:r>
        <w:t xml:space="preserve"> </w:t>
      </w:r>
      <w:r w:rsidR="00A919FC">
        <w:t>proposed masks (</w:t>
      </w:r>
      <w:r w:rsidR="00921A98">
        <w:t xml:space="preserve">shown in </w:t>
      </w:r>
      <w:r w:rsidR="00A919FC">
        <w:t xml:space="preserve">Figure </w:t>
      </w:r>
      <w:r w:rsidR="00125156">
        <w:t>2</w:t>
      </w:r>
      <w:r w:rsidR="00A919FC">
        <w:t xml:space="preserve"> and detailed in Table </w:t>
      </w:r>
      <w:r w:rsidR="004E4817">
        <w:t>3</w:t>
      </w:r>
      <w:r w:rsidR="00A919FC">
        <w:t>)</w:t>
      </w:r>
      <w:r w:rsidR="00921A98">
        <w:t xml:space="preserve"> aim at providing an equivalent level of emissions above the horizon as would be permitted for transmitters operating at the baseline TRP limit. Specifically, these </w:t>
      </w:r>
      <w:r w:rsidR="008746B6">
        <w:t xml:space="preserve">proposed </w:t>
      </w:r>
      <w:r w:rsidR="00921A98">
        <w:t>EIRP masks are based on the EIRP levels of a notional base station transmitter consisting</w:t>
      </w:r>
      <w:r w:rsidR="00D545DB">
        <w:t xml:space="preserve"> of</w:t>
      </w:r>
      <w:r w:rsidR="00921A98">
        <w:t>:</w:t>
      </w:r>
    </w:p>
    <w:p w14:paraId="008E35DB" w14:textId="471C091E" w:rsidR="008147B7" w:rsidRDefault="00993931" w:rsidP="008147B7">
      <w:pPr>
        <w:pStyle w:val="ListBullet"/>
      </w:pPr>
      <w:r>
        <w:t>a</w:t>
      </w:r>
      <w:r w:rsidR="008147B7">
        <w:t xml:space="preserve"> </w:t>
      </w:r>
      <w:r w:rsidR="00C71032">
        <w:t xml:space="preserve">total </w:t>
      </w:r>
      <w:r w:rsidR="0093338B">
        <w:t>conducted power</w:t>
      </w:r>
      <w:r w:rsidR="008147B7">
        <w:t xml:space="preserve"> </w:t>
      </w:r>
      <w:r w:rsidR="00C71032">
        <w:t xml:space="preserve">(into </w:t>
      </w:r>
      <w:r w:rsidR="0093338B">
        <w:t>all antenna elements</w:t>
      </w:r>
      <w:r w:rsidR="00C71032">
        <w:t>,</w:t>
      </w:r>
      <w:r w:rsidR="0093338B">
        <w:t xml:space="preserve"> </w:t>
      </w:r>
      <w:r w:rsidR="008147B7">
        <w:t>inclusive of losses)</w:t>
      </w:r>
      <w:r w:rsidR="00C71032">
        <w:t xml:space="preserve"> of</w:t>
      </w:r>
      <w:r w:rsidR="008147B7">
        <w:t>:</w:t>
      </w:r>
    </w:p>
    <w:p w14:paraId="2F335B9F" w14:textId="40FA9B2C" w:rsidR="008147B7" w:rsidRDefault="008147B7" w:rsidP="008147B7">
      <w:pPr>
        <w:pStyle w:val="ListBullet2"/>
      </w:pPr>
      <w:r>
        <w:t>40 dBm/200 MHz for transmitters in 25.1</w:t>
      </w:r>
      <w:r w:rsidR="00993931">
        <w:t>–</w:t>
      </w:r>
      <w:r>
        <w:t>27 GHz</w:t>
      </w:r>
    </w:p>
    <w:p w14:paraId="6C0DC45B" w14:textId="7F3B7298" w:rsidR="00DD7CC8" w:rsidRDefault="00DD7CC8" w:rsidP="008147B7">
      <w:pPr>
        <w:pStyle w:val="ListBullet2"/>
      </w:pPr>
      <w:r>
        <w:t>37 dBm/200 MHz for transmitters in 27</w:t>
      </w:r>
      <w:r w:rsidR="00993931">
        <w:t>–</w:t>
      </w:r>
      <w:r>
        <w:t>27.5 GHz located outside footprint areas</w:t>
      </w:r>
    </w:p>
    <w:p w14:paraId="2C12AFDC" w14:textId="1A5AD1FE" w:rsidR="008147B7" w:rsidRDefault="008147B7" w:rsidP="008147B7">
      <w:pPr>
        <w:pStyle w:val="ListBullet2"/>
      </w:pPr>
      <w:r>
        <w:t>25 dBm/200 MHz for transmitters in 27</w:t>
      </w:r>
      <w:r w:rsidR="00037194">
        <w:t>–</w:t>
      </w:r>
      <w:r>
        <w:t>27.5 GHz</w:t>
      </w:r>
      <w:r w:rsidR="00DD7CC8">
        <w:t xml:space="preserve"> located inside footprint areas</w:t>
      </w:r>
    </w:p>
    <w:p w14:paraId="504A584A" w14:textId="2936AF2D" w:rsidR="008147B7" w:rsidRDefault="00037194" w:rsidP="008147B7">
      <w:pPr>
        <w:pStyle w:val="ListBullet"/>
      </w:pPr>
      <w:r>
        <w:t>a</w:t>
      </w:r>
      <w:r w:rsidR="002F7B22">
        <w:t>n 8x8 antenna array complying with Recommendation ITU-R M.2101</w:t>
      </w:r>
    </w:p>
    <w:p w14:paraId="7509C6CB" w14:textId="31EB2A24" w:rsidR="002F7B22" w:rsidRDefault="00037194" w:rsidP="004E4817">
      <w:pPr>
        <w:pStyle w:val="ListBulletLast"/>
      </w:pPr>
      <w:r>
        <w:t>m</w:t>
      </w:r>
      <w:r w:rsidR="002F7B22">
        <w:t>ain beam pointing to the horizon with no electrical tilt/scan.</w:t>
      </w:r>
    </w:p>
    <w:p w14:paraId="030EB853" w14:textId="73BD95FA" w:rsidR="002D42A2" w:rsidRDefault="00D56328" w:rsidP="00874D31">
      <w:pPr>
        <w:pStyle w:val="Paragraph"/>
      </w:pPr>
      <w:r>
        <w:t>The proposed EIRP mask in the 27</w:t>
      </w:r>
      <w:r w:rsidR="00037194">
        <w:t>–</w:t>
      </w:r>
      <w:r>
        <w:t xml:space="preserve">27.5 GHz </w:t>
      </w:r>
      <w:r w:rsidR="00BC30DD">
        <w:t>segment</w:t>
      </w:r>
      <w:r w:rsidR="00DD7CC8">
        <w:t xml:space="preserve"> inside footprint areas</w:t>
      </w:r>
      <w:r w:rsidR="00BC30DD">
        <w:t xml:space="preserve"> </w:t>
      </w:r>
      <w:r>
        <w:t xml:space="preserve">is consistent with a mask proposed </w:t>
      </w:r>
      <w:r w:rsidR="004E4817">
        <w:t xml:space="preserve">by </w:t>
      </w:r>
      <w:r w:rsidR="00037194">
        <w:t xml:space="preserve">NBN </w:t>
      </w:r>
      <w:r>
        <w:t xml:space="preserve">during the </w:t>
      </w:r>
      <w:r w:rsidR="003A2FF0">
        <w:t xml:space="preserve">26 GHz band </w:t>
      </w:r>
      <w:r>
        <w:t>T</w:t>
      </w:r>
      <w:r w:rsidR="00020997">
        <w:t>LG. The proposed mask</w:t>
      </w:r>
      <w:r w:rsidR="00922BA2">
        <w:t>s</w:t>
      </w:r>
      <w:r w:rsidR="00020997">
        <w:t xml:space="preserve"> in the </w:t>
      </w:r>
      <w:r w:rsidR="00DD7CC8">
        <w:t>segments</w:t>
      </w:r>
      <w:r w:rsidR="00020997">
        <w:t xml:space="preserve"> </w:t>
      </w:r>
      <w:r w:rsidR="00DD7CC8">
        <w:t>27</w:t>
      </w:r>
      <w:r w:rsidR="00037194">
        <w:t>–</w:t>
      </w:r>
      <w:r w:rsidR="00DD7CC8">
        <w:t xml:space="preserve">27.5 GHz outside footprint areas and </w:t>
      </w:r>
      <w:r w:rsidR="00020997">
        <w:t>25.1</w:t>
      </w:r>
      <w:r w:rsidR="00037194">
        <w:t>–</w:t>
      </w:r>
      <w:r w:rsidR="00020997">
        <w:t xml:space="preserve">27 GHz </w:t>
      </w:r>
      <w:r w:rsidR="00DD7CC8">
        <w:t>are</w:t>
      </w:r>
      <w:r w:rsidR="00020997">
        <w:t xml:space="preserve"> </w:t>
      </w:r>
      <w:r w:rsidR="00DD7CC8">
        <w:t xml:space="preserve">12 and </w:t>
      </w:r>
      <w:r w:rsidR="00020997">
        <w:t>15</w:t>
      </w:r>
      <w:r w:rsidR="0029487C">
        <w:t> </w:t>
      </w:r>
      <w:r w:rsidR="00020997">
        <w:t xml:space="preserve">dB higher </w:t>
      </w:r>
      <w:r w:rsidR="00DD7CC8">
        <w:t xml:space="preserve">respectively </w:t>
      </w:r>
      <w:r w:rsidR="00020997">
        <w:t xml:space="preserve">(to account for the difference between the baseline TRP limits </w:t>
      </w:r>
      <w:r w:rsidR="00DD7CC8">
        <w:t>in these frequencies/areas</w:t>
      </w:r>
      <w:r w:rsidR="00020997">
        <w:t>).</w:t>
      </w:r>
    </w:p>
    <w:p w14:paraId="4B2F8990" w14:textId="79BD28F5" w:rsidR="001E4623" w:rsidRDefault="001E4623" w:rsidP="00874D31">
      <w:pPr>
        <w:pStyle w:val="Paragraph"/>
      </w:pPr>
    </w:p>
    <w:p w14:paraId="68D9426D" w14:textId="71D64083" w:rsidR="001E4623" w:rsidRDefault="001E4623" w:rsidP="00874D31">
      <w:pPr>
        <w:pStyle w:val="Paragraph"/>
      </w:pPr>
    </w:p>
    <w:p w14:paraId="4375D787" w14:textId="1ADA2C4A" w:rsidR="001E4623" w:rsidRDefault="001E4623" w:rsidP="00874D31">
      <w:pPr>
        <w:pStyle w:val="Paragraph"/>
      </w:pPr>
    </w:p>
    <w:p w14:paraId="3EE1C8FB" w14:textId="76E82490" w:rsidR="001E4623" w:rsidRDefault="001E4623" w:rsidP="00874D31">
      <w:pPr>
        <w:pStyle w:val="Paragraph"/>
      </w:pPr>
    </w:p>
    <w:p w14:paraId="42CFB148" w14:textId="77777777" w:rsidR="001E4623" w:rsidRDefault="001E4623" w:rsidP="00874D31">
      <w:pPr>
        <w:pStyle w:val="Paragraph"/>
      </w:pPr>
    </w:p>
    <w:p w14:paraId="4669B094" w14:textId="739E16CA" w:rsidR="009B09AF" w:rsidRPr="00F042B1" w:rsidRDefault="009B09AF" w:rsidP="00F042B1">
      <w:pPr>
        <w:pStyle w:val="ACMAFigureHeader"/>
        <w:spacing w:after="120"/>
        <w:rPr>
          <w:color w:val="auto"/>
        </w:rPr>
      </w:pPr>
      <w:r w:rsidRPr="00F042B1">
        <w:rPr>
          <w:color w:val="auto"/>
        </w:rPr>
        <w:t>Derivation of the proposed EIRP masks</w:t>
      </w:r>
    </w:p>
    <w:p w14:paraId="4EC4507E" w14:textId="6FBFBD9A" w:rsidR="002D42A2" w:rsidRDefault="00F72103" w:rsidP="00967507">
      <w:pPr>
        <w:rPr>
          <w:noProof/>
        </w:rPr>
      </w:pPr>
      <w:r>
        <w:rPr>
          <w:noProof/>
        </w:rPr>
        <w:drawing>
          <wp:inline distT="0" distB="0" distL="0" distR="0" wp14:anchorId="6C478AF9" wp14:editId="34B80640">
            <wp:extent cx="5044440" cy="2705100"/>
            <wp:effectExtent l="0" t="0" r="3810" b="0"/>
            <wp:docPr id="5" name="Chart 5">
              <a:extLst xmlns:a="http://schemas.openxmlformats.org/drawingml/2006/main">
                <a:ext uri="{FF2B5EF4-FFF2-40B4-BE49-F238E27FC236}">
                  <a16:creationId xmlns:a16="http://schemas.microsoft.com/office/drawing/2014/main" id="{0695034B-5984-4560-8647-EBA49C9482C0}"/>
                </a:ext>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14:paraId="508AB1F7" w14:textId="5956A50A" w:rsidR="00907528" w:rsidRPr="00F042B1" w:rsidRDefault="009B09AF" w:rsidP="00F042B1">
      <w:pPr>
        <w:pStyle w:val="Caption"/>
        <w:keepNext/>
        <w:keepLines/>
        <w:spacing w:after="120"/>
        <w:rPr>
          <w:color w:val="auto"/>
        </w:rPr>
      </w:pPr>
      <w:r w:rsidRPr="00F042B1">
        <w:rPr>
          <w:color w:val="auto"/>
        </w:rPr>
        <w:t>Proposed EIRP masks</w:t>
      </w:r>
    </w:p>
    <w:tbl>
      <w:tblPr>
        <w:tblStyle w:val="TableGrid"/>
        <w:tblW w:w="5000" w:type="pct"/>
        <w:jc w:val="center"/>
        <w:tblCellMar>
          <w:top w:w="85" w:type="dxa"/>
          <w:bottom w:w="85" w:type="dxa"/>
        </w:tblCellMar>
        <w:tblLook w:val="04A0" w:firstRow="1" w:lastRow="0" w:firstColumn="1" w:lastColumn="0" w:noHBand="0" w:noVBand="1"/>
      </w:tblPr>
      <w:tblGrid>
        <w:gridCol w:w="2028"/>
        <w:gridCol w:w="1793"/>
        <w:gridCol w:w="1920"/>
        <w:gridCol w:w="1920"/>
      </w:tblGrid>
      <w:tr w:rsidR="00DD7CC8" w14:paraId="70451179" w14:textId="77777777" w:rsidTr="00F042B1">
        <w:trPr>
          <w:cantSplit/>
          <w:jc w:val="center"/>
        </w:trPr>
        <w:tc>
          <w:tcPr>
            <w:tcW w:w="1324" w:type="pct"/>
            <w:tcBorders>
              <w:top w:val="single" w:sz="4" w:space="0" w:color="auto"/>
              <w:left w:val="single" w:sz="4" w:space="0" w:color="auto"/>
              <w:bottom w:val="single" w:sz="4" w:space="0" w:color="auto"/>
              <w:right w:val="single" w:sz="4" w:space="0" w:color="auto"/>
            </w:tcBorders>
            <w:shd w:val="clear" w:color="auto" w:fill="404040" w:themeFill="text1" w:themeFillTint="BF"/>
          </w:tcPr>
          <w:p w14:paraId="67B45675" w14:textId="77777777" w:rsidR="00DD7CC8" w:rsidRPr="00F042B1" w:rsidRDefault="00DD7CC8" w:rsidP="003605DE">
            <w:pPr>
              <w:keepNext/>
              <w:keepLines/>
              <w:jc w:val="center"/>
              <w:rPr>
                <w:rFonts w:eastAsiaTheme="minorEastAsia"/>
                <w:b/>
                <w:color w:val="FFFFFF" w:themeColor="background1"/>
              </w:rPr>
            </w:pPr>
          </w:p>
        </w:tc>
        <w:tc>
          <w:tcPr>
            <w:tcW w:w="3676" w:type="pct"/>
            <w:gridSpan w:val="3"/>
            <w:tcBorders>
              <w:top w:val="single" w:sz="4" w:space="0" w:color="auto"/>
              <w:left w:val="single" w:sz="4" w:space="0" w:color="auto"/>
              <w:bottom w:val="single" w:sz="4" w:space="0" w:color="auto"/>
              <w:right w:val="single" w:sz="4" w:space="0" w:color="auto"/>
            </w:tcBorders>
            <w:shd w:val="clear" w:color="auto" w:fill="404040" w:themeFill="text1" w:themeFillTint="BF"/>
          </w:tcPr>
          <w:p w14:paraId="6CA2F572" w14:textId="6532413B" w:rsidR="00DD7CC8" w:rsidRPr="00F042B1" w:rsidRDefault="00DD7CC8" w:rsidP="00F042B1">
            <w:pPr>
              <w:keepNext/>
              <w:keepLines/>
              <w:spacing w:after="0"/>
              <w:jc w:val="center"/>
              <w:rPr>
                <w:b/>
                <w:color w:val="FFFFFF" w:themeColor="background1"/>
              </w:rPr>
            </w:pPr>
            <w:r w:rsidRPr="00F042B1">
              <w:rPr>
                <w:b/>
                <w:color w:val="FFFFFF" w:themeColor="background1"/>
              </w:rPr>
              <w:t>Radiated maximum true mean power</w:t>
            </w:r>
          </w:p>
          <w:p w14:paraId="344904AC" w14:textId="42AF00BD" w:rsidR="00DD7CC8" w:rsidRPr="00F042B1" w:rsidRDefault="00DD7CC8" w:rsidP="00F042B1">
            <w:pPr>
              <w:keepNext/>
              <w:keepLines/>
              <w:spacing w:after="0"/>
              <w:jc w:val="center"/>
              <w:rPr>
                <w:rFonts w:eastAsiaTheme="minorEastAsia"/>
                <w:b/>
                <w:color w:val="FFFFFF" w:themeColor="background1"/>
              </w:rPr>
            </w:pPr>
            <w:r w:rsidRPr="00F042B1">
              <w:rPr>
                <w:rFonts w:eastAsiaTheme="minorEastAsia"/>
                <w:b/>
                <w:color w:val="FFFFFF" w:themeColor="background1"/>
              </w:rPr>
              <w:t>(dBm/200 MHz EIRP)</w:t>
            </w:r>
          </w:p>
        </w:tc>
      </w:tr>
      <w:tr w:rsidR="00DD7CC8" w14:paraId="446491CC" w14:textId="77777777" w:rsidTr="008F481E">
        <w:trPr>
          <w:cantSplit/>
          <w:jc w:val="center"/>
        </w:trPr>
        <w:tc>
          <w:tcPr>
            <w:tcW w:w="1324" w:type="pct"/>
            <w:tcBorders>
              <w:top w:val="single" w:sz="4" w:space="0" w:color="auto"/>
              <w:left w:val="single" w:sz="4" w:space="0" w:color="auto"/>
              <w:bottom w:val="single" w:sz="4" w:space="0" w:color="auto"/>
              <w:right w:val="single" w:sz="4" w:space="0" w:color="auto"/>
            </w:tcBorders>
            <w:hideMark/>
          </w:tcPr>
          <w:p w14:paraId="12893DAD" w14:textId="77777777" w:rsidR="00DD7CC8" w:rsidRDefault="00DD7CC8" w:rsidP="00F042B1">
            <w:pPr>
              <w:keepNext/>
              <w:keepLines/>
              <w:spacing w:after="0"/>
              <w:jc w:val="center"/>
              <w:rPr>
                <w:rFonts w:ascii="Times New Roman" w:eastAsiaTheme="minorEastAsia" w:hAnsi="Times New Roman"/>
                <w:b/>
              </w:rPr>
            </w:pPr>
            <w:r>
              <w:rPr>
                <w:rFonts w:eastAsiaTheme="minorEastAsia"/>
                <w:b/>
              </w:rPr>
              <w:t>Elevation angle above the horizontal plane</w:t>
            </w:r>
          </w:p>
          <w:p w14:paraId="360FE41C" w14:textId="77777777" w:rsidR="00DD7CC8" w:rsidRDefault="00DD7CC8" w:rsidP="003605DE">
            <w:pPr>
              <w:keepNext/>
              <w:keepLines/>
              <w:jc w:val="center"/>
              <w:rPr>
                <w:rFonts w:eastAsiaTheme="minorEastAsia"/>
                <w:b/>
              </w:rPr>
            </w:pPr>
            <w:r>
              <w:rPr>
                <w:rFonts w:eastAsiaTheme="minorEastAsia"/>
                <w:b/>
              </w:rPr>
              <w:t>(el)</w:t>
            </w:r>
          </w:p>
        </w:tc>
        <w:tc>
          <w:tcPr>
            <w:tcW w:w="1170" w:type="pct"/>
            <w:tcBorders>
              <w:top w:val="single" w:sz="4" w:space="0" w:color="auto"/>
              <w:left w:val="single" w:sz="4" w:space="0" w:color="auto"/>
              <w:bottom w:val="single" w:sz="4" w:space="0" w:color="auto"/>
              <w:right w:val="single" w:sz="4" w:space="0" w:color="auto"/>
            </w:tcBorders>
            <w:hideMark/>
          </w:tcPr>
          <w:p w14:paraId="431DC5EB" w14:textId="13AEBDC6" w:rsidR="00DD7CC8" w:rsidRDefault="00DD7CC8" w:rsidP="003605DE">
            <w:pPr>
              <w:keepNext/>
              <w:keepLines/>
              <w:jc w:val="center"/>
              <w:rPr>
                <w:rFonts w:eastAsiaTheme="minorEastAsia"/>
                <w:b/>
              </w:rPr>
            </w:pPr>
            <w:r>
              <w:rPr>
                <w:rFonts w:eastAsiaTheme="minorEastAsia"/>
                <w:b/>
              </w:rPr>
              <w:t>For transmitters in 25.1</w:t>
            </w:r>
            <w:r w:rsidR="008F481E">
              <w:rPr>
                <w:rFonts w:eastAsiaTheme="minorEastAsia"/>
                <w:b/>
              </w:rPr>
              <w:t>–</w:t>
            </w:r>
            <w:r>
              <w:rPr>
                <w:rFonts w:eastAsiaTheme="minorEastAsia"/>
                <w:b/>
              </w:rPr>
              <w:t>27 GHz</w:t>
            </w:r>
          </w:p>
        </w:tc>
        <w:tc>
          <w:tcPr>
            <w:tcW w:w="1253" w:type="pct"/>
            <w:tcBorders>
              <w:top w:val="single" w:sz="4" w:space="0" w:color="auto"/>
              <w:left w:val="single" w:sz="4" w:space="0" w:color="auto"/>
              <w:bottom w:val="single" w:sz="4" w:space="0" w:color="auto"/>
              <w:right w:val="single" w:sz="4" w:space="0" w:color="auto"/>
            </w:tcBorders>
          </w:tcPr>
          <w:p w14:paraId="38CDCB04" w14:textId="3DFCDC71" w:rsidR="00DD7CC8" w:rsidRDefault="00DD7CC8" w:rsidP="00F042B1">
            <w:pPr>
              <w:keepNext/>
              <w:keepLines/>
              <w:spacing w:after="0"/>
              <w:jc w:val="center"/>
              <w:rPr>
                <w:rFonts w:eastAsiaTheme="minorEastAsia"/>
                <w:b/>
              </w:rPr>
            </w:pPr>
            <w:r>
              <w:rPr>
                <w:rFonts w:eastAsiaTheme="minorEastAsia"/>
                <w:b/>
              </w:rPr>
              <w:t>For transmitters in 27</w:t>
            </w:r>
            <w:r w:rsidR="008F481E">
              <w:rPr>
                <w:rFonts w:eastAsiaTheme="minorEastAsia"/>
                <w:b/>
              </w:rPr>
              <w:t>–</w:t>
            </w:r>
            <w:r>
              <w:rPr>
                <w:rFonts w:eastAsiaTheme="minorEastAsia"/>
                <w:b/>
              </w:rPr>
              <w:t>27.5 GHz and outside footprints</w:t>
            </w:r>
          </w:p>
        </w:tc>
        <w:tc>
          <w:tcPr>
            <w:tcW w:w="1253" w:type="pct"/>
            <w:tcBorders>
              <w:top w:val="single" w:sz="4" w:space="0" w:color="auto"/>
              <w:left w:val="single" w:sz="4" w:space="0" w:color="auto"/>
              <w:bottom w:val="single" w:sz="4" w:space="0" w:color="auto"/>
              <w:right w:val="single" w:sz="4" w:space="0" w:color="auto"/>
            </w:tcBorders>
            <w:hideMark/>
          </w:tcPr>
          <w:p w14:paraId="43919DEE" w14:textId="5FC7B370" w:rsidR="00DD7CC8" w:rsidRDefault="00DD7CC8" w:rsidP="00F042B1">
            <w:pPr>
              <w:keepNext/>
              <w:keepLines/>
              <w:spacing w:after="0"/>
              <w:jc w:val="center"/>
              <w:rPr>
                <w:rFonts w:eastAsiaTheme="minorEastAsia"/>
                <w:b/>
              </w:rPr>
            </w:pPr>
            <w:r>
              <w:rPr>
                <w:rFonts w:eastAsiaTheme="minorEastAsia"/>
                <w:b/>
              </w:rPr>
              <w:t>For transmitters in 27</w:t>
            </w:r>
            <w:r w:rsidR="008F481E">
              <w:rPr>
                <w:rFonts w:eastAsiaTheme="minorEastAsia"/>
                <w:b/>
              </w:rPr>
              <w:t>–</w:t>
            </w:r>
            <w:r>
              <w:rPr>
                <w:rFonts w:eastAsiaTheme="minorEastAsia"/>
                <w:b/>
              </w:rPr>
              <w:t>27.5 GHz and inside footprints</w:t>
            </w:r>
          </w:p>
        </w:tc>
      </w:tr>
      <w:tr w:rsidR="00DD7CC8" w14:paraId="01181FB4" w14:textId="77777777" w:rsidTr="008F481E">
        <w:trPr>
          <w:cantSplit/>
          <w:jc w:val="center"/>
        </w:trPr>
        <w:tc>
          <w:tcPr>
            <w:tcW w:w="1324" w:type="pct"/>
            <w:tcBorders>
              <w:top w:val="single" w:sz="4" w:space="0" w:color="auto"/>
              <w:left w:val="single" w:sz="4" w:space="0" w:color="auto"/>
              <w:bottom w:val="single" w:sz="4" w:space="0" w:color="auto"/>
              <w:right w:val="single" w:sz="4" w:space="0" w:color="auto"/>
            </w:tcBorders>
            <w:hideMark/>
          </w:tcPr>
          <w:p w14:paraId="613A0CE2" w14:textId="77777777" w:rsidR="00DD7CC8" w:rsidRDefault="00DD7CC8" w:rsidP="00F042B1">
            <w:pPr>
              <w:keepNext/>
              <w:keepLines/>
              <w:spacing w:after="0"/>
              <w:rPr>
                <w:rFonts w:eastAsiaTheme="minorEastAsia"/>
              </w:rPr>
            </w:pPr>
            <w:r>
              <w:rPr>
                <w:rFonts w:eastAsiaTheme="minorEastAsia"/>
              </w:rPr>
              <w:t>5 degrees ≤ el &lt; 15 degrees</w:t>
            </w:r>
          </w:p>
        </w:tc>
        <w:tc>
          <w:tcPr>
            <w:tcW w:w="1170" w:type="pct"/>
            <w:tcBorders>
              <w:top w:val="single" w:sz="4" w:space="0" w:color="auto"/>
              <w:left w:val="single" w:sz="4" w:space="0" w:color="auto"/>
              <w:bottom w:val="single" w:sz="4" w:space="0" w:color="auto"/>
              <w:right w:val="single" w:sz="4" w:space="0" w:color="auto"/>
            </w:tcBorders>
            <w:vAlign w:val="center"/>
            <w:hideMark/>
          </w:tcPr>
          <w:p w14:paraId="0B0D28C6" w14:textId="77777777" w:rsidR="00DD7CC8" w:rsidRPr="007E5005" w:rsidRDefault="00DD7CC8" w:rsidP="00F042B1">
            <w:pPr>
              <w:keepNext/>
              <w:keepLines/>
              <w:spacing w:after="0"/>
              <w:jc w:val="center"/>
              <w:rPr>
                <w:rFonts w:eastAsiaTheme="minorEastAsia"/>
              </w:rPr>
            </w:pPr>
            <m:oMathPara>
              <m:oMath>
                <m:r>
                  <m:rPr>
                    <m:sty m:val="p"/>
                  </m:rPr>
                  <w:rPr>
                    <w:rFonts w:ascii="Cambria Math" w:eastAsiaTheme="minorEastAsia" w:hAnsi="Cambria Math"/>
                  </w:rPr>
                  <m:t>=62-1.3</m:t>
                </m:r>
                <m:d>
                  <m:dPr>
                    <m:ctrlPr>
                      <w:rPr>
                        <w:rFonts w:ascii="Cambria Math" w:eastAsiaTheme="minorEastAsia" w:hAnsi="Cambria Math"/>
                      </w:rPr>
                    </m:ctrlPr>
                  </m:dPr>
                  <m:e>
                    <m:r>
                      <w:rPr>
                        <w:rFonts w:ascii="Cambria Math" w:eastAsiaTheme="minorEastAsia" w:hAnsi="Cambria Math"/>
                      </w:rPr>
                      <m:t>el</m:t>
                    </m:r>
                    <m:r>
                      <m:rPr>
                        <m:sty m:val="p"/>
                      </m:rPr>
                      <w:rPr>
                        <w:rFonts w:ascii="Cambria Math" w:eastAsiaTheme="minorEastAsia" w:hAnsi="Cambria Math"/>
                      </w:rPr>
                      <m:t>-5</m:t>
                    </m:r>
                  </m:e>
                </m:d>
              </m:oMath>
            </m:oMathPara>
          </w:p>
        </w:tc>
        <w:tc>
          <w:tcPr>
            <w:tcW w:w="1253" w:type="pct"/>
            <w:tcBorders>
              <w:top w:val="single" w:sz="4" w:space="0" w:color="auto"/>
              <w:left w:val="single" w:sz="4" w:space="0" w:color="auto"/>
              <w:bottom w:val="single" w:sz="4" w:space="0" w:color="auto"/>
              <w:right w:val="single" w:sz="4" w:space="0" w:color="auto"/>
            </w:tcBorders>
            <w:vAlign w:val="center"/>
          </w:tcPr>
          <w:p w14:paraId="4CEF2D00" w14:textId="20E97B47" w:rsidR="00DD7CC8" w:rsidRDefault="00DD7CC8" w:rsidP="003605DE">
            <w:pPr>
              <w:keepNext/>
              <w:keepLines/>
              <w:jc w:val="center"/>
              <w:rPr>
                <w:rFonts w:eastAsiaTheme="minorEastAsia"/>
              </w:rPr>
            </w:pPr>
            <w:r>
              <w:rPr>
                <w:rFonts w:eastAsiaTheme="minorEastAsia"/>
              </w:rPr>
              <w:t>-</w:t>
            </w:r>
          </w:p>
        </w:tc>
        <w:tc>
          <w:tcPr>
            <w:tcW w:w="1253" w:type="pct"/>
            <w:tcBorders>
              <w:top w:val="single" w:sz="4" w:space="0" w:color="auto"/>
              <w:left w:val="single" w:sz="4" w:space="0" w:color="auto"/>
              <w:bottom w:val="single" w:sz="4" w:space="0" w:color="auto"/>
              <w:right w:val="single" w:sz="4" w:space="0" w:color="auto"/>
            </w:tcBorders>
            <w:vAlign w:val="center"/>
          </w:tcPr>
          <w:p w14:paraId="12E1F246" w14:textId="52DEEB21" w:rsidR="00DD7CC8" w:rsidRDefault="00DD7CC8" w:rsidP="003605DE">
            <w:pPr>
              <w:keepNext/>
              <w:keepLines/>
              <w:jc w:val="center"/>
              <w:rPr>
                <w:rFonts w:eastAsiaTheme="minorEastAsia"/>
              </w:rPr>
            </w:pPr>
            <w:r>
              <w:rPr>
                <w:rFonts w:eastAsiaTheme="minorEastAsia"/>
              </w:rPr>
              <w:t>-</w:t>
            </w:r>
          </w:p>
        </w:tc>
      </w:tr>
      <w:tr w:rsidR="00DD7CC8" w14:paraId="72C4B1DE" w14:textId="77777777" w:rsidTr="008F481E">
        <w:trPr>
          <w:cantSplit/>
          <w:jc w:val="center"/>
        </w:trPr>
        <w:tc>
          <w:tcPr>
            <w:tcW w:w="1324" w:type="pct"/>
            <w:tcBorders>
              <w:top w:val="single" w:sz="4" w:space="0" w:color="auto"/>
              <w:left w:val="single" w:sz="4" w:space="0" w:color="auto"/>
              <w:bottom w:val="single" w:sz="4" w:space="0" w:color="auto"/>
              <w:right w:val="single" w:sz="4" w:space="0" w:color="auto"/>
            </w:tcBorders>
            <w:hideMark/>
          </w:tcPr>
          <w:p w14:paraId="1584FFAE" w14:textId="77777777" w:rsidR="00DD7CC8" w:rsidRDefault="00DD7CC8" w:rsidP="00F042B1">
            <w:pPr>
              <w:keepNext/>
              <w:keepLines/>
              <w:spacing w:after="0"/>
              <w:rPr>
                <w:rFonts w:eastAsiaTheme="minorEastAsia"/>
              </w:rPr>
            </w:pPr>
            <w:r>
              <w:rPr>
                <w:rFonts w:eastAsiaTheme="minorEastAsia"/>
              </w:rPr>
              <w:t xml:space="preserve">15 degrees ≤ el &lt; 25 degrees </w:t>
            </w:r>
          </w:p>
        </w:tc>
        <w:tc>
          <w:tcPr>
            <w:tcW w:w="1170" w:type="pct"/>
            <w:tcBorders>
              <w:top w:val="single" w:sz="4" w:space="0" w:color="auto"/>
              <w:left w:val="single" w:sz="4" w:space="0" w:color="auto"/>
              <w:bottom w:val="single" w:sz="4" w:space="0" w:color="auto"/>
              <w:right w:val="single" w:sz="4" w:space="0" w:color="auto"/>
            </w:tcBorders>
            <w:vAlign w:val="center"/>
            <w:hideMark/>
          </w:tcPr>
          <w:p w14:paraId="2A516E09" w14:textId="77777777" w:rsidR="00DD7CC8" w:rsidRPr="007E5005" w:rsidRDefault="00DD7CC8" w:rsidP="003605DE">
            <w:pPr>
              <w:keepNext/>
              <w:keepLines/>
              <w:jc w:val="center"/>
              <w:rPr>
                <w:rFonts w:eastAsiaTheme="minorEastAsia"/>
              </w:rPr>
            </w:pPr>
            <w:r>
              <w:rPr>
                <w:rFonts w:eastAsiaTheme="minorEastAsia"/>
              </w:rPr>
              <w:t>49</w:t>
            </w:r>
          </w:p>
        </w:tc>
        <w:tc>
          <w:tcPr>
            <w:tcW w:w="1253" w:type="pct"/>
            <w:tcBorders>
              <w:top w:val="single" w:sz="4" w:space="0" w:color="auto"/>
              <w:left w:val="single" w:sz="4" w:space="0" w:color="auto"/>
              <w:bottom w:val="single" w:sz="4" w:space="0" w:color="auto"/>
              <w:right w:val="single" w:sz="4" w:space="0" w:color="auto"/>
            </w:tcBorders>
            <w:vAlign w:val="center"/>
          </w:tcPr>
          <w:p w14:paraId="0E89F77B" w14:textId="2B4F95A4" w:rsidR="00DD7CC8" w:rsidRDefault="00DD7CC8" w:rsidP="003605DE">
            <w:pPr>
              <w:keepNext/>
              <w:keepLines/>
              <w:jc w:val="center"/>
              <w:rPr>
                <w:rFonts w:eastAsiaTheme="minorEastAsia"/>
              </w:rPr>
            </w:pPr>
            <w:r>
              <w:rPr>
                <w:rFonts w:eastAsiaTheme="minorEastAsia"/>
              </w:rPr>
              <w:t>46</w:t>
            </w:r>
          </w:p>
        </w:tc>
        <w:tc>
          <w:tcPr>
            <w:tcW w:w="1253" w:type="pct"/>
            <w:tcBorders>
              <w:top w:val="single" w:sz="4" w:space="0" w:color="auto"/>
              <w:left w:val="single" w:sz="4" w:space="0" w:color="auto"/>
              <w:bottom w:val="single" w:sz="4" w:space="0" w:color="auto"/>
              <w:right w:val="single" w:sz="4" w:space="0" w:color="auto"/>
            </w:tcBorders>
            <w:vAlign w:val="center"/>
          </w:tcPr>
          <w:p w14:paraId="10F71A9D" w14:textId="4CAFC79F" w:rsidR="00DD7CC8" w:rsidRDefault="00DD7CC8" w:rsidP="003605DE">
            <w:pPr>
              <w:keepNext/>
              <w:keepLines/>
              <w:jc w:val="center"/>
              <w:rPr>
                <w:rFonts w:eastAsiaTheme="minorEastAsia"/>
              </w:rPr>
            </w:pPr>
            <w:r>
              <w:rPr>
                <w:rFonts w:eastAsiaTheme="minorEastAsia"/>
              </w:rPr>
              <w:t>34</w:t>
            </w:r>
          </w:p>
        </w:tc>
      </w:tr>
      <w:tr w:rsidR="00DD7CC8" w14:paraId="1F401659" w14:textId="77777777" w:rsidTr="008F481E">
        <w:trPr>
          <w:cantSplit/>
          <w:jc w:val="center"/>
        </w:trPr>
        <w:tc>
          <w:tcPr>
            <w:tcW w:w="1324" w:type="pct"/>
            <w:tcBorders>
              <w:top w:val="single" w:sz="4" w:space="0" w:color="auto"/>
              <w:left w:val="single" w:sz="4" w:space="0" w:color="auto"/>
              <w:bottom w:val="single" w:sz="4" w:space="0" w:color="auto"/>
              <w:right w:val="single" w:sz="4" w:space="0" w:color="auto"/>
            </w:tcBorders>
            <w:hideMark/>
          </w:tcPr>
          <w:p w14:paraId="7EE87603" w14:textId="77777777" w:rsidR="00DD7CC8" w:rsidRDefault="00DD7CC8" w:rsidP="00F042B1">
            <w:pPr>
              <w:keepNext/>
              <w:keepLines/>
              <w:spacing w:after="0"/>
              <w:rPr>
                <w:rFonts w:eastAsiaTheme="minorEastAsia"/>
              </w:rPr>
            </w:pPr>
            <w:r>
              <w:rPr>
                <w:rFonts w:eastAsiaTheme="minorEastAsia"/>
              </w:rPr>
              <w:t xml:space="preserve">25 degrees ≤ el &lt; 55 degrees </w:t>
            </w:r>
          </w:p>
        </w:tc>
        <w:tc>
          <w:tcPr>
            <w:tcW w:w="1170" w:type="pct"/>
            <w:tcBorders>
              <w:top w:val="single" w:sz="4" w:space="0" w:color="auto"/>
              <w:left w:val="single" w:sz="4" w:space="0" w:color="auto"/>
              <w:bottom w:val="single" w:sz="4" w:space="0" w:color="auto"/>
              <w:right w:val="single" w:sz="4" w:space="0" w:color="auto"/>
            </w:tcBorders>
            <w:vAlign w:val="center"/>
            <w:hideMark/>
          </w:tcPr>
          <w:p w14:paraId="370449F3" w14:textId="77777777" w:rsidR="00DD7CC8" w:rsidRPr="007E5005" w:rsidRDefault="00DD7CC8" w:rsidP="00F042B1">
            <w:pPr>
              <w:keepNext/>
              <w:keepLines/>
              <w:spacing w:after="0"/>
              <w:jc w:val="center"/>
              <w:rPr>
                <w:rFonts w:eastAsiaTheme="minorEastAsia"/>
              </w:rPr>
            </w:pPr>
            <m:oMathPara>
              <m:oMath>
                <m:r>
                  <m:rPr>
                    <m:sty m:val="p"/>
                  </m:rPr>
                  <w:rPr>
                    <w:rFonts w:ascii="Cambria Math" w:eastAsiaTheme="minorEastAsia" w:hAnsi="Cambria Math"/>
                  </w:rPr>
                  <m:t>=49-0.43</m:t>
                </m:r>
                <m:d>
                  <m:dPr>
                    <m:ctrlPr>
                      <w:rPr>
                        <w:rFonts w:ascii="Cambria Math" w:eastAsiaTheme="minorEastAsia" w:hAnsi="Cambria Math"/>
                      </w:rPr>
                    </m:ctrlPr>
                  </m:dPr>
                  <m:e>
                    <m:r>
                      <w:rPr>
                        <w:rFonts w:ascii="Cambria Math" w:eastAsiaTheme="minorEastAsia" w:hAnsi="Cambria Math"/>
                      </w:rPr>
                      <m:t>el</m:t>
                    </m:r>
                    <m:r>
                      <m:rPr>
                        <m:sty m:val="p"/>
                      </m:rPr>
                      <w:rPr>
                        <w:rFonts w:ascii="Cambria Math" w:eastAsiaTheme="minorEastAsia" w:hAnsi="Cambria Math"/>
                      </w:rPr>
                      <m:t>-25</m:t>
                    </m:r>
                  </m:e>
                </m:d>
              </m:oMath>
            </m:oMathPara>
          </w:p>
        </w:tc>
        <w:tc>
          <w:tcPr>
            <w:tcW w:w="1253" w:type="pct"/>
            <w:tcBorders>
              <w:top w:val="single" w:sz="4" w:space="0" w:color="auto"/>
              <w:left w:val="single" w:sz="4" w:space="0" w:color="auto"/>
              <w:bottom w:val="single" w:sz="4" w:space="0" w:color="auto"/>
              <w:right w:val="single" w:sz="4" w:space="0" w:color="auto"/>
            </w:tcBorders>
            <w:vAlign w:val="center"/>
          </w:tcPr>
          <w:p w14:paraId="6ED19BE3" w14:textId="3E714B64" w:rsidR="00DD7CC8" w:rsidRDefault="00DD7CC8" w:rsidP="00F042B1">
            <w:pPr>
              <w:keepNext/>
              <w:keepLines/>
              <w:spacing w:after="0"/>
              <w:jc w:val="center"/>
            </w:pPr>
            <m:oMathPara>
              <m:oMath>
                <m:r>
                  <m:rPr>
                    <m:sty m:val="p"/>
                  </m:rPr>
                  <w:rPr>
                    <w:rFonts w:ascii="Cambria Math" w:eastAsiaTheme="minorEastAsia" w:hAnsi="Cambria Math"/>
                  </w:rPr>
                  <m:t>=46-0.43</m:t>
                </m:r>
                <m:d>
                  <m:dPr>
                    <m:ctrlPr>
                      <w:rPr>
                        <w:rFonts w:ascii="Cambria Math" w:eastAsiaTheme="minorEastAsia" w:hAnsi="Cambria Math"/>
                      </w:rPr>
                    </m:ctrlPr>
                  </m:dPr>
                  <m:e>
                    <m:r>
                      <w:rPr>
                        <w:rFonts w:ascii="Cambria Math" w:eastAsiaTheme="minorEastAsia" w:hAnsi="Cambria Math"/>
                      </w:rPr>
                      <m:t>el</m:t>
                    </m:r>
                    <m:r>
                      <m:rPr>
                        <m:sty m:val="p"/>
                      </m:rPr>
                      <w:rPr>
                        <w:rFonts w:ascii="Cambria Math" w:eastAsiaTheme="minorEastAsia" w:hAnsi="Cambria Math"/>
                      </w:rPr>
                      <m:t>-25</m:t>
                    </m:r>
                  </m:e>
                </m:d>
              </m:oMath>
            </m:oMathPara>
          </w:p>
        </w:tc>
        <w:tc>
          <w:tcPr>
            <w:tcW w:w="1253" w:type="pct"/>
            <w:tcBorders>
              <w:top w:val="single" w:sz="4" w:space="0" w:color="auto"/>
              <w:left w:val="single" w:sz="4" w:space="0" w:color="auto"/>
              <w:bottom w:val="single" w:sz="4" w:space="0" w:color="auto"/>
              <w:right w:val="single" w:sz="4" w:space="0" w:color="auto"/>
            </w:tcBorders>
            <w:vAlign w:val="center"/>
          </w:tcPr>
          <w:p w14:paraId="3A95C8AB" w14:textId="568CB391" w:rsidR="00DD7CC8" w:rsidRDefault="00DD7CC8" w:rsidP="00F042B1">
            <w:pPr>
              <w:keepNext/>
              <w:keepLines/>
              <w:spacing w:after="0"/>
              <w:jc w:val="center"/>
              <w:rPr>
                <w:rFonts w:eastAsiaTheme="minorEastAsia"/>
              </w:rPr>
            </w:pPr>
            <m:oMathPara>
              <m:oMath>
                <m:r>
                  <w:rPr>
                    <w:rFonts w:ascii="Cambria Math" w:eastAsiaTheme="minorEastAsia" w:hAnsi="Cambria Math"/>
                  </w:rPr>
                  <m:t>=34-0.43</m:t>
                </m:r>
                <m:d>
                  <m:dPr>
                    <m:ctrlPr>
                      <w:rPr>
                        <w:rFonts w:ascii="Cambria Math" w:eastAsiaTheme="minorEastAsia" w:hAnsi="Cambria Math"/>
                        <w:i/>
                        <w:sz w:val="24"/>
                      </w:rPr>
                    </m:ctrlPr>
                  </m:dPr>
                  <m:e>
                    <m:r>
                      <w:rPr>
                        <w:rFonts w:ascii="Cambria Math" w:eastAsiaTheme="minorEastAsia" w:hAnsi="Cambria Math"/>
                      </w:rPr>
                      <m:t>el-25</m:t>
                    </m:r>
                  </m:e>
                </m:d>
              </m:oMath>
            </m:oMathPara>
          </w:p>
        </w:tc>
      </w:tr>
      <w:tr w:rsidR="00DD7CC8" w14:paraId="37BD5C15" w14:textId="77777777" w:rsidTr="008F481E">
        <w:trPr>
          <w:cantSplit/>
          <w:jc w:val="center"/>
        </w:trPr>
        <w:tc>
          <w:tcPr>
            <w:tcW w:w="1324" w:type="pct"/>
            <w:tcBorders>
              <w:top w:val="single" w:sz="4" w:space="0" w:color="auto"/>
              <w:left w:val="single" w:sz="4" w:space="0" w:color="auto"/>
              <w:bottom w:val="single" w:sz="4" w:space="0" w:color="auto"/>
              <w:right w:val="single" w:sz="4" w:space="0" w:color="auto"/>
            </w:tcBorders>
            <w:hideMark/>
          </w:tcPr>
          <w:p w14:paraId="78A62015" w14:textId="77777777" w:rsidR="00DD7CC8" w:rsidRDefault="00DD7CC8" w:rsidP="00F042B1">
            <w:pPr>
              <w:keepNext/>
              <w:keepLines/>
              <w:spacing w:after="0"/>
              <w:rPr>
                <w:rFonts w:eastAsiaTheme="minorEastAsia"/>
              </w:rPr>
            </w:pPr>
            <w:r>
              <w:rPr>
                <w:rFonts w:eastAsiaTheme="minorEastAsia"/>
              </w:rPr>
              <w:t>55 degrees ≤ el ≤ 90 degrees</w:t>
            </w:r>
          </w:p>
        </w:tc>
        <w:tc>
          <w:tcPr>
            <w:tcW w:w="1170" w:type="pct"/>
            <w:tcBorders>
              <w:top w:val="single" w:sz="4" w:space="0" w:color="auto"/>
              <w:left w:val="single" w:sz="4" w:space="0" w:color="auto"/>
              <w:bottom w:val="single" w:sz="4" w:space="0" w:color="auto"/>
              <w:right w:val="single" w:sz="4" w:space="0" w:color="auto"/>
            </w:tcBorders>
            <w:vAlign w:val="center"/>
            <w:hideMark/>
          </w:tcPr>
          <w:p w14:paraId="1829B7F9" w14:textId="77777777" w:rsidR="00DD7CC8" w:rsidRPr="007E5005" w:rsidRDefault="00DD7CC8" w:rsidP="00F042B1">
            <w:pPr>
              <w:keepNext/>
              <w:keepLines/>
              <w:spacing w:after="0"/>
              <w:jc w:val="center"/>
              <w:rPr>
                <w:rFonts w:eastAsiaTheme="minorEastAsia"/>
              </w:rPr>
            </w:pPr>
            <w:r>
              <w:rPr>
                <w:rFonts w:eastAsiaTheme="minorEastAsia"/>
              </w:rPr>
              <w:t>36.1</w:t>
            </w:r>
          </w:p>
        </w:tc>
        <w:tc>
          <w:tcPr>
            <w:tcW w:w="1253" w:type="pct"/>
            <w:tcBorders>
              <w:top w:val="single" w:sz="4" w:space="0" w:color="auto"/>
              <w:left w:val="single" w:sz="4" w:space="0" w:color="auto"/>
              <w:bottom w:val="single" w:sz="4" w:space="0" w:color="auto"/>
              <w:right w:val="single" w:sz="4" w:space="0" w:color="auto"/>
            </w:tcBorders>
            <w:vAlign w:val="center"/>
          </w:tcPr>
          <w:p w14:paraId="10F3E013" w14:textId="3935DAEB" w:rsidR="00DD7CC8" w:rsidRDefault="00DD7CC8" w:rsidP="00F042B1">
            <w:pPr>
              <w:keepNext/>
              <w:keepLines/>
              <w:spacing w:after="0"/>
              <w:jc w:val="center"/>
              <w:rPr>
                <w:rFonts w:eastAsiaTheme="minorEastAsia"/>
              </w:rPr>
            </w:pPr>
            <w:r>
              <w:rPr>
                <w:rFonts w:eastAsiaTheme="minorEastAsia"/>
              </w:rPr>
              <w:t>33.1</w:t>
            </w:r>
          </w:p>
        </w:tc>
        <w:tc>
          <w:tcPr>
            <w:tcW w:w="1253" w:type="pct"/>
            <w:tcBorders>
              <w:top w:val="single" w:sz="4" w:space="0" w:color="auto"/>
              <w:left w:val="single" w:sz="4" w:space="0" w:color="auto"/>
              <w:bottom w:val="single" w:sz="4" w:space="0" w:color="auto"/>
              <w:right w:val="single" w:sz="4" w:space="0" w:color="auto"/>
            </w:tcBorders>
            <w:vAlign w:val="center"/>
          </w:tcPr>
          <w:p w14:paraId="13838621" w14:textId="3010D624" w:rsidR="00DD7CC8" w:rsidRDefault="00DD7CC8" w:rsidP="00F042B1">
            <w:pPr>
              <w:keepNext/>
              <w:keepLines/>
              <w:spacing w:after="0"/>
              <w:jc w:val="center"/>
              <w:rPr>
                <w:rFonts w:eastAsiaTheme="minorEastAsia"/>
              </w:rPr>
            </w:pPr>
            <w:r>
              <w:rPr>
                <w:rFonts w:eastAsiaTheme="minorEastAsia"/>
              </w:rPr>
              <w:t>21.1</w:t>
            </w:r>
          </w:p>
        </w:tc>
      </w:tr>
    </w:tbl>
    <w:p w14:paraId="4C48BC37" w14:textId="788DEC6B" w:rsidR="00A04E3A" w:rsidRDefault="00A04E3A" w:rsidP="00656C45"/>
    <w:p w14:paraId="3581E2C2" w14:textId="207C6E4D" w:rsidR="00BC30DD" w:rsidRDefault="00E94060" w:rsidP="00F042B1">
      <w:pPr>
        <w:pStyle w:val="Paragraph"/>
      </w:pPr>
      <w:r>
        <w:t xml:space="preserve">Subject to consultation outcomes, </w:t>
      </w:r>
      <w:r w:rsidR="00BC30DD">
        <w:t xml:space="preserve">changes to the proposed values for the baseline and/or upper </w:t>
      </w:r>
      <w:r w:rsidR="00AE2C82">
        <w:t xml:space="preserve">TRP </w:t>
      </w:r>
      <w:r w:rsidR="00BC30DD">
        <w:t>limit</w:t>
      </w:r>
      <w:r w:rsidR="00AE2C82">
        <w:t>s</w:t>
      </w:r>
      <w:r w:rsidR="00BC30DD">
        <w:t xml:space="preserve"> or the specific approach to the implementation of the additional</w:t>
      </w:r>
      <w:r w:rsidR="00AF54A6">
        <w:t xml:space="preserve"> </w:t>
      </w:r>
      <w:r w:rsidR="00BC30DD">
        <w:t>conditions (such as the values of the antenna pointing conditions and/or the EIRP mask)</w:t>
      </w:r>
      <w:r w:rsidR="00EA5141">
        <w:t xml:space="preserve"> </w:t>
      </w:r>
      <w:r w:rsidR="00AF54A6">
        <w:t>could also be considered</w:t>
      </w:r>
      <w:r w:rsidR="00BC30DD">
        <w:t xml:space="preserve">. </w:t>
      </w:r>
    </w:p>
    <w:p w14:paraId="4EE3E6E1" w14:textId="0BAF8889" w:rsidR="00E81F0D" w:rsidRDefault="00E81F0D" w:rsidP="00F042B1">
      <w:pPr>
        <w:pStyle w:val="Paragraphbeforelist"/>
      </w:pPr>
      <w:r>
        <w:lastRenderedPageBreak/>
        <w:t xml:space="preserve">Alternative </w:t>
      </w:r>
      <w:r w:rsidR="00EA5141">
        <w:t xml:space="preserve">measures </w:t>
      </w:r>
      <w:r>
        <w:t xml:space="preserve">to </w:t>
      </w:r>
      <w:r w:rsidR="00EA5141">
        <w:t>the specific proposals outlined above could also</w:t>
      </w:r>
      <w:r w:rsidR="00BC30DD">
        <w:t xml:space="preserve"> be </w:t>
      </w:r>
      <w:r w:rsidR="00EA5141">
        <w:t>considered</w:t>
      </w:r>
      <w:r w:rsidR="00037194">
        <w:t>, including</w:t>
      </w:r>
      <w:r>
        <w:t>:</w:t>
      </w:r>
    </w:p>
    <w:p w14:paraId="7DFB3E9D" w14:textId="34597532" w:rsidR="00E81F0D" w:rsidRDefault="0001170F" w:rsidP="00E81F0D">
      <w:pPr>
        <w:pStyle w:val="ListBullet"/>
      </w:pPr>
      <w:r>
        <w:t xml:space="preserve">restricting emissions towards </w:t>
      </w:r>
      <w:r w:rsidR="00BC30DD">
        <w:t>the geostationary orbit</w:t>
      </w:r>
      <w:r w:rsidR="00EA5141">
        <w:t xml:space="preserve"> or</w:t>
      </w:r>
      <w:r w:rsidR="00BC30DD">
        <w:t xml:space="preserve"> </w:t>
      </w:r>
      <w:r>
        <w:t xml:space="preserve">specific satellite orbital </w:t>
      </w:r>
      <w:r w:rsidR="00BC30DD">
        <w:t xml:space="preserve">locations in the geostationary </w:t>
      </w:r>
      <w:r w:rsidR="00EA5141">
        <w:t>arc</w:t>
      </w:r>
    </w:p>
    <w:p w14:paraId="7B642186" w14:textId="66F1BD21" w:rsidR="00E81F0D" w:rsidRDefault="00EA5141" w:rsidP="00E81F0D">
      <w:pPr>
        <w:pStyle w:val="ListBullet"/>
      </w:pPr>
      <w:r>
        <w:t xml:space="preserve">base station </w:t>
      </w:r>
      <w:r w:rsidR="00AF54A6">
        <w:t>deployment density limitations</w:t>
      </w:r>
    </w:p>
    <w:p w14:paraId="42867D76" w14:textId="62F17D24" w:rsidR="00E81F0D" w:rsidRDefault="00AF54A6" w:rsidP="00E81F0D">
      <w:pPr>
        <w:pStyle w:val="ListBullet"/>
      </w:pPr>
      <w:r>
        <w:t xml:space="preserve"> maximum </w:t>
      </w:r>
      <w:r w:rsidR="00EA5141">
        <w:t xml:space="preserve">base station </w:t>
      </w:r>
      <w:r>
        <w:t xml:space="preserve">antenna </w:t>
      </w:r>
      <w:r w:rsidR="00E94060">
        <w:t>heights</w:t>
      </w:r>
    </w:p>
    <w:p w14:paraId="24784D5F" w14:textId="6815B11B" w:rsidR="00E81F0D" w:rsidRDefault="00E94060" w:rsidP="00E81F0D">
      <w:pPr>
        <w:pStyle w:val="ListBullet"/>
      </w:pPr>
      <w:r>
        <w:t xml:space="preserve"> minimum</w:t>
      </w:r>
      <w:r w:rsidR="00AF54A6">
        <w:t xml:space="preserve"> antenna performance requirements</w:t>
      </w:r>
      <w:r>
        <w:t xml:space="preserve"> </w:t>
      </w:r>
    </w:p>
    <w:p w14:paraId="5E662E2B" w14:textId="77777777" w:rsidR="00E81F0D" w:rsidRDefault="00E94060" w:rsidP="00F042B1">
      <w:pPr>
        <w:pStyle w:val="ListBulletLast"/>
      </w:pPr>
      <w:r>
        <w:t>combinations of these (and potentially other) approaches</w:t>
      </w:r>
      <w:r w:rsidR="00AF54A6">
        <w:t>.</w:t>
      </w:r>
    </w:p>
    <w:p w14:paraId="366E5DB9" w14:textId="08489166" w:rsidR="00E94060" w:rsidRDefault="003C6BBF" w:rsidP="00E81F0D">
      <w:pPr>
        <w:pStyle w:val="Paragraph"/>
      </w:pPr>
      <w:r w:rsidRPr="005B30A4">
        <w:t xml:space="preserve">Each of these possible additional conditions will </w:t>
      </w:r>
      <w:r w:rsidR="00766497">
        <w:t>raise a different balance of risks and benefits.</w:t>
      </w:r>
      <w:r w:rsidR="00F86C54" w:rsidRPr="005B30A4">
        <w:t xml:space="preserve"> F</w:t>
      </w:r>
      <w:r w:rsidRPr="005B30A4">
        <w:t>or example</w:t>
      </w:r>
      <w:r w:rsidR="00F86C54" w:rsidRPr="005B30A4">
        <w:t>,</w:t>
      </w:r>
      <w:r w:rsidRPr="005B30A4">
        <w:t xml:space="preserve"> restricting emissions </w:t>
      </w:r>
      <w:r w:rsidR="00FD15CE" w:rsidRPr="005B30A4">
        <w:t xml:space="preserve">only </w:t>
      </w:r>
      <w:r w:rsidRPr="005B30A4">
        <w:t>towards specific orbital slots</w:t>
      </w:r>
      <w:r w:rsidR="00F86C54" w:rsidRPr="005B30A4">
        <w:t xml:space="preserve"> would potentially adversely affect other parts of the geostationary arc and might preclude an Australian (or other) operator, </w:t>
      </w:r>
      <w:r w:rsidR="00037194">
        <w:t>for example</w:t>
      </w:r>
      <w:r w:rsidR="00F86C54" w:rsidRPr="005B30A4">
        <w:t xml:space="preserve"> </w:t>
      </w:r>
      <w:r w:rsidR="00037194">
        <w:t>NBN</w:t>
      </w:r>
      <w:r w:rsidR="00F86C54" w:rsidRPr="005B30A4">
        <w:t>, from deploying additional satellite services in the band in the future.</w:t>
      </w:r>
    </w:p>
    <w:p w14:paraId="3D326C3A" w14:textId="03712C28" w:rsidR="00AF54A6" w:rsidRDefault="00037194" w:rsidP="00AF54A6">
      <w:r>
        <w:t>Our</w:t>
      </w:r>
      <w:r w:rsidR="00E94060">
        <w:t xml:space="preserve"> current view is </w:t>
      </w:r>
      <w:r w:rsidR="00AF54A6">
        <w:t xml:space="preserve">that the proposed arrangements </w:t>
      </w:r>
      <w:r w:rsidR="00E94060">
        <w:t xml:space="preserve">shown </w:t>
      </w:r>
      <w:r w:rsidR="00AF54A6">
        <w:t xml:space="preserve">in Table </w:t>
      </w:r>
      <w:r w:rsidR="00F34D09">
        <w:t>2</w:t>
      </w:r>
      <w:r w:rsidR="00AF54A6">
        <w:t xml:space="preserve"> </w:t>
      </w:r>
      <w:r w:rsidR="00E94060">
        <w:t xml:space="preserve">represent </w:t>
      </w:r>
      <w:r w:rsidR="00AF54A6">
        <w:t>a balance</w:t>
      </w:r>
      <w:r w:rsidR="00327FB2">
        <w:t>d</w:t>
      </w:r>
      <w:r w:rsidR="00AF54A6">
        <w:t xml:space="preserve"> approach</w:t>
      </w:r>
      <w:r>
        <w:t>,</w:t>
      </w:r>
      <w:r w:rsidR="00AF54A6">
        <w:t xml:space="preserve"> where other services are protected without unnecessary restriction on spectrum licensees.</w:t>
      </w:r>
      <w:r w:rsidR="0001170F">
        <w:t xml:space="preserve"> However, we are interested to hear view</w:t>
      </w:r>
      <w:r w:rsidR="00AE248C">
        <w:t>s</w:t>
      </w:r>
      <w:r w:rsidR="0001170F">
        <w:t xml:space="preserve"> on this issue.</w:t>
      </w:r>
      <w:r w:rsidR="00621323" w:rsidRPr="00621323">
        <w:t xml:space="preserve"> </w:t>
      </w:r>
      <w:r w:rsidR="00621323" w:rsidRPr="00327FB2">
        <w:t xml:space="preserve">If </w:t>
      </w:r>
      <w:r>
        <w:t>we</w:t>
      </w:r>
      <w:r w:rsidR="00621323" w:rsidRPr="00327FB2">
        <w:t xml:space="preserve"> receive submissions suggest</w:t>
      </w:r>
      <w:r>
        <w:t>ing</w:t>
      </w:r>
      <w:r w:rsidR="00621323" w:rsidRPr="00327FB2">
        <w:t xml:space="preserve"> an alternative arrangement that provides a better balance, </w:t>
      </w:r>
      <w:r>
        <w:t>we</w:t>
      </w:r>
      <w:r w:rsidR="00621323" w:rsidRPr="00327FB2">
        <w:t xml:space="preserve"> may decide to implement that arrangement without further consultation. However, </w:t>
      </w:r>
      <w:r>
        <w:t>we</w:t>
      </w:r>
      <w:r w:rsidR="00621323" w:rsidRPr="00327FB2">
        <w:t xml:space="preserve"> will carefully consider the implications for </w:t>
      </w:r>
      <w:r w:rsidR="00766497">
        <w:t xml:space="preserve">incumbent and prospective licensees </w:t>
      </w:r>
      <w:r w:rsidR="00621323" w:rsidRPr="00327FB2">
        <w:t>before taking any such step.</w:t>
      </w:r>
    </w:p>
    <w:p w14:paraId="080A0B9D" w14:textId="77777777" w:rsidR="00953C35" w:rsidRPr="001437C0" w:rsidRDefault="00953C35" w:rsidP="00F042B1">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spacing w:after="120"/>
        <w:rPr>
          <w:b/>
        </w:rPr>
      </w:pPr>
      <w:r>
        <w:rPr>
          <w:b/>
        </w:rPr>
        <w:t>Draft spectrum marketing plan (26 GHz band)</w:t>
      </w:r>
    </w:p>
    <w:p w14:paraId="046C3C4A" w14:textId="2FBA5E17" w:rsidR="00953C35" w:rsidRDefault="00953C35" w:rsidP="00F042B1">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spacing w:after="0"/>
      </w:pPr>
      <w:r>
        <w:t xml:space="preserve">We seek stakeholder views on the </w:t>
      </w:r>
      <w:r w:rsidR="00621323">
        <w:t>sample licence conditions set out in</w:t>
      </w:r>
      <w:r>
        <w:t xml:space="preserve"> the draft </w:t>
      </w:r>
      <w:r w:rsidR="00965BBF" w:rsidRPr="008F481E">
        <w:t>m</w:t>
      </w:r>
      <w:r w:rsidRPr="008F481E">
        <w:t xml:space="preserve">arketing </w:t>
      </w:r>
      <w:r w:rsidR="00965BBF" w:rsidRPr="008F481E">
        <w:t>p</w:t>
      </w:r>
      <w:r w:rsidRPr="008F481E">
        <w:t>lan</w:t>
      </w:r>
      <w:r w:rsidR="00E02C8C">
        <w:t>, including</w:t>
      </w:r>
      <w:r w:rsidR="00BC2D64">
        <w:t xml:space="preserve"> </w:t>
      </w:r>
      <w:r w:rsidR="0035121A">
        <w:t xml:space="preserve">the </w:t>
      </w:r>
      <w:r w:rsidR="00BC2D64">
        <w:t xml:space="preserve">uplink/downlink configuration to be used when the fallback synchronisation requirement is invoked (two options are included in section </w:t>
      </w:r>
      <w:r w:rsidR="00BC2D64" w:rsidRPr="005B30A4">
        <w:t>3.4</w:t>
      </w:r>
      <w:r w:rsidR="00BC2D64">
        <w:t xml:space="preserve"> of the draft </w:t>
      </w:r>
      <w:r w:rsidR="00BC2D64" w:rsidRPr="00722A7C">
        <w:t>RALI [new] at Attachment</w:t>
      </w:r>
      <w:r w:rsidR="00BC2D64">
        <w:t xml:space="preserve"> E)</w:t>
      </w:r>
      <w:r>
        <w:t>.</w:t>
      </w:r>
    </w:p>
    <w:p w14:paraId="1BD10826" w14:textId="77777777" w:rsidR="00AF54A6" w:rsidRDefault="00AF54A6" w:rsidP="00656C45"/>
    <w:p w14:paraId="5A21DFAB" w14:textId="77777777" w:rsidR="00907528" w:rsidRPr="00A72D05" w:rsidRDefault="00907528" w:rsidP="00907528">
      <w:pPr>
        <w:pStyle w:val="Heading2"/>
        <w:spacing w:before="240"/>
      </w:pPr>
      <w:bookmarkStart w:id="39" w:name="_Toc45091022"/>
      <w:r w:rsidRPr="00A72D05">
        <w:t>Unacceptable levels of interference</w:t>
      </w:r>
      <w:bookmarkEnd w:id="39"/>
    </w:p>
    <w:p w14:paraId="608E8773" w14:textId="14EE8565" w:rsidR="00907528" w:rsidRPr="00A72D05" w:rsidRDefault="00907528" w:rsidP="00907528">
      <w:pPr>
        <w:keepNext/>
        <w:keepLines/>
      </w:pPr>
      <w:r w:rsidRPr="00A72D05">
        <w:t xml:space="preserve">Spectrum licensees are required to register a radiocommunications transmitter in the Register of Radiocommunications Licences before the transmitter may be </w:t>
      </w:r>
      <w:proofErr w:type="gramStart"/>
      <w:r w:rsidRPr="00A72D05">
        <w:t>operated</w:t>
      </w:r>
      <w:r w:rsidR="00EF116B">
        <w:t>,</w:t>
      </w:r>
      <w:r w:rsidRPr="00A72D05">
        <w:t xml:space="preserve"> unless</w:t>
      </w:r>
      <w:proofErr w:type="gramEnd"/>
      <w:r w:rsidRPr="00A72D05">
        <w:t xml:space="preserve"> the transmitter is of a kind exempt from registration. </w:t>
      </w:r>
    </w:p>
    <w:p w14:paraId="56EF28EF" w14:textId="201B52D9" w:rsidR="00907528" w:rsidRPr="00B9508D" w:rsidRDefault="00907528" w:rsidP="00907528">
      <w:pPr>
        <w:keepLines/>
      </w:pPr>
      <w:r w:rsidRPr="00A72D05">
        <w:t xml:space="preserve">Subsection 145(1) of </w:t>
      </w:r>
      <w:r w:rsidRPr="008F481E">
        <w:t>the Act</w:t>
      </w:r>
      <w:r w:rsidRPr="00A72D05">
        <w:t xml:space="preserve"> </w:t>
      </w:r>
      <w:r w:rsidR="00EF116B">
        <w:t>allows</w:t>
      </w:r>
      <w:r w:rsidR="00163326" w:rsidRPr="00A72D05">
        <w:t xml:space="preserve"> </w:t>
      </w:r>
      <w:r w:rsidR="00EF116B">
        <w:t xml:space="preserve">the </w:t>
      </w:r>
      <w:r w:rsidRPr="00A72D05">
        <w:t xml:space="preserve">ACMA </w:t>
      </w:r>
      <w:r w:rsidR="00EF116B">
        <w:t>to</w:t>
      </w:r>
      <w:r w:rsidR="00EF116B" w:rsidRPr="00A72D05">
        <w:t xml:space="preserve"> </w:t>
      </w:r>
      <w:r w:rsidRPr="00A72D05">
        <w:t xml:space="preserve">refuse to register a radiocommunications transmitter </w:t>
      </w:r>
      <w:r w:rsidR="00EF116B">
        <w:t>if</w:t>
      </w:r>
      <w:r w:rsidR="00EF116B" w:rsidRPr="00A72D05">
        <w:t xml:space="preserve"> </w:t>
      </w:r>
      <w:r w:rsidRPr="00A72D05">
        <w:t xml:space="preserve">the operation of the transmitter could cause an unacceptable level of interference to the operation of other radiocommunications devices. </w:t>
      </w:r>
      <w:r w:rsidR="00EF116B">
        <w:t>We</w:t>
      </w:r>
      <w:r w:rsidRPr="00A72D05">
        <w:t xml:space="preserve"> make determination</w:t>
      </w:r>
      <w:r w:rsidR="00922BA2" w:rsidRPr="00A72D05">
        <w:t>s</w:t>
      </w:r>
      <w:r w:rsidRPr="00A72D05">
        <w:t xml:space="preserve"> under subsection 145(4) of the Act (section 145 determinations) that set out the unacceptable levels of interference for each spectrum-licensed band.</w:t>
      </w:r>
    </w:p>
    <w:p w14:paraId="300230B7" w14:textId="15AC1774" w:rsidR="00907528" w:rsidRDefault="00907528" w:rsidP="00907528">
      <w:pPr>
        <w:spacing w:after="80"/>
        <w:rPr>
          <w:rFonts w:cs="Arial"/>
        </w:rPr>
      </w:pPr>
      <w:r w:rsidRPr="00B9508D">
        <w:rPr>
          <w:rFonts w:cs="Arial"/>
        </w:rPr>
        <w:t>The</w:t>
      </w:r>
      <w:r w:rsidR="00EF116B">
        <w:rPr>
          <w:rFonts w:cs="Arial"/>
        </w:rPr>
        <w:t>se</w:t>
      </w:r>
      <w:r w:rsidRPr="00B9508D">
        <w:rPr>
          <w:rFonts w:cs="Arial"/>
        </w:rPr>
        <w:t xml:space="preserve"> determinations set out the circumstances </w:t>
      </w:r>
      <w:r>
        <w:rPr>
          <w:rFonts w:cs="Arial"/>
        </w:rPr>
        <w:t>in which devices may cause unacceptable levels of interference</w:t>
      </w:r>
      <w:r w:rsidR="00EF116B">
        <w:rPr>
          <w:rFonts w:cs="Arial"/>
        </w:rPr>
        <w:t xml:space="preserve">, which </w:t>
      </w:r>
      <w:r>
        <w:rPr>
          <w:rFonts w:cs="Arial"/>
        </w:rPr>
        <w:t>include:</w:t>
      </w:r>
    </w:p>
    <w:p w14:paraId="5F13B8CA" w14:textId="77777777" w:rsidR="00907528" w:rsidRPr="00F11CA5" w:rsidRDefault="00907528" w:rsidP="00907528">
      <w:pPr>
        <w:pStyle w:val="ListBullet"/>
      </w:pPr>
      <w:r w:rsidRPr="00B9508D">
        <w:t xml:space="preserve">if </w:t>
      </w:r>
      <w:r w:rsidRPr="00F11CA5">
        <w:t>any part of the device boundary falls outside the licensed geographical area of the licence</w:t>
      </w:r>
    </w:p>
    <w:p w14:paraId="12A51532" w14:textId="77777777" w:rsidR="00907528" w:rsidRDefault="00907528" w:rsidP="00907528">
      <w:pPr>
        <w:pStyle w:val="ListBullet"/>
      </w:pPr>
      <w:r w:rsidRPr="00F11CA5">
        <w:t>if the operation</w:t>
      </w:r>
      <w:r w:rsidRPr="00B9508D">
        <w:t xml:space="preserve"> of the transmitter will cause a breach of a core condition of the licence</w:t>
      </w:r>
    </w:p>
    <w:p w14:paraId="622AE3A6" w14:textId="77777777" w:rsidR="00907528" w:rsidRDefault="00907528" w:rsidP="00907528">
      <w:pPr>
        <w:pStyle w:val="ListBulletLast"/>
      </w:pPr>
      <w:r w:rsidRPr="00B9508D">
        <w:t>if the deployment of the device is outside the deployment constraints set for the band.</w:t>
      </w:r>
    </w:p>
    <w:p w14:paraId="67293B59" w14:textId="39763D8E" w:rsidR="00907528" w:rsidRDefault="007049A1" w:rsidP="00F042B1">
      <w:pPr>
        <w:pStyle w:val="Paragraphbeforelist"/>
      </w:pPr>
      <w:r>
        <w:lastRenderedPageBreak/>
        <w:t>For the 26 GHz band</w:t>
      </w:r>
      <w:r w:rsidR="00EF116B">
        <w:t>,</w:t>
      </w:r>
      <w:r>
        <w:t xml:space="preserve"> the </w:t>
      </w:r>
      <w:bookmarkStart w:id="40" w:name="_Hlk44935368"/>
      <w:r w:rsidR="00907528">
        <w:t xml:space="preserve">proposed section 145 determination </w:t>
      </w:r>
      <w:bookmarkEnd w:id="40"/>
      <w:r w:rsidR="00907528">
        <w:t xml:space="preserve">is </w:t>
      </w:r>
      <w:r w:rsidR="00907528" w:rsidRPr="008F481E">
        <w:t xml:space="preserve">available at </w:t>
      </w:r>
      <w:r w:rsidR="00CC05DF" w:rsidRPr="008F481E">
        <w:t>A</w:t>
      </w:r>
      <w:r w:rsidR="00907528" w:rsidRPr="008F481E">
        <w:t xml:space="preserve">ttachment </w:t>
      </w:r>
      <w:r w:rsidR="0074584B" w:rsidRPr="008F481E">
        <w:t>A</w:t>
      </w:r>
      <w:r w:rsidR="000F6CF4" w:rsidRPr="00056DF2">
        <w:t xml:space="preserve"> </w:t>
      </w:r>
      <w:r w:rsidR="00CC05DF" w:rsidRPr="00056DF2">
        <w:t xml:space="preserve">and </w:t>
      </w:r>
      <w:r w:rsidR="000F6CF4" w:rsidRPr="00056DF2">
        <w:t xml:space="preserve">reflects the outcomes of the </w:t>
      </w:r>
      <w:r w:rsidR="000F6CF4" w:rsidRPr="008F481E">
        <w:t xml:space="preserve">26 GHz </w:t>
      </w:r>
      <w:r w:rsidR="00621323" w:rsidRPr="008F481E">
        <w:t xml:space="preserve">band </w:t>
      </w:r>
      <w:r w:rsidR="000F6CF4" w:rsidRPr="008F481E">
        <w:t>TLG</w:t>
      </w:r>
      <w:r w:rsidR="00907528" w:rsidRPr="00056DF2">
        <w:t>. Some of the key propos</w:t>
      </w:r>
      <w:r w:rsidR="00F66136" w:rsidRPr="00056DF2">
        <w:t>al</w:t>
      </w:r>
      <w:r w:rsidR="002F069D" w:rsidRPr="00056DF2">
        <w:t>s</w:t>
      </w:r>
      <w:r w:rsidR="00F66136" w:rsidRPr="00056DF2">
        <w:t xml:space="preserve"> for the</w:t>
      </w:r>
      <w:r w:rsidR="00440ACF">
        <w:t xml:space="preserve"> device boundary criteria set out in the</w:t>
      </w:r>
      <w:r w:rsidR="00907528" w:rsidRPr="00056DF2">
        <w:t xml:space="preserve"> determination are:</w:t>
      </w:r>
    </w:p>
    <w:p w14:paraId="44414B92" w14:textId="10CF4C58" w:rsidR="00F66136" w:rsidRDefault="00CE1CF2" w:rsidP="00F042B1">
      <w:pPr>
        <w:pStyle w:val="Bulletlevel1"/>
      </w:pPr>
      <w:r>
        <w:t>Set</w:t>
      </w:r>
      <w:r w:rsidR="0074584B">
        <w:t>ting</w:t>
      </w:r>
      <w:r>
        <w:t xml:space="preserve"> </w:t>
      </w:r>
      <w:r w:rsidR="00B53622">
        <w:t>two levels of protection:</w:t>
      </w:r>
    </w:p>
    <w:p w14:paraId="1777788A" w14:textId="17F97D4D" w:rsidR="00B53622" w:rsidRDefault="00A72D05" w:rsidP="00F042B1">
      <w:pPr>
        <w:pStyle w:val="Bulletlevel2"/>
      </w:pPr>
      <w:r>
        <w:t>–</w:t>
      </w:r>
      <w:r w:rsidR="00B53622">
        <w:t xml:space="preserve">102 dBm/MHz </w:t>
      </w:r>
      <w:r w:rsidR="00B53622" w:rsidRPr="00A72D05">
        <w:t>for</w:t>
      </w:r>
      <w:r w:rsidR="00B53622">
        <w:t xml:space="preserve"> transmitters </w:t>
      </w:r>
      <w:r>
        <w:t xml:space="preserve">that </w:t>
      </w:r>
      <w:r w:rsidR="00B53622">
        <w:t>incorporate an active antenna system (AAS)</w:t>
      </w:r>
    </w:p>
    <w:p w14:paraId="3FFBDCA8" w14:textId="5948BD9A" w:rsidR="00B53622" w:rsidRDefault="00A72D05" w:rsidP="00F042B1">
      <w:pPr>
        <w:pStyle w:val="Bulletlevel2"/>
      </w:pPr>
      <w:r>
        <w:t>–</w:t>
      </w:r>
      <w:r w:rsidR="00B53622">
        <w:t>110 dBm/MHz for transmitter without AAS.</w:t>
      </w:r>
    </w:p>
    <w:p w14:paraId="7DE3DFD7" w14:textId="5FE89D9F" w:rsidR="00B53622" w:rsidRDefault="00CE1CF2" w:rsidP="00F042B1">
      <w:pPr>
        <w:pStyle w:val="Bulletlevel1"/>
      </w:pPr>
      <w:r>
        <w:t>Set</w:t>
      </w:r>
      <w:r w:rsidR="0074584B">
        <w:t>ting</w:t>
      </w:r>
      <w:r>
        <w:t xml:space="preserve"> the resolution of calculations to 100</w:t>
      </w:r>
      <w:r w:rsidR="00BC30DD">
        <w:t xml:space="preserve"> </w:t>
      </w:r>
      <w:r>
        <w:t>m, with a maximum radial length of 53</w:t>
      </w:r>
      <w:r w:rsidR="00BC30DD">
        <w:t xml:space="preserve"> </w:t>
      </w:r>
      <w:r>
        <w:t>km</w:t>
      </w:r>
      <w:r w:rsidR="00CE6E9E">
        <w:t xml:space="preserve"> (this is an increase</w:t>
      </w:r>
      <w:r w:rsidR="002F069D">
        <w:t xml:space="preserve"> in</w:t>
      </w:r>
      <w:r w:rsidR="00CE6E9E">
        <w:t xml:space="preserve"> radial length</w:t>
      </w:r>
      <w:r w:rsidR="002F069D">
        <w:t xml:space="preserve"> above that proposed in</w:t>
      </w:r>
      <w:r w:rsidR="00CE6E9E">
        <w:t xml:space="preserve"> the TLG, to account for the proposed increase</w:t>
      </w:r>
      <w:r w:rsidR="002F069D">
        <w:t xml:space="preserve"> in</w:t>
      </w:r>
      <w:r w:rsidR="00BC30DD">
        <w:t xml:space="preserve"> </w:t>
      </w:r>
      <w:r w:rsidR="00CE6E9E">
        <w:t>T</w:t>
      </w:r>
      <w:r w:rsidR="0074584B">
        <w:t>RP</w:t>
      </w:r>
      <w:r w:rsidR="00CE6E9E">
        <w:t xml:space="preserve"> limits)</w:t>
      </w:r>
      <w:r w:rsidR="0074584B">
        <w:t>.</w:t>
      </w:r>
    </w:p>
    <w:p w14:paraId="64ED4873" w14:textId="1F974672" w:rsidR="00B81ACF" w:rsidRDefault="00B81ACF" w:rsidP="00F042B1">
      <w:pPr>
        <w:pStyle w:val="Bulletlevel1"/>
      </w:pPr>
      <w:r>
        <w:t>Use of the Geocentric Datum of Australia (GDA2020) coordinate reference system.</w:t>
      </w:r>
      <w:r>
        <w:rPr>
          <w:rStyle w:val="FootnoteReference"/>
        </w:rPr>
        <w:footnoteReference w:id="13"/>
      </w:r>
    </w:p>
    <w:p w14:paraId="297EDEE6" w14:textId="1A99E6CA" w:rsidR="00CE1CF2" w:rsidRDefault="00CE1CF2" w:rsidP="00F042B1">
      <w:pPr>
        <w:pStyle w:val="Bulletlevel1"/>
      </w:pPr>
      <w:r>
        <w:t>Use of a 3-second digital elevation model</w:t>
      </w:r>
      <w:r w:rsidR="0074584B">
        <w:t>.</w:t>
      </w:r>
      <w:r w:rsidR="00B81ACF">
        <w:rPr>
          <w:rStyle w:val="FootnoteReference"/>
        </w:rPr>
        <w:footnoteReference w:id="14"/>
      </w:r>
      <w:r w:rsidR="007409E7">
        <w:t xml:space="preserve"> </w:t>
      </w:r>
    </w:p>
    <w:p w14:paraId="69851ADB" w14:textId="4229E9E3" w:rsidR="00CE1CF2" w:rsidRDefault="00CE1CF2" w:rsidP="00F042B1">
      <w:pPr>
        <w:pStyle w:val="Bulletlevel1"/>
      </w:pPr>
      <w:r>
        <w:t xml:space="preserve">Inclusion of </w:t>
      </w:r>
      <w:r w:rsidR="0026516F">
        <w:t xml:space="preserve">propagation loss due to </w:t>
      </w:r>
      <w:r>
        <w:t>clutter</w:t>
      </w:r>
      <w:r w:rsidR="00AE2C82">
        <w:t xml:space="preserve"> (using a defined model)</w:t>
      </w:r>
      <w:r w:rsidR="0026516F">
        <w:t xml:space="preserve"> </w:t>
      </w:r>
      <w:r>
        <w:t xml:space="preserve">for </w:t>
      </w:r>
      <w:r w:rsidR="002F069D">
        <w:t xml:space="preserve">paths from </w:t>
      </w:r>
      <w:r>
        <w:t>transmitters with an antenna h</w:t>
      </w:r>
      <w:r w:rsidR="0074584B">
        <w:t>e</w:t>
      </w:r>
      <w:r>
        <w:t>igh</w:t>
      </w:r>
      <w:r w:rsidR="0074584B">
        <w:t>t</w:t>
      </w:r>
      <w:r>
        <w:t xml:space="preserve"> of less than or equal to 6</w:t>
      </w:r>
      <w:r w:rsidR="00BC30DD">
        <w:t xml:space="preserve"> </w:t>
      </w:r>
      <w:r>
        <w:t>m above ground level.</w:t>
      </w:r>
    </w:p>
    <w:p w14:paraId="7609706F" w14:textId="569E937D" w:rsidR="00CE1CF2" w:rsidRDefault="00CE1CF2" w:rsidP="00F042B1">
      <w:pPr>
        <w:pStyle w:val="Bulletlevel1last"/>
      </w:pPr>
      <w:r w:rsidRPr="00E523BA">
        <w:t>Exempt</w:t>
      </w:r>
      <w:r w:rsidR="002F069D">
        <w:t>ion of</w:t>
      </w:r>
      <w:r w:rsidRPr="00E523BA">
        <w:t xml:space="preserve"> spectrum licensees from the device boundary criteria </w:t>
      </w:r>
      <w:r>
        <w:t>inside the HCIS</w:t>
      </w:r>
      <w:r w:rsidR="005A69F6">
        <w:rPr>
          <w:rStyle w:val="FootnoteReference"/>
        </w:rPr>
        <w:footnoteReference w:id="15"/>
      </w:r>
      <w:r>
        <w:t xml:space="preserve"> cell MW4H6</w:t>
      </w:r>
      <w:r w:rsidR="00A72D05">
        <w:t>,</w:t>
      </w:r>
      <w:r>
        <w:t xml:space="preserve"> which contains the Canberra Deep Space Communications Complex at Tidbinbilla</w:t>
      </w:r>
      <w:r w:rsidRPr="00B96C9A">
        <w:t xml:space="preserve">. </w:t>
      </w:r>
      <w:r>
        <w:t>A r</w:t>
      </w:r>
      <w:r w:rsidRPr="00B96C9A">
        <w:t>equirement to protect</w:t>
      </w:r>
      <w:r>
        <w:t xml:space="preserve"> this</w:t>
      </w:r>
      <w:r w:rsidRPr="00B96C9A">
        <w:t xml:space="preserve"> </w:t>
      </w:r>
      <w:r w:rsidRPr="00450F0E">
        <w:t>earth station</w:t>
      </w:r>
      <w:r>
        <w:t xml:space="preserve"> will be managed through </w:t>
      </w:r>
      <w:r w:rsidR="0074584B">
        <w:t xml:space="preserve">a provision in the RAG Tx (see the </w:t>
      </w:r>
      <w:r w:rsidR="0074584B" w:rsidRPr="0074584B">
        <w:rPr>
          <w:i/>
          <w:iCs/>
        </w:rPr>
        <w:fldChar w:fldCharType="begin"/>
      </w:r>
      <w:r w:rsidR="0074584B" w:rsidRPr="0074584B">
        <w:rPr>
          <w:i/>
          <w:iCs/>
        </w:rPr>
        <w:instrText xml:space="preserve"> REF _Ref42776880 \h </w:instrText>
      </w:r>
      <w:r w:rsidR="0074584B">
        <w:rPr>
          <w:i/>
          <w:iCs/>
        </w:rPr>
        <w:instrText xml:space="preserve"> \* MERGEFORMAT </w:instrText>
      </w:r>
      <w:r w:rsidR="0074584B" w:rsidRPr="0074584B">
        <w:rPr>
          <w:i/>
          <w:iCs/>
        </w:rPr>
      </w:r>
      <w:r w:rsidR="0074584B" w:rsidRPr="0074584B">
        <w:rPr>
          <w:i/>
          <w:iCs/>
        </w:rPr>
        <w:fldChar w:fldCharType="separate"/>
      </w:r>
      <w:r w:rsidR="0074584B" w:rsidRPr="0074584B">
        <w:rPr>
          <w:i/>
          <w:iCs/>
        </w:rPr>
        <w:t>Managing interference from spectrum-licensed transmitters</w:t>
      </w:r>
      <w:r w:rsidR="0074584B" w:rsidRPr="0074584B">
        <w:rPr>
          <w:i/>
          <w:iCs/>
        </w:rPr>
        <w:fldChar w:fldCharType="end"/>
      </w:r>
      <w:r w:rsidR="0074584B">
        <w:t xml:space="preserve"> section).</w:t>
      </w:r>
    </w:p>
    <w:p w14:paraId="71DBEF78" w14:textId="541BD601" w:rsidR="00E86ED4" w:rsidRPr="0025166E" w:rsidRDefault="00E86ED4" w:rsidP="00E86ED4">
      <w:pPr>
        <w:keepNext/>
        <w:pBdr>
          <w:top w:val="single" w:sz="4" w:space="1" w:color="auto"/>
          <w:left w:val="single" w:sz="4" w:space="4" w:color="auto"/>
          <w:bottom w:val="single" w:sz="4" w:space="1" w:color="auto"/>
          <w:right w:val="single" w:sz="4" w:space="4" w:color="auto"/>
        </w:pBdr>
        <w:shd w:val="clear" w:color="auto" w:fill="F2F2F2" w:themeFill="background1" w:themeFillShade="F2"/>
        <w:spacing w:after="120"/>
        <w:rPr>
          <w:b/>
        </w:rPr>
      </w:pPr>
      <w:r w:rsidRPr="00DD7360">
        <w:rPr>
          <w:b/>
        </w:rPr>
        <w:t xml:space="preserve">The </w:t>
      </w:r>
      <w:r w:rsidRPr="0025166E">
        <w:rPr>
          <w:b/>
        </w:rPr>
        <w:t xml:space="preserve">draft </w:t>
      </w:r>
      <w:r w:rsidRPr="0025166E">
        <w:rPr>
          <w:b/>
          <w:u w:color="0000FF"/>
        </w:rPr>
        <w:t>Radiocommunications (</w:t>
      </w:r>
      <w:r>
        <w:rPr>
          <w:b/>
          <w:u w:color="0000FF"/>
        </w:rPr>
        <w:t>Unacceptable Levels of Interference</w:t>
      </w:r>
      <w:r w:rsidRPr="0025166E">
        <w:rPr>
          <w:b/>
          <w:u w:color="0000FF"/>
        </w:rPr>
        <w:t xml:space="preserve"> - 26 GHz Band) </w:t>
      </w:r>
      <w:r>
        <w:rPr>
          <w:b/>
          <w:u w:color="0000FF"/>
        </w:rPr>
        <w:t xml:space="preserve">Determination </w:t>
      </w:r>
      <w:r w:rsidRPr="0025166E">
        <w:rPr>
          <w:b/>
          <w:u w:color="0000FF"/>
        </w:rPr>
        <w:t>2020</w:t>
      </w:r>
    </w:p>
    <w:p w14:paraId="1D7ED29F" w14:textId="433A0978" w:rsidR="00E86ED4" w:rsidRDefault="00E86ED4" w:rsidP="00E86ED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pPr>
      <w:r>
        <w:t>The ACMA seeks stakeholder views on the draft</w:t>
      </w:r>
      <w:r w:rsidR="0074584B">
        <w:t xml:space="preserve"> </w:t>
      </w:r>
      <w:r w:rsidR="00911E8C">
        <w:t xml:space="preserve">section 145 determination </w:t>
      </w:r>
      <w:r>
        <w:t xml:space="preserve">at </w:t>
      </w:r>
      <w:r w:rsidR="007049A1" w:rsidRPr="003605DE">
        <w:t>A</w:t>
      </w:r>
      <w:r w:rsidRPr="003605DE">
        <w:t xml:space="preserve">ttachment </w:t>
      </w:r>
      <w:r w:rsidR="0074584B" w:rsidRPr="003605DE">
        <w:t>A</w:t>
      </w:r>
      <w:r w:rsidRPr="003605DE">
        <w:t>.</w:t>
      </w:r>
    </w:p>
    <w:p w14:paraId="5D752366" w14:textId="77777777" w:rsidR="00E86ED4" w:rsidRDefault="00E86ED4" w:rsidP="00656C45"/>
    <w:p w14:paraId="10BEFC45" w14:textId="77777777" w:rsidR="00BF2C58" w:rsidRPr="006D46E5" w:rsidRDefault="00BF2C58" w:rsidP="00BF2C58">
      <w:pPr>
        <w:pStyle w:val="Heading2"/>
        <w:spacing w:before="120"/>
      </w:pPr>
      <w:bookmarkStart w:id="41" w:name="_Toc45091023"/>
      <w:r w:rsidRPr="00F02B5E">
        <w:t>Radiocommunications</w:t>
      </w:r>
      <w:r>
        <w:t xml:space="preserve"> Advisory Guidelines</w:t>
      </w:r>
      <w:bookmarkEnd w:id="41"/>
    </w:p>
    <w:p w14:paraId="09E0A18F" w14:textId="77777777" w:rsidR="00BF2C58" w:rsidRPr="00B9508D" w:rsidRDefault="00BF2C58" w:rsidP="00BF2C58">
      <w:pPr>
        <w:rPr>
          <w:rFonts w:cs="Arial"/>
        </w:rPr>
      </w:pPr>
      <w:r w:rsidRPr="00B9508D">
        <w:rPr>
          <w:rFonts w:cs="Arial"/>
        </w:rPr>
        <w:t xml:space="preserve">Further guidance on </w:t>
      </w:r>
      <w:r>
        <w:rPr>
          <w:rFonts w:cs="Arial"/>
        </w:rPr>
        <w:t>interference management</w:t>
      </w:r>
      <w:r w:rsidRPr="00B9508D">
        <w:rPr>
          <w:rFonts w:cs="Arial"/>
        </w:rPr>
        <w:t xml:space="preserve"> </w:t>
      </w:r>
      <w:r>
        <w:rPr>
          <w:rFonts w:cs="Arial"/>
        </w:rPr>
        <w:t xml:space="preserve">with other services </w:t>
      </w:r>
      <w:r w:rsidRPr="00B9508D">
        <w:rPr>
          <w:rFonts w:cs="Arial"/>
        </w:rPr>
        <w:t xml:space="preserve">is provided in </w:t>
      </w:r>
      <w:r>
        <w:rPr>
          <w:rFonts w:cs="Arial"/>
        </w:rPr>
        <w:t>R</w:t>
      </w:r>
      <w:r w:rsidRPr="00B9508D">
        <w:rPr>
          <w:rFonts w:cs="Arial"/>
        </w:rPr>
        <w:t xml:space="preserve">adiocommunications </w:t>
      </w:r>
      <w:r>
        <w:rPr>
          <w:rFonts w:cs="Arial"/>
        </w:rPr>
        <w:t>A</w:t>
      </w:r>
      <w:r w:rsidRPr="00B9508D">
        <w:rPr>
          <w:rFonts w:cs="Arial"/>
        </w:rPr>
        <w:t xml:space="preserve">dvisory </w:t>
      </w:r>
      <w:r>
        <w:rPr>
          <w:rFonts w:cs="Arial"/>
        </w:rPr>
        <w:t>G</w:t>
      </w:r>
      <w:r w:rsidRPr="00B9508D">
        <w:rPr>
          <w:rFonts w:cs="Arial"/>
        </w:rPr>
        <w:t xml:space="preserve">uidelines (RAGs) made under section 262 of the Act. </w:t>
      </w:r>
      <w:r>
        <w:rPr>
          <w:rFonts w:cs="Arial"/>
        </w:rPr>
        <w:t>RAGs</w:t>
      </w:r>
      <w:r w:rsidRPr="00B9508D">
        <w:rPr>
          <w:rFonts w:cs="Arial"/>
        </w:rPr>
        <w:t xml:space="preserve"> can refer to any aspect of radiocom</w:t>
      </w:r>
      <w:r>
        <w:rPr>
          <w:rFonts w:cs="Arial"/>
        </w:rPr>
        <w:t>munications or radio emissions.</w:t>
      </w:r>
    </w:p>
    <w:p w14:paraId="09A2B129" w14:textId="77777777" w:rsidR="00BF2C58" w:rsidRPr="00B9508D" w:rsidRDefault="00BF2C58" w:rsidP="00BF2C58">
      <w:pPr>
        <w:rPr>
          <w:rFonts w:cs="Arial"/>
        </w:rPr>
      </w:pPr>
      <w:r w:rsidRPr="00B9508D">
        <w:rPr>
          <w:rFonts w:cs="Arial"/>
        </w:rPr>
        <w:t xml:space="preserve">Generally, RAGs include provisions to help assess the possible interference between spectrum-licensed devices and services operating under spectrum, apparatus or class licences. Potentially affected services are identified in the </w:t>
      </w:r>
      <w:r>
        <w:rPr>
          <w:rFonts w:cs="Arial"/>
        </w:rPr>
        <w:t>RAGs</w:t>
      </w:r>
      <w:r w:rsidRPr="00B9508D">
        <w:rPr>
          <w:rFonts w:cs="Arial"/>
        </w:rPr>
        <w:t xml:space="preserve"> </w:t>
      </w:r>
      <w:r>
        <w:rPr>
          <w:rFonts w:cs="Arial"/>
        </w:rPr>
        <w:t>to</w:t>
      </w:r>
      <w:r w:rsidRPr="00B9508D">
        <w:rPr>
          <w:rFonts w:cs="Arial"/>
        </w:rPr>
        <w:t xml:space="preserve"> enable licensees to assess and mitigate the risk of interference </w:t>
      </w:r>
      <w:r>
        <w:rPr>
          <w:rFonts w:cs="Arial"/>
        </w:rPr>
        <w:t xml:space="preserve">with these </w:t>
      </w:r>
      <w:r w:rsidRPr="00B9508D">
        <w:rPr>
          <w:rFonts w:cs="Arial"/>
        </w:rPr>
        <w:t>services.</w:t>
      </w:r>
    </w:p>
    <w:p w14:paraId="41732CF0" w14:textId="56AF0B14" w:rsidR="00BF2C58" w:rsidRDefault="00BF2C58" w:rsidP="00BF2C58">
      <w:r>
        <w:t>W</w:t>
      </w:r>
      <w:r w:rsidRPr="00B9508D">
        <w:t>here interference arises between a spectru</w:t>
      </w:r>
      <w:r>
        <w:t xml:space="preserve">m-licensed service and another </w:t>
      </w:r>
      <w:r w:rsidRPr="00B9508D">
        <w:t xml:space="preserve">service, </w:t>
      </w:r>
      <w:r w:rsidR="00A72D05">
        <w:t>we</w:t>
      </w:r>
      <w:r w:rsidRPr="00B9508D">
        <w:t xml:space="preserve"> will</w:t>
      </w:r>
      <w:r w:rsidR="00621323">
        <w:t xml:space="preserve"> assess each case on its merits. </w:t>
      </w:r>
      <w:r w:rsidR="00A72D05">
        <w:t>We</w:t>
      </w:r>
      <w:r w:rsidR="00621323">
        <w:t xml:space="preserve"> will, however, </w:t>
      </w:r>
      <w:proofErr w:type="gramStart"/>
      <w:r w:rsidR="00621323">
        <w:t>take into account</w:t>
      </w:r>
      <w:proofErr w:type="gramEnd"/>
      <w:r w:rsidR="00621323">
        <w:t xml:space="preserve"> </w:t>
      </w:r>
      <w:r w:rsidRPr="00B9508D">
        <w:t>the provisions of t</w:t>
      </w:r>
      <w:r>
        <w:t>he RAGs in resolving the matter.</w:t>
      </w:r>
      <w:r w:rsidR="008208B1">
        <w:t xml:space="preserve"> </w:t>
      </w:r>
      <w:r w:rsidR="00AE2C82">
        <w:t>S</w:t>
      </w:r>
      <w:r w:rsidR="008208B1">
        <w:t xml:space="preserve">ome provisions </w:t>
      </w:r>
      <w:r w:rsidR="00AE2C82">
        <w:t xml:space="preserve">may also be incorporated by reference </w:t>
      </w:r>
      <w:r w:rsidR="001A5DB2">
        <w:t>as a licence condition</w:t>
      </w:r>
      <w:r w:rsidR="00A72D05">
        <w:t>,</w:t>
      </w:r>
      <w:r w:rsidR="008208B1">
        <w:t xml:space="preserve"> and hence</w:t>
      </w:r>
      <w:r w:rsidR="00A72D05">
        <w:t>,</w:t>
      </w:r>
      <w:r w:rsidR="008208B1">
        <w:t xml:space="preserve"> would be mandatory for the licensee to meet. </w:t>
      </w:r>
    </w:p>
    <w:p w14:paraId="71F7E516" w14:textId="6654A201" w:rsidR="003877D1" w:rsidRDefault="003877D1" w:rsidP="00F042B1">
      <w:pPr>
        <w:pStyle w:val="Paragraphbeforelist"/>
      </w:pPr>
      <w:r>
        <w:lastRenderedPageBreak/>
        <w:t>In most spectrum</w:t>
      </w:r>
      <w:r w:rsidR="00A72D05">
        <w:t>-</w:t>
      </w:r>
      <w:r>
        <w:t xml:space="preserve">licensed </w:t>
      </w:r>
      <w:r w:rsidR="00EC4007">
        <w:t>bands,</w:t>
      </w:r>
      <w:r>
        <w:t xml:space="preserve"> the ACMA makes two RAGs </w:t>
      </w:r>
      <w:r w:rsidR="00A72D05">
        <w:t>for</w:t>
      </w:r>
      <w:r>
        <w:t xml:space="preserve"> </w:t>
      </w:r>
      <w:r w:rsidR="00A72D05">
        <w:t>managing</w:t>
      </w:r>
      <w:r>
        <w:t>:</w:t>
      </w:r>
    </w:p>
    <w:p w14:paraId="3323C0E9" w14:textId="15605DAB" w:rsidR="003877D1" w:rsidRDefault="003877D1" w:rsidP="003877D1">
      <w:pPr>
        <w:pStyle w:val="ListBullet"/>
      </w:pPr>
      <w:r>
        <w:t>interference from spectrum licensed transmitters; and</w:t>
      </w:r>
    </w:p>
    <w:p w14:paraId="4AB951E9" w14:textId="79D90BB2" w:rsidR="003877D1" w:rsidRPr="00B9508D" w:rsidRDefault="003877D1" w:rsidP="003877D1">
      <w:pPr>
        <w:pStyle w:val="ListBulletLast"/>
      </w:pPr>
      <w:r>
        <w:t>interference to spectrum licensed receivers.</w:t>
      </w:r>
    </w:p>
    <w:p w14:paraId="76E16B27" w14:textId="57D7FF71" w:rsidR="00BF2C58" w:rsidRPr="00B9508D" w:rsidRDefault="00BF2C58" w:rsidP="00BF2C58">
      <w:pPr>
        <w:pStyle w:val="Heading3"/>
        <w:numPr>
          <w:ilvl w:val="2"/>
          <w:numId w:val="0"/>
        </w:numPr>
        <w:ind w:left="720" w:hanging="720"/>
      </w:pPr>
      <w:bookmarkStart w:id="42" w:name="_Toc328403749"/>
      <w:bookmarkStart w:id="43" w:name="_Toc328403873"/>
      <w:bookmarkStart w:id="44" w:name="_Toc367692837"/>
      <w:bookmarkStart w:id="45" w:name="_Toc367693441"/>
      <w:bookmarkStart w:id="46" w:name="_Toc367881973"/>
      <w:bookmarkStart w:id="47" w:name="_Toc403740555"/>
      <w:bookmarkStart w:id="48" w:name="_Toc404333450"/>
      <w:bookmarkStart w:id="49" w:name="_Toc513143744"/>
      <w:bookmarkStart w:id="50" w:name="_Toc514146658"/>
      <w:bookmarkStart w:id="51" w:name="_Ref42776880"/>
      <w:bookmarkEnd w:id="42"/>
      <w:r w:rsidRPr="009732B6">
        <w:t xml:space="preserve">Managing interference from </w:t>
      </w:r>
      <w:bookmarkStart w:id="52" w:name="_Hlk44927566"/>
      <w:r w:rsidRPr="009732B6">
        <w:t>s</w:t>
      </w:r>
      <w:r w:rsidRPr="00B9508D">
        <w:t>pectrum</w:t>
      </w:r>
      <w:r w:rsidR="00A72D05">
        <w:t>-</w:t>
      </w:r>
      <w:r w:rsidRPr="00B9508D">
        <w:t>licensed</w:t>
      </w:r>
      <w:r w:rsidRPr="009732B6">
        <w:t xml:space="preserve"> transmitters</w:t>
      </w:r>
      <w:bookmarkEnd w:id="43"/>
      <w:bookmarkEnd w:id="44"/>
      <w:bookmarkEnd w:id="45"/>
      <w:bookmarkEnd w:id="46"/>
      <w:bookmarkEnd w:id="47"/>
      <w:bookmarkEnd w:id="48"/>
      <w:bookmarkEnd w:id="49"/>
      <w:bookmarkEnd w:id="50"/>
      <w:bookmarkEnd w:id="51"/>
      <w:bookmarkEnd w:id="52"/>
    </w:p>
    <w:p w14:paraId="40D8B86B" w14:textId="1D75F5D5" w:rsidR="00BF2C58" w:rsidRPr="00A50A0B" w:rsidRDefault="00BF2C58" w:rsidP="00BF2C58">
      <w:pPr>
        <w:rPr>
          <w:rFonts w:cs="Arial"/>
        </w:rPr>
      </w:pPr>
      <w:r w:rsidRPr="00B9508D">
        <w:rPr>
          <w:rFonts w:cs="Arial"/>
        </w:rPr>
        <w:t xml:space="preserve">The ACMA </w:t>
      </w:r>
      <w:r w:rsidR="00576CF8">
        <w:rPr>
          <w:rFonts w:cs="Arial"/>
        </w:rPr>
        <w:t xml:space="preserve">proposes to </w:t>
      </w:r>
      <w:r w:rsidR="00621323">
        <w:rPr>
          <w:rFonts w:cs="Arial"/>
        </w:rPr>
        <w:t>make</w:t>
      </w:r>
      <w:r w:rsidR="00576CF8">
        <w:rPr>
          <w:rFonts w:cs="Arial"/>
        </w:rPr>
        <w:t xml:space="preserve"> the </w:t>
      </w:r>
      <w:r w:rsidR="00576CF8" w:rsidRPr="00F042B1">
        <w:rPr>
          <w:rFonts w:cs="Arial"/>
        </w:rPr>
        <w:t>Radiocommunications Advisory Guidelines (Managing Interference from Spectrum Licensed Transmitters – 26 GHz Band) 2020</w:t>
      </w:r>
      <w:r w:rsidR="00576CF8">
        <w:rPr>
          <w:rFonts w:cs="Arial"/>
        </w:rPr>
        <w:t xml:space="preserve"> (RAG Tx) </w:t>
      </w:r>
      <w:r w:rsidRPr="00B9508D">
        <w:rPr>
          <w:rFonts w:cs="Arial"/>
        </w:rPr>
        <w:t xml:space="preserve">to </w:t>
      </w:r>
      <w:r>
        <w:rPr>
          <w:rFonts w:cs="Arial"/>
        </w:rPr>
        <w:t xml:space="preserve">provide guidance on the protection of </w:t>
      </w:r>
      <w:r w:rsidRPr="00B9508D">
        <w:rPr>
          <w:rFonts w:cs="Arial"/>
        </w:rPr>
        <w:t>apparatus and class</w:t>
      </w:r>
      <w:r>
        <w:rPr>
          <w:rFonts w:cs="Arial"/>
        </w:rPr>
        <w:t>-licensed receivers from i</w:t>
      </w:r>
      <w:r w:rsidRPr="00B9508D">
        <w:rPr>
          <w:rFonts w:cs="Arial"/>
        </w:rPr>
        <w:t xml:space="preserve">nterference </w:t>
      </w:r>
      <w:r>
        <w:rPr>
          <w:rFonts w:cs="Arial"/>
        </w:rPr>
        <w:t>caused by transmitters operating under a spectrum licence</w:t>
      </w:r>
      <w:r w:rsidRPr="00B9508D">
        <w:rPr>
          <w:rFonts w:cs="Arial"/>
        </w:rPr>
        <w:t xml:space="preserve">. The </w:t>
      </w:r>
      <w:r>
        <w:rPr>
          <w:rFonts w:cs="Arial"/>
        </w:rPr>
        <w:t>RAG</w:t>
      </w:r>
      <w:r w:rsidRPr="00B9508D">
        <w:rPr>
          <w:rFonts w:cs="Arial"/>
        </w:rPr>
        <w:t xml:space="preserve"> </w:t>
      </w:r>
      <w:r w:rsidR="00576CF8">
        <w:rPr>
          <w:rFonts w:cs="Arial"/>
        </w:rPr>
        <w:t xml:space="preserve">Tx </w:t>
      </w:r>
      <w:r w:rsidRPr="00B9508D">
        <w:rPr>
          <w:rFonts w:cs="Arial"/>
        </w:rPr>
        <w:t>identif</w:t>
      </w:r>
      <w:r w:rsidR="00621323">
        <w:rPr>
          <w:rFonts w:cs="Arial"/>
        </w:rPr>
        <w:t>ies</w:t>
      </w:r>
      <w:r w:rsidRPr="00B9508D">
        <w:rPr>
          <w:rFonts w:cs="Arial"/>
        </w:rPr>
        <w:t xml:space="preserve"> those apparatus-licensed services potentially affe</w:t>
      </w:r>
      <w:r>
        <w:rPr>
          <w:rFonts w:cs="Arial"/>
        </w:rPr>
        <w:t>cted by transmitters operated under a</w:t>
      </w:r>
      <w:r w:rsidRPr="00B9508D">
        <w:rPr>
          <w:rFonts w:cs="Arial"/>
        </w:rPr>
        <w:t xml:space="preserve"> spectrum</w:t>
      </w:r>
      <w:r>
        <w:rPr>
          <w:rFonts w:cs="Arial"/>
        </w:rPr>
        <w:t xml:space="preserve"> licence</w:t>
      </w:r>
      <w:r w:rsidRPr="00B9508D">
        <w:rPr>
          <w:rFonts w:cs="Arial"/>
        </w:rPr>
        <w:t xml:space="preserve"> in the </w:t>
      </w:r>
      <w:r w:rsidR="00576CF8">
        <w:rPr>
          <w:rFonts w:cs="Arial"/>
        </w:rPr>
        <w:t>26</w:t>
      </w:r>
      <w:r>
        <w:rPr>
          <w:rFonts w:cs="Arial"/>
        </w:rPr>
        <w:t xml:space="preserve"> G</w:t>
      </w:r>
      <w:r w:rsidRPr="00B9508D">
        <w:rPr>
          <w:rFonts w:cs="Arial"/>
        </w:rPr>
        <w:t>Hz</w:t>
      </w:r>
      <w:r>
        <w:rPr>
          <w:rFonts w:cs="Arial"/>
        </w:rPr>
        <w:t xml:space="preserve"> band</w:t>
      </w:r>
      <w:r w:rsidR="002837C1">
        <w:rPr>
          <w:rFonts w:cs="Arial"/>
        </w:rPr>
        <w:t xml:space="preserve"> and outline</w:t>
      </w:r>
      <w:r w:rsidR="007049A1">
        <w:rPr>
          <w:rFonts w:cs="Arial"/>
        </w:rPr>
        <w:t>s</w:t>
      </w:r>
      <w:r w:rsidRPr="00B9508D">
        <w:rPr>
          <w:rFonts w:cs="Arial"/>
        </w:rPr>
        <w:t xml:space="preserve"> the protection criteria and coordination </w:t>
      </w:r>
      <w:r w:rsidRPr="00A50A0B">
        <w:rPr>
          <w:rFonts w:cs="Arial"/>
        </w:rPr>
        <w:t>arrangements that apply to these services</w:t>
      </w:r>
      <w:r w:rsidR="00D12DFF" w:rsidRPr="00A50A0B">
        <w:rPr>
          <w:rFonts w:cs="Arial"/>
        </w:rPr>
        <w:t>.</w:t>
      </w:r>
    </w:p>
    <w:p w14:paraId="5EE7063E" w14:textId="477E16C4" w:rsidR="00E41CC6" w:rsidRDefault="00990610" w:rsidP="00F042B1">
      <w:pPr>
        <w:pStyle w:val="Paragraphbeforelist"/>
      </w:pPr>
      <w:r>
        <w:t>The draft RAG Tx outlines how coexistence is to be managed with the following services</w:t>
      </w:r>
      <w:r w:rsidR="00E41CC6" w:rsidRPr="00B9508D">
        <w:t>:</w:t>
      </w:r>
    </w:p>
    <w:p w14:paraId="1C0346CC" w14:textId="4060332F" w:rsidR="00720F42" w:rsidRDefault="00D876FE" w:rsidP="00720F42">
      <w:pPr>
        <w:pStyle w:val="ListBullet"/>
      </w:pPr>
      <w:r>
        <w:t>E</w:t>
      </w:r>
      <w:r w:rsidR="00720F42">
        <w:t xml:space="preserve">arth </w:t>
      </w:r>
      <w:r>
        <w:t xml:space="preserve">receive </w:t>
      </w:r>
      <w:r w:rsidR="00720F42">
        <w:t>stations operating in the frequency range 25.5</w:t>
      </w:r>
      <w:r w:rsidR="00052024">
        <w:t>–</w:t>
      </w:r>
      <w:r w:rsidR="00720F42">
        <w:t>27 GHz</w:t>
      </w:r>
      <w:r w:rsidR="00052024">
        <w:t>:</w:t>
      </w:r>
    </w:p>
    <w:p w14:paraId="44BFCE69" w14:textId="03C13E10" w:rsidR="00720F42" w:rsidRDefault="00052024" w:rsidP="002B61CA">
      <w:pPr>
        <w:pStyle w:val="Bulletlevel2"/>
      </w:pPr>
      <w:r>
        <w:t>s</w:t>
      </w:r>
      <w:r w:rsidR="00720F42">
        <w:t>pectrum</w:t>
      </w:r>
      <w:r>
        <w:t>-</w:t>
      </w:r>
      <w:r w:rsidR="00720F42">
        <w:t xml:space="preserve">licensed transmitters (other than low powered or indoor transmitters) are required to coordinate with </w:t>
      </w:r>
      <w:r w:rsidR="00D876FE">
        <w:t>specified</w:t>
      </w:r>
      <w:r w:rsidR="00720F42">
        <w:t xml:space="preserve"> earth</w:t>
      </w:r>
      <w:r w:rsidR="00D876FE">
        <w:t xml:space="preserve"> receive</w:t>
      </w:r>
      <w:r w:rsidR="00720F42">
        <w:t xml:space="preserve"> stations to ensure a defined interference threshold is not exceeded.</w:t>
      </w:r>
    </w:p>
    <w:p w14:paraId="61A31BB1" w14:textId="61071D11" w:rsidR="00720F42" w:rsidRDefault="00720F42" w:rsidP="00720F42">
      <w:pPr>
        <w:pStyle w:val="ListBullet"/>
      </w:pPr>
      <w:r>
        <w:t>Space</w:t>
      </w:r>
      <w:r w:rsidR="00D876FE">
        <w:t xml:space="preserve"> receive</w:t>
      </w:r>
      <w:r>
        <w:t xml:space="preserve"> stations operating in 25.1</w:t>
      </w:r>
      <w:r w:rsidR="00052024">
        <w:t>–</w:t>
      </w:r>
      <w:r>
        <w:t>27.5 GHz</w:t>
      </w:r>
      <w:r w:rsidR="00052024">
        <w:t>:</w:t>
      </w:r>
    </w:p>
    <w:p w14:paraId="53982E19" w14:textId="4E3AB66C" w:rsidR="008275E0" w:rsidRDefault="00052024" w:rsidP="002B61CA">
      <w:pPr>
        <w:pStyle w:val="Bulletlevel2"/>
      </w:pPr>
      <w:r>
        <w:t>s</w:t>
      </w:r>
      <w:r w:rsidR="00720F42">
        <w:t>pectrum</w:t>
      </w:r>
      <w:r>
        <w:t>-</w:t>
      </w:r>
      <w:r w:rsidR="00720F42">
        <w:t>licensed transmitters are required</w:t>
      </w:r>
      <w:r w:rsidR="00BC0791">
        <w:t xml:space="preserve"> to</w:t>
      </w:r>
      <w:r w:rsidR="008275E0">
        <w:t>:</w:t>
      </w:r>
    </w:p>
    <w:p w14:paraId="496A36EF" w14:textId="3D752773" w:rsidR="00720F42" w:rsidRDefault="00720F42" w:rsidP="002B61CA">
      <w:pPr>
        <w:pStyle w:val="Bulletlevel2"/>
        <w:tabs>
          <w:tab w:val="clear" w:pos="845"/>
          <w:tab w:val="num" w:pos="1112"/>
        </w:tabs>
        <w:ind w:left="1112"/>
      </w:pPr>
      <w:r>
        <w:t>comply with antenna pointing limitations detailed in ITU-R Resolution 242 (WRC-19)</w:t>
      </w:r>
    </w:p>
    <w:p w14:paraId="0ACA3C4E" w14:textId="5E6C25F0" w:rsidR="00720F42" w:rsidRDefault="00BC0791" w:rsidP="002B61CA">
      <w:pPr>
        <w:pStyle w:val="Bulletlevel2"/>
        <w:tabs>
          <w:tab w:val="clear" w:pos="845"/>
          <w:tab w:val="num" w:pos="1112"/>
        </w:tabs>
        <w:ind w:left="1112"/>
      </w:pPr>
      <w:r>
        <w:t>c</w:t>
      </w:r>
      <w:r w:rsidR="00720F42">
        <w:t xml:space="preserve">omply with antenna pointing restrictions and EIRP masks described in the </w:t>
      </w:r>
      <w:r w:rsidR="00720F42" w:rsidRPr="00F042B1">
        <w:rPr>
          <w:i/>
          <w:iCs/>
        </w:rPr>
        <w:fldChar w:fldCharType="begin"/>
      </w:r>
      <w:r w:rsidR="00720F42" w:rsidRPr="00F042B1">
        <w:rPr>
          <w:i/>
          <w:iCs/>
        </w:rPr>
        <w:instrText xml:space="preserve"> REF _Ref42604859 \h </w:instrText>
      </w:r>
      <w:r w:rsidR="008275E0" w:rsidRPr="00F042B1">
        <w:rPr>
          <w:i/>
          <w:iCs/>
        </w:rPr>
        <w:instrText xml:space="preserve"> \* MERGEFORMAT </w:instrText>
      </w:r>
      <w:r w:rsidR="00720F42" w:rsidRPr="00F042B1">
        <w:rPr>
          <w:i/>
          <w:iCs/>
        </w:rPr>
      </w:r>
      <w:r w:rsidR="00720F42" w:rsidRPr="00F042B1">
        <w:rPr>
          <w:i/>
          <w:iCs/>
        </w:rPr>
        <w:fldChar w:fldCharType="separate"/>
      </w:r>
      <w:r w:rsidR="00720F42" w:rsidRPr="00F042B1">
        <w:rPr>
          <w:i/>
          <w:iCs/>
        </w:rPr>
        <w:t>T</w:t>
      </w:r>
      <w:r w:rsidR="00176995" w:rsidRPr="00F042B1">
        <w:rPr>
          <w:i/>
          <w:iCs/>
        </w:rPr>
        <w:t>R</w:t>
      </w:r>
      <w:r w:rsidR="00720F42" w:rsidRPr="00F042B1">
        <w:rPr>
          <w:i/>
          <w:iCs/>
        </w:rPr>
        <w:t xml:space="preserve">P limit and coexistence with space </w:t>
      </w:r>
      <w:r w:rsidR="007C51E0" w:rsidRPr="00F042B1">
        <w:rPr>
          <w:i/>
          <w:iCs/>
        </w:rPr>
        <w:t xml:space="preserve">receive </w:t>
      </w:r>
      <w:r w:rsidR="00720F42" w:rsidRPr="00F042B1">
        <w:rPr>
          <w:i/>
          <w:iCs/>
        </w:rPr>
        <w:t>station</w:t>
      </w:r>
      <w:r w:rsidR="007C51E0" w:rsidRPr="00F042B1">
        <w:rPr>
          <w:i/>
          <w:iCs/>
        </w:rPr>
        <w:t>s</w:t>
      </w:r>
      <w:r w:rsidR="00720F42" w:rsidRPr="00F042B1">
        <w:rPr>
          <w:i/>
          <w:iCs/>
        </w:rPr>
        <w:fldChar w:fldCharType="end"/>
      </w:r>
      <w:r w:rsidR="00720F42">
        <w:t xml:space="preserve"> section</w:t>
      </w:r>
      <w:r w:rsidR="008275E0">
        <w:t>.</w:t>
      </w:r>
      <w:r w:rsidR="00720F42">
        <w:t xml:space="preserve"> </w:t>
      </w:r>
    </w:p>
    <w:p w14:paraId="6D0C0E05" w14:textId="344A09E0" w:rsidR="00990610" w:rsidRDefault="00D876FE" w:rsidP="00990610">
      <w:pPr>
        <w:pStyle w:val="ListBullet"/>
      </w:pPr>
      <w:r>
        <w:t>D</w:t>
      </w:r>
      <w:r w:rsidR="00990610">
        <w:t>evices</w:t>
      </w:r>
      <w:r>
        <w:t xml:space="preserve"> operated under AWLs,</w:t>
      </w:r>
      <w:r w:rsidR="00720F42">
        <w:t xml:space="preserve"> planned to operate</w:t>
      </w:r>
      <w:r w:rsidR="00990610">
        <w:t xml:space="preserve"> in the frequency ranges 24.7</w:t>
      </w:r>
      <w:r w:rsidR="00052024">
        <w:t>–</w:t>
      </w:r>
      <w:r w:rsidR="00990610">
        <w:t>25.1 GHz and 27.5</w:t>
      </w:r>
      <w:r w:rsidR="00052024">
        <w:t>–</w:t>
      </w:r>
      <w:r w:rsidR="00990610">
        <w:t>29.5 GHz Australia</w:t>
      </w:r>
      <w:r w:rsidR="00052024">
        <w:t>-</w:t>
      </w:r>
      <w:r w:rsidR="00990610">
        <w:t>wide</w:t>
      </w:r>
      <w:r w:rsidR="00052024">
        <w:t>,</w:t>
      </w:r>
      <w:r w:rsidR="00990610">
        <w:t xml:space="preserve"> and in the frequency range 25.1</w:t>
      </w:r>
      <w:r w:rsidR="00052024">
        <w:t>–</w:t>
      </w:r>
      <w:r w:rsidR="00990610">
        <w:t>27.5 GHz in areas adjacent to 26 GHz band spectrum</w:t>
      </w:r>
      <w:r w:rsidR="00052024">
        <w:t>-</w:t>
      </w:r>
      <w:r w:rsidR="00990610">
        <w:t>licensed areas</w:t>
      </w:r>
      <w:r w:rsidR="00052024">
        <w:t>:</w:t>
      </w:r>
    </w:p>
    <w:p w14:paraId="0282CE3B" w14:textId="29E1AF55" w:rsidR="00990610" w:rsidRDefault="00052024" w:rsidP="002B61CA">
      <w:pPr>
        <w:pStyle w:val="Bulletlevel2"/>
      </w:pPr>
      <w:r>
        <w:t>i</w:t>
      </w:r>
      <w:r w:rsidR="00990610">
        <w:t xml:space="preserve">f interference occurs </w:t>
      </w:r>
      <w:r w:rsidR="00720F42">
        <w:t>between a spectrum</w:t>
      </w:r>
      <w:r>
        <w:t>-</w:t>
      </w:r>
      <w:r w:rsidR="00720F42">
        <w:t xml:space="preserve">licensed transmitter </w:t>
      </w:r>
      <w:r w:rsidR="00990610">
        <w:t>and</w:t>
      </w:r>
      <w:r w:rsidR="00720F42">
        <w:t xml:space="preserve"> an AWL receiver, and</w:t>
      </w:r>
      <w:r w:rsidR="00990610">
        <w:t xml:space="preserve"> a negotiated solution cannot be reached, </w:t>
      </w:r>
      <w:r w:rsidR="00720F42">
        <w:t xml:space="preserve">the </w:t>
      </w:r>
      <w:r w:rsidR="00990610">
        <w:t>spectrum</w:t>
      </w:r>
      <w:r>
        <w:t>-</w:t>
      </w:r>
      <w:r w:rsidR="00990610">
        <w:t xml:space="preserve">licensed </w:t>
      </w:r>
      <w:r w:rsidR="00720F42">
        <w:t xml:space="preserve">transmitter </w:t>
      </w:r>
      <w:r w:rsidR="00990610">
        <w:t xml:space="preserve">and AWL </w:t>
      </w:r>
      <w:r w:rsidR="00720F42">
        <w:t>receiver</w:t>
      </w:r>
      <w:r w:rsidR="00990610">
        <w:t xml:space="preserve"> are to synchronise their operation (limited to devices causing/receiving interference</w:t>
      </w:r>
      <w:r w:rsidR="007C51E0">
        <w:t xml:space="preserve"> only</w:t>
      </w:r>
      <w:r w:rsidR="00990610">
        <w:t>).</w:t>
      </w:r>
      <w:r w:rsidR="00D876FE">
        <w:rPr>
          <w:rStyle w:val="FootnoteReference"/>
        </w:rPr>
        <w:footnoteReference w:id="16"/>
      </w:r>
    </w:p>
    <w:p w14:paraId="68EE1A15" w14:textId="1B5076B2" w:rsidR="00720F42" w:rsidRDefault="00720F42" w:rsidP="00720F42">
      <w:pPr>
        <w:pStyle w:val="ListBullet"/>
      </w:pPr>
      <w:r>
        <w:t>Class</w:t>
      </w:r>
      <w:r w:rsidR="00052024">
        <w:t>-</w:t>
      </w:r>
      <w:r>
        <w:t>licensed devices operating within the frequency range 25.1</w:t>
      </w:r>
      <w:r w:rsidR="00052024">
        <w:t>–</w:t>
      </w:r>
      <w:r>
        <w:t>27.5 GHz</w:t>
      </w:r>
      <w:r w:rsidR="00052024">
        <w:t>:</w:t>
      </w:r>
      <w:r w:rsidRPr="00720F42">
        <w:t xml:space="preserve"> </w:t>
      </w:r>
    </w:p>
    <w:p w14:paraId="1F252293" w14:textId="1FC0B80C" w:rsidR="00720F42" w:rsidRDefault="00052024" w:rsidP="002B61CA">
      <w:pPr>
        <w:pStyle w:val="Bulletlevel2"/>
      </w:pPr>
      <w:r>
        <w:t>d</w:t>
      </w:r>
      <w:r w:rsidR="00720F42">
        <w:t>evices operated under the Radiocommunications (Body Scanner – Aviation Security) Class Licence 2018</w:t>
      </w:r>
      <w:r w:rsidR="00E85F9F" w:rsidRPr="00E85F9F">
        <w:t xml:space="preserve"> </w:t>
      </w:r>
      <w:r w:rsidR="00E85F9F">
        <w:t>will be afforded protection from harmful interference caused by spectrum</w:t>
      </w:r>
      <w:r>
        <w:t>-</w:t>
      </w:r>
      <w:r w:rsidR="00E85F9F">
        <w:t>licensed transmitters</w:t>
      </w:r>
    </w:p>
    <w:p w14:paraId="6EAC1493" w14:textId="18EE6AD1" w:rsidR="00720F42" w:rsidRDefault="00052024" w:rsidP="002B61CA">
      <w:pPr>
        <w:pStyle w:val="Bulletlevel2"/>
      </w:pPr>
      <w:r>
        <w:t>t</w:t>
      </w:r>
      <w:r w:rsidR="00720F42">
        <w:t xml:space="preserve">his arrangement will avoid the need for changes to body scanner operating requirements, noting that the risk of interference </w:t>
      </w:r>
      <w:r w:rsidR="00176995">
        <w:t>is</w:t>
      </w:r>
      <w:r w:rsidR="00720F42">
        <w:t xml:space="preserve"> extremely small</w:t>
      </w:r>
    </w:p>
    <w:p w14:paraId="0613D10D" w14:textId="56237CF6" w:rsidR="00990610" w:rsidRDefault="00990610" w:rsidP="00990610">
      <w:pPr>
        <w:pStyle w:val="ListBullet"/>
      </w:pPr>
      <w:r>
        <w:t>Legacy fixed point-to-point services operating in the frequency range 27.5</w:t>
      </w:r>
      <w:r w:rsidR="00052024">
        <w:t>–</w:t>
      </w:r>
      <w:r>
        <w:t>2</w:t>
      </w:r>
      <w:r w:rsidR="00681447">
        <w:t>9</w:t>
      </w:r>
      <w:r>
        <w:t>.5</w:t>
      </w:r>
      <w:r w:rsidR="006E4191">
        <w:t> </w:t>
      </w:r>
      <w:r>
        <w:t>GHz</w:t>
      </w:r>
      <w:r w:rsidR="00052024">
        <w:t>:</w:t>
      </w:r>
    </w:p>
    <w:p w14:paraId="4147820A" w14:textId="588FBB6B" w:rsidR="00990610" w:rsidRPr="00A50A0B" w:rsidRDefault="00052024" w:rsidP="002B61CA">
      <w:pPr>
        <w:pStyle w:val="Bulletlevel2last"/>
      </w:pPr>
      <w:r>
        <w:t>s</w:t>
      </w:r>
      <w:r w:rsidR="00990610">
        <w:t>pectrum</w:t>
      </w:r>
      <w:r>
        <w:t>-</w:t>
      </w:r>
      <w:r w:rsidR="00990610" w:rsidRPr="00A50A0B">
        <w:t>licensed transmitters must be coordinated with existing point-to-point services using the criteria detail</w:t>
      </w:r>
      <w:r w:rsidR="00D927D6" w:rsidRPr="00A50A0B">
        <w:t>ed in section 3.</w:t>
      </w:r>
      <w:r w:rsidR="00A50A0B">
        <w:t>7</w:t>
      </w:r>
      <w:r w:rsidR="00D927D6" w:rsidRPr="00A50A0B">
        <w:t xml:space="preserve"> of </w:t>
      </w:r>
      <w:r w:rsidR="00990610" w:rsidRPr="00722A7C">
        <w:t>draft RALI</w:t>
      </w:r>
      <w:r w:rsidR="00D83643" w:rsidRPr="00722A7C">
        <w:t xml:space="preserve"> </w:t>
      </w:r>
      <w:r w:rsidR="00D927D6" w:rsidRPr="00722A7C">
        <w:t>[new]</w:t>
      </w:r>
      <w:r w:rsidR="002E059D" w:rsidRPr="00A50A0B">
        <w:t xml:space="preserve"> at </w:t>
      </w:r>
      <w:r w:rsidR="002B61CA" w:rsidRPr="003605DE">
        <w:t>A</w:t>
      </w:r>
      <w:r w:rsidR="002E059D" w:rsidRPr="003605DE">
        <w:t xml:space="preserve">ttachment </w:t>
      </w:r>
      <w:r w:rsidR="008275E0" w:rsidRPr="003605DE">
        <w:t>E</w:t>
      </w:r>
      <w:r w:rsidR="00990610" w:rsidRPr="003605DE">
        <w:t>.</w:t>
      </w:r>
    </w:p>
    <w:p w14:paraId="57F507A5" w14:textId="2794C2B0" w:rsidR="0025166E" w:rsidRPr="00A50A0B" w:rsidRDefault="0025166E" w:rsidP="0025166E">
      <w:pPr>
        <w:keepNext/>
        <w:pBdr>
          <w:top w:val="single" w:sz="4" w:space="1" w:color="auto"/>
          <w:left w:val="single" w:sz="4" w:space="4" w:color="auto"/>
          <w:bottom w:val="single" w:sz="4" w:space="1" w:color="auto"/>
          <w:right w:val="single" w:sz="4" w:space="4" w:color="auto"/>
        </w:pBdr>
        <w:shd w:val="clear" w:color="auto" w:fill="F2F2F2" w:themeFill="background1" w:themeFillShade="F2"/>
        <w:spacing w:after="120"/>
        <w:rPr>
          <w:b/>
        </w:rPr>
      </w:pPr>
      <w:r w:rsidRPr="00A50A0B">
        <w:rPr>
          <w:b/>
        </w:rPr>
        <w:t xml:space="preserve">The draft </w:t>
      </w:r>
      <w:r w:rsidRPr="00A50A0B">
        <w:rPr>
          <w:b/>
          <w:u w:color="0000FF"/>
        </w:rPr>
        <w:t>Radiocommunications Advisory Guidelines (Managing Interference from Spectrum Licensed Transmitters - 26 GHz Band) 2020</w:t>
      </w:r>
      <w:r w:rsidRPr="00A50A0B">
        <w:rPr>
          <w:rFonts w:cs="Arial"/>
          <w:b/>
        </w:rPr>
        <w:t xml:space="preserve"> (the RAG Tx) </w:t>
      </w:r>
      <w:r w:rsidRPr="00A50A0B">
        <w:rPr>
          <w:b/>
        </w:rPr>
        <w:t xml:space="preserve">  </w:t>
      </w:r>
    </w:p>
    <w:p w14:paraId="6E332F7D" w14:textId="5001389A" w:rsidR="0025166E" w:rsidRDefault="0025166E" w:rsidP="0025166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pPr>
      <w:r w:rsidRPr="00A50A0B">
        <w:t xml:space="preserve">The ACMA seeks stakeholder views on the draft RAG Tx at </w:t>
      </w:r>
      <w:r w:rsidR="007C51E0" w:rsidRPr="003605DE">
        <w:t>A</w:t>
      </w:r>
      <w:r w:rsidRPr="003605DE">
        <w:t xml:space="preserve">ttachment </w:t>
      </w:r>
      <w:r w:rsidR="008275E0" w:rsidRPr="003605DE">
        <w:t>B</w:t>
      </w:r>
      <w:r w:rsidRPr="00A50A0B">
        <w:t>.</w:t>
      </w:r>
    </w:p>
    <w:p w14:paraId="60312212" w14:textId="77777777" w:rsidR="0025166E" w:rsidRDefault="0025166E" w:rsidP="00BF2C58"/>
    <w:p w14:paraId="315BC69F" w14:textId="77777777" w:rsidR="00BF2C58" w:rsidRPr="00B9508D" w:rsidRDefault="00BF2C58" w:rsidP="00BF2C58">
      <w:pPr>
        <w:pStyle w:val="Heading3"/>
      </w:pPr>
      <w:bookmarkStart w:id="53" w:name="_Toc328403874"/>
      <w:bookmarkStart w:id="54" w:name="_Toc367692838"/>
      <w:bookmarkStart w:id="55" w:name="_Toc367693442"/>
      <w:bookmarkStart w:id="56" w:name="_Toc367881974"/>
      <w:bookmarkStart w:id="57" w:name="_Toc403740556"/>
      <w:bookmarkStart w:id="58" w:name="_Toc404333451"/>
      <w:bookmarkStart w:id="59" w:name="_Toc513143747"/>
      <w:bookmarkStart w:id="60" w:name="_Toc514146659"/>
      <w:r w:rsidRPr="009732B6">
        <w:t>Managing interference to s</w:t>
      </w:r>
      <w:r w:rsidRPr="00B9508D">
        <w:t>pectrum-</w:t>
      </w:r>
      <w:r w:rsidRPr="005C64F6">
        <w:t>licensed</w:t>
      </w:r>
      <w:r w:rsidRPr="009732B6">
        <w:t xml:space="preserve"> </w:t>
      </w:r>
      <w:r w:rsidRPr="0087440A">
        <w:t>receivers</w:t>
      </w:r>
      <w:bookmarkEnd w:id="53"/>
      <w:bookmarkEnd w:id="54"/>
      <w:bookmarkEnd w:id="55"/>
      <w:bookmarkEnd w:id="56"/>
      <w:bookmarkEnd w:id="57"/>
      <w:bookmarkEnd w:id="58"/>
      <w:bookmarkEnd w:id="59"/>
      <w:bookmarkEnd w:id="60"/>
    </w:p>
    <w:p w14:paraId="28DF9708" w14:textId="10F9FF35" w:rsidR="00BF2C58" w:rsidRPr="00B9508D" w:rsidRDefault="00BF2C58" w:rsidP="00BF2C58">
      <w:pPr>
        <w:keepNext/>
        <w:keepLines/>
        <w:rPr>
          <w:rFonts w:cs="Arial"/>
        </w:rPr>
      </w:pPr>
      <w:r w:rsidRPr="00B9508D">
        <w:rPr>
          <w:rFonts w:cs="Arial"/>
        </w:rPr>
        <w:t xml:space="preserve">The ACMA </w:t>
      </w:r>
      <w:r w:rsidR="00D80516">
        <w:rPr>
          <w:rFonts w:cs="Arial"/>
        </w:rPr>
        <w:t xml:space="preserve">proposes to </w:t>
      </w:r>
      <w:r w:rsidR="001C71DF">
        <w:rPr>
          <w:rFonts w:cs="Arial"/>
        </w:rPr>
        <w:t>make</w:t>
      </w:r>
      <w:r w:rsidRPr="00B9508D">
        <w:rPr>
          <w:rFonts w:cs="Arial"/>
        </w:rPr>
        <w:t xml:space="preserve"> the </w:t>
      </w:r>
      <w:bookmarkStart w:id="61" w:name="_Hlk44936350"/>
      <w:r w:rsidRPr="00D80516">
        <w:rPr>
          <w:u w:color="0000FF"/>
        </w:rPr>
        <w:t xml:space="preserve">Radiocommunications Advisory Guidelines (Managing Interference to Spectrum Licensed Receivers - </w:t>
      </w:r>
      <w:r w:rsidR="00D80516">
        <w:rPr>
          <w:u w:color="0000FF"/>
        </w:rPr>
        <w:t>26</w:t>
      </w:r>
      <w:r w:rsidRPr="00D80516">
        <w:rPr>
          <w:u w:color="0000FF"/>
        </w:rPr>
        <w:t xml:space="preserve"> GHz Band) 20</w:t>
      </w:r>
      <w:r w:rsidR="00D80516">
        <w:rPr>
          <w:u w:color="0000FF"/>
        </w:rPr>
        <w:t>20</w:t>
      </w:r>
      <w:r>
        <w:rPr>
          <w:rFonts w:cs="Arial"/>
        </w:rPr>
        <w:t xml:space="preserve"> (the RAG</w:t>
      </w:r>
      <w:r w:rsidR="00D80516">
        <w:rPr>
          <w:rFonts w:cs="Arial"/>
        </w:rPr>
        <w:t xml:space="preserve"> Rx</w:t>
      </w:r>
      <w:r>
        <w:rPr>
          <w:rFonts w:cs="Arial"/>
        </w:rPr>
        <w:t xml:space="preserve">) </w:t>
      </w:r>
      <w:bookmarkEnd w:id="61"/>
      <w:r w:rsidRPr="00B9508D">
        <w:rPr>
          <w:rFonts w:cs="Arial"/>
        </w:rPr>
        <w:t xml:space="preserve">to </w:t>
      </w:r>
      <w:r>
        <w:rPr>
          <w:rFonts w:cs="Arial"/>
        </w:rPr>
        <w:t xml:space="preserve">primarily provide guidance on the management of </w:t>
      </w:r>
      <w:r w:rsidRPr="00B9508D">
        <w:rPr>
          <w:rFonts w:cs="Arial"/>
        </w:rPr>
        <w:t>out-of-band interference</w:t>
      </w:r>
      <w:r>
        <w:rPr>
          <w:rFonts w:cs="Arial"/>
        </w:rPr>
        <w:t xml:space="preserve"> to receivers operating under a </w:t>
      </w:r>
      <w:r w:rsidR="00D80516">
        <w:rPr>
          <w:rFonts w:cs="Arial"/>
        </w:rPr>
        <w:t>26</w:t>
      </w:r>
      <w:r>
        <w:rPr>
          <w:rFonts w:cs="Arial"/>
        </w:rPr>
        <w:t xml:space="preserve"> GHz band spectrum licence</w:t>
      </w:r>
      <w:r w:rsidRPr="00B9508D">
        <w:rPr>
          <w:rFonts w:cs="Arial"/>
        </w:rPr>
        <w:t xml:space="preserve">. </w:t>
      </w:r>
      <w:r>
        <w:rPr>
          <w:rFonts w:cs="Arial"/>
        </w:rPr>
        <w:t xml:space="preserve">However, it also provides some guidance on the management of in-band interference. </w:t>
      </w:r>
    </w:p>
    <w:p w14:paraId="24B1DC82" w14:textId="6401D512" w:rsidR="00BF2C58" w:rsidRPr="00B9508D" w:rsidRDefault="00BF2C58" w:rsidP="00BF2C58">
      <w:pPr>
        <w:keepNext/>
        <w:keepLines/>
        <w:rPr>
          <w:lang w:eastAsia="ja-JP"/>
        </w:rPr>
      </w:pPr>
      <w:r>
        <w:rPr>
          <w:lang w:eastAsia="ja-JP"/>
        </w:rPr>
        <w:t>A key part of the management of this type of interference is</w:t>
      </w:r>
      <w:r w:rsidRPr="00B9508D">
        <w:rPr>
          <w:lang w:eastAsia="ja-JP"/>
        </w:rPr>
        <w:t xml:space="preserve"> the specification of </w:t>
      </w:r>
      <w:r>
        <w:rPr>
          <w:lang w:eastAsia="ja-JP"/>
        </w:rPr>
        <w:t>a</w:t>
      </w:r>
      <w:r w:rsidRPr="00B9508D">
        <w:rPr>
          <w:lang w:eastAsia="ja-JP"/>
        </w:rPr>
        <w:t xml:space="preserve"> notional receiver performance level and </w:t>
      </w:r>
      <w:r>
        <w:rPr>
          <w:lang w:eastAsia="ja-JP"/>
        </w:rPr>
        <w:t>a</w:t>
      </w:r>
      <w:r w:rsidRPr="00B9508D">
        <w:rPr>
          <w:lang w:eastAsia="ja-JP"/>
        </w:rPr>
        <w:t xml:space="preserve"> compatibility requirement. </w:t>
      </w:r>
      <w:r>
        <w:rPr>
          <w:lang w:eastAsia="ja-JP"/>
        </w:rPr>
        <w:t>This provides a base</w:t>
      </w:r>
      <w:r w:rsidR="00BC0791">
        <w:rPr>
          <w:lang w:eastAsia="ja-JP"/>
        </w:rPr>
        <w:t>line</w:t>
      </w:r>
      <w:r w:rsidR="007C51E0">
        <w:rPr>
          <w:lang w:eastAsia="ja-JP"/>
        </w:rPr>
        <w:t xml:space="preserve"> for</w:t>
      </w:r>
      <w:r>
        <w:rPr>
          <w:lang w:eastAsia="ja-JP"/>
        </w:rPr>
        <w:t xml:space="preserve"> the operators of radiocommunications transmitters to coordinate their services against. For this reason, </w:t>
      </w:r>
      <w:r w:rsidR="00052024">
        <w:rPr>
          <w:lang w:eastAsia="ja-JP"/>
        </w:rPr>
        <w:t xml:space="preserve">we </w:t>
      </w:r>
      <w:r w:rsidRPr="00B9508D">
        <w:t xml:space="preserve">recommend that all receivers operating under </w:t>
      </w:r>
      <w:r>
        <w:t xml:space="preserve">a </w:t>
      </w:r>
      <w:r w:rsidRPr="00B9508D">
        <w:t xml:space="preserve">spectrum licence have a performance </w:t>
      </w:r>
      <w:r>
        <w:t xml:space="preserve">level </w:t>
      </w:r>
      <w:r w:rsidRPr="00B9508D">
        <w:t>at least equal to the notional performance</w:t>
      </w:r>
      <w:r>
        <w:t xml:space="preserve"> level</w:t>
      </w:r>
      <w:r w:rsidRPr="00B9508D">
        <w:t>.</w:t>
      </w:r>
    </w:p>
    <w:p w14:paraId="4EF01904" w14:textId="61C053DE" w:rsidR="00E41CC6" w:rsidRPr="00A50A0B" w:rsidRDefault="00E41CC6" w:rsidP="00F042B1">
      <w:pPr>
        <w:pStyle w:val="Paragraphbeforelist"/>
      </w:pPr>
      <w:r w:rsidRPr="00A50A0B">
        <w:t xml:space="preserve">The </w:t>
      </w:r>
      <w:r w:rsidR="008275E0" w:rsidRPr="00A50A0B">
        <w:t xml:space="preserve">draft </w:t>
      </w:r>
      <w:r w:rsidRPr="00A50A0B">
        <w:t xml:space="preserve">RAG-Rx is </w:t>
      </w:r>
      <w:r w:rsidRPr="003605DE">
        <w:t xml:space="preserve">available at </w:t>
      </w:r>
      <w:r w:rsidR="00176995" w:rsidRPr="003605DE">
        <w:t>A</w:t>
      </w:r>
      <w:r w:rsidRPr="003605DE">
        <w:t xml:space="preserve">ttachment </w:t>
      </w:r>
      <w:r w:rsidR="008275E0" w:rsidRPr="003605DE">
        <w:t>C</w:t>
      </w:r>
      <w:r w:rsidR="000F6CF4" w:rsidRPr="003605DE">
        <w:t xml:space="preserve"> </w:t>
      </w:r>
      <w:r w:rsidR="00FE2E2E" w:rsidRPr="003605DE">
        <w:t>and</w:t>
      </w:r>
      <w:r w:rsidR="00D80516" w:rsidRPr="00A50A0B">
        <w:t xml:space="preserve"> reflects the outcome of the 26 GHz </w:t>
      </w:r>
      <w:r w:rsidR="001C71DF" w:rsidRPr="00A50A0B">
        <w:t>band</w:t>
      </w:r>
      <w:r w:rsidR="00D80516" w:rsidRPr="00A50A0B">
        <w:t xml:space="preserve"> TLG</w:t>
      </w:r>
      <w:r w:rsidRPr="00A50A0B">
        <w:t>. Some of the key proposal</w:t>
      </w:r>
      <w:r w:rsidR="008275E0" w:rsidRPr="00A50A0B">
        <w:t>s</w:t>
      </w:r>
      <w:r w:rsidRPr="00A50A0B">
        <w:t xml:space="preserve"> </w:t>
      </w:r>
      <w:r w:rsidR="008275E0" w:rsidRPr="00A50A0B">
        <w:t>in the draft RAG Rx</w:t>
      </w:r>
      <w:r w:rsidRPr="00A50A0B">
        <w:t xml:space="preserve"> are:</w:t>
      </w:r>
    </w:p>
    <w:p w14:paraId="44AF9FCD" w14:textId="58FED21B" w:rsidR="00052024" w:rsidRPr="00A50A0B" w:rsidRDefault="00052024" w:rsidP="006168F7">
      <w:pPr>
        <w:pStyle w:val="ListBullet"/>
      </w:pPr>
      <w:r>
        <w:t>a</w:t>
      </w:r>
      <w:r w:rsidR="006168F7" w:rsidRPr="00A50A0B">
        <w:t>ligning the notional level of receiver performance and compatibility requirement with international equipment standards</w:t>
      </w:r>
    </w:p>
    <w:p w14:paraId="19AAA2B4" w14:textId="7E2D59B1" w:rsidR="006168F7" w:rsidRPr="00A50A0B" w:rsidRDefault="00052024" w:rsidP="00F042B1">
      <w:pPr>
        <w:pStyle w:val="Bulletlevel1last"/>
      </w:pPr>
      <w:r>
        <w:t>o</w:t>
      </w:r>
      <w:r w:rsidR="006168F7" w:rsidRPr="00A50A0B">
        <w:t>utlining that spectrum</w:t>
      </w:r>
      <w:r>
        <w:t>-</w:t>
      </w:r>
      <w:r w:rsidR="006168F7" w:rsidRPr="00A50A0B">
        <w:t>licensed receivers are not afforded protection from devices operated under the Radiocommunications (Body Scanner – Aviation Security) Class Licence 2018.</w:t>
      </w:r>
      <w:r>
        <w:t xml:space="preserve"> </w:t>
      </w:r>
      <w:r w:rsidR="006168F7" w:rsidRPr="00A50A0B">
        <w:t xml:space="preserve">This arrangement will avoid the need for changes to body scanner operating requirements, noting that the risk of interference </w:t>
      </w:r>
      <w:r w:rsidR="00FE2E2E" w:rsidRPr="00A50A0B">
        <w:t>is</w:t>
      </w:r>
      <w:r w:rsidR="006168F7" w:rsidRPr="00A50A0B">
        <w:t xml:space="preserve"> extremely small.</w:t>
      </w:r>
    </w:p>
    <w:p w14:paraId="1A593425" w14:textId="41A670AF" w:rsidR="0025166E" w:rsidRPr="00A50A0B" w:rsidRDefault="0025166E" w:rsidP="0025166E">
      <w:pPr>
        <w:keepNext/>
        <w:pBdr>
          <w:top w:val="single" w:sz="4" w:space="1" w:color="auto"/>
          <w:left w:val="single" w:sz="4" w:space="4" w:color="auto"/>
          <w:bottom w:val="single" w:sz="4" w:space="1" w:color="auto"/>
          <w:right w:val="single" w:sz="4" w:space="4" w:color="auto"/>
        </w:pBdr>
        <w:shd w:val="clear" w:color="auto" w:fill="F2F2F2" w:themeFill="background1" w:themeFillShade="F2"/>
        <w:spacing w:after="120"/>
        <w:rPr>
          <w:b/>
        </w:rPr>
      </w:pPr>
      <w:r w:rsidRPr="00A50A0B">
        <w:rPr>
          <w:b/>
        </w:rPr>
        <w:t xml:space="preserve">The draft </w:t>
      </w:r>
      <w:r w:rsidRPr="00A50A0B">
        <w:rPr>
          <w:b/>
          <w:u w:color="0000FF"/>
        </w:rPr>
        <w:t>Radiocommunications Advisory Guidelines (Managing Interference to Spectrum Licensed Receivers - 26 GHz Band) 2020</w:t>
      </w:r>
      <w:r w:rsidRPr="00A50A0B">
        <w:rPr>
          <w:rFonts w:cs="Arial"/>
          <w:b/>
        </w:rPr>
        <w:t xml:space="preserve"> (the RAG Rx) </w:t>
      </w:r>
      <w:r w:rsidRPr="00A50A0B">
        <w:rPr>
          <w:b/>
        </w:rPr>
        <w:t xml:space="preserve">  </w:t>
      </w:r>
    </w:p>
    <w:p w14:paraId="6B321FFE" w14:textId="59E551C6" w:rsidR="0025166E" w:rsidRDefault="0025166E" w:rsidP="0025166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pPr>
      <w:r w:rsidRPr="00A50A0B">
        <w:t xml:space="preserve">The ACMA seeks stakeholder views on the draft RAG Rx at </w:t>
      </w:r>
      <w:r w:rsidR="007C51E0" w:rsidRPr="003605DE">
        <w:t>A</w:t>
      </w:r>
      <w:r w:rsidRPr="003605DE">
        <w:t xml:space="preserve">ttachment </w:t>
      </w:r>
      <w:r w:rsidR="008275E0" w:rsidRPr="003605DE">
        <w:t>C</w:t>
      </w:r>
      <w:r w:rsidRPr="00A50A0B">
        <w:t>.</w:t>
      </w:r>
    </w:p>
    <w:p w14:paraId="302BC60A" w14:textId="77777777" w:rsidR="0025166E" w:rsidRDefault="0025166E" w:rsidP="00F042B1">
      <w:pPr>
        <w:spacing w:after="0"/>
      </w:pPr>
    </w:p>
    <w:p w14:paraId="5DD801BD" w14:textId="77777777" w:rsidR="00027CCC" w:rsidRPr="006D46E5" w:rsidRDefault="00027CCC" w:rsidP="00027CCC">
      <w:pPr>
        <w:pStyle w:val="Heading2"/>
        <w:keepLines/>
      </w:pPr>
      <w:bookmarkStart w:id="62" w:name="_Toc513143750"/>
      <w:bookmarkStart w:id="63" w:name="_Toc514146660"/>
      <w:bookmarkStart w:id="64" w:name="_Toc45091024"/>
      <w:r>
        <w:t>Standard trading units and minimum contiguous bandwidth</w:t>
      </w:r>
      <w:bookmarkEnd w:id="62"/>
      <w:bookmarkEnd w:id="63"/>
      <w:bookmarkEnd w:id="64"/>
    </w:p>
    <w:p w14:paraId="42C787DA" w14:textId="6E2FE6FA" w:rsidR="00027CCC" w:rsidRPr="00CE31EA" w:rsidRDefault="00027CCC" w:rsidP="00027CCC">
      <w:pPr>
        <w:keepNext/>
        <w:keepLines/>
      </w:pPr>
      <w:r w:rsidRPr="00CE31EA">
        <w:t xml:space="preserve">Spectrum licences </w:t>
      </w:r>
      <w:r>
        <w:t>give</w:t>
      </w:r>
      <w:r w:rsidRPr="00CE31EA">
        <w:t xml:space="preserve"> the licensee flexibility to use a parcel of spectrum space that incorporates a specific frequency band within a </w:t>
      </w:r>
      <w:proofErr w:type="gramStart"/>
      <w:r w:rsidRPr="00CE31EA">
        <w:t>particular geographic</w:t>
      </w:r>
      <w:proofErr w:type="gramEnd"/>
      <w:r w:rsidRPr="00CE31EA">
        <w:t xml:space="preserve"> area for up to 15</w:t>
      </w:r>
      <w:r>
        <w:t> </w:t>
      </w:r>
      <w:r w:rsidRPr="00CE31EA">
        <w:t xml:space="preserve">years. This spectrum space is divided into standard trading units (STUs) and </w:t>
      </w:r>
      <w:r w:rsidR="001C71DF">
        <w:t xml:space="preserve">the ACMA </w:t>
      </w:r>
      <w:r w:rsidRPr="00CE31EA">
        <w:t>specifies the minimum contiguous bandwidth (MCB) for the purpose of allocat</w:t>
      </w:r>
      <w:r>
        <w:t>ing</w:t>
      </w:r>
      <w:r w:rsidRPr="00CE31EA">
        <w:t xml:space="preserve"> and trading</w:t>
      </w:r>
      <w:r>
        <w:t xml:space="preserve"> spectrum licences</w:t>
      </w:r>
      <w:r w:rsidRPr="00CE31EA">
        <w:t>.</w:t>
      </w:r>
      <w:r w:rsidRPr="00CE31EA">
        <w:rPr>
          <w:sz w:val="19"/>
        </w:rPr>
        <w:t xml:space="preserve"> </w:t>
      </w:r>
    </w:p>
    <w:p w14:paraId="7BB38804" w14:textId="625986F4" w:rsidR="00027CCC" w:rsidRPr="0003144B" w:rsidRDefault="00027CCC" w:rsidP="00027CCC">
      <w:r w:rsidRPr="00CE31EA">
        <w:t xml:space="preserve">A spectrum licence may be traded in whole, or in part, by geographic area or bandwidth—or both. Section 88 of the Act permits the ACMA to determine the rules for trading </w:t>
      </w:r>
      <w:r>
        <w:t>of</w:t>
      </w:r>
      <w:r w:rsidRPr="00CE31EA">
        <w:t xml:space="preserve"> spectrum licences. The</w:t>
      </w:r>
      <w:r>
        <w:t>se</w:t>
      </w:r>
      <w:r w:rsidRPr="00CE31EA">
        <w:t xml:space="preserve"> rules </w:t>
      </w:r>
      <w:r>
        <w:t>are</w:t>
      </w:r>
      <w:r w:rsidRPr="00CE31EA">
        <w:t xml:space="preserve"> set out in </w:t>
      </w:r>
      <w:r w:rsidRPr="00CE31EA">
        <w:rPr>
          <w:iCs/>
          <w:szCs w:val="20"/>
        </w:rPr>
        <w:t xml:space="preserve">the </w:t>
      </w:r>
      <w:hyperlink r:id="rId47" w:history="1">
        <w:r w:rsidRPr="00F02B5E">
          <w:rPr>
            <w:rStyle w:val="Hyperlink"/>
          </w:rPr>
          <w:t>Radiocommunications (Trading Rules for Spectrum Licences) Determination 2012</w:t>
        </w:r>
      </w:hyperlink>
      <w:r>
        <w:t xml:space="preserve"> (Trading Rules Determination).</w:t>
      </w:r>
    </w:p>
    <w:p w14:paraId="3175E8C8" w14:textId="1DCAFC52" w:rsidR="00027CCC" w:rsidRDefault="00027CCC" w:rsidP="00027CCC">
      <w:pPr>
        <w:rPr>
          <w:rFonts w:cs="Arial"/>
          <w:iCs/>
          <w:szCs w:val="20"/>
        </w:rPr>
      </w:pPr>
      <w:r w:rsidRPr="00CE31EA">
        <w:rPr>
          <w:rFonts w:cs="Arial"/>
          <w:iCs/>
          <w:szCs w:val="20"/>
        </w:rPr>
        <w:t xml:space="preserve">The </w:t>
      </w:r>
      <w:r>
        <w:rPr>
          <w:rFonts w:cs="Arial"/>
          <w:iCs/>
          <w:szCs w:val="20"/>
        </w:rPr>
        <w:t>T</w:t>
      </w:r>
      <w:r w:rsidRPr="00CE31EA">
        <w:rPr>
          <w:rFonts w:cs="Arial"/>
          <w:iCs/>
          <w:szCs w:val="20"/>
        </w:rPr>
        <w:t xml:space="preserve">rading </w:t>
      </w:r>
      <w:r>
        <w:rPr>
          <w:rFonts w:cs="Arial"/>
          <w:iCs/>
          <w:szCs w:val="20"/>
        </w:rPr>
        <w:t>R</w:t>
      </w:r>
      <w:r w:rsidRPr="00CE31EA">
        <w:rPr>
          <w:rFonts w:cs="Arial"/>
          <w:iCs/>
          <w:szCs w:val="20"/>
        </w:rPr>
        <w:t xml:space="preserve">ules </w:t>
      </w:r>
      <w:r>
        <w:rPr>
          <w:rFonts w:cs="Arial"/>
          <w:iCs/>
          <w:szCs w:val="20"/>
        </w:rPr>
        <w:t>D</w:t>
      </w:r>
      <w:r w:rsidRPr="00CE31EA">
        <w:rPr>
          <w:rFonts w:cs="Arial"/>
          <w:iCs/>
          <w:szCs w:val="20"/>
        </w:rPr>
        <w:t>etermination specifies a</w:t>
      </w:r>
      <w:r w:rsidR="00503E3F">
        <w:rPr>
          <w:rFonts w:cs="Arial"/>
          <w:iCs/>
          <w:szCs w:val="20"/>
        </w:rPr>
        <w:t>n</w:t>
      </w:r>
      <w:r w:rsidRPr="00CE31EA">
        <w:rPr>
          <w:rFonts w:cs="Arial"/>
          <w:iCs/>
          <w:szCs w:val="20"/>
        </w:rPr>
        <w:t xml:space="preserve"> MCB that limits the smallest contiguous bandwidth that can generally be licensed</w:t>
      </w:r>
      <w:r w:rsidR="00503E3F">
        <w:rPr>
          <w:rFonts w:cs="Arial"/>
          <w:iCs/>
          <w:szCs w:val="20"/>
        </w:rPr>
        <w:t xml:space="preserve"> </w:t>
      </w:r>
      <w:r w:rsidRPr="00CE31EA">
        <w:rPr>
          <w:rFonts w:cs="Arial"/>
          <w:iCs/>
          <w:szCs w:val="20"/>
        </w:rPr>
        <w:t xml:space="preserve">and reduces the potential for fragmentation in the band. </w:t>
      </w:r>
    </w:p>
    <w:p w14:paraId="0163EB51" w14:textId="2A5E4DA8" w:rsidR="00EC4007" w:rsidRDefault="00EC4007" w:rsidP="0070343A">
      <w:pPr>
        <w:keepNext/>
        <w:keepLines/>
        <w:spacing w:after="80"/>
      </w:pPr>
      <w:r>
        <w:lastRenderedPageBreak/>
        <w:t>For the 26 GHz band, t</w:t>
      </w:r>
      <w:r w:rsidR="00027CCC">
        <w:t>he ACMA proposes to</w:t>
      </w:r>
      <w:r>
        <w:t>:</w:t>
      </w:r>
    </w:p>
    <w:p w14:paraId="4EA3ECAB" w14:textId="1F4A7267" w:rsidR="00EC4007" w:rsidRDefault="00EC4007" w:rsidP="0070343A">
      <w:pPr>
        <w:pStyle w:val="Bulletlevel1"/>
        <w:keepNext/>
        <w:keepLines/>
      </w:pPr>
      <w:r>
        <w:t>set the MCB to 50 MHz</w:t>
      </w:r>
    </w:p>
    <w:p w14:paraId="6A3D9B62" w14:textId="0FD53B76" w:rsidR="00EC4007" w:rsidRDefault="00EC4007" w:rsidP="0070343A">
      <w:pPr>
        <w:pStyle w:val="Bulletlevel1"/>
        <w:keepNext/>
        <w:keepLines/>
      </w:pPr>
      <w:r>
        <w:t>maintain the same STU as all other spectrum licensed bands:</w:t>
      </w:r>
    </w:p>
    <w:p w14:paraId="102686DA" w14:textId="0256C6A2" w:rsidR="00EC4007" w:rsidRDefault="00EC4007" w:rsidP="0070343A">
      <w:pPr>
        <w:pStyle w:val="Bulletlevel2"/>
        <w:keepNext/>
        <w:keepLines/>
      </w:pPr>
      <w:r>
        <w:t xml:space="preserve">a </w:t>
      </w:r>
      <w:r w:rsidRPr="00201D1A">
        <w:t>geographic</w:t>
      </w:r>
      <w:r>
        <w:t xml:space="preserve"> area of a Level 1 HCIS cell</w:t>
      </w:r>
    </w:p>
    <w:p w14:paraId="67EA36F0" w14:textId="1A02517D" w:rsidR="00EC4007" w:rsidRDefault="00EC4007" w:rsidP="0070343A">
      <w:pPr>
        <w:pStyle w:val="Bulletlevel2last"/>
        <w:keepNext/>
        <w:keepLines/>
      </w:pPr>
      <w:r>
        <w:t xml:space="preserve">a </w:t>
      </w:r>
      <w:r w:rsidRPr="00201D1A">
        <w:t>frequency</w:t>
      </w:r>
      <w:r>
        <w:t xml:space="preserve"> bandwidth of 1 Hertz. </w:t>
      </w:r>
    </w:p>
    <w:p w14:paraId="139A9695" w14:textId="013DA574" w:rsidR="00503E3F" w:rsidRPr="003605DE" w:rsidRDefault="00503E3F" w:rsidP="00F042B1">
      <w:pPr>
        <w:pStyle w:val="Paragraph"/>
        <w:rPr>
          <w:rFonts w:ascii="Times New Roman" w:hAnsi="Times New Roman"/>
          <w:sz w:val="24"/>
        </w:rPr>
      </w:pPr>
      <w:r>
        <w:t xml:space="preserve">The draft </w:t>
      </w:r>
      <w:bookmarkStart w:id="65" w:name="_Hlk44936411"/>
      <w:r>
        <w:t xml:space="preserve">Radiocommunications (Trading Rules for Spectrum </w:t>
      </w:r>
      <w:r w:rsidRPr="00A50A0B">
        <w:t xml:space="preserve">Licences) Amendment Determination 2020 (No. 1) (the draft amendment </w:t>
      </w:r>
      <w:r w:rsidRPr="003605DE">
        <w:t xml:space="preserve">determination) </w:t>
      </w:r>
      <w:bookmarkEnd w:id="65"/>
      <w:r w:rsidRPr="003605DE">
        <w:t>is at Attachment D</w:t>
      </w:r>
      <w:r w:rsidR="00201D1A" w:rsidRPr="003605DE">
        <w:t>.</w:t>
      </w:r>
    </w:p>
    <w:p w14:paraId="512D1FD8" w14:textId="7B07ACE9" w:rsidR="003865D8" w:rsidRPr="003605DE" w:rsidRDefault="003865D8" w:rsidP="003865D8">
      <w:pPr>
        <w:keepNext/>
        <w:pBdr>
          <w:top w:val="single" w:sz="4" w:space="1" w:color="auto"/>
          <w:left w:val="single" w:sz="4" w:space="4" w:color="auto"/>
          <w:bottom w:val="single" w:sz="4" w:space="1" w:color="auto"/>
          <w:right w:val="single" w:sz="4" w:space="4" w:color="auto"/>
        </w:pBdr>
        <w:shd w:val="clear" w:color="auto" w:fill="F2F2F2" w:themeFill="background1" w:themeFillShade="F2"/>
        <w:spacing w:after="120"/>
        <w:rPr>
          <w:b/>
        </w:rPr>
      </w:pPr>
      <w:r w:rsidRPr="003605DE">
        <w:rPr>
          <w:b/>
        </w:rPr>
        <w:t xml:space="preserve">The draft amendment determination </w:t>
      </w:r>
    </w:p>
    <w:p w14:paraId="4BBFA401" w14:textId="281F7566" w:rsidR="00C070A3" w:rsidRDefault="003865D8" w:rsidP="00C070A3">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pPr>
      <w:r w:rsidRPr="003605DE">
        <w:t xml:space="preserve">The ACMA seeks stakeholder views on the draft </w:t>
      </w:r>
      <w:r w:rsidR="0025166E" w:rsidRPr="003605DE">
        <w:t xml:space="preserve">amendment </w:t>
      </w:r>
      <w:r w:rsidR="00503E3F" w:rsidRPr="003605DE">
        <w:t xml:space="preserve">determination </w:t>
      </w:r>
      <w:r w:rsidR="0025166E" w:rsidRPr="003605DE">
        <w:t>at</w:t>
      </w:r>
      <w:r w:rsidR="00503E3F" w:rsidRPr="003605DE">
        <w:t xml:space="preserve"> A</w:t>
      </w:r>
      <w:r w:rsidR="0025166E" w:rsidRPr="003605DE">
        <w:t xml:space="preserve">ttachment </w:t>
      </w:r>
      <w:r w:rsidR="00503E3F" w:rsidRPr="003605DE">
        <w:t>D</w:t>
      </w:r>
      <w:r w:rsidR="0025166E" w:rsidRPr="003605DE">
        <w:t>.</w:t>
      </w:r>
    </w:p>
    <w:p w14:paraId="791B865B" w14:textId="5005A220" w:rsidR="006C1631" w:rsidRDefault="006C1631" w:rsidP="006C1631">
      <w:pPr>
        <w:pStyle w:val="Heading1"/>
      </w:pPr>
      <w:bookmarkStart w:id="66" w:name="_Toc45091025"/>
      <w:r>
        <w:lastRenderedPageBreak/>
        <w:t>Invitation to comment</w:t>
      </w:r>
      <w:bookmarkEnd w:id="66"/>
    </w:p>
    <w:p w14:paraId="2FFE560F" w14:textId="77777777" w:rsidR="006C1631" w:rsidRDefault="006C1631" w:rsidP="006C1631">
      <w:pPr>
        <w:pStyle w:val="Heading2"/>
      </w:pPr>
      <w:bookmarkStart w:id="67" w:name="_Toc433122131"/>
      <w:bookmarkStart w:id="68" w:name="_Toc348105637"/>
      <w:bookmarkStart w:id="69" w:name="_Toc300909556"/>
      <w:bookmarkStart w:id="70" w:name="_Toc298924673"/>
      <w:bookmarkStart w:id="71" w:name="_Toc45091026"/>
      <w:bookmarkStart w:id="72" w:name="_Toc348105638"/>
      <w:bookmarkStart w:id="73" w:name="_Toc300909557"/>
      <w:bookmarkStart w:id="74" w:name="_Toc298924674"/>
      <w:bookmarkStart w:id="75" w:name="_Toc274296357"/>
      <w:r>
        <w:t>Making a submission</w:t>
      </w:r>
      <w:bookmarkEnd w:id="67"/>
      <w:bookmarkEnd w:id="68"/>
      <w:bookmarkEnd w:id="69"/>
      <w:bookmarkEnd w:id="70"/>
      <w:bookmarkEnd w:id="71"/>
    </w:p>
    <w:p w14:paraId="4B3840CF" w14:textId="4D7EED00" w:rsidR="006C1631" w:rsidRDefault="006C1631" w:rsidP="006C1631">
      <w:r>
        <w:t xml:space="preserve">The ACMA invites comments on the issues set out in this </w:t>
      </w:r>
      <w:r w:rsidR="007C51E0">
        <w:t>consultation</w:t>
      </w:r>
      <w:r>
        <w:t xml:space="preserve"> paper. </w:t>
      </w:r>
    </w:p>
    <w:p w14:paraId="481B2A5A" w14:textId="259171D4" w:rsidR="0070133D" w:rsidRDefault="00381642" w:rsidP="0070133D">
      <w:pPr>
        <w:pStyle w:val="Bulletlevel1"/>
      </w:pPr>
      <w:hyperlink r:id="rId48" w:history="1">
        <w:r w:rsidR="0070133D">
          <w:rPr>
            <w:rStyle w:val="Hyperlink"/>
          </w:rPr>
          <w:t>Online submissions</w:t>
        </w:r>
      </w:hyperlink>
      <w:r w:rsidR="0070133D">
        <w:t xml:space="preserve"> can be made by </w:t>
      </w:r>
      <w:r w:rsidR="0070133D" w:rsidRPr="0070133D">
        <w:t>uploading</w:t>
      </w:r>
      <w:r w:rsidR="0070133D">
        <w:t xml:space="preserve"> a document. Submissions in</w:t>
      </w:r>
      <w:r w:rsidR="00396DC2">
        <w:t xml:space="preserve"> PDF</w:t>
      </w:r>
      <w:r w:rsidR="00F869CB">
        <w:t xml:space="preserve"> or </w:t>
      </w:r>
      <w:r w:rsidR="0070133D">
        <w:t>Microsoft Word are preferred.</w:t>
      </w:r>
    </w:p>
    <w:p w14:paraId="5534A0C7" w14:textId="77777777" w:rsidR="006C1631" w:rsidRDefault="006C1631" w:rsidP="0070133D">
      <w:pPr>
        <w:pStyle w:val="Bulletlevel1"/>
      </w:pPr>
      <w:r>
        <w:t xml:space="preserve">Submissions by post can be sent to: </w:t>
      </w:r>
    </w:p>
    <w:p w14:paraId="5F08C337" w14:textId="77777777" w:rsidR="006C1631" w:rsidRPr="00E30AA7" w:rsidRDefault="006C1631" w:rsidP="006C1631">
      <w:pPr>
        <w:tabs>
          <w:tab w:val="num" w:pos="295"/>
        </w:tabs>
        <w:spacing w:after="0"/>
        <w:ind w:left="295"/>
        <w:rPr>
          <w:szCs w:val="20"/>
        </w:rPr>
      </w:pPr>
      <w:r w:rsidRPr="00E30AA7">
        <w:rPr>
          <w:szCs w:val="20"/>
        </w:rPr>
        <w:t>The Manager</w:t>
      </w:r>
    </w:p>
    <w:p w14:paraId="6E35F569" w14:textId="5BC32D99" w:rsidR="006C1631" w:rsidRPr="00E30AA7" w:rsidRDefault="00394C89" w:rsidP="006C1631">
      <w:pPr>
        <w:spacing w:after="0"/>
        <w:ind w:left="295"/>
        <w:rPr>
          <w:szCs w:val="20"/>
        </w:rPr>
      </w:pPr>
      <w:r w:rsidRPr="00E30AA7">
        <w:rPr>
          <w:szCs w:val="20"/>
        </w:rPr>
        <w:t>Major Spectrum</w:t>
      </w:r>
      <w:r w:rsidR="00E30AA7" w:rsidRPr="00E30AA7">
        <w:rPr>
          <w:szCs w:val="20"/>
        </w:rPr>
        <w:t xml:space="preserve"> Allocations Section</w:t>
      </w:r>
    </w:p>
    <w:p w14:paraId="2714B495" w14:textId="77777777" w:rsidR="006C1631" w:rsidRPr="00E30AA7" w:rsidRDefault="006C1631" w:rsidP="006C1631">
      <w:pPr>
        <w:spacing w:after="0"/>
        <w:ind w:left="295"/>
        <w:rPr>
          <w:szCs w:val="20"/>
        </w:rPr>
      </w:pPr>
      <w:r w:rsidRPr="00E30AA7">
        <w:rPr>
          <w:szCs w:val="20"/>
        </w:rPr>
        <w:t>Australian Communications and Media Authority</w:t>
      </w:r>
    </w:p>
    <w:p w14:paraId="60608048" w14:textId="77777777" w:rsidR="006C1631" w:rsidRPr="00E30AA7" w:rsidRDefault="006C1631" w:rsidP="006C1631">
      <w:pPr>
        <w:spacing w:after="0"/>
        <w:ind w:left="295"/>
        <w:rPr>
          <w:szCs w:val="20"/>
        </w:rPr>
      </w:pPr>
      <w:r w:rsidRPr="00E30AA7">
        <w:rPr>
          <w:szCs w:val="20"/>
        </w:rPr>
        <w:t>PO Box 78</w:t>
      </w:r>
    </w:p>
    <w:p w14:paraId="71264749" w14:textId="77777777" w:rsidR="006C1631" w:rsidRDefault="006C1631" w:rsidP="006C1631">
      <w:pPr>
        <w:ind w:left="295"/>
        <w:rPr>
          <w:szCs w:val="20"/>
        </w:rPr>
      </w:pPr>
      <w:r w:rsidRPr="00E30AA7">
        <w:rPr>
          <w:szCs w:val="20"/>
        </w:rPr>
        <w:t>Belconnen ACT 2616</w:t>
      </w:r>
    </w:p>
    <w:p w14:paraId="6489A265" w14:textId="5F688037" w:rsidR="006C1631" w:rsidRPr="00E30AA7" w:rsidRDefault="006C1631" w:rsidP="006C1631">
      <w:pPr>
        <w:rPr>
          <w:b/>
          <w:bCs/>
        </w:rPr>
      </w:pPr>
      <w:r w:rsidRPr="00E30AA7">
        <w:rPr>
          <w:b/>
          <w:bCs/>
        </w:rPr>
        <w:t xml:space="preserve">The closing date for submissions is COB, </w:t>
      </w:r>
      <w:r w:rsidR="0098576C" w:rsidRPr="00722A7C">
        <w:rPr>
          <w:b/>
          <w:bCs/>
        </w:rPr>
        <w:t>Monday 10</w:t>
      </w:r>
      <w:r w:rsidRPr="00722A7C">
        <w:rPr>
          <w:b/>
          <w:bCs/>
        </w:rPr>
        <w:t xml:space="preserve"> </w:t>
      </w:r>
      <w:r w:rsidR="0098576C" w:rsidRPr="00722A7C">
        <w:rPr>
          <w:b/>
          <w:bCs/>
        </w:rPr>
        <w:t xml:space="preserve">August </w:t>
      </w:r>
      <w:r w:rsidRPr="00722A7C">
        <w:rPr>
          <w:b/>
          <w:bCs/>
        </w:rPr>
        <w:t>20</w:t>
      </w:r>
      <w:r w:rsidR="00E30AA7" w:rsidRPr="00722A7C">
        <w:rPr>
          <w:b/>
          <w:bCs/>
        </w:rPr>
        <w:t>20</w:t>
      </w:r>
      <w:r w:rsidRPr="00E30AA7">
        <w:rPr>
          <w:b/>
          <w:bCs/>
        </w:rPr>
        <w:t>.</w:t>
      </w:r>
    </w:p>
    <w:p w14:paraId="0F27E5AB" w14:textId="13DFBC9C" w:rsidR="006C1631" w:rsidRDefault="006C1631" w:rsidP="006C1631">
      <w:pPr>
        <w:rPr>
          <w:szCs w:val="20"/>
        </w:rPr>
      </w:pPr>
      <w:r>
        <w:t xml:space="preserve">Consultation enquiries can be emailed </w:t>
      </w:r>
      <w:r>
        <w:rPr>
          <w:szCs w:val="20"/>
        </w:rPr>
        <w:t xml:space="preserve">to </w:t>
      </w:r>
      <w:hyperlink r:id="rId49" w:history="1">
        <w:r w:rsidR="00BD44E6">
          <w:rPr>
            <w:rStyle w:val="Hyperlink"/>
            <w:szCs w:val="20"/>
          </w:rPr>
          <w:t>SpectrumAllocations@acma.gov.au</w:t>
        </w:r>
      </w:hyperlink>
      <w:r w:rsidRPr="00E30AA7">
        <w:rPr>
          <w:szCs w:val="20"/>
        </w:rPr>
        <w:t>.</w:t>
      </w:r>
    </w:p>
    <w:p w14:paraId="08A296F5" w14:textId="77777777" w:rsidR="006C1631" w:rsidRDefault="006C1631" w:rsidP="005B2F0D">
      <w:pPr>
        <w:pStyle w:val="Heading4"/>
      </w:pPr>
      <w:bookmarkStart w:id="76" w:name="_Toc348105639"/>
      <w:bookmarkStart w:id="77" w:name="_Toc300909558"/>
      <w:bookmarkEnd w:id="72"/>
      <w:bookmarkEnd w:id="73"/>
      <w:r>
        <w:t xml:space="preserve">Publication of </w:t>
      </w:r>
      <w:r w:rsidRPr="005B2F0D">
        <w:t>submissions</w:t>
      </w:r>
      <w:bookmarkEnd w:id="74"/>
      <w:bookmarkEnd w:id="75"/>
      <w:bookmarkEnd w:id="76"/>
      <w:bookmarkEnd w:id="77"/>
    </w:p>
    <w:p w14:paraId="6085F391" w14:textId="77777777" w:rsidR="006C1631" w:rsidRDefault="006C1631" w:rsidP="006C1631">
      <w:bookmarkStart w:id="78" w:name="_Toc348105640"/>
      <w:bookmarkStart w:id="79" w:name="_Toc300909559"/>
      <w:bookmarkStart w:id="80" w:name="_Toc265246234"/>
      <w:r>
        <w:t>The ACMA publishes submissions on our website</w:t>
      </w:r>
      <w:r>
        <w:rPr>
          <w:rFonts w:cs="Arial"/>
        </w:rPr>
        <w:t>, including personal information (such as names and contact details)</w:t>
      </w:r>
      <w:r>
        <w:t xml:space="preserve">, except for information that you have claimed (and we have accepted) is confidential. </w:t>
      </w:r>
    </w:p>
    <w:p w14:paraId="0DDDF538" w14:textId="77777777" w:rsidR="006C1631" w:rsidRDefault="006C1631" w:rsidP="006C1631">
      <w:r>
        <w:t>Confidential information will not be published or otherwise released unless required or authorised by law.</w:t>
      </w:r>
    </w:p>
    <w:p w14:paraId="17151C45" w14:textId="77777777" w:rsidR="006C1631" w:rsidRDefault="006C1631" w:rsidP="005B2F0D">
      <w:pPr>
        <w:pStyle w:val="Heading4"/>
      </w:pPr>
      <w:r>
        <w:t>Privacy</w:t>
      </w:r>
    </w:p>
    <w:p w14:paraId="1FEA3C04" w14:textId="77777777" w:rsidR="006C1631" w:rsidRDefault="00E21056" w:rsidP="005B2F0D">
      <w:pPr>
        <w:pStyle w:val="Paragraph"/>
      </w:pPr>
      <w:r>
        <w:t>View</w:t>
      </w:r>
      <w:r w:rsidR="006C1631">
        <w:t xml:space="preserve"> information about </w:t>
      </w:r>
      <w:r>
        <w:t xml:space="preserve">our policy on the </w:t>
      </w:r>
      <w:hyperlink r:id="rId50" w:history="1">
        <w:r>
          <w:rPr>
            <w:rStyle w:val="Hyperlink"/>
          </w:rPr>
          <w:t>p</w:t>
        </w:r>
        <w:r w:rsidRPr="00E21056">
          <w:rPr>
            <w:rStyle w:val="Hyperlink"/>
          </w:rPr>
          <w:t>ublication of submissions</w:t>
        </w:r>
      </w:hyperlink>
      <w:r>
        <w:t xml:space="preserve">, including </w:t>
      </w:r>
      <w:r w:rsidR="006C1631">
        <w:t>collection of personal information during consultation and how we handle that information</w:t>
      </w:r>
      <w:r>
        <w:t>.</w:t>
      </w:r>
    </w:p>
    <w:bookmarkEnd w:id="78"/>
    <w:bookmarkEnd w:id="79"/>
    <w:bookmarkEnd w:id="80"/>
    <w:p w14:paraId="59B0C344" w14:textId="6971A62E" w:rsidR="00FF3C69" w:rsidRDefault="006C1631" w:rsidP="00F042B1">
      <w:pPr>
        <w:pStyle w:val="Paragraph"/>
      </w:pPr>
      <w:r>
        <w:t xml:space="preserve">Information on the </w:t>
      </w:r>
      <w:r>
        <w:rPr>
          <w:i/>
        </w:rPr>
        <w:t>Privacy Act 1988</w:t>
      </w:r>
      <w:r w:rsidR="006A4CCA">
        <w:rPr>
          <w:i/>
        </w:rPr>
        <w:t xml:space="preserve">, </w:t>
      </w:r>
      <w:r>
        <w:t>how to access or correct personal information, how to make a privacy complaint and how we will deal with the complaint</w:t>
      </w:r>
      <w:r w:rsidR="00BB6335">
        <w:t>,</w:t>
      </w:r>
      <w:r w:rsidR="00CF0BFE">
        <w:t xml:space="preserve"> </w:t>
      </w:r>
      <w:r>
        <w:t xml:space="preserve">is available </w:t>
      </w:r>
      <w:r w:rsidR="00E21056">
        <w:t xml:space="preserve">in our </w:t>
      </w:r>
      <w:hyperlink r:id="rId51" w:history="1">
        <w:r w:rsidR="00E21056" w:rsidRPr="00E21056">
          <w:rPr>
            <w:rStyle w:val="Hyperlink"/>
          </w:rPr>
          <w:t>privacy policy</w:t>
        </w:r>
      </w:hyperlink>
      <w:r>
        <w:t>.</w:t>
      </w:r>
      <w:r w:rsidR="00A4193E">
        <w:t xml:space="preserve"> </w:t>
      </w:r>
    </w:p>
    <w:sectPr w:rsidR="00FF3C69" w:rsidSect="00401614">
      <w:headerReference w:type="even" r:id="rId52"/>
      <w:headerReference w:type="default" r:id="rId53"/>
      <w:footerReference w:type="even" r:id="rId54"/>
      <w:footerReference w:type="default" r:id="rId55"/>
      <w:type w:val="continuous"/>
      <w:pgSz w:w="11906" w:h="16838" w:code="9"/>
      <w:pgMar w:top="1945" w:right="3101" w:bottom="1134" w:left="1134" w:header="709" w:footer="11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6A5D63" w14:textId="77777777" w:rsidR="00B61B30" w:rsidRDefault="00B61B30">
      <w:r>
        <w:separator/>
      </w:r>
    </w:p>
  </w:endnote>
  <w:endnote w:type="continuationSeparator" w:id="0">
    <w:p w14:paraId="7D3B4135" w14:textId="77777777" w:rsidR="00B61B30" w:rsidRDefault="00B61B30">
      <w:r>
        <w:continuationSeparator/>
      </w:r>
    </w:p>
  </w:endnote>
  <w:endnote w:type="continuationNotice" w:id="1">
    <w:p w14:paraId="1C2BB10C" w14:textId="77777777" w:rsidR="00B61B30" w:rsidRDefault="00B61B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HelveticaNeueLT Std Lt">
    <w:altName w:val="Arial"/>
    <w:panose1 w:val="020B0403020202020204"/>
    <w:charset w:val="00"/>
    <w:family w:val="swiss"/>
    <w:notTrueType/>
    <w:pitch w:val="variable"/>
    <w:sig w:usb0="800000AF" w:usb1="4000204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Std">
    <w:altName w:val="Arial"/>
    <w:panose1 w:val="020B0604020202020204"/>
    <w:charset w:val="00"/>
    <w:family w:val="swiss"/>
    <w:notTrueType/>
    <w:pitch w:val="variable"/>
    <w:sig w:usb0="800000AF" w:usb1="4000204A" w:usb2="00000000" w:usb3="00000000" w:csb0="00000001"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FAD025" w14:textId="77777777" w:rsidR="00B61B30" w:rsidRDefault="00B61B30" w:rsidP="005E250B">
    <w:pPr>
      <w:pStyle w:val="Footer"/>
      <w:jc w:val="right"/>
    </w:pPr>
    <w:r w:rsidRPr="005E250B">
      <w:rPr>
        <w:noProof/>
        <w:vertAlign w:val="subscript"/>
      </w:rPr>
      <w:drawing>
        <wp:inline distT="0" distB="0" distL="0" distR="0" wp14:anchorId="15515529" wp14:editId="059CFEAE">
          <wp:extent cx="1066800" cy="277368"/>
          <wp:effectExtent l="0" t="0" r="0" b="0"/>
          <wp:docPr id="15" name="Picture 15" descr="acma.gov.au">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cma.gov.au">
                    <a:hlinkClick r:id="rId1"/>
                  </pic:cNvPr>
                  <pic:cNvPicPr/>
                </pic:nvPicPr>
                <pic:blipFill>
                  <a:blip r:embed="rId2"/>
                  <a:stretch>
                    <a:fillRect/>
                  </a:stretch>
                </pic:blipFill>
                <pic:spPr>
                  <a:xfrm>
                    <a:off x="0" y="0"/>
                    <a:ext cx="1133985" cy="294836"/>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4388F" w14:textId="77777777" w:rsidR="00B61B30" w:rsidRDefault="00B61B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11C868" w14:textId="77777777" w:rsidR="00B61B30" w:rsidRDefault="00B61B3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17307A" w14:textId="77777777" w:rsidR="00B61B30" w:rsidRPr="00622A3B" w:rsidRDefault="00B61B30"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iv</w:t>
    </w:r>
    <w:r w:rsidRPr="002E4DDC">
      <w:rPr>
        <w:color w:val="505050"/>
      </w:rPr>
      <w:fldChar w:fldCharType="end"/>
    </w:r>
  </w:p>
  <w:p w14:paraId="66ABA14B" w14:textId="77777777" w:rsidR="00B61B30" w:rsidRPr="00A5474E" w:rsidRDefault="00B61B30" w:rsidP="00A547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9C01D9" w14:textId="77777777" w:rsidR="00B61B30" w:rsidRPr="00622A3B" w:rsidRDefault="00B61B30"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v</w:t>
    </w:r>
    <w:r w:rsidRPr="002E4DDC">
      <w:rPr>
        <w:color w:val="505050"/>
      </w:rPr>
      <w:fldChar w:fldCharType="end"/>
    </w:r>
  </w:p>
  <w:p w14:paraId="4DFFD140" w14:textId="77777777" w:rsidR="00B61B30" w:rsidRPr="00A5474E" w:rsidRDefault="00B61B30" w:rsidP="00A5474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BAE34D" w14:textId="77777777" w:rsidR="00B61B30" w:rsidRPr="00622A3B" w:rsidRDefault="00B61B30"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iii</w:t>
    </w:r>
    <w:r w:rsidRPr="002E4DDC">
      <w:rPr>
        <w:color w:val="505050"/>
      </w:rPr>
      <w:fldChar w:fldCharType="end"/>
    </w:r>
  </w:p>
  <w:p w14:paraId="09AEEA40" w14:textId="77777777" w:rsidR="00B61B30" w:rsidRPr="00A5474E" w:rsidRDefault="00B61B30" w:rsidP="00A547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A50D3A" w14:textId="77777777" w:rsidR="00B61B30" w:rsidRPr="00622A3B" w:rsidRDefault="00B61B30" w:rsidP="00C9768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t>2</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2459E4A3" w14:textId="77777777" w:rsidR="00B61B30" w:rsidRPr="00A5474E" w:rsidRDefault="00B61B30" w:rsidP="00A5474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45A6FA" w14:textId="77777777" w:rsidR="00B61B30" w:rsidRPr="00622A3B" w:rsidRDefault="00B61B30"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Pr>
        <w:noProof/>
        <w:color w:val="505050"/>
      </w:rPr>
      <w:t>1</w:t>
    </w:r>
    <w:r w:rsidRPr="00575AC5">
      <w:rPr>
        <w:color w:val="505050"/>
      </w:rPr>
      <w:fldChar w:fldCharType="end"/>
    </w:r>
  </w:p>
  <w:p w14:paraId="1323882F" w14:textId="77777777" w:rsidR="00B61B30" w:rsidRPr="00A5474E" w:rsidRDefault="00B61B30" w:rsidP="00A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A48025" w14:textId="77777777" w:rsidR="00B61B30" w:rsidRDefault="00B61B30">
      <w:r>
        <w:separator/>
      </w:r>
    </w:p>
  </w:footnote>
  <w:footnote w:type="continuationSeparator" w:id="0">
    <w:p w14:paraId="6B9793DE" w14:textId="77777777" w:rsidR="00B61B30" w:rsidRDefault="00B61B30">
      <w:r>
        <w:continuationSeparator/>
      </w:r>
    </w:p>
  </w:footnote>
  <w:footnote w:type="continuationNotice" w:id="1">
    <w:p w14:paraId="63566D4A" w14:textId="77777777" w:rsidR="00B61B30" w:rsidRDefault="00B61B30">
      <w:pPr>
        <w:spacing w:after="0" w:line="240" w:lineRule="auto"/>
      </w:pPr>
    </w:p>
  </w:footnote>
  <w:footnote w:id="2">
    <w:p w14:paraId="4200CA16" w14:textId="6BF7C722" w:rsidR="00B61B30" w:rsidRDefault="00B61B30">
      <w:pPr>
        <w:pStyle w:val="FootnoteText"/>
      </w:pPr>
      <w:r>
        <w:rPr>
          <w:rStyle w:val="FootnoteReference"/>
        </w:rPr>
        <w:footnoteRef/>
      </w:r>
      <w:r>
        <w:t xml:space="preserve"> The ACMA is also considering arrangements to authorise fixed-satellite service earth stations in 27–30 GHz using AWLs. Stakeholders will have an opportunity to provide feedback on these proposed arrangements in separate consultation process.</w:t>
      </w:r>
    </w:p>
  </w:footnote>
  <w:footnote w:id="3">
    <w:p w14:paraId="3FE49126" w14:textId="0C036EC7" w:rsidR="00B61B30" w:rsidRDefault="00B61B30" w:rsidP="001C00AE">
      <w:pPr>
        <w:pStyle w:val="FootnoteText"/>
      </w:pPr>
      <w:r>
        <w:rPr>
          <w:rStyle w:val="FootnoteReference"/>
        </w:rPr>
        <w:footnoteRef/>
      </w:r>
      <w:r>
        <w:t xml:space="preserve"> </w:t>
      </w:r>
      <w:proofErr w:type="spellStart"/>
      <w:r>
        <w:t>mmWaves</w:t>
      </w:r>
      <w:proofErr w:type="spellEnd"/>
      <w:r>
        <w:t xml:space="preserve"> span 30 to 300 GHz (that is a wavelength of 1 cm to 1 mm), however, in the current 5G context, the </w:t>
      </w:r>
      <w:proofErr w:type="spellStart"/>
      <w:r>
        <w:t>mmWave</w:t>
      </w:r>
      <w:proofErr w:type="spellEnd"/>
      <w:r>
        <w:t xml:space="preserve"> bands in consideration span from around 24 GHz up to 86 GHz.</w:t>
      </w:r>
    </w:p>
  </w:footnote>
  <w:footnote w:id="4">
    <w:p w14:paraId="75017704" w14:textId="77777777" w:rsidR="00B61B30" w:rsidRDefault="00B61B30" w:rsidP="00697483">
      <w:pPr>
        <w:pStyle w:val="FootnoteText"/>
        <w:spacing w:after="40" w:line="240" w:lineRule="auto"/>
      </w:pPr>
      <w:r>
        <w:rPr>
          <w:rStyle w:val="FootnoteReference"/>
        </w:rPr>
        <w:footnoteRef/>
      </w:r>
      <w:r>
        <w:t xml:space="preserve"> Membership of the 26 GHz band TLG consisted of representatives from prospective 26 GHz band spectrum licensees, incumbent apparatus licensees, adjacent band apparatus licensees, equipment manufacturers and accredited persons.</w:t>
      </w:r>
    </w:p>
  </w:footnote>
  <w:footnote w:id="5">
    <w:p w14:paraId="1BDDD765" w14:textId="773939DA" w:rsidR="00B61B30" w:rsidRDefault="00B61B30">
      <w:pPr>
        <w:pStyle w:val="FootnoteText"/>
      </w:pPr>
      <w:r>
        <w:rPr>
          <w:rStyle w:val="FootnoteReference"/>
        </w:rPr>
        <w:footnoteRef/>
      </w:r>
      <w:r>
        <w:t xml:space="preserve"> Consultation </w:t>
      </w:r>
      <w:r w:rsidRPr="008E5649">
        <w:t xml:space="preserve">closes </w:t>
      </w:r>
      <w:r w:rsidR="00310133">
        <w:t>10</w:t>
      </w:r>
      <w:r w:rsidR="00310133" w:rsidRPr="0072403B">
        <w:t xml:space="preserve"> </w:t>
      </w:r>
      <w:r w:rsidR="00310133">
        <w:t xml:space="preserve">August </w:t>
      </w:r>
      <w:r>
        <w:t>2020.</w:t>
      </w:r>
    </w:p>
  </w:footnote>
  <w:footnote w:id="6">
    <w:p w14:paraId="3C4E2C87" w14:textId="77777777" w:rsidR="00B61B30" w:rsidRDefault="00B61B30" w:rsidP="00D10C4E">
      <w:pPr>
        <w:pStyle w:val="FootnoteText"/>
      </w:pPr>
      <w:r>
        <w:rPr>
          <w:rStyle w:val="FootnoteReference"/>
        </w:rPr>
        <w:footnoteRef/>
      </w:r>
      <w:r>
        <w:t xml:space="preserve"> The gateway footprints areas are defined in the Schedule 1 of the draft RAG Tx at </w:t>
      </w:r>
      <w:r w:rsidRPr="003605DE">
        <w:t>Attachment B.</w:t>
      </w:r>
    </w:p>
  </w:footnote>
  <w:footnote w:id="7">
    <w:p w14:paraId="03B25C79" w14:textId="77777777" w:rsidR="00B61B30" w:rsidRDefault="00B61B30" w:rsidP="00CF3579">
      <w:pPr>
        <w:pStyle w:val="FootnoteText"/>
      </w:pPr>
      <w:r>
        <w:rPr>
          <w:rStyle w:val="FootnoteReference"/>
        </w:rPr>
        <w:footnoteRef/>
      </w:r>
      <w:r>
        <w:t xml:space="preserve"> Copies of the ITU-R Radio Regulations are available on the </w:t>
      </w:r>
      <w:hyperlink r:id="rId1" w:history="1">
        <w:r w:rsidRPr="00DA0E1E">
          <w:rPr>
            <w:rStyle w:val="Hyperlink"/>
          </w:rPr>
          <w:t>ITU-R website</w:t>
        </w:r>
      </w:hyperlink>
      <w:r>
        <w:t>.</w:t>
      </w:r>
    </w:p>
  </w:footnote>
  <w:footnote w:id="8">
    <w:p w14:paraId="194CEA8E" w14:textId="220EB246" w:rsidR="00B61B30" w:rsidRDefault="00B61B30">
      <w:pPr>
        <w:pStyle w:val="FootnoteText"/>
      </w:pPr>
      <w:r>
        <w:rPr>
          <w:rStyle w:val="FootnoteReference"/>
        </w:rPr>
        <w:footnoteRef/>
      </w:r>
      <w:r>
        <w:t xml:space="preserve"> See section 299 of the Act.</w:t>
      </w:r>
    </w:p>
  </w:footnote>
  <w:footnote w:id="9">
    <w:p w14:paraId="6588E83B" w14:textId="1B9F5206" w:rsidR="00B61B30" w:rsidRDefault="00B61B30" w:rsidP="00EC55DC">
      <w:pPr>
        <w:pStyle w:val="FootnoteText"/>
      </w:pPr>
      <w:r>
        <w:rPr>
          <w:rStyle w:val="FootnoteReference"/>
        </w:rPr>
        <w:footnoteRef/>
      </w:r>
      <w:r>
        <w:t xml:space="preserve"> How Article 21.5 should be applied to transmitters that employ modern beam-steering antennas and wide channel bandwidths was discussed during WRC-19. This issue will continue to be discussed internationally in preparation for the 2023 World Radiocommunication Conference.</w:t>
      </w:r>
    </w:p>
  </w:footnote>
  <w:footnote w:id="10">
    <w:p w14:paraId="4E55E223" w14:textId="4A1A6E98" w:rsidR="00B61B30" w:rsidRDefault="00B61B30">
      <w:pPr>
        <w:pStyle w:val="FootnoteText"/>
      </w:pPr>
      <w:r>
        <w:rPr>
          <w:rStyle w:val="FootnoteReference"/>
        </w:rPr>
        <w:footnoteRef/>
      </w:r>
      <w:r>
        <w:t xml:space="preserve"> Licensees will still need to comply with the licence condition that requires transmitters to be registered before operation, unless specifically exempt. </w:t>
      </w:r>
    </w:p>
  </w:footnote>
  <w:footnote w:id="11">
    <w:p w14:paraId="40C21680" w14:textId="7640222D" w:rsidR="00B61B30" w:rsidRPr="00A373EB" w:rsidRDefault="00B61B30">
      <w:pPr>
        <w:pStyle w:val="FootnoteText"/>
      </w:pPr>
      <w:r w:rsidRPr="00A373EB">
        <w:rPr>
          <w:rStyle w:val="FootnoteReference"/>
        </w:rPr>
        <w:footnoteRef/>
      </w:r>
      <w:r w:rsidRPr="00A373EB">
        <w:t xml:space="preserve"> </w:t>
      </w:r>
      <w:r w:rsidRPr="00B61B30">
        <w:t xml:space="preserve">ITU-R Resolution 242 (WRC-19) is contained in the Final Acts of WRC-19, available from the </w:t>
      </w:r>
      <w:hyperlink r:id="rId2" w:history="1">
        <w:r w:rsidRPr="00A373EB">
          <w:rPr>
            <w:rStyle w:val="Hyperlink"/>
          </w:rPr>
          <w:t>ITU-R website</w:t>
        </w:r>
      </w:hyperlink>
      <w:r w:rsidRPr="00A373EB">
        <w:t>.</w:t>
      </w:r>
    </w:p>
  </w:footnote>
  <w:footnote w:id="12">
    <w:p w14:paraId="0E37EE55" w14:textId="46E9BA1C" w:rsidR="00B61B30" w:rsidRDefault="00B61B30">
      <w:pPr>
        <w:pStyle w:val="FootnoteText"/>
      </w:pPr>
      <w:r w:rsidRPr="00A373EB">
        <w:rPr>
          <w:rStyle w:val="FootnoteReference"/>
        </w:rPr>
        <w:footnoteRef/>
      </w:r>
      <w:r w:rsidRPr="00A373EB">
        <w:t xml:space="preserve"> In addition to adhering to </w:t>
      </w:r>
      <w:r w:rsidRPr="00A373EB">
        <w:rPr>
          <w:i/>
          <w:iCs/>
        </w:rPr>
        <w:t xml:space="preserve">resolves </w:t>
      </w:r>
      <w:r w:rsidRPr="00A373EB">
        <w:t>2.1 and 2.2 of ITU-R Resolution 242 (WRC-19).</w:t>
      </w:r>
    </w:p>
  </w:footnote>
  <w:footnote w:id="13">
    <w:p w14:paraId="09763ACA" w14:textId="187D79A7" w:rsidR="00B61B30" w:rsidRDefault="00B61B30">
      <w:pPr>
        <w:pStyle w:val="FootnoteText"/>
      </w:pPr>
      <w:r>
        <w:rPr>
          <w:rStyle w:val="FootnoteReference"/>
        </w:rPr>
        <w:footnoteRef/>
      </w:r>
      <w:r>
        <w:t xml:space="preserve"> The </w:t>
      </w:r>
      <w:hyperlink r:id="rId3" w:history="1">
        <w:r w:rsidRPr="00A77F9A">
          <w:rPr>
            <w:rStyle w:val="Hyperlink"/>
          </w:rPr>
          <w:t>Australian Spectrum Map Grid 2012</w:t>
        </w:r>
      </w:hyperlink>
      <w:r>
        <w:t xml:space="preserve"> will also be updated to include information on the new GDA 2020 datum.</w:t>
      </w:r>
    </w:p>
  </w:footnote>
  <w:footnote w:id="14">
    <w:p w14:paraId="4AB80B11" w14:textId="3BC9291E" w:rsidR="00B61B30" w:rsidRDefault="00B61B30">
      <w:pPr>
        <w:pStyle w:val="FootnoteText"/>
      </w:pPr>
      <w:r>
        <w:rPr>
          <w:rStyle w:val="FootnoteReference"/>
        </w:rPr>
        <w:footnoteRef/>
      </w:r>
      <w:r>
        <w:t xml:space="preserve"> The </w:t>
      </w:r>
      <w:hyperlink r:id="rId4" w:history="1">
        <w:r w:rsidRPr="007409E7">
          <w:rPr>
            <w:rStyle w:val="Hyperlink"/>
            <w:i/>
            <w:iCs/>
          </w:rPr>
          <w:t>Digital elevation model interpretation</w:t>
        </w:r>
      </w:hyperlink>
      <w:r>
        <w:t xml:space="preserve"> document will also be updated to include examples for the 3-second elevation model. The existing methodology for determining heights when a calculation location is on a cell boundary will be maintained for both 3-second and 9-second elevation models.</w:t>
      </w:r>
    </w:p>
  </w:footnote>
  <w:footnote w:id="15">
    <w:p w14:paraId="0CC07F47" w14:textId="64E5EF7A" w:rsidR="00B61B30" w:rsidRDefault="00B61B30">
      <w:pPr>
        <w:pStyle w:val="FootnoteText"/>
      </w:pPr>
      <w:r>
        <w:rPr>
          <w:rStyle w:val="FootnoteReference"/>
        </w:rPr>
        <w:footnoteRef/>
      </w:r>
      <w:r>
        <w:t xml:space="preserve"> Hierarchical Cell Identification Scheme or HCIS is a way of describing geographic areas within the </w:t>
      </w:r>
      <w:hyperlink r:id="rId5" w:history="1">
        <w:r w:rsidRPr="005A69F6">
          <w:rPr>
            <w:rStyle w:val="Hyperlink"/>
          </w:rPr>
          <w:t>Australian Spectrum Map Grid</w:t>
        </w:r>
      </w:hyperlink>
      <w:r>
        <w:t>.</w:t>
      </w:r>
    </w:p>
  </w:footnote>
  <w:footnote w:id="16">
    <w:p w14:paraId="0E0EDF87" w14:textId="04F1ED3B" w:rsidR="00B61B30" w:rsidRDefault="00B61B30">
      <w:pPr>
        <w:pStyle w:val="FootnoteText"/>
      </w:pPr>
      <w:r>
        <w:rPr>
          <w:rStyle w:val="FootnoteReference"/>
        </w:rPr>
        <w:footnoteRef/>
      </w:r>
      <w:r>
        <w:t xml:space="preserve"> Licence conditions for AWLs in the 26/28 GHz band will be consulted on in a separate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C71AE4" w14:textId="77777777" w:rsidR="00B61B30" w:rsidRPr="00A5474E" w:rsidRDefault="00B61B30" w:rsidP="00A5474E">
    <w:pPr>
      <w:pStyle w:val="Header"/>
    </w:pPr>
    <w:r>
      <w:rPr>
        <w:noProof/>
      </w:rPr>
      <w:drawing>
        <wp:inline distT="0" distB="0" distL="0" distR="0" wp14:anchorId="23B87AF4" wp14:editId="414FFDE6">
          <wp:extent cx="6210300" cy="571134"/>
          <wp:effectExtent l="0" t="0" r="0" b="0"/>
          <wp:docPr id="14" name="Picture 14" descr="ACM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stretch>
                    <a:fillRect/>
                  </a:stretch>
                </pic:blipFill>
                <pic:spPr>
                  <a:xfrm>
                    <a:off x="0" y="0"/>
                    <a:ext cx="6210300" cy="57113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9BBDE1" w14:textId="77777777" w:rsidR="00B61B30" w:rsidRPr="00A5474E" w:rsidRDefault="00B61B30" w:rsidP="00594E9C">
    <w:pPr>
      <w:pStyle w:val="TOCHeading"/>
    </w:pPr>
    <w:r w:rsidRPr="0029593B">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3D9D8" w14:textId="77777777" w:rsidR="00B61B30" w:rsidRDefault="00B61B3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2FCA0A" w14:textId="77777777" w:rsidR="00B61B30" w:rsidRDefault="00B61B3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7678" w:type="dxa"/>
      <w:tblLayout w:type="fixed"/>
      <w:tblCellMar>
        <w:left w:w="0" w:type="dxa"/>
        <w:right w:w="0" w:type="dxa"/>
      </w:tblCellMar>
      <w:tblLook w:val="01E0" w:firstRow="1" w:lastRow="1" w:firstColumn="1" w:lastColumn="1" w:noHBand="0" w:noVBand="0"/>
    </w:tblPr>
    <w:tblGrid>
      <w:gridCol w:w="7678"/>
    </w:tblGrid>
    <w:tr w:rsidR="00B61B30" w14:paraId="6EAA1FFD" w14:textId="77777777" w:rsidTr="000F74F2">
      <w:trPr>
        <w:trHeight w:hRule="exact" w:val="988"/>
      </w:trPr>
      <w:tc>
        <w:tcPr>
          <w:tcW w:w="7678" w:type="dxa"/>
          <w:shd w:val="clear" w:color="auto" w:fill="auto"/>
        </w:tcPr>
        <w:p w14:paraId="2646369E" w14:textId="77777777" w:rsidR="00B61B30" w:rsidRDefault="00B61B30" w:rsidP="00971914">
          <w:pPr>
            <w:pStyle w:val="Header"/>
          </w:pPr>
        </w:p>
      </w:tc>
    </w:tr>
    <w:tr w:rsidR="00B61B30" w14:paraId="292BDE6C" w14:textId="77777777" w:rsidTr="000F74F2">
      <w:tc>
        <w:tcPr>
          <w:tcW w:w="7678" w:type="dxa"/>
          <w:shd w:val="clear" w:color="auto" w:fill="auto"/>
        </w:tcPr>
        <w:p w14:paraId="0F9A2FE3" w14:textId="77777777" w:rsidR="00B61B30" w:rsidRDefault="00B61B30" w:rsidP="00971914">
          <w:pPr>
            <w:pStyle w:val="GridTable31"/>
          </w:pPr>
          <w:r>
            <w:t xml:space="preserve">Contents </w:t>
          </w:r>
          <w:r w:rsidRPr="00915B1C">
            <w:rPr>
              <w:b w:val="0"/>
              <w:spacing w:val="0"/>
              <w:sz w:val="28"/>
              <w:szCs w:val="28"/>
            </w:rPr>
            <w:t>(Continued)</w:t>
          </w:r>
        </w:p>
      </w:tc>
    </w:tr>
    <w:tr w:rsidR="00B61B30" w14:paraId="1C5D5CAC" w14:textId="77777777" w:rsidTr="000F74F2">
      <w:trPr>
        <w:trHeight w:val="1220"/>
      </w:trPr>
      <w:tc>
        <w:tcPr>
          <w:tcW w:w="7678" w:type="dxa"/>
          <w:shd w:val="clear" w:color="auto" w:fill="auto"/>
        </w:tcPr>
        <w:p w14:paraId="1300AF9A" w14:textId="77777777" w:rsidR="00B61B30" w:rsidRDefault="00B61B30" w:rsidP="00971914"/>
      </w:tc>
    </w:tr>
  </w:tbl>
  <w:p w14:paraId="44B8EF07" w14:textId="77777777" w:rsidR="00B61B30" w:rsidRDefault="00B61B30" w:rsidP="0097191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7678" w:type="dxa"/>
      <w:tblLayout w:type="fixed"/>
      <w:tblCellMar>
        <w:left w:w="0" w:type="dxa"/>
        <w:right w:w="0" w:type="dxa"/>
      </w:tblCellMar>
      <w:tblLook w:val="01E0" w:firstRow="1" w:lastRow="1" w:firstColumn="1" w:lastColumn="1" w:noHBand="0" w:noVBand="0"/>
    </w:tblPr>
    <w:tblGrid>
      <w:gridCol w:w="7678"/>
    </w:tblGrid>
    <w:tr w:rsidR="00B61B30" w14:paraId="4245D1F1" w14:textId="77777777" w:rsidTr="000F74F2">
      <w:trPr>
        <w:trHeight w:hRule="exact" w:val="988"/>
      </w:trPr>
      <w:tc>
        <w:tcPr>
          <w:tcW w:w="7678" w:type="dxa"/>
          <w:shd w:val="clear" w:color="auto" w:fill="auto"/>
        </w:tcPr>
        <w:p w14:paraId="4C99C5CB" w14:textId="77777777" w:rsidR="00B61B30" w:rsidRDefault="00B61B30" w:rsidP="00971914">
          <w:pPr>
            <w:pStyle w:val="Header"/>
          </w:pPr>
        </w:p>
      </w:tc>
    </w:tr>
    <w:tr w:rsidR="00B61B30" w14:paraId="40F3216D" w14:textId="77777777" w:rsidTr="000F74F2">
      <w:tc>
        <w:tcPr>
          <w:tcW w:w="7678" w:type="dxa"/>
          <w:shd w:val="clear" w:color="auto" w:fill="auto"/>
        </w:tcPr>
        <w:p w14:paraId="0B93D230" w14:textId="77777777" w:rsidR="00B61B30" w:rsidRDefault="00B61B30" w:rsidP="00971914">
          <w:pPr>
            <w:pStyle w:val="GridTable31"/>
          </w:pPr>
          <w:r>
            <w:t xml:space="preserve">Contents </w:t>
          </w:r>
          <w:r w:rsidRPr="00915B1C">
            <w:rPr>
              <w:b w:val="0"/>
              <w:spacing w:val="0"/>
              <w:sz w:val="28"/>
              <w:szCs w:val="28"/>
            </w:rPr>
            <w:t>(Continued)</w:t>
          </w:r>
        </w:p>
      </w:tc>
    </w:tr>
    <w:tr w:rsidR="00B61B30" w14:paraId="677AB047" w14:textId="77777777" w:rsidTr="000F74F2">
      <w:trPr>
        <w:trHeight w:val="1220"/>
      </w:trPr>
      <w:tc>
        <w:tcPr>
          <w:tcW w:w="7678" w:type="dxa"/>
          <w:shd w:val="clear" w:color="auto" w:fill="auto"/>
        </w:tcPr>
        <w:p w14:paraId="4A562FF5" w14:textId="77777777" w:rsidR="00B61B30" w:rsidRDefault="00B61B30" w:rsidP="00971914"/>
      </w:tc>
    </w:tr>
  </w:tbl>
  <w:p w14:paraId="68C991AC" w14:textId="77777777" w:rsidR="00B61B30" w:rsidRPr="00A5474E" w:rsidRDefault="00B61B30" w:rsidP="00A5474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B9F9B" w14:textId="77777777" w:rsidR="00B61B30" w:rsidRPr="00A5474E" w:rsidRDefault="00B61B30" w:rsidP="00594E9C">
    <w:pPr>
      <w:pStyle w:val="TOCHeading"/>
    </w:pPr>
    <w:r w:rsidRPr="0029593B">
      <w:t>Contents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EA99B3" w14:textId="77777777" w:rsidR="00B61B30" w:rsidRDefault="00B61B30" w:rsidP="0097191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D79064" w14:textId="77777777" w:rsidR="00B61B30" w:rsidRDefault="00B61B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75F22F60"/>
    <w:lvl w:ilvl="0">
      <w:start w:val="1"/>
      <w:numFmt w:val="lowerRoman"/>
      <w:pStyle w:val="ListNumber2"/>
      <w:lvlText w:val="%1."/>
      <w:lvlJc w:val="right"/>
      <w:pPr>
        <w:ind w:left="717" w:hanging="360"/>
      </w:pPr>
      <w:rPr>
        <w:rFonts w:hint="default"/>
      </w:rPr>
    </w:lvl>
  </w:abstractNum>
  <w:abstractNum w:abstractNumId="1" w15:restartNumberingAfterBreak="0">
    <w:nsid w:val="FFFFFF83"/>
    <w:multiLevelType w:val="singleLevel"/>
    <w:tmpl w:val="909E78BC"/>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2" w15:restartNumberingAfterBreak="0">
    <w:nsid w:val="FFFFFF88"/>
    <w:multiLevelType w:val="singleLevel"/>
    <w:tmpl w:val="51B60EB2"/>
    <w:lvl w:ilvl="0">
      <w:start w:val="1"/>
      <w:numFmt w:val="decimal"/>
      <w:lvlText w:val="%1."/>
      <w:lvlJc w:val="left"/>
      <w:pPr>
        <w:ind w:left="360" w:hanging="360"/>
      </w:pPr>
      <w:rPr>
        <w:rFonts w:hint="default"/>
        <w:b w:val="0"/>
        <w:bCs/>
        <w:caps/>
        <w:sz w:val="20"/>
      </w:rPr>
    </w:lvl>
  </w:abstractNum>
  <w:abstractNum w:abstractNumId="3" w15:restartNumberingAfterBreak="0">
    <w:nsid w:val="FFFFFF89"/>
    <w:multiLevelType w:val="singleLevel"/>
    <w:tmpl w:val="E552FEBA"/>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4" w15:restartNumberingAfterBreak="0">
    <w:nsid w:val="00C24EAF"/>
    <w:multiLevelType w:val="hybridMultilevel"/>
    <w:tmpl w:val="958248C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29F4359"/>
    <w:multiLevelType w:val="hybridMultilevel"/>
    <w:tmpl w:val="1976021E"/>
    <w:lvl w:ilvl="0" w:tplc="0C090001">
      <w:start w:val="30"/>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2AF1222"/>
    <w:multiLevelType w:val="hybridMultilevel"/>
    <w:tmpl w:val="BC6E3CC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3CC69AC"/>
    <w:multiLevelType w:val="hybridMultilevel"/>
    <w:tmpl w:val="5232DA4E"/>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04387E24"/>
    <w:multiLevelType w:val="hybridMultilevel"/>
    <w:tmpl w:val="DBF2977A"/>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9" w15:restartNumberingAfterBreak="0">
    <w:nsid w:val="087C268C"/>
    <w:multiLevelType w:val="hybridMultilevel"/>
    <w:tmpl w:val="E0A6CA9A"/>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0CBA70F6"/>
    <w:multiLevelType w:val="hybridMultilevel"/>
    <w:tmpl w:val="A8B6F48E"/>
    <w:lvl w:ilvl="0" w:tplc="44EEC084">
      <w:start w:val="1"/>
      <w:numFmt w:val="bullet"/>
      <w:lvlText w:val="&gt;"/>
      <w:lvlJc w:val="left"/>
      <w:pPr>
        <w:ind w:left="360" w:hanging="360"/>
      </w:pPr>
      <w:rPr>
        <w:rFonts w:ascii="HelveticaNeueLT Std" w:hAnsi="HelveticaNeueLT Std"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15C73148"/>
    <w:multiLevelType w:val="hybridMultilevel"/>
    <w:tmpl w:val="D2D28326"/>
    <w:lvl w:ilvl="0" w:tplc="3D043DC4">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16C2501F"/>
    <w:multiLevelType w:val="hybridMultilevel"/>
    <w:tmpl w:val="67D26B6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9ED475E"/>
    <w:multiLevelType w:val="hybridMultilevel"/>
    <w:tmpl w:val="E84C64BE"/>
    <w:lvl w:ilvl="0" w:tplc="B7921178">
      <w:start w:val="1"/>
      <w:numFmt w:val="bullet"/>
      <w:lvlText w:val="&gt;"/>
      <w:lvlJc w:val="left"/>
      <w:pPr>
        <w:ind w:left="360" w:hanging="360"/>
      </w:pPr>
      <w:rPr>
        <w:rFonts w:ascii="HelveticaNeueLT Std Lt" w:hAnsi="HelveticaNeueLT Std Lt" w:hint="default"/>
        <w:sz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1F2C0D28"/>
    <w:multiLevelType w:val="hybridMultilevel"/>
    <w:tmpl w:val="DAF8D442"/>
    <w:lvl w:ilvl="0" w:tplc="FE9EAA6A">
      <w:start w:val="1"/>
      <w:numFmt w:val="bullet"/>
      <w:lvlText w:val="&gt;"/>
      <w:lvlJc w:val="left"/>
      <w:pPr>
        <w:ind w:left="360" w:hanging="360"/>
      </w:pPr>
      <w:rPr>
        <w:rFonts w:ascii="Vrinda" w:hAnsi="Vrinda" w:hint="default"/>
        <w:b w:val="0"/>
        <w:sz w:val="20"/>
        <w:szCs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23AF1F83"/>
    <w:multiLevelType w:val="hybridMultilevel"/>
    <w:tmpl w:val="08B0BA3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81D1869"/>
    <w:multiLevelType w:val="hybridMultilevel"/>
    <w:tmpl w:val="44CCDBB4"/>
    <w:lvl w:ilvl="0" w:tplc="B4DE576E">
      <w:start w:val="1"/>
      <w:numFmt w:val="decimal"/>
      <w:pStyle w:val="ACMANumberedList"/>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8CD6D17"/>
    <w:multiLevelType w:val="hybridMultilevel"/>
    <w:tmpl w:val="9066157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2AAA0783"/>
    <w:multiLevelType w:val="hybridMultilevel"/>
    <w:tmpl w:val="D0CA7926"/>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0" w15:restartNumberingAfterBreak="0">
    <w:nsid w:val="2F5A5080"/>
    <w:multiLevelType w:val="hybridMultilevel"/>
    <w:tmpl w:val="BE2AF6CE"/>
    <w:lvl w:ilvl="0" w:tplc="D05E2434">
      <w:start w:val="1"/>
      <w:numFmt w:val="bullet"/>
      <w:pStyle w:val="ACMABulletLevel1"/>
      <w:lvlText w:val="●"/>
      <w:lvlJc w:val="left"/>
      <w:pPr>
        <w:ind w:left="357" w:hanging="357"/>
      </w:pPr>
      <w:rPr>
        <w:rFonts w:ascii="Arial" w:hAnsi="Arial" w:cs="Arial" w:hint="default"/>
        <w:sz w:val="20"/>
        <w:szCs w:val="20"/>
      </w:rPr>
    </w:lvl>
    <w:lvl w:ilvl="1" w:tplc="04090003">
      <w:start w:val="1"/>
      <w:numFmt w:val="bullet"/>
      <w:lvlText w:val="o"/>
      <w:lvlJc w:val="left"/>
      <w:pPr>
        <w:tabs>
          <w:tab w:val="num" w:pos="1728"/>
        </w:tabs>
        <w:ind w:left="1728" w:hanging="360"/>
      </w:pPr>
      <w:rPr>
        <w:rFonts w:ascii="Courier New" w:hAnsi="Courier New" w:cs="Times New Roman" w:hint="default"/>
      </w:rPr>
    </w:lvl>
    <w:lvl w:ilvl="2" w:tplc="04090005">
      <w:start w:val="1"/>
      <w:numFmt w:val="bullet"/>
      <w:lvlText w:val=""/>
      <w:lvlJc w:val="left"/>
      <w:pPr>
        <w:tabs>
          <w:tab w:val="num" w:pos="2448"/>
        </w:tabs>
        <w:ind w:left="2448" w:hanging="360"/>
      </w:pPr>
      <w:rPr>
        <w:rFonts w:ascii="Wingdings" w:hAnsi="Wingdings" w:hint="default"/>
      </w:rPr>
    </w:lvl>
    <w:lvl w:ilvl="3" w:tplc="04090001">
      <w:start w:val="1"/>
      <w:numFmt w:val="bullet"/>
      <w:lvlText w:val=""/>
      <w:lvlJc w:val="left"/>
      <w:pPr>
        <w:tabs>
          <w:tab w:val="num" w:pos="3168"/>
        </w:tabs>
        <w:ind w:left="3168" w:hanging="360"/>
      </w:pPr>
      <w:rPr>
        <w:rFonts w:ascii="Symbol" w:hAnsi="Symbol" w:hint="default"/>
      </w:rPr>
    </w:lvl>
    <w:lvl w:ilvl="4" w:tplc="04090003">
      <w:start w:val="1"/>
      <w:numFmt w:val="bullet"/>
      <w:lvlText w:val="o"/>
      <w:lvlJc w:val="left"/>
      <w:pPr>
        <w:tabs>
          <w:tab w:val="num" w:pos="3888"/>
        </w:tabs>
        <w:ind w:left="3888" w:hanging="360"/>
      </w:pPr>
      <w:rPr>
        <w:rFonts w:ascii="Courier New" w:hAnsi="Courier New" w:cs="Times New Roman" w:hint="default"/>
      </w:rPr>
    </w:lvl>
    <w:lvl w:ilvl="5" w:tplc="04090005">
      <w:start w:val="1"/>
      <w:numFmt w:val="bullet"/>
      <w:lvlText w:val=""/>
      <w:lvlJc w:val="left"/>
      <w:pPr>
        <w:tabs>
          <w:tab w:val="num" w:pos="4608"/>
        </w:tabs>
        <w:ind w:left="4608" w:hanging="360"/>
      </w:pPr>
      <w:rPr>
        <w:rFonts w:ascii="Wingdings" w:hAnsi="Wingdings" w:hint="default"/>
      </w:rPr>
    </w:lvl>
    <w:lvl w:ilvl="6" w:tplc="04090001">
      <w:start w:val="1"/>
      <w:numFmt w:val="bullet"/>
      <w:lvlText w:val=""/>
      <w:lvlJc w:val="left"/>
      <w:pPr>
        <w:tabs>
          <w:tab w:val="num" w:pos="5328"/>
        </w:tabs>
        <w:ind w:left="5328" w:hanging="360"/>
      </w:pPr>
      <w:rPr>
        <w:rFonts w:ascii="Symbol" w:hAnsi="Symbol" w:hint="default"/>
      </w:rPr>
    </w:lvl>
    <w:lvl w:ilvl="7" w:tplc="04090003">
      <w:start w:val="1"/>
      <w:numFmt w:val="bullet"/>
      <w:lvlText w:val="o"/>
      <w:lvlJc w:val="left"/>
      <w:pPr>
        <w:tabs>
          <w:tab w:val="num" w:pos="6048"/>
        </w:tabs>
        <w:ind w:left="6048" w:hanging="360"/>
      </w:pPr>
      <w:rPr>
        <w:rFonts w:ascii="Courier New" w:hAnsi="Courier New" w:cs="Times New Roman" w:hint="default"/>
      </w:rPr>
    </w:lvl>
    <w:lvl w:ilvl="8" w:tplc="04090005">
      <w:start w:val="1"/>
      <w:numFmt w:val="bullet"/>
      <w:lvlText w:val=""/>
      <w:lvlJc w:val="left"/>
      <w:pPr>
        <w:tabs>
          <w:tab w:val="num" w:pos="6768"/>
        </w:tabs>
        <w:ind w:left="6768" w:hanging="360"/>
      </w:pPr>
      <w:rPr>
        <w:rFonts w:ascii="Wingdings" w:hAnsi="Wingdings" w:hint="default"/>
      </w:rPr>
    </w:lvl>
  </w:abstractNum>
  <w:abstractNum w:abstractNumId="21" w15:restartNumberingAfterBreak="0">
    <w:nsid w:val="31B82FE2"/>
    <w:multiLevelType w:val="hybridMultilevel"/>
    <w:tmpl w:val="3C5E2F4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2EF4616"/>
    <w:multiLevelType w:val="hybridMultilevel"/>
    <w:tmpl w:val="467EBEAA"/>
    <w:lvl w:ilvl="0" w:tplc="E4482DE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37020905"/>
    <w:multiLevelType w:val="hybridMultilevel"/>
    <w:tmpl w:val="2452C844"/>
    <w:lvl w:ilvl="0" w:tplc="303E067A">
      <w:start w:val="1"/>
      <w:numFmt w:val="decimal"/>
      <w:lvlText w:val="%1."/>
      <w:lvlJc w:val="left"/>
      <w:pPr>
        <w:ind w:left="360" w:hanging="360"/>
      </w:pPr>
      <w:rPr>
        <w:rFonts w:ascii="Arial" w:hAnsi="Arial" w:cs="Arial" w:hint="default"/>
        <w:sz w:val="22"/>
        <w:szCs w:val="22"/>
      </w:rPr>
    </w:lvl>
    <w:lvl w:ilvl="1" w:tplc="88886CF8">
      <w:start w:val="1"/>
      <w:numFmt w:val="lowerRoman"/>
      <w:lvlText w:val="%2)"/>
      <w:lvlJc w:val="left"/>
      <w:pPr>
        <w:ind w:left="1080" w:hanging="360"/>
      </w:pPr>
      <w:rPr>
        <w:rFonts w:hint="default"/>
        <w:b w:val="0"/>
        <w:bCs w:val="0"/>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3A4C2B52"/>
    <w:multiLevelType w:val="hybridMultilevel"/>
    <w:tmpl w:val="5302C3DA"/>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B560629"/>
    <w:multiLevelType w:val="hybridMultilevel"/>
    <w:tmpl w:val="F0663C54"/>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E667F5F"/>
    <w:multiLevelType w:val="hybridMultilevel"/>
    <w:tmpl w:val="E9B674B4"/>
    <w:lvl w:ilvl="0" w:tplc="0B3E9FC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3985591"/>
    <w:multiLevelType w:val="hybridMultilevel"/>
    <w:tmpl w:val="242037BE"/>
    <w:lvl w:ilvl="0" w:tplc="68B8B4D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7EF59CD"/>
    <w:multiLevelType w:val="hybridMultilevel"/>
    <w:tmpl w:val="B0AE9FE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9" w15:restartNumberingAfterBreak="0">
    <w:nsid w:val="483A166F"/>
    <w:multiLevelType w:val="hybridMultilevel"/>
    <w:tmpl w:val="C35E8C74"/>
    <w:lvl w:ilvl="0" w:tplc="FE9EAA6A">
      <w:start w:val="1"/>
      <w:numFmt w:val="bullet"/>
      <w:lvlText w:val="&gt;"/>
      <w:lvlJc w:val="left"/>
      <w:pPr>
        <w:ind w:left="780" w:hanging="360"/>
      </w:pPr>
      <w:rPr>
        <w:rFonts w:ascii="Vrinda" w:hAnsi="Vrinda" w:hint="default"/>
        <w:b w:val="0"/>
        <w:sz w:val="20"/>
        <w:szCs w:val="20"/>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30" w15:restartNumberingAfterBreak="0">
    <w:nsid w:val="492C6BA8"/>
    <w:multiLevelType w:val="hybridMultilevel"/>
    <w:tmpl w:val="2DAEBBD0"/>
    <w:lvl w:ilvl="0" w:tplc="50F8B7D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D1F5162"/>
    <w:multiLevelType w:val="hybridMultilevel"/>
    <w:tmpl w:val="F69A15FC"/>
    <w:lvl w:ilvl="0" w:tplc="0368309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4E1E1EC8"/>
    <w:multiLevelType w:val="hybridMultilevel"/>
    <w:tmpl w:val="12ACB2D4"/>
    <w:lvl w:ilvl="0" w:tplc="FE9EAA6A">
      <w:start w:val="1"/>
      <w:numFmt w:val="bullet"/>
      <w:lvlText w:val="&gt;"/>
      <w:lvlJc w:val="left"/>
      <w:pPr>
        <w:ind w:left="720" w:hanging="360"/>
      </w:pPr>
      <w:rPr>
        <w:rFonts w:ascii="Vrinda" w:hAnsi="Vrinda" w:hint="default"/>
        <w:b w:val="0"/>
        <w:sz w:val="20"/>
        <w:szCs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16F4FB2"/>
    <w:multiLevelType w:val="hybridMultilevel"/>
    <w:tmpl w:val="669ABA72"/>
    <w:lvl w:ilvl="0" w:tplc="44EEC084">
      <w:start w:val="1"/>
      <w:numFmt w:val="bullet"/>
      <w:lvlText w:val="&gt;"/>
      <w:lvlJc w:val="left"/>
      <w:pPr>
        <w:ind w:left="780" w:hanging="360"/>
      </w:pPr>
      <w:rPr>
        <w:rFonts w:ascii="HelveticaNeueLT Std" w:hAnsi="HelveticaNeueLT Std"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cs="Wingdings" w:hint="default"/>
      </w:rPr>
    </w:lvl>
    <w:lvl w:ilvl="3" w:tplc="0C090001" w:tentative="1">
      <w:start w:val="1"/>
      <w:numFmt w:val="bullet"/>
      <w:lvlText w:val=""/>
      <w:lvlJc w:val="left"/>
      <w:pPr>
        <w:ind w:left="2940" w:hanging="360"/>
      </w:pPr>
      <w:rPr>
        <w:rFonts w:ascii="Symbol" w:hAnsi="Symbol" w:cs="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cs="Wingdings" w:hint="default"/>
      </w:rPr>
    </w:lvl>
    <w:lvl w:ilvl="6" w:tplc="0C090001" w:tentative="1">
      <w:start w:val="1"/>
      <w:numFmt w:val="bullet"/>
      <w:lvlText w:val=""/>
      <w:lvlJc w:val="left"/>
      <w:pPr>
        <w:ind w:left="5100" w:hanging="360"/>
      </w:pPr>
      <w:rPr>
        <w:rFonts w:ascii="Symbol" w:hAnsi="Symbol" w:cs="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cs="Wingdings" w:hint="default"/>
      </w:rPr>
    </w:lvl>
  </w:abstractNum>
  <w:abstractNum w:abstractNumId="34" w15:restartNumberingAfterBreak="0">
    <w:nsid w:val="55AA21F0"/>
    <w:multiLevelType w:val="hybridMultilevel"/>
    <w:tmpl w:val="9B5CB936"/>
    <w:lvl w:ilvl="0" w:tplc="CCA08FFA">
      <w:start w:val="1"/>
      <w:numFmt w:val="decimal"/>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D64436"/>
    <w:multiLevelType w:val="hybridMultilevel"/>
    <w:tmpl w:val="05889DC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6B36AE3"/>
    <w:multiLevelType w:val="hybridMultilevel"/>
    <w:tmpl w:val="8D963B18"/>
    <w:lvl w:ilvl="0" w:tplc="EF68F65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7047ACF"/>
    <w:multiLevelType w:val="hybridMultilevel"/>
    <w:tmpl w:val="60925242"/>
    <w:lvl w:ilvl="0" w:tplc="FE9EAA6A">
      <w:start w:val="1"/>
      <w:numFmt w:val="bullet"/>
      <w:lvlText w:val="&gt;"/>
      <w:lvlJc w:val="left"/>
      <w:pPr>
        <w:ind w:left="360" w:hanging="360"/>
      </w:pPr>
      <w:rPr>
        <w:rFonts w:ascii="Vrinda" w:hAnsi="Vrinda" w:hint="default"/>
        <w:b w:val="0"/>
        <w:sz w:val="20"/>
        <w:szCs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15:restartNumberingAfterBreak="0">
    <w:nsid w:val="5BE660EA"/>
    <w:multiLevelType w:val="hybridMultilevel"/>
    <w:tmpl w:val="9B08F8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5071478"/>
    <w:multiLevelType w:val="hybridMultilevel"/>
    <w:tmpl w:val="5FBE87A6"/>
    <w:lvl w:ilvl="0" w:tplc="8FAE6F0E">
      <w:start w:val="1"/>
      <w:numFmt w:val="decimal"/>
      <w:pStyle w:val="ACMAFigureHeader"/>
      <w:lvlText w:val="Figure %1: "/>
      <w:lvlJc w:val="left"/>
      <w:pPr>
        <w:tabs>
          <w:tab w:val="num" w:pos="4424"/>
        </w:tabs>
        <w:ind w:left="4424"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6F219D2"/>
    <w:multiLevelType w:val="hybridMultilevel"/>
    <w:tmpl w:val="970E602E"/>
    <w:lvl w:ilvl="0" w:tplc="17461A80">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E20C09"/>
    <w:multiLevelType w:val="hybridMultilevel"/>
    <w:tmpl w:val="53348320"/>
    <w:lvl w:ilvl="0" w:tplc="CC1CFEBE">
      <w:start w:val="1"/>
      <w:numFmt w:val="decimal"/>
      <w:lvlText w:val="%1."/>
      <w:lvlJc w:val="left"/>
      <w:pPr>
        <w:ind w:left="360" w:hanging="360"/>
      </w:pPr>
      <w:rPr>
        <w:rFonts w:hint="default"/>
        <w:b w:val="0"/>
        <w:bCs w:val="0"/>
        <w:sz w:val="22"/>
        <w:szCs w:val="22"/>
      </w:rPr>
    </w:lvl>
    <w:lvl w:ilvl="1" w:tplc="0C090019" w:tentative="1">
      <w:start w:val="1"/>
      <w:numFmt w:val="lowerLetter"/>
      <w:lvlText w:val="%2."/>
      <w:lvlJc w:val="left"/>
      <w:pPr>
        <w:ind w:left="797" w:hanging="360"/>
      </w:pPr>
    </w:lvl>
    <w:lvl w:ilvl="2" w:tplc="0C09001B" w:tentative="1">
      <w:start w:val="1"/>
      <w:numFmt w:val="lowerRoman"/>
      <w:lvlText w:val="%3."/>
      <w:lvlJc w:val="right"/>
      <w:pPr>
        <w:ind w:left="1517" w:hanging="180"/>
      </w:pPr>
    </w:lvl>
    <w:lvl w:ilvl="3" w:tplc="0C09000F" w:tentative="1">
      <w:start w:val="1"/>
      <w:numFmt w:val="decimal"/>
      <w:lvlText w:val="%4."/>
      <w:lvlJc w:val="left"/>
      <w:pPr>
        <w:ind w:left="2237" w:hanging="360"/>
      </w:pPr>
    </w:lvl>
    <w:lvl w:ilvl="4" w:tplc="0C090019" w:tentative="1">
      <w:start w:val="1"/>
      <w:numFmt w:val="lowerLetter"/>
      <w:lvlText w:val="%5."/>
      <w:lvlJc w:val="left"/>
      <w:pPr>
        <w:ind w:left="2957" w:hanging="360"/>
      </w:pPr>
    </w:lvl>
    <w:lvl w:ilvl="5" w:tplc="0C09001B" w:tentative="1">
      <w:start w:val="1"/>
      <w:numFmt w:val="lowerRoman"/>
      <w:lvlText w:val="%6."/>
      <w:lvlJc w:val="right"/>
      <w:pPr>
        <w:ind w:left="3677" w:hanging="180"/>
      </w:pPr>
    </w:lvl>
    <w:lvl w:ilvl="6" w:tplc="0C09000F" w:tentative="1">
      <w:start w:val="1"/>
      <w:numFmt w:val="decimal"/>
      <w:lvlText w:val="%7."/>
      <w:lvlJc w:val="left"/>
      <w:pPr>
        <w:ind w:left="4397" w:hanging="360"/>
      </w:pPr>
    </w:lvl>
    <w:lvl w:ilvl="7" w:tplc="0C090019" w:tentative="1">
      <w:start w:val="1"/>
      <w:numFmt w:val="lowerLetter"/>
      <w:lvlText w:val="%8."/>
      <w:lvlJc w:val="left"/>
      <w:pPr>
        <w:ind w:left="5117" w:hanging="360"/>
      </w:pPr>
    </w:lvl>
    <w:lvl w:ilvl="8" w:tplc="0C09001B" w:tentative="1">
      <w:start w:val="1"/>
      <w:numFmt w:val="lowerRoman"/>
      <w:lvlText w:val="%9."/>
      <w:lvlJc w:val="right"/>
      <w:pPr>
        <w:ind w:left="5837" w:hanging="180"/>
      </w:pPr>
    </w:lvl>
  </w:abstractNum>
  <w:num w:numId="1">
    <w:abstractNumId w:val="3"/>
  </w:num>
  <w:num w:numId="2">
    <w:abstractNumId w:val="1"/>
  </w:num>
  <w:num w:numId="3">
    <w:abstractNumId w:val="2"/>
  </w:num>
  <w:num w:numId="4">
    <w:abstractNumId w:val="0"/>
  </w:num>
  <w:num w:numId="5">
    <w:abstractNumId w:val="19"/>
  </w:num>
  <w:num w:numId="6">
    <w:abstractNumId w:val="40"/>
  </w:num>
  <w:num w:numId="7">
    <w:abstractNumId w:val="34"/>
  </w:num>
  <w:num w:numId="8">
    <w:abstractNumId w:val="39"/>
  </w:num>
  <w:num w:numId="9">
    <w:abstractNumId w:val="42"/>
  </w:num>
  <w:num w:numId="10">
    <w:abstractNumId w:val="9"/>
  </w:num>
  <w:num w:numId="11">
    <w:abstractNumId w:val="6"/>
  </w:num>
  <w:num w:numId="12">
    <w:abstractNumId w:val="3"/>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20"/>
  </w:num>
  <w:num w:numId="17">
    <w:abstractNumId w:val="41"/>
  </w:num>
  <w:num w:numId="18">
    <w:abstractNumId w:val="3"/>
  </w:num>
  <w:num w:numId="19">
    <w:abstractNumId w:val="3"/>
  </w:num>
  <w:num w:numId="20">
    <w:abstractNumId w:val="27"/>
  </w:num>
  <w:num w:numId="21">
    <w:abstractNumId w:val="34"/>
    <w:lvlOverride w:ilvl="0">
      <w:startOverride w:val="1"/>
    </w:lvlOverride>
  </w:num>
  <w:num w:numId="22">
    <w:abstractNumId w:val="16"/>
  </w:num>
  <w:num w:numId="23">
    <w:abstractNumId w:val="14"/>
  </w:num>
  <w:num w:numId="24">
    <w:abstractNumId w:val="2"/>
    <w:lvlOverride w:ilvl="0">
      <w:startOverride w:val="1"/>
    </w:lvlOverride>
  </w:num>
  <w:num w:numId="25">
    <w:abstractNumId w:val="11"/>
  </w:num>
  <w:num w:numId="26">
    <w:abstractNumId w:val="7"/>
  </w:num>
  <w:num w:numId="27">
    <w:abstractNumId w:val="22"/>
  </w:num>
  <w:num w:numId="28">
    <w:abstractNumId w:val="25"/>
  </w:num>
  <w:num w:numId="29">
    <w:abstractNumId w:val="3"/>
  </w:num>
  <w:num w:numId="30">
    <w:abstractNumId w:val="3"/>
  </w:num>
  <w:num w:numId="31">
    <w:abstractNumId w:val="3"/>
  </w:num>
  <w:num w:numId="32">
    <w:abstractNumId w:val="2"/>
    <w:lvlOverride w:ilvl="0">
      <w:startOverride w:val="1"/>
    </w:lvlOverride>
  </w:num>
  <w:num w:numId="33">
    <w:abstractNumId w:val="35"/>
  </w:num>
  <w:num w:numId="34">
    <w:abstractNumId w:val="30"/>
  </w:num>
  <w:num w:numId="35">
    <w:abstractNumId w:val="29"/>
  </w:num>
  <w:num w:numId="36">
    <w:abstractNumId w:val="3"/>
  </w:num>
  <w:num w:numId="37">
    <w:abstractNumId w:val="28"/>
  </w:num>
  <w:num w:numId="38">
    <w:abstractNumId w:val="4"/>
  </w:num>
  <w:num w:numId="39">
    <w:abstractNumId w:val="26"/>
  </w:num>
  <w:num w:numId="40">
    <w:abstractNumId w:val="36"/>
  </w:num>
  <w:num w:numId="41">
    <w:abstractNumId w:val="24"/>
  </w:num>
  <w:num w:numId="42">
    <w:abstractNumId w:val="32"/>
  </w:num>
  <w:num w:numId="43">
    <w:abstractNumId w:val="3"/>
  </w:num>
  <w:num w:numId="44">
    <w:abstractNumId w:val="3"/>
  </w:num>
  <w:num w:numId="45">
    <w:abstractNumId w:val="3"/>
  </w:num>
  <w:num w:numId="46">
    <w:abstractNumId w:val="12"/>
  </w:num>
  <w:num w:numId="47">
    <w:abstractNumId w:val="15"/>
  </w:num>
  <w:num w:numId="48">
    <w:abstractNumId w:val="31"/>
  </w:num>
  <w:num w:numId="49">
    <w:abstractNumId w:val="3"/>
  </w:num>
  <w:num w:numId="50">
    <w:abstractNumId w:val="38"/>
  </w:num>
  <w:num w:numId="51">
    <w:abstractNumId w:val="33"/>
  </w:num>
  <w:num w:numId="52">
    <w:abstractNumId w:val="3"/>
  </w:num>
  <w:num w:numId="53">
    <w:abstractNumId w:val="18"/>
  </w:num>
  <w:num w:numId="54">
    <w:abstractNumId w:val="3"/>
  </w:num>
  <w:num w:numId="55">
    <w:abstractNumId w:val="10"/>
  </w:num>
  <w:num w:numId="56">
    <w:abstractNumId w:val="13"/>
  </w:num>
  <w:num w:numId="57">
    <w:abstractNumId w:val="43"/>
  </w:num>
  <w:num w:numId="58">
    <w:abstractNumId w:val="21"/>
  </w:num>
  <w:num w:numId="59">
    <w:abstractNumId w:val="5"/>
  </w:num>
  <w:num w:numId="60">
    <w:abstractNumId w:val="17"/>
  </w:num>
  <w:num w:numId="61">
    <w:abstractNumId w:val="8"/>
  </w:num>
  <w:num w:numId="62">
    <w:abstractNumId w:val="37"/>
  </w:num>
  <w:num w:numId="63">
    <w:abstractNumId w:val="23"/>
  </w:num>
  <w:num w:numId="64">
    <w:abstractNumId w:val="1"/>
  </w:num>
  <w:num w:numId="65">
    <w:abstractNumId w:val="1"/>
  </w:num>
  <w:num w:numId="66">
    <w:abstractNumId w:val="1"/>
  </w:num>
  <w:num w:numId="67">
    <w:abstractNumId w:val="3"/>
  </w:num>
  <w:num w:numId="68">
    <w:abstractNumId w:val="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trackRevisions/>
  <w:defaultTabStop w:val="284"/>
  <w:evenAndOddHeaders/>
  <w:drawingGridHorizontalSpacing w:val="100"/>
  <w:displayHorizontalDrawingGridEvery w:val="2"/>
  <w:characterSpacingControl w:val="doNotCompress"/>
  <w:hdrShapeDefaults>
    <o:shapedefaults v:ext="edit" spidmax="16385">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F4E"/>
    <w:rsid w:val="00000AAC"/>
    <w:rsid w:val="00002ED5"/>
    <w:rsid w:val="000031BD"/>
    <w:rsid w:val="00003B8B"/>
    <w:rsid w:val="00007FDA"/>
    <w:rsid w:val="00010667"/>
    <w:rsid w:val="000111A1"/>
    <w:rsid w:val="00011331"/>
    <w:rsid w:val="00011534"/>
    <w:rsid w:val="0001170F"/>
    <w:rsid w:val="000129D5"/>
    <w:rsid w:val="00012DEF"/>
    <w:rsid w:val="00012F3E"/>
    <w:rsid w:val="00012F49"/>
    <w:rsid w:val="00012F6C"/>
    <w:rsid w:val="0001334D"/>
    <w:rsid w:val="00015AE7"/>
    <w:rsid w:val="00016E21"/>
    <w:rsid w:val="0001719C"/>
    <w:rsid w:val="0001721F"/>
    <w:rsid w:val="00020997"/>
    <w:rsid w:val="0002224E"/>
    <w:rsid w:val="000245E5"/>
    <w:rsid w:val="0002499B"/>
    <w:rsid w:val="00026F91"/>
    <w:rsid w:val="00027CCC"/>
    <w:rsid w:val="00032621"/>
    <w:rsid w:val="00033C44"/>
    <w:rsid w:val="00037194"/>
    <w:rsid w:val="00037FEF"/>
    <w:rsid w:val="000401E9"/>
    <w:rsid w:val="00040FB2"/>
    <w:rsid w:val="0004148A"/>
    <w:rsid w:val="00041BDE"/>
    <w:rsid w:val="0004227F"/>
    <w:rsid w:val="00044695"/>
    <w:rsid w:val="00046901"/>
    <w:rsid w:val="0004764C"/>
    <w:rsid w:val="00047EC3"/>
    <w:rsid w:val="0005011A"/>
    <w:rsid w:val="0005045A"/>
    <w:rsid w:val="0005186F"/>
    <w:rsid w:val="00051C1E"/>
    <w:rsid w:val="00052024"/>
    <w:rsid w:val="000539F9"/>
    <w:rsid w:val="00054543"/>
    <w:rsid w:val="00054C27"/>
    <w:rsid w:val="00055EC3"/>
    <w:rsid w:val="000563CE"/>
    <w:rsid w:val="00056DF2"/>
    <w:rsid w:val="0006138A"/>
    <w:rsid w:val="000618E6"/>
    <w:rsid w:val="000644D1"/>
    <w:rsid w:val="000659B6"/>
    <w:rsid w:val="00065FDB"/>
    <w:rsid w:val="0006686F"/>
    <w:rsid w:val="0006722A"/>
    <w:rsid w:val="0006781D"/>
    <w:rsid w:val="00067928"/>
    <w:rsid w:val="0007287E"/>
    <w:rsid w:val="000732CF"/>
    <w:rsid w:val="00075B96"/>
    <w:rsid w:val="0008196A"/>
    <w:rsid w:val="00084C97"/>
    <w:rsid w:val="00085171"/>
    <w:rsid w:val="000867B1"/>
    <w:rsid w:val="00087FDD"/>
    <w:rsid w:val="000915ED"/>
    <w:rsid w:val="0009209D"/>
    <w:rsid w:val="0009243D"/>
    <w:rsid w:val="0009463C"/>
    <w:rsid w:val="000951C1"/>
    <w:rsid w:val="00095846"/>
    <w:rsid w:val="00095C45"/>
    <w:rsid w:val="000969BD"/>
    <w:rsid w:val="000969BF"/>
    <w:rsid w:val="000A05B9"/>
    <w:rsid w:val="000A0C22"/>
    <w:rsid w:val="000A1320"/>
    <w:rsid w:val="000A1400"/>
    <w:rsid w:val="000A1AB1"/>
    <w:rsid w:val="000A3C43"/>
    <w:rsid w:val="000A4A51"/>
    <w:rsid w:val="000A5D2B"/>
    <w:rsid w:val="000A620F"/>
    <w:rsid w:val="000B02EF"/>
    <w:rsid w:val="000B1851"/>
    <w:rsid w:val="000B4664"/>
    <w:rsid w:val="000B5A70"/>
    <w:rsid w:val="000B5D97"/>
    <w:rsid w:val="000B5DE3"/>
    <w:rsid w:val="000C0A57"/>
    <w:rsid w:val="000C1759"/>
    <w:rsid w:val="000C230C"/>
    <w:rsid w:val="000C2DE0"/>
    <w:rsid w:val="000C35EA"/>
    <w:rsid w:val="000C6AB4"/>
    <w:rsid w:val="000D23C3"/>
    <w:rsid w:val="000D3DDE"/>
    <w:rsid w:val="000D4A3F"/>
    <w:rsid w:val="000D6C8A"/>
    <w:rsid w:val="000D71D9"/>
    <w:rsid w:val="000D76E0"/>
    <w:rsid w:val="000D7E8B"/>
    <w:rsid w:val="000E049B"/>
    <w:rsid w:val="000E4449"/>
    <w:rsid w:val="000E6097"/>
    <w:rsid w:val="000E7B5C"/>
    <w:rsid w:val="000F25B0"/>
    <w:rsid w:val="000F4FA5"/>
    <w:rsid w:val="000F69A7"/>
    <w:rsid w:val="000F6CF4"/>
    <w:rsid w:val="000F74F2"/>
    <w:rsid w:val="000F7F98"/>
    <w:rsid w:val="00101BC1"/>
    <w:rsid w:val="00103829"/>
    <w:rsid w:val="0010397A"/>
    <w:rsid w:val="00103DDD"/>
    <w:rsid w:val="00105AEB"/>
    <w:rsid w:val="0011039D"/>
    <w:rsid w:val="00111FCE"/>
    <w:rsid w:val="00114590"/>
    <w:rsid w:val="00116F31"/>
    <w:rsid w:val="001219EA"/>
    <w:rsid w:val="00122735"/>
    <w:rsid w:val="001229A5"/>
    <w:rsid w:val="0012489B"/>
    <w:rsid w:val="00124E75"/>
    <w:rsid w:val="00125156"/>
    <w:rsid w:val="001253F8"/>
    <w:rsid w:val="00130017"/>
    <w:rsid w:val="00130F91"/>
    <w:rsid w:val="001349ED"/>
    <w:rsid w:val="00136642"/>
    <w:rsid w:val="00137424"/>
    <w:rsid w:val="00140318"/>
    <w:rsid w:val="00141AD9"/>
    <w:rsid w:val="001423C6"/>
    <w:rsid w:val="00143693"/>
    <w:rsid w:val="0014383F"/>
    <w:rsid w:val="001445C0"/>
    <w:rsid w:val="00146CE6"/>
    <w:rsid w:val="00147058"/>
    <w:rsid w:val="00150DB6"/>
    <w:rsid w:val="00152903"/>
    <w:rsid w:val="001530FD"/>
    <w:rsid w:val="001536C8"/>
    <w:rsid w:val="0015397B"/>
    <w:rsid w:val="00153FD5"/>
    <w:rsid w:val="001546B5"/>
    <w:rsid w:val="001554F0"/>
    <w:rsid w:val="0015614F"/>
    <w:rsid w:val="00156242"/>
    <w:rsid w:val="001577C2"/>
    <w:rsid w:val="00160CDE"/>
    <w:rsid w:val="00163326"/>
    <w:rsid w:val="001633C4"/>
    <w:rsid w:val="00165B6E"/>
    <w:rsid w:val="00167149"/>
    <w:rsid w:val="00167A7F"/>
    <w:rsid w:val="001704D5"/>
    <w:rsid w:val="00170689"/>
    <w:rsid w:val="00171591"/>
    <w:rsid w:val="00171756"/>
    <w:rsid w:val="0017359A"/>
    <w:rsid w:val="00173981"/>
    <w:rsid w:val="0017444B"/>
    <w:rsid w:val="00174D08"/>
    <w:rsid w:val="001765B9"/>
    <w:rsid w:val="00176995"/>
    <w:rsid w:val="001770B3"/>
    <w:rsid w:val="0017719D"/>
    <w:rsid w:val="00180560"/>
    <w:rsid w:val="0018089A"/>
    <w:rsid w:val="00181377"/>
    <w:rsid w:val="00183FD7"/>
    <w:rsid w:val="00184D57"/>
    <w:rsid w:val="00185CAB"/>
    <w:rsid w:val="001875B7"/>
    <w:rsid w:val="00187CB3"/>
    <w:rsid w:val="0019050A"/>
    <w:rsid w:val="001910D4"/>
    <w:rsid w:val="001915F8"/>
    <w:rsid w:val="00192DC9"/>
    <w:rsid w:val="00193EAF"/>
    <w:rsid w:val="0019513C"/>
    <w:rsid w:val="00195DA4"/>
    <w:rsid w:val="001976E3"/>
    <w:rsid w:val="00197B9B"/>
    <w:rsid w:val="001A19F0"/>
    <w:rsid w:val="001A1C18"/>
    <w:rsid w:val="001A277D"/>
    <w:rsid w:val="001A44EC"/>
    <w:rsid w:val="001A5DB2"/>
    <w:rsid w:val="001B58AA"/>
    <w:rsid w:val="001B68E5"/>
    <w:rsid w:val="001B74C8"/>
    <w:rsid w:val="001B7E48"/>
    <w:rsid w:val="001C00AE"/>
    <w:rsid w:val="001C0D6A"/>
    <w:rsid w:val="001C0DA7"/>
    <w:rsid w:val="001C17CE"/>
    <w:rsid w:val="001C23BE"/>
    <w:rsid w:val="001C36CA"/>
    <w:rsid w:val="001C44D1"/>
    <w:rsid w:val="001C5E16"/>
    <w:rsid w:val="001C6AEE"/>
    <w:rsid w:val="001C71DF"/>
    <w:rsid w:val="001C7630"/>
    <w:rsid w:val="001D35BD"/>
    <w:rsid w:val="001D5617"/>
    <w:rsid w:val="001D6D15"/>
    <w:rsid w:val="001D73ED"/>
    <w:rsid w:val="001E2DA4"/>
    <w:rsid w:val="001E3F67"/>
    <w:rsid w:val="001E4623"/>
    <w:rsid w:val="001E6F09"/>
    <w:rsid w:val="001F00FF"/>
    <w:rsid w:val="001F29EE"/>
    <w:rsid w:val="001F4DAC"/>
    <w:rsid w:val="001F50F7"/>
    <w:rsid w:val="001F5BC1"/>
    <w:rsid w:val="001F6DD2"/>
    <w:rsid w:val="001F7558"/>
    <w:rsid w:val="002013CD"/>
    <w:rsid w:val="00201441"/>
    <w:rsid w:val="00201D1A"/>
    <w:rsid w:val="00201EE2"/>
    <w:rsid w:val="00205B57"/>
    <w:rsid w:val="002060D0"/>
    <w:rsid w:val="00213C50"/>
    <w:rsid w:val="0021426C"/>
    <w:rsid w:val="00214543"/>
    <w:rsid w:val="00214D9D"/>
    <w:rsid w:val="002154C5"/>
    <w:rsid w:val="002157E0"/>
    <w:rsid w:val="002162A0"/>
    <w:rsid w:val="00216A57"/>
    <w:rsid w:val="00217448"/>
    <w:rsid w:val="002176AC"/>
    <w:rsid w:val="0022334F"/>
    <w:rsid w:val="00226819"/>
    <w:rsid w:val="002273BE"/>
    <w:rsid w:val="002311A2"/>
    <w:rsid w:val="00232832"/>
    <w:rsid w:val="00232AB4"/>
    <w:rsid w:val="00233101"/>
    <w:rsid w:val="00233817"/>
    <w:rsid w:val="002367FF"/>
    <w:rsid w:val="00237E20"/>
    <w:rsid w:val="00240CE9"/>
    <w:rsid w:val="00241372"/>
    <w:rsid w:val="002434BA"/>
    <w:rsid w:val="00243818"/>
    <w:rsid w:val="00245228"/>
    <w:rsid w:val="00246089"/>
    <w:rsid w:val="00246093"/>
    <w:rsid w:val="00246702"/>
    <w:rsid w:val="00246E88"/>
    <w:rsid w:val="00247C59"/>
    <w:rsid w:val="00247F2E"/>
    <w:rsid w:val="00250ADC"/>
    <w:rsid w:val="00250B07"/>
    <w:rsid w:val="0025166E"/>
    <w:rsid w:val="0025268E"/>
    <w:rsid w:val="00254C04"/>
    <w:rsid w:val="002572F1"/>
    <w:rsid w:val="0025731B"/>
    <w:rsid w:val="00257553"/>
    <w:rsid w:val="00260FB2"/>
    <w:rsid w:val="00262128"/>
    <w:rsid w:val="0026516F"/>
    <w:rsid w:val="00267FBF"/>
    <w:rsid w:val="00270402"/>
    <w:rsid w:val="0027097C"/>
    <w:rsid w:val="0027165D"/>
    <w:rsid w:val="00272174"/>
    <w:rsid w:val="00272E6F"/>
    <w:rsid w:val="0027391F"/>
    <w:rsid w:val="00273CEB"/>
    <w:rsid w:val="00276393"/>
    <w:rsid w:val="0028056D"/>
    <w:rsid w:val="00281C89"/>
    <w:rsid w:val="00282709"/>
    <w:rsid w:val="0028282F"/>
    <w:rsid w:val="002837C1"/>
    <w:rsid w:val="00284748"/>
    <w:rsid w:val="002876DA"/>
    <w:rsid w:val="002901C0"/>
    <w:rsid w:val="00290F3E"/>
    <w:rsid w:val="002911DF"/>
    <w:rsid w:val="002928A5"/>
    <w:rsid w:val="0029487C"/>
    <w:rsid w:val="0029593B"/>
    <w:rsid w:val="0029631E"/>
    <w:rsid w:val="00297FC5"/>
    <w:rsid w:val="002A0417"/>
    <w:rsid w:val="002A16D8"/>
    <w:rsid w:val="002A1BC8"/>
    <w:rsid w:val="002A2EED"/>
    <w:rsid w:val="002A3859"/>
    <w:rsid w:val="002A3EF2"/>
    <w:rsid w:val="002A4E07"/>
    <w:rsid w:val="002A7BD4"/>
    <w:rsid w:val="002B0093"/>
    <w:rsid w:val="002B0DED"/>
    <w:rsid w:val="002B19A2"/>
    <w:rsid w:val="002B288A"/>
    <w:rsid w:val="002B381A"/>
    <w:rsid w:val="002B46A5"/>
    <w:rsid w:val="002B4FCC"/>
    <w:rsid w:val="002B5138"/>
    <w:rsid w:val="002B61CA"/>
    <w:rsid w:val="002B7408"/>
    <w:rsid w:val="002B7CFD"/>
    <w:rsid w:val="002C0530"/>
    <w:rsid w:val="002C0AFD"/>
    <w:rsid w:val="002C210F"/>
    <w:rsid w:val="002C23E9"/>
    <w:rsid w:val="002C33CF"/>
    <w:rsid w:val="002C3E79"/>
    <w:rsid w:val="002C4C8B"/>
    <w:rsid w:val="002C6BC6"/>
    <w:rsid w:val="002D0B03"/>
    <w:rsid w:val="002D1860"/>
    <w:rsid w:val="002D2FB9"/>
    <w:rsid w:val="002D3600"/>
    <w:rsid w:val="002D42A2"/>
    <w:rsid w:val="002D58F8"/>
    <w:rsid w:val="002D670C"/>
    <w:rsid w:val="002D6E3B"/>
    <w:rsid w:val="002D7862"/>
    <w:rsid w:val="002E059D"/>
    <w:rsid w:val="002E2ED6"/>
    <w:rsid w:val="002E4C69"/>
    <w:rsid w:val="002E4DDC"/>
    <w:rsid w:val="002E6201"/>
    <w:rsid w:val="002E6376"/>
    <w:rsid w:val="002F069D"/>
    <w:rsid w:val="002F23B4"/>
    <w:rsid w:val="002F2F7C"/>
    <w:rsid w:val="002F5CB1"/>
    <w:rsid w:val="002F5DDD"/>
    <w:rsid w:val="002F7230"/>
    <w:rsid w:val="002F7B22"/>
    <w:rsid w:val="00302480"/>
    <w:rsid w:val="00302758"/>
    <w:rsid w:val="0030659E"/>
    <w:rsid w:val="00306DA6"/>
    <w:rsid w:val="00307FE0"/>
    <w:rsid w:val="00310133"/>
    <w:rsid w:val="003126F1"/>
    <w:rsid w:val="00313720"/>
    <w:rsid w:val="003165E6"/>
    <w:rsid w:val="00316DBF"/>
    <w:rsid w:val="003170A5"/>
    <w:rsid w:val="00320AFC"/>
    <w:rsid w:val="00321065"/>
    <w:rsid w:val="003215B5"/>
    <w:rsid w:val="003221CF"/>
    <w:rsid w:val="003233ED"/>
    <w:rsid w:val="00324D9F"/>
    <w:rsid w:val="00326725"/>
    <w:rsid w:val="00327948"/>
    <w:rsid w:val="00327FB2"/>
    <w:rsid w:val="0033000F"/>
    <w:rsid w:val="00331A3E"/>
    <w:rsid w:val="00332011"/>
    <w:rsid w:val="00332518"/>
    <w:rsid w:val="00332925"/>
    <w:rsid w:val="00332E3F"/>
    <w:rsid w:val="003332ED"/>
    <w:rsid w:val="0033535B"/>
    <w:rsid w:val="003368DC"/>
    <w:rsid w:val="00341EA6"/>
    <w:rsid w:val="00344602"/>
    <w:rsid w:val="00344DF8"/>
    <w:rsid w:val="00345886"/>
    <w:rsid w:val="00345927"/>
    <w:rsid w:val="00350584"/>
    <w:rsid w:val="0035121A"/>
    <w:rsid w:val="00351857"/>
    <w:rsid w:val="003545E8"/>
    <w:rsid w:val="00356546"/>
    <w:rsid w:val="00357781"/>
    <w:rsid w:val="003605DE"/>
    <w:rsid w:val="003610E1"/>
    <w:rsid w:val="00361243"/>
    <w:rsid w:val="00363271"/>
    <w:rsid w:val="003646F4"/>
    <w:rsid w:val="00364B17"/>
    <w:rsid w:val="00364C28"/>
    <w:rsid w:val="00365121"/>
    <w:rsid w:val="003671BE"/>
    <w:rsid w:val="003701CF"/>
    <w:rsid w:val="003719CB"/>
    <w:rsid w:val="00372485"/>
    <w:rsid w:val="0037255D"/>
    <w:rsid w:val="00373200"/>
    <w:rsid w:val="00375E03"/>
    <w:rsid w:val="00375EF5"/>
    <w:rsid w:val="0037602A"/>
    <w:rsid w:val="003767A5"/>
    <w:rsid w:val="00376919"/>
    <w:rsid w:val="003810A2"/>
    <w:rsid w:val="00381642"/>
    <w:rsid w:val="00381D15"/>
    <w:rsid w:val="00381FFA"/>
    <w:rsid w:val="00385254"/>
    <w:rsid w:val="003857B8"/>
    <w:rsid w:val="003865D8"/>
    <w:rsid w:val="003870D7"/>
    <w:rsid w:val="003877D1"/>
    <w:rsid w:val="00390984"/>
    <w:rsid w:val="00390C35"/>
    <w:rsid w:val="003925EE"/>
    <w:rsid w:val="003933E8"/>
    <w:rsid w:val="00394031"/>
    <w:rsid w:val="00394C89"/>
    <w:rsid w:val="0039657E"/>
    <w:rsid w:val="00396DC2"/>
    <w:rsid w:val="003A04DB"/>
    <w:rsid w:val="003A065A"/>
    <w:rsid w:val="003A2FF0"/>
    <w:rsid w:val="003A39C5"/>
    <w:rsid w:val="003A500A"/>
    <w:rsid w:val="003A5F5B"/>
    <w:rsid w:val="003A6ECF"/>
    <w:rsid w:val="003A789A"/>
    <w:rsid w:val="003B12EC"/>
    <w:rsid w:val="003B1F5E"/>
    <w:rsid w:val="003B30AE"/>
    <w:rsid w:val="003B3A44"/>
    <w:rsid w:val="003B7774"/>
    <w:rsid w:val="003C03B8"/>
    <w:rsid w:val="003C5576"/>
    <w:rsid w:val="003C60E9"/>
    <w:rsid w:val="003C6BBF"/>
    <w:rsid w:val="003C77E0"/>
    <w:rsid w:val="003C7DCF"/>
    <w:rsid w:val="003D1368"/>
    <w:rsid w:val="003D17D7"/>
    <w:rsid w:val="003D1B40"/>
    <w:rsid w:val="003D2678"/>
    <w:rsid w:val="003D3347"/>
    <w:rsid w:val="003D3DEF"/>
    <w:rsid w:val="003D5540"/>
    <w:rsid w:val="003D6400"/>
    <w:rsid w:val="003D71A3"/>
    <w:rsid w:val="003D7D34"/>
    <w:rsid w:val="003E2B8A"/>
    <w:rsid w:val="003E589F"/>
    <w:rsid w:val="003E6D77"/>
    <w:rsid w:val="003F10EE"/>
    <w:rsid w:val="003F16F6"/>
    <w:rsid w:val="003F3BAB"/>
    <w:rsid w:val="003F4DC7"/>
    <w:rsid w:val="003F5235"/>
    <w:rsid w:val="00401614"/>
    <w:rsid w:val="004027E4"/>
    <w:rsid w:val="00403315"/>
    <w:rsid w:val="0040735B"/>
    <w:rsid w:val="00410585"/>
    <w:rsid w:val="0041071D"/>
    <w:rsid w:val="00413914"/>
    <w:rsid w:val="00414860"/>
    <w:rsid w:val="00414AFC"/>
    <w:rsid w:val="004151A7"/>
    <w:rsid w:val="00415310"/>
    <w:rsid w:val="00421709"/>
    <w:rsid w:val="0042205C"/>
    <w:rsid w:val="0042330A"/>
    <w:rsid w:val="0042344F"/>
    <w:rsid w:val="00423763"/>
    <w:rsid w:val="00424B15"/>
    <w:rsid w:val="00427257"/>
    <w:rsid w:val="0042762F"/>
    <w:rsid w:val="00427DC7"/>
    <w:rsid w:val="00430BFA"/>
    <w:rsid w:val="00431613"/>
    <w:rsid w:val="00431792"/>
    <w:rsid w:val="0043297A"/>
    <w:rsid w:val="00432EB2"/>
    <w:rsid w:val="004331C5"/>
    <w:rsid w:val="00435A01"/>
    <w:rsid w:val="0043714F"/>
    <w:rsid w:val="00440079"/>
    <w:rsid w:val="00440ACF"/>
    <w:rsid w:val="00441FAB"/>
    <w:rsid w:val="004438B5"/>
    <w:rsid w:val="004455BF"/>
    <w:rsid w:val="00447037"/>
    <w:rsid w:val="004508F7"/>
    <w:rsid w:val="00450C3A"/>
    <w:rsid w:val="0045124D"/>
    <w:rsid w:val="00454596"/>
    <w:rsid w:val="00454C87"/>
    <w:rsid w:val="00454E63"/>
    <w:rsid w:val="0045605D"/>
    <w:rsid w:val="004572AF"/>
    <w:rsid w:val="00460666"/>
    <w:rsid w:val="0046135B"/>
    <w:rsid w:val="00461751"/>
    <w:rsid w:val="00461D47"/>
    <w:rsid w:val="00462EDD"/>
    <w:rsid w:val="00463F30"/>
    <w:rsid w:val="0046638F"/>
    <w:rsid w:val="00470629"/>
    <w:rsid w:val="00471479"/>
    <w:rsid w:val="004718CC"/>
    <w:rsid w:val="00472226"/>
    <w:rsid w:val="004757EF"/>
    <w:rsid w:val="00475A25"/>
    <w:rsid w:val="00475B4F"/>
    <w:rsid w:val="00476DD3"/>
    <w:rsid w:val="00481695"/>
    <w:rsid w:val="00485DFF"/>
    <w:rsid w:val="00486EE0"/>
    <w:rsid w:val="0048711D"/>
    <w:rsid w:val="00490D04"/>
    <w:rsid w:val="00494B73"/>
    <w:rsid w:val="00495A96"/>
    <w:rsid w:val="00495BB3"/>
    <w:rsid w:val="00497D02"/>
    <w:rsid w:val="004A06D2"/>
    <w:rsid w:val="004A27E3"/>
    <w:rsid w:val="004A2A54"/>
    <w:rsid w:val="004A2D6E"/>
    <w:rsid w:val="004A56BB"/>
    <w:rsid w:val="004A70D6"/>
    <w:rsid w:val="004A73AC"/>
    <w:rsid w:val="004A794D"/>
    <w:rsid w:val="004B0FB2"/>
    <w:rsid w:val="004B148B"/>
    <w:rsid w:val="004B1751"/>
    <w:rsid w:val="004B1899"/>
    <w:rsid w:val="004B377D"/>
    <w:rsid w:val="004B52BC"/>
    <w:rsid w:val="004B7C4A"/>
    <w:rsid w:val="004C0253"/>
    <w:rsid w:val="004C1607"/>
    <w:rsid w:val="004C20F9"/>
    <w:rsid w:val="004C22D8"/>
    <w:rsid w:val="004C3DAA"/>
    <w:rsid w:val="004C3EA1"/>
    <w:rsid w:val="004C5A59"/>
    <w:rsid w:val="004C5F2F"/>
    <w:rsid w:val="004C6B05"/>
    <w:rsid w:val="004C6CF4"/>
    <w:rsid w:val="004D0505"/>
    <w:rsid w:val="004D0A65"/>
    <w:rsid w:val="004D1C95"/>
    <w:rsid w:val="004D56FF"/>
    <w:rsid w:val="004D713C"/>
    <w:rsid w:val="004E17A8"/>
    <w:rsid w:val="004E2FA8"/>
    <w:rsid w:val="004E39D3"/>
    <w:rsid w:val="004E3A6B"/>
    <w:rsid w:val="004E469E"/>
    <w:rsid w:val="004E4817"/>
    <w:rsid w:val="004E508A"/>
    <w:rsid w:val="004E60D4"/>
    <w:rsid w:val="004E616D"/>
    <w:rsid w:val="004E6D7D"/>
    <w:rsid w:val="004E7783"/>
    <w:rsid w:val="004F1BDE"/>
    <w:rsid w:val="004F2CEE"/>
    <w:rsid w:val="004F3EA7"/>
    <w:rsid w:val="004F556E"/>
    <w:rsid w:val="004F591C"/>
    <w:rsid w:val="004F5F28"/>
    <w:rsid w:val="004F7F44"/>
    <w:rsid w:val="0050065A"/>
    <w:rsid w:val="005037B4"/>
    <w:rsid w:val="00503E3F"/>
    <w:rsid w:val="0050535B"/>
    <w:rsid w:val="005079BF"/>
    <w:rsid w:val="0051067B"/>
    <w:rsid w:val="005108E9"/>
    <w:rsid w:val="0051269A"/>
    <w:rsid w:val="00515FBD"/>
    <w:rsid w:val="00517BC6"/>
    <w:rsid w:val="00520C6B"/>
    <w:rsid w:val="00520DAF"/>
    <w:rsid w:val="005215EC"/>
    <w:rsid w:val="005219E7"/>
    <w:rsid w:val="00524476"/>
    <w:rsid w:val="005262E4"/>
    <w:rsid w:val="00526624"/>
    <w:rsid w:val="00531B9A"/>
    <w:rsid w:val="00531D15"/>
    <w:rsid w:val="00532A23"/>
    <w:rsid w:val="00535C6B"/>
    <w:rsid w:val="00535F2F"/>
    <w:rsid w:val="00536DCE"/>
    <w:rsid w:val="00537604"/>
    <w:rsid w:val="00537C19"/>
    <w:rsid w:val="00542377"/>
    <w:rsid w:val="00542703"/>
    <w:rsid w:val="00543CC9"/>
    <w:rsid w:val="005446D6"/>
    <w:rsid w:val="005476EB"/>
    <w:rsid w:val="00550995"/>
    <w:rsid w:val="00550C96"/>
    <w:rsid w:val="00551782"/>
    <w:rsid w:val="00552A0A"/>
    <w:rsid w:val="00560D8D"/>
    <w:rsid w:val="00562577"/>
    <w:rsid w:val="005626F9"/>
    <w:rsid w:val="00563EF1"/>
    <w:rsid w:val="00566AB4"/>
    <w:rsid w:val="00573812"/>
    <w:rsid w:val="00575AC5"/>
    <w:rsid w:val="0057605D"/>
    <w:rsid w:val="005760C6"/>
    <w:rsid w:val="0057640D"/>
    <w:rsid w:val="00576CF8"/>
    <w:rsid w:val="00576DC5"/>
    <w:rsid w:val="00577070"/>
    <w:rsid w:val="00581347"/>
    <w:rsid w:val="005818A8"/>
    <w:rsid w:val="00581AC9"/>
    <w:rsid w:val="00582847"/>
    <w:rsid w:val="005849F8"/>
    <w:rsid w:val="005938DF"/>
    <w:rsid w:val="00593A03"/>
    <w:rsid w:val="00594E9C"/>
    <w:rsid w:val="00595E9E"/>
    <w:rsid w:val="005977EA"/>
    <w:rsid w:val="005A099B"/>
    <w:rsid w:val="005A2D9C"/>
    <w:rsid w:val="005A33B1"/>
    <w:rsid w:val="005A4108"/>
    <w:rsid w:val="005A4F95"/>
    <w:rsid w:val="005A55FE"/>
    <w:rsid w:val="005A69F6"/>
    <w:rsid w:val="005A6A11"/>
    <w:rsid w:val="005A6CE2"/>
    <w:rsid w:val="005A7EF3"/>
    <w:rsid w:val="005B1FBB"/>
    <w:rsid w:val="005B2B9B"/>
    <w:rsid w:val="005B2F0D"/>
    <w:rsid w:val="005B30A4"/>
    <w:rsid w:val="005B3757"/>
    <w:rsid w:val="005B7497"/>
    <w:rsid w:val="005B7C8C"/>
    <w:rsid w:val="005C0C46"/>
    <w:rsid w:val="005C12EA"/>
    <w:rsid w:val="005C34EF"/>
    <w:rsid w:val="005C3DC5"/>
    <w:rsid w:val="005C3F9D"/>
    <w:rsid w:val="005C42DB"/>
    <w:rsid w:val="005C4D90"/>
    <w:rsid w:val="005D0775"/>
    <w:rsid w:val="005D1847"/>
    <w:rsid w:val="005D2502"/>
    <w:rsid w:val="005D40BB"/>
    <w:rsid w:val="005D47F3"/>
    <w:rsid w:val="005D49BF"/>
    <w:rsid w:val="005D4AA5"/>
    <w:rsid w:val="005D4FC6"/>
    <w:rsid w:val="005D6A04"/>
    <w:rsid w:val="005D6F4E"/>
    <w:rsid w:val="005D7C73"/>
    <w:rsid w:val="005E0A88"/>
    <w:rsid w:val="005E2169"/>
    <w:rsid w:val="005E250B"/>
    <w:rsid w:val="005E34DE"/>
    <w:rsid w:val="005E3ACD"/>
    <w:rsid w:val="005E62F2"/>
    <w:rsid w:val="005E7226"/>
    <w:rsid w:val="005E7A57"/>
    <w:rsid w:val="005F014A"/>
    <w:rsid w:val="005F02FE"/>
    <w:rsid w:val="005F03B2"/>
    <w:rsid w:val="005F1A98"/>
    <w:rsid w:val="005F24B0"/>
    <w:rsid w:val="005F40E9"/>
    <w:rsid w:val="005F4911"/>
    <w:rsid w:val="005F77B4"/>
    <w:rsid w:val="00601D5E"/>
    <w:rsid w:val="006035C0"/>
    <w:rsid w:val="00604315"/>
    <w:rsid w:val="00604E26"/>
    <w:rsid w:val="0060523F"/>
    <w:rsid w:val="006052C5"/>
    <w:rsid w:val="006052CF"/>
    <w:rsid w:val="0060597F"/>
    <w:rsid w:val="006069E8"/>
    <w:rsid w:val="00607B8D"/>
    <w:rsid w:val="00611C3A"/>
    <w:rsid w:val="00611F5C"/>
    <w:rsid w:val="006132D1"/>
    <w:rsid w:val="00614ABB"/>
    <w:rsid w:val="006168F7"/>
    <w:rsid w:val="00616E09"/>
    <w:rsid w:val="00621323"/>
    <w:rsid w:val="00621C32"/>
    <w:rsid w:val="00622A3B"/>
    <w:rsid w:val="00622EEA"/>
    <w:rsid w:val="0062396C"/>
    <w:rsid w:val="00623FF9"/>
    <w:rsid w:val="006249D7"/>
    <w:rsid w:val="00626DB0"/>
    <w:rsid w:val="00627D4E"/>
    <w:rsid w:val="0063030D"/>
    <w:rsid w:val="0063260D"/>
    <w:rsid w:val="00632B89"/>
    <w:rsid w:val="00632BA7"/>
    <w:rsid w:val="0063346D"/>
    <w:rsid w:val="00634478"/>
    <w:rsid w:val="0063561B"/>
    <w:rsid w:val="006372F6"/>
    <w:rsid w:val="00640075"/>
    <w:rsid w:val="00640514"/>
    <w:rsid w:val="00644373"/>
    <w:rsid w:val="006453DB"/>
    <w:rsid w:val="00645915"/>
    <w:rsid w:val="00646CC4"/>
    <w:rsid w:val="006519C3"/>
    <w:rsid w:val="00652133"/>
    <w:rsid w:val="00652B30"/>
    <w:rsid w:val="00652E0D"/>
    <w:rsid w:val="00652F0D"/>
    <w:rsid w:val="00655B31"/>
    <w:rsid w:val="00655E35"/>
    <w:rsid w:val="00656345"/>
    <w:rsid w:val="00656C45"/>
    <w:rsid w:val="00656DC6"/>
    <w:rsid w:val="006600F2"/>
    <w:rsid w:val="00660EC6"/>
    <w:rsid w:val="00664110"/>
    <w:rsid w:val="00664926"/>
    <w:rsid w:val="00664D17"/>
    <w:rsid w:val="00666520"/>
    <w:rsid w:val="00666BB1"/>
    <w:rsid w:val="006670C0"/>
    <w:rsid w:val="00667C5B"/>
    <w:rsid w:val="00671FA9"/>
    <w:rsid w:val="006730D6"/>
    <w:rsid w:val="006742E2"/>
    <w:rsid w:val="006746D6"/>
    <w:rsid w:val="00674B1F"/>
    <w:rsid w:val="006757FE"/>
    <w:rsid w:val="0067693F"/>
    <w:rsid w:val="00676A2F"/>
    <w:rsid w:val="00680792"/>
    <w:rsid w:val="0068090C"/>
    <w:rsid w:val="00681447"/>
    <w:rsid w:val="006839EE"/>
    <w:rsid w:val="006854D1"/>
    <w:rsid w:val="00691419"/>
    <w:rsid w:val="00691EB8"/>
    <w:rsid w:val="00692486"/>
    <w:rsid w:val="00692624"/>
    <w:rsid w:val="00692CDE"/>
    <w:rsid w:val="00693073"/>
    <w:rsid w:val="00694F0D"/>
    <w:rsid w:val="006971BA"/>
    <w:rsid w:val="00697483"/>
    <w:rsid w:val="006977FF"/>
    <w:rsid w:val="006A01FA"/>
    <w:rsid w:val="006A02FE"/>
    <w:rsid w:val="006A0E9E"/>
    <w:rsid w:val="006A1051"/>
    <w:rsid w:val="006A16FD"/>
    <w:rsid w:val="006A25C7"/>
    <w:rsid w:val="006A2B56"/>
    <w:rsid w:val="006A2B61"/>
    <w:rsid w:val="006A4AAD"/>
    <w:rsid w:val="006A4CCA"/>
    <w:rsid w:val="006A5CBB"/>
    <w:rsid w:val="006A6DA2"/>
    <w:rsid w:val="006A7AB2"/>
    <w:rsid w:val="006B0685"/>
    <w:rsid w:val="006B2DD3"/>
    <w:rsid w:val="006B3A87"/>
    <w:rsid w:val="006B4DD9"/>
    <w:rsid w:val="006B52DE"/>
    <w:rsid w:val="006B5717"/>
    <w:rsid w:val="006B582F"/>
    <w:rsid w:val="006B5B61"/>
    <w:rsid w:val="006B5EB2"/>
    <w:rsid w:val="006B7C88"/>
    <w:rsid w:val="006C0CEB"/>
    <w:rsid w:val="006C1631"/>
    <w:rsid w:val="006C291B"/>
    <w:rsid w:val="006C2C44"/>
    <w:rsid w:val="006C3B1E"/>
    <w:rsid w:val="006C47FD"/>
    <w:rsid w:val="006C5C19"/>
    <w:rsid w:val="006C70A0"/>
    <w:rsid w:val="006C71CC"/>
    <w:rsid w:val="006C7C0F"/>
    <w:rsid w:val="006D01C4"/>
    <w:rsid w:val="006D27CB"/>
    <w:rsid w:val="006D2818"/>
    <w:rsid w:val="006D2A29"/>
    <w:rsid w:val="006D2F08"/>
    <w:rsid w:val="006D576C"/>
    <w:rsid w:val="006D5865"/>
    <w:rsid w:val="006D67B0"/>
    <w:rsid w:val="006E1610"/>
    <w:rsid w:val="006E4191"/>
    <w:rsid w:val="006E4B1B"/>
    <w:rsid w:val="006E5445"/>
    <w:rsid w:val="006E6524"/>
    <w:rsid w:val="006E7D93"/>
    <w:rsid w:val="006F0E0A"/>
    <w:rsid w:val="006F2B2F"/>
    <w:rsid w:val="006F7ED6"/>
    <w:rsid w:val="00700446"/>
    <w:rsid w:val="00700AA3"/>
    <w:rsid w:val="0070133D"/>
    <w:rsid w:val="007029A3"/>
    <w:rsid w:val="0070336C"/>
    <w:rsid w:val="0070343A"/>
    <w:rsid w:val="007049A1"/>
    <w:rsid w:val="007068DE"/>
    <w:rsid w:val="00706E4E"/>
    <w:rsid w:val="0070791C"/>
    <w:rsid w:val="00710F5B"/>
    <w:rsid w:val="007127B3"/>
    <w:rsid w:val="0071383C"/>
    <w:rsid w:val="007141A7"/>
    <w:rsid w:val="00715722"/>
    <w:rsid w:val="00715BAF"/>
    <w:rsid w:val="00716AA2"/>
    <w:rsid w:val="007173DE"/>
    <w:rsid w:val="00720F42"/>
    <w:rsid w:val="00721032"/>
    <w:rsid w:val="00721B19"/>
    <w:rsid w:val="00721B55"/>
    <w:rsid w:val="00721F5C"/>
    <w:rsid w:val="00722A7C"/>
    <w:rsid w:val="0072403B"/>
    <w:rsid w:val="00726CE4"/>
    <w:rsid w:val="007277D3"/>
    <w:rsid w:val="0073059C"/>
    <w:rsid w:val="00730C4E"/>
    <w:rsid w:val="00731CC0"/>
    <w:rsid w:val="0073353D"/>
    <w:rsid w:val="00733FE9"/>
    <w:rsid w:val="00734143"/>
    <w:rsid w:val="00735301"/>
    <w:rsid w:val="00737E47"/>
    <w:rsid w:val="007409E7"/>
    <w:rsid w:val="00740B67"/>
    <w:rsid w:val="00740EAC"/>
    <w:rsid w:val="00741A26"/>
    <w:rsid w:val="00741B5A"/>
    <w:rsid w:val="00741F2C"/>
    <w:rsid w:val="007427D1"/>
    <w:rsid w:val="007429C8"/>
    <w:rsid w:val="00744956"/>
    <w:rsid w:val="0074584B"/>
    <w:rsid w:val="00745A5C"/>
    <w:rsid w:val="0074605F"/>
    <w:rsid w:val="00746357"/>
    <w:rsid w:val="00746535"/>
    <w:rsid w:val="00747E94"/>
    <w:rsid w:val="007506CD"/>
    <w:rsid w:val="007528F5"/>
    <w:rsid w:val="007529D0"/>
    <w:rsid w:val="00752AB6"/>
    <w:rsid w:val="00752B8D"/>
    <w:rsid w:val="007537E7"/>
    <w:rsid w:val="00754C83"/>
    <w:rsid w:val="00760BDE"/>
    <w:rsid w:val="00761E5C"/>
    <w:rsid w:val="007622AC"/>
    <w:rsid w:val="00762387"/>
    <w:rsid w:val="00763034"/>
    <w:rsid w:val="00765DF8"/>
    <w:rsid w:val="00766497"/>
    <w:rsid w:val="00766749"/>
    <w:rsid w:val="00767C1B"/>
    <w:rsid w:val="00770B3F"/>
    <w:rsid w:val="00770B8F"/>
    <w:rsid w:val="007714A9"/>
    <w:rsid w:val="007732B7"/>
    <w:rsid w:val="00774F88"/>
    <w:rsid w:val="00774FDB"/>
    <w:rsid w:val="007772D5"/>
    <w:rsid w:val="00777BA2"/>
    <w:rsid w:val="00781408"/>
    <w:rsid w:val="007814A3"/>
    <w:rsid w:val="00781CF7"/>
    <w:rsid w:val="00783224"/>
    <w:rsid w:val="007842C9"/>
    <w:rsid w:val="00784F7F"/>
    <w:rsid w:val="00784F9C"/>
    <w:rsid w:val="007878BD"/>
    <w:rsid w:val="00787B71"/>
    <w:rsid w:val="0079150E"/>
    <w:rsid w:val="00791A62"/>
    <w:rsid w:val="00792A55"/>
    <w:rsid w:val="00793395"/>
    <w:rsid w:val="00793537"/>
    <w:rsid w:val="00796F25"/>
    <w:rsid w:val="00797754"/>
    <w:rsid w:val="00797EA1"/>
    <w:rsid w:val="007A0B07"/>
    <w:rsid w:val="007A2E98"/>
    <w:rsid w:val="007A3BA3"/>
    <w:rsid w:val="007A6C34"/>
    <w:rsid w:val="007A6CC0"/>
    <w:rsid w:val="007A76CA"/>
    <w:rsid w:val="007A7AF8"/>
    <w:rsid w:val="007A7D4E"/>
    <w:rsid w:val="007A7F6B"/>
    <w:rsid w:val="007A7FEC"/>
    <w:rsid w:val="007B1499"/>
    <w:rsid w:val="007B1BBF"/>
    <w:rsid w:val="007B2960"/>
    <w:rsid w:val="007B3522"/>
    <w:rsid w:val="007B355D"/>
    <w:rsid w:val="007B3A80"/>
    <w:rsid w:val="007B7037"/>
    <w:rsid w:val="007B7980"/>
    <w:rsid w:val="007C09B9"/>
    <w:rsid w:val="007C0DEF"/>
    <w:rsid w:val="007C1DF6"/>
    <w:rsid w:val="007C2C27"/>
    <w:rsid w:val="007C35CF"/>
    <w:rsid w:val="007C3D03"/>
    <w:rsid w:val="007C51E0"/>
    <w:rsid w:val="007C5D5A"/>
    <w:rsid w:val="007C607F"/>
    <w:rsid w:val="007C6335"/>
    <w:rsid w:val="007C79DD"/>
    <w:rsid w:val="007D1A97"/>
    <w:rsid w:val="007D21FF"/>
    <w:rsid w:val="007D2CD6"/>
    <w:rsid w:val="007D2D93"/>
    <w:rsid w:val="007D3063"/>
    <w:rsid w:val="007D3CEB"/>
    <w:rsid w:val="007D4E66"/>
    <w:rsid w:val="007D7CF5"/>
    <w:rsid w:val="007E09D2"/>
    <w:rsid w:val="007E1C80"/>
    <w:rsid w:val="007E21B9"/>
    <w:rsid w:val="007E5005"/>
    <w:rsid w:val="007E5783"/>
    <w:rsid w:val="007E59F8"/>
    <w:rsid w:val="007E5EEE"/>
    <w:rsid w:val="007E7683"/>
    <w:rsid w:val="007F0202"/>
    <w:rsid w:val="007F1285"/>
    <w:rsid w:val="007F4227"/>
    <w:rsid w:val="007F4753"/>
    <w:rsid w:val="007F49FA"/>
    <w:rsid w:val="007F54C4"/>
    <w:rsid w:val="007F5CF0"/>
    <w:rsid w:val="007F6E9A"/>
    <w:rsid w:val="007F7047"/>
    <w:rsid w:val="00800CCD"/>
    <w:rsid w:val="00800DA2"/>
    <w:rsid w:val="0080149A"/>
    <w:rsid w:val="00804206"/>
    <w:rsid w:val="008044D4"/>
    <w:rsid w:val="00810AB4"/>
    <w:rsid w:val="008118B8"/>
    <w:rsid w:val="00811FD5"/>
    <w:rsid w:val="008147B7"/>
    <w:rsid w:val="008162C1"/>
    <w:rsid w:val="00817B56"/>
    <w:rsid w:val="0082066A"/>
    <w:rsid w:val="008208B1"/>
    <w:rsid w:val="00821357"/>
    <w:rsid w:val="00821A88"/>
    <w:rsid w:val="00822BA2"/>
    <w:rsid w:val="0082322E"/>
    <w:rsid w:val="0082495D"/>
    <w:rsid w:val="00824E63"/>
    <w:rsid w:val="0082569D"/>
    <w:rsid w:val="008275E0"/>
    <w:rsid w:val="00827660"/>
    <w:rsid w:val="008276DF"/>
    <w:rsid w:val="008309E5"/>
    <w:rsid w:val="00831AC3"/>
    <w:rsid w:val="00833375"/>
    <w:rsid w:val="00836FCE"/>
    <w:rsid w:val="00837D3D"/>
    <w:rsid w:val="00837F10"/>
    <w:rsid w:val="008408FF"/>
    <w:rsid w:val="00842B73"/>
    <w:rsid w:val="00843A9E"/>
    <w:rsid w:val="0084531B"/>
    <w:rsid w:val="00846B18"/>
    <w:rsid w:val="00850EF0"/>
    <w:rsid w:val="00851F3F"/>
    <w:rsid w:val="0085246E"/>
    <w:rsid w:val="00853499"/>
    <w:rsid w:val="0085373A"/>
    <w:rsid w:val="0085550E"/>
    <w:rsid w:val="00855809"/>
    <w:rsid w:val="00856CD8"/>
    <w:rsid w:val="00856EDC"/>
    <w:rsid w:val="0086002D"/>
    <w:rsid w:val="00861260"/>
    <w:rsid w:val="00862337"/>
    <w:rsid w:val="008623B5"/>
    <w:rsid w:val="0086376C"/>
    <w:rsid w:val="00863843"/>
    <w:rsid w:val="00863B49"/>
    <w:rsid w:val="008646AF"/>
    <w:rsid w:val="0087004E"/>
    <w:rsid w:val="00870ABA"/>
    <w:rsid w:val="008710E1"/>
    <w:rsid w:val="008716E5"/>
    <w:rsid w:val="008746B6"/>
    <w:rsid w:val="00874D31"/>
    <w:rsid w:val="00876032"/>
    <w:rsid w:val="008818FD"/>
    <w:rsid w:val="00881CA9"/>
    <w:rsid w:val="00882ACD"/>
    <w:rsid w:val="00883628"/>
    <w:rsid w:val="00883985"/>
    <w:rsid w:val="00885544"/>
    <w:rsid w:val="0088634E"/>
    <w:rsid w:val="00887781"/>
    <w:rsid w:val="00892DE8"/>
    <w:rsid w:val="00893AB8"/>
    <w:rsid w:val="00895AEC"/>
    <w:rsid w:val="008A04C8"/>
    <w:rsid w:val="008A1603"/>
    <w:rsid w:val="008A1C81"/>
    <w:rsid w:val="008A2061"/>
    <w:rsid w:val="008A497A"/>
    <w:rsid w:val="008A6913"/>
    <w:rsid w:val="008B056F"/>
    <w:rsid w:val="008B70F3"/>
    <w:rsid w:val="008B71C4"/>
    <w:rsid w:val="008B76DF"/>
    <w:rsid w:val="008C007B"/>
    <w:rsid w:val="008C10F4"/>
    <w:rsid w:val="008C4FE0"/>
    <w:rsid w:val="008C65F7"/>
    <w:rsid w:val="008C7AAE"/>
    <w:rsid w:val="008D2A67"/>
    <w:rsid w:val="008D4A57"/>
    <w:rsid w:val="008D76E5"/>
    <w:rsid w:val="008E0428"/>
    <w:rsid w:val="008E08BC"/>
    <w:rsid w:val="008E245B"/>
    <w:rsid w:val="008E2F4C"/>
    <w:rsid w:val="008E4767"/>
    <w:rsid w:val="008E5649"/>
    <w:rsid w:val="008E5D81"/>
    <w:rsid w:val="008E7A8C"/>
    <w:rsid w:val="008E7C4B"/>
    <w:rsid w:val="008F10E9"/>
    <w:rsid w:val="008F481E"/>
    <w:rsid w:val="009005B2"/>
    <w:rsid w:val="0090203B"/>
    <w:rsid w:val="0090220B"/>
    <w:rsid w:val="00902D8E"/>
    <w:rsid w:val="00903285"/>
    <w:rsid w:val="00906F40"/>
    <w:rsid w:val="0090731E"/>
    <w:rsid w:val="00907528"/>
    <w:rsid w:val="0091058A"/>
    <w:rsid w:val="009116FE"/>
    <w:rsid w:val="00911D5D"/>
    <w:rsid w:val="00911E8C"/>
    <w:rsid w:val="009140AF"/>
    <w:rsid w:val="00915A68"/>
    <w:rsid w:val="00915B1C"/>
    <w:rsid w:val="009174F3"/>
    <w:rsid w:val="0091797D"/>
    <w:rsid w:val="00920C03"/>
    <w:rsid w:val="00921A98"/>
    <w:rsid w:val="00922BA2"/>
    <w:rsid w:val="00923171"/>
    <w:rsid w:val="00923CBA"/>
    <w:rsid w:val="00924678"/>
    <w:rsid w:val="00924C87"/>
    <w:rsid w:val="009264D4"/>
    <w:rsid w:val="00926703"/>
    <w:rsid w:val="00927691"/>
    <w:rsid w:val="00927A5F"/>
    <w:rsid w:val="00930510"/>
    <w:rsid w:val="00930E15"/>
    <w:rsid w:val="00931992"/>
    <w:rsid w:val="0093338B"/>
    <w:rsid w:val="00933A10"/>
    <w:rsid w:val="009341D6"/>
    <w:rsid w:val="0093483D"/>
    <w:rsid w:val="00935B63"/>
    <w:rsid w:val="00935D6D"/>
    <w:rsid w:val="00936E95"/>
    <w:rsid w:val="00937F5D"/>
    <w:rsid w:val="00940349"/>
    <w:rsid w:val="0094035F"/>
    <w:rsid w:val="0094078F"/>
    <w:rsid w:val="00940FA3"/>
    <w:rsid w:val="00941FB0"/>
    <w:rsid w:val="009426D4"/>
    <w:rsid w:val="00945EDC"/>
    <w:rsid w:val="00947F25"/>
    <w:rsid w:val="0095003D"/>
    <w:rsid w:val="00950159"/>
    <w:rsid w:val="009521FA"/>
    <w:rsid w:val="00953449"/>
    <w:rsid w:val="00953C35"/>
    <w:rsid w:val="0095434C"/>
    <w:rsid w:val="0095490B"/>
    <w:rsid w:val="00954ACB"/>
    <w:rsid w:val="00960A33"/>
    <w:rsid w:val="0096188A"/>
    <w:rsid w:val="0096260E"/>
    <w:rsid w:val="00964256"/>
    <w:rsid w:val="00964767"/>
    <w:rsid w:val="00965800"/>
    <w:rsid w:val="00965BBF"/>
    <w:rsid w:val="0096694B"/>
    <w:rsid w:val="00967126"/>
    <w:rsid w:val="00967507"/>
    <w:rsid w:val="00967BC1"/>
    <w:rsid w:val="00967F44"/>
    <w:rsid w:val="00970143"/>
    <w:rsid w:val="00971914"/>
    <w:rsid w:val="00974363"/>
    <w:rsid w:val="00975A70"/>
    <w:rsid w:val="00981898"/>
    <w:rsid w:val="0098214D"/>
    <w:rsid w:val="00984B9A"/>
    <w:rsid w:val="0098576C"/>
    <w:rsid w:val="00986CD0"/>
    <w:rsid w:val="00990610"/>
    <w:rsid w:val="009933B9"/>
    <w:rsid w:val="00993931"/>
    <w:rsid w:val="0099516D"/>
    <w:rsid w:val="00995700"/>
    <w:rsid w:val="0099577C"/>
    <w:rsid w:val="009A019C"/>
    <w:rsid w:val="009A021C"/>
    <w:rsid w:val="009A1EFF"/>
    <w:rsid w:val="009A258F"/>
    <w:rsid w:val="009A25CC"/>
    <w:rsid w:val="009A351D"/>
    <w:rsid w:val="009A7402"/>
    <w:rsid w:val="009A7B58"/>
    <w:rsid w:val="009B09AF"/>
    <w:rsid w:val="009B0AA0"/>
    <w:rsid w:val="009B2028"/>
    <w:rsid w:val="009B24A5"/>
    <w:rsid w:val="009B2601"/>
    <w:rsid w:val="009B357C"/>
    <w:rsid w:val="009B4546"/>
    <w:rsid w:val="009B4E9E"/>
    <w:rsid w:val="009B512C"/>
    <w:rsid w:val="009B6601"/>
    <w:rsid w:val="009B6F43"/>
    <w:rsid w:val="009C0999"/>
    <w:rsid w:val="009C0FCE"/>
    <w:rsid w:val="009C1690"/>
    <w:rsid w:val="009C1C01"/>
    <w:rsid w:val="009C1DF9"/>
    <w:rsid w:val="009C2EC8"/>
    <w:rsid w:val="009C448F"/>
    <w:rsid w:val="009C5176"/>
    <w:rsid w:val="009C5F30"/>
    <w:rsid w:val="009C6881"/>
    <w:rsid w:val="009C7759"/>
    <w:rsid w:val="009D043D"/>
    <w:rsid w:val="009D07C8"/>
    <w:rsid w:val="009D09F8"/>
    <w:rsid w:val="009D4C85"/>
    <w:rsid w:val="009D5E4C"/>
    <w:rsid w:val="009D6C71"/>
    <w:rsid w:val="009E0631"/>
    <w:rsid w:val="009E16D0"/>
    <w:rsid w:val="009E2051"/>
    <w:rsid w:val="009E29A5"/>
    <w:rsid w:val="009E38FD"/>
    <w:rsid w:val="009E4652"/>
    <w:rsid w:val="009E586C"/>
    <w:rsid w:val="009E5CF2"/>
    <w:rsid w:val="009E5EF4"/>
    <w:rsid w:val="009E6C91"/>
    <w:rsid w:val="009F13D6"/>
    <w:rsid w:val="009F1CDE"/>
    <w:rsid w:val="009F4C6B"/>
    <w:rsid w:val="009F4F8D"/>
    <w:rsid w:val="009F5455"/>
    <w:rsid w:val="009F5AB8"/>
    <w:rsid w:val="009F78A8"/>
    <w:rsid w:val="00A00968"/>
    <w:rsid w:val="00A02AD6"/>
    <w:rsid w:val="00A03BFA"/>
    <w:rsid w:val="00A04BC6"/>
    <w:rsid w:val="00A04BF0"/>
    <w:rsid w:val="00A04E3A"/>
    <w:rsid w:val="00A05BC2"/>
    <w:rsid w:val="00A05DEC"/>
    <w:rsid w:val="00A06122"/>
    <w:rsid w:val="00A06E54"/>
    <w:rsid w:val="00A07096"/>
    <w:rsid w:val="00A07318"/>
    <w:rsid w:val="00A075EB"/>
    <w:rsid w:val="00A078E3"/>
    <w:rsid w:val="00A07D82"/>
    <w:rsid w:val="00A1070B"/>
    <w:rsid w:val="00A11370"/>
    <w:rsid w:val="00A11839"/>
    <w:rsid w:val="00A1190A"/>
    <w:rsid w:val="00A1192D"/>
    <w:rsid w:val="00A12AD9"/>
    <w:rsid w:val="00A14D95"/>
    <w:rsid w:val="00A175B9"/>
    <w:rsid w:val="00A179DA"/>
    <w:rsid w:val="00A224CE"/>
    <w:rsid w:val="00A22522"/>
    <w:rsid w:val="00A24AFD"/>
    <w:rsid w:val="00A24F5C"/>
    <w:rsid w:val="00A3083D"/>
    <w:rsid w:val="00A31DC4"/>
    <w:rsid w:val="00A32F96"/>
    <w:rsid w:val="00A373EB"/>
    <w:rsid w:val="00A4041B"/>
    <w:rsid w:val="00A40871"/>
    <w:rsid w:val="00A412AB"/>
    <w:rsid w:val="00A4193E"/>
    <w:rsid w:val="00A41A4A"/>
    <w:rsid w:val="00A440E0"/>
    <w:rsid w:val="00A442EF"/>
    <w:rsid w:val="00A44759"/>
    <w:rsid w:val="00A46B66"/>
    <w:rsid w:val="00A46C65"/>
    <w:rsid w:val="00A47043"/>
    <w:rsid w:val="00A506DE"/>
    <w:rsid w:val="00A50A0B"/>
    <w:rsid w:val="00A50CBC"/>
    <w:rsid w:val="00A50CCB"/>
    <w:rsid w:val="00A51513"/>
    <w:rsid w:val="00A51D1A"/>
    <w:rsid w:val="00A51EE0"/>
    <w:rsid w:val="00A52C52"/>
    <w:rsid w:val="00A54012"/>
    <w:rsid w:val="00A5418D"/>
    <w:rsid w:val="00A5474E"/>
    <w:rsid w:val="00A63BE8"/>
    <w:rsid w:val="00A64234"/>
    <w:rsid w:val="00A64F91"/>
    <w:rsid w:val="00A6589F"/>
    <w:rsid w:val="00A659DB"/>
    <w:rsid w:val="00A66911"/>
    <w:rsid w:val="00A7054B"/>
    <w:rsid w:val="00A70ADF"/>
    <w:rsid w:val="00A71466"/>
    <w:rsid w:val="00A72D05"/>
    <w:rsid w:val="00A72E78"/>
    <w:rsid w:val="00A74B5E"/>
    <w:rsid w:val="00A77F9A"/>
    <w:rsid w:val="00A81BED"/>
    <w:rsid w:val="00A81EC4"/>
    <w:rsid w:val="00A824E8"/>
    <w:rsid w:val="00A82661"/>
    <w:rsid w:val="00A831AD"/>
    <w:rsid w:val="00A847D5"/>
    <w:rsid w:val="00A84E0F"/>
    <w:rsid w:val="00A8574A"/>
    <w:rsid w:val="00A90583"/>
    <w:rsid w:val="00A90A09"/>
    <w:rsid w:val="00A919FC"/>
    <w:rsid w:val="00A926B0"/>
    <w:rsid w:val="00A967FD"/>
    <w:rsid w:val="00AA2DE5"/>
    <w:rsid w:val="00AB156C"/>
    <w:rsid w:val="00AB2379"/>
    <w:rsid w:val="00AB31C3"/>
    <w:rsid w:val="00AB3651"/>
    <w:rsid w:val="00AB5474"/>
    <w:rsid w:val="00AB5867"/>
    <w:rsid w:val="00AB6814"/>
    <w:rsid w:val="00AB6955"/>
    <w:rsid w:val="00AC04BA"/>
    <w:rsid w:val="00AC0CF7"/>
    <w:rsid w:val="00AC0DDC"/>
    <w:rsid w:val="00AC0E39"/>
    <w:rsid w:val="00AC174B"/>
    <w:rsid w:val="00AC1E50"/>
    <w:rsid w:val="00AC340C"/>
    <w:rsid w:val="00AC40BB"/>
    <w:rsid w:val="00AC7538"/>
    <w:rsid w:val="00AD3082"/>
    <w:rsid w:val="00AD32B4"/>
    <w:rsid w:val="00AD3F94"/>
    <w:rsid w:val="00AD4AD0"/>
    <w:rsid w:val="00AD5436"/>
    <w:rsid w:val="00AD60CD"/>
    <w:rsid w:val="00AD67A7"/>
    <w:rsid w:val="00AD6C8C"/>
    <w:rsid w:val="00AE0091"/>
    <w:rsid w:val="00AE04BC"/>
    <w:rsid w:val="00AE091D"/>
    <w:rsid w:val="00AE0B1C"/>
    <w:rsid w:val="00AE0FEF"/>
    <w:rsid w:val="00AE1C81"/>
    <w:rsid w:val="00AE248C"/>
    <w:rsid w:val="00AE28B2"/>
    <w:rsid w:val="00AE2C82"/>
    <w:rsid w:val="00AE3B60"/>
    <w:rsid w:val="00AE4DED"/>
    <w:rsid w:val="00AE5299"/>
    <w:rsid w:val="00AE53A1"/>
    <w:rsid w:val="00AE6892"/>
    <w:rsid w:val="00AE6A8E"/>
    <w:rsid w:val="00AE6EC0"/>
    <w:rsid w:val="00AE79E9"/>
    <w:rsid w:val="00AF1255"/>
    <w:rsid w:val="00AF21E3"/>
    <w:rsid w:val="00AF2484"/>
    <w:rsid w:val="00AF39A0"/>
    <w:rsid w:val="00AF54A6"/>
    <w:rsid w:val="00AF63E7"/>
    <w:rsid w:val="00AF6404"/>
    <w:rsid w:val="00AF6E17"/>
    <w:rsid w:val="00AF74A0"/>
    <w:rsid w:val="00B0053A"/>
    <w:rsid w:val="00B0165D"/>
    <w:rsid w:val="00B01A09"/>
    <w:rsid w:val="00B01B60"/>
    <w:rsid w:val="00B031F3"/>
    <w:rsid w:val="00B04F4D"/>
    <w:rsid w:val="00B052A4"/>
    <w:rsid w:val="00B066D7"/>
    <w:rsid w:val="00B075CF"/>
    <w:rsid w:val="00B1223D"/>
    <w:rsid w:val="00B125DE"/>
    <w:rsid w:val="00B13FDD"/>
    <w:rsid w:val="00B1522A"/>
    <w:rsid w:val="00B21047"/>
    <w:rsid w:val="00B217AA"/>
    <w:rsid w:val="00B22EB2"/>
    <w:rsid w:val="00B23512"/>
    <w:rsid w:val="00B24163"/>
    <w:rsid w:val="00B27442"/>
    <w:rsid w:val="00B31167"/>
    <w:rsid w:val="00B31191"/>
    <w:rsid w:val="00B31E3B"/>
    <w:rsid w:val="00B329D8"/>
    <w:rsid w:val="00B32BB9"/>
    <w:rsid w:val="00B33AE1"/>
    <w:rsid w:val="00B35592"/>
    <w:rsid w:val="00B37C38"/>
    <w:rsid w:val="00B40361"/>
    <w:rsid w:val="00B4288C"/>
    <w:rsid w:val="00B43262"/>
    <w:rsid w:val="00B435A3"/>
    <w:rsid w:val="00B43A1F"/>
    <w:rsid w:val="00B44100"/>
    <w:rsid w:val="00B44557"/>
    <w:rsid w:val="00B46388"/>
    <w:rsid w:val="00B46CBA"/>
    <w:rsid w:val="00B46F94"/>
    <w:rsid w:val="00B51EB9"/>
    <w:rsid w:val="00B53622"/>
    <w:rsid w:val="00B57C94"/>
    <w:rsid w:val="00B6003C"/>
    <w:rsid w:val="00B60833"/>
    <w:rsid w:val="00B61B30"/>
    <w:rsid w:val="00B61F03"/>
    <w:rsid w:val="00B626E4"/>
    <w:rsid w:val="00B64D14"/>
    <w:rsid w:val="00B72F4A"/>
    <w:rsid w:val="00B74761"/>
    <w:rsid w:val="00B778D3"/>
    <w:rsid w:val="00B806A6"/>
    <w:rsid w:val="00B81ACF"/>
    <w:rsid w:val="00B81C5C"/>
    <w:rsid w:val="00B83C27"/>
    <w:rsid w:val="00B84BC3"/>
    <w:rsid w:val="00B84BDD"/>
    <w:rsid w:val="00B84E5B"/>
    <w:rsid w:val="00B85B95"/>
    <w:rsid w:val="00B85CF5"/>
    <w:rsid w:val="00B87F9C"/>
    <w:rsid w:val="00B903DE"/>
    <w:rsid w:val="00B91710"/>
    <w:rsid w:val="00B919C8"/>
    <w:rsid w:val="00B91D2C"/>
    <w:rsid w:val="00B92812"/>
    <w:rsid w:val="00B943CA"/>
    <w:rsid w:val="00B956BB"/>
    <w:rsid w:val="00B95933"/>
    <w:rsid w:val="00B96B06"/>
    <w:rsid w:val="00BA1818"/>
    <w:rsid w:val="00BA2211"/>
    <w:rsid w:val="00BA3D21"/>
    <w:rsid w:val="00BA5454"/>
    <w:rsid w:val="00BA59D2"/>
    <w:rsid w:val="00BA62AE"/>
    <w:rsid w:val="00BB08C6"/>
    <w:rsid w:val="00BB1CD7"/>
    <w:rsid w:val="00BB21E3"/>
    <w:rsid w:val="00BB2604"/>
    <w:rsid w:val="00BB3CEE"/>
    <w:rsid w:val="00BB45A1"/>
    <w:rsid w:val="00BB4850"/>
    <w:rsid w:val="00BB5A5C"/>
    <w:rsid w:val="00BB6335"/>
    <w:rsid w:val="00BB7686"/>
    <w:rsid w:val="00BB7802"/>
    <w:rsid w:val="00BC020B"/>
    <w:rsid w:val="00BC0791"/>
    <w:rsid w:val="00BC126E"/>
    <w:rsid w:val="00BC23F9"/>
    <w:rsid w:val="00BC29C1"/>
    <w:rsid w:val="00BC2D64"/>
    <w:rsid w:val="00BC30DD"/>
    <w:rsid w:val="00BC3421"/>
    <w:rsid w:val="00BC5D9F"/>
    <w:rsid w:val="00BC732C"/>
    <w:rsid w:val="00BD1D93"/>
    <w:rsid w:val="00BD2252"/>
    <w:rsid w:val="00BD4421"/>
    <w:rsid w:val="00BD44E6"/>
    <w:rsid w:val="00BD5A95"/>
    <w:rsid w:val="00BD5D69"/>
    <w:rsid w:val="00BD6305"/>
    <w:rsid w:val="00BD6581"/>
    <w:rsid w:val="00BE2222"/>
    <w:rsid w:val="00BE2580"/>
    <w:rsid w:val="00BE266D"/>
    <w:rsid w:val="00BE2913"/>
    <w:rsid w:val="00BE3938"/>
    <w:rsid w:val="00BE3D26"/>
    <w:rsid w:val="00BE4C11"/>
    <w:rsid w:val="00BE645D"/>
    <w:rsid w:val="00BE71C0"/>
    <w:rsid w:val="00BF2C58"/>
    <w:rsid w:val="00BF610C"/>
    <w:rsid w:val="00BF79ED"/>
    <w:rsid w:val="00C0060B"/>
    <w:rsid w:val="00C01A6C"/>
    <w:rsid w:val="00C0277D"/>
    <w:rsid w:val="00C02EF7"/>
    <w:rsid w:val="00C02F26"/>
    <w:rsid w:val="00C03ED9"/>
    <w:rsid w:val="00C053A1"/>
    <w:rsid w:val="00C061AA"/>
    <w:rsid w:val="00C070A3"/>
    <w:rsid w:val="00C079D3"/>
    <w:rsid w:val="00C12529"/>
    <w:rsid w:val="00C12D45"/>
    <w:rsid w:val="00C15C88"/>
    <w:rsid w:val="00C16198"/>
    <w:rsid w:val="00C170C0"/>
    <w:rsid w:val="00C2083D"/>
    <w:rsid w:val="00C209B0"/>
    <w:rsid w:val="00C20C13"/>
    <w:rsid w:val="00C24A53"/>
    <w:rsid w:val="00C2532D"/>
    <w:rsid w:val="00C27DCD"/>
    <w:rsid w:val="00C318BE"/>
    <w:rsid w:val="00C328E2"/>
    <w:rsid w:val="00C33600"/>
    <w:rsid w:val="00C34A05"/>
    <w:rsid w:val="00C35015"/>
    <w:rsid w:val="00C35CCE"/>
    <w:rsid w:val="00C37D4D"/>
    <w:rsid w:val="00C4032F"/>
    <w:rsid w:val="00C411B4"/>
    <w:rsid w:val="00C41F21"/>
    <w:rsid w:val="00C43A14"/>
    <w:rsid w:val="00C44047"/>
    <w:rsid w:val="00C45155"/>
    <w:rsid w:val="00C461D4"/>
    <w:rsid w:val="00C46C8C"/>
    <w:rsid w:val="00C534FC"/>
    <w:rsid w:val="00C5498F"/>
    <w:rsid w:val="00C55235"/>
    <w:rsid w:val="00C576F5"/>
    <w:rsid w:val="00C61698"/>
    <w:rsid w:val="00C62757"/>
    <w:rsid w:val="00C64A14"/>
    <w:rsid w:val="00C64CD0"/>
    <w:rsid w:val="00C6565A"/>
    <w:rsid w:val="00C6579D"/>
    <w:rsid w:val="00C65A47"/>
    <w:rsid w:val="00C65F61"/>
    <w:rsid w:val="00C6684F"/>
    <w:rsid w:val="00C66900"/>
    <w:rsid w:val="00C67945"/>
    <w:rsid w:val="00C70E70"/>
    <w:rsid w:val="00C71032"/>
    <w:rsid w:val="00C710AA"/>
    <w:rsid w:val="00C75F8D"/>
    <w:rsid w:val="00C76395"/>
    <w:rsid w:val="00C765EC"/>
    <w:rsid w:val="00C77380"/>
    <w:rsid w:val="00C8096A"/>
    <w:rsid w:val="00C8194C"/>
    <w:rsid w:val="00C87E8A"/>
    <w:rsid w:val="00C9080E"/>
    <w:rsid w:val="00C913D6"/>
    <w:rsid w:val="00C92636"/>
    <w:rsid w:val="00C93AEE"/>
    <w:rsid w:val="00C93F86"/>
    <w:rsid w:val="00C9426A"/>
    <w:rsid w:val="00C95A96"/>
    <w:rsid w:val="00C97682"/>
    <w:rsid w:val="00C97736"/>
    <w:rsid w:val="00CA345A"/>
    <w:rsid w:val="00CA47A4"/>
    <w:rsid w:val="00CA6CE4"/>
    <w:rsid w:val="00CA7910"/>
    <w:rsid w:val="00CB1E82"/>
    <w:rsid w:val="00CB2160"/>
    <w:rsid w:val="00CB4BA8"/>
    <w:rsid w:val="00CB52D7"/>
    <w:rsid w:val="00CB56F1"/>
    <w:rsid w:val="00CC05DF"/>
    <w:rsid w:val="00CC5C4A"/>
    <w:rsid w:val="00CC6732"/>
    <w:rsid w:val="00CC7790"/>
    <w:rsid w:val="00CD2A11"/>
    <w:rsid w:val="00CD6095"/>
    <w:rsid w:val="00CD6A8C"/>
    <w:rsid w:val="00CD6ACF"/>
    <w:rsid w:val="00CD7C3F"/>
    <w:rsid w:val="00CE0A13"/>
    <w:rsid w:val="00CE0E08"/>
    <w:rsid w:val="00CE1CF2"/>
    <w:rsid w:val="00CE2B0A"/>
    <w:rsid w:val="00CE3C96"/>
    <w:rsid w:val="00CE51A8"/>
    <w:rsid w:val="00CE6E9E"/>
    <w:rsid w:val="00CE7BEA"/>
    <w:rsid w:val="00CF0BFE"/>
    <w:rsid w:val="00CF3579"/>
    <w:rsid w:val="00CF369B"/>
    <w:rsid w:val="00CF4223"/>
    <w:rsid w:val="00CF6739"/>
    <w:rsid w:val="00CF6DB5"/>
    <w:rsid w:val="00CF7776"/>
    <w:rsid w:val="00CF7F7A"/>
    <w:rsid w:val="00D00E28"/>
    <w:rsid w:val="00D0251D"/>
    <w:rsid w:val="00D0269E"/>
    <w:rsid w:val="00D02D20"/>
    <w:rsid w:val="00D05D6C"/>
    <w:rsid w:val="00D06827"/>
    <w:rsid w:val="00D06DBE"/>
    <w:rsid w:val="00D07698"/>
    <w:rsid w:val="00D07FF7"/>
    <w:rsid w:val="00D10168"/>
    <w:rsid w:val="00D102DE"/>
    <w:rsid w:val="00D10C4E"/>
    <w:rsid w:val="00D1216A"/>
    <w:rsid w:val="00D12DFF"/>
    <w:rsid w:val="00D14081"/>
    <w:rsid w:val="00D15810"/>
    <w:rsid w:val="00D16D4E"/>
    <w:rsid w:val="00D16FE3"/>
    <w:rsid w:val="00D1794A"/>
    <w:rsid w:val="00D17B35"/>
    <w:rsid w:val="00D20C03"/>
    <w:rsid w:val="00D21E9B"/>
    <w:rsid w:val="00D23E4E"/>
    <w:rsid w:val="00D26098"/>
    <w:rsid w:val="00D26151"/>
    <w:rsid w:val="00D27F41"/>
    <w:rsid w:val="00D3109D"/>
    <w:rsid w:val="00D322B6"/>
    <w:rsid w:val="00D35607"/>
    <w:rsid w:val="00D35B55"/>
    <w:rsid w:val="00D36441"/>
    <w:rsid w:val="00D364F6"/>
    <w:rsid w:val="00D369AA"/>
    <w:rsid w:val="00D36AD6"/>
    <w:rsid w:val="00D4064E"/>
    <w:rsid w:val="00D44E9B"/>
    <w:rsid w:val="00D476FA"/>
    <w:rsid w:val="00D47AEB"/>
    <w:rsid w:val="00D50DB9"/>
    <w:rsid w:val="00D51302"/>
    <w:rsid w:val="00D52C43"/>
    <w:rsid w:val="00D5398A"/>
    <w:rsid w:val="00D545DB"/>
    <w:rsid w:val="00D55C61"/>
    <w:rsid w:val="00D55DA5"/>
    <w:rsid w:val="00D56328"/>
    <w:rsid w:val="00D57C2D"/>
    <w:rsid w:val="00D57EAA"/>
    <w:rsid w:val="00D60650"/>
    <w:rsid w:val="00D61243"/>
    <w:rsid w:val="00D64F59"/>
    <w:rsid w:val="00D6507F"/>
    <w:rsid w:val="00D656EB"/>
    <w:rsid w:val="00D65B89"/>
    <w:rsid w:val="00D660CA"/>
    <w:rsid w:val="00D6615A"/>
    <w:rsid w:val="00D66B6C"/>
    <w:rsid w:val="00D670E3"/>
    <w:rsid w:val="00D671AE"/>
    <w:rsid w:val="00D70301"/>
    <w:rsid w:val="00D70E43"/>
    <w:rsid w:val="00D71A05"/>
    <w:rsid w:val="00D730BC"/>
    <w:rsid w:val="00D7379D"/>
    <w:rsid w:val="00D73912"/>
    <w:rsid w:val="00D73F44"/>
    <w:rsid w:val="00D772F0"/>
    <w:rsid w:val="00D776C8"/>
    <w:rsid w:val="00D80516"/>
    <w:rsid w:val="00D82B28"/>
    <w:rsid w:val="00D83643"/>
    <w:rsid w:val="00D84309"/>
    <w:rsid w:val="00D8518B"/>
    <w:rsid w:val="00D85226"/>
    <w:rsid w:val="00D852F6"/>
    <w:rsid w:val="00D85812"/>
    <w:rsid w:val="00D8613A"/>
    <w:rsid w:val="00D876FE"/>
    <w:rsid w:val="00D879C1"/>
    <w:rsid w:val="00D87B94"/>
    <w:rsid w:val="00D915F6"/>
    <w:rsid w:val="00D920DF"/>
    <w:rsid w:val="00D927D6"/>
    <w:rsid w:val="00D92D49"/>
    <w:rsid w:val="00D92EC1"/>
    <w:rsid w:val="00D939DC"/>
    <w:rsid w:val="00D94D39"/>
    <w:rsid w:val="00D95B54"/>
    <w:rsid w:val="00D96DEA"/>
    <w:rsid w:val="00DA0E1E"/>
    <w:rsid w:val="00DA2494"/>
    <w:rsid w:val="00DA3F8C"/>
    <w:rsid w:val="00DA4E41"/>
    <w:rsid w:val="00DA594D"/>
    <w:rsid w:val="00DB117A"/>
    <w:rsid w:val="00DB379E"/>
    <w:rsid w:val="00DB4C03"/>
    <w:rsid w:val="00DB5173"/>
    <w:rsid w:val="00DB5BFD"/>
    <w:rsid w:val="00DB618F"/>
    <w:rsid w:val="00DB7873"/>
    <w:rsid w:val="00DC187B"/>
    <w:rsid w:val="00DC251A"/>
    <w:rsid w:val="00DC5770"/>
    <w:rsid w:val="00DC6CA1"/>
    <w:rsid w:val="00DC6CBE"/>
    <w:rsid w:val="00DC7D5B"/>
    <w:rsid w:val="00DD1A43"/>
    <w:rsid w:val="00DD57AB"/>
    <w:rsid w:val="00DD73C2"/>
    <w:rsid w:val="00DD7CC8"/>
    <w:rsid w:val="00DE0825"/>
    <w:rsid w:val="00DE30EA"/>
    <w:rsid w:val="00DE319B"/>
    <w:rsid w:val="00DE34AD"/>
    <w:rsid w:val="00DE4387"/>
    <w:rsid w:val="00DE70C3"/>
    <w:rsid w:val="00DE7BB0"/>
    <w:rsid w:val="00DF1BA7"/>
    <w:rsid w:val="00DF2E4E"/>
    <w:rsid w:val="00DF34FE"/>
    <w:rsid w:val="00DF56AA"/>
    <w:rsid w:val="00DF56AF"/>
    <w:rsid w:val="00DF63B0"/>
    <w:rsid w:val="00DF6BC4"/>
    <w:rsid w:val="00DF78E7"/>
    <w:rsid w:val="00E01C9C"/>
    <w:rsid w:val="00E02C8C"/>
    <w:rsid w:val="00E04FA3"/>
    <w:rsid w:val="00E110E0"/>
    <w:rsid w:val="00E11D2F"/>
    <w:rsid w:val="00E13C11"/>
    <w:rsid w:val="00E14490"/>
    <w:rsid w:val="00E15371"/>
    <w:rsid w:val="00E21056"/>
    <w:rsid w:val="00E21061"/>
    <w:rsid w:val="00E22807"/>
    <w:rsid w:val="00E23B33"/>
    <w:rsid w:val="00E24104"/>
    <w:rsid w:val="00E262EC"/>
    <w:rsid w:val="00E302D0"/>
    <w:rsid w:val="00E30AA7"/>
    <w:rsid w:val="00E3213E"/>
    <w:rsid w:val="00E326C1"/>
    <w:rsid w:val="00E32E76"/>
    <w:rsid w:val="00E33A6D"/>
    <w:rsid w:val="00E33F9B"/>
    <w:rsid w:val="00E350D7"/>
    <w:rsid w:val="00E35707"/>
    <w:rsid w:val="00E35BB9"/>
    <w:rsid w:val="00E35CBE"/>
    <w:rsid w:val="00E36AA1"/>
    <w:rsid w:val="00E37E0E"/>
    <w:rsid w:val="00E4021F"/>
    <w:rsid w:val="00E41CC6"/>
    <w:rsid w:val="00E41ECB"/>
    <w:rsid w:val="00E42676"/>
    <w:rsid w:val="00E4370C"/>
    <w:rsid w:val="00E44210"/>
    <w:rsid w:val="00E44B40"/>
    <w:rsid w:val="00E44D67"/>
    <w:rsid w:val="00E504BE"/>
    <w:rsid w:val="00E50822"/>
    <w:rsid w:val="00E5191A"/>
    <w:rsid w:val="00E544AE"/>
    <w:rsid w:val="00E54FDB"/>
    <w:rsid w:val="00E5617D"/>
    <w:rsid w:val="00E563D7"/>
    <w:rsid w:val="00E57939"/>
    <w:rsid w:val="00E60A11"/>
    <w:rsid w:val="00E6152B"/>
    <w:rsid w:val="00E637ED"/>
    <w:rsid w:val="00E648F6"/>
    <w:rsid w:val="00E663F4"/>
    <w:rsid w:val="00E666F2"/>
    <w:rsid w:val="00E66DD4"/>
    <w:rsid w:val="00E71872"/>
    <w:rsid w:val="00E73990"/>
    <w:rsid w:val="00E7411F"/>
    <w:rsid w:val="00E748CC"/>
    <w:rsid w:val="00E75415"/>
    <w:rsid w:val="00E7582E"/>
    <w:rsid w:val="00E75D36"/>
    <w:rsid w:val="00E775B1"/>
    <w:rsid w:val="00E810A7"/>
    <w:rsid w:val="00E8152A"/>
    <w:rsid w:val="00E81F0D"/>
    <w:rsid w:val="00E81F41"/>
    <w:rsid w:val="00E832DA"/>
    <w:rsid w:val="00E84B0C"/>
    <w:rsid w:val="00E84BEC"/>
    <w:rsid w:val="00E85F9F"/>
    <w:rsid w:val="00E86ED4"/>
    <w:rsid w:val="00E87D7C"/>
    <w:rsid w:val="00E90C41"/>
    <w:rsid w:val="00E9116E"/>
    <w:rsid w:val="00E912E0"/>
    <w:rsid w:val="00E91ABB"/>
    <w:rsid w:val="00E93629"/>
    <w:rsid w:val="00E93B5C"/>
    <w:rsid w:val="00E94060"/>
    <w:rsid w:val="00E94CEC"/>
    <w:rsid w:val="00E95CBE"/>
    <w:rsid w:val="00E97052"/>
    <w:rsid w:val="00E97C48"/>
    <w:rsid w:val="00EA04EF"/>
    <w:rsid w:val="00EA1815"/>
    <w:rsid w:val="00EA18A8"/>
    <w:rsid w:val="00EA5044"/>
    <w:rsid w:val="00EA5141"/>
    <w:rsid w:val="00EA6C79"/>
    <w:rsid w:val="00EA6F19"/>
    <w:rsid w:val="00EB1B1C"/>
    <w:rsid w:val="00EB2B40"/>
    <w:rsid w:val="00EB3F88"/>
    <w:rsid w:val="00EB483F"/>
    <w:rsid w:val="00EB646E"/>
    <w:rsid w:val="00EB7090"/>
    <w:rsid w:val="00EC0281"/>
    <w:rsid w:val="00EC1BBE"/>
    <w:rsid w:val="00EC2B68"/>
    <w:rsid w:val="00EC3AEF"/>
    <w:rsid w:val="00EC4007"/>
    <w:rsid w:val="00EC48E2"/>
    <w:rsid w:val="00EC4ED4"/>
    <w:rsid w:val="00EC55DC"/>
    <w:rsid w:val="00EC5CD7"/>
    <w:rsid w:val="00ED0E0B"/>
    <w:rsid w:val="00ED4A2B"/>
    <w:rsid w:val="00ED4E35"/>
    <w:rsid w:val="00ED71D6"/>
    <w:rsid w:val="00EE3263"/>
    <w:rsid w:val="00EE4DE7"/>
    <w:rsid w:val="00EE4E97"/>
    <w:rsid w:val="00EE5FB3"/>
    <w:rsid w:val="00EE6511"/>
    <w:rsid w:val="00EE7F79"/>
    <w:rsid w:val="00EF0D7A"/>
    <w:rsid w:val="00EF116B"/>
    <w:rsid w:val="00EF43F8"/>
    <w:rsid w:val="00EF52E5"/>
    <w:rsid w:val="00EF6008"/>
    <w:rsid w:val="00EF715A"/>
    <w:rsid w:val="00F030A0"/>
    <w:rsid w:val="00F041F2"/>
    <w:rsid w:val="00F042B1"/>
    <w:rsid w:val="00F05FC6"/>
    <w:rsid w:val="00F060A7"/>
    <w:rsid w:val="00F06486"/>
    <w:rsid w:val="00F06E14"/>
    <w:rsid w:val="00F1233B"/>
    <w:rsid w:val="00F12B6E"/>
    <w:rsid w:val="00F14443"/>
    <w:rsid w:val="00F15409"/>
    <w:rsid w:val="00F15A0B"/>
    <w:rsid w:val="00F1680F"/>
    <w:rsid w:val="00F179D4"/>
    <w:rsid w:val="00F228B8"/>
    <w:rsid w:val="00F22A23"/>
    <w:rsid w:val="00F23D96"/>
    <w:rsid w:val="00F266BD"/>
    <w:rsid w:val="00F27989"/>
    <w:rsid w:val="00F27EF4"/>
    <w:rsid w:val="00F33188"/>
    <w:rsid w:val="00F33C56"/>
    <w:rsid w:val="00F34744"/>
    <w:rsid w:val="00F347C7"/>
    <w:rsid w:val="00F34848"/>
    <w:rsid w:val="00F34D09"/>
    <w:rsid w:val="00F365A6"/>
    <w:rsid w:val="00F4175B"/>
    <w:rsid w:val="00F419CC"/>
    <w:rsid w:val="00F41DE5"/>
    <w:rsid w:val="00F42193"/>
    <w:rsid w:val="00F42D46"/>
    <w:rsid w:val="00F4496C"/>
    <w:rsid w:val="00F44ADF"/>
    <w:rsid w:val="00F44F3A"/>
    <w:rsid w:val="00F46092"/>
    <w:rsid w:val="00F47C26"/>
    <w:rsid w:val="00F500DB"/>
    <w:rsid w:val="00F508EC"/>
    <w:rsid w:val="00F51F10"/>
    <w:rsid w:val="00F529A5"/>
    <w:rsid w:val="00F5310D"/>
    <w:rsid w:val="00F56897"/>
    <w:rsid w:val="00F60547"/>
    <w:rsid w:val="00F6066D"/>
    <w:rsid w:val="00F60F00"/>
    <w:rsid w:val="00F614C0"/>
    <w:rsid w:val="00F6170A"/>
    <w:rsid w:val="00F63837"/>
    <w:rsid w:val="00F6540E"/>
    <w:rsid w:val="00F66136"/>
    <w:rsid w:val="00F72103"/>
    <w:rsid w:val="00F72B9D"/>
    <w:rsid w:val="00F802C6"/>
    <w:rsid w:val="00F83848"/>
    <w:rsid w:val="00F853E7"/>
    <w:rsid w:val="00F8601B"/>
    <w:rsid w:val="00F86359"/>
    <w:rsid w:val="00F869CB"/>
    <w:rsid w:val="00F86C54"/>
    <w:rsid w:val="00F90C20"/>
    <w:rsid w:val="00F94213"/>
    <w:rsid w:val="00F96D7F"/>
    <w:rsid w:val="00F96F02"/>
    <w:rsid w:val="00F96F6F"/>
    <w:rsid w:val="00F975E9"/>
    <w:rsid w:val="00F9793C"/>
    <w:rsid w:val="00FA1B7D"/>
    <w:rsid w:val="00FA2831"/>
    <w:rsid w:val="00FA3643"/>
    <w:rsid w:val="00FA6E33"/>
    <w:rsid w:val="00FA6F1C"/>
    <w:rsid w:val="00FA7936"/>
    <w:rsid w:val="00FB11B0"/>
    <w:rsid w:val="00FB2F99"/>
    <w:rsid w:val="00FB4E2F"/>
    <w:rsid w:val="00FB4F4E"/>
    <w:rsid w:val="00FB5516"/>
    <w:rsid w:val="00FB5550"/>
    <w:rsid w:val="00FC07B9"/>
    <w:rsid w:val="00FC0937"/>
    <w:rsid w:val="00FC093F"/>
    <w:rsid w:val="00FC2C4C"/>
    <w:rsid w:val="00FC2E00"/>
    <w:rsid w:val="00FC3E5C"/>
    <w:rsid w:val="00FC4714"/>
    <w:rsid w:val="00FC4934"/>
    <w:rsid w:val="00FC4E21"/>
    <w:rsid w:val="00FC5F6D"/>
    <w:rsid w:val="00FD0107"/>
    <w:rsid w:val="00FD109E"/>
    <w:rsid w:val="00FD15CE"/>
    <w:rsid w:val="00FD1AAC"/>
    <w:rsid w:val="00FD1CF8"/>
    <w:rsid w:val="00FD1FF0"/>
    <w:rsid w:val="00FD2C2F"/>
    <w:rsid w:val="00FD3129"/>
    <w:rsid w:val="00FD3B31"/>
    <w:rsid w:val="00FD453D"/>
    <w:rsid w:val="00FD4BAC"/>
    <w:rsid w:val="00FD5920"/>
    <w:rsid w:val="00FD638F"/>
    <w:rsid w:val="00FE0708"/>
    <w:rsid w:val="00FE1293"/>
    <w:rsid w:val="00FE1823"/>
    <w:rsid w:val="00FE2E2E"/>
    <w:rsid w:val="00FE31DE"/>
    <w:rsid w:val="00FE487A"/>
    <w:rsid w:val="00FE56C0"/>
    <w:rsid w:val="00FE6478"/>
    <w:rsid w:val="00FE7480"/>
    <w:rsid w:val="00FF012E"/>
    <w:rsid w:val="00FF0569"/>
    <w:rsid w:val="00FF1164"/>
    <w:rsid w:val="00FF1EF6"/>
    <w:rsid w:val="00FF206E"/>
    <w:rsid w:val="00FF22F6"/>
    <w:rsid w:val="00FF3C69"/>
    <w:rsid w:val="00FF6771"/>
    <w:rsid w:val="00FF6E0A"/>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colormru v:ext="edit" colors="red,#4d4d4f"/>
    </o:shapedefaults>
    <o:shapelayout v:ext="edit">
      <o:idmap v:ext="edit" data="1"/>
    </o:shapelayout>
  </w:shapeDefaults>
  <w:decimalSymbol w:val="."/>
  <w:listSeparator w:val=","/>
  <w14:docId w14:val="650CA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2"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uiPriority="99" w:qFormat="1"/>
    <w:lsdException w:name="Strong" w:semiHidden="1"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5C34EF"/>
    <w:pPr>
      <w:spacing w:after="240" w:line="240" w:lineRule="atLeast"/>
    </w:pPr>
    <w:rPr>
      <w:rFonts w:ascii="Arial" w:hAnsi="Arial"/>
      <w:sz w:val="20"/>
    </w:rPr>
  </w:style>
  <w:style w:type="paragraph" w:styleId="Heading1">
    <w:name w:val="heading 1"/>
    <w:basedOn w:val="Normal"/>
    <w:next w:val="Normal"/>
    <w:link w:val="Heading1Char"/>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Paragraph"/>
    <w:link w:val="Heading2Char"/>
    <w:qFormat/>
    <w:rsid w:val="00C55235"/>
    <w:pPr>
      <w:keepNext/>
      <w:spacing w:before="320" w:after="60"/>
      <w:outlineLvl w:val="1"/>
    </w:pPr>
    <w:rPr>
      <w:rFonts w:cs="Arial"/>
      <w:b/>
      <w:bCs/>
      <w:iCs/>
      <w:sz w:val="28"/>
      <w:szCs w:val="28"/>
    </w:rPr>
  </w:style>
  <w:style w:type="paragraph" w:styleId="Heading3">
    <w:name w:val="heading 3"/>
    <w:basedOn w:val="Normal"/>
    <w:next w:val="Normal"/>
    <w:link w:val="Heading3Char"/>
    <w:qFormat/>
    <w:rsid w:val="00C55235"/>
    <w:pPr>
      <w:keepNext/>
      <w:spacing w:before="60" w:after="60"/>
      <w:outlineLvl w:val="2"/>
    </w:pPr>
    <w:rPr>
      <w:rFonts w:cs="Arial"/>
      <w:b/>
      <w:bCs/>
      <w:szCs w:val="26"/>
    </w:rPr>
  </w:style>
  <w:style w:type="paragraph" w:styleId="Heading4">
    <w:name w:val="heading 4"/>
    <w:basedOn w:val="BodySubHeader"/>
    <w:next w:val="Normal"/>
    <w:uiPriority w:val="2"/>
    <w:qFormat/>
    <w:rsid w:val="005B2F0D"/>
    <w:pPr>
      <w:outlineLvl w:val="3"/>
    </w:pPr>
    <w:rPr>
      <w:rFonts w:cs="Arial"/>
    </w:rPr>
  </w:style>
  <w:style w:type="paragraph" w:styleId="Heading5">
    <w:name w:val="heading 5"/>
    <w:basedOn w:val="Normal"/>
    <w:next w:val="Normal"/>
    <w:semiHidden/>
    <w:qFormat/>
    <w:rsid w:val="00AD5436"/>
    <w:pPr>
      <w:numPr>
        <w:ilvl w:val="4"/>
        <w:numId w:val="5"/>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5"/>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0791C"/>
    <w:pPr>
      <w:tabs>
        <w:tab w:val="center" w:pos="4153"/>
        <w:tab w:val="right" w:pos="8306"/>
      </w:tabs>
      <w:spacing w:line="240" w:lineRule="auto"/>
    </w:pPr>
    <w:rPr>
      <w:sz w:val="16"/>
    </w:rPr>
  </w:style>
  <w:style w:type="paragraph" w:styleId="Footer">
    <w:name w:val="footer"/>
    <w:basedOn w:val="Normal"/>
    <w:link w:val="FooterChar"/>
    <w:semiHidden/>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semiHidden/>
    <w:rsid w:val="00EC2B68"/>
    <w:rPr>
      <w:rFonts w:ascii="Arial" w:hAnsi="Arial"/>
      <w:color w:val="323232"/>
      <w:sz w:val="16"/>
    </w:rPr>
  </w:style>
  <w:style w:type="paragraph" w:customStyle="1" w:styleId="Reporttitle">
    <w:name w:val="Report title"/>
    <w:basedOn w:val="Normal"/>
    <w:uiPriority w:val="19"/>
    <w:qFormat/>
    <w:rsid w:val="00A51D1A"/>
    <w:pPr>
      <w:spacing w:after="0" w:line="560" w:lineRule="exact"/>
    </w:pPr>
    <w:rPr>
      <w:b/>
      <w:spacing w:val="-28"/>
      <w:sz w:val="53"/>
    </w:rPr>
  </w:style>
  <w:style w:type="paragraph" w:customStyle="1" w:styleId="Reportsubtitle">
    <w:name w:val="Report subtitle"/>
    <w:basedOn w:val="Normal"/>
    <w:uiPriority w:val="20"/>
    <w:qFormat/>
    <w:rsid w:val="00950159"/>
    <w:pPr>
      <w:spacing w:after="200" w:line="560" w:lineRule="exact"/>
    </w:pPr>
    <w:rPr>
      <w:color w:val="323232"/>
      <w:spacing w:val="-28"/>
      <w:sz w:val="53"/>
    </w:rPr>
  </w:style>
  <w:style w:type="table" w:styleId="TableGrid">
    <w:name w:val="Table Grid"/>
    <w:basedOn w:val="TableNormal"/>
    <w:uiPriority w:val="3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date">
    <w:name w:val="Report date"/>
    <w:basedOn w:val="Reportsubtitle"/>
    <w:uiPriority w:val="21"/>
    <w:qFormat/>
    <w:rsid w:val="00950159"/>
    <w:pPr>
      <w:spacing w:after="1200" w:line="240" w:lineRule="auto"/>
    </w:pPr>
    <w:rPr>
      <w:caps/>
      <w:spacing w:val="-10"/>
      <w:sz w:val="20"/>
    </w:rPr>
  </w:style>
  <w:style w:type="paragraph" w:customStyle="1" w:styleId="Tableheaderrow">
    <w:name w:val="Table header row"/>
    <w:basedOn w:val="Normal"/>
    <w:uiPriority w:val="14"/>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semiHidden/>
    <w:qFormat/>
    <w:rsid w:val="00950159"/>
    <w:pPr>
      <w:spacing w:before="1200" w:line="240" w:lineRule="auto"/>
    </w:pPr>
    <w:rPr>
      <w:b/>
      <w:color w:val="323232"/>
      <w:spacing w:val="-28"/>
      <w:sz w:val="53"/>
    </w:rPr>
  </w:style>
  <w:style w:type="paragraph" w:styleId="Caption">
    <w:name w:val="caption"/>
    <w:aliases w:val="Caption table"/>
    <w:basedOn w:val="Normal"/>
    <w:next w:val="Normal"/>
    <w:uiPriority w:val="35"/>
    <w:qFormat/>
    <w:rsid w:val="00E8152A"/>
    <w:pPr>
      <w:numPr>
        <w:numId w:val="9"/>
      </w:numPr>
      <w:spacing w:after="0"/>
    </w:pPr>
    <w:rPr>
      <w:b/>
      <w:bCs/>
      <w:color w:val="323232"/>
      <w:szCs w:val="20"/>
    </w:rPr>
  </w:style>
  <w:style w:type="paragraph" w:customStyle="1" w:styleId="BodySubHeader">
    <w:name w:val="BodySubHeader"/>
    <w:basedOn w:val="Normal"/>
    <w:next w:val="Normal"/>
    <w:qFormat/>
    <w:rsid w:val="00146CE6"/>
    <w:pPr>
      <w:spacing w:before="240" w:after="0"/>
    </w:pPr>
    <w:rPr>
      <w:b/>
      <w:i/>
    </w:rPr>
  </w:style>
  <w:style w:type="paragraph" w:styleId="ListBullet">
    <w:name w:val="List Bullet"/>
    <w:basedOn w:val="Normal"/>
    <w:qFormat/>
    <w:rsid w:val="001C6AEE"/>
    <w:pPr>
      <w:numPr>
        <w:numId w:val="1"/>
      </w:numPr>
      <w:spacing w:after="80"/>
    </w:pPr>
  </w:style>
  <w:style w:type="paragraph" w:styleId="ListBullet2">
    <w:name w:val="List Bullet 2"/>
    <w:basedOn w:val="Normal"/>
    <w:qFormat/>
    <w:rsid w:val="001C6AEE"/>
    <w:pPr>
      <w:numPr>
        <w:numId w:val="2"/>
      </w:numPr>
      <w:spacing w:after="80"/>
    </w:pPr>
  </w:style>
  <w:style w:type="paragraph" w:styleId="ListNumber">
    <w:name w:val="List Number"/>
    <w:basedOn w:val="Normal"/>
    <w:qFormat/>
    <w:rsid w:val="00C24A53"/>
    <w:pPr>
      <w:spacing w:after="80"/>
    </w:pPr>
  </w:style>
  <w:style w:type="paragraph" w:styleId="ListNumber2">
    <w:name w:val="List Number 2"/>
    <w:basedOn w:val="Normal"/>
    <w:qFormat/>
    <w:rsid w:val="004A70D6"/>
    <w:pPr>
      <w:numPr>
        <w:numId w:val="4"/>
      </w:numPr>
      <w:spacing w:after="80"/>
      <w:ind w:left="828" w:hanging="357"/>
    </w:pPr>
  </w:style>
  <w:style w:type="paragraph" w:customStyle="1" w:styleId="URLEmail">
    <w:name w:val="URL/Email"/>
    <w:basedOn w:val="Normal"/>
    <w:semiHidden/>
    <w:rsid w:val="00302480"/>
    <w:rPr>
      <w:color w:val="4D4D4F"/>
      <w:spacing w:val="4"/>
    </w:rPr>
  </w:style>
  <w:style w:type="paragraph" w:customStyle="1" w:styleId="Execsummaryheading">
    <w:name w:val="Exec summary heading"/>
    <w:basedOn w:val="Normal"/>
    <w:uiPriority w:val="22"/>
    <w:qFormat/>
    <w:rsid w:val="006B52DE"/>
    <w:pPr>
      <w:pageBreakBefore/>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ListContinue5">
    <w:name w:val="List Continue 5"/>
    <w:basedOn w:val="Normal"/>
    <w:semiHidden/>
    <w:rsid w:val="00EC2B68"/>
    <w:pPr>
      <w:spacing w:after="120"/>
      <w:ind w:left="1415"/>
      <w:contextualSpacing/>
    </w:pPr>
  </w:style>
  <w:style w:type="paragraph" w:customStyle="1" w:styleId="Paragraphbeforelist">
    <w:name w:val="Paragraph before list"/>
    <w:basedOn w:val="Paragraph"/>
    <w:uiPriority w:val="4"/>
    <w:qFormat/>
    <w:rsid w:val="00C87E8A"/>
    <w:pPr>
      <w:spacing w:after="80"/>
    </w:p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aliases w:val="CEO_Hyperlink"/>
    <w:basedOn w:val="DefaultParagraphFont"/>
    <w:uiPriority w:val="99"/>
    <w:qFormat/>
    <w:rsid w:val="00C35CCE"/>
    <w:rPr>
      <w:color w:val="0000FF"/>
      <w:u w:val="single" w:color="0000FF"/>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
    <w:basedOn w:val="DefaultParagraphFont"/>
    <w:uiPriority w:val="99"/>
    <w:rsid w:val="00566AB4"/>
    <w:rPr>
      <w:rFonts w:ascii="Arial" w:hAnsi="Arial"/>
      <w:vertAlign w:val="superscript"/>
    </w:rPr>
  </w:style>
  <w:style w:type="paragraph" w:styleId="FootnoteText">
    <w:name w:val="footnote text"/>
    <w:aliases w:val="Footnote text,ACMA Footnote Text,footnote text,Footnote Text Char1,Footnote Text Char Char,Footnote Text Char1 Char Char,Footnote Text Char Char Char Char,Footnote Text Char1 Char Char Char Char,Footnote Text Char Char Char Char Char Char"/>
    <w:basedOn w:val="Normal"/>
    <w:link w:val="FootnoteTextChar"/>
    <w:uiPriority w:val="99"/>
    <w:rsid w:val="00D61243"/>
    <w:pPr>
      <w:spacing w:after="0"/>
    </w:pPr>
    <w:rPr>
      <w:sz w:val="16"/>
      <w:szCs w:val="16"/>
    </w:rPr>
  </w:style>
  <w:style w:type="paragraph" w:customStyle="1" w:styleId="TableBody">
    <w:name w:val="Table Body"/>
    <w:basedOn w:val="Normal"/>
    <w:uiPriority w:val="15"/>
    <w:qFormat/>
    <w:rsid w:val="00774FDB"/>
    <w:pPr>
      <w:spacing w:after="0" w:line="240" w:lineRule="auto"/>
    </w:pPr>
  </w:style>
  <w:style w:type="character" w:styleId="CommentReference">
    <w:name w:val="annotation reference"/>
    <w:basedOn w:val="DefaultParagraphFont"/>
    <w:uiPriority w:val="99"/>
    <w:semiHidden/>
    <w:rsid w:val="00EE7F79"/>
    <w:rPr>
      <w:sz w:val="16"/>
      <w:szCs w:val="16"/>
    </w:rPr>
  </w:style>
  <w:style w:type="paragraph" w:styleId="CommentText">
    <w:name w:val="annotation text"/>
    <w:basedOn w:val="Normal"/>
    <w:link w:val="CommentTextChar"/>
    <w:uiPriority w:val="99"/>
    <w:rsid w:val="00EE7F79"/>
    <w:pPr>
      <w:spacing w:line="240" w:lineRule="auto"/>
    </w:pPr>
    <w:rPr>
      <w:szCs w:val="20"/>
    </w:rPr>
  </w:style>
  <w:style w:type="character" w:customStyle="1" w:styleId="CommentTextChar">
    <w:name w:val="Comment Text Char"/>
    <w:basedOn w:val="DefaultParagraphFont"/>
    <w:link w:val="CommentText"/>
    <w:uiPriority w:val="99"/>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unhideWhenUsed/>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paragraph" w:customStyle="1" w:styleId="Bulletlevel1">
    <w:name w:val="Bullet level 1"/>
    <w:basedOn w:val="ListBullet"/>
    <w:uiPriority w:val="5"/>
    <w:qFormat/>
    <w:rsid w:val="00A824E8"/>
    <w:rPr>
      <w:rFonts w:cs="Arial"/>
    </w:rPr>
  </w:style>
  <w:style w:type="paragraph" w:customStyle="1" w:styleId="ACMACorporateAddressHeader">
    <w:name w:val="ACMA_CorporateAddressHeader"/>
    <w:basedOn w:val="Normal"/>
    <w:next w:val="ACMACorporateAddresses"/>
    <w:semiHidden/>
    <w:unhideWhenUsed/>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semiHidden/>
    <w:unhideWhenUsed/>
    <w:qFormat/>
    <w:rsid w:val="00FC07B9"/>
    <w:pPr>
      <w:spacing w:before="0" w:after="120"/>
    </w:pPr>
    <w:rPr>
      <w:b w:val="0"/>
    </w:rPr>
  </w:style>
  <w:style w:type="paragraph" w:customStyle="1" w:styleId="ACMACopyrightHeader">
    <w:name w:val="ACMA_CopyrightHeader"/>
    <w:basedOn w:val="ACMACorporateAddressHeader"/>
    <w:semiHidden/>
    <w:unhideWhenUsed/>
    <w:qFormat/>
    <w:rsid w:val="00950159"/>
    <w:pPr>
      <w:spacing w:before="3000"/>
    </w:pPr>
  </w:style>
  <w:style w:type="paragraph" w:customStyle="1" w:styleId="ACMACClogo">
    <w:name w:val="ACMA_CClogo"/>
    <w:semiHidden/>
    <w:unhideWhenUsed/>
    <w:qFormat/>
    <w:rsid w:val="00623FF9"/>
    <w:pPr>
      <w:spacing w:before="160" w:after="120"/>
    </w:pPr>
    <w:rPr>
      <w:rFonts w:ascii="Arial" w:hAnsi="Arial"/>
      <w:b/>
      <w:sz w:val="13"/>
    </w:rPr>
  </w:style>
  <w:style w:type="paragraph" w:customStyle="1" w:styleId="ListBulletLast">
    <w:name w:val="List Bullet Last"/>
    <w:basedOn w:val="ListBullet"/>
    <w:qFormat/>
    <w:rsid w:val="00146CE6"/>
    <w:pPr>
      <w:spacing w:after="240"/>
    </w:pPr>
    <w:rPr>
      <w:rFonts w:cs="Arial"/>
    </w:rPr>
  </w:style>
  <w:style w:type="paragraph" w:customStyle="1" w:styleId="ListNumberLast">
    <w:name w:val="List Number Last"/>
    <w:basedOn w:val="ListNumber"/>
    <w:semiHidden/>
    <w:qFormat/>
    <w:rsid w:val="00C16198"/>
    <w:pPr>
      <w:spacing w:after="240"/>
      <w:ind w:left="357" w:hanging="357"/>
    </w:pPr>
    <w:rPr>
      <w:rFonts w:cs="Arial"/>
    </w:rPr>
  </w:style>
  <w:style w:type="paragraph" w:customStyle="1" w:styleId="ACMATableHeader">
    <w:name w:val="ACMA_TableHeader"/>
    <w:qFormat/>
    <w:rsid w:val="003F10EE"/>
    <w:pPr>
      <w:spacing w:after="160"/>
    </w:pPr>
    <w:rPr>
      <w:rFonts w:ascii="Arial" w:hAnsi="Arial"/>
      <w:b/>
      <w:bCs/>
      <w:color w:val="323232"/>
      <w:sz w:val="20"/>
      <w:szCs w:val="20"/>
    </w:rPr>
  </w:style>
  <w:style w:type="paragraph" w:customStyle="1" w:styleId="ACMANotes">
    <w:name w:val="ACMA_Notes"/>
    <w:semiHidden/>
    <w:rsid w:val="00FF206E"/>
    <w:pPr>
      <w:spacing w:before="80"/>
    </w:pPr>
    <w:rPr>
      <w:rFonts w:ascii="Arial" w:hAnsi="Arial" w:cs="Arial"/>
      <w:i/>
      <w:sz w:val="16"/>
    </w:rPr>
  </w:style>
  <w:style w:type="paragraph" w:customStyle="1" w:styleId="Numberlistlevel1">
    <w:name w:val="Number list level 1"/>
    <w:basedOn w:val="ListNumber"/>
    <w:uiPriority w:val="9"/>
    <w:qFormat/>
    <w:rsid w:val="004A70D6"/>
  </w:style>
  <w:style w:type="character" w:styleId="Emphasis">
    <w:name w:val="Emphasis"/>
    <w:basedOn w:val="DefaultParagraphFont"/>
    <w:semiHidden/>
    <w:qFormat/>
    <w:rsid w:val="006D576C"/>
    <w:rPr>
      <w:i/>
      <w:iCs/>
    </w:rPr>
  </w:style>
  <w:style w:type="paragraph" w:customStyle="1" w:styleId="ListNumber2Last">
    <w:name w:val="List Number 2 Last"/>
    <w:basedOn w:val="ListNumber2"/>
    <w:semiHidden/>
    <w:qFormat/>
    <w:rsid w:val="00E35707"/>
    <w:pPr>
      <w:spacing w:after="240"/>
      <w:ind w:left="907"/>
    </w:pPr>
    <w:rPr>
      <w:rFonts w:cs="Arial"/>
    </w:rPr>
  </w:style>
  <w:style w:type="paragraph" w:customStyle="1" w:styleId="Spaceaftertable">
    <w:name w:val="Space after table"/>
    <w:basedOn w:val="Normal"/>
    <w:uiPriority w:val="99"/>
    <w:qFormat/>
    <w:rsid w:val="00C2083D"/>
    <w:rPr>
      <w:rFonts w:cs="Arial"/>
    </w:rPr>
  </w:style>
  <w:style w:type="paragraph" w:customStyle="1" w:styleId="FooterLeft">
    <w:name w:val="Footer Left"/>
    <w:basedOn w:val="Footer"/>
    <w:semiHidden/>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qFormat/>
    <w:rsid w:val="003F10EE"/>
    <w:pPr>
      <w:numPr>
        <w:numId w:val="6"/>
      </w:numPr>
      <w:tabs>
        <w:tab w:val="clear" w:pos="4424"/>
        <w:tab w:val="num" w:pos="1021"/>
      </w:tabs>
      <w:spacing w:after="160"/>
      <w:ind w:left="1021"/>
    </w:pPr>
    <w:rPr>
      <w:rFonts w:ascii="Arial" w:hAnsi="Arial"/>
      <w:b/>
      <w:bCs/>
      <w:color w:val="323232"/>
      <w:sz w:val="20"/>
      <w:szCs w:val="20"/>
    </w:rPr>
  </w:style>
  <w:style w:type="paragraph" w:customStyle="1" w:styleId="Captionfigure">
    <w:name w:val="Caption figure"/>
    <w:basedOn w:val="Caption"/>
    <w:semiHidden/>
    <w:qFormat/>
    <w:rsid w:val="00E8152A"/>
    <w:pPr>
      <w:keepNext/>
      <w:numPr>
        <w:numId w:val="8"/>
      </w:numPr>
    </w:pPr>
    <w:rPr>
      <w:rFonts w:cs="Arial"/>
    </w:rPr>
  </w:style>
  <w:style w:type="paragraph" w:customStyle="1" w:styleId="GridTable31">
    <w:name w:val="Grid Table 31"/>
    <w:basedOn w:val="Normal"/>
    <w:semiHidden/>
    <w:qFormat/>
    <w:rsid w:val="00971914"/>
    <w:pPr>
      <w:spacing w:after="0" w:line="240" w:lineRule="auto"/>
    </w:pPr>
    <w:rPr>
      <w:b/>
      <w:color w:val="4D4D4F"/>
      <w:spacing w:val="-28"/>
      <w:sz w:val="53"/>
    </w:rPr>
  </w:style>
  <w:style w:type="character" w:customStyle="1" w:styleId="HeaderChar">
    <w:name w:val="Header Char"/>
    <w:link w:val="Header"/>
    <w:uiPriority w:val="99"/>
    <w:rsid w:val="00971914"/>
    <w:rPr>
      <w:rFonts w:ascii="Arial" w:hAnsi="Arial"/>
      <w:sz w:val="16"/>
    </w:rPr>
  </w:style>
  <w:style w:type="character" w:customStyle="1" w:styleId="Heading1Char">
    <w:name w:val="Heading 1 Char"/>
    <w:basedOn w:val="DefaultParagraphFont"/>
    <w:link w:val="Heading1"/>
    <w:rsid w:val="00F5310D"/>
    <w:rPr>
      <w:rFonts w:ascii="Arial" w:hAnsi="Arial" w:cs="Arial"/>
      <w:bCs/>
      <w:color w:val="323232"/>
      <w:kern w:val="32"/>
      <w:sz w:val="53"/>
      <w:szCs w:val="32"/>
    </w:rPr>
  </w:style>
  <w:style w:type="character" w:customStyle="1" w:styleId="Heading2Char">
    <w:name w:val="Heading 2 Char"/>
    <w:basedOn w:val="DefaultParagraphFont"/>
    <w:link w:val="Heading2"/>
    <w:rsid w:val="00800CCD"/>
    <w:rPr>
      <w:rFonts w:ascii="Arial" w:hAnsi="Arial" w:cs="Arial"/>
      <w:b/>
      <w:bCs/>
      <w:iCs/>
      <w:sz w:val="28"/>
      <w:szCs w:val="28"/>
    </w:rPr>
  </w:style>
  <w:style w:type="character" w:styleId="UnresolvedMention">
    <w:name w:val="Unresolved Mention"/>
    <w:basedOn w:val="DefaultParagraphFont"/>
    <w:uiPriority w:val="99"/>
    <w:semiHidden/>
    <w:unhideWhenUsed/>
    <w:rsid w:val="006B52DE"/>
    <w:rPr>
      <w:color w:val="605E5C"/>
      <w:shd w:val="clear" w:color="auto" w:fill="E1DFDD"/>
    </w:rPr>
  </w:style>
  <w:style w:type="character" w:customStyle="1" w:styleId="Heading3Char">
    <w:name w:val="Heading 3 Char"/>
    <w:basedOn w:val="DefaultParagraphFont"/>
    <w:link w:val="Heading3"/>
    <w:rsid w:val="00800CCD"/>
    <w:rPr>
      <w:rFonts w:ascii="Arial" w:hAnsi="Arial" w:cs="Arial"/>
      <w:b/>
      <w:bCs/>
      <w:sz w:val="20"/>
      <w:szCs w:val="26"/>
    </w:rPr>
  </w:style>
  <w:style w:type="paragraph" w:customStyle="1" w:styleId="Paragraph">
    <w:name w:val="Paragraph"/>
    <w:basedOn w:val="Normal"/>
    <w:qFormat/>
    <w:rsid w:val="00A824E8"/>
    <w:rPr>
      <w:rFonts w:cs="Arial"/>
    </w:rPr>
  </w:style>
  <w:style w:type="paragraph" w:customStyle="1" w:styleId="Bulletlevel2">
    <w:name w:val="Bullet level 2"/>
    <w:basedOn w:val="ListBullet2"/>
    <w:uiPriority w:val="7"/>
    <w:qFormat/>
    <w:rsid w:val="00A824E8"/>
    <w:rPr>
      <w:rFonts w:cs="Arial"/>
    </w:rPr>
  </w:style>
  <w:style w:type="paragraph" w:customStyle="1" w:styleId="Bulletlevel1last">
    <w:name w:val="Bullet level 1 last"/>
    <w:basedOn w:val="ListBulletLast"/>
    <w:uiPriority w:val="6"/>
    <w:qFormat/>
    <w:rsid w:val="00A824E8"/>
  </w:style>
  <w:style w:type="paragraph" w:customStyle="1" w:styleId="Numberlistlevel2">
    <w:name w:val="Number list level 2"/>
    <w:basedOn w:val="ListNumber2"/>
    <w:uiPriority w:val="11"/>
    <w:qFormat/>
    <w:rsid w:val="004A70D6"/>
  </w:style>
  <w:style w:type="paragraph" w:customStyle="1" w:styleId="Numberlistlast">
    <w:name w:val="Number list last"/>
    <w:basedOn w:val="ListNumberLast"/>
    <w:uiPriority w:val="10"/>
    <w:qFormat/>
    <w:rsid w:val="004A70D6"/>
  </w:style>
  <w:style w:type="paragraph" w:customStyle="1" w:styleId="Numberlistlevel2last">
    <w:name w:val="Number list level 2 last"/>
    <w:basedOn w:val="Numberlistlevel2"/>
    <w:uiPriority w:val="12"/>
    <w:qFormat/>
    <w:rsid w:val="004A70D6"/>
    <w:pPr>
      <w:spacing w:after="240"/>
    </w:pPr>
  </w:style>
  <w:style w:type="paragraph" w:customStyle="1" w:styleId="Bulletlevel2last">
    <w:name w:val="Bullet level 2 last"/>
    <w:basedOn w:val="Bulletlevel2"/>
    <w:uiPriority w:val="8"/>
    <w:qFormat/>
    <w:rsid w:val="004A70D6"/>
    <w:pPr>
      <w:spacing w:after="240"/>
    </w:pPr>
  </w:style>
  <w:style w:type="table" w:customStyle="1" w:styleId="ACMAtablestyle">
    <w:name w:val="ACMA table style"/>
    <w:basedOn w:val="TableNormal"/>
    <w:uiPriority w:val="99"/>
    <w:rsid w:val="0063346D"/>
    <w:rPr>
      <w:rFonts w:ascii="Arial" w:hAnsi="Arial"/>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blStylePr w:type="firstRow">
      <w:rPr>
        <w:rFonts w:ascii="Arial" w:hAnsi="Arial"/>
        <w:b w:val="0"/>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nil"/>
          <w:insideV w:val="nil"/>
        </w:tcBorders>
        <w:shd w:val="clear" w:color="auto" w:fill="404040" w:themeFill="text1" w:themeFillTint="BF"/>
      </w:tcPr>
    </w:tblStylePr>
    <w:tblStylePr w:type="band1Horz">
      <w:rPr>
        <w:rFonts w:ascii="Arial" w:hAnsi="Arial"/>
        <w:sz w:val="20"/>
      </w:rPr>
      <w:tblPr/>
      <w:tcPr>
        <w:shd w:val="clear" w:color="auto" w:fill="F2F2F2" w:themeFill="background1" w:themeFillShade="F2"/>
      </w:tcPr>
    </w:tblStylePr>
    <w:tblStylePr w:type="band2Horz">
      <w:rPr>
        <w:rFonts w:ascii="Arial" w:hAnsi="Arial"/>
        <w:sz w:val="20"/>
      </w:rPr>
    </w:tblStylePr>
  </w:style>
  <w:style w:type="paragraph" w:customStyle="1" w:styleId="Tableheading">
    <w:name w:val="Table heading"/>
    <w:basedOn w:val="ACMATableHeader"/>
    <w:next w:val="Paragraph"/>
    <w:uiPriority w:val="13"/>
    <w:qFormat/>
    <w:rsid w:val="0063346D"/>
    <w:pPr>
      <w:keepNext/>
      <w:spacing w:line="240" w:lineRule="atLeast"/>
    </w:pPr>
  </w:style>
  <w:style w:type="paragraph" w:customStyle="1" w:styleId="Tableorfigurenote">
    <w:name w:val="Table or figure note"/>
    <w:basedOn w:val="ACMANotes"/>
    <w:uiPriority w:val="17"/>
    <w:qFormat/>
    <w:rsid w:val="00930510"/>
    <w:pPr>
      <w:spacing w:after="240"/>
    </w:pPr>
  </w:style>
  <w:style w:type="paragraph" w:customStyle="1" w:styleId="Figureheading">
    <w:name w:val="Figure heading"/>
    <w:basedOn w:val="ACMAFigureHeader"/>
    <w:next w:val="Paragraph"/>
    <w:uiPriority w:val="16"/>
    <w:qFormat/>
    <w:rsid w:val="0063346D"/>
    <w:pPr>
      <w:keepNext/>
      <w:spacing w:line="240" w:lineRule="atLeast"/>
    </w:pPr>
  </w:style>
  <w:style w:type="paragraph" w:customStyle="1" w:styleId="Tableorfigurenotemultiple">
    <w:name w:val="Table or figure note multiple"/>
    <w:basedOn w:val="Tableorfigurenote"/>
    <w:uiPriority w:val="18"/>
    <w:qFormat/>
    <w:rsid w:val="00930510"/>
    <w:pPr>
      <w:spacing w:after="80"/>
    </w:pPr>
  </w:style>
  <w:style w:type="paragraph" w:styleId="BalloonText">
    <w:name w:val="Balloon Text"/>
    <w:basedOn w:val="Normal"/>
    <w:link w:val="BalloonTextChar"/>
    <w:semiHidden/>
    <w:unhideWhenUsed/>
    <w:rsid w:val="003933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3933E8"/>
    <w:rPr>
      <w:rFonts w:ascii="Segoe UI" w:hAnsi="Segoe UI" w:cs="Segoe UI"/>
      <w:sz w:val="18"/>
      <w:szCs w:val="18"/>
    </w:rPr>
  </w:style>
  <w:style w:type="paragraph" w:customStyle="1" w:styleId="Note">
    <w:name w:val="Note"/>
    <w:basedOn w:val="ACMANotes"/>
    <w:uiPriority w:val="23"/>
    <w:semiHidden/>
    <w:qFormat/>
    <w:rsid w:val="00D61243"/>
  </w:style>
  <w:style w:type="paragraph" w:customStyle="1" w:styleId="ACMABulletLevel1">
    <w:name w:val="ACMA Bullet Level 1"/>
    <w:rsid w:val="005C34EF"/>
    <w:pPr>
      <w:numPr>
        <w:numId w:val="16"/>
      </w:numPr>
      <w:tabs>
        <w:tab w:val="num" w:pos="-31680"/>
      </w:tabs>
      <w:spacing w:after="120"/>
    </w:pPr>
    <w:rPr>
      <w:szCs w:val="20"/>
      <w:lang w:eastAsia="en-US"/>
    </w:rPr>
  </w:style>
  <w:style w:type="paragraph" w:customStyle="1" w:styleId="Protectivemarking">
    <w:name w:val="Protective marking"/>
    <w:basedOn w:val="ACMABulletLevel1"/>
    <w:uiPriority w:val="99"/>
    <w:qFormat/>
    <w:rsid w:val="005C34EF"/>
    <w:pPr>
      <w:numPr>
        <w:numId w:val="0"/>
      </w:numPr>
      <w:tabs>
        <w:tab w:val="left" w:pos="720"/>
      </w:tabs>
      <w:spacing w:after="0"/>
      <w:jc w:val="center"/>
    </w:pPr>
    <w:rPr>
      <w:rFonts w:ascii="Arial" w:hAnsi="Arial" w:cs="Arial"/>
      <w:b/>
      <w:bCs/>
      <w:color w:val="FF0000"/>
      <w:sz w:val="32"/>
      <w:szCs w:val="24"/>
    </w:rPr>
  </w:style>
  <w:style w:type="paragraph" w:customStyle="1" w:styleId="ACMASpaceaftertable">
    <w:name w:val="ACMA_Space after table"/>
    <w:basedOn w:val="Normal"/>
    <w:qFormat/>
    <w:rsid w:val="004F5F28"/>
    <w:rPr>
      <w:rFonts w:cs="Arial"/>
    </w:rPr>
  </w:style>
  <w:style w:type="character" w:customStyle="1" w:styleId="FootnoteTextChar">
    <w:name w:val="Footnote Text Char"/>
    <w:aliases w:val="Footnote text Char,ACMA Footnote Text Char,footnote text Char,Footnote Text Char1 Char,Footnote Text Char Char Char,Footnote Text Char1 Char Char Char,Footnote Text Char Char Char Char Char,Footnote Text Char1 Char Char Char Char Char"/>
    <w:basedOn w:val="DefaultParagraphFont"/>
    <w:link w:val="FootnoteText"/>
    <w:uiPriority w:val="99"/>
    <w:rsid w:val="004F5F28"/>
    <w:rPr>
      <w:rFonts w:ascii="Arial" w:hAnsi="Arial"/>
      <w:sz w:val="16"/>
      <w:szCs w:val="16"/>
    </w:rPr>
  </w:style>
  <w:style w:type="paragraph" w:customStyle="1" w:styleId="TableHeading0">
    <w:name w:val="Table Heading"/>
    <w:basedOn w:val="Normal"/>
    <w:qFormat/>
    <w:rsid w:val="00494B73"/>
    <w:pPr>
      <w:spacing w:after="0"/>
    </w:pPr>
    <w:rPr>
      <w:b/>
    </w:rPr>
  </w:style>
  <w:style w:type="paragraph" w:customStyle="1" w:styleId="ACMANumberedList">
    <w:name w:val="ACMA Numbered List"/>
    <w:rsid w:val="00494B73"/>
    <w:pPr>
      <w:numPr>
        <w:numId w:val="22"/>
      </w:numPr>
      <w:spacing w:before="20" w:after="20"/>
    </w:pPr>
    <w:rPr>
      <w:szCs w:val="20"/>
      <w:lang w:eastAsia="en-US"/>
    </w:rPr>
  </w:style>
  <w:style w:type="paragraph" w:styleId="ListParagraph">
    <w:name w:val="List Paragraph"/>
    <w:basedOn w:val="Normal"/>
    <w:uiPriority w:val="34"/>
    <w:qFormat/>
    <w:rsid w:val="003B1F5E"/>
    <w:pPr>
      <w:ind w:left="720"/>
      <w:contextualSpacing/>
    </w:pPr>
  </w:style>
  <w:style w:type="table" w:styleId="GridTable4">
    <w:name w:val="Grid Table 4"/>
    <w:basedOn w:val="TableNormal"/>
    <w:uiPriority w:val="49"/>
    <w:rsid w:val="003B1F5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ableTextform">
    <w:name w:val="TableText form"/>
    <w:basedOn w:val="Normal"/>
    <w:qFormat/>
    <w:rsid w:val="00C070A3"/>
    <w:pPr>
      <w:spacing w:before="40" w:line="240" w:lineRule="auto"/>
    </w:pPr>
    <w:rPr>
      <w:rFonts w:eastAsiaTheme="majorEastAsia" w:cs="Arial"/>
      <w:bCs/>
      <w:szCs w:val="20"/>
      <w:lang w:eastAsia="en-US"/>
    </w:rPr>
  </w:style>
  <w:style w:type="paragraph" w:styleId="Revision">
    <w:name w:val="Revision"/>
    <w:hidden/>
    <w:semiHidden/>
    <w:rsid w:val="00FC2C4C"/>
    <w:rPr>
      <w:rFonts w:ascii="Arial" w:hAnsi="Arial"/>
      <w:sz w:val="20"/>
    </w:rPr>
  </w:style>
  <w:style w:type="paragraph" w:styleId="NormalWeb">
    <w:name w:val="Normal (Web)"/>
    <w:basedOn w:val="Normal"/>
    <w:semiHidden/>
    <w:unhideWhenUsed/>
    <w:rsid w:val="0093483D"/>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46606">
      <w:bodyDiv w:val="1"/>
      <w:marLeft w:val="0"/>
      <w:marRight w:val="0"/>
      <w:marTop w:val="0"/>
      <w:marBottom w:val="0"/>
      <w:divBdr>
        <w:top w:val="none" w:sz="0" w:space="0" w:color="auto"/>
        <w:left w:val="none" w:sz="0" w:space="0" w:color="auto"/>
        <w:bottom w:val="none" w:sz="0" w:space="0" w:color="auto"/>
        <w:right w:val="none" w:sz="0" w:space="0" w:color="auto"/>
      </w:divBdr>
    </w:div>
    <w:div w:id="38435858">
      <w:bodyDiv w:val="1"/>
      <w:marLeft w:val="0"/>
      <w:marRight w:val="0"/>
      <w:marTop w:val="0"/>
      <w:marBottom w:val="0"/>
      <w:divBdr>
        <w:top w:val="none" w:sz="0" w:space="0" w:color="auto"/>
        <w:left w:val="none" w:sz="0" w:space="0" w:color="auto"/>
        <w:bottom w:val="none" w:sz="0" w:space="0" w:color="auto"/>
        <w:right w:val="none" w:sz="0" w:space="0" w:color="auto"/>
      </w:divBdr>
    </w:div>
    <w:div w:id="141586860">
      <w:bodyDiv w:val="1"/>
      <w:marLeft w:val="0"/>
      <w:marRight w:val="0"/>
      <w:marTop w:val="0"/>
      <w:marBottom w:val="0"/>
      <w:divBdr>
        <w:top w:val="none" w:sz="0" w:space="0" w:color="auto"/>
        <w:left w:val="none" w:sz="0" w:space="0" w:color="auto"/>
        <w:bottom w:val="none" w:sz="0" w:space="0" w:color="auto"/>
        <w:right w:val="none" w:sz="0" w:space="0" w:color="auto"/>
      </w:divBdr>
    </w:div>
    <w:div w:id="263271258">
      <w:bodyDiv w:val="1"/>
      <w:marLeft w:val="0"/>
      <w:marRight w:val="0"/>
      <w:marTop w:val="0"/>
      <w:marBottom w:val="0"/>
      <w:divBdr>
        <w:top w:val="none" w:sz="0" w:space="0" w:color="auto"/>
        <w:left w:val="none" w:sz="0" w:space="0" w:color="auto"/>
        <w:bottom w:val="none" w:sz="0" w:space="0" w:color="auto"/>
        <w:right w:val="none" w:sz="0" w:space="0" w:color="auto"/>
      </w:divBdr>
    </w:div>
    <w:div w:id="282813674">
      <w:bodyDiv w:val="1"/>
      <w:marLeft w:val="0"/>
      <w:marRight w:val="0"/>
      <w:marTop w:val="0"/>
      <w:marBottom w:val="0"/>
      <w:divBdr>
        <w:top w:val="none" w:sz="0" w:space="0" w:color="auto"/>
        <w:left w:val="none" w:sz="0" w:space="0" w:color="auto"/>
        <w:bottom w:val="none" w:sz="0" w:space="0" w:color="auto"/>
        <w:right w:val="none" w:sz="0" w:space="0" w:color="auto"/>
      </w:divBdr>
    </w:div>
    <w:div w:id="348793622">
      <w:bodyDiv w:val="1"/>
      <w:marLeft w:val="0"/>
      <w:marRight w:val="0"/>
      <w:marTop w:val="0"/>
      <w:marBottom w:val="0"/>
      <w:divBdr>
        <w:top w:val="none" w:sz="0" w:space="0" w:color="auto"/>
        <w:left w:val="none" w:sz="0" w:space="0" w:color="auto"/>
        <w:bottom w:val="none" w:sz="0" w:space="0" w:color="auto"/>
        <w:right w:val="none" w:sz="0" w:space="0" w:color="auto"/>
      </w:divBdr>
    </w:div>
    <w:div w:id="441537960">
      <w:bodyDiv w:val="1"/>
      <w:marLeft w:val="0"/>
      <w:marRight w:val="0"/>
      <w:marTop w:val="0"/>
      <w:marBottom w:val="0"/>
      <w:divBdr>
        <w:top w:val="none" w:sz="0" w:space="0" w:color="auto"/>
        <w:left w:val="none" w:sz="0" w:space="0" w:color="auto"/>
        <w:bottom w:val="none" w:sz="0" w:space="0" w:color="auto"/>
        <w:right w:val="none" w:sz="0" w:space="0" w:color="auto"/>
      </w:divBdr>
    </w:div>
    <w:div w:id="456724955">
      <w:bodyDiv w:val="1"/>
      <w:marLeft w:val="0"/>
      <w:marRight w:val="0"/>
      <w:marTop w:val="0"/>
      <w:marBottom w:val="0"/>
      <w:divBdr>
        <w:top w:val="none" w:sz="0" w:space="0" w:color="auto"/>
        <w:left w:val="none" w:sz="0" w:space="0" w:color="auto"/>
        <w:bottom w:val="none" w:sz="0" w:space="0" w:color="auto"/>
        <w:right w:val="none" w:sz="0" w:space="0" w:color="auto"/>
      </w:divBdr>
    </w:div>
    <w:div w:id="576784553">
      <w:bodyDiv w:val="1"/>
      <w:marLeft w:val="0"/>
      <w:marRight w:val="0"/>
      <w:marTop w:val="0"/>
      <w:marBottom w:val="0"/>
      <w:divBdr>
        <w:top w:val="none" w:sz="0" w:space="0" w:color="auto"/>
        <w:left w:val="none" w:sz="0" w:space="0" w:color="auto"/>
        <w:bottom w:val="none" w:sz="0" w:space="0" w:color="auto"/>
        <w:right w:val="none" w:sz="0" w:space="0" w:color="auto"/>
      </w:divBdr>
    </w:div>
    <w:div w:id="623970456">
      <w:bodyDiv w:val="1"/>
      <w:marLeft w:val="0"/>
      <w:marRight w:val="0"/>
      <w:marTop w:val="0"/>
      <w:marBottom w:val="0"/>
      <w:divBdr>
        <w:top w:val="none" w:sz="0" w:space="0" w:color="auto"/>
        <w:left w:val="none" w:sz="0" w:space="0" w:color="auto"/>
        <w:bottom w:val="none" w:sz="0" w:space="0" w:color="auto"/>
        <w:right w:val="none" w:sz="0" w:space="0" w:color="auto"/>
      </w:divBdr>
    </w:div>
    <w:div w:id="636032094">
      <w:bodyDiv w:val="1"/>
      <w:marLeft w:val="0"/>
      <w:marRight w:val="0"/>
      <w:marTop w:val="0"/>
      <w:marBottom w:val="0"/>
      <w:divBdr>
        <w:top w:val="none" w:sz="0" w:space="0" w:color="auto"/>
        <w:left w:val="none" w:sz="0" w:space="0" w:color="auto"/>
        <w:bottom w:val="none" w:sz="0" w:space="0" w:color="auto"/>
        <w:right w:val="none" w:sz="0" w:space="0" w:color="auto"/>
      </w:divBdr>
    </w:div>
    <w:div w:id="975767465">
      <w:bodyDiv w:val="1"/>
      <w:marLeft w:val="0"/>
      <w:marRight w:val="0"/>
      <w:marTop w:val="0"/>
      <w:marBottom w:val="0"/>
      <w:divBdr>
        <w:top w:val="none" w:sz="0" w:space="0" w:color="auto"/>
        <w:left w:val="none" w:sz="0" w:space="0" w:color="auto"/>
        <w:bottom w:val="none" w:sz="0" w:space="0" w:color="auto"/>
        <w:right w:val="none" w:sz="0" w:space="0" w:color="auto"/>
      </w:divBdr>
    </w:div>
    <w:div w:id="1161654624">
      <w:bodyDiv w:val="1"/>
      <w:marLeft w:val="0"/>
      <w:marRight w:val="0"/>
      <w:marTop w:val="0"/>
      <w:marBottom w:val="0"/>
      <w:divBdr>
        <w:top w:val="none" w:sz="0" w:space="0" w:color="auto"/>
        <w:left w:val="none" w:sz="0" w:space="0" w:color="auto"/>
        <w:bottom w:val="none" w:sz="0" w:space="0" w:color="auto"/>
        <w:right w:val="none" w:sz="0" w:space="0" w:color="auto"/>
      </w:divBdr>
    </w:div>
    <w:div w:id="1177500121">
      <w:bodyDiv w:val="1"/>
      <w:marLeft w:val="0"/>
      <w:marRight w:val="0"/>
      <w:marTop w:val="0"/>
      <w:marBottom w:val="0"/>
      <w:divBdr>
        <w:top w:val="none" w:sz="0" w:space="0" w:color="auto"/>
        <w:left w:val="none" w:sz="0" w:space="0" w:color="auto"/>
        <w:bottom w:val="none" w:sz="0" w:space="0" w:color="auto"/>
        <w:right w:val="none" w:sz="0" w:space="0" w:color="auto"/>
      </w:divBdr>
    </w:div>
    <w:div w:id="1236672694">
      <w:bodyDiv w:val="1"/>
      <w:marLeft w:val="0"/>
      <w:marRight w:val="0"/>
      <w:marTop w:val="0"/>
      <w:marBottom w:val="0"/>
      <w:divBdr>
        <w:top w:val="none" w:sz="0" w:space="0" w:color="auto"/>
        <w:left w:val="none" w:sz="0" w:space="0" w:color="auto"/>
        <w:bottom w:val="none" w:sz="0" w:space="0" w:color="auto"/>
        <w:right w:val="none" w:sz="0" w:space="0" w:color="auto"/>
      </w:divBdr>
    </w:div>
    <w:div w:id="1409771268">
      <w:bodyDiv w:val="1"/>
      <w:marLeft w:val="0"/>
      <w:marRight w:val="0"/>
      <w:marTop w:val="0"/>
      <w:marBottom w:val="0"/>
      <w:divBdr>
        <w:top w:val="none" w:sz="0" w:space="0" w:color="auto"/>
        <w:left w:val="none" w:sz="0" w:space="0" w:color="auto"/>
        <w:bottom w:val="none" w:sz="0" w:space="0" w:color="auto"/>
        <w:right w:val="none" w:sz="0" w:space="0" w:color="auto"/>
      </w:divBdr>
    </w:div>
    <w:div w:id="1551569744">
      <w:bodyDiv w:val="1"/>
      <w:marLeft w:val="0"/>
      <w:marRight w:val="0"/>
      <w:marTop w:val="0"/>
      <w:marBottom w:val="0"/>
      <w:divBdr>
        <w:top w:val="none" w:sz="0" w:space="0" w:color="auto"/>
        <w:left w:val="none" w:sz="0" w:space="0" w:color="auto"/>
        <w:bottom w:val="none" w:sz="0" w:space="0" w:color="auto"/>
        <w:right w:val="none" w:sz="0" w:space="0" w:color="auto"/>
      </w:divBdr>
    </w:div>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 w:id="1615595320">
      <w:bodyDiv w:val="1"/>
      <w:marLeft w:val="0"/>
      <w:marRight w:val="0"/>
      <w:marTop w:val="0"/>
      <w:marBottom w:val="0"/>
      <w:divBdr>
        <w:top w:val="none" w:sz="0" w:space="0" w:color="auto"/>
        <w:left w:val="none" w:sz="0" w:space="0" w:color="auto"/>
        <w:bottom w:val="none" w:sz="0" w:space="0" w:color="auto"/>
        <w:right w:val="none" w:sz="0" w:space="0" w:color="auto"/>
      </w:divBdr>
    </w:div>
    <w:div w:id="1672416919">
      <w:bodyDiv w:val="1"/>
      <w:marLeft w:val="0"/>
      <w:marRight w:val="0"/>
      <w:marTop w:val="0"/>
      <w:marBottom w:val="0"/>
      <w:divBdr>
        <w:top w:val="none" w:sz="0" w:space="0" w:color="auto"/>
        <w:left w:val="none" w:sz="0" w:space="0" w:color="auto"/>
        <w:bottom w:val="none" w:sz="0" w:space="0" w:color="auto"/>
        <w:right w:val="none" w:sz="0" w:space="0" w:color="auto"/>
      </w:divBdr>
    </w:div>
    <w:div w:id="1779326838">
      <w:bodyDiv w:val="1"/>
      <w:marLeft w:val="0"/>
      <w:marRight w:val="0"/>
      <w:marTop w:val="0"/>
      <w:marBottom w:val="0"/>
      <w:divBdr>
        <w:top w:val="none" w:sz="0" w:space="0" w:color="auto"/>
        <w:left w:val="none" w:sz="0" w:space="0" w:color="auto"/>
        <w:bottom w:val="none" w:sz="0" w:space="0" w:color="auto"/>
        <w:right w:val="none" w:sz="0" w:space="0" w:color="auto"/>
      </w:divBdr>
    </w:div>
    <w:div w:id="192591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creativecommons.org/licenses/by/4.0/" TargetMode="External"/><Relationship Id="rId18" Type="http://schemas.openxmlformats.org/officeDocument/2006/relationships/footer" Target="footer3.xml"/><Relationship Id="rId26" Type="http://schemas.openxmlformats.org/officeDocument/2006/relationships/hyperlink" Target="https://www.legislation.gov.au/Details/F2018C00564" TargetMode="External"/><Relationship Id="rId39" Type="http://schemas.openxmlformats.org/officeDocument/2006/relationships/hyperlink" Target="https://www.acma.gov.au/consultations/2019-08/proposed-area-wide-apparatus-licence-consultation-192019?utm_medium=email&amp;utm_campaign=ACMA%20releases%20response%20to%20submissions%20and%20approach%20to%20introducing%20area-wide%20licence%20types&amp;utm_content=ACMA%20releases%20response%20to%20submissions%20and%20approach%20to%20introducing%20area-wide%20licence%20types+CID_d1a0469099c729162681a7e17b8942ca&amp;utm_source=SendEmailCampaigns&amp;utm_term=summary%20of%20submissions" TargetMode="External"/><Relationship Id="rId21" Type="http://schemas.openxmlformats.org/officeDocument/2006/relationships/footer" Target="footer4.xml"/><Relationship Id="rId34" Type="http://schemas.openxmlformats.org/officeDocument/2006/relationships/hyperlink" Target="https://www.acma.gov.au/sites/default/files/2019-11/Future-use-of-the-28-GHz-band-Final.docx" TargetMode="External"/><Relationship Id="rId42" Type="http://schemas.openxmlformats.org/officeDocument/2006/relationships/hyperlink" Target="https://www.acma.gov.au/spectrum-licence-technical-liaison-groups" TargetMode="External"/><Relationship Id="rId47" Type="http://schemas.openxmlformats.org/officeDocument/2006/relationships/hyperlink" Target="https://www.legislation.gov.au/Details/F2018C00564" TargetMode="External"/><Relationship Id="rId50" Type="http://schemas.openxmlformats.org/officeDocument/2006/relationships/hyperlink" Target="https://www.acma.gov.au/publication-submissions" TargetMode="External"/><Relationship Id="rId55"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5" Type="http://schemas.openxmlformats.org/officeDocument/2006/relationships/hyperlink" Target="https://www.legislation.gov.au/Details/F2019L01374" TargetMode="External"/><Relationship Id="rId33" Type="http://schemas.openxmlformats.org/officeDocument/2006/relationships/hyperlink" Target="https://www.acma.gov.au/consultations/2019-08/planning-options-28-ghz-band-consultation-092019" TargetMode="External"/><Relationship Id="rId38" Type="http://schemas.openxmlformats.org/officeDocument/2006/relationships/hyperlink" Target="https://www.legislation.gov.au/Details/F2019C00681" TargetMode="External"/><Relationship Id="rId46"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s://www.communications.gov.au/have-your-say/exposure-draft-radiocommunications-legislation-amendment-reform-and-modernisation-bill" TargetMode="External"/><Relationship Id="rId41" Type="http://schemas.openxmlformats.org/officeDocument/2006/relationships/hyperlink" Target="https://www.acma.gov.au/consultations/2019-08/draft-spectrum-reallocation-recommendation-26-ghz-band-consultation-142019" TargetMode="External"/><Relationship Id="rId54"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creativecommons.org/l/by/3.0/88x31.png" TargetMode="External"/><Relationship Id="rId24" Type="http://schemas.openxmlformats.org/officeDocument/2006/relationships/footer" Target="footer6.xml"/><Relationship Id="rId32" Type="http://schemas.openxmlformats.org/officeDocument/2006/relationships/hyperlink" Target="https://www.acma.gov.au/sites/default/files/2019-08/IFC_32-2018-Future%20use%20of%20the%2026%20GHz%20band%E2%80%94Planning%20decisions%20and%20preliminary%20views.docx" TargetMode="External"/><Relationship Id="rId37" Type="http://schemas.openxmlformats.org/officeDocument/2006/relationships/hyperlink" Target="https://www.acma.gov.au/sites/default/files/2019-08/IFC_32-2018-Future%20use%20of%20the%2026%20GHz%20band%E2%80%94Planning%20decisions%20and%20preliminary%20views.docx" TargetMode="External"/><Relationship Id="rId40" Type="http://schemas.openxmlformats.org/officeDocument/2006/relationships/hyperlink" Target="https://www.acma.gov.au/sites/default/files/2019-08/IFC_32-2018-Future%20use%20of%20the%2026%20GHz%20band%E2%80%94Planning%20decisions%20and%20preliminary%20views.docx" TargetMode="External"/><Relationship Id="rId45" Type="http://schemas.openxmlformats.org/officeDocument/2006/relationships/hyperlink" Target="https://www.acma.gov.au/spectrum-licence-technical-liaison-groups" TargetMode="External"/><Relationship Id="rId53"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yperlink" Target="https://www.acma.gov.au/object-and-scope-radiocommunications-act-1992" TargetMode="External"/><Relationship Id="rId36" Type="http://schemas.openxmlformats.org/officeDocument/2006/relationships/image" Target="cid:image001.png@01D5DCD1.0503D330" TargetMode="External"/><Relationship Id="rId49" Type="http://schemas.openxmlformats.org/officeDocument/2006/relationships/hyperlink" Target="mailto:spectrumAllocations@acma.gov.au" TargetMode="External"/><Relationship Id="rId57"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yperlink" Target="https://www.acma.gov.au/sites/default/files/2019-08/IFC%2032-2018_Options%20paper_Wireless%20broadband%20in%20the%2026%20GHz%20band.docx" TargetMode="External"/><Relationship Id="rId44" Type="http://schemas.openxmlformats.org/officeDocument/2006/relationships/hyperlink" Target="http://www.acma.gov.au/theACMA/Library/Industry-library/Spectrum/know-your-obligationshelp-for-spectrum-licensees" TargetMode="External"/><Relationship Id="rId52" Type="http://schemas.openxmlformats.org/officeDocument/2006/relationships/header" Target="head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acma.gov.au" TargetMode="External"/><Relationship Id="rId22" Type="http://schemas.openxmlformats.org/officeDocument/2006/relationships/footer" Target="footer5.xml"/><Relationship Id="rId27" Type="http://schemas.openxmlformats.org/officeDocument/2006/relationships/hyperlink" Target="https://www.communications.gov.au/what-we-do/spectrum/spectrum-reform" TargetMode="External"/><Relationship Id="rId30" Type="http://schemas.openxmlformats.org/officeDocument/2006/relationships/hyperlink" Target="mailto:spectrumreform@communications.gov.au" TargetMode="External"/><Relationship Id="rId35" Type="http://schemas.openxmlformats.org/officeDocument/2006/relationships/image" Target="media/image4.png"/><Relationship Id="rId43" Type="http://schemas.openxmlformats.org/officeDocument/2006/relationships/hyperlink" Target="https://www.acma.gov.au/theACMA/Consultations/Consultations/Current-and-Closed-Consultations" TargetMode="External"/><Relationship Id="rId48" Type="http://schemas.openxmlformats.org/officeDocument/2006/relationships/hyperlink" Target="https://www.acma.gov.au/have-your-say" TargetMode="External"/><Relationship Id="rId56"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yperlink" Target="https://www.acma.gov.au/privacy-policy" TargetMode="Externa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acma.gov.a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acma.gov.au/sites/default/files/2019-10/The%20Australian%20spectrum%20map%20grid%202012.PDF" TargetMode="External"/><Relationship Id="rId2" Type="http://schemas.openxmlformats.org/officeDocument/2006/relationships/hyperlink" Target="https://www.itu.int/pub/R-ACT-WRC.14-2019/en" TargetMode="External"/><Relationship Id="rId1" Type="http://schemas.openxmlformats.org/officeDocument/2006/relationships/hyperlink" Target="https://www.itu.int/pub/R-REG-RR-2016" TargetMode="External"/><Relationship Id="rId5" Type="http://schemas.openxmlformats.org/officeDocument/2006/relationships/hyperlink" Target="https://www.acma.gov.au/sites/default/files/2019-08/australian-spectrum-map-grid-2012%20pdf.pdf" TargetMode="External"/><Relationship Id="rId4" Type="http://schemas.openxmlformats.org/officeDocument/2006/relationships/hyperlink" Target="https://www.acma.gov.au/sites/default/files/2019-11/Digital%20elevation%20model%20interpretation%20-%202013_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https://acmagovau-my.sharepoint.com/personal/daniel_gocentas_acma_gov_au/Documents/Documents/My%20Documents/26%20GHz%20band/FSS%20sharing/FSS%20uplinks/NBN_Sat_Mask.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EIRP (for TRP = 40 dBm/200 MHz)</c:v>
          </c:tx>
          <c:spPr>
            <a:ln w="19050" cap="rnd">
              <a:solidFill>
                <a:schemeClr val="accent1"/>
              </a:solidFill>
              <a:round/>
            </a:ln>
            <a:effectLst/>
          </c:spPr>
          <c:marker>
            <c:symbol val="none"/>
          </c:marker>
          <c:xVal>
            <c:numRef>
              <c:f>Sheet2!$F$2:$F$92</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Sheet2!$J$2:$J$92</c:f>
              <c:numCache>
                <c:formatCode>General</c:formatCode>
                <c:ptCount val="91"/>
                <c:pt idx="0">
                  <c:v>63.061799739838904</c:v>
                </c:pt>
                <c:pt idx="1">
                  <c:v>62.990305990770096</c:v>
                </c:pt>
                <c:pt idx="2">
                  <c:v>62.774549289297696</c:v>
                </c:pt>
                <c:pt idx="3">
                  <c:v>62.410582639797902</c:v>
                </c:pt>
                <c:pt idx="4">
                  <c:v>61.891400023780001</c:v>
                </c:pt>
                <c:pt idx="5">
                  <c:v>61.206195528736401</c:v>
                </c:pt>
                <c:pt idx="6">
                  <c:v>60.3390861416379</c:v>
                </c:pt>
                <c:pt idx="7">
                  <c:v>59.2669337990068</c:v>
                </c:pt>
                <c:pt idx="8">
                  <c:v>57.9555190763326</c:v>
                </c:pt>
                <c:pt idx="9">
                  <c:v>56.352422023511295</c:v>
                </c:pt>
                <c:pt idx="10">
                  <c:v>54.372605484766801</c:v>
                </c:pt>
                <c:pt idx="11">
                  <c:v>51.865465572846603</c:v>
                </c:pt>
                <c:pt idx="12">
                  <c:v>48.524615969948492</c:v>
                </c:pt>
                <c:pt idx="13">
                  <c:v>43.553422712875147</c:v>
                </c:pt>
                <c:pt idx="14">
                  <c:v>33.172943279552349</c:v>
                </c:pt>
                <c:pt idx="15">
                  <c:v>33.294072255019891</c:v>
                </c:pt>
                <c:pt idx="16">
                  <c:v>41.827720828356362</c:v>
                </c:pt>
                <c:pt idx="17">
                  <c:v>45.35691613515295</c:v>
                </c:pt>
                <c:pt idx="18">
                  <c:v>47.293909280935218</c:v>
                </c:pt>
                <c:pt idx="19">
                  <c:v>48.385272112319349</c:v>
                </c:pt>
                <c:pt idx="20">
                  <c:v>48.914084256209478</c:v>
                </c:pt>
                <c:pt idx="21">
                  <c:v>49.011044556827137</c:v>
                </c:pt>
                <c:pt idx="22">
                  <c:v>48.738478407503599</c:v>
                </c:pt>
                <c:pt idx="23">
                  <c:v>48.119068956667064</c:v>
                </c:pt>
                <c:pt idx="24">
                  <c:v>47.144650905140402</c:v>
                </c:pt>
                <c:pt idx="25">
                  <c:v>45.773270725369613</c:v>
                </c:pt>
                <c:pt idx="26">
                  <c:v>43.911931533193858</c:v>
                </c:pt>
                <c:pt idx="27">
                  <c:v>41.366947531595571</c:v>
                </c:pt>
                <c:pt idx="28">
                  <c:v>37.684900372468661</c:v>
                </c:pt>
                <c:pt idx="29">
                  <c:v>31.39669670616173</c:v>
                </c:pt>
                <c:pt idx="30">
                  <c:v>-251.54556799464598</c:v>
                </c:pt>
                <c:pt idx="31">
                  <c:v>30.55671186498779</c:v>
                </c:pt>
                <c:pt idx="32">
                  <c:v>36.009902132898119</c:v>
                </c:pt>
                <c:pt idx="33">
                  <c:v>38.867170147716628</c:v>
                </c:pt>
                <c:pt idx="34">
                  <c:v>40.60350098865915</c:v>
                </c:pt>
                <c:pt idx="35">
                  <c:v>41.679276793872042</c:v>
                </c:pt>
                <c:pt idx="36">
                  <c:v>42.296859952205502</c:v>
                </c:pt>
                <c:pt idx="37">
                  <c:v>42.560635643224252</c:v>
                </c:pt>
                <c:pt idx="38">
                  <c:v>42.528319695608772</c:v>
                </c:pt>
                <c:pt idx="39">
                  <c:v>42.231166616604682</c:v>
                </c:pt>
                <c:pt idx="40">
                  <c:v>41.682556904149827</c:v>
                </c:pt>
                <c:pt idx="41">
                  <c:v>40.881038159358226</c:v>
                </c:pt>
                <c:pt idx="42">
                  <c:v>39.809608530389113</c:v>
                </c:pt>
                <c:pt idx="43">
                  <c:v>38.430824534071377</c:v>
                </c:pt>
                <c:pt idx="44">
                  <c:v>36.674650818176822</c:v>
                </c:pt>
                <c:pt idx="45">
                  <c:v>34.409405896092402</c:v>
                </c:pt>
                <c:pt idx="46">
                  <c:v>31.362717178911872</c:v>
                </c:pt>
                <c:pt idx="47">
                  <c:v>26.839811771517702</c:v>
                </c:pt>
                <c:pt idx="48">
                  <c:v>17.876943129924801</c:v>
                </c:pt>
                <c:pt idx="49">
                  <c:v>14.280717028784299</c:v>
                </c:pt>
                <c:pt idx="50">
                  <c:v>24.531399335220001</c:v>
                </c:pt>
                <c:pt idx="51">
                  <c:v>28.6451553641472</c:v>
                </c:pt>
                <c:pt idx="52">
                  <c:v>31.060221039659552</c:v>
                </c:pt>
                <c:pt idx="53">
                  <c:v>32.639347816390128</c:v>
                </c:pt>
                <c:pt idx="54">
                  <c:v>33.707112419181819</c:v>
                </c:pt>
                <c:pt idx="55">
                  <c:v>34.421771025116101</c:v>
                </c:pt>
                <c:pt idx="56">
                  <c:v>34.872720201891781</c:v>
                </c:pt>
                <c:pt idx="57">
                  <c:v>35.115550764212237</c:v>
                </c:pt>
                <c:pt idx="58">
                  <c:v>35.187248014613587</c:v>
                </c:pt>
                <c:pt idx="59">
                  <c:v>35.113668508134992</c:v>
                </c:pt>
                <c:pt idx="60">
                  <c:v>34.91356938919612</c:v>
                </c:pt>
                <c:pt idx="61">
                  <c:v>34.6009350120028</c:v>
                </c:pt>
                <c:pt idx="62">
                  <c:v>34.186393912633548</c:v>
                </c:pt>
                <c:pt idx="63">
                  <c:v>33.678117965840492</c:v>
                </c:pt>
                <c:pt idx="64">
                  <c:v>33.08241054673816</c:v>
                </c:pt>
                <c:pt idx="65">
                  <c:v>32.404098790531009</c:v>
                </c:pt>
                <c:pt idx="66">
                  <c:v>31.646796709787282</c:v>
                </c:pt>
                <c:pt idx="67">
                  <c:v>30.813079054328128</c:v>
                </c:pt>
                <c:pt idx="68">
                  <c:v>29.904590068593201</c:v>
                </c:pt>
                <c:pt idx="69">
                  <c:v>28.922101565870598</c:v>
                </c:pt>
                <c:pt idx="70">
                  <c:v>27.865528271682102</c:v>
                </c:pt>
                <c:pt idx="71">
                  <c:v>26.7339036416938</c:v>
                </c:pt>
                <c:pt idx="72">
                  <c:v>25.525315356212602</c:v>
                </c:pt>
                <c:pt idx="73">
                  <c:v>24.2367957014018</c:v>
                </c:pt>
                <c:pt idx="74">
                  <c:v>22.864157365035499</c:v>
                </c:pt>
                <c:pt idx="75">
                  <c:v>21.401758937051699</c:v>
                </c:pt>
                <c:pt idx="76">
                  <c:v>19.842175332813898</c:v>
                </c:pt>
                <c:pt idx="77">
                  <c:v>18.1757343385894</c:v>
                </c:pt>
                <c:pt idx="78">
                  <c:v>16.3898577867113</c:v>
                </c:pt>
                <c:pt idx="79">
                  <c:v>14.468107572195599</c:v>
                </c:pt>
                <c:pt idx="80">
                  <c:v>12.3887692933667</c:v>
                </c:pt>
                <c:pt idx="81">
                  <c:v>10.122681893398902</c:v>
                </c:pt>
                <c:pt idx="82">
                  <c:v>7.6297794423999008</c:v>
                </c:pt>
                <c:pt idx="83">
                  <c:v>4.8533083018743994</c:v>
                </c:pt>
                <c:pt idx="84">
                  <c:v>1.709553873251501</c:v>
                </c:pt>
                <c:pt idx="85">
                  <c:v>-1.931885735929697</c:v>
                </c:pt>
                <c:pt idx="86">
                  <c:v>-6.2901197381688974</c:v>
                </c:pt>
                <c:pt idx="87">
                  <c:v>-11.7766029054063</c:v>
                </c:pt>
                <c:pt idx="88">
                  <c:v>-19.315863825245103</c:v>
                </c:pt>
                <c:pt idx="89">
                  <c:v>-31.859048266403207</c:v>
                </c:pt>
                <c:pt idx="90">
                  <c:v>-284.20450029877298</c:v>
                </c:pt>
              </c:numCache>
            </c:numRef>
          </c:yVal>
          <c:smooth val="0"/>
          <c:extLst>
            <c:ext xmlns:c16="http://schemas.microsoft.com/office/drawing/2014/chart" uri="{C3380CC4-5D6E-409C-BE32-E72D297353CC}">
              <c16:uniqueId val="{00000000-9037-494F-9EBB-48F627821048}"/>
            </c:ext>
          </c:extLst>
        </c:ser>
        <c:ser>
          <c:idx val="1"/>
          <c:order val="1"/>
          <c:tx>
            <c:v>25.1-27 GHz mask</c:v>
          </c:tx>
          <c:spPr>
            <a:ln w="19050" cap="rnd">
              <a:solidFill>
                <a:srgbClr val="FF0000"/>
              </a:solidFill>
              <a:round/>
            </a:ln>
            <a:effectLst/>
          </c:spPr>
          <c:marker>
            <c:symbol val="none"/>
          </c:marker>
          <c:xVal>
            <c:numRef>
              <c:f>Sheet2!$A$2:$A$87</c:f>
              <c:numCache>
                <c:formatCode>General</c:formatCode>
                <c:ptCount val="86"/>
                <c:pt idx="0">
                  <c:v>5</c:v>
                </c:pt>
                <c:pt idx="1">
                  <c:v>6</c:v>
                </c:pt>
                <c:pt idx="2">
                  <c:v>7</c:v>
                </c:pt>
                <c:pt idx="3">
                  <c:v>8</c:v>
                </c:pt>
                <c:pt idx="4">
                  <c:v>9</c:v>
                </c:pt>
                <c:pt idx="5">
                  <c:v>10</c:v>
                </c:pt>
                <c:pt idx="6">
                  <c:v>11</c:v>
                </c:pt>
                <c:pt idx="7">
                  <c:v>12</c:v>
                </c:pt>
                <c:pt idx="8">
                  <c:v>13</c:v>
                </c:pt>
                <c:pt idx="9">
                  <c:v>14</c:v>
                </c:pt>
                <c:pt idx="10">
                  <c:v>15</c:v>
                </c:pt>
                <c:pt idx="11">
                  <c:v>16</c:v>
                </c:pt>
                <c:pt idx="12">
                  <c:v>17</c:v>
                </c:pt>
                <c:pt idx="13">
                  <c:v>18</c:v>
                </c:pt>
                <c:pt idx="14">
                  <c:v>19</c:v>
                </c:pt>
                <c:pt idx="15">
                  <c:v>20</c:v>
                </c:pt>
                <c:pt idx="16">
                  <c:v>21</c:v>
                </c:pt>
                <c:pt idx="17">
                  <c:v>22</c:v>
                </c:pt>
                <c:pt idx="18">
                  <c:v>23</c:v>
                </c:pt>
                <c:pt idx="19">
                  <c:v>24</c:v>
                </c:pt>
                <c:pt idx="20">
                  <c:v>25</c:v>
                </c:pt>
                <c:pt idx="21">
                  <c:v>26</c:v>
                </c:pt>
                <c:pt idx="22">
                  <c:v>27</c:v>
                </c:pt>
                <c:pt idx="23">
                  <c:v>28</c:v>
                </c:pt>
                <c:pt idx="24">
                  <c:v>29</c:v>
                </c:pt>
                <c:pt idx="25">
                  <c:v>30</c:v>
                </c:pt>
                <c:pt idx="26">
                  <c:v>31</c:v>
                </c:pt>
                <c:pt idx="27">
                  <c:v>32</c:v>
                </c:pt>
                <c:pt idx="28">
                  <c:v>33</c:v>
                </c:pt>
                <c:pt idx="29">
                  <c:v>34</c:v>
                </c:pt>
                <c:pt idx="30">
                  <c:v>35</c:v>
                </c:pt>
                <c:pt idx="31">
                  <c:v>36</c:v>
                </c:pt>
                <c:pt idx="32">
                  <c:v>37</c:v>
                </c:pt>
                <c:pt idx="33">
                  <c:v>38</c:v>
                </c:pt>
                <c:pt idx="34">
                  <c:v>39</c:v>
                </c:pt>
                <c:pt idx="35">
                  <c:v>40</c:v>
                </c:pt>
                <c:pt idx="36">
                  <c:v>41</c:v>
                </c:pt>
                <c:pt idx="37">
                  <c:v>42</c:v>
                </c:pt>
                <c:pt idx="38">
                  <c:v>43</c:v>
                </c:pt>
                <c:pt idx="39">
                  <c:v>44</c:v>
                </c:pt>
                <c:pt idx="40">
                  <c:v>45</c:v>
                </c:pt>
                <c:pt idx="41">
                  <c:v>46</c:v>
                </c:pt>
                <c:pt idx="42">
                  <c:v>47</c:v>
                </c:pt>
                <c:pt idx="43">
                  <c:v>48</c:v>
                </c:pt>
                <c:pt idx="44">
                  <c:v>49</c:v>
                </c:pt>
                <c:pt idx="45">
                  <c:v>50</c:v>
                </c:pt>
                <c:pt idx="46">
                  <c:v>51</c:v>
                </c:pt>
                <c:pt idx="47">
                  <c:v>52</c:v>
                </c:pt>
                <c:pt idx="48">
                  <c:v>53</c:v>
                </c:pt>
                <c:pt idx="49">
                  <c:v>54</c:v>
                </c:pt>
                <c:pt idx="50">
                  <c:v>55</c:v>
                </c:pt>
                <c:pt idx="51">
                  <c:v>56</c:v>
                </c:pt>
                <c:pt idx="52">
                  <c:v>57</c:v>
                </c:pt>
                <c:pt idx="53">
                  <c:v>58</c:v>
                </c:pt>
                <c:pt idx="54">
                  <c:v>59</c:v>
                </c:pt>
                <c:pt idx="55">
                  <c:v>60</c:v>
                </c:pt>
                <c:pt idx="56">
                  <c:v>61</c:v>
                </c:pt>
                <c:pt idx="57">
                  <c:v>62</c:v>
                </c:pt>
                <c:pt idx="58">
                  <c:v>63</c:v>
                </c:pt>
                <c:pt idx="59">
                  <c:v>64</c:v>
                </c:pt>
                <c:pt idx="60">
                  <c:v>65</c:v>
                </c:pt>
                <c:pt idx="61">
                  <c:v>66</c:v>
                </c:pt>
                <c:pt idx="62">
                  <c:v>67</c:v>
                </c:pt>
                <c:pt idx="63">
                  <c:v>68</c:v>
                </c:pt>
                <c:pt idx="64">
                  <c:v>69</c:v>
                </c:pt>
                <c:pt idx="65">
                  <c:v>70</c:v>
                </c:pt>
                <c:pt idx="66">
                  <c:v>71</c:v>
                </c:pt>
                <c:pt idx="67">
                  <c:v>72</c:v>
                </c:pt>
                <c:pt idx="68">
                  <c:v>73</c:v>
                </c:pt>
                <c:pt idx="69">
                  <c:v>74</c:v>
                </c:pt>
                <c:pt idx="70">
                  <c:v>75</c:v>
                </c:pt>
                <c:pt idx="71">
                  <c:v>76</c:v>
                </c:pt>
                <c:pt idx="72">
                  <c:v>77</c:v>
                </c:pt>
                <c:pt idx="73">
                  <c:v>78</c:v>
                </c:pt>
                <c:pt idx="74">
                  <c:v>79</c:v>
                </c:pt>
                <c:pt idx="75">
                  <c:v>80</c:v>
                </c:pt>
                <c:pt idx="76">
                  <c:v>81</c:v>
                </c:pt>
                <c:pt idx="77">
                  <c:v>82</c:v>
                </c:pt>
                <c:pt idx="78">
                  <c:v>83</c:v>
                </c:pt>
                <c:pt idx="79">
                  <c:v>84</c:v>
                </c:pt>
                <c:pt idx="80">
                  <c:v>85</c:v>
                </c:pt>
                <c:pt idx="81">
                  <c:v>86</c:v>
                </c:pt>
                <c:pt idx="82">
                  <c:v>87</c:v>
                </c:pt>
                <c:pt idx="83">
                  <c:v>88</c:v>
                </c:pt>
                <c:pt idx="84">
                  <c:v>89</c:v>
                </c:pt>
                <c:pt idx="85">
                  <c:v>90</c:v>
                </c:pt>
              </c:numCache>
            </c:numRef>
          </c:xVal>
          <c:yVal>
            <c:numRef>
              <c:f>Sheet2!$C$2:$C$87</c:f>
              <c:numCache>
                <c:formatCode>General</c:formatCode>
                <c:ptCount val="86"/>
                <c:pt idx="0">
                  <c:v>62</c:v>
                </c:pt>
                <c:pt idx="1">
                  <c:v>60.7</c:v>
                </c:pt>
                <c:pt idx="2">
                  <c:v>59.4</c:v>
                </c:pt>
                <c:pt idx="3">
                  <c:v>58.1</c:v>
                </c:pt>
                <c:pt idx="4">
                  <c:v>56.8</c:v>
                </c:pt>
                <c:pt idx="5">
                  <c:v>55.5</c:v>
                </c:pt>
                <c:pt idx="6">
                  <c:v>54.2</c:v>
                </c:pt>
                <c:pt idx="7">
                  <c:v>52.9</c:v>
                </c:pt>
                <c:pt idx="8">
                  <c:v>51.6</c:v>
                </c:pt>
                <c:pt idx="9">
                  <c:v>50.3</c:v>
                </c:pt>
                <c:pt idx="10">
                  <c:v>49</c:v>
                </c:pt>
                <c:pt idx="11">
                  <c:v>49</c:v>
                </c:pt>
                <c:pt idx="12">
                  <c:v>49</c:v>
                </c:pt>
                <c:pt idx="13">
                  <c:v>49</c:v>
                </c:pt>
                <c:pt idx="14">
                  <c:v>49</c:v>
                </c:pt>
                <c:pt idx="15">
                  <c:v>49</c:v>
                </c:pt>
                <c:pt idx="16">
                  <c:v>49</c:v>
                </c:pt>
                <c:pt idx="17">
                  <c:v>49</c:v>
                </c:pt>
                <c:pt idx="18">
                  <c:v>49</c:v>
                </c:pt>
                <c:pt idx="19">
                  <c:v>49</c:v>
                </c:pt>
                <c:pt idx="20">
                  <c:v>49</c:v>
                </c:pt>
                <c:pt idx="21">
                  <c:v>48.57</c:v>
                </c:pt>
                <c:pt idx="22">
                  <c:v>48.14</c:v>
                </c:pt>
                <c:pt idx="23">
                  <c:v>47.71</c:v>
                </c:pt>
                <c:pt idx="24">
                  <c:v>47.28</c:v>
                </c:pt>
                <c:pt idx="25">
                  <c:v>46.85</c:v>
                </c:pt>
                <c:pt idx="26">
                  <c:v>46.42</c:v>
                </c:pt>
                <c:pt idx="27">
                  <c:v>45.99</c:v>
                </c:pt>
                <c:pt idx="28">
                  <c:v>45.56</c:v>
                </c:pt>
                <c:pt idx="29">
                  <c:v>45.13</c:v>
                </c:pt>
                <c:pt idx="30">
                  <c:v>44.7</c:v>
                </c:pt>
                <c:pt idx="31">
                  <c:v>44.27</c:v>
                </c:pt>
                <c:pt idx="32">
                  <c:v>43.84</c:v>
                </c:pt>
                <c:pt idx="33">
                  <c:v>43.41</c:v>
                </c:pt>
                <c:pt idx="34">
                  <c:v>42.980000000000004</c:v>
                </c:pt>
                <c:pt idx="35">
                  <c:v>42.55</c:v>
                </c:pt>
                <c:pt idx="36">
                  <c:v>42.12</c:v>
                </c:pt>
                <c:pt idx="37">
                  <c:v>41.69</c:v>
                </c:pt>
                <c:pt idx="38">
                  <c:v>41.26</c:v>
                </c:pt>
                <c:pt idx="39">
                  <c:v>40.83</c:v>
                </c:pt>
                <c:pt idx="40">
                  <c:v>40.4</c:v>
                </c:pt>
                <c:pt idx="41">
                  <c:v>39.97</c:v>
                </c:pt>
                <c:pt idx="42">
                  <c:v>39.54</c:v>
                </c:pt>
                <c:pt idx="43">
                  <c:v>39.11</c:v>
                </c:pt>
                <c:pt idx="44">
                  <c:v>38.68</c:v>
                </c:pt>
                <c:pt idx="45">
                  <c:v>38.25</c:v>
                </c:pt>
                <c:pt idx="46">
                  <c:v>37.82</c:v>
                </c:pt>
                <c:pt idx="47">
                  <c:v>37.39</c:v>
                </c:pt>
                <c:pt idx="48">
                  <c:v>36.96</c:v>
                </c:pt>
                <c:pt idx="49">
                  <c:v>36.53</c:v>
                </c:pt>
                <c:pt idx="50">
                  <c:v>36.1</c:v>
                </c:pt>
                <c:pt idx="51">
                  <c:v>36.1</c:v>
                </c:pt>
                <c:pt idx="52">
                  <c:v>36.1</c:v>
                </c:pt>
                <c:pt idx="53">
                  <c:v>36.1</c:v>
                </c:pt>
                <c:pt idx="54">
                  <c:v>36.1</c:v>
                </c:pt>
                <c:pt idx="55">
                  <c:v>36.1</c:v>
                </c:pt>
                <c:pt idx="56">
                  <c:v>36.1</c:v>
                </c:pt>
                <c:pt idx="57">
                  <c:v>36.1</c:v>
                </c:pt>
                <c:pt idx="58">
                  <c:v>36.1</c:v>
                </c:pt>
                <c:pt idx="59">
                  <c:v>36.1</c:v>
                </c:pt>
                <c:pt idx="60">
                  <c:v>36.1</c:v>
                </c:pt>
                <c:pt idx="61">
                  <c:v>36.1</c:v>
                </c:pt>
                <c:pt idx="62">
                  <c:v>36.1</c:v>
                </c:pt>
                <c:pt idx="63">
                  <c:v>36.1</c:v>
                </c:pt>
                <c:pt idx="64">
                  <c:v>36.1</c:v>
                </c:pt>
                <c:pt idx="65">
                  <c:v>36.1</c:v>
                </c:pt>
                <c:pt idx="66">
                  <c:v>36.1</c:v>
                </c:pt>
                <c:pt idx="67">
                  <c:v>36.1</c:v>
                </c:pt>
                <c:pt idx="68">
                  <c:v>36.1</c:v>
                </c:pt>
                <c:pt idx="69">
                  <c:v>36.1</c:v>
                </c:pt>
                <c:pt idx="70">
                  <c:v>36.1</c:v>
                </c:pt>
                <c:pt idx="71">
                  <c:v>36.1</c:v>
                </c:pt>
                <c:pt idx="72">
                  <c:v>36.1</c:v>
                </c:pt>
                <c:pt idx="73">
                  <c:v>36.1</c:v>
                </c:pt>
                <c:pt idx="74">
                  <c:v>36.1</c:v>
                </c:pt>
                <c:pt idx="75">
                  <c:v>36.1</c:v>
                </c:pt>
                <c:pt idx="76">
                  <c:v>36.1</c:v>
                </c:pt>
                <c:pt idx="77">
                  <c:v>36.1</c:v>
                </c:pt>
                <c:pt idx="78">
                  <c:v>36.1</c:v>
                </c:pt>
                <c:pt idx="79">
                  <c:v>36.1</c:v>
                </c:pt>
                <c:pt idx="80">
                  <c:v>36.1</c:v>
                </c:pt>
                <c:pt idx="81">
                  <c:v>36.1</c:v>
                </c:pt>
                <c:pt idx="82">
                  <c:v>36.1</c:v>
                </c:pt>
                <c:pt idx="83">
                  <c:v>36.1</c:v>
                </c:pt>
                <c:pt idx="84">
                  <c:v>36.1</c:v>
                </c:pt>
                <c:pt idx="85">
                  <c:v>36.1</c:v>
                </c:pt>
              </c:numCache>
            </c:numRef>
          </c:yVal>
          <c:smooth val="0"/>
          <c:extLst>
            <c:ext xmlns:c16="http://schemas.microsoft.com/office/drawing/2014/chart" uri="{C3380CC4-5D6E-409C-BE32-E72D297353CC}">
              <c16:uniqueId val="{00000001-9037-494F-9EBB-48F627821048}"/>
            </c:ext>
          </c:extLst>
        </c:ser>
        <c:ser>
          <c:idx val="4"/>
          <c:order val="2"/>
          <c:tx>
            <c:v>EIRP (for TRP = 37 dBm/200 MHz</c:v>
          </c:tx>
          <c:spPr>
            <a:ln w="19050" cap="rnd">
              <a:solidFill>
                <a:srgbClr val="0070C0"/>
              </a:solidFill>
              <a:prstDash val="dash"/>
              <a:round/>
            </a:ln>
            <a:effectLst/>
          </c:spPr>
          <c:marker>
            <c:symbol val="none"/>
          </c:marker>
          <c:xVal>
            <c:numRef>
              <c:f>Sheet2!$F$2:$F$92</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Sheet2!$I$2:$I$92</c:f>
              <c:numCache>
                <c:formatCode>General</c:formatCode>
                <c:ptCount val="91"/>
                <c:pt idx="0">
                  <c:v>60.061799739838904</c:v>
                </c:pt>
                <c:pt idx="1">
                  <c:v>59.990305990770096</c:v>
                </c:pt>
                <c:pt idx="2">
                  <c:v>59.774549289297696</c:v>
                </c:pt>
                <c:pt idx="3">
                  <c:v>59.410582639797902</c:v>
                </c:pt>
                <c:pt idx="4">
                  <c:v>58.891400023780001</c:v>
                </c:pt>
                <c:pt idx="5">
                  <c:v>58.206195528736401</c:v>
                </c:pt>
                <c:pt idx="6">
                  <c:v>57.3390861416379</c:v>
                </c:pt>
                <c:pt idx="7">
                  <c:v>56.2669337990068</c:v>
                </c:pt>
                <c:pt idx="8">
                  <c:v>54.9555190763326</c:v>
                </c:pt>
                <c:pt idx="9">
                  <c:v>53.352422023511295</c:v>
                </c:pt>
                <c:pt idx="10">
                  <c:v>51.372605484766801</c:v>
                </c:pt>
                <c:pt idx="11">
                  <c:v>48.865465572846603</c:v>
                </c:pt>
                <c:pt idx="12">
                  <c:v>45.524615969948492</c:v>
                </c:pt>
                <c:pt idx="13">
                  <c:v>40.553422712875147</c:v>
                </c:pt>
                <c:pt idx="14">
                  <c:v>30.172943279552349</c:v>
                </c:pt>
                <c:pt idx="15">
                  <c:v>30.294072255019891</c:v>
                </c:pt>
                <c:pt idx="16">
                  <c:v>38.827720828356362</c:v>
                </c:pt>
                <c:pt idx="17">
                  <c:v>42.35691613515295</c:v>
                </c:pt>
                <c:pt idx="18">
                  <c:v>44.293909280935218</c:v>
                </c:pt>
                <c:pt idx="19">
                  <c:v>45.385272112319349</c:v>
                </c:pt>
                <c:pt idx="20">
                  <c:v>45.914084256209478</c:v>
                </c:pt>
                <c:pt idx="21">
                  <c:v>46.011044556827137</c:v>
                </c:pt>
                <c:pt idx="22">
                  <c:v>45.738478407503599</c:v>
                </c:pt>
                <c:pt idx="23">
                  <c:v>45.119068956667064</c:v>
                </c:pt>
                <c:pt idx="24">
                  <c:v>44.144650905140402</c:v>
                </c:pt>
                <c:pt idx="25">
                  <c:v>42.773270725369613</c:v>
                </c:pt>
                <c:pt idx="26">
                  <c:v>40.911931533193858</c:v>
                </c:pt>
                <c:pt idx="27">
                  <c:v>38.366947531595571</c:v>
                </c:pt>
                <c:pt idx="28">
                  <c:v>34.684900372468661</c:v>
                </c:pt>
                <c:pt idx="29">
                  <c:v>28.39669670616173</c:v>
                </c:pt>
                <c:pt idx="30">
                  <c:v>-254.54556799464598</c:v>
                </c:pt>
                <c:pt idx="31">
                  <c:v>27.55671186498779</c:v>
                </c:pt>
                <c:pt idx="32">
                  <c:v>33.009902132898119</c:v>
                </c:pt>
                <c:pt idx="33">
                  <c:v>35.867170147716628</c:v>
                </c:pt>
                <c:pt idx="34">
                  <c:v>37.60350098865915</c:v>
                </c:pt>
                <c:pt idx="35">
                  <c:v>38.679276793872042</c:v>
                </c:pt>
                <c:pt idx="36">
                  <c:v>39.296859952205502</c:v>
                </c:pt>
                <c:pt idx="37">
                  <c:v>39.560635643224252</c:v>
                </c:pt>
                <c:pt idx="38">
                  <c:v>39.528319695608772</c:v>
                </c:pt>
                <c:pt idx="39">
                  <c:v>39.231166616604682</c:v>
                </c:pt>
                <c:pt idx="40">
                  <c:v>38.682556904149827</c:v>
                </c:pt>
                <c:pt idx="41">
                  <c:v>37.881038159358226</c:v>
                </c:pt>
                <c:pt idx="42">
                  <c:v>36.809608530389113</c:v>
                </c:pt>
                <c:pt idx="43">
                  <c:v>35.430824534071377</c:v>
                </c:pt>
                <c:pt idx="44">
                  <c:v>33.674650818176822</c:v>
                </c:pt>
                <c:pt idx="45">
                  <c:v>31.409405896092402</c:v>
                </c:pt>
                <c:pt idx="46">
                  <c:v>28.362717178911872</c:v>
                </c:pt>
                <c:pt idx="47">
                  <c:v>23.839811771517702</c:v>
                </c:pt>
                <c:pt idx="48">
                  <c:v>14.876943129924801</c:v>
                </c:pt>
                <c:pt idx="49">
                  <c:v>11.280717028784299</c:v>
                </c:pt>
                <c:pt idx="50">
                  <c:v>21.531399335220001</c:v>
                </c:pt>
                <c:pt idx="51">
                  <c:v>25.6451553641472</c:v>
                </c:pt>
                <c:pt idx="52">
                  <c:v>28.060221039659552</c:v>
                </c:pt>
                <c:pt idx="53">
                  <c:v>29.639347816390128</c:v>
                </c:pt>
                <c:pt idx="54">
                  <c:v>30.707112419181819</c:v>
                </c:pt>
                <c:pt idx="55">
                  <c:v>31.421771025116101</c:v>
                </c:pt>
                <c:pt idx="56">
                  <c:v>31.872720201891781</c:v>
                </c:pt>
                <c:pt idx="57">
                  <c:v>32.115550764212237</c:v>
                </c:pt>
                <c:pt idx="58">
                  <c:v>32.187248014613587</c:v>
                </c:pt>
                <c:pt idx="59">
                  <c:v>32.113668508134992</c:v>
                </c:pt>
                <c:pt idx="60">
                  <c:v>31.91356938919612</c:v>
                </c:pt>
                <c:pt idx="61">
                  <c:v>31.6009350120028</c:v>
                </c:pt>
                <c:pt idx="62">
                  <c:v>31.186393912633548</c:v>
                </c:pt>
                <c:pt idx="63">
                  <c:v>30.678117965840489</c:v>
                </c:pt>
                <c:pt idx="64">
                  <c:v>30.08241054673816</c:v>
                </c:pt>
                <c:pt idx="65">
                  <c:v>29.404098790531009</c:v>
                </c:pt>
                <c:pt idx="66">
                  <c:v>28.646796709787282</c:v>
                </c:pt>
                <c:pt idx="67">
                  <c:v>27.813079054328128</c:v>
                </c:pt>
                <c:pt idx="68">
                  <c:v>26.904590068593201</c:v>
                </c:pt>
                <c:pt idx="69">
                  <c:v>25.922101565870598</c:v>
                </c:pt>
                <c:pt idx="70">
                  <c:v>24.865528271682102</c:v>
                </c:pt>
                <c:pt idx="71">
                  <c:v>23.7339036416938</c:v>
                </c:pt>
                <c:pt idx="72">
                  <c:v>22.525315356212602</c:v>
                </c:pt>
                <c:pt idx="73">
                  <c:v>21.2367957014018</c:v>
                </c:pt>
                <c:pt idx="74">
                  <c:v>19.864157365035499</c:v>
                </c:pt>
                <c:pt idx="75">
                  <c:v>18.401758937051699</c:v>
                </c:pt>
                <c:pt idx="76">
                  <c:v>16.842175332813898</c:v>
                </c:pt>
                <c:pt idx="77">
                  <c:v>15.1757343385894</c:v>
                </c:pt>
                <c:pt idx="78">
                  <c:v>13.3898577867113</c:v>
                </c:pt>
                <c:pt idx="79">
                  <c:v>11.468107572195599</c:v>
                </c:pt>
                <c:pt idx="80">
                  <c:v>9.3887692933666997</c:v>
                </c:pt>
                <c:pt idx="81">
                  <c:v>7.1226818933989016</c:v>
                </c:pt>
                <c:pt idx="82">
                  <c:v>4.6297794423999008</c:v>
                </c:pt>
                <c:pt idx="83">
                  <c:v>1.8533083018743994</c:v>
                </c:pt>
                <c:pt idx="84">
                  <c:v>-1.290446126748499</c:v>
                </c:pt>
                <c:pt idx="85">
                  <c:v>-4.931885735929697</c:v>
                </c:pt>
                <c:pt idx="86">
                  <c:v>-9.2901197381688974</c:v>
                </c:pt>
                <c:pt idx="87">
                  <c:v>-14.7766029054063</c:v>
                </c:pt>
                <c:pt idx="88">
                  <c:v>-22.315863825245103</c:v>
                </c:pt>
                <c:pt idx="89">
                  <c:v>-34.859048266403207</c:v>
                </c:pt>
                <c:pt idx="90">
                  <c:v>-287.20450029877298</c:v>
                </c:pt>
              </c:numCache>
            </c:numRef>
          </c:yVal>
          <c:smooth val="0"/>
          <c:extLst>
            <c:ext xmlns:c16="http://schemas.microsoft.com/office/drawing/2014/chart" uri="{C3380CC4-5D6E-409C-BE32-E72D297353CC}">
              <c16:uniqueId val="{00000002-9037-494F-9EBB-48F627821048}"/>
            </c:ext>
          </c:extLst>
        </c:ser>
        <c:ser>
          <c:idx val="5"/>
          <c:order val="3"/>
          <c:tx>
            <c:v>27-27.5 GHz mask (outside footprint)</c:v>
          </c:tx>
          <c:spPr>
            <a:ln w="19050" cap="rnd">
              <a:solidFill>
                <a:srgbClr val="FF0000"/>
              </a:solidFill>
              <a:prstDash val="dash"/>
              <a:round/>
            </a:ln>
            <a:effectLst/>
          </c:spPr>
          <c:marker>
            <c:symbol val="none"/>
          </c:marker>
          <c:xVal>
            <c:numRef>
              <c:f>Sheet2!$A$12:$A$87</c:f>
              <c:numCache>
                <c:formatCode>General</c:formatCode>
                <c:ptCount val="76"/>
                <c:pt idx="0">
                  <c:v>15</c:v>
                </c:pt>
                <c:pt idx="1">
                  <c:v>16</c:v>
                </c:pt>
                <c:pt idx="2">
                  <c:v>17</c:v>
                </c:pt>
                <c:pt idx="3">
                  <c:v>18</c:v>
                </c:pt>
                <c:pt idx="4">
                  <c:v>19</c:v>
                </c:pt>
                <c:pt idx="5">
                  <c:v>20</c:v>
                </c:pt>
                <c:pt idx="6">
                  <c:v>21</c:v>
                </c:pt>
                <c:pt idx="7">
                  <c:v>22</c:v>
                </c:pt>
                <c:pt idx="8">
                  <c:v>23</c:v>
                </c:pt>
                <c:pt idx="9">
                  <c:v>24</c:v>
                </c:pt>
                <c:pt idx="10">
                  <c:v>25</c:v>
                </c:pt>
                <c:pt idx="11">
                  <c:v>26</c:v>
                </c:pt>
                <c:pt idx="12">
                  <c:v>27</c:v>
                </c:pt>
                <c:pt idx="13">
                  <c:v>28</c:v>
                </c:pt>
                <c:pt idx="14">
                  <c:v>29</c:v>
                </c:pt>
                <c:pt idx="15">
                  <c:v>30</c:v>
                </c:pt>
                <c:pt idx="16">
                  <c:v>31</c:v>
                </c:pt>
                <c:pt idx="17">
                  <c:v>32</c:v>
                </c:pt>
                <c:pt idx="18">
                  <c:v>33</c:v>
                </c:pt>
                <c:pt idx="19">
                  <c:v>34</c:v>
                </c:pt>
                <c:pt idx="20">
                  <c:v>35</c:v>
                </c:pt>
                <c:pt idx="21">
                  <c:v>36</c:v>
                </c:pt>
                <c:pt idx="22">
                  <c:v>37</c:v>
                </c:pt>
                <c:pt idx="23">
                  <c:v>38</c:v>
                </c:pt>
                <c:pt idx="24">
                  <c:v>39</c:v>
                </c:pt>
                <c:pt idx="25">
                  <c:v>40</c:v>
                </c:pt>
                <c:pt idx="26">
                  <c:v>41</c:v>
                </c:pt>
                <c:pt idx="27">
                  <c:v>42</c:v>
                </c:pt>
                <c:pt idx="28">
                  <c:v>43</c:v>
                </c:pt>
                <c:pt idx="29">
                  <c:v>44</c:v>
                </c:pt>
                <c:pt idx="30">
                  <c:v>45</c:v>
                </c:pt>
                <c:pt idx="31">
                  <c:v>46</c:v>
                </c:pt>
                <c:pt idx="32">
                  <c:v>47</c:v>
                </c:pt>
                <c:pt idx="33">
                  <c:v>48</c:v>
                </c:pt>
                <c:pt idx="34">
                  <c:v>49</c:v>
                </c:pt>
                <c:pt idx="35">
                  <c:v>50</c:v>
                </c:pt>
                <c:pt idx="36">
                  <c:v>51</c:v>
                </c:pt>
                <c:pt idx="37">
                  <c:v>52</c:v>
                </c:pt>
                <c:pt idx="38">
                  <c:v>53</c:v>
                </c:pt>
                <c:pt idx="39">
                  <c:v>54</c:v>
                </c:pt>
                <c:pt idx="40">
                  <c:v>55</c:v>
                </c:pt>
                <c:pt idx="41">
                  <c:v>56</c:v>
                </c:pt>
                <c:pt idx="42">
                  <c:v>57</c:v>
                </c:pt>
                <c:pt idx="43">
                  <c:v>58</c:v>
                </c:pt>
                <c:pt idx="44">
                  <c:v>59</c:v>
                </c:pt>
                <c:pt idx="45">
                  <c:v>60</c:v>
                </c:pt>
                <c:pt idx="46">
                  <c:v>61</c:v>
                </c:pt>
                <c:pt idx="47">
                  <c:v>62</c:v>
                </c:pt>
                <c:pt idx="48">
                  <c:v>63</c:v>
                </c:pt>
                <c:pt idx="49">
                  <c:v>64</c:v>
                </c:pt>
                <c:pt idx="50">
                  <c:v>65</c:v>
                </c:pt>
                <c:pt idx="51">
                  <c:v>66</c:v>
                </c:pt>
                <c:pt idx="52">
                  <c:v>67</c:v>
                </c:pt>
                <c:pt idx="53">
                  <c:v>68</c:v>
                </c:pt>
                <c:pt idx="54">
                  <c:v>69</c:v>
                </c:pt>
                <c:pt idx="55">
                  <c:v>70</c:v>
                </c:pt>
                <c:pt idx="56">
                  <c:v>71</c:v>
                </c:pt>
                <c:pt idx="57">
                  <c:v>72</c:v>
                </c:pt>
                <c:pt idx="58">
                  <c:v>73</c:v>
                </c:pt>
                <c:pt idx="59">
                  <c:v>74</c:v>
                </c:pt>
                <c:pt idx="60">
                  <c:v>75</c:v>
                </c:pt>
                <c:pt idx="61">
                  <c:v>76</c:v>
                </c:pt>
                <c:pt idx="62">
                  <c:v>77</c:v>
                </c:pt>
                <c:pt idx="63">
                  <c:v>78</c:v>
                </c:pt>
                <c:pt idx="64">
                  <c:v>79</c:v>
                </c:pt>
                <c:pt idx="65">
                  <c:v>80</c:v>
                </c:pt>
                <c:pt idx="66">
                  <c:v>81</c:v>
                </c:pt>
                <c:pt idx="67">
                  <c:v>82</c:v>
                </c:pt>
                <c:pt idx="68">
                  <c:v>83</c:v>
                </c:pt>
                <c:pt idx="69">
                  <c:v>84</c:v>
                </c:pt>
                <c:pt idx="70">
                  <c:v>85</c:v>
                </c:pt>
                <c:pt idx="71">
                  <c:v>86</c:v>
                </c:pt>
                <c:pt idx="72">
                  <c:v>87</c:v>
                </c:pt>
                <c:pt idx="73">
                  <c:v>88</c:v>
                </c:pt>
                <c:pt idx="74">
                  <c:v>89</c:v>
                </c:pt>
                <c:pt idx="75">
                  <c:v>90</c:v>
                </c:pt>
              </c:numCache>
            </c:numRef>
          </c:xVal>
          <c:yVal>
            <c:numRef>
              <c:f>Sheet2!$D$12:$D$87</c:f>
              <c:numCache>
                <c:formatCode>General</c:formatCode>
                <c:ptCount val="76"/>
                <c:pt idx="0">
                  <c:v>46</c:v>
                </c:pt>
                <c:pt idx="1">
                  <c:v>46</c:v>
                </c:pt>
                <c:pt idx="2">
                  <c:v>46</c:v>
                </c:pt>
                <c:pt idx="3">
                  <c:v>46</c:v>
                </c:pt>
                <c:pt idx="4">
                  <c:v>46</c:v>
                </c:pt>
                <c:pt idx="5">
                  <c:v>46</c:v>
                </c:pt>
                <c:pt idx="6">
                  <c:v>46</c:v>
                </c:pt>
                <c:pt idx="7">
                  <c:v>46</c:v>
                </c:pt>
                <c:pt idx="8">
                  <c:v>46</c:v>
                </c:pt>
                <c:pt idx="9">
                  <c:v>46</c:v>
                </c:pt>
                <c:pt idx="10">
                  <c:v>46</c:v>
                </c:pt>
                <c:pt idx="11">
                  <c:v>45.57</c:v>
                </c:pt>
                <c:pt idx="12">
                  <c:v>45.14</c:v>
                </c:pt>
                <c:pt idx="13">
                  <c:v>44.71</c:v>
                </c:pt>
                <c:pt idx="14">
                  <c:v>44.28</c:v>
                </c:pt>
                <c:pt idx="15">
                  <c:v>43.85</c:v>
                </c:pt>
                <c:pt idx="16">
                  <c:v>43.42</c:v>
                </c:pt>
                <c:pt idx="17">
                  <c:v>42.99</c:v>
                </c:pt>
                <c:pt idx="18">
                  <c:v>42.56</c:v>
                </c:pt>
                <c:pt idx="19">
                  <c:v>42.13</c:v>
                </c:pt>
                <c:pt idx="20">
                  <c:v>41.7</c:v>
                </c:pt>
                <c:pt idx="21">
                  <c:v>41.27</c:v>
                </c:pt>
                <c:pt idx="22">
                  <c:v>40.840000000000003</c:v>
                </c:pt>
                <c:pt idx="23">
                  <c:v>40.409999999999997</c:v>
                </c:pt>
                <c:pt idx="24">
                  <c:v>39.980000000000004</c:v>
                </c:pt>
                <c:pt idx="25">
                  <c:v>39.549999999999997</c:v>
                </c:pt>
                <c:pt idx="26">
                  <c:v>39.119999999999997</c:v>
                </c:pt>
                <c:pt idx="27">
                  <c:v>38.69</c:v>
                </c:pt>
                <c:pt idx="28">
                  <c:v>38.26</c:v>
                </c:pt>
                <c:pt idx="29">
                  <c:v>37.83</c:v>
                </c:pt>
                <c:pt idx="30">
                  <c:v>37.4</c:v>
                </c:pt>
                <c:pt idx="31">
                  <c:v>36.97</c:v>
                </c:pt>
                <c:pt idx="32">
                  <c:v>36.54</c:v>
                </c:pt>
                <c:pt idx="33">
                  <c:v>36.11</c:v>
                </c:pt>
                <c:pt idx="34">
                  <c:v>35.68</c:v>
                </c:pt>
                <c:pt idx="35">
                  <c:v>35.25</c:v>
                </c:pt>
                <c:pt idx="36">
                  <c:v>34.82</c:v>
                </c:pt>
                <c:pt idx="37">
                  <c:v>34.39</c:v>
                </c:pt>
                <c:pt idx="38">
                  <c:v>33.96</c:v>
                </c:pt>
                <c:pt idx="39">
                  <c:v>33.53</c:v>
                </c:pt>
                <c:pt idx="40">
                  <c:v>33.1</c:v>
                </c:pt>
                <c:pt idx="41">
                  <c:v>33.1</c:v>
                </c:pt>
                <c:pt idx="42">
                  <c:v>33.1</c:v>
                </c:pt>
                <c:pt idx="43">
                  <c:v>33.1</c:v>
                </c:pt>
                <c:pt idx="44">
                  <c:v>33.1</c:v>
                </c:pt>
                <c:pt idx="45">
                  <c:v>33.1</c:v>
                </c:pt>
                <c:pt idx="46">
                  <c:v>33.1</c:v>
                </c:pt>
                <c:pt idx="47">
                  <c:v>33.1</c:v>
                </c:pt>
                <c:pt idx="48">
                  <c:v>33.1</c:v>
                </c:pt>
                <c:pt idx="49">
                  <c:v>33.1</c:v>
                </c:pt>
                <c:pt idx="50">
                  <c:v>33.1</c:v>
                </c:pt>
                <c:pt idx="51">
                  <c:v>33.1</c:v>
                </c:pt>
                <c:pt idx="52">
                  <c:v>33.1</c:v>
                </c:pt>
                <c:pt idx="53">
                  <c:v>33.1</c:v>
                </c:pt>
                <c:pt idx="54">
                  <c:v>33.1</c:v>
                </c:pt>
                <c:pt idx="55">
                  <c:v>33.1</c:v>
                </c:pt>
                <c:pt idx="56">
                  <c:v>33.1</c:v>
                </c:pt>
                <c:pt idx="57">
                  <c:v>33.1</c:v>
                </c:pt>
                <c:pt idx="58">
                  <c:v>33.1</c:v>
                </c:pt>
                <c:pt idx="59">
                  <c:v>33.1</c:v>
                </c:pt>
                <c:pt idx="60">
                  <c:v>33.1</c:v>
                </c:pt>
                <c:pt idx="61">
                  <c:v>33.1</c:v>
                </c:pt>
                <c:pt idx="62">
                  <c:v>33.1</c:v>
                </c:pt>
                <c:pt idx="63">
                  <c:v>33.1</c:v>
                </c:pt>
                <c:pt idx="64">
                  <c:v>33.1</c:v>
                </c:pt>
                <c:pt idx="65">
                  <c:v>33.1</c:v>
                </c:pt>
                <c:pt idx="66">
                  <c:v>33.1</c:v>
                </c:pt>
                <c:pt idx="67">
                  <c:v>33.1</c:v>
                </c:pt>
                <c:pt idx="68">
                  <c:v>33.1</c:v>
                </c:pt>
                <c:pt idx="69">
                  <c:v>33.1</c:v>
                </c:pt>
                <c:pt idx="70">
                  <c:v>33.1</c:v>
                </c:pt>
                <c:pt idx="71">
                  <c:v>33.1</c:v>
                </c:pt>
                <c:pt idx="72">
                  <c:v>33.1</c:v>
                </c:pt>
                <c:pt idx="73">
                  <c:v>33.1</c:v>
                </c:pt>
                <c:pt idx="74">
                  <c:v>33.1</c:v>
                </c:pt>
                <c:pt idx="75">
                  <c:v>33.1</c:v>
                </c:pt>
              </c:numCache>
            </c:numRef>
          </c:yVal>
          <c:smooth val="0"/>
          <c:extLst>
            <c:ext xmlns:c16="http://schemas.microsoft.com/office/drawing/2014/chart" uri="{C3380CC4-5D6E-409C-BE32-E72D297353CC}">
              <c16:uniqueId val="{00000003-9037-494F-9EBB-48F627821048}"/>
            </c:ext>
          </c:extLst>
        </c:ser>
        <c:ser>
          <c:idx val="3"/>
          <c:order val="4"/>
          <c:tx>
            <c:v>EIRP (for TRP = 25 dBm/200 MHz)</c:v>
          </c:tx>
          <c:spPr>
            <a:ln w="19050" cap="rnd">
              <a:solidFill>
                <a:srgbClr val="0070C0"/>
              </a:solidFill>
              <a:prstDash val="sysDot"/>
              <a:round/>
            </a:ln>
            <a:effectLst/>
          </c:spPr>
          <c:marker>
            <c:symbol val="none"/>
          </c:marker>
          <c:xVal>
            <c:numRef>
              <c:f>Sheet2!$F$2:$F$87</c:f>
              <c:numCache>
                <c:formatCode>General</c:formatCode>
                <c:ptCount val="86"/>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numCache>
            </c:numRef>
          </c:xVal>
          <c:yVal>
            <c:numRef>
              <c:f>Sheet2!$H$2:$H$92</c:f>
              <c:numCache>
                <c:formatCode>General</c:formatCode>
                <c:ptCount val="91"/>
                <c:pt idx="0">
                  <c:v>48.061799739838904</c:v>
                </c:pt>
                <c:pt idx="1">
                  <c:v>47.990305990770096</c:v>
                </c:pt>
                <c:pt idx="2">
                  <c:v>47.774549289297696</c:v>
                </c:pt>
                <c:pt idx="3">
                  <c:v>47.410582639797902</c:v>
                </c:pt>
                <c:pt idx="4">
                  <c:v>46.891400023780001</c:v>
                </c:pt>
                <c:pt idx="5">
                  <c:v>46.206195528736401</c:v>
                </c:pt>
                <c:pt idx="6">
                  <c:v>45.3390861416379</c:v>
                </c:pt>
                <c:pt idx="7">
                  <c:v>44.2669337990068</c:v>
                </c:pt>
                <c:pt idx="8">
                  <c:v>42.9555190763326</c:v>
                </c:pt>
                <c:pt idx="9">
                  <c:v>41.352422023511295</c:v>
                </c:pt>
                <c:pt idx="10">
                  <c:v>39.372605484766801</c:v>
                </c:pt>
                <c:pt idx="11">
                  <c:v>36.865465572846603</c:v>
                </c:pt>
                <c:pt idx="12">
                  <c:v>33.524615969948492</c:v>
                </c:pt>
                <c:pt idx="13">
                  <c:v>28.55342271287515</c:v>
                </c:pt>
                <c:pt idx="14">
                  <c:v>18.172943279552349</c:v>
                </c:pt>
                <c:pt idx="15">
                  <c:v>18.294072255019891</c:v>
                </c:pt>
                <c:pt idx="16">
                  <c:v>26.827720828356359</c:v>
                </c:pt>
                <c:pt idx="17">
                  <c:v>30.35691613515295</c:v>
                </c:pt>
                <c:pt idx="18">
                  <c:v>32.293909280935218</c:v>
                </c:pt>
                <c:pt idx="19">
                  <c:v>33.385272112319349</c:v>
                </c:pt>
                <c:pt idx="20">
                  <c:v>33.914084256209478</c:v>
                </c:pt>
                <c:pt idx="21">
                  <c:v>34.011044556827137</c:v>
                </c:pt>
                <c:pt idx="22">
                  <c:v>33.738478407503599</c:v>
                </c:pt>
                <c:pt idx="23">
                  <c:v>33.119068956667064</c:v>
                </c:pt>
                <c:pt idx="24">
                  <c:v>32.144650905140402</c:v>
                </c:pt>
                <c:pt idx="25">
                  <c:v>30.77327072536961</c:v>
                </c:pt>
                <c:pt idx="26">
                  <c:v>28.911931533193858</c:v>
                </c:pt>
                <c:pt idx="27">
                  <c:v>26.366947531595571</c:v>
                </c:pt>
                <c:pt idx="28">
                  <c:v>22.684900372468661</c:v>
                </c:pt>
                <c:pt idx="29">
                  <c:v>16.39669670616173</c:v>
                </c:pt>
                <c:pt idx="30">
                  <c:v>-266.54556799464598</c:v>
                </c:pt>
                <c:pt idx="31">
                  <c:v>15.55671186498779</c:v>
                </c:pt>
                <c:pt idx="32">
                  <c:v>21.009902132898119</c:v>
                </c:pt>
                <c:pt idx="33">
                  <c:v>23.867170147716632</c:v>
                </c:pt>
                <c:pt idx="34">
                  <c:v>25.603500988659153</c:v>
                </c:pt>
                <c:pt idx="35">
                  <c:v>26.679276793872042</c:v>
                </c:pt>
                <c:pt idx="36">
                  <c:v>27.296859952205502</c:v>
                </c:pt>
                <c:pt idx="37">
                  <c:v>27.560635643224249</c:v>
                </c:pt>
                <c:pt idx="38">
                  <c:v>27.528319695608769</c:v>
                </c:pt>
                <c:pt idx="39">
                  <c:v>27.231166616604682</c:v>
                </c:pt>
                <c:pt idx="40">
                  <c:v>26.682556904149831</c:v>
                </c:pt>
                <c:pt idx="41">
                  <c:v>25.881038159358226</c:v>
                </c:pt>
                <c:pt idx="42">
                  <c:v>24.809608530389117</c:v>
                </c:pt>
                <c:pt idx="43">
                  <c:v>23.43082453407138</c:v>
                </c:pt>
                <c:pt idx="44">
                  <c:v>21.674650818176818</c:v>
                </c:pt>
                <c:pt idx="45">
                  <c:v>19.409405896092402</c:v>
                </c:pt>
                <c:pt idx="46">
                  <c:v>16.362717178911872</c:v>
                </c:pt>
                <c:pt idx="47">
                  <c:v>11.8398117715177</c:v>
                </c:pt>
                <c:pt idx="48">
                  <c:v>2.8769431299248005</c:v>
                </c:pt>
                <c:pt idx="49">
                  <c:v>-0.71928297121570139</c:v>
                </c:pt>
                <c:pt idx="50">
                  <c:v>9.5313993352199997</c:v>
                </c:pt>
                <c:pt idx="51">
                  <c:v>13.6451553641472</c:v>
                </c:pt>
                <c:pt idx="52">
                  <c:v>16.060221039659552</c:v>
                </c:pt>
                <c:pt idx="53">
                  <c:v>17.639347816390128</c:v>
                </c:pt>
                <c:pt idx="54">
                  <c:v>18.707112419181819</c:v>
                </c:pt>
                <c:pt idx="55">
                  <c:v>19.421771025116101</c:v>
                </c:pt>
                <c:pt idx="56">
                  <c:v>19.872720201891781</c:v>
                </c:pt>
                <c:pt idx="57">
                  <c:v>20.115550764212241</c:v>
                </c:pt>
                <c:pt idx="58">
                  <c:v>20.187248014613591</c:v>
                </c:pt>
                <c:pt idx="59">
                  <c:v>20.113668508134989</c:v>
                </c:pt>
                <c:pt idx="60">
                  <c:v>19.91356938919612</c:v>
                </c:pt>
                <c:pt idx="61">
                  <c:v>19.6009350120028</c:v>
                </c:pt>
                <c:pt idx="62">
                  <c:v>19.186393912633548</c:v>
                </c:pt>
                <c:pt idx="63">
                  <c:v>18.678117965840489</c:v>
                </c:pt>
                <c:pt idx="64">
                  <c:v>18.08241054673816</c:v>
                </c:pt>
                <c:pt idx="65">
                  <c:v>17.404098790531009</c:v>
                </c:pt>
                <c:pt idx="66">
                  <c:v>16.646796709787282</c:v>
                </c:pt>
                <c:pt idx="67">
                  <c:v>15.81307905432813</c:v>
                </c:pt>
                <c:pt idx="68">
                  <c:v>14.904590068593199</c:v>
                </c:pt>
                <c:pt idx="69">
                  <c:v>13.9221015658706</c:v>
                </c:pt>
                <c:pt idx="70">
                  <c:v>12.8655282716821</c:v>
                </c:pt>
                <c:pt idx="71">
                  <c:v>11.7339036416938</c:v>
                </c:pt>
                <c:pt idx="72">
                  <c:v>10.5253153562126</c:v>
                </c:pt>
                <c:pt idx="73">
                  <c:v>9.2367957014017996</c:v>
                </c:pt>
                <c:pt idx="74">
                  <c:v>7.8641573650354992</c:v>
                </c:pt>
                <c:pt idx="75">
                  <c:v>6.4017589370516994</c:v>
                </c:pt>
                <c:pt idx="76">
                  <c:v>4.8421753328138983</c:v>
                </c:pt>
                <c:pt idx="77">
                  <c:v>3.1757343385894004</c:v>
                </c:pt>
                <c:pt idx="78">
                  <c:v>1.3898577867112998</c:v>
                </c:pt>
                <c:pt idx="79">
                  <c:v>-0.53189242780440082</c:v>
                </c:pt>
                <c:pt idx="80">
                  <c:v>-2.6112307066333003</c:v>
                </c:pt>
                <c:pt idx="81">
                  <c:v>-4.8773181066010984</c:v>
                </c:pt>
                <c:pt idx="82">
                  <c:v>-7.3702205576000992</c:v>
                </c:pt>
                <c:pt idx="83">
                  <c:v>-10.146691698125601</c:v>
                </c:pt>
                <c:pt idx="84">
                  <c:v>-13.290446126748499</c:v>
                </c:pt>
                <c:pt idx="85">
                  <c:v>-16.931885735929697</c:v>
                </c:pt>
                <c:pt idx="86">
                  <c:v>-21.290119738168897</c:v>
                </c:pt>
                <c:pt idx="87">
                  <c:v>-26.7766029054063</c:v>
                </c:pt>
                <c:pt idx="88">
                  <c:v>-34.315863825245103</c:v>
                </c:pt>
                <c:pt idx="89">
                  <c:v>-46.859048266403207</c:v>
                </c:pt>
                <c:pt idx="90">
                  <c:v>-299.20450029877298</c:v>
                </c:pt>
              </c:numCache>
            </c:numRef>
          </c:yVal>
          <c:smooth val="0"/>
          <c:extLst>
            <c:ext xmlns:c16="http://schemas.microsoft.com/office/drawing/2014/chart" uri="{C3380CC4-5D6E-409C-BE32-E72D297353CC}">
              <c16:uniqueId val="{00000004-9037-494F-9EBB-48F627821048}"/>
            </c:ext>
          </c:extLst>
        </c:ser>
        <c:ser>
          <c:idx val="2"/>
          <c:order val="5"/>
          <c:tx>
            <c:v>27-27.5 GHz mask (inside footprint)</c:v>
          </c:tx>
          <c:spPr>
            <a:ln w="19050" cap="rnd">
              <a:solidFill>
                <a:srgbClr val="FF0000"/>
              </a:solidFill>
              <a:prstDash val="sysDot"/>
              <a:round/>
            </a:ln>
            <a:effectLst/>
          </c:spPr>
          <c:marker>
            <c:symbol val="none"/>
          </c:marker>
          <c:xVal>
            <c:numRef>
              <c:f>Sheet2!$A$2:$A$87</c:f>
              <c:numCache>
                <c:formatCode>General</c:formatCode>
                <c:ptCount val="86"/>
                <c:pt idx="0">
                  <c:v>5</c:v>
                </c:pt>
                <c:pt idx="1">
                  <c:v>6</c:v>
                </c:pt>
                <c:pt idx="2">
                  <c:v>7</c:v>
                </c:pt>
                <c:pt idx="3">
                  <c:v>8</c:v>
                </c:pt>
                <c:pt idx="4">
                  <c:v>9</c:v>
                </c:pt>
                <c:pt idx="5">
                  <c:v>10</c:v>
                </c:pt>
                <c:pt idx="6">
                  <c:v>11</c:v>
                </c:pt>
                <c:pt idx="7">
                  <c:v>12</c:v>
                </c:pt>
                <c:pt idx="8">
                  <c:v>13</c:v>
                </c:pt>
                <c:pt idx="9">
                  <c:v>14</c:v>
                </c:pt>
                <c:pt idx="10">
                  <c:v>15</c:v>
                </c:pt>
                <c:pt idx="11">
                  <c:v>16</c:v>
                </c:pt>
                <c:pt idx="12">
                  <c:v>17</c:v>
                </c:pt>
                <c:pt idx="13">
                  <c:v>18</c:v>
                </c:pt>
                <c:pt idx="14">
                  <c:v>19</c:v>
                </c:pt>
                <c:pt idx="15">
                  <c:v>20</c:v>
                </c:pt>
                <c:pt idx="16">
                  <c:v>21</c:v>
                </c:pt>
                <c:pt idx="17">
                  <c:v>22</c:v>
                </c:pt>
                <c:pt idx="18">
                  <c:v>23</c:v>
                </c:pt>
                <c:pt idx="19">
                  <c:v>24</c:v>
                </c:pt>
                <c:pt idx="20">
                  <c:v>25</c:v>
                </c:pt>
                <c:pt idx="21">
                  <c:v>26</c:v>
                </c:pt>
                <c:pt idx="22">
                  <c:v>27</c:v>
                </c:pt>
                <c:pt idx="23">
                  <c:v>28</c:v>
                </c:pt>
                <c:pt idx="24">
                  <c:v>29</c:v>
                </c:pt>
                <c:pt idx="25">
                  <c:v>30</c:v>
                </c:pt>
                <c:pt idx="26">
                  <c:v>31</c:v>
                </c:pt>
                <c:pt idx="27">
                  <c:v>32</c:v>
                </c:pt>
                <c:pt idx="28">
                  <c:v>33</c:v>
                </c:pt>
                <c:pt idx="29">
                  <c:v>34</c:v>
                </c:pt>
                <c:pt idx="30">
                  <c:v>35</c:v>
                </c:pt>
                <c:pt idx="31">
                  <c:v>36</c:v>
                </c:pt>
                <c:pt idx="32">
                  <c:v>37</c:v>
                </c:pt>
                <c:pt idx="33">
                  <c:v>38</c:v>
                </c:pt>
                <c:pt idx="34">
                  <c:v>39</c:v>
                </c:pt>
                <c:pt idx="35">
                  <c:v>40</c:v>
                </c:pt>
                <c:pt idx="36">
                  <c:v>41</c:v>
                </c:pt>
                <c:pt idx="37">
                  <c:v>42</c:v>
                </c:pt>
                <c:pt idx="38">
                  <c:v>43</c:v>
                </c:pt>
                <c:pt idx="39">
                  <c:v>44</c:v>
                </c:pt>
                <c:pt idx="40">
                  <c:v>45</c:v>
                </c:pt>
                <c:pt idx="41">
                  <c:v>46</c:v>
                </c:pt>
                <c:pt idx="42">
                  <c:v>47</c:v>
                </c:pt>
                <c:pt idx="43">
                  <c:v>48</c:v>
                </c:pt>
                <c:pt idx="44">
                  <c:v>49</c:v>
                </c:pt>
                <c:pt idx="45">
                  <c:v>50</c:v>
                </c:pt>
                <c:pt idx="46">
                  <c:v>51</c:v>
                </c:pt>
                <c:pt idx="47">
                  <c:v>52</c:v>
                </c:pt>
                <c:pt idx="48">
                  <c:v>53</c:v>
                </c:pt>
                <c:pt idx="49">
                  <c:v>54</c:v>
                </c:pt>
                <c:pt idx="50">
                  <c:v>55</c:v>
                </c:pt>
                <c:pt idx="51">
                  <c:v>56</c:v>
                </c:pt>
                <c:pt idx="52">
                  <c:v>57</c:v>
                </c:pt>
                <c:pt idx="53">
                  <c:v>58</c:v>
                </c:pt>
                <c:pt idx="54">
                  <c:v>59</c:v>
                </c:pt>
                <c:pt idx="55">
                  <c:v>60</c:v>
                </c:pt>
                <c:pt idx="56">
                  <c:v>61</c:v>
                </c:pt>
                <c:pt idx="57">
                  <c:v>62</c:v>
                </c:pt>
                <c:pt idx="58">
                  <c:v>63</c:v>
                </c:pt>
                <c:pt idx="59">
                  <c:v>64</c:v>
                </c:pt>
                <c:pt idx="60">
                  <c:v>65</c:v>
                </c:pt>
                <c:pt idx="61">
                  <c:v>66</c:v>
                </c:pt>
                <c:pt idx="62">
                  <c:v>67</c:v>
                </c:pt>
                <c:pt idx="63">
                  <c:v>68</c:v>
                </c:pt>
                <c:pt idx="64">
                  <c:v>69</c:v>
                </c:pt>
                <c:pt idx="65">
                  <c:v>70</c:v>
                </c:pt>
                <c:pt idx="66">
                  <c:v>71</c:v>
                </c:pt>
                <c:pt idx="67">
                  <c:v>72</c:v>
                </c:pt>
                <c:pt idx="68">
                  <c:v>73</c:v>
                </c:pt>
                <c:pt idx="69">
                  <c:v>74</c:v>
                </c:pt>
                <c:pt idx="70">
                  <c:v>75</c:v>
                </c:pt>
                <c:pt idx="71">
                  <c:v>76</c:v>
                </c:pt>
                <c:pt idx="72">
                  <c:v>77</c:v>
                </c:pt>
                <c:pt idx="73">
                  <c:v>78</c:v>
                </c:pt>
                <c:pt idx="74">
                  <c:v>79</c:v>
                </c:pt>
                <c:pt idx="75">
                  <c:v>80</c:v>
                </c:pt>
                <c:pt idx="76">
                  <c:v>81</c:v>
                </c:pt>
                <c:pt idx="77">
                  <c:v>82</c:v>
                </c:pt>
                <c:pt idx="78">
                  <c:v>83</c:v>
                </c:pt>
                <c:pt idx="79">
                  <c:v>84</c:v>
                </c:pt>
                <c:pt idx="80">
                  <c:v>85</c:v>
                </c:pt>
                <c:pt idx="81">
                  <c:v>86</c:v>
                </c:pt>
                <c:pt idx="82">
                  <c:v>87</c:v>
                </c:pt>
                <c:pt idx="83">
                  <c:v>88</c:v>
                </c:pt>
                <c:pt idx="84">
                  <c:v>89</c:v>
                </c:pt>
                <c:pt idx="85">
                  <c:v>90</c:v>
                </c:pt>
              </c:numCache>
            </c:numRef>
          </c:xVal>
          <c:yVal>
            <c:numRef>
              <c:f>Sheet2!$B$2:$B$87</c:f>
              <c:numCache>
                <c:formatCode>General</c:formatCode>
                <c:ptCount val="86"/>
                <c:pt idx="10">
                  <c:v>34</c:v>
                </c:pt>
                <c:pt idx="11">
                  <c:v>34</c:v>
                </c:pt>
                <c:pt idx="12">
                  <c:v>34</c:v>
                </c:pt>
                <c:pt idx="13">
                  <c:v>34</c:v>
                </c:pt>
                <c:pt idx="14">
                  <c:v>34</c:v>
                </c:pt>
                <c:pt idx="15">
                  <c:v>34</c:v>
                </c:pt>
                <c:pt idx="16">
                  <c:v>34</c:v>
                </c:pt>
                <c:pt idx="17">
                  <c:v>34</c:v>
                </c:pt>
                <c:pt idx="18">
                  <c:v>34</c:v>
                </c:pt>
                <c:pt idx="19">
                  <c:v>34</c:v>
                </c:pt>
                <c:pt idx="20">
                  <c:v>34</c:v>
                </c:pt>
                <c:pt idx="21">
                  <c:v>33.57</c:v>
                </c:pt>
                <c:pt idx="22">
                  <c:v>33.14</c:v>
                </c:pt>
                <c:pt idx="23">
                  <c:v>32.71</c:v>
                </c:pt>
                <c:pt idx="24">
                  <c:v>32.28</c:v>
                </c:pt>
                <c:pt idx="25">
                  <c:v>31.85</c:v>
                </c:pt>
                <c:pt idx="26">
                  <c:v>31.42</c:v>
                </c:pt>
                <c:pt idx="27">
                  <c:v>30.990000000000002</c:v>
                </c:pt>
                <c:pt idx="28">
                  <c:v>30.56</c:v>
                </c:pt>
                <c:pt idx="29">
                  <c:v>30.13</c:v>
                </c:pt>
                <c:pt idx="30">
                  <c:v>29.7</c:v>
                </c:pt>
                <c:pt idx="31">
                  <c:v>29.27</c:v>
                </c:pt>
                <c:pt idx="32">
                  <c:v>28.84</c:v>
                </c:pt>
                <c:pt idx="33">
                  <c:v>28.41</c:v>
                </c:pt>
                <c:pt idx="34">
                  <c:v>27.98</c:v>
                </c:pt>
                <c:pt idx="35">
                  <c:v>27.55</c:v>
                </c:pt>
                <c:pt idx="36">
                  <c:v>27.12</c:v>
                </c:pt>
                <c:pt idx="37">
                  <c:v>26.69</c:v>
                </c:pt>
                <c:pt idx="38">
                  <c:v>26.259999999999998</c:v>
                </c:pt>
                <c:pt idx="39">
                  <c:v>25.83</c:v>
                </c:pt>
                <c:pt idx="40">
                  <c:v>25.4</c:v>
                </c:pt>
                <c:pt idx="41">
                  <c:v>24.97</c:v>
                </c:pt>
                <c:pt idx="42">
                  <c:v>24.54</c:v>
                </c:pt>
                <c:pt idx="43">
                  <c:v>24.11</c:v>
                </c:pt>
                <c:pt idx="44">
                  <c:v>23.68</c:v>
                </c:pt>
                <c:pt idx="45">
                  <c:v>23.25</c:v>
                </c:pt>
                <c:pt idx="46">
                  <c:v>22.82</c:v>
                </c:pt>
                <c:pt idx="47">
                  <c:v>22.39</c:v>
                </c:pt>
                <c:pt idx="48">
                  <c:v>21.96</c:v>
                </c:pt>
                <c:pt idx="49">
                  <c:v>21.53</c:v>
                </c:pt>
                <c:pt idx="50">
                  <c:v>21.1</c:v>
                </c:pt>
                <c:pt idx="51">
                  <c:v>21.1</c:v>
                </c:pt>
                <c:pt idx="52">
                  <c:v>21.1</c:v>
                </c:pt>
                <c:pt idx="53">
                  <c:v>21.1</c:v>
                </c:pt>
                <c:pt idx="54">
                  <c:v>21.1</c:v>
                </c:pt>
                <c:pt idx="55">
                  <c:v>21.1</c:v>
                </c:pt>
                <c:pt idx="56">
                  <c:v>21.1</c:v>
                </c:pt>
                <c:pt idx="57">
                  <c:v>21.1</c:v>
                </c:pt>
                <c:pt idx="58">
                  <c:v>21.1</c:v>
                </c:pt>
                <c:pt idx="59">
                  <c:v>21.1</c:v>
                </c:pt>
                <c:pt idx="60">
                  <c:v>21.1</c:v>
                </c:pt>
                <c:pt idx="61">
                  <c:v>21.1</c:v>
                </c:pt>
                <c:pt idx="62">
                  <c:v>21.1</c:v>
                </c:pt>
                <c:pt idx="63">
                  <c:v>21.1</c:v>
                </c:pt>
                <c:pt idx="64">
                  <c:v>21.1</c:v>
                </c:pt>
                <c:pt idx="65">
                  <c:v>21.1</c:v>
                </c:pt>
                <c:pt idx="66">
                  <c:v>21.1</c:v>
                </c:pt>
                <c:pt idx="67">
                  <c:v>21.1</c:v>
                </c:pt>
                <c:pt idx="68">
                  <c:v>21.1</c:v>
                </c:pt>
                <c:pt idx="69">
                  <c:v>21.1</c:v>
                </c:pt>
                <c:pt idx="70">
                  <c:v>21.1</c:v>
                </c:pt>
                <c:pt idx="71">
                  <c:v>21.1</c:v>
                </c:pt>
                <c:pt idx="72">
                  <c:v>21.1</c:v>
                </c:pt>
                <c:pt idx="73">
                  <c:v>21.1</c:v>
                </c:pt>
                <c:pt idx="74">
                  <c:v>21.1</c:v>
                </c:pt>
                <c:pt idx="75">
                  <c:v>21.1</c:v>
                </c:pt>
                <c:pt idx="76">
                  <c:v>21.1</c:v>
                </c:pt>
                <c:pt idx="77">
                  <c:v>21.1</c:v>
                </c:pt>
                <c:pt idx="78">
                  <c:v>21.1</c:v>
                </c:pt>
                <c:pt idx="79">
                  <c:v>21.1</c:v>
                </c:pt>
                <c:pt idx="80">
                  <c:v>21.1</c:v>
                </c:pt>
                <c:pt idx="81">
                  <c:v>21.1</c:v>
                </c:pt>
                <c:pt idx="82">
                  <c:v>21.1</c:v>
                </c:pt>
                <c:pt idx="83">
                  <c:v>21.1</c:v>
                </c:pt>
                <c:pt idx="84">
                  <c:v>21.1</c:v>
                </c:pt>
                <c:pt idx="85">
                  <c:v>21.1</c:v>
                </c:pt>
              </c:numCache>
            </c:numRef>
          </c:yVal>
          <c:smooth val="0"/>
          <c:extLst>
            <c:ext xmlns:c16="http://schemas.microsoft.com/office/drawing/2014/chart" uri="{C3380CC4-5D6E-409C-BE32-E72D297353CC}">
              <c16:uniqueId val="{00000005-9037-494F-9EBB-48F627821048}"/>
            </c:ext>
          </c:extLst>
        </c:ser>
        <c:dLbls>
          <c:showLegendKey val="0"/>
          <c:showVal val="0"/>
          <c:showCatName val="0"/>
          <c:showSerName val="0"/>
          <c:showPercent val="0"/>
          <c:showBubbleSize val="0"/>
        </c:dLbls>
        <c:axId val="839208992"/>
        <c:axId val="839209320"/>
      </c:scatterChart>
      <c:valAx>
        <c:axId val="839208992"/>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degrees</a:t>
                </a:r>
                <a:r>
                  <a:rPr lang="en-AU" baseline="0"/>
                  <a:t> above horizon</a:t>
                </a:r>
                <a:endParaRPr lang="en-AU"/>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39209320"/>
        <c:crosses val="autoZero"/>
        <c:crossBetween val="midCat"/>
      </c:valAx>
      <c:valAx>
        <c:axId val="83920932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EIRP</a:t>
                </a:r>
                <a:r>
                  <a:rPr lang="en-AU" baseline="0"/>
                  <a:t> (dBm/200 MHz)</a:t>
                </a:r>
                <a:endParaRPr lang="en-AU"/>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39208992"/>
        <c:crosses val="autoZero"/>
        <c:crossBetween val="midCat"/>
      </c:valAx>
      <c:spPr>
        <a:noFill/>
        <a:ln>
          <a:noFill/>
        </a:ln>
        <a:effectLst/>
      </c:spPr>
    </c:plotArea>
    <c:legend>
      <c:legendPos val="r"/>
      <c:layout>
        <c:manualLayout>
          <c:xMode val="edge"/>
          <c:yMode val="edge"/>
          <c:x val="0.64401975244031051"/>
          <c:y val="3.5138846078403903E-2"/>
          <c:w val="0.34087450737842062"/>
          <c:h val="0.9119287135371423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A536D-8121-4A81-920F-E46E90670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8189</Words>
  <Characters>46680</Characters>
  <Application>Microsoft Office Word</Application>
  <DocSecurity>0</DocSecurity>
  <Lines>389</Lines>
  <Paragraphs>109</Paragraphs>
  <ScaleCrop>false</ScaleCrop>
  <Manager/>
  <Company/>
  <LinksUpToDate>false</LinksUpToDate>
  <CharactersWithSpaces>54760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2020-07-08T23:16:00Z</dcterms:created>
  <dcterms:modified xsi:type="dcterms:W3CDTF">2020-07-08T23:17:00Z</dcterms:modified>
  <cp:category/>
</cp:coreProperties>
</file>