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1263" w14:textId="614B1F2E" w:rsidR="008C72D2" w:rsidRPr="00A85D75" w:rsidRDefault="00135705" w:rsidP="00A51D1A">
      <w:pPr>
        <w:pStyle w:val="Reporttitle"/>
      </w:pPr>
      <w:r>
        <w:t>Extended mobile</w:t>
      </w:r>
      <w:r w:rsidR="005033A1">
        <w:t>-</w:t>
      </w:r>
      <w:r>
        <w:t xml:space="preserve">satellite service </w:t>
      </w:r>
      <w:r w:rsidR="009B4254">
        <w:t>L-</w:t>
      </w:r>
      <w:r w:rsidR="00847C48" w:rsidRPr="00A85D75">
        <w:t>band</w:t>
      </w:r>
      <w:r w:rsidR="00BB0057" w:rsidRPr="00A85D75">
        <w:t xml:space="preserve"> </w:t>
      </w:r>
    </w:p>
    <w:p w14:paraId="71315ABC" w14:textId="64C16348" w:rsidR="00F06E14" w:rsidRPr="00A85D75" w:rsidRDefault="0051429E" w:rsidP="00F06E14">
      <w:pPr>
        <w:pStyle w:val="Reportsubtitle"/>
      </w:pPr>
      <w:r w:rsidRPr="00A85D75">
        <w:t>Outcomes paper</w:t>
      </w:r>
    </w:p>
    <w:p w14:paraId="0D72CB52" w14:textId="051653CA" w:rsidR="00C97736" w:rsidRPr="00A85D75" w:rsidRDefault="009B4254" w:rsidP="00EC2B68">
      <w:pPr>
        <w:pStyle w:val="Reportdate"/>
        <w:spacing w:after="720"/>
        <w:rPr>
          <w:rFonts w:cs="Arial"/>
        </w:rPr>
        <w:sectPr w:rsidR="00C97736" w:rsidRPr="00A85D75" w:rsidSect="0021426C">
          <w:headerReference w:type="even" r:id="rId8"/>
          <w:headerReference w:type="default" r:id="rId9"/>
          <w:footerReference w:type="even" r:id="rId10"/>
          <w:footerReference w:type="default" r:id="rId11"/>
          <w:headerReference w:type="first" r:id="rId12"/>
          <w:pgSz w:w="11906" w:h="16838" w:code="9"/>
          <w:pgMar w:top="3924" w:right="992" w:bottom="1440" w:left="1134" w:header="709" w:footer="454" w:gutter="0"/>
          <w:cols w:space="708"/>
          <w:docGrid w:linePitch="360"/>
        </w:sectPr>
      </w:pPr>
      <w:r>
        <w:t>DECE</w:t>
      </w:r>
      <w:r w:rsidR="0023649E">
        <w:t>M</w:t>
      </w:r>
      <w:r w:rsidR="00FF1219" w:rsidRPr="00A21FC3">
        <w:t>BER</w:t>
      </w:r>
      <w:r w:rsidR="00270F4D" w:rsidRPr="00A21FC3">
        <w:t xml:space="preserve"> </w:t>
      </w:r>
      <w:r w:rsidR="00BD4421" w:rsidRPr="00A21FC3">
        <w:t>20</w:t>
      </w:r>
      <w:r w:rsidR="008E0428" w:rsidRPr="00A21FC3">
        <w:t>2</w:t>
      </w:r>
      <w:r w:rsidR="00091467" w:rsidRPr="00A21FC3">
        <w:t>3</w:t>
      </w:r>
    </w:p>
    <w:p w14:paraId="07EEC75C" w14:textId="77777777" w:rsidR="0005011A" w:rsidRPr="00A85D75" w:rsidRDefault="0005011A" w:rsidP="00FC07B9">
      <w:pPr>
        <w:pStyle w:val="ACMACorporateAddressHeader"/>
      </w:pPr>
      <w:r w:rsidRPr="00A85D75">
        <w:lastRenderedPageBreak/>
        <w:t>Canberra</w:t>
      </w:r>
    </w:p>
    <w:p w14:paraId="7F5FC5FF" w14:textId="77777777" w:rsidR="002A0B16" w:rsidRPr="00E162C4" w:rsidRDefault="002A0B16" w:rsidP="002A0B16">
      <w:pPr>
        <w:pStyle w:val="ACMACorporateAddresses"/>
      </w:pPr>
      <w:r>
        <w:t>Level 3</w:t>
      </w:r>
      <w:r>
        <w:br/>
        <w:t>40 Cameron Avenue</w:t>
      </w:r>
      <w:r w:rsidRPr="00E162C4">
        <w:t xml:space="preserve"> </w:t>
      </w:r>
      <w:r w:rsidRPr="00E162C4">
        <w:br/>
        <w:t>Belconnen ACT</w:t>
      </w:r>
    </w:p>
    <w:p w14:paraId="5CB5CA15" w14:textId="77777777" w:rsidR="0005011A" w:rsidRPr="00A85D75" w:rsidRDefault="0005011A" w:rsidP="00FC07B9">
      <w:pPr>
        <w:pStyle w:val="ACMACorporateAddresses"/>
      </w:pPr>
      <w:r w:rsidRPr="00A85D75">
        <w:t>PO Box 78</w:t>
      </w:r>
      <w:r w:rsidRPr="00A85D75">
        <w:br/>
        <w:t>Belconnen ACT 2616</w:t>
      </w:r>
    </w:p>
    <w:p w14:paraId="45166703" w14:textId="77777777" w:rsidR="00FE1823" w:rsidRPr="00A85D75" w:rsidRDefault="0005011A" w:rsidP="00FC07B9">
      <w:pPr>
        <w:pStyle w:val="ACMACorporateAddresses"/>
      </w:pPr>
      <w:r w:rsidRPr="00A85D75">
        <w:t>T</w:t>
      </w:r>
      <w:r w:rsidR="00537604" w:rsidRPr="00A85D75">
        <w:tab/>
      </w:r>
      <w:r w:rsidRPr="00A85D75">
        <w:t>+61 2 6219 5555</w:t>
      </w:r>
      <w:r w:rsidRPr="00A85D75">
        <w:br/>
        <w:t>F</w:t>
      </w:r>
      <w:r w:rsidR="00537604" w:rsidRPr="00A85D75">
        <w:tab/>
      </w:r>
      <w:r w:rsidRPr="00A85D75">
        <w:t>+61 2 6219 5353</w:t>
      </w:r>
    </w:p>
    <w:p w14:paraId="077AC0B3" w14:textId="77777777" w:rsidR="0005011A" w:rsidRPr="00A85D75" w:rsidRDefault="0005011A" w:rsidP="00FC07B9">
      <w:pPr>
        <w:pStyle w:val="ACMACorporateAddressHeader"/>
      </w:pPr>
      <w:r w:rsidRPr="00A85D75">
        <w:t>Melbourne</w:t>
      </w:r>
    </w:p>
    <w:p w14:paraId="0B3F4801" w14:textId="77777777" w:rsidR="0005011A" w:rsidRPr="00A85D75" w:rsidRDefault="0005011A" w:rsidP="00FC07B9">
      <w:pPr>
        <w:pStyle w:val="ACMACorporateAddresses"/>
      </w:pPr>
      <w:r w:rsidRPr="00A85D75">
        <w:t xml:space="preserve">Level 32 </w:t>
      </w:r>
      <w:r w:rsidRPr="00A85D75">
        <w:br/>
        <w:t>Melbourne Central Tower</w:t>
      </w:r>
      <w:r w:rsidRPr="00A85D75">
        <w:br/>
        <w:t xml:space="preserve">360 Elizabeth Street </w:t>
      </w:r>
      <w:r w:rsidR="008C10F4" w:rsidRPr="00A85D75">
        <w:br/>
      </w:r>
      <w:r w:rsidRPr="00A85D75">
        <w:t>Melbourne VIC</w:t>
      </w:r>
    </w:p>
    <w:p w14:paraId="15BA11F4" w14:textId="77777777" w:rsidR="0005011A" w:rsidRPr="00A85D75" w:rsidRDefault="0005011A" w:rsidP="00FC07B9">
      <w:pPr>
        <w:pStyle w:val="ACMACorporateAddresses"/>
      </w:pPr>
      <w:r w:rsidRPr="00A85D75">
        <w:t>PO Box 13112</w:t>
      </w:r>
      <w:r w:rsidRPr="00A85D75">
        <w:br/>
        <w:t xml:space="preserve">Law Courts </w:t>
      </w:r>
      <w:r w:rsidRPr="00A85D75">
        <w:br/>
        <w:t>Melbourne VIC 8010</w:t>
      </w:r>
    </w:p>
    <w:p w14:paraId="1E4F6AFA" w14:textId="77777777" w:rsidR="0005011A" w:rsidRPr="00A85D75" w:rsidRDefault="0005011A" w:rsidP="00FC07B9">
      <w:pPr>
        <w:pStyle w:val="ACMACorporateAddresses"/>
      </w:pPr>
      <w:r w:rsidRPr="00A85D75">
        <w:t>T</w:t>
      </w:r>
      <w:r w:rsidR="00140318" w:rsidRPr="00A85D75">
        <w:tab/>
      </w:r>
      <w:r w:rsidRPr="00A85D75">
        <w:t>+61 3 9963 6800</w:t>
      </w:r>
      <w:r w:rsidRPr="00A85D75">
        <w:br/>
        <w:t>F</w:t>
      </w:r>
      <w:r w:rsidR="00140318" w:rsidRPr="00A85D75">
        <w:tab/>
      </w:r>
      <w:r w:rsidRPr="00A85D75">
        <w:t>+61 3 9963 6899</w:t>
      </w:r>
    </w:p>
    <w:p w14:paraId="67C7A82C" w14:textId="77777777" w:rsidR="0005011A" w:rsidRPr="00A85D75" w:rsidRDefault="0005011A" w:rsidP="00FC07B9">
      <w:pPr>
        <w:pStyle w:val="ACMACorporateAddressHeader"/>
      </w:pPr>
      <w:r w:rsidRPr="00A85D75">
        <w:t>Sydney</w:t>
      </w:r>
    </w:p>
    <w:p w14:paraId="718B9864" w14:textId="77777777" w:rsidR="0005011A" w:rsidRPr="00A85D75" w:rsidRDefault="0005011A" w:rsidP="00FC07B9">
      <w:pPr>
        <w:pStyle w:val="ACMACorporateAddresses"/>
      </w:pPr>
      <w:r w:rsidRPr="00A85D75">
        <w:t xml:space="preserve">Level 5 </w:t>
      </w:r>
      <w:r w:rsidRPr="00A85D75">
        <w:br/>
        <w:t>The Bay Centre</w:t>
      </w:r>
      <w:r w:rsidRPr="00A85D75">
        <w:br/>
        <w:t xml:space="preserve">65 Pirrama Road </w:t>
      </w:r>
      <w:r w:rsidRPr="00A85D75">
        <w:br/>
        <w:t>Pyrmont NSW</w:t>
      </w:r>
    </w:p>
    <w:p w14:paraId="13623090" w14:textId="77777777" w:rsidR="0005011A" w:rsidRPr="00A85D75" w:rsidRDefault="0005011A" w:rsidP="00FC07B9">
      <w:pPr>
        <w:pStyle w:val="ACMACorporateAddresses"/>
      </w:pPr>
      <w:r w:rsidRPr="00A85D75">
        <w:t>PO Box Q500</w:t>
      </w:r>
      <w:r w:rsidRPr="00A85D75">
        <w:br/>
        <w:t xml:space="preserve">Queen Victoria Building </w:t>
      </w:r>
      <w:r w:rsidRPr="00A85D75">
        <w:br/>
        <w:t>NSW 1230</w:t>
      </w:r>
    </w:p>
    <w:p w14:paraId="38EDBE15" w14:textId="77777777" w:rsidR="0005011A" w:rsidRPr="00A85D75" w:rsidRDefault="0005011A" w:rsidP="00FC07B9">
      <w:pPr>
        <w:pStyle w:val="ACMACorporateAddresses"/>
      </w:pPr>
      <w:r w:rsidRPr="00A85D75">
        <w:t>T</w:t>
      </w:r>
      <w:r w:rsidR="00140318" w:rsidRPr="00A85D75">
        <w:tab/>
      </w:r>
      <w:r w:rsidRPr="00A85D75">
        <w:t>+61 2 9334 7700</w:t>
      </w:r>
      <w:r w:rsidR="00140318" w:rsidRPr="00A85D75">
        <w:t xml:space="preserve"> or</w:t>
      </w:r>
      <w:r w:rsidRPr="00A85D75">
        <w:t xml:space="preserve"> 1800 226 667</w:t>
      </w:r>
      <w:r w:rsidRPr="00A85D75">
        <w:br/>
        <w:t>F</w:t>
      </w:r>
      <w:r w:rsidR="00140318" w:rsidRPr="00A85D75">
        <w:tab/>
      </w:r>
      <w:r w:rsidRPr="00A85D75">
        <w:t>+61 2 9334 7799</w:t>
      </w:r>
    </w:p>
    <w:p w14:paraId="13A20732" w14:textId="77777777" w:rsidR="00140318" w:rsidRPr="00A85D75" w:rsidRDefault="00140318" w:rsidP="00FC07B9">
      <w:pPr>
        <w:pStyle w:val="ACMACopyrightHeader"/>
      </w:pPr>
      <w:r w:rsidRPr="00A85D75">
        <w:t>Copyright notice</w:t>
      </w:r>
    </w:p>
    <w:p w14:paraId="49FABB4A" w14:textId="77777777" w:rsidR="00140318" w:rsidRPr="00A85D75" w:rsidRDefault="00623FF9" w:rsidP="00623FF9">
      <w:pPr>
        <w:pStyle w:val="ACMACClogo"/>
      </w:pPr>
      <w:r w:rsidRPr="00A85D75">
        <w:rPr>
          <w:noProof/>
        </w:rPr>
        <w:drawing>
          <wp:inline distT="0" distB="0" distL="0" distR="0" wp14:anchorId="0D5DAA8A" wp14:editId="3A0C3266">
            <wp:extent cx="838200" cy="295275"/>
            <wp:effectExtent l="0" t="0" r="0" b="0"/>
            <wp:docPr id="1" name="Picture 1" title="Creative Commons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32EFF394" w14:textId="77777777" w:rsidR="00AA2DE5" w:rsidRPr="00A85D75" w:rsidRDefault="00A96A3D" w:rsidP="00AA2DE5">
      <w:pPr>
        <w:pStyle w:val="ACMACorporateAddresses"/>
        <w:rPr>
          <w:rStyle w:val="Hyperlink"/>
        </w:rPr>
      </w:pPr>
      <w:hyperlink r:id="rId15" w:history="1">
        <w:r w:rsidR="00AA2DE5" w:rsidRPr="00A85D75">
          <w:rPr>
            <w:rStyle w:val="Hyperlink"/>
          </w:rPr>
          <w:t>https://creativecommons.org/licenses/by/4.0/</w:t>
        </w:r>
      </w:hyperlink>
    </w:p>
    <w:p w14:paraId="3A604B9C" w14:textId="77777777" w:rsidR="00AA2DE5" w:rsidRPr="00A85D75" w:rsidRDefault="00AA2DE5" w:rsidP="00AA2DE5">
      <w:pPr>
        <w:pStyle w:val="ACMACorporateAddresses"/>
      </w:pPr>
      <w:r w:rsidRPr="00A85D75">
        <w:t xml:space="preserve">With the exception of coats of arms, logos, emblems, images, other third-party material or devices protected by a trademark, this content is made available under the terms of the Creative Commons Attribution 4.0 International (CC BY 4.0) licence. </w:t>
      </w:r>
    </w:p>
    <w:p w14:paraId="1B416728" w14:textId="6BA4C6B7" w:rsidR="00AA2DE5" w:rsidRPr="00A85D75" w:rsidRDefault="00AA2DE5" w:rsidP="00AA2DE5">
      <w:pPr>
        <w:pStyle w:val="ACMACorporateAddresses"/>
      </w:pPr>
      <w:r w:rsidRPr="00A85D75">
        <w:t>We request attribution as © Commonwealth of Australia (Australian Communications and Media Authority) 20</w:t>
      </w:r>
      <w:r w:rsidR="00C41F21" w:rsidRPr="00A85D75">
        <w:t>2</w:t>
      </w:r>
      <w:r w:rsidR="007B28D0">
        <w:t>3</w:t>
      </w:r>
    </w:p>
    <w:p w14:paraId="371F27F3" w14:textId="77777777" w:rsidR="00AA2DE5" w:rsidRPr="00A85D75" w:rsidRDefault="00AA2DE5" w:rsidP="00AA2DE5">
      <w:pPr>
        <w:pStyle w:val="ACMACorporateAddresses"/>
      </w:pPr>
      <w:r w:rsidRPr="00A85D75">
        <w:t>All other rights are reserved.</w:t>
      </w:r>
    </w:p>
    <w:p w14:paraId="414C5484" w14:textId="77777777" w:rsidR="00AA2DE5" w:rsidRPr="00A85D75" w:rsidRDefault="00AA2DE5" w:rsidP="00AA2DE5">
      <w:pPr>
        <w:pStyle w:val="ACMACorporateAddresses"/>
      </w:pPr>
      <w:r w:rsidRPr="00A85D7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853317C" w14:textId="77777777" w:rsidR="00AA2DE5" w:rsidRPr="00A85D75" w:rsidRDefault="00AA2DE5" w:rsidP="00AA2DE5">
      <w:pPr>
        <w:pStyle w:val="ACMACorporateAddresses"/>
      </w:pPr>
      <w:r w:rsidRPr="00A85D75">
        <w:t>Written enquiries may be sent to:</w:t>
      </w:r>
    </w:p>
    <w:p w14:paraId="1A9E1A3F" w14:textId="77777777" w:rsidR="00AA2DE5" w:rsidRPr="00A85D75" w:rsidRDefault="00AA2DE5" w:rsidP="00AA2DE5">
      <w:pPr>
        <w:pStyle w:val="ACMACorporateAddresses"/>
        <w:rPr>
          <w:rStyle w:val="Hyperlink"/>
        </w:rPr>
      </w:pPr>
      <w:r w:rsidRPr="00A85D75">
        <w:t xml:space="preserve">Manager, Editorial </w:t>
      </w:r>
      <w:r w:rsidR="000245E5" w:rsidRPr="00A85D75">
        <w:t>Services</w:t>
      </w:r>
      <w:r w:rsidRPr="00A85D75">
        <w:br/>
        <w:t>PO Box 13112</w:t>
      </w:r>
      <w:r w:rsidRPr="00A85D75">
        <w:br/>
        <w:t>Law Courts</w:t>
      </w:r>
      <w:r w:rsidRPr="00A85D75">
        <w:br/>
        <w:t>Melbourne VIC 8010</w:t>
      </w:r>
      <w:r w:rsidRPr="00A85D75">
        <w:br/>
        <w:t xml:space="preserve">Email: </w:t>
      </w:r>
      <w:hyperlink r:id="rId16" w:history="1">
        <w:r w:rsidRPr="00A85D75">
          <w:rPr>
            <w:rStyle w:val="Hyperlink"/>
          </w:rPr>
          <w:t>info@acma.gov.au</w:t>
        </w:r>
      </w:hyperlink>
    </w:p>
    <w:p w14:paraId="3E619F34" w14:textId="77777777" w:rsidR="00D16FE3" w:rsidRPr="00A85D75" w:rsidRDefault="00D16FE3" w:rsidP="00D16FE3">
      <w:pPr>
        <w:pStyle w:val="ACMACorporateAddresses"/>
        <w:rPr>
          <w:rStyle w:val="Hyperlink"/>
        </w:rPr>
      </w:pPr>
    </w:p>
    <w:p w14:paraId="42257032" w14:textId="77777777" w:rsidR="00D16FE3" w:rsidRPr="00A85D75" w:rsidRDefault="00D16FE3" w:rsidP="00D16FE3">
      <w:pPr>
        <w:pStyle w:val="ACMACorporateAddresses"/>
        <w:sectPr w:rsidR="00D16FE3" w:rsidRPr="00A85D75">
          <w:headerReference w:type="even" r:id="rId17"/>
          <w:headerReference w:type="default" r:id="rId18"/>
          <w:footerReference w:type="even" r:id="rId19"/>
          <w:footerReference w:type="default" r:id="rId20"/>
          <w:pgSz w:w="11906" w:h="16838" w:code="9"/>
          <w:pgMar w:top="3924" w:right="1797" w:bottom="697" w:left="1134" w:header="709" w:footer="119" w:gutter="0"/>
          <w:cols w:space="708"/>
          <w:docGrid w:linePitch="360"/>
        </w:sectPr>
      </w:pPr>
    </w:p>
    <w:p w14:paraId="25DACB3C" w14:textId="45A91AC8" w:rsidR="008E3B1F" w:rsidRDefault="00A901CF">
      <w:pPr>
        <w:pStyle w:val="TOC1"/>
        <w:rPr>
          <w:rFonts w:asciiTheme="minorHAnsi" w:eastAsiaTheme="minorEastAsia" w:hAnsiTheme="minorHAnsi" w:cstheme="minorBidi"/>
          <w:b w:val="0"/>
          <w:spacing w:val="0"/>
          <w:sz w:val="22"/>
          <w:szCs w:val="22"/>
        </w:rPr>
      </w:pPr>
      <w:r>
        <w:rPr>
          <w:rFonts w:cs="Arial"/>
          <w:b w:val="0"/>
        </w:rPr>
        <w:fldChar w:fldCharType="begin"/>
      </w:r>
      <w:r>
        <w:rPr>
          <w:rFonts w:cs="Arial"/>
          <w:b w:val="0"/>
        </w:rPr>
        <w:instrText xml:space="preserve"> TOC \o "1-3" \h \z \t "Exec summary heading,1" </w:instrText>
      </w:r>
      <w:r>
        <w:rPr>
          <w:rFonts w:cs="Arial"/>
          <w:b w:val="0"/>
        </w:rPr>
        <w:fldChar w:fldCharType="separate"/>
      </w:r>
      <w:hyperlink w:anchor="_Toc153793172" w:history="1">
        <w:r w:rsidR="008E3B1F" w:rsidRPr="0090494A">
          <w:rPr>
            <w:rStyle w:val="Hyperlink"/>
          </w:rPr>
          <w:t>Executive summary</w:t>
        </w:r>
        <w:r w:rsidR="008E3B1F">
          <w:rPr>
            <w:webHidden/>
          </w:rPr>
          <w:tab/>
        </w:r>
        <w:r w:rsidR="008E3B1F">
          <w:rPr>
            <w:webHidden/>
          </w:rPr>
          <w:fldChar w:fldCharType="begin"/>
        </w:r>
        <w:r w:rsidR="008E3B1F">
          <w:rPr>
            <w:webHidden/>
          </w:rPr>
          <w:instrText xml:space="preserve"> PAGEREF _Toc153793172 \h </w:instrText>
        </w:r>
        <w:r w:rsidR="008E3B1F">
          <w:rPr>
            <w:webHidden/>
          </w:rPr>
        </w:r>
        <w:r w:rsidR="008E3B1F">
          <w:rPr>
            <w:webHidden/>
          </w:rPr>
          <w:fldChar w:fldCharType="separate"/>
        </w:r>
        <w:r w:rsidR="008E3B1F">
          <w:rPr>
            <w:webHidden/>
          </w:rPr>
          <w:t>5</w:t>
        </w:r>
        <w:r w:rsidR="008E3B1F">
          <w:rPr>
            <w:webHidden/>
          </w:rPr>
          <w:fldChar w:fldCharType="end"/>
        </w:r>
      </w:hyperlink>
    </w:p>
    <w:p w14:paraId="55B37CA3" w14:textId="6DAB154C" w:rsidR="008E3B1F" w:rsidRDefault="00A96A3D">
      <w:pPr>
        <w:pStyle w:val="TOC2"/>
        <w:rPr>
          <w:rFonts w:asciiTheme="minorHAnsi" w:eastAsiaTheme="minorEastAsia" w:hAnsiTheme="minorHAnsi" w:cstheme="minorBidi"/>
          <w:spacing w:val="0"/>
          <w:sz w:val="22"/>
          <w:szCs w:val="22"/>
        </w:rPr>
      </w:pPr>
      <w:hyperlink w:anchor="_Toc153793173" w:history="1">
        <w:r w:rsidR="008E3B1F" w:rsidRPr="0090494A">
          <w:rPr>
            <w:rStyle w:val="Hyperlink"/>
          </w:rPr>
          <w:t>Industry feedback and ACMA considerations</w:t>
        </w:r>
        <w:r w:rsidR="008E3B1F">
          <w:rPr>
            <w:webHidden/>
          </w:rPr>
          <w:tab/>
        </w:r>
        <w:r w:rsidR="008E3B1F">
          <w:rPr>
            <w:webHidden/>
          </w:rPr>
          <w:fldChar w:fldCharType="begin"/>
        </w:r>
        <w:r w:rsidR="008E3B1F">
          <w:rPr>
            <w:webHidden/>
          </w:rPr>
          <w:instrText xml:space="preserve"> PAGEREF _Toc153793173 \h </w:instrText>
        </w:r>
        <w:r w:rsidR="008E3B1F">
          <w:rPr>
            <w:webHidden/>
          </w:rPr>
        </w:r>
        <w:r w:rsidR="008E3B1F">
          <w:rPr>
            <w:webHidden/>
          </w:rPr>
          <w:fldChar w:fldCharType="separate"/>
        </w:r>
        <w:r w:rsidR="008E3B1F">
          <w:rPr>
            <w:webHidden/>
          </w:rPr>
          <w:t>6</w:t>
        </w:r>
        <w:r w:rsidR="008E3B1F">
          <w:rPr>
            <w:webHidden/>
          </w:rPr>
          <w:fldChar w:fldCharType="end"/>
        </w:r>
      </w:hyperlink>
    </w:p>
    <w:p w14:paraId="61C149C3" w14:textId="2BDB0B7A" w:rsidR="008E3B1F" w:rsidRDefault="00A96A3D">
      <w:pPr>
        <w:pStyle w:val="TOC2"/>
        <w:rPr>
          <w:rFonts w:asciiTheme="minorHAnsi" w:eastAsiaTheme="minorEastAsia" w:hAnsiTheme="minorHAnsi" w:cstheme="minorBidi"/>
          <w:spacing w:val="0"/>
          <w:sz w:val="22"/>
          <w:szCs w:val="22"/>
        </w:rPr>
      </w:pPr>
      <w:hyperlink w:anchor="_Toc153793174" w:history="1">
        <w:r w:rsidR="008E3B1F" w:rsidRPr="0090494A">
          <w:rPr>
            <w:rStyle w:val="Hyperlink"/>
          </w:rPr>
          <w:t>Planning decision</w:t>
        </w:r>
        <w:r w:rsidR="008E3B1F">
          <w:rPr>
            <w:webHidden/>
          </w:rPr>
          <w:tab/>
        </w:r>
        <w:r w:rsidR="008E3B1F">
          <w:rPr>
            <w:webHidden/>
          </w:rPr>
          <w:fldChar w:fldCharType="begin"/>
        </w:r>
        <w:r w:rsidR="008E3B1F">
          <w:rPr>
            <w:webHidden/>
          </w:rPr>
          <w:instrText xml:space="preserve"> PAGEREF _Toc153793174 \h </w:instrText>
        </w:r>
        <w:r w:rsidR="008E3B1F">
          <w:rPr>
            <w:webHidden/>
          </w:rPr>
        </w:r>
        <w:r w:rsidR="008E3B1F">
          <w:rPr>
            <w:webHidden/>
          </w:rPr>
          <w:fldChar w:fldCharType="separate"/>
        </w:r>
        <w:r w:rsidR="008E3B1F">
          <w:rPr>
            <w:webHidden/>
          </w:rPr>
          <w:t>6</w:t>
        </w:r>
        <w:r w:rsidR="008E3B1F">
          <w:rPr>
            <w:webHidden/>
          </w:rPr>
          <w:fldChar w:fldCharType="end"/>
        </w:r>
      </w:hyperlink>
    </w:p>
    <w:p w14:paraId="4F37A1CB" w14:textId="603543C9" w:rsidR="008E3B1F" w:rsidRDefault="00A96A3D">
      <w:pPr>
        <w:pStyle w:val="TOC2"/>
        <w:rPr>
          <w:rFonts w:asciiTheme="minorHAnsi" w:eastAsiaTheme="minorEastAsia" w:hAnsiTheme="minorHAnsi" w:cstheme="minorBidi"/>
          <w:spacing w:val="0"/>
          <w:sz w:val="22"/>
          <w:szCs w:val="22"/>
        </w:rPr>
      </w:pPr>
      <w:hyperlink w:anchor="_Toc153793175" w:history="1">
        <w:r w:rsidR="008E3B1F" w:rsidRPr="0090494A">
          <w:rPr>
            <w:rStyle w:val="Hyperlink"/>
          </w:rPr>
          <w:t>Next steps</w:t>
        </w:r>
        <w:r w:rsidR="008E3B1F">
          <w:rPr>
            <w:webHidden/>
          </w:rPr>
          <w:tab/>
        </w:r>
        <w:r w:rsidR="008E3B1F">
          <w:rPr>
            <w:webHidden/>
          </w:rPr>
          <w:fldChar w:fldCharType="begin"/>
        </w:r>
        <w:r w:rsidR="008E3B1F">
          <w:rPr>
            <w:webHidden/>
          </w:rPr>
          <w:instrText xml:space="preserve"> PAGEREF _Toc153793175 \h </w:instrText>
        </w:r>
        <w:r w:rsidR="008E3B1F">
          <w:rPr>
            <w:webHidden/>
          </w:rPr>
        </w:r>
        <w:r w:rsidR="008E3B1F">
          <w:rPr>
            <w:webHidden/>
          </w:rPr>
          <w:fldChar w:fldCharType="separate"/>
        </w:r>
        <w:r w:rsidR="008E3B1F">
          <w:rPr>
            <w:webHidden/>
          </w:rPr>
          <w:t>7</w:t>
        </w:r>
        <w:r w:rsidR="008E3B1F">
          <w:rPr>
            <w:webHidden/>
          </w:rPr>
          <w:fldChar w:fldCharType="end"/>
        </w:r>
      </w:hyperlink>
    </w:p>
    <w:p w14:paraId="2446CE6D" w14:textId="59B90532" w:rsidR="008E3B1F" w:rsidRDefault="00A96A3D">
      <w:pPr>
        <w:pStyle w:val="TOC1"/>
        <w:rPr>
          <w:rFonts w:asciiTheme="minorHAnsi" w:eastAsiaTheme="minorEastAsia" w:hAnsiTheme="minorHAnsi" w:cstheme="minorBidi"/>
          <w:b w:val="0"/>
          <w:spacing w:val="0"/>
          <w:sz w:val="22"/>
          <w:szCs w:val="22"/>
        </w:rPr>
      </w:pPr>
      <w:hyperlink w:anchor="_Toc153793176" w:history="1">
        <w:r w:rsidR="008E3B1F" w:rsidRPr="0090494A">
          <w:rPr>
            <w:rStyle w:val="Hyperlink"/>
          </w:rPr>
          <w:t>Introduction</w:t>
        </w:r>
        <w:r w:rsidR="008E3B1F">
          <w:rPr>
            <w:webHidden/>
          </w:rPr>
          <w:tab/>
        </w:r>
        <w:r w:rsidR="008E3B1F">
          <w:rPr>
            <w:webHidden/>
          </w:rPr>
          <w:fldChar w:fldCharType="begin"/>
        </w:r>
        <w:r w:rsidR="008E3B1F">
          <w:rPr>
            <w:webHidden/>
          </w:rPr>
          <w:instrText xml:space="preserve"> PAGEREF _Toc153793176 \h </w:instrText>
        </w:r>
        <w:r w:rsidR="008E3B1F">
          <w:rPr>
            <w:webHidden/>
          </w:rPr>
        </w:r>
        <w:r w:rsidR="008E3B1F">
          <w:rPr>
            <w:webHidden/>
          </w:rPr>
          <w:fldChar w:fldCharType="separate"/>
        </w:r>
        <w:r w:rsidR="008E3B1F">
          <w:rPr>
            <w:webHidden/>
          </w:rPr>
          <w:t>8</w:t>
        </w:r>
        <w:r w:rsidR="008E3B1F">
          <w:rPr>
            <w:webHidden/>
          </w:rPr>
          <w:fldChar w:fldCharType="end"/>
        </w:r>
      </w:hyperlink>
    </w:p>
    <w:p w14:paraId="4B69F1BB" w14:textId="74110874" w:rsidR="008E3B1F" w:rsidRDefault="00A96A3D">
      <w:pPr>
        <w:pStyle w:val="TOC2"/>
        <w:rPr>
          <w:rFonts w:asciiTheme="minorHAnsi" w:eastAsiaTheme="minorEastAsia" w:hAnsiTheme="minorHAnsi" w:cstheme="minorBidi"/>
          <w:spacing w:val="0"/>
          <w:sz w:val="22"/>
          <w:szCs w:val="22"/>
        </w:rPr>
      </w:pPr>
      <w:hyperlink w:anchor="_Toc153793177" w:history="1">
        <w:r w:rsidR="008E3B1F" w:rsidRPr="0090494A">
          <w:rPr>
            <w:rStyle w:val="Hyperlink"/>
          </w:rPr>
          <w:t>Legislative and policy environment</w:t>
        </w:r>
        <w:r w:rsidR="008E3B1F">
          <w:rPr>
            <w:webHidden/>
          </w:rPr>
          <w:tab/>
        </w:r>
        <w:r w:rsidR="008E3B1F">
          <w:rPr>
            <w:webHidden/>
          </w:rPr>
          <w:fldChar w:fldCharType="begin"/>
        </w:r>
        <w:r w:rsidR="008E3B1F">
          <w:rPr>
            <w:webHidden/>
          </w:rPr>
          <w:instrText xml:space="preserve"> PAGEREF _Toc153793177 \h </w:instrText>
        </w:r>
        <w:r w:rsidR="008E3B1F">
          <w:rPr>
            <w:webHidden/>
          </w:rPr>
        </w:r>
        <w:r w:rsidR="008E3B1F">
          <w:rPr>
            <w:webHidden/>
          </w:rPr>
          <w:fldChar w:fldCharType="separate"/>
        </w:r>
        <w:r w:rsidR="008E3B1F">
          <w:rPr>
            <w:webHidden/>
          </w:rPr>
          <w:t>8</w:t>
        </w:r>
        <w:r w:rsidR="008E3B1F">
          <w:rPr>
            <w:webHidden/>
          </w:rPr>
          <w:fldChar w:fldCharType="end"/>
        </w:r>
      </w:hyperlink>
    </w:p>
    <w:p w14:paraId="3A6B6D5F" w14:textId="3E0966C6" w:rsidR="008E3B1F" w:rsidRDefault="00A96A3D">
      <w:pPr>
        <w:pStyle w:val="TOC3"/>
        <w:rPr>
          <w:rFonts w:asciiTheme="minorHAnsi" w:eastAsiaTheme="minorEastAsia" w:hAnsiTheme="minorHAnsi" w:cstheme="minorBidi"/>
        </w:rPr>
      </w:pPr>
      <w:hyperlink w:anchor="_Toc153793178" w:history="1">
        <w:r w:rsidR="008E3B1F" w:rsidRPr="0090494A">
          <w:rPr>
            <w:rStyle w:val="Hyperlink"/>
          </w:rPr>
          <w:t>Regional connectivity and satellite communications</w:t>
        </w:r>
        <w:r w:rsidR="008E3B1F">
          <w:rPr>
            <w:webHidden/>
          </w:rPr>
          <w:tab/>
        </w:r>
        <w:r w:rsidR="008E3B1F">
          <w:rPr>
            <w:webHidden/>
          </w:rPr>
          <w:fldChar w:fldCharType="begin"/>
        </w:r>
        <w:r w:rsidR="008E3B1F">
          <w:rPr>
            <w:webHidden/>
          </w:rPr>
          <w:instrText xml:space="preserve"> PAGEREF _Toc153793178 \h </w:instrText>
        </w:r>
        <w:r w:rsidR="008E3B1F">
          <w:rPr>
            <w:webHidden/>
          </w:rPr>
        </w:r>
        <w:r w:rsidR="008E3B1F">
          <w:rPr>
            <w:webHidden/>
          </w:rPr>
          <w:fldChar w:fldCharType="separate"/>
        </w:r>
        <w:r w:rsidR="008E3B1F">
          <w:rPr>
            <w:webHidden/>
          </w:rPr>
          <w:t>9</w:t>
        </w:r>
        <w:r w:rsidR="008E3B1F">
          <w:rPr>
            <w:webHidden/>
          </w:rPr>
          <w:fldChar w:fldCharType="end"/>
        </w:r>
      </w:hyperlink>
    </w:p>
    <w:p w14:paraId="464FB891" w14:textId="0B5E1D34" w:rsidR="008E3B1F" w:rsidRDefault="00A96A3D">
      <w:pPr>
        <w:pStyle w:val="TOC2"/>
        <w:rPr>
          <w:rFonts w:asciiTheme="minorHAnsi" w:eastAsiaTheme="minorEastAsia" w:hAnsiTheme="minorHAnsi" w:cstheme="minorBidi"/>
          <w:spacing w:val="0"/>
          <w:sz w:val="22"/>
          <w:szCs w:val="22"/>
        </w:rPr>
      </w:pPr>
      <w:hyperlink w:anchor="_Toc153793179" w:history="1">
        <w:r w:rsidR="008E3B1F" w:rsidRPr="0090494A">
          <w:rPr>
            <w:rStyle w:val="Hyperlink"/>
          </w:rPr>
          <w:t>Licensing arrangements</w:t>
        </w:r>
        <w:r w:rsidR="008E3B1F">
          <w:rPr>
            <w:webHidden/>
          </w:rPr>
          <w:tab/>
        </w:r>
        <w:r w:rsidR="008E3B1F">
          <w:rPr>
            <w:webHidden/>
          </w:rPr>
          <w:fldChar w:fldCharType="begin"/>
        </w:r>
        <w:r w:rsidR="008E3B1F">
          <w:rPr>
            <w:webHidden/>
          </w:rPr>
          <w:instrText xml:space="preserve"> PAGEREF _Toc153793179 \h </w:instrText>
        </w:r>
        <w:r w:rsidR="008E3B1F">
          <w:rPr>
            <w:webHidden/>
          </w:rPr>
        </w:r>
        <w:r w:rsidR="008E3B1F">
          <w:rPr>
            <w:webHidden/>
          </w:rPr>
          <w:fldChar w:fldCharType="separate"/>
        </w:r>
        <w:r w:rsidR="008E3B1F">
          <w:rPr>
            <w:webHidden/>
          </w:rPr>
          <w:t>10</w:t>
        </w:r>
        <w:r w:rsidR="008E3B1F">
          <w:rPr>
            <w:webHidden/>
          </w:rPr>
          <w:fldChar w:fldCharType="end"/>
        </w:r>
      </w:hyperlink>
    </w:p>
    <w:p w14:paraId="7B687175" w14:textId="5F8FAEE8" w:rsidR="008E3B1F" w:rsidRDefault="00A96A3D">
      <w:pPr>
        <w:pStyle w:val="TOC3"/>
        <w:rPr>
          <w:rFonts w:asciiTheme="minorHAnsi" w:eastAsiaTheme="minorEastAsia" w:hAnsiTheme="minorHAnsi" w:cstheme="minorBidi"/>
        </w:rPr>
      </w:pPr>
      <w:hyperlink w:anchor="_Toc153793180" w:history="1">
        <w:r w:rsidR="008E3B1F" w:rsidRPr="0090494A">
          <w:rPr>
            <w:rStyle w:val="Hyperlink"/>
          </w:rPr>
          <w:t>Licensing of space-based communication systems</w:t>
        </w:r>
        <w:r w:rsidR="008E3B1F">
          <w:rPr>
            <w:webHidden/>
          </w:rPr>
          <w:tab/>
        </w:r>
        <w:r w:rsidR="008E3B1F">
          <w:rPr>
            <w:webHidden/>
          </w:rPr>
          <w:fldChar w:fldCharType="begin"/>
        </w:r>
        <w:r w:rsidR="008E3B1F">
          <w:rPr>
            <w:webHidden/>
          </w:rPr>
          <w:instrText xml:space="preserve"> PAGEREF _Toc153793180 \h </w:instrText>
        </w:r>
        <w:r w:rsidR="008E3B1F">
          <w:rPr>
            <w:webHidden/>
          </w:rPr>
        </w:r>
        <w:r w:rsidR="008E3B1F">
          <w:rPr>
            <w:webHidden/>
          </w:rPr>
          <w:fldChar w:fldCharType="separate"/>
        </w:r>
        <w:r w:rsidR="008E3B1F">
          <w:rPr>
            <w:webHidden/>
          </w:rPr>
          <w:t>11</w:t>
        </w:r>
        <w:r w:rsidR="008E3B1F">
          <w:rPr>
            <w:webHidden/>
          </w:rPr>
          <w:fldChar w:fldCharType="end"/>
        </w:r>
      </w:hyperlink>
    </w:p>
    <w:p w14:paraId="70D58D16" w14:textId="2A712F5A" w:rsidR="008E3B1F" w:rsidRDefault="00A96A3D">
      <w:pPr>
        <w:pStyle w:val="TOC2"/>
        <w:rPr>
          <w:rFonts w:asciiTheme="minorHAnsi" w:eastAsiaTheme="minorEastAsia" w:hAnsiTheme="minorHAnsi" w:cstheme="minorBidi"/>
          <w:spacing w:val="0"/>
          <w:sz w:val="22"/>
          <w:szCs w:val="22"/>
        </w:rPr>
      </w:pPr>
      <w:hyperlink w:anchor="_Toc153793181" w:history="1">
        <w:r w:rsidR="008E3B1F" w:rsidRPr="0090494A">
          <w:rPr>
            <w:rStyle w:val="Hyperlink"/>
          </w:rPr>
          <w:t>Spectrum planning outcomes development</w:t>
        </w:r>
        <w:r w:rsidR="008E3B1F">
          <w:rPr>
            <w:webHidden/>
          </w:rPr>
          <w:tab/>
        </w:r>
        <w:r w:rsidR="008E3B1F">
          <w:rPr>
            <w:webHidden/>
          </w:rPr>
          <w:fldChar w:fldCharType="begin"/>
        </w:r>
        <w:r w:rsidR="008E3B1F">
          <w:rPr>
            <w:webHidden/>
          </w:rPr>
          <w:instrText xml:space="preserve"> PAGEREF _Toc153793181 \h </w:instrText>
        </w:r>
        <w:r w:rsidR="008E3B1F">
          <w:rPr>
            <w:webHidden/>
          </w:rPr>
        </w:r>
        <w:r w:rsidR="008E3B1F">
          <w:rPr>
            <w:webHidden/>
          </w:rPr>
          <w:fldChar w:fldCharType="separate"/>
        </w:r>
        <w:r w:rsidR="008E3B1F">
          <w:rPr>
            <w:webHidden/>
          </w:rPr>
          <w:t>12</w:t>
        </w:r>
        <w:r w:rsidR="008E3B1F">
          <w:rPr>
            <w:webHidden/>
          </w:rPr>
          <w:fldChar w:fldCharType="end"/>
        </w:r>
      </w:hyperlink>
    </w:p>
    <w:p w14:paraId="4B92814C" w14:textId="68C582E5" w:rsidR="008E3B1F" w:rsidRDefault="00A96A3D">
      <w:pPr>
        <w:pStyle w:val="TOC2"/>
        <w:rPr>
          <w:rFonts w:asciiTheme="minorHAnsi" w:eastAsiaTheme="minorEastAsia" w:hAnsiTheme="minorHAnsi" w:cstheme="minorBidi"/>
          <w:spacing w:val="0"/>
          <w:sz w:val="22"/>
          <w:szCs w:val="22"/>
        </w:rPr>
      </w:pPr>
      <w:hyperlink w:anchor="_Toc153793182" w:history="1">
        <w:r w:rsidR="008E3B1F" w:rsidRPr="0090494A">
          <w:rPr>
            <w:rStyle w:val="Hyperlink"/>
          </w:rPr>
          <w:t>Issues not within the scope of this paper</w:t>
        </w:r>
        <w:r w:rsidR="008E3B1F">
          <w:rPr>
            <w:webHidden/>
          </w:rPr>
          <w:tab/>
        </w:r>
        <w:r w:rsidR="008E3B1F">
          <w:rPr>
            <w:webHidden/>
          </w:rPr>
          <w:fldChar w:fldCharType="begin"/>
        </w:r>
        <w:r w:rsidR="008E3B1F">
          <w:rPr>
            <w:webHidden/>
          </w:rPr>
          <w:instrText xml:space="preserve"> PAGEREF _Toc153793182 \h </w:instrText>
        </w:r>
        <w:r w:rsidR="008E3B1F">
          <w:rPr>
            <w:webHidden/>
          </w:rPr>
        </w:r>
        <w:r w:rsidR="008E3B1F">
          <w:rPr>
            <w:webHidden/>
          </w:rPr>
          <w:fldChar w:fldCharType="separate"/>
        </w:r>
        <w:r w:rsidR="008E3B1F">
          <w:rPr>
            <w:webHidden/>
          </w:rPr>
          <w:t>13</w:t>
        </w:r>
        <w:r w:rsidR="008E3B1F">
          <w:rPr>
            <w:webHidden/>
          </w:rPr>
          <w:fldChar w:fldCharType="end"/>
        </w:r>
      </w:hyperlink>
    </w:p>
    <w:p w14:paraId="4E7727A3" w14:textId="48D99187" w:rsidR="008E3B1F" w:rsidRDefault="00A96A3D">
      <w:pPr>
        <w:pStyle w:val="TOC3"/>
        <w:rPr>
          <w:rFonts w:asciiTheme="minorHAnsi" w:eastAsiaTheme="minorEastAsia" w:hAnsiTheme="minorHAnsi" w:cstheme="minorBidi"/>
        </w:rPr>
      </w:pPr>
      <w:hyperlink w:anchor="_Toc153793183" w:history="1">
        <w:r w:rsidR="008E3B1F" w:rsidRPr="0090494A">
          <w:rPr>
            <w:rStyle w:val="Hyperlink"/>
          </w:rPr>
          <w:t>Apparatus licence tax arrangements</w:t>
        </w:r>
        <w:r w:rsidR="008E3B1F">
          <w:rPr>
            <w:webHidden/>
          </w:rPr>
          <w:tab/>
        </w:r>
        <w:r w:rsidR="008E3B1F">
          <w:rPr>
            <w:webHidden/>
          </w:rPr>
          <w:fldChar w:fldCharType="begin"/>
        </w:r>
        <w:r w:rsidR="008E3B1F">
          <w:rPr>
            <w:webHidden/>
          </w:rPr>
          <w:instrText xml:space="preserve"> PAGEREF _Toc153793183 \h </w:instrText>
        </w:r>
        <w:r w:rsidR="008E3B1F">
          <w:rPr>
            <w:webHidden/>
          </w:rPr>
        </w:r>
        <w:r w:rsidR="008E3B1F">
          <w:rPr>
            <w:webHidden/>
          </w:rPr>
          <w:fldChar w:fldCharType="separate"/>
        </w:r>
        <w:r w:rsidR="008E3B1F">
          <w:rPr>
            <w:webHidden/>
          </w:rPr>
          <w:t>13</w:t>
        </w:r>
        <w:r w:rsidR="008E3B1F">
          <w:rPr>
            <w:webHidden/>
          </w:rPr>
          <w:fldChar w:fldCharType="end"/>
        </w:r>
      </w:hyperlink>
    </w:p>
    <w:p w14:paraId="4C3868B0" w14:textId="5E73EA97" w:rsidR="008E3B1F" w:rsidRDefault="00A96A3D">
      <w:pPr>
        <w:pStyle w:val="TOC3"/>
        <w:rPr>
          <w:rFonts w:asciiTheme="minorHAnsi" w:eastAsiaTheme="minorEastAsia" w:hAnsiTheme="minorHAnsi" w:cstheme="minorBidi"/>
        </w:rPr>
      </w:pPr>
      <w:hyperlink w:anchor="_Toc153793184" w:history="1">
        <w:r w:rsidR="008E3B1F" w:rsidRPr="0090494A">
          <w:rPr>
            <w:rStyle w:val="Hyperlink"/>
          </w:rPr>
          <w:t>Engagement in international activities</w:t>
        </w:r>
        <w:r w:rsidR="008E3B1F">
          <w:rPr>
            <w:webHidden/>
          </w:rPr>
          <w:tab/>
        </w:r>
        <w:r w:rsidR="008E3B1F">
          <w:rPr>
            <w:webHidden/>
          </w:rPr>
          <w:fldChar w:fldCharType="begin"/>
        </w:r>
        <w:r w:rsidR="008E3B1F">
          <w:rPr>
            <w:webHidden/>
          </w:rPr>
          <w:instrText xml:space="preserve"> PAGEREF _Toc153793184 \h </w:instrText>
        </w:r>
        <w:r w:rsidR="008E3B1F">
          <w:rPr>
            <w:webHidden/>
          </w:rPr>
        </w:r>
        <w:r w:rsidR="008E3B1F">
          <w:rPr>
            <w:webHidden/>
          </w:rPr>
          <w:fldChar w:fldCharType="separate"/>
        </w:r>
        <w:r w:rsidR="008E3B1F">
          <w:rPr>
            <w:webHidden/>
          </w:rPr>
          <w:t>13</w:t>
        </w:r>
        <w:r w:rsidR="008E3B1F">
          <w:rPr>
            <w:webHidden/>
          </w:rPr>
          <w:fldChar w:fldCharType="end"/>
        </w:r>
      </w:hyperlink>
    </w:p>
    <w:p w14:paraId="2B1504ED" w14:textId="571B67EA" w:rsidR="008E3B1F" w:rsidRDefault="00A96A3D">
      <w:pPr>
        <w:pStyle w:val="TOC1"/>
        <w:rPr>
          <w:rFonts w:asciiTheme="minorHAnsi" w:eastAsiaTheme="minorEastAsia" w:hAnsiTheme="minorHAnsi" w:cstheme="minorBidi"/>
          <w:b w:val="0"/>
          <w:spacing w:val="0"/>
          <w:sz w:val="22"/>
          <w:szCs w:val="22"/>
        </w:rPr>
      </w:pPr>
      <w:hyperlink w:anchor="_Toc153793185" w:history="1">
        <w:r w:rsidR="008E3B1F" w:rsidRPr="0090494A">
          <w:rPr>
            <w:rStyle w:val="Hyperlink"/>
          </w:rPr>
          <w:t>The process to date</w:t>
        </w:r>
        <w:r w:rsidR="008E3B1F">
          <w:rPr>
            <w:webHidden/>
          </w:rPr>
          <w:tab/>
        </w:r>
        <w:r w:rsidR="008E3B1F">
          <w:rPr>
            <w:webHidden/>
          </w:rPr>
          <w:fldChar w:fldCharType="begin"/>
        </w:r>
        <w:r w:rsidR="008E3B1F">
          <w:rPr>
            <w:webHidden/>
          </w:rPr>
          <w:instrText xml:space="preserve"> PAGEREF _Toc153793185 \h </w:instrText>
        </w:r>
        <w:r w:rsidR="008E3B1F">
          <w:rPr>
            <w:webHidden/>
          </w:rPr>
        </w:r>
        <w:r w:rsidR="008E3B1F">
          <w:rPr>
            <w:webHidden/>
          </w:rPr>
          <w:fldChar w:fldCharType="separate"/>
        </w:r>
        <w:r w:rsidR="008E3B1F">
          <w:rPr>
            <w:webHidden/>
          </w:rPr>
          <w:t>14</w:t>
        </w:r>
        <w:r w:rsidR="008E3B1F">
          <w:rPr>
            <w:webHidden/>
          </w:rPr>
          <w:fldChar w:fldCharType="end"/>
        </w:r>
      </w:hyperlink>
    </w:p>
    <w:p w14:paraId="606ABB88" w14:textId="52E2BAA0" w:rsidR="008E3B1F" w:rsidRDefault="00A96A3D">
      <w:pPr>
        <w:pStyle w:val="TOC2"/>
        <w:rPr>
          <w:rFonts w:asciiTheme="minorHAnsi" w:eastAsiaTheme="minorEastAsia" w:hAnsiTheme="minorHAnsi" w:cstheme="minorBidi"/>
          <w:spacing w:val="0"/>
          <w:sz w:val="22"/>
          <w:szCs w:val="22"/>
        </w:rPr>
      </w:pPr>
      <w:hyperlink w:anchor="_Toc153793186" w:history="1">
        <w:r w:rsidR="008E3B1F" w:rsidRPr="0090494A">
          <w:rPr>
            <w:rStyle w:val="Hyperlink"/>
          </w:rPr>
          <w:t>Overall approach to replanning the band</w:t>
        </w:r>
        <w:r w:rsidR="008E3B1F">
          <w:rPr>
            <w:webHidden/>
          </w:rPr>
          <w:tab/>
        </w:r>
        <w:r w:rsidR="008E3B1F">
          <w:rPr>
            <w:webHidden/>
          </w:rPr>
          <w:fldChar w:fldCharType="begin"/>
        </w:r>
        <w:r w:rsidR="008E3B1F">
          <w:rPr>
            <w:webHidden/>
          </w:rPr>
          <w:instrText xml:space="preserve"> PAGEREF _Toc153793186 \h </w:instrText>
        </w:r>
        <w:r w:rsidR="008E3B1F">
          <w:rPr>
            <w:webHidden/>
          </w:rPr>
        </w:r>
        <w:r w:rsidR="008E3B1F">
          <w:rPr>
            <w:webHidden/>
          </w:rPr>
          <w:fldChar w:fldCharType="separate"/>
        </w:r>
        <w:r w:rsidR="008E3B1F">
          <w:rPr>
            <w:webHidden/>
          </w:rPr>
          <w:t>14</w:t>
        </w:r>
        <w:r w:rsidR="008E3B1F">
          <w:rPr>
            <w:webHidden/>
          </w:rPr>
          <w:fldChar w:fldCharType="end"/>
        </w:r>
      </w:hyperlink>
    </w:p>
    <w:p w14:paraId="79A93C86" w14:textId="77DC588E" w:rsidR="008E3B1F" w:rsidRDefault="00A96A3D">
      <w:pPr>
        <w:pStyle w:val="TOC3"/>
        <w:rPr>
          <w:rFonts w:asciiTheme="minorHAnsi" w:eastAsiaTheme="minorEastAsia" w:hAnsiTheme="minorHAnsi" w:cstheme="minorBidi"/>
        </w:rPr>
      </w:pPr>
      <w:hyperlink w:anchor="_Toc153793187" w:history="1">
        <w:r w:rsidR="008E3B1F" w:rsidRPr="0090494A">
          <w:rPr>
            <w:rStyle w:val="Hyperlink"/>
          </w:rPr>
          <w:t>The May 2022 paper</w:t>
        </w:r>
        <w:r w:rsidR="008E3B1F">
          <w:rPr>
            <w:webHidden/>
          </w:rPr>
          <w:tab/>
        </w:r>
        <w:r w:rsidR="008E3B1F">
          <w:rPr>
            <w:webHidden/>
          </w:rPr>
          <w:fldChar w:fldCharType="begin"/>
        </w:r>
        <w:r w:rsidR="008E3B1F">
          <w:rPr>
            <w:webHidden/>
          </w:rPr>
          <w:instrText xml:space="preserve"> PAGEREF _Toc153793187 \h </w:instrText>
        </w:r>
        <w:r w:rsidR="008E3B1F">
          <w:rPr>
            <w:webHidden/>
          </w:rPr>
        </w:r>
        <w:r w:rsidR="008E3B1F">
          <w:rPr>
            <w:webHidden/>
          </w:rPr>
          <w:fldChar w:fldCharType="separate"/>
        </w:r>
        <w:r w:rsidR="008E3B1F">
          <w:rPr>
            <w:webHidden/>
          </w:rPr>
          <w:t>14</w:t>
        </w:r>
        <w:r w:rsidR="008E3B1F">
          <w:rPr>
            <w:webHidden/>
          </w:rPr>
          <w:fldChar w:fldCharType="end"/>
        </w:r>
      </w:hyperlink>
    </w:p>
    <w:p w14:paraId="6C83E500" w14:textId="3DDF902C" w:rsidR="008E3B1F" w:rsidRDefault="00A96A3D">
      <w:pPr>
        <w:pStyle w:val="TOC3"/>
        <w:rPr>
          <w:rFonts w:asciiTheme="minorHAnsi" w:eastAsiaTheme="minorEastAsia" w:hAnsiTheme="minorHAnsi" w:cstheme="minorBidi"/>
        </w:rPr>
      </w:pPr>
      <w:hyperlink w:anchor="_Toc153793188" w:history="1">
        <w:r w:rsidR="008E3B1F" w:rsidRPr="0090494A">
          <w:rPr>
            <w:rStyle w:val="Hyperlink"/>
          </w:rPr>
          <w:t>Options paper</w:t>
        </w:r>
        <w:r w:rsidR="008E3B1F">
          <w:rPr>
            <w:webHidden/>
          </w:rPr>
          <w:tab/>
        </w:r>
        <w:r w:rsidR="008E3B1F">
          <w:rPr>
            <w:webHidden/>
          </w:rPr>
          <w:fldChar w:fldCharType="begin"/>
        </w:r>
        <w:r w:rsidR="008E3B1F">
          <w:rPr>
            <w:webHidden/>
          </w:rPr>
          <w:instrText xml:space="preserve"> PAGEREF _Toc153793188 \h </w:instrText>
        </w:r>
        <w:r w:rsidR="008E3B1F">
          <w:rPr>
            <w:webHidden/>
          </w:rPr>
        </w:r>
        <w:r w:rsidR="008E3B1F">
          <w:rPr>
            <w:webHidden/>
          </w:rPr>
          <w:fldChar w:fldCharType="separate"/>
        </w:r>
        <w:r w:rsidR="008E3B1F">
          <w:rPr>
            <w:webHidden/>
          </w:rPr>
          <w:t>15</w:t>
        </w:r>
        <w:r w:rsidR="008E3B1F">
          <w:rPr>
            <w:webHidden/>
          </w:rPr>
          <w:fldChar w:fldCharType="end"/>
        </w:r>
      </w:hyperlink>
    </w:p>
    <w:p w14:paraId="1AF528D0" w14:textId="18CEC3C8" w:rsidR="008E3B1F" w:rsidRDefault="00A96A3D">
      <w:pPr>
        <w:pStyle w:val="TOC2"/>
        <w:rPr>
          <w:rFonts w:asciiTheme="minorHAnsi" w:eastAsiaTheme="minorEastAsia" w:hAnsiTheme="minorHAnsi" w:cstheme="minorBidi"/>
          <w:spacing w:val="0"/>
          <w:sz w:val="22"/>
          <w:szCs w:val="22"/>
        </w:rPr>
      </w:pPr>
      <w:hyperlink w:anchor="_Toc153793189" w:history="1">
        <w:r w:rsidR="008E3B1F" w:rsidRPr="0090494A">
          <w:rPr>
            <w:rStyle w:val="Hyperlink"/>
          </w:rPr>
          <w:t>Discussion of responses</w:t>
        </w:r>
        <w:r w:rsidR="008E3B1F">
          <w:rPr>
            <w:webHidden/>
          </w:rPr>
          <w:tab/>
        </w:r>
        <w:r w:rsidR="008E3B1F">
          <w:rPr>
            <w:webHidden/>
          </w:rPr>
          <w:fldChar w:fldCharType="begin"/>
        </w:r>
        <w:r w:rsidR="008E3B1F">
          <w:rPr>
            <w:webHidden/>
          </w:rPr>
          <w:instrText xml:space="preserve"> PAGEREF _Toc153793189 \h </w:instrText>
        </w:r>
        <w:r w:rsidR="008E3B1F">
          <w:rPr>
            <w:webHidden/>
          </w:rPr>
        </w:r>
        <w:r w:rsidR="008E3B1F">
          <w:rPr>
            <w:webHidden/>
          </w:rPr>
          <w:fldChar w:fldCharType="separate"/>
        </w:r>
        <w:r w:rsidR="008E3B1F">
          <w:rPr>
            <w:webHidden/>
          </w:rPr>
          <w:t>16</w:t>
        </w:r>
        <w:r w:rsidR="008E3B1F">
          <w:rPr>
            <w:webHidden/>
          </w:rPr>
          <w:fldChar w:fldCharType="end"/>
        </w:r>
      </w:hyperlink>
    </w:p>
    <w:p w14:paraId="4A2B781F" w14:textId="2CC2E5CA" w:rsidR="008E3B1F" w:rsidRDefault="00A96A3D">
      <w:pPr>
        <w:pStyle w:val="TOC1"/>
        <w:rPr>
          <w:rFonts w:asciiTheme="minorHAnsi" w:eastAsiaTheme="minorEastAsia" w:hAnsiTheme="minorHAnsi" w:cstheme="minorBidi"/>
          <w:b w:val="0"/>
          <w:spacing w:val="0"/>
          <w:sz w:val="22"/>
          <w:szCs w:val="22"/>
        </w:rPr>
      </w:pPr>
      <w:hyperlink w:anchor="_Toc153793190" w:history="1">
        <w:r w:rsidR="008E3B1F" w:rsidRPr="0090494A">
          <w:rPr>
            <w:rStyle w:val="Hyperlink"/>
          </w:rPr>
          <w:t>Summary and response to options paper issues</w:t>
        </w:r>
        <w:r w:rsidR="008E3B1F">
          <w:rPr>
            <w:webHidden/>
          </w:rPr>
          <w:tab/>
        </w:r>
        <w:r w:rsidR="008E3B1F">
          <w:rPr>
            <w:webHidden/>
          </w:rPr>
          <w:fldChar w:fldCharType="begin"/>
        </w:r>
        <w:r w:rsidR="008E3B1F">
          <w:rPr>
            <w:webHidden/>
          </w:rPr>
          <w:instrText xml:space="preserve"> PAGEREF _Toc153793190 \h </w:instrText>
        </w:r>
        <w:r w:rsidR="008E3B1F">
          <w:rPr>
            <w:webHidden/>
          </w:rPr>
        </w:r>
        <w:r w:rsidR="008E3B1F">
          <w:rPr>
            <w:webHidden/>
          </w:rPr>
          <w:fldChar w:fldCharType="separate"/>
        </w:r>
        <w:r w:rsidR="008E3B1F">
          <w:rPr>
            <w:webHidden/>
          </w:rPr>
          <w:t>17</w:t>
        </w:r>
        <w:r w:rsidR="008E3B1F">
          <w:rPr>
            <w:webHidden/>
          </w:rPr>
          <w:fldChar w:fldCharType="end"/>
        </w:r>
      </w:hyperlink>
    </w:p>
    <w:p w14:paraId="00AC1ED3" w14:textId="0E8FA35E" w:rsidR="008E3B1F" w:rsidRDefault="00A96A3D">
      <w:pPr>
        <w:pStyle w:val="TOC2"/>
        <w:rPr>
          <w:rFonts w:asciiTheme="minorHAnsi" w:eastAsiaTheme="minorEastAsia" w:hAnsiTheme="minorHAnsi" w:cstheme="minorBidi"/>
          <w:spacing w:val="0"/>
          <w:sz w:val="22"/>
          <w:szCs w:val="22"/>
        </w:rPr>
      </w:pPr>
      <w:hyperlink w:anchor="_Toc153793191" w:history="1">
        <w:r w:rsidR="008E3B1F" w:rsidRPr="0090494A">
          <w:rPr>
            <w:rStyle w:val="Hyperlink"/>
          </w:rPr>
          <w:t>Issues for comment</w:t>
        </w:r>
        <w:r w:rsidR="008E3B1F">
          <w:rPr>
            <w:webHidden/>
          </w:rPr>
          <w:tab/>
        </w:r>
        <w:r w:rsidR="008E3B1F">
          <w:rPr>
            <w:webHidden/>
          </w:rPr>
          <w:fldChar w:fldCharType="begin"/>
        </w:r>
        <w:r w:rsidR="008E3B1F">
          <w:rPr>
            <w:webHidden/>
          </w:rPr>
          <w:instrText xml:space="preserve"> PAGEREF _Toc153793191 \h </w:instrText>
        </w:r>
        <w:r w:rsidR="008E3B1F">
          <w:rPr>
            <w:webHidden/>
          </w:rPr>
        </w:r>
        <w:r w:rsidR="008E3B1F">
          <w:rPr>
            <w:webHidden/>
          </w:rPr>
          <w:fldChar w:fldCharType="separate"/>
        </w:r>
        <w:r w:rsidR="008E3B1F">
          <w:rPr>
            <w:webHidden/>
          </w:rPr>
          <w:t>18</w:t>
        </w:r>
        <w:r w:rsidR="008E3B1F">
          <w:rPr>
            <w:webHidden/>
          </w:rPr>
          <w:fldChar w:fldCharType="end"/>
        </w:r>
      </w:hyperlink>
    </w:p>
    <w:p w14:paraId="662724CB" w14:textId="0CD44537" w:rsidR="008E3B1F" w:rsidRDefault="00A96A3D">
      <w:pPr>
        <w:pStyle w:val="TOC2"/>
        <w:rPr>
          <w:rFonts w:asciiTheme="minorHAnsi" w:eastAsiaTheme="minorEastAsia" w:hAnsiTheme="minorHAnsi" w:cstheme="minorBidi"/>
          <w:spacing w:val="0"/>
          <w:sz w:val="22"/>
          <w:szCs w:val="22"/>
        </w:rPr>
      </w:pPr>
      <w:hyperlink w:anchor="_Toc153793192" w:history="1">
        <w:r w:rsidR="008E3B1F" w:rsidRPr="0090494A">
          <w:rPr>
            <w:rStyle w:val="Hyperlink"/>
          </w:rPr>
          <w:t>Reply to comment</w:t>
        </w:r>
        <w:r w:rsidR="008E3B1F">
          <w:rPr>
            <w:webHidden/>
          </w:rPr>
          <w:tab/>
        </w:r>
        <w:r w:rsidR="008E3B1F">
          <w:rPr>
            <w:webHidden/>
          </w:rPr>
          <w:fldChar w:fldCharType="begin"/>
        </w:r>
        <w:r w:rsidR="008E3B1F">
          <w:rPr>
            <w:webHidden/>
          </w:rPr>
          <w:instrText xml:space="preserve"> PAGEREF _Toc153793192 \h </w:instrText>
        </w:r>
        <w:r w:rsidR="008E3B1F">
          <w:rPr>
            <w:webHidden/>
          </w:rPr>
        </w:r>
        <w:r w:rsidR="008E3B1F">
          <w:rPr>
            <w:webHidden/>
          </w:rPr>
          <w:fldChar w:fldCharType="separate"/>
        </w:r>
        <w:r w:rsidR="008E3B1F">
          <w:rPr>
            <w:webHidden/>
          </w:rPr>
          <w:t>21</w:t>
        </w:r>
        <w:r w:rsidR="008E3B1F">
          <w:rPr>
            <w:webHidden/>
          </w:rPr>
          <w:fldChar w:fldCharType="end"/>
        </w:r>
      </w:hyperlink>
    </w:p>
    <w:p w14:paraId="06BB7D08" w14:textId="5886B433" w:rsidR="008E3B1F" w:rsidRDefault="00A96A3D">
      <w:pPr>
        <w:pStyle w:val="TOC1"/>
        <w:rPr>
          <w:rFonts w:asciiTheme="minorHAnsi" w:eastAsiaTheme="minorEastAsia" w:hAnsiTheme="minorHAnsi" w:cstheme="minorBidi"/>
          <w:b w:val="0"/>
          <w:spacing w:val="0"/>
          <w:sz w:val="22"/>
          <w:szCs w:val="22"/>
        </w:rPr>
      </w:pPr>
      <w:hyperlink w:anchor="_Toc153793193" w:history="1">
        <w:r w:rsidR="008E3B1F" w:rsidRPr="0090494A">
          <w:rPr>
            <w:rStyle w:val="Hyperlink"/>
          </w:rPr>
          <w:t>Planning outcomes</w:t>
        </w:r>
        <w:r w:rsidR="008E3B1F">
          <w:rPr>
            <w:webHidden/>
          </w:rPr>
          <w:tab/>
        </w:r>
        <w:r w:rsidR="008E3B1F">
          <w:rPr>
            <w:webHidden/>
          </w:rPr>
          <w:fldChar w:fldCharType="begin"/>
        </w:r>
        <w:r w:rsidR="008E3B1F">
          <w:rPr>
            <w:webHidden/>
          </w:rPr>
          <w:instrText xml:space="preserve"> PAGEREF _Toc153793193 \h </w:instrText>
        </w:r>
        <w:r w:rsidR="008E3B1F">
          <w:rPr>
            <w:webHidden/>
          </w:rPr>
        </w:r>
        <w:r w:rsidR="008E3B1F">
          <w:rPr>
            <w:webHidden/>
          </w:rPr>
          <w:fldChar w:fldCharType="separate"/>
        </w:r>
        <w:r w:rsidR="008E3B1F">
          <w:rPr>
            <w:webHidden/>
          </w:rPr>
          <w:t>23</w:t>
        </w:r>
        <w:r w:rsidR="008E3B1F">
          <w:rPr>
            <w:webHidden/>
          </w:rPr>
          <w:fldChar w:fldCharType="end"/>
        </w:r>
      </w:hyperlink>
    </w:p>
    <w:p w14:paraId="61B84F75" w14:textId="77D85BFC" w:rsidR="008E3B1F" w:rsidRDefault="00A96A3D">
      <w:pPr>
        <w:pStyle w:val="TOC2"/>
        <w:rPr>
          <w:rFonts w:asciiTheme="minorHAnsi" w:eastAsiaTheme="minorEastAsia" w:hAnsiTheme="minorHAnsi" w:cstheme="minorBidi"/>
          <w:spacing w:val="0"/>
          <w:sz w:val="22"/>
          <w:szCs w:val="22"/>
        </w:rPr>
      </w:pPr>
      <w:hyperlink w:anchor="_Toc153793194" w:history="1">
        <w:r w:rsidR="008E3B1F" w:rsidRPr="0090494A">
          <w:rPr>
            <w:rStyle w:val="Hyperlink"/>
          </w:rPr>
          <w:t>Planning decisions</w:t>
        </w:r>
        <w:r w:rsidR="008E3B1F">
          <w:rPr>
            <w:webHidden/>
          </w:rPr>
          <w:tab/>
        </w:r>
        <w:r w:rsidR="008E3B1F">
          <w:rPr>
            <w:webHidden/>
          </w:rPr>
          <w:fldChar w:fldCharType="begin"/>
        </w:r>
        <w:r w:rsidR="008E3B1F">
          <w:rPr>
            <w:webHidden/>
          </w:rPr>
          <w:instrText xml:space="preserve"> PAGEREF _Toc153793194 \h </w:instrText>
        </w:r>
        <w:r w:rsidR="008E3B1F">
          <w:rPr>
            <w:webHidden/>
          </w:rPr>
        </w:r>
        <w:r w:rsidR="008E3B1F">
          <w:rPr>
            <w:webHidden/>
          </w:rPr>
          <w:fldChar w:fldCharType="separate"/>
        </w:r>
        <w:r w:rsidR="008E3B1F">
          <w:rPr>
            <w:webHidden/>
          </w:rPr>
          <w:t>23</w:t>
        </w:r>
        <w:r w:rsidR="008E3B1F">
          <w:rPr>
            <w:webHidden/>
          </w:rPr>
          <w:fldChar w:fldCharType="end"/>
        </w:r>
      </w:hyperlink>
    </w:p>
    <w:p w14:paraId="76CD1424" w14:textId="68E092EC" w:rsidR="008E3B1F" w:rsidRDefault="00A96A3D">
      <w:pPr>
        <w:pStyle w:val="TOC2"/>
        <w:rPr>
          <w:rFonts w:asciiTheme="minorHAnsi" w:eastAsiaTheme="minorEastAsia" w:hAnsiTheme="minorHAnsi" w:cstheme="minorBidi"/>
          <w:spacing w:val="0"/>
          <w:sz w:val="22"/>
          <w:szCs w:val="22"/>
        </w:rPr>
      </w:pPr>
      <w:hyperlink w:anchor="_Toc153793195" w:history="1">
        <w:r w:rsidR="008E3B1F" w:rsidRPr="0090494A">
          <w:rPr>
            <w:rStyle w:val="Hyperlink"/>
          </w:rPr>
          <w:t>Coexistence considerations</w:t>
        </w:r>
        <w:r w:rsidR="008E3B1F">
          <w:rPr>
            <w:webHidden/>
          </w:rPr>
          <w:tab/>
        </w:r>
        <w:r w:rsidR="008E3B1F">
          <w:rPr>
            <w:webHidden/>
          </w:rPr>
          <w:fldChar w:fldCharType="begin"/>
        </w:r>
        <w:r w:rsidR="008E3B1F">
          <w:rPr>
            <w:webHidden/>
          </w:rPr>
          <w:instrText xml:space="preserve"> PAGEREF _Toc153793195 \h </w:instrText>
        </w:r>
        <w:r w:rsidR="008E3B1F">
          <w:rPr>
            <w:webHidden/>
          </w:rPr>
        </w:r>
        <w:r w:rsidR="008E3B1F">
          <w:rPr>
            <w:webHidden/>
          </w:rPr>
          <w:fldChar w:fldCharType="separate"/>
        </w:r>
        <w:r w:rsidR="008E3B1F">
          <w:rPr>
            <w:webHidden/>
          </w:rPr>
          <w:t>23</w:t>
        </w:r>
        <w:r w:rsidR="008E3B1F">
          <w:rPr>
            <w:webHidden/>
          </w:rPr>
          <w:fldChar w:fldCharType="end"/>
        </w:r>
      </w:hyperlink>
    </w:p>
    <w:p w14:paraId="348AA4B6" w14:textId="7D02AE75" w:rsidR="008E3B1F" w:rsidRDefault="00A96A3D">
      <w:pPr>
        <w:pStyle w:val="TOC3"/>
        <w:rPr>
          <w:rFonts w:asciiTheme="minorHAnsi" w:eastAsiaTheme="minorEastAsia" w:hAnsiTheme="minorHAnsi" w:cstheme="minorBidi"/>
        </w:rPr>
      </w:pPr>
      <w:hyperlink w:anchor="_Toc153793196" w:history="1">
        <w:r w:rsidR="008E3B1F" w:rsidRPr="0090494A">
          <w:rPr>
            <w:rStyle w:val="Hyperlink"/>
          </w:rPr>
          <w:t>1518–1525 MHz and adjacent bands</w:t>
        </w:r>
        <w:r w:rsidR="008E3B1F">
          <w:rPr>
            <w:webHidden/>
          </w:rPr>
          <w:tab/>
        </w:r>
        <w:r w:rsidR="008E3B1F">
          <w:rPr>
            <w:webHidden/>
          </w:rPr>
          <w:fldChar w:fldCharType="begin"/>
        </w:r>
        <w:r w:rsidR="008E3B1F">
          <w:rPr>
            <w:webHidden/>
          </w:rPr>
          <w:instrText xml:space="preserve"> PAGEREF _Toc153793196 \h </w:instrText>
        </w:r>
        <w:r w:rsidR="008E3B1F">
          <w:rPr>
            <w:webHidden/>
          </w:rPr>
        </w:r>
        <w:r w:rsidR="008E3B1F">
          <w:rPr>
            <w:webHidden/>
          </w:rPr>
          <w:fldChar w:fldCharType="separate"/>
        </w:r>
        <w:r w:rsidR="008E3B1F">
          <w:rPr>
            <w:webHidden/>
          </w:rPr>
          <w:t>23</w:t>
        </w:r>
        <w:r w:rsidR="008E3B1F">
          <w:rPr>
            <w:webHidden/>
          </w:rPr>
          <w:fldChar w:fldCharType="end"/>
        </w:r>
      </w:hyperlink>
    </w:p>
    <w:p w14:paraId="45DDA8DE" w14:textId="7383CB89" w:rsidR="008E3B1F" w:rsidRDefault="00A96A3D">
      <w:pPr>
        <w:pStyle w:val="TOC3"/>
        <w:rPr>
          <w:rFonts w:asciiTheme="minorHAnsi" w:eastAsiaTheme="minorEastAsia" w:hAnsiTheme="minorHAnsi" w:cstheme="minorBidi"/>
        </w:rPr>
      </w:pPr>
      <w:hyperlink w:anchor="_Toc153793197" w:history="1">
        <w:r w:rsidR="008E3B1F" w:rsidRPr="0090494A">
          <w:rPr>
            <w:rStyle w:val="Hyperlink"/>
          </w:rPr>
          <w:t>1668–1675 MHz and adjacent bands</w:t>
        </w:r>
        <w:r w:rsidR="008E3B1F">
          <w:rPr>
            <w:webHidden/>
          </w:rPr>
          <w:tab/>
        </w:r>
        <w:r w:rsidR="008E3B1F">
          <w:rPr>
            <w:webHidden/>
          </w:rPr>
          <w:fldChar w:fldCharType="begin"/>
        </w:r>
        <w:r w:rsidR="008E3B1F">
          <w:rPr>
            <w:webHidden/>
          </w:rPr>
          <w:instrText xml:space="preserve"> PAGEREF _Toc153793197 \h </w:instrText>
        </w:r>
        <w:r w:rsidR="008E3B1F">
          <w:rPr>
            <w:webHidden/>
          </w:rPr>
        </w:r>
        <w:r w:rsidR="008E3B1F">
          <w:rPr>
            <w:webHidden/>
          </w:rPr>
          <w:fldChar w:fldCharType="separate"/>
        </w:r>
        <w:r w:rsidR="008E3B1F">
          <w:rPr>
            <w:webHidden/>
          </w:rPr>
          <w:t>24</w:t>
        </w:r>
        <w:r w:rsidR="008E3B1F">
          <w:rPr>
            <w:webHidden/>
          </w:rPr>
          <w:fldChar w:fldCharType="end"/>
        </w:r>
      </w:hyperlink>
    </w:p>
    <w:p w14:paraId="63A422D0" w14:textId="1419E8A1" w:rsidR="008E3B1F" w:rsidRDefault="00A96A3D">
      <w:pPr>
        <w:pStyle w:val="TOC2"/>
        <w:rPr>
          <w:rFonts w:asciiTheme="minorHAnsi" w:eastAsiaTheme="minorEastAsia" w:hAnsiTheme="minorHAnsi" w:cstheme="minorBidi"/>
          <w:spacing w:val="0"/>
          <w:sz w:val="22"/>
          <w:szCs w:val="22"/>
        </w:rPr>
      </w:pPr>
      <w:hyperlink w:anchor="_Toc153793198" w:history="1">
        <w:r w:rsidR="008E3B1F" w:rsidRPr="0090494A">
          <w:rPr>
            <w:rStyle w:val="Hyperlink"/>
          </w:rPr>
          <w:t>Licensing arrangements for MSS</w:t>
        </w:r>
        <w:r w:rsidR="008E3B1F">
          <w:rPr>
            <w:webHidden/>
          </w:rPr>
          <w:tab/>
        </w:r>
        <w:r w:rsidR="008E3B1F">
          <w:rPr>
            <w:webHidden/>
          </w:rPr>
          <w:fldChar w:fldCharType="begin"/>
        </w:r>
        <w:r w:rsidR="008E3B1F">
          <w:rPr>
            <w:webHidden/>
          </w:rPr>
          <w:instrText xml:space="preserve"> PAGEREF _Toc153793198 \h </w:instrText>
        </w:r>
        <w:r w:rsidR="008E3B1F">
          <w:rPr>
            <w:webHidden/>
          </w:rPr>
        </w:r>
        <w:r w:rsidR="008E3B1F">
          <w:rPr>
            <w:webHidden/>
          </w:rPr>
          <w:fldChar w:fldCharType="separate"/>
        </w:r>
        <w:r w:rsidR="008E3B1F">
          <w:rPr>
            <w:webHidden/>
          </w:rPr>
          <w:t>24</w:t>
        </w:r>
        <w:r w:rsidR="008E3B1F">
          <w:rPr>
            <w:webHidden/>
          </w:rPr>
          <w:fldChar w:fldCharType="end"/>
        </w:r>
      </w:hyperlink>
    </w:p>
    <w:p w14:paraId="2AD8816C" w14:textId="17C7CC43" w:rsidR="008E3B1F" w:rsidRDefault="00A96A3D">
      <w:pPr>
        <w:pStyle w:val="TOC1"/>
        <w:rPr>
          <w:rFonts w:asciiTheme="minorHAnsi" w:eastAsiaTheme="minorEastAsia" w:hAnsiTheme="minorHAnsi" w:cstheme="minorBidi"/>
          <w:b w:val="0"/>
          <w:spacing w:val="0"/>
          <w:sz w:val="22"/>
          <w:szCs w:val="22"/>
        </w:rPr>
      </w:pPr>
      <w:r>
        <w:br/>
      </w:r>
      <w:r>
        <w:br/>
      </w:r>
      <w:hyperlink w:anchor="_Toc153793199" w:history="1">
        <w:r w:rsidR="008E3B1F" w:rsidRPr="0090494A">
          <w:rPr>
            <w:rStyle w:val="Hyperlink"/>
          </w:rPr>
          <w:t>Next steps</w:t>
        </w:r>
        <w:r w:rsidR="008E3B1F">
          <w:rPr>
            <w:webHidden/>
          </w:rPr>
          <w:tab/>
        </w:r>
        <w:r w:rsidR="008E3B1F">
          <w:rPr>
            <w:webHidden/>
          </w:rPr>
          <w:fldChar w:fldCharType="begin"/>
        </w:r>
        <w:r w:rsidR="008E3B1F">
          <w:rPr>
            <w:webHidden/>
          </w:rPr>
          <w:instrText xml:space="preserve"> PAGEREF _Toc153793199 \h </w:instrText>
        </w:r>
        <w:r w:rsidR="008E3B1F">
          <w:rPr>
            <w:webHidden/>
          </w:rPr>
        </w:r>
        <w:r w:rsidR="008E3B1F">
          <w:rPr>
            <w:webHidden/>
          </w:rPr>
          <w:fldChar w:fldCharType="separate"/>
        </w:r>
        <w:r w:rsidR="008E3B1F">
          <w:rPr>
            <w:webHidden/>
          </w:rPr>
          <w:t>26</w:t>
        </w:r>
        <w:r w:rsidR="008E3B1F">
          <w:rPr>
            <w:webHidden/>
          </w:rPr>
          <w:fldChar w:fldCharType="end"/>
        </w:r>
      </w:hyperlink>
    </w:p>
    <w:p w14:paraId="4EE9C960" w14:textId="585A20FC" w:rsidR="008E3B1F" w:rsidRDefault="00A96A3D">
      <w:pPr>
        <w:pStyle w:val="TOC1"/>
        <w:rPr>
          <w:rFonts w:asciiTheme="minorHAnsi" w:eastAsiaTheme="minorEastAsia" w:hAnsiTheme="minorHAnsi" w:cstheme="minorBidi"/>
          <w:b w:val="0"/>
          <w:spacing w:val="0"/>
          <w:sz w:val="22"/>
          <w:szCs w:val="22"/>
        </w:rPr>
      </w:pPr>
      <w:hyperlink w:anchor="_Toc153793200" w:history="1">
        <w:r w:rsidR="008E3B1F" w:rsidRPr="0090494A">
          <w:rPr>
            <w:rStyle w:val="Hyperlink"/>
          </w:rPr>
          <w:t>Glossary</w:t>
        </w:r>
        <w:r w:rsidR="008E3B1F">
          <w:rPr>
            <w:webHidden/>
          </w:rPr>
          <w:tab/>
        </w:r>
        <w:r w:rsidR="008E3B1F">
          <w:rPr>
            <w:webHidden/>
          </w:rPr>
          <w:fldChar w:fldCharType="begin"/>
        </w:r>
        <w:r w:rsidR="008E3B1F">
          <w:rPr>
            <w:webHidden/>
          </w:rPr>
          <w:instrText xml:space="preserve"> PAGEREF _Toc153793200 \h </w:instrText>
        </w:r>
        <w:r w:rsidR="008E3B1F">
          <w:rPr>
            <w:webHidden/>
          </w:rPr>
        </w:r>
        <w:r w:rsidR="008E3B1F">
          <w:rPr>
            <w:webHidden/>
          </w:rPr>
          <w:fldChar w:fldCharType="separate"/>
        </w:r>
        <w:r w:rsidR="008E3B1F">
          <w:rPr>
            <w:webHidden/>
          </w:rPr>
          <w:t>27</w:t>
        </w:r>
        <w:r w:rsidR="008E3B1F">
          <w:rPr>
            <w:webHidden/>
          </w:rPr>
          <w:fldChar w:fldCharType="end"/>
        </w:r>
      </w:hyperlink>
    </w:p>
    <w:p w14:paraId="79DF4A1A" w14:textId="0F0F3BDF" w:rsidR="008E3B1F" w:rsidRDefault="00A96A3D">
      <w:pPr>
        <w:pStyle w:val="TOC1"/>
        <w:rPr>
          <w:rFonts w:asciiTheme="minorHAnsi" w:eastAsiaTheme="minorEastAsia" w:hAnsiTheme="minorHAnsi" w:cstheme="minorBidi"/>
          <w:b w:val="0"/>
          <w:spacing w:val="0"/>
          <w:sz w:val="22"/>
          <w:szCs w:val="22"/>
        </w:rPr>
      </w:pPr>
      <w:hyperlink w:anchor="_Toc153793201" w:history="1">
        <w:r w:rsidR="008E3B1F" w:rsidRPr="0090494A">
          <w:rPr>
            <w:rStyle w:val="Hyperlink"/>
          </w:rPr>
          <w:t>Appendix A: List of respondents</w:t>
        </w:r>
        <w:r w:rsidR="008E3B1F">
          <w:rPr>
            <w:webHidden/>
          </w:rPr>
          <w:tab/>
        </w:r>
        <w:r w:rsidR="008E3B1F">
          <w:rPr>
            <w:webHidden/>
          </w:rPr>
          <w:fldChar w:fldCharType="begin"/>
        </w:r>
        <w:r w:rsidR="008E3B1F">
          <w:rPr>
            <w:webHidden/>
          </w:rPr>
          <w:instrText xml:space="preserve"> PAGEREF _Toc153793201 \h </w:instrText>
        </w:r>
        <w:r w:rsidR="008E3B1F">
          <w:rPr>
            <w:webHidden/>
          </w:rPr>
        </w:r>
        <w:r w:rsidR="008E3B1F">
          <w:rPr>
            <w:webHidden/>
          </w:rPr>
          <w:fldChar w:fldCharType="separate"/>
        </w:r>
        <w:r w:rsidR="008E3B1F">
          <w:rPr>
            <w:webHidden/>
          </w:rPr>
          <w:t>29</w:t>
        </w:r>
        <w:r w:rsidR="008E3B1F">
          <w:rPr>
            <w:webHidden/>
          </w:rPr>
          <w:fldChar w:fldCharType="end"/>
        </w:r>
      </w:hyperlink>
    </w:p>
    <w:p w14:paraId="062ACCAC" w14:textId="2CBE924C" w:rsidR="008E3B1F" w:rsidRDefault="00A96A3D">
      <w:pPr>
        <w:pStyle w:val="TOC1"/>
        <w:rPr>
          <w:rFonts w:asciiTheme="minorHAnsi" w:eastAsiaTheme="minorEastAsia" w:hAnsiTheme="minorHAnsi" w:cstheme="minorBidi"/>
          <w:b w:val="0"/>
          <w:spacing w:val="0"/>
          <w:sz w:val="22"/>
          <w:szCs w:val="22"/>
        </w:rPr>
      </w:pPr>
      <w:hyperlink w:anchor="_Toc153793202" w:history="1">
        <w:r w:rsidR="008E3B1F" w:rsidRPr="0090494A">
          <w:rPr>
            <w:rStyle w:val="Hyperlink"/>
          </w:rPr>
          <w:t>Appendix B: Summary of 1.5 GHz band arrangements</w:t>
        </w:r>
        <w:r w:rsidR="008E3B1F">
          <w:rPr>
            <w:webHidden/>
          </w:rPr>
          <w:tab/>
        </w:r>
        <w:r w:rsidR="008E3B1F">
          <w:rPr>
            <w:webHidden/>
          </w:rPr>
          <w:fldChar w:fldCharType="begin"/>
        </w:r>
        <w:r w:rsidR="008E3B1F">
          <w:rPr>
            <w:webHidden/>
          </w:rPr>
          <w:instrText xml:space="preserve"> PAGEREF _Toc153793202 \h </w:instrText>
        </w:r>
        <w:r w:rsidR="008E3B1F">
          <w:rPr>
            <w:webHidden/>
          </w:rPr>
        </w:r>
        <w:r w:rsidR="008E3B1F">
          <w:rPr>
            <w:webHidden/>
          </w:rPr>
          <w:fldChar w:fldCharType="separate"/>
        </w:r>
        <w:r w:rsidR="008E3B1F">
          <w:rPr>
            <w:webHidden/>
          </w:rPr>
          <w:t>30</w:t>
        </w:r>
        <w:r w:rsidR="008E3B1F">
          <w:rPr>
            <w:webHidden/>
          </w:rPr>
          <w:fldChar w:fldCharType="end"/>
        </w:r>
      </w:hyperlink>
    </w:p>
    <w:p w14:paraId="04C310E0" w14:textId="32FA9476" w:rsidR="004D56FF" w:rsidRPr="00A85D75" w:rsidRDefault="00A901CF">
      <w:pPr>
        <w:rPr>
          <w:rFonts w:cs="Arial"/>
        </w:rPr>
        <w:sectPr w:rsidR="004D56FF" w:rsidRPr="00A85D75" w:rsidSect="00C77380">
          <w:headerReference w:type="even" r:id="rId21"/>
          <w:headerReference w:type="default" r:id="rId22"/>
          <w:footerReference w:type="even" r:id="rId23"/>
          <w:footerReference w:type="default" r:id="rId24"/>
          <w:footerReference w:type="first" r:id="rId25"/>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4A6B0304" w14:textId="77777777" w:rsidR="009D6C71" w:rsidRPr="00A85D75" w:rsidRDefault="009D6C71" w:rsidP="009174F3">
      <w:pPr>
        <w:pStyle w:val="Execsummaryheading"/>
      </w:pPr>
      <w:bookmarkStart w:id="0" w:name="_Toc56965672"/>
      <w:bookmarkStart w:id="1" w:name="_Toc153793172"/>
      <w:r w:rsidRPr="00A85D75">
        <w:t>Executive summary</w:t>
      </w:r>
      <w:bookmarkEnd w:id="0"/>
      <w:bookmarkEnd w:id="1"/>
    </w:p>
    <w:p w14:paraId="58B96F64" w14:textId="180E242F" w:rsidR="00042745" w:rsidRDefault="00C25CED" w:rsidP="00076B20">
      <w:pPr>
        <w:pStyle w:val="Paragraph"/>
      </w:pPr>
      <w:bookmarkStart w:id="2" w:name="_Hlk19196222"/>
      <w:r>
        <w:t xml:space="preserve">On 5 May 2022, </w:t>
      </w:r>
      <w:r w:rsidR="001B2619">
        <w:t>we</w:t>
      </w:r>
      <w:r w:rsidR="00870AE9" w:rsidRPr="00C60091">
        <w:t xml:space="preserve"> released </w:t>
      </w:r>
      <w:r w:rsidR="00870AE9">
        <w:t>the</w:t>
      </w:r>
      <w:r w:rsidR="00870AE9" w:rsidRPr="00426BF5">
        <w:t xml:space="preserve"> </w:t>
      </w:r>
      <w:hyperlink r:id="rId26" w:history="1">
        <w:r w:rsidR="00076B20" w:rsidRPr="00B7594B">
          <w:rPr>
            <w:rStyle w:val="Hyperlink"/>
            <w:i/>
            <w:iCs/>
          </w:rPr>
          <w:t>Review of the 1.5 GHz band</w:t>
        </w:r>
      </w:hyperlink>
      <w:r w:rsidR="00076B20" w:rsidRPr="00691682">
        <w:t xml:space="preserve"> d</w:t>
      </w:r>
      <w:r w:rsidR="00076B20">
        <w:t xml:space="preserve">iscussion paper. The purpose of that paper was to start the discussion on possible changes to planning arrangements in the </w:t>
      </w:r>
      <w:r w:rsidR="00346411">
        <w:t>1427–1518 MHz, 1518</w:t>
      </w:r>
      <w:r w:rsidR="00C369D6">
        <w:t>–</w:t>
      </w:r>
      <w:r w:rsidR="00346411">
        <w:t xml:space="preserve">1525 MHz and 1668–1675 MHz frequency ranges (collectively referred to as the </w:t>
      </w:r>
      <w:r w:rsidR="00076B20">
        <w:t>1.5 GHz band</w:t>
      </w:r>
      <w:r w:rsidR="00346411">
        <w:t xml:space="preserve">). </w:t>
      </w:r>
    </w:p>
    <w:p w14:paraId="785F5E34" w14:textId="718EE787" w:rsidR="00042745" w:rsidRPr="00DE6644" w:rsidRDefault="00346411" w:rsidP="00042745">
      <w:pPr>
        <w:pStyle w:val="Paragraph"/>
        <w:rPr>
          <w:szCs w:val="20"/>
        </w:rPr>
      </w:pPr>
      <w:r>
        <w:t>The 1.5 GHz band is currently used by a mixture of services and applications, including fixed services, aeronautical mobile services and various science services.</w:t>
      </w:r>
      <w:r w:rsidR="00042745">
        <w:t xml:space="preserve"> </w:t>
      </w:r>
      <w:r w:rsidR="00042745" w:rsidRPr="00FF19DF">
        <w:rPr>
          <w:szCs w:val="20"/>
        </w:rPr>
        <w:t>Noting views raised in submissions</w:t>
      </w:r>
      <w:r w:rsidR="00E66750">
        <w:rPr>
          <w:szCs w:val="20"/>
        </w:rPr>
        <w:t xml:space="preserve"> to the </w:t>
      </w:r>
      <w:r w:rsidR="00B7594B">
        <w:rPr>
          <w:szCs w:val="20"/>
        </w:rPr>
        <w:t xml:space="preserve">discussion </w:t>
      </w:r>
      <w:r w:rsidR="00E66750">
        <w:rPr>
          <w:szCs w:val="20"/>
        </w:rPr>
        <w:t>paper</w:t>
      </w:r>
      <w:r w:rsidR="00042745" w:rsidRPr="00FF19DF">
        <w:rPr>
          <w:szCs w:val="20"/>
        </w:rPr>
        <w:t xml:space="preserve"> and the different pace of international developments for different uses</w:t>
      </w:r>
      <w:r w:rsidR="008F1D99">
        <w:rPr>
          <w:szCs w:val="20"/>
        </w:rPr>
        <w:t xml:space="preserve"> </w:t>
      </w:r>
      <w:r w:rsidR="00042745" w:rsidRPr="00FF19DF">
        <w:rPr>
          <w:szCs w:val="20"/>
        </w:rPr>
        <w:t xml:space="preserve">cases in the band, </w:t>
      </w:r>
      <w:r w:rsidR="001B2619">
        <w:rPr>
          <w:szCs w:val="20"/>
        </w:rPr>
        <w:t>we</w:t>
      </w:r>
      <w:r w:rsidR="00E66750">
        <w:rPr>
          <w:szCs w:val="20"/>
        </w:rPr>
        <w:t xml:space="preserve"> decided to</w:t>
      </w:r>
      <w:r w:rsidR="00042745" w:rsidRPr="00FF19DF">
        <w:rPr>
          <w:szCs w:val="20"/>
        </w:rPr>
        <w:t xml:space="preserve"> review arrangements for </w:t>
      </w:r>
      <w:r w:rsidR="00B56F3A">
        <w:rPr>
          <w:szCs w:val="20"/>
        </w:rPr>
        <w:t xml:space="preserve">the </w:t>
      </w:r>
      <w:r w:rsidR="00D56811">
        <w:rPr>
          <w:szCs w:val="20"/>
        </w:rPr>
        <w:t>mobile-satellite service (</w:t>
      </w:r>
      <w:r w:rsidR="00042745" w:rsidRPr="00FF19DF">
        <w:rPr>
          <w:szCs w:val="20"/>
        </w:rPr>
        <w:t>MSS</w:t>
      </w:r>
      <w:r w:rsidR="00D56811">
        <w:rPr>
          <w:szCs w:val="20"/>
        </w:rPr>
        <w:t>)</w:t>
      </w:r>
      <w:r w:rsidR="00042745" w:rsidRPr="00FF19DF">
        <w:rPr>
          <w:szCs w:val="20"/>
        </w:rPr>
        <w:t xml:space="preserve"> in the 1518</w:t>
      </w:r>
      <w:r w:rsidR="00042745">
        <w:t>–</w:t>
      </w:r>
      <w:r w:rsidR="00042745" w:rsidRPr="00FF19DF">
        <w:rPr>
          <w:szCs w:val="20"/>
        </w:rPr>
        <w:t>1525 MHz and 1668–1675 MHz frequency ranges (the extended MSS L-band)</w:t>
      </w:r>
      <w:r w:rsidR="00042745">
        <w:rPr>
          <w:szCs w:val="20"/>
        </w:rPr>
        <w:t>,</w:t>
      </w:r>
      <w:r w:rsidR="00042745" w:rsidRPr="00FF19DF">
        <w:rPr>
          <w:szCs w:val="20"/>
        </w:rPr>
        <w:t xml:space="preserve"> with </w:t>
      </w:r>
      <w:r w:rsidR="00143EE2">
        <w:rPr>
          <w:szCs w:val="20"/>
        </w:rPr>
        <w:t xml:space="preserve">arrangements for </w:t>
      </w:r>
      <w:r w:rsidR="00042745" w:rsidRPr="00FF19DF">
        <w:rPr>
          <w:szCs w:val="20"/>
        </w:rPr>
        <w:t xml:space="preserve">other services in the band to be progressed separately. </w:t>
      </w:r>
    </w:p>
    <w:p w14:paraId="14EB6A98" w14:textId="125518B0" w:rsidR="0096700F" w:rsidRDefault="00E66750" w:rsidP="0096700F">
      <w:pPr>
        <w:pStyle w:val="Paragraph"/>
      </w:pPr>
      <w:r>
        <w:t>T</w:t>
      </w:r>
      <w:r w:rsidR="0007281B">
        <w:t>he ACMA</w:t>
      </w:r>
      <w:r w:rsidR="000B4B69">
        <w:t xml:space="preserve"> </w:t>
      </w:r>
      <w:r w:rsidR="0096700F">
        <w:t xml:space="preserve">released </w:t>
      </w:r>
      <w:r w:rsidR="0096700F" w:rsidRPr="00691682">
        <w:t xml:space="preserve">the </w:t>
      </w:r>
      <w:hyperlink r:id="rId27" w:history="1">
        <w:r w:rsidR="0096700F" w:rsidRPr="00B7594B">
          <w:rPr>
            <w:rStyle w:val="Hyperlink"/>
            <w:i/>
            <w:iCs/>
          </w:rPr>
          <w:t>Review of the 1.5 GHz extended MSS L-band options paper</w:t>
        </w:r>
      </w:hyperlink>
      <w:r w:rsidR="0096700F">
        <w:t xml:space="preserve"> on 16 August 2023. </w:t>
      </w:r>
      <w:r w:rsidR="00761E78">
        <w:t xml:space="preserve">Consultation closed on 20 September 2023, and </w:t>
      </w:r>
      <w:r w:rsidR="001B2619">
        <w:t xml:space="preserve">we received </w:t>
      </w:r>
      <w:r w:rsidR="00B452A2">
        <w:t>8</w:t>
      </w:r>
      <w:r w:rsidR="00761E78">
        <w:t xml:space="preserve"> submissions.</w:t>
      </w:r>
    </w:p>
    <w:p w14:paraId="4D5F7F87" w14:textId="011B525D" w:rsidR="00C10A97" w:rsidRDefault="005308CD" w:rsidP="00477D9A">
      <w:pPr>
        <w:pStyle w:val="Paragraphbeforelist"/>
        <w:keepNext/>
      </w:pPr>
      <w:r>
        <w:t xml:space="preserve">The options paper </w:t>
      </w:r>
      <w:r w:rsidR="005C1A74">
        <w:t>identified</w:t>
      </w:r>
      <w:r w:rsidR="00C10A97">
        <w:t xml:space="preserve"> the following</w:t>
      </w:r>
      <w:r w:rsidR="005C1A74">
        <w:t xml:space="preserve"> desirable planning outcomes for the band</w:t>
      </w:r>
      <w:r w:rsidR="00C10A97">
        <w:t>:</w:t>
      </w:r>
    </w:p>
    <w:p w14:paraId="61F4DDAA" w14:textId="77777777" w:rsidR="00C10A97" w:rsidRPr="007E689C" w:rsidRDefault="00C10A97" w:rsidP="00C10A97">
      <w:pPr>
        <w:pStyle w:val="Numberlistlevel1"/>
        <w:numPr>
          <w:ilvl w:val="0"/>
          <w:numId w:val="32"/>
        </w:numPr>
      </w:pPr>
      <w:r w:rsidRPr="007E689C">
        <w:t xml:space="preserve">Support the introduction of MSS in all or part of the extended MSS L-band in a reasonable timeframe.  </w:t>
      </w:r>
    </w:p>
    <w:p w14:paraId="09E89A8A" w14:textId="27FBFACD" w:rsidR="00C10A97" w:rsidRDefault="00C10A97" w:rsidP="00C10A97">
      <w:pPr>
        <w:pStyle w:val="Numberlistlevel1"/>
        <w:numPr>
          <w:ilvl w:val="0"/>
          <w:numId w:val="32"/>
        </w:numPr>
      </w:pPr>
      <w:r>
        <w:t>Support on-going use of the extended MSS L-band by incumbent licences and services including:</w:t>
      </w:r>
    </w:p>
    <w:p w14:paraId="3B7D5EC6" w14:textId="77777777" w:rsidR="00C10A97" w:rsidRDefault="00C10A97" w:rsidP="00C10A97">
      <w:pPr>
        <w:pStyle w:val="ListNumber2"/>
        <w:numPr>
          <w:ilvl w:val="0"/>
          <w:numId w:val="33"/>
        </w:numPr>
        <w:ind w:left="851"/>
      </w:pPr>
      <w:r>
        <w:t>Licences used for stratospheric balloon communications and licences held by Defence across the 1427</w:t>
      </w:r>
      <w:r>
        <w:rPr>
          <w:rFonts w:cs="Arial"/>
          <w:szCs w:val="20"/>
        </w:rPr>
        <w:t>–</w:t>
      </w:r>
      <w:r>
        <w:t>1535 MHz frequency range.</w:t>
      </w:r>
    </w:p>
    <w:p w14:paraId="53A9A613" w14:textId="187E41AA" w:rsidR="00C10A97" w:rsidRDefault="00C10A97" w:rsidP="00C10A97">
      <w:pPr>
        <w:pStyle w:val="ListNumber2"/>
        <w:numPr>
          <w:ilvl w:val="0"/>
          <w:numId w:val="33"/>
        </w:numPr>
        <w:ind w:left="851"/>
      </w:pPr>
      <w:r>
        <w:t xml:space="preserve">Fixed licences and services including enabling the ongoing use of those licences used for the delivery of </w:t>
      </w:r>
      <w:r w:rsidR="00363703">
        <w:rPr>
          <w:color w:val="000000"/>
          <w:szCs w:val="20"/>
        </w:rPr>
        <w:t>universal service obligation</w:t>
      </w:r>
      <w:r w:rsidR="00363703">
        <w:t xml:space="preserve"> (</w:t>
      </w:r>
      <w:r>
        <w:t>USO</w:t>
      </w:r>
      <w:r w:rsidR="00363703">
        <w:t>)</w:t>
      </w:r>
      <w:r>
        <w:t xml:space="preserve"> services in the 1427</w:t>
      </w:r>
      <w:r>
        <w:rPr>
          <w:rFonts w:cs="Arial"/>
          <w:szCs w:val="20"/>
        </w:rPr>
        <w:t>–</w:t>
      </w:r>
      <w:r>
        <w:t xml:space="preserve">1535 MHz </w:t>
      </w:r>
      <w:r w:rsidR="005033A1">
        <w:t>frequency range</w:t>
      </w:r>
      <w:r>
        <w:t xml:space="preserve"> until </w:t>
      </w:r>
      <w:r w:rsidRPr="00D866C0">
        <w:t>such time as a proven alternate technology solution is identified and deployed</w:t>
      </w:r>
      <w:r>
        <w:t>.</w:t>
      </w:r>
    </w:p>
    <w:p w14:paraId="2E550012" w14:textId="6069CB2F" w:rsidR="00C10A97" w:rsidRDefault="00C10A97" w:rsidP="00C10A97">
      <w:pPr>
        <w:pStyle w:val="ListNumber2"/>
        <w:numPr>
          <w:ilvl w:val="0"/>
          <w:numId w:val="33"/>
        </w:numPr>
        <w:ind w:left="851"/>
      </w:pPr>
      <w:r>
        <w:t>R</w:t>
      </w:r>
      <w:r w:rsidRPr="00806DA7">
        <w:t>adio astronomy and meteorological services</w:t>
      </w:r>
      <w:r>
        <w:t xml:space="preserve"> in and adjacent to the </w:t>
      </w:r>
      <w:r w:rsidR="001B2619">
        <w:br/>
      </w:r>
      <w:r>
        <w:t>1668</w:t>
      </w:r>
      <w:r>
        <w:rPr>
          <w:rFonts w:cs="Arial"/>
          <w:szCs w:val="20"/>
        </w:rPr>
        <w:t>–</w:t>
      </w:r>
      <w:r>
        <w:t>1675 MHz frequency range.</w:t>
      </w:r>
    </w:p>
    <w:p w14:paraId="0DF06BDD" w14:textId="44E0ACEF" w:rsidR="00C10A97" w:rsidRPr="0055049B" w:rsidRDefault="00C10A97" w:rsidP="00C10A97">
      <w:pPr>
        <w:pStyle w:val="ListNumber2"/>
        <w:numPr>
          <w:ilvl w:val="0"/>
          <w:numId w:val="33"/>
        </w:numPr>
        <w:ind w:left="851"/>
      </w:pPr>
      <w:r w:rsidRPr="00FE1E87">
        <w:rPr>
          <w:rFonts w:cs="Arial"/>
          <w:szCs w:val="20"/>
        </w:rPr>
        <w:t>Devices authorised to operate in accordance with the</w:t>
      </w:r>
      <w:r>
        <w:t xml:space="preserve"> </w:t>
      </w:r>
      <w:hyperlink r:id="rId28" w:history="1">
        <w:r w:rsidRPr="005E1CCE">
          <w:rPr>
            <w:rStyle w:val="Hyperlink"/>
          </w:rPr>
          <w:t>Radiocommunications (Low Interference Potential Devices) Class Licence 2015</w:t>
        </w:r>
      </w:hyperlink>
      <w:r>
        <w:t>.</w:t>
      </w:r>
    </w:p>
    <w:p w14:paraId="5B66AF09" w14:textId="2A4F0C29" w:rsidR="00C10A97" w:rsidRDefault="00C10A97" w:rsidP="00C10A97">
      <w:pPr>
        <w:pStyle w:val="Numberlistlevel1"/>
        <w:numPr>
          <w:ilvl w:val="0"/>
          <w:numId w:val="32"/>
        </w:numPr>
        <w:spacing w:after="240"/>
        <w:ind w:left="357" w:hanging="357"/>
      </w:pPr>
      <w:r>
        <w:t>Consider necessary regulatory measures for new MSS use in the extended MSS L</w:t>
      </w:r>
      <w:r>
        <w:noBreakHyphen/>
        <w:t>band to enable coexistence with incumbent and possible future in-band and adjacent band services such as wireless broadband (WBB).</w:t>
      </w:r>
    </w:p>
    <w:p w14:paraId="7FAAA957" w14:textId="6429F8DE" w:rsidR="005308CD" w:rsidRDefault="00C10A97" w:rsidP="00477D9A">
      <w:pPr>
        <w:pStyle w:val="Paragraphbeforelist"/>
        <w:keepNext/>
      </w:pPr>
      <w:r>
        <w:t xml:space="preserve">The options paper </w:t>
      </w:r>
      <w:r w:rsidR="005308CD">
        <w:t xml:space="preserve">set out </w:t>
      </w:r>
      <w:r w:rsidR="004548E8">
        <w:t>3</w:t>
      </w:r>
      <w:r w:rsidR="005308CD">
        <w:t xml:space="preserve"> possible options for future use of the </w:t>
      </w:r>
      <w:r w:rsidR="00E100E2">
        <w:t>extended MSS L-band</w:t>
      </w:r>
      <w:r w:rsidR="005C1A74">
        <w:t xml:space="preserve"> to give effect to the desirable planning outcomes:</w:t>
      </w:r>
    </w:p>
    <w:p w14:paraId="4F814BD1" w14:textId="77777777" w:rsidR="000529A1" w:rsidRPr="002C611B" w:rsidRDefault="000529A1" w:rsidP="000529A1">
      <w:pPr>
        <w:pStyle w:val="ListParagraph"/>
        <w:numPr>
          <w:ilvl w:val="0"/>
          <w:numId w:val="28"/>
        </w:numPr>
        <w:spacing w:before="80" w:after="80"/>
        <w:contextualSpacing w:val="0"/>
        <w:rPr>
          <w:rFonts w:cs="Arial"/>
          <w:szCs w:val="20"/>
        </w:rPr>
      </w:pPr>
      <w:r w:rsidRPr="000529A1">
        <w:rPr>
          <w:rFonts w:cs="Arial"/>
          <w:b/>
          <w:bCs/>
          <w:szCs w:val="20"/>
        </w:rPr>
        <w:t>Option 1:</w:t>
      </w:r>
      <w:r w:rsidRPr="002C611B">
        <w:rPr>
          <w:rFonts w:cs="Arial"/>
          <w:szCs w:val="20"/>
        </w:rPr>
        <w:t xml:space="preserve"> No change</w:t>
      </w:r>
      <w:r>
        <w:rPr>
          <w:rFonts w:cs="Arial"/>
          <w:szCs w:val="20"/>
        </w:rPr>
        <w:t>.</w:t>
      </w:r>
    </w:p>
    <w:p w14:paraId="2E466F30" w14:textId="393D51E9" w:rsidR="000529A1" w:rsidRPr="002C611B" w:rsidRDefault="000529A1" w:rsidP="000529A1">
      <w:pPr>
        <w:pStyle w:val="ListParagraph"/>
        <w:numPr>
          <w:ilvl w:val="0"/>
          <w:numId w:val="28"/>
        </w:numPr>
        <w:spacing w:before="80" w:after="80"/>
        <w:contextualSpacing w:val="0"/>
        <w:rPr>
          <w:rFonts w:cs="Arial"/>
          <w:szCs w:val="20"/>
        </w:rPr>
      </w:pPr>
      <w:r w:rsidRPr="000529A1">
        <w:rPr>
          <w:rFonts w:cs="Arial"/>
          <w:b/>
          <w:bCs/>
          <w:szCs w:val="20"/>
        </w:rPr>
        <w:t>Option 2:</w:t>
      </w:r>
      <w:r w:rsidRPr="002C611B">
        <w:rPr>
          <w:rFonts w:cs="Arial"/>
          <w:szCs w:val="20"/>
        </w:rPr>
        <w:t xml:space="preserve"> Implement arrangements </w:t>
      </w:r>
      <w:r>
        <w:rPr>
          <w:rFonts w:cs="Arial"/>
          <w:szCs w:val="20"/>
        </w:rPr>
        <w:t xml:space="preserve">to allow </w:t>
      </w:r>
      <w:r w:rsidRPr="002C611B">
        <w:rPr>
          <w:rFonts w:cs="Arial"/>
          <w:szCs w:val="20"/>
        </w:rPr>
        <w:t xml:space="preserve">MSS </w:t>
      </w:r>
      <w:r>
        <w:rPr>
          <w:rFonts w:cs="Arial"/>
          <w:szCs w:val="20"/>
        </w:rPr>
        <w:t xml:space="preserve">operation </w:t>
      </w:r>
      <w:r w:rsidRPr="002C611B">
        <w:rPr>
          <w:rFonts w:cs="Arial"/>
          <w:szCs w:val="20"/>
        </w:rPr>
        <w:t xml:space="preserve">in the </w:t>
      </w:r>
      <w:r w:rsidRPr="00244F45">
        <w:rPr>
          <w:rFonts w:cs="Arial"/>
          <w:szCs w:val="20"/>
        </w:rPr>
        <w:t>1518</w:t>
      </w:r>
      <w:r>
        <w:t>–</w:t>
      </w:r>
      <w:r w:rsidRPr="00244F45">
        <w:rPr>
          <w:rFonts w:cs="Arial"/>
          <w:szCs w:val="20"/>
        </w:rPr>
        <w:t>1525 MHz and 1668–1675 MHz frequency ranges</w:t>
      </w:r>
      <w:r w:rsidRPr="002C611B">
        <w:rPr>
          <w:rFonts w:cs="Arial"/>
          <w:szCs w:val="20"/>
        </w:rPr>
        <w:t xml:space="preserve"> on a no</w:t>
      </w:r>
      <w:r>
        <w:rPr>
          <w:rFonts w:cs="Arial"/>
          <w:szCs w:val="20"/>
        </w:rPr>
        <w:t>-</w:t>
      </w:r>
      <w:r w:rsidRPr="002C611B">
        <w:rPr>
          <w:rFonts w:cs="Arial"/>
          <w:szCs w:val="20"/>
        </w:rPr>
        <w:t>interference</w:t>
      </w:r>
      <w:r w:rsidR="001B2619">
        <w:rPr>
          <w:rFonts w:cs="Arial"/>
          <w:szCs w:val="20"/>
        </w:rPr>
        <w:t xml:space="preserve">, </w:t>
      </w:r>
      <w:r w:rsidRPr="002C611B">
        <w:rPr>
          <w:rFonts w:cs="Arial"/>
          <w:szCs w:val="20"/>
        </w:rPr>
        <w:t>no</w:t>
      </w:r>
      <w:r>
        <w:rPr>
          <w:rFonts w:cs="Arial"/>
          <w:szCs w:val="20"/>
        </w:rPr>
        <w:t>-</w:t>
      </w:r>
      <w:r w:rsidRPr="002C611B">
        <w:rPr>
          <w:rFonts w:cs="Arial"/>
          <w:szCs w:val="20"/>
        </w:rPr>
        <w:t>protection basis to incumbent in-band and adjacent band licences and services</w:t>
      </w:r>
      <w:r>
        <w:rPr>
          <w:rFonts w:cs="Arial"/>
          <w:szCs w:val="20"/>
        </w:rPr>
        <w:t>.</w:t>
      </w:r>
    </w:p>
    <w:p w14:paraId="5F244B3E" w14:textId="77777777" w:rsidR="000529A1" w:rsidRPr="002C611B" w:rsidRDefault="000529A1" w:rsidP="000529A1">
      <w:pPr>
        <w:pStyle w:val="ListParagraph"/>
        <w:numPr>
          <w:ilvl w:val="0"/>
          <w:numId w:val="28"/>
        </w:numPr>
        <w:contextualSpacing w:val="0"/>
        <w:rPr>
          <w:rFonts w:cs="Arial"/>
          <w:szCs w:val="20"/>
        </w:rPr>
      </w:pPr>
      <w:r w:rsidRPr="000529A1">
        <w:rPr>
          <w:rFonts w:cs="Arial"/>
          <w:b/>
          <w:bCs/>
          <w:szCs w:val="20"/>
        </w:rPr>
        <w:t>Option 3:</w:t>
      </w:r>
      <w:r w:rsidRPr="002C611B">
        <w:rPr>
          <w:rFonts w:cs="Arial"/>
          <w:szCs w:val="20"/>
        </w:rPr>
        <w:t xml:space="preserve"> Implement arrangements for MSS in the </w:t>
      </w:r>
      <w:r>
        <w:rPr>
          <w:rFonts w:cs="Arial"/>
          <w:szCs w:val="20"/>
        </w:rPr>
        <w:t>extended MSS L-band</w:t>
      </w:r>
      <w:r w:rsidRPr="002C611B">
        <w:rPr>
          <w:rFonts w:cs="Arial"/>
          <w:szCs w:val="20"/>
        </w:rPr>
        <w:t xml:space="preserve"> (on the same basis as Option 2) and consider relocating some incumbent licences and services</w:t>
      </w:r>
      <w:r>
        <w:rPr>
          <w:rFonts w:cs="Arial"/>
          <w:szCs w:val="20"/>
        </w:rPr>
        <w:t>.</w:t>
      </w:r>
    </w:p>
    <w:p w14:paraId="5AEB0921" w14:textId="007C3BC1" w:rsidR="00EE555D" w:rsidRDefault="00EE555D" w:rsidP="00EE555D">
      <w:pPr>
        <w:pStyle w:val="Paragraph"/>
      </w:pPr>
      <w:r>
        <w:t xml:space="preserve">Option 2 was identified as </w:t>
      </w:r>
      <w:r w:rsidR="001B2619">
        <w:t>our</w:t>
      </w:r>
      <w:r>
        <w:t xml:space="preserve"> preliminary preferred option</w:t>
      </w:r>
      <w:r w:rsidR="00E858A6">
        <w:t>.</w:t>
      </w:r>
    </w:p>
    <w:p w14:paraId="5FEE7AD4" w14:textId="4ED40DA8" w:rsidR="00EE555D" w:rsidRPr="00E530B5" w:rsidRDefault="00DD11A1" w:rsidP="005308CD">
      <w:pPr>
        <w:pStyle w:val="Paragraph"/>
      </w:pPr>
      <w:r>
        <w:t xml:space="preserve">In the options paper, </w:t>
      </w:r>
      <w:r w:rsidR="00B7594B">
        <w:t>we</w:t>
      </w:r>
      <w:r>
        <w:t xml:space="preserve"> </w:t>
      </w:r>
      <w:r w:rsidR="00EE555D">
        <w:t>also propos</w:t>
      </w:r>
      <w:r>
        <w:t>ed</w:t>
      </w:r>
      <w:r w:rsidR="00EE555D">
        <w:t xml:space="preserve"> to expedite the implementation of Option 2 by seeking comment on the required variations to the </w:t>
      </w:r>
      <w:bookmarkStart w:id="3" w:name="_Hlk140587844"/>
      <w:r w:rsidR="00EE555D">
        <w:fldChar w:fldCharType="begin"/>
      </w:r>
      <w:r w:rsidR="00EE555D">
        <w:instrText>HYPERLINK "https://www.legislation.gov.au/Series/F2015L01486"</w:instrText>
      </w:r>
      <w:r w:rsidR="00EE555D">
        <w:fldChar w:fldCharType="separate"/>
      </w:r>
      <w:r w:rsidR="00EE555D" w:rsidRPr="005B3E36">
        <w:rPr>
          <w:rStyle w:val="Hyperlink"/>
          <w:bCs/>
        </w:rPr>
        <w:t>Radiocommunications (Communication with Space Object) Class Licence</w:t>
      </w:r>
      <w:r w:rsidR="00EE555D">
        <w:rPr>
          <w:rStyle w:val="Hyperlink"/>
          <w:bCs/>
        </w:rPr>
        <w:fldChar w:fldCharType="end"/>
      </w:r>
      <w:r w:rsidR="00EE555D" w:rsidRPr="005B3E36">
        <w:rPr>
          <w:rStyle w:val="Hyperlink"/>
          <w:bCs/>
        </w:rPr>
        <w:t xml:space="preserve"> 2015</w:t>
      </w:r>
      <w:r w:rsidR="00EE555D">
        <w:rPr>
          <w:rStyle w:val="Hyperlink"/>
          <w:bCs/>
        </w:rPr>
        <w:t xml:space="preserve"> </w:t>
      </w:r>
      <w:bookmarkEnd w:id="3"/>
      <w:r w:rsidR="00AE7265">
        <w:t>(</w:t>
      </w:r>
      <w:r w:rsidR="00AE7265">
        <w:rPr>
          <w:color w:val="000000"/>
          <w:szCs w:val="20"/>
        </w:rPr>
        <w:t>CSO class licence</w:t>
      </w:r>
      <w:r w:rsidR="00AE7265">
        <w:t>) a</w:t>
      </w:r>
      <w:r w:rsidR="00EE555D">
        <w:t xml:space="preserve">s part </w:t>
      </w:r>
      <w:r w:rsidR="001B2619">
        <w:br/>
      </w:r>
      <w:r w:rsidR="00EE555D">
        <w:t xml:space="preserve">of this </w:t>
      </w:r>
      <w:r w:rsidR="00EE555D" w:rsidRPr="00E530B5">
        <w:t xml:space="preserve">consultation process. </w:t>
      </w:r>
    </w:p>
    <w:p w14:paraId="24EE2CF5" w14:textId="77777777" w:rsidR="00A02A91" w:rsidRPr="00A85D75" w:rsidRDefault="00A02A91" w:rsidP="00E2254B">
      <w:pPr>
        <w:pStyle w:val="Heading2"/>
      </w:pPr>
      <w:bookmarkStart w:id="4" w:name="_Toc56950051"/>
      <w:bookmarkStart w:id="5" w:name="_Toc56965673"/>
      <w:bookmarkStart w:id="6" w:name="_Toc153793173"/>
      <w:bookmarkStart w:id="7" w:name="_Toc56950052"/>
      <w:r w:rsidRPr="00A85D75">
        <w:t>Industry feedback and ACMA considerations</w:t>
      </w:r>
      <w:bookmarkEnd w:id="4"/>
      <w:bookmarkEnd w:id="5"/>
      <w:bookmarkEnd w:id="6"/>
    </w:p>
    <w:p w14:paraId="06BFCC8E" w14:textId="18ECA6B3" w:rsidR="00DC067D" w:rsidRDefault="00F67C28" w:rsidP="00DC067D">
      <w:pPr>
        <w:pStyle w:val="Paragraph"/>
      </w:pPr>
      <w:r w:rsidRPr="00691682">
        <w:t xml:space="preserve">Strong support was provided for the ACMA’s preliminary preferred </w:t>
      </w:r>
      <w:r w:rsidR="00091467" w:rsidRPr="00691682">
        <w:t>O</w:t>
      </w:r>
      <w:r w:rsidRPr="00691682">
        <w:t xml:space="preserve">ption </w:t>
      </w:r>
      <w:r w:rsidR="00C3378D" w:rsidRPr="00691682">
        <w:t>2</w:t>
      </w:r>
      <w:r w:rsidR="00DC067D">
        <w:t>,</w:t>
      </w:r>
      <w:r w:rsidR="00DC067D" w:rsidRPr="00E530B5">
        <w:t xml:space="preserve"> with </w:t>
      </w:r>
      <w:r w:rsidR="00DC067D">
        <w:t>7</w:t>
      </w:r>
      <w:r w:rsidR="00DC067D" w:rsidRPr="00E530B5">
        <w:t xml:space="preserve"> of the </w:t>
      </w:r>
      <w:r w:rsidR="00DC067D">
        <w:t>8</w:t>
      </w:r>
      <w:r w:rsidR="00DC067D" w:rsidRPr="00E530B5">
        <w:t xml:space="preserve"> responses supporting </w:t>
      </w:r>
      <w:r w:rsidR="001B2619">
        <w:t>our</w:t>
      </w:r>
      <w:r w:rsidR="00DC067D" w:rsidRPr="00E530B5">
        <w:t xml:space="preserve"> preferred Option 2</w:t>
      </w:r>
      <w:r w:rsidR="00DC067D">
        <w:t>,</w:t>
      </w:r>
      <w:r w:rsidR="00DC067D" w:rsidRPr="00E530B5">
        <w:t xml:space="preserve"> and </w:t>
      </w:r>
      <w:r w:rsidR="001B2619">
        <w:t>one</w:t>
      </w:r>
      <w:r w:rsidR="00DC067D" w:rsidRPr="00E530B5">
        <w:t xml:space="preserve"> responder not having a preference.</w:t>
      </w:r>
      <w:r w:rsidR="00DC067D">
        <w:t xml:space="preserve"> A ‘reply to comment’ period opened on 28 September 2023 and closed on 25 October 2023, to allow replies to the </w:t>
      </w:r>
      <w:r w:rsidR="00DC067D" w:rsidRPr="0071191E">
        <w:t xml:space="preserve">responses received for the options paper. We received </w:t>
      </w:r>
      <w:r w:rsidR="001B2619">
        <w:t>one</w:t>
      </w:r>
      <w:r w:rsidR="001B2619" w:rsidRPr="0071191E">
        <w:t xml:space="preserve"> </w:t>
      </w:r>
      <w:r w:rsidR="00DC067D" w:rsidRPr="0071191E">
        <w:t>repl</w:t>
      </w:r>
      <w:r w:rsidR="00DC067D">
        <w:t>y from the satellite industry.</w:t>
      </w:r>
    </w:p>
    <w:p w14:paraId="1D6BBD31" w14:textId="7C755DA9" w:rsidR="00A004C7" w:rsidRDefault="00691682" w:rsidP="00691682">
      <w:pPr>
        <w:pStyle w:val="Paragraph"/>
      </w:pPr>
      <w:r w:rsidRPr="00691682">
        <w:t>One responder from the maritime industry noted that regardless of which option the ACMA decide</w:t>
      </w:r>
      <w:r w:rsidR="001B2619">
        <w:t>d</w:t>
      </w:r>
      <w:r w:rsidRPr="00691682">
        <w:t xml:space="preserve"> to implement</w:t>
      </w:r>
      <w:r w:rsidR="00B7594B">
        <w:t>,</w:t>
      </w:r>
      <w:r w:rsidRPr="00691682">
        <w:t xml:space="preserve"> there are potential impacts to </w:t>
      </w:r>
      <w:r>
        <w:t xml:space="preserve">the Inmarsat </w:t>
      </w:r>
      <w:r w:rsidRPr="00691682">
        <w:t xml:space="preserve">Global Maritime Distress and Safety Systems (GMDSS) service </w:t>
      </w:r>
      <w:r w:rsidR="004A06DC">
        <w:t xml:space="preserve">from IMT </w:t>
      </w:r>
      <w:r>
        <w:t xml:space="preserve">that </w:t>
      </w:r>
      <w:r w:rsidRPr="00691682">
        <w:t xml:space="preserve">should be noted ahead of further </w:t>
      </w:r>
      <w:r>
        <w:t>c</w:t>
      </w:r>
      <w:r w:rsidRPr="00691682">
        <w:t xml:space="preserve">onsultation on the </w:t>
      </w:r>
      <w:r>
        <w:t xml:space="preserve">1.5 GHz </w:t>
      </w:r>
      <w:r w:rsidRPr="00691682">
        <w:t>band</w:t>
      </w:r>
      <w:r>
        <w:t>.</w:t>
      </w:r>
    </w:p>
    <w:p w14:paraId="32604CD8" w14:textId="5DDE1FB5" w:rsidR="007C2EC7" w:rsidRPr="00691682" w:rsidRDefault="007C2EC7" w:rsidP="00E2254B">
      <w:pPr>
        <w:pStyle w:val="Heading2"/>
      </w:pPr>
      <w:bookmarkStart w:id="8" w:name="_Toc56965674"/>
      <w:bookmarkStart w:id="9" w:name="_Toc153793174"/>
      <w:r w:rsidRPr="00691682">
        <w:t>Planning decisio</w:t>
      </w:r>
      <w:bookmarkEnd w:id="7"/>
      <w:bookmarkEnd w:id="8"/>
      <w:r w:rsidR="00455281">
        <w:t>n</w:t>
      </w:r>
      <w:bookmarkEnd w:id="9"/>
    </w:p>
    <w:p w14:paraId="70C132A2" w14:textId="59F0A595" w:rsidR="0028220B" w:rsidRDefault="00A92907" w:rsidP="00434153">
      <w:pPr>
        <w:pStyle w:val="Paragraph"/>
      </w:pPr>
      <w:r w:rsidRPr="00691682">
        <w:t>T</w:t>
      </w:r>
      <w:r w:rsidR="000851E5" w:rsidRPr="00691682">
        <w:t xml:space="preserve">he ACMA </w:t>
      </w:r>
      <w:r w:rsidR="00055C1C">
        <w:t>has considered</w:t>
      </w:r>
      <w:r w:rsidR="00DC067D">
        <w:t xml:space="preserve"> the responses and replies to the options paper</w:t>
      </w:r>
      <w:r w:rsidR="001B2619">
        <w:t xml:space="preserve">. We have </w:t>
      </w:r>
      <w:r w:rsidR="000851E5" w:rsidRPr="00691682">
        <w:t>conclude</w:t>
      </w:r>
      <w:r w:rsidRPr="00691682">
        <w:t>d</w:t>
      </w:r>
      <w:r w:rsidR="000851E5" w:rsidRPr="00691682">
        <w:t xml:space="preserve"> that </w:t>
      </w:r>
      <w:r w:rsidR="00F24656" w:rsidRPr="00691682">
        <w:t xml:space="preserve">arrangements consistent with </w:t>
      </w:r>
      <w:r w:rsidR="00ED62BC" w:rsidRPr="00691682">
        <w:t xml:space="preserve">Option </w:t>
      </w:r>
      <w:r w:rsidR="00346A41" w:rsidRPr="00691682">
        <w:t>2</w:t>
      </w:r>
      <w:r w:rsidR="00B7594B">
        <w:t xml:space="preserve"> will progress to the</w:t>
      </w:r>
      <w:r w:rsidR="00181249">
        <w:t xml:space="preserve"> </w:t>
      </w:r>
      <w:r w:rsidR="00B7594B">
        <w:t xml:space="preserve">implementation stage </w:t>
      </w:r>
      <w:r w:rsidR="00B7594B" w:rsidRPr="00B7594B">
        <w:t>of the ACMA’s spectrum planning process</w:t>
      </w:r>
      <w:r w:rsidR="00B7594B">
        <w:t xml:space="preserve"> </w:t>
      </w:r>
      <w:r w:rsidR="00BE3A8D">
        <w:t>(see</w:t>
      </w:r>
      <w:r w:rsidR="00B7594B">
        <w:t xml:space="preserve"> Figure 1</w:t>
      </w:r>
      <w:r w:rsidR="00BE3A8D">
        <w:t>)</w:t>
      </w:r>
      <w:r w:rsidR="00691682">
        <w:t>.</w:t>
      </w:r>
      <w:r w:rsidR="0028220B">
        <w:t xml:space="preserve"> </w:t>
      </w:r>
      <w:r w:rsidR="001B2619">
        <w:t>We</w:t>
      </w:r>
      <w:r w:rsidR="0028220B">
        <w:t xml:space="preserve"> consider that the </w:t>
      </w:r>
      <w:r w:rsidR="0028220B" w:rsidRPr="00FC10BD">
        <w:t xml:space="preserve">overall utility of the extended </w:t>
      </w:r>
      <w:r w:rsidR="0028220B">
        <w:t xml:space="preserve">MSS </w:t>
      </w:r>
      <w:r w:rsidR="0028220B" w:rsidRPr="00FC10BD">
        <w:t>L</w:t>
      </w:r>
      <w:r w:rsidR="0028220B">
        <w:t>-</w:t>
      </w:r>
      <w:r w:rsidR="0028220B" w:rsidRPr="00FC10BD">
        <w:t xml:space="preserve">band and the </w:t>
      </w:r>
      <w:r w:rsidR="0028220B">
        <w:t>long-term public interest</w:t>
      </w:r>
      <w:r w:rsidR="0028220B" w:rsidRPr="00FC10BD">
        <w:t xml:space="preserve"> derived from use of the spectrum </w:t>
      </w:r>
      <w:r w:rsidR="0028220B">
        <w:t>is</w:t>
      </w:r>
      <w:r w:rsidR="0028220B" w:rsidRPr="00FC10BD">
        <w:t xml:space="preserve"> increased under this option</w:t>
      </w:r>
      <w:r w:rsidR="0028220B">
        <w:t>, compared with Option 1</w:t>
      </w:r>
      <w:r w:rsidR="0028220B" w:rsidRPr="00FC10BD">
        <w:t>.</w:t>
      </w:r>
      <w:r w:rsidR="0028220B">
        <w:t xml:space="preserve"> Option 2 also enables arrangements for MSS to be implemented in a shorter timeframe than Option 3 to support more efficient use of the spectrum.</w:t>
      </w:r>
    </w:p>
    <w:p w14:paraId="4DE9B948" w14:textId="4A34E89F" w:rsidR="00B7594B" w:rsidRDefault="00B7594B" w:rsidP="00B7594B">
      <w:pPr>
        <w:pStyle w:val="ACMAFigureHeader"/>
      </w:pPr>
      <w:r>
        <w:t xml:space="preserve">ACMA spectrum planning </w:t>
      </w:r>
      <w:proofErr w:type="gramStart"/>
      <w:r>
        <w:t>process</w:t>
      </w:r>
      <w:proofErr w:type="gramEnd"/>
    </w:p>
    <w:p w14:paraId="540A2344" w14:textId="68B03C8B" w:rsidR="00B7594B" w:rsidRPr="00D77A9F" w:rsidRDefault="00B7594B" w:rsidP="00434153">
      <w:pPr>
        <w:pStyle w:val="Paragraph"/>
      </w:pPr>
      <w:r>
        <w:rPr>
          <w:noProof/>
          <w:sz w:val="22"/>
          <w:szCs w:val="22"/>
        </w:rPr>
        <w:drawing>
          <wp:inline distT="0" distB="0" distL="0" distR="0" wp14:anchorId="4451CCC5" wp14:editId="79E92562">
            <wp:extent cx="3168650" cy="2786235"/>
            <wp:effectExtent l="0" t="0" r="0" b="0"/>
            <wp:docPr id="4" name="Picture 4" descr="Figure 1: ACMA spectrum plann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CMA spectrum planning proces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6125" cy="2792808"/>
                    </a:xfrm>
                    <a:prstGeom prst="rect">
                      <a:avLst/>
                    </a:prstGeom>
                    <a:noFill/>
                  </pic:spPr>
                </pic:pic>
              </a:graphicData>
            </a:graphic>
          </wp:inline>
        </w:drawing>
      </w:r>
    </w:p>
    <w:p w14:paraId="59E98901" w14:textId="3717B200" w:rsidR="00DC067D" w:rsidRDefault="00F92096" w:rsidP="00055C1C">
      <w:pPr>
        <w:pStyle w:val="Paragraphbeforelist"/>
        <w:keepNext/>
      </w:pPr>
      <w:r>
        <w:t xml:space="preserve">We </w:t>
      </w:r>
      <w:r w:rsidR="008F1D99">
        <w:t>are implementing</w:t>
      </w:r>
      <w:r>
        <w:t xml:space="preserve"> </w:t>
      </w:r>
      <w:r w:rsidR="00DC067D" w:rsidRPr="00E530B5">
        <w:t>the planning decisions</w:t>
      </w:r>
      <w:r w:rsidR="00DC067D">
        <w:t xml:space="preserve"> </w:t>
      </w:r>
      <w:r w:rsidR="008F1D99">
        <w:t>to give effect to</w:t>
      </w:r>
      <w:r w:rsidR="00DC067D">
        <w:t xml:space="preserve"> Option 2</w:t>
      </w:r>
      <w:r w:rsidR="0017443E">
        <w:t xml:space="preserve"> by</w:t>
      </w:r>
      <w:r w:rsidR="00DC067D">
        <w:t>:</w:t>
      </w:r>
    </w:p>
    <w:p w14:paraId="6F39D04A" w14:textId="2309384E" w:rsidR="00DC067D" w:rsidRDefault="00DC067D" w:rsidP="003144E0">
      <w:pPr>
        <w:pStyle w:val="ListBullet"/>
      </w:pPr>
      <w:r>
        <w:rPr>
          <w:b/>
          <w:bCs/>
        </w:rPr>
        <w:t>Amending the CSO class licence</w:t>
      </w:r>
      <w:r w:rsidRPr="000529A1">
        <w:rPr>
          <w:b/>
          <w:bCs/>
        </w:rPr>
        <w:t>:</w:t>
      </w:r>
      <w:r w:rsidR="00A84428">
        <w:rPr>
          <w:b/>
          <w:bCs/>
        </w:rPr>
        <w:t xml:space="preserve"> </w:t>
      </w:r>
      <w:r w:rsidR="00A84428" w:rsidRPr="00990FAD">
        <w:t xml:space="preserve">to include the frequency </w:t>
      </w:r>
      <w:r w:rsidR="005033A1" w:rsidRPr="00990FAD">
        <w:t xml:space="preserve">ranges </w:t>
      </w:r>
      <w:r w:rsidR="001B2619" w:rsidRPr="00990FAD">
        <w:br/>
      </w:r>
      <w:r w:rsidR="00A84428" w:rsidRPr="00244F45">
        <w:t>1518</w:t>
      </w:r>
      <w:r w:rsidR="00A84428">
        <w:t>–</w:t>
      </w:r>
      <w:r w:rsidR="00A84428" w:rsidRPr="00244F45">
        <w:t>1525 MHz and 1668–1675 MHz</w:t>
      </w:r>
      <w:r w:rsidR="00A84428">
        <w:t xml:space="preserve"> within conditions </w:t>
      </w:r>
      <w:r>
        <w:t xml:space="preserve">as proposed in </w:t>
      </w:r>
      <w:r w:rsidR="001B2619">
        <w:br/>
      </w:r>
      <w:r>
        <w:t xml:space="preserve">the </w:t>
      </w:r>
      <w:proofErr w:type="gramStart"/>
      <w:r>
        <w:t>consultation</w:t>
      </w:r>
      <w:proofErr w:type="gramEnd"/>
    </w:p>
    <w:p w14:paraId="17F89A6D" w14:textId="66422A7A" w:rsidR="00DC067D" w:rsidRPr="005520E8" w:rsidRDefault="00DC067D" w:rsidP="003144E0">
      <w:pPr>
        <w:pStyle w:val="ListBulletLast"/>
      </w:pPr>
      <w:r>
        <w:rPr>
          <w:b/>
          <w:bCs/>
        </w:rPr>
        <w:t xml:space="preserve">Updating the </w:t>
      </w:r>
      <w:r w:rsidR="001B2619">
        <w:rPr>
          <w:b/>
          <w:bCs/>
        </w:rPr>
        <w:t>s</w:t>
      </w:r>
      <w:r>
        <w:rPr>
          <w:b/>
          <w:bCs/>
        </w:rPr>
        <w:t xml:space="preserve">pace </w:t>
      </w:r>
      <w:r w:rsidR="001B2619">
        <w:rPr>
          <w:b/>
          <w:bCs/>
        </w:rPr>
        <w:t>b</w:t>
      </w:r>
      <w:r>
        <w:rPr>
          <w:b/>
          <w:bCs/>
        </w:rPr>
        <w:t xml:space="preserve">usiness </w:t>
      </w:r>
      <w:r w:rsidR="001B2619">
        <w:rPr>
          <w:b/>
          <w:bCs/>
        </w:rPr>
        <w:t>o</w:t>
      </w:r>
      <w:r>
        <w:rPr>
          <w:b/>
          <w:bCs/>
        </w:rPr>
        <w:t xml:space="preserve">perating </w:t>
      </w:r>
      <w:r w:rsidR="001B2619">
        <w:rPr>
          <w:b/>
          <w:bCs/>
        </w:rPr>
        <w:t>p</w:t>
      </w:r>
      <w:r>
        <w:rPr>
          <w:b/>
          <w:bCs/>
        </w:rPr>
        <w:t>rocedure (</w:t>
      </w:r>
      <w:r w:rsidR="001B2619">
        <w:rPr>
          <w:b/>
          <w:bCs/>
        </w:rPr>
        <w:t>s</w:t>
      </w:r>
      <w:r w:rsidR="005033A1">
        <w:rPr>
          <w:b/>
          <w:bCs/>
        </w:rPr>
        <w:t xml:space="preserve">pace </w:t>
      </w:r>
      <w:r>
        <w:rPr>
          <w:b/>
          <w:bCs/>
        </w:rPr>
        <w:t>BOP)</w:t>
      </w:r>
      <w:r w:rsidRPr="005520E8">
        <w:rPr>
          <w:b/>
          <w:bCs/>
        </w:rPr>
        <w:t>:</w:t>
      </w:r>
      <w:r w:rsidR="00A84428">
        <w:t xml:space="preserve"> to include advice </w:t>
      </w:r>
      <w:r w:rsidR="00272599">
        <w:t>a</w:t>
      </w:r>
      <w:r w:rsidR="00A84428">
        <w:t xml:space="preserve">bout arrangements in extended </w:t>
      </w:r>
      <w:r w:rsidR="005033A1">
        <w:t xml:space="preserve">MSS </w:t>
      </w:r>
      <w:r w:rsidR="00A84428">
        <w:t>L-</w:t>
      </w:r>
      <w:r w:rsidR="00272599">
        <w:t xml:space="preserve">band </w:t>
      </w:r>
      <w:r>
        <w:t>as proposed in the consultation.</w:t>
      </w:r>
    </w:p>
    <w:p w14:paraId="05AF254F" w14:textId="599532D1" w:rsidR="00272599" w:rsidRPr="00272599" w:rsidRDefault="00F92096" w:rsidP="0085605D">
      <w:pPr>
        <w:spacing w:before="80" w:after="80"/>
        <w:rPr>
          <w:rFonts w:cs="Arial"/>
          <w:szCs w:val="20"/>
        </w:rPr>
      </w:pPr>
      <w:r>
        <w:t xml:space="preserve">We will now accept licence applications for space and space receive apparatus licences in </w:t>
      </w:r>
      <w:r w:rsidR="00C224D2">
        <w:t xml:space="preserve">the </w:t>
      </w:r>
      <w:r>
        <w:t xml:space="preserve">extended </w:t>
      </w:r>
      <w:r w:rsidR="004F3FCF">
        <w:t xml:space="preserve">MSS </w:t>
      </w:r>
      <w:r w:rsidR="00272599">
        <w:t>L-band</w:t>
      </w:r>
      <w:r w:rsidR="004A06DC">
        <w:t>. Application</w:t>
      </w:r>
      <w:r w:rsidR="00C224D2">
        <w:t>s</w:t>
      </w:r>
      <w:r w:rsidR="004A06DC">
        <w:t xml:space="preserve"> wi</w:t>
      </w:r>
      <w:r w:rsidR="00C224D2">
        <w:t>l</w:t>
      </w:r>
      <w:r w:rsidR="004A06DC">
        <w:t xml:space="preserve">l be processed as outlined in the </w:t>
      </w:r>
      <w:hyperlink r:id="rId30" w:history="1">
        <w:r w:rsidR="002A0781">
          <w:rPr>
            <w:rStyle w:val="Hyperlink"/>
          </w:rPr>
          <w:t>s</w:t>
        </w:r>
        <w:r w:rsidR="004A06DC" w:rsidRPr="00BE14E2">
          <w:rPr>
            <w:rStyle w:val="Hyperlink"/>
          </w:rPr>
          <w:t xml:space="preserve">pace </w:t>
        </w:r>
        <w:r w:rsidR="002A0781">
          <w:rPr>
            <w:rStyle w:val="Hyperlink"/>
          </w:rPr>
          <w:t>b</w:t>
        </w:r>
        <w:r w:rsidR="008F1D99" w:rsidRPr="00BE14E2">
          <w:rPr>
            <w:rStyle w:val="Hyperlink"/>
          </w:rPr>
          <w:t xml:space="preserve">usiness </w:t>
        </w:r>
        <w:r w:rsidR="002A0781">
          <w:rPr>
            <w:rStyle w:val="Hyperlink"/>
          </w:rPr>
          <w:t>o</w:t>
        </w:r>
        <w:r w:rsidR="008F1D99" w:rsidRPr="00BE14E2">
          <w:rPr>
            <w:rStyle w:val="Hyperlink"/>
          </w:rPr>
          <w:t xml:space="preserve">perating </w:t>
        </w:r>
        <w:r w:rsidR="002A0781">
          <w:rPr>
            <w:rStyle w:val="Hyperlink"/>
          </w:rPr>
          <w:t>p</w:t>
        </w:r>
        <w:r w:rsidR="008F1D99" w:rsidRPr="00BE14E2">
          <w:rPr>
            <w:rStyle w:val="Hyperlink"/>
          </w:rPr>
          <w:t>rocedure</w:t>
        </w:r>
      </w:hyperlink>
      <w:r w:rsidR="004A06DC">
        <w:t>.</w:t>
      </w:r>
      <w:r w:rsidR="00272599">
        <w:t xml:space="preserve"> Beyond ensuring the proposed operation is in accordance with ITU requirements</w:t>
      </w:r>
      <w:r w:rsidR="00272599">
        <w:rPr>
          <w:rStyle w:val="FootnoteReference"/>
        </w:rPr>
        <w:footnoteReference w:id="2"/>
      </w:r>
      <w:r w:rsidR="00E705B7">
        <w:t>Note</w:t>
      </w:r>
      <w:r w:rsidR="00272599">
        <w:t>, no further assessment of compatibility between satellite systems is intended. Our view is that in this band, the ITU satellite coordination process</w:t>
      </w:r>
      <w:r w:rsidR="00272599" w:rsidDel="00546759">
        <w:t xml:space="preserve"> </w:t>
      </w:r>
      <w:r w:rsidR="00272599">
        <w:t xml:space="preserve">is sufficient to resolve any compatibility matters. </w:t>
      </w:r>
    </w:p>
    <w:p w14:paraId="443616D4" w14:textId="6607B240" w:rsidR="00472540" w:rsidRPr="00A85D75" w:rsidRDefault="00654CC2" w:rsidP="00E2254B">
      <w:pPr>
        <w:pStyle w:val="Heading2"/>
      </w:pPr>
      <w:bookmarkStart w:id="10" w:name="_Toc18403199"/>
      <w:bookmarkStart w:id="11" w:name="_Toc21088506"/>
      <w:bookmarkStart w:id="12" w:name="_Toc56950053"/>
      <w:bookmarkStart w:id="13" w:name="_Toc56965675"/>
      <w:bookmarkStart w:id="14" w:name="_Toc153793175"/>
      <w:bookmarkEnd w:id="2"/>
      <w:r>
        <w:t>Next</w:t>
      </w:r>
      <w:r w:rsidR="00472540" w:rsidRPr="00A85D75">
        <w:t xml:space="preserve"> steps</w:t>
      </w:r>
      <w:bookmarkEnd w:id="10"/>
      <w:bookmarkEnd w:id="11"/>
      <w:bookmarkEnd w:id="12"/>
      <w:bookmarkEnd w:id="13"/>
      <w:bookmarkEnd w:id="14"/>
    </w:p>
    <w:p w14:paraId="12895E6E" w14:textId="5228FAAF" w:rsidR="008F1D99" w:rsidRDefault="008F1D99" w:rsidP="008F1D99">
      <w:pPr>
        <w:rPr>
          <w:rFonts w:eastAsia="Arial" w:cs="Arial"/>
        </w:rPr>
      </w:pPr>
      <w:r>
        <w:t>The next stage of the review of the 1.5 GHz band will involve a</w:t>
      </w:r>
      <w:r w:rsidRPr="00FF19DF">
        <w:rPr>
          <w:szCs w:val="20"/>
        </w:rPr>
        <w:t xml:space="preserve"> review of terrestrial </w:t>
      </w:r>
      <w:r w:rsidR="002A0781">
        <w:rPr>
          <w:szCs w:val="20"/>
        </w:rPr>
        <w:t>(</w:t>
      </w:r>
      <w:r w:rsidRPr="00FF19DF">
        <w:rPr>
          <w:szCs w:val="20"/>
        </w:rPr>
        <w:t>non-satellite) services in the broader 1427</w:t>
      </w:r>
      <w:r>
        <w:t>–</w:t>
      </w:r>
      <w:r w:rsidRPr="00FF19DF">
        <w:rPr>
          <w:szCs w:val="20"/>
        </w:rPr>
        <w:t>1535 MHz frequency range</w:t>
      </w:r>
      <w:r>
        <w:rPr>
          <w:szCs w:val="20"/>
        </w:rPr>
        <w:t>. This</w:t>
      </w:r>
      <w:r w:rsidRPr="00FF19DF">
        <w:rPr>
          <w:szCs w:val="20"/>
        </w:rPr>
        <w:t xml:space="preserve"> is proposed for consideration in the 2024</w:t>
      </w:r>
      <w:r>
        <w:t>–</w:t>
      </w:r>
      <w:r w:rsidRPr="00FF19DF">
        <w:rPr>
          <w:szCs w:val="20"/>
        </w:rPr>
        <w:t>25 financial year.</w:t>
      </w:r>
    </w:p>
    <w:p w14:paraId="1D9A7596" w14:textId="77777777" w:rsidR="008F1D99" w:rsidRDefault="008F1D99" w:rsidP="008F1D99">
      <w:r w:rsidRPr="00E530B5">
        <w:t>Planning outcomes identified at this stage include both ACMA planning decisions as well as preliminary views on these future activities, some of which may be subject to further legislative or consultative processes.</w:t>
      </w:r>
    </w:p>
    <w:p w14:paraId="3F5EFD94" w14:textId="11515D7B" w:rsidR="00BD5268" w:rsidRPr="00A85D75" w:rsidRDefault="00C97CDF" w:rsidP="004D657E">
      <w:pPr>
        <w:pStyle w:val="Paragraph"/>
      </w:pPr>
      <w:r w:rsidRPr="00A85D75">
        <w:t xml:space="preserve">A </w:t>
      </w:r>
      <w:r w:rsidR="00E2254B" w:rsidRPr="00A85D75">
        <w:t>high</w:t>
      </w:r>
      <w:r w:rsidR="00E2254B" w:rsidRPr="002B7478">
        <w:t>-level</w:t>
      </w:r>
      <w:r w:rsidRPr="002B7478">
        <w:t xml:space="preserve"> implementation plan has been developed and is outlined in Table </w:t>
      </w:r>
      <w:r w:rsidR="00461325">
        <w:t>1</w:t>
      </w:r>
      <w:r w:rsidRPr="002B7478">
        <w:t xml:space="preserve"> </w:t>
      </w:r>
      <w:r w:rsidR="000E1DC8">
        <w:t>in</w:t>
      </w:r>
      <w:r w:rsidRPr="002B7478">
        <w:t xml:space="preserve"> the</w:t>
      </w:r>
      <w:r w:rsidR="00024678" w:rsidRPr="002B7478">
        <w:t xml:space="preserve"> </w:t>
      </w:r>
      <w:hyperlink w:anchor="_Planning_outcomes" w:history="1">
        <w:r w:rsidR="00E7549F" w:rsidRPr="002A0781">
          <w:rPr>
            <w:rStyle w:val="Hyperlink"/>
          </w:rPr>
          <w:t>N</w:t>
        </w:r>
        <w:r w:rsidR="00024678" w:rsidRPr="002A0781">
          <w:rPr>
            <w:rStyle w:val="Hyperlink"/>
          </w:rPr>
          <w:t>ext steps</w:t>
        </w:r>
        <w:r w:rsidR="00A65560" w:rsidRPr="002A0781">
          <w:rPr>
            <w:rStyle w:val="Hyperlink"/>
          </w:rPr>
          <w:t xml:space="preserve"> </w:t>
        </w:r>
        <w:r w:rsidR="00024678" w:rsidRPr="002A0781">
          <w:rPr>
            <w:rStyle w:val="Hyperlink"/>
          </w:rPr>
          <w:t>section</w:t>
        </w:r>
      </w:hyperlink>
      <w:r w:rsidRPr="002B7478">
        <w:t>.</w:t>
      </w:r>
    </w:p>
    <w:p w14:paraId="37159CD4" w14:textId="77777777" w:rsidR="007B0932" w:rsidRPr="00A85D75" w:rsidRDefault="007B0932" w:rsidP="007B0932">
      <w:pPr>
        <w:pStyle w:val="Heading1"/>
      </w:pPr>
      <w:bookmarkStart w:id="15" w:name="_Toc46316352"/>
      <w:bookmarkStart w:id="16" w:name="_Toc56965676"/>
      <w:bookmarkStart w:id="17" w:name="_Toc153793176"/>
      <w:r w:rsidRPr="00A85D75">
        <w:t>Introduction</w:t>
      </w:r>
      <w:bookmarkEnd w:id="15"/>
      <w:bookmarkEnd w:id="16"/>
      <w:bookmarkEnd w:id="17"/>
    </w:p>
    <w:p w14:paraId="15119FAC" w14:textId="0554A5B9" w:rsidR="00C64228" w:rsidRPr="00691682" w:rsidRDefault="00673660" w:rsidP="007439B4">
      <w:pPr>
        <w:pStyle w:val="Paragraphbeforelist"/>
      </w:pPr>
      <w:r w:rsidRPr="00A85D75">
        <w:t xml:space="preserve">The </w:t>
      </w:r>
      <w:r w:rsidR="002E2325">
        <w:t>extended MSS L-band</w:t>
      </w:r>
      <w:r w:rsidR="00763850">
        <w:t xml:space="preserve"> </w:t>
      </w:r>
      <w:r w:rsidR="00734414">
        <w:t>(</w:t>
      </w:r>
      <w:r w:rsidR="00734414" w:rsidRPr="00B64882">
        <w:rPr>
          <w:color w:val="000000"/>
          <w:szCs w:val="20"/>
        </w:rPr>
        <w:t>1518–1525 MHz and 1668–1675 MHz</w:t>
      </w:r>
      <w:r w:rsidR="00734414">
        <w:t xml:space="preserve">) </w:t>
      </w:r>
      <w:r w:rsidR="00492FD7">
        <w:t xml:space="preserve">is allocated in the </w:t>
      </w:r>
      <w:hyperlink r:id="rId31" w:history="1">
        <w:r w:rsidR="00492FD7" w:rsidRPr="00691682">
          <w:rPr>
            <w:rStyle w:val="Hyperlink"/>
          </w:rPr>
          <w:t>Australian Radiofrequency Spectrum Plan 2021</w:t>
        </w:r>
      </w:hyperlink>
      <w:r w:rsidR="00492FD7" w:rsidRPr="00691682">
        <w:t xml:space="preserve"> (</w:t>
      </w:r>
      <w:r w:rsidR="00032EE2" w:rsidRPr="00691682">
        <w:t>Spectrum Plan</w:t>
      </w:r>
      <w:r w:rsidR="00492FD7" w:rsidRPr="00691682">
        <w:t>) to</w:t>
      </w:r>
      <w:r w:rsidR="00C64228" w:rsidRPr="00691682">
        <w:t xml:space="preserve"> the following services on a primary basis:</w:t>
      </w:r>
    </w:p>
    <w:p w14:paraId="2638E3EF" w14:textId="41E28097" w:rsidR="00C64228" w:rsidRDefault="00492FD7" w:rsidP="003144E0">
      <w:pPr>
        <w:pStyle w:val="ListBullet"/>
      </w:pPr>
      <w:r>
        <w:t>fixed</w:t>
      </w:r>
      <w:r w:rsidR="00734414">
        <w:t>,</w:t>
      </w:r>
      <w:r>
        <w:t xml:space="preserve"> mobile </w:t>
      </w:r>
      <w:r w:rsidR="00734414">
        <w:t>and mobile-satellite</w:t>
      </w:r>
      <w:r w:rsidR="0080153F">
        <w:t xml:space="preserve"> (space-to-Earth)</w:t>
      </w:r>
      <w:r w:rsidR="00734414">
        <w:t xml:space="preserve"> </w:t>
      </w:r>
      <w:r w:rsidR="0080153F">
        <w:t>in the 1518</w:t>
      </w:r>
      <w:r w:rsidR="00C369D6">
        <w:t>–</w:t>
      </w:r>
      <w:r w:rsidR="0080153F">
        <w:t xml:space="preserve">1525 MHz </w:t>
      </w:r>
      <w:r w:rsidR="002A0781">
        <w:br/>
      </w:r>
      <w:r w:rsidR="0080153F">
        <w:t xml:space="preserve">frequency </w:t>
      </w:r>
      <w:proofErr w:type="gramStart"/>
      <w:r w:rsidR="0080153F">
        <w:t>range</w:t>
      </w:r>
      <w:proofErr w:type="gramEnd"/>
    </w:p>
    <w:p w14:paraId="67133677" w14:textId="2B6E4E78" w:rsidR="00942580" w:rsidRDefault="000D3BF7" w:rsidP="003144E0">
      <w:pPr>
        <w:pStyle w:val="ListBullet"/>
      </w:pPr>
      <w:r>
        <w:t>mobile-satellite (Earth-to-space), radio astronomy and space research</w:t>
      </w:r>
      <w:r w:rsidR="00FF5E8C">
        <w:t xml:space="preserve"> in the </w:t>
      </w:r>
      <w:r w:rsidR="002A0781">
        <w:br/>
      </w:r>
      <w:r w:rsidR="00FF5E8C">
        <w:t>1668</w:t>
      </w:r>
      <w:r w:rsidR="00C369D6">
        <w:t>–</w:t>
      </w:r>
      <w:r w:rsidR="00FF5E8C">
        <w:t>16</w:t>
      </w:r>
      <w:r w:rsidR="00C64228">
        <w:t>6</w:t>
      </w:r>
      <w:r w:rsidR="00942580">
        <w:t>8.4</w:t>
      </w:r>
      <w:r w:rsidR="00FF5E8C">
        <w:t xml:space="preserve"> MHz frequency range</w:t>
      </w:r>
    </w:p>
    <w:p w14:paraId="1C6E806E" w14:textId="32409CA6" w:rsidR="001478D0" w:rsidRDefault="0042151F" w:rsidP="003144E0">
      <w:pPr>
        <w:pStyle w:val="ListBullet"/>
      </w:pPr>
      <w:r>
        <w:t>meteorological aids</w:t>
      </w:r>
      <w:r w:rsidR="001E2895">
        <w:t xml:space="preserve"> (Me</w:t>
      </w:r>
      <w:r w:rsidR="005615F5">
        <w:t>tAids)</w:t>
      </w:r>
      <w:r>
        <w:t>, fixed, mobile</w:t>
      </w:r>
      <w:r w:rsidR="00826C9A">
        <w:t>,</w:t>
      </w:r>
      <w:r>
        <w:t xml:space="preserve"> mobile-satellite (Earth-to-space)</w:t>
      </w:r>
      <w:r w:rsidR="00826C9A">
        <w:t xml:space="preserve"> and radio astronomy in the 1668.4</w:t>
      </w:r>
      <w:r w:rsidR="00C369D6">
        <w:t>–</w:t>
      </w:r>
      <w:r w:rsidR="00826C9A">
        <w:t xml:space="preserve">1670 MHz frequency </w:t>
      </w:r>
      <w:proofErr w:type="gramStart"/>
      <w:r w:rsidR="00826C9A">
        <w:t>range</w:t>
      </w:r>
      <w:proofErr w:type="gramEnd"/>
    </w:p>
    <w:p w14:paraId="6B14B77F" w14:textId="3F319CA4" w:rsidR="00C64228" w:rsidRDefault="005033A1" w:rsidP="003144E0">
      <w:pPr>
        <w:pStyle w:val="ListBulletLast"/>
      </w:pPr>
      <w:r>
        <w:t>MetAids</w:t>
      </w:r>
      <w:r w:rsidR="00942580">
        <w:t xml:space="preserve">, fixed, meteorological-satellite </w:t>
      </w:r>
      <w:r w:rsidR="001E2895">
        <w:t xml:space="preserve">(Metsat) </w:t>
      </w:r>
      <w:r w:rsidR="00942580">
        <w:t xml:space="preserve">(space-to-Earth), mobile and </w:t>
      </w:r>
      <w:r w:rsidR="001478D0">
        <w:t>mobile-satellite (Earth-to-space) in the 1670</w:t>
      </w:r>
      <w:r w:rsidR="00C369D6">
        <w:t>–</w:t>
      </w:r>
      <w:r w:rsidR="001478D0">
        <w:t>1675 MHz frequency range.</w:t>
      </w:r>
      <w:r w:rsidR="0080153F">
        <w:t xml:space="preserve"> </w:t>
      </w:r>
    </w:p>
    <w:p w14:paraId="71561B8B" w14:textId="549C4C49" w:rsidR="00B87E1A" w:rsidRDefault="00063C64" w:rsidP="00B87E1A">
      <w:pPr>
        <w:pStyle w:val="Paragraph"/>
        <w:spacing w:before="240"/>
      </w:pPr>
      <w:r>
        <w:t>In May 2022</w:t>
      </w:r>
      <w:r w:rsidR="002A0781">
        <w:t xml:space="preserve">, we </w:t>
      </w:r>
      <w:r w:rsidR="002753CB" w:rsidRPr="00A3259A">
        <w:t>released</w:t>
      </w:r>
      <w:r w:rsidR="00CF32D0" w:rsidRPr="00A3259A">
        <w:t xml:space="preserve"> the</w:t>
      </w:r>
      <w:r w:rsidR="002753CB" w:rsidRPr="00A3259A">
        <w:t xml:space="preserve"> </w:t>
      </w:r>
      <w:hyperlink r:id="rId32" w:history="1">
        <w:r w:rsidR="00CF32D0" w:rsidRPr="00E159DF">
          <w:rPr>
            <w:rStyle w:val="Hyperlink"/>
            <w:i/>
            <w:iCs/>
          </w:rPr>
          <w:t>Review of the 1.5 GHz ban</w:t>
        </w:r>
        <w:r w:rsidR="002A0781">
          <w:rPr>
            <w:rStyle w:val="Hyperlink"/>
            <w:i/>
            <w:iCs/>
          </w:rPr>
          <w:t>d discussion paper</w:t>
        </w:r>
      </w:hyperlink>
      <w:r w:rsidR="00CF32D0" w:rsidRPr="00691682">
        <w:t xml:space="preserve"> (May 2022 paper)</w:t>
      </w:r>
      <w:r w:rsidR="002753CB" w:rsidRPr="00691682">
        <w:t xml:space="preserve">. The consultation closed on </w:t>
      </w:r>
      <w:r w:rsidR="00A3259A" w:rsidRPr="00691682">
        <w:t>10 June</w:t>
      </w:r>
      <w:r w:rsidR="002753CB" w:rsidRPr="00691682">
        <w:t xml:space="preserve"> 2022</w:t>
      </w:r>
      <w:r w:rsidR="002753CB" w:rsidRPr="00CB7CBF">
        <w:t xml:space="preserve">. We received </w:t>
      </w:r>
      <w:r w:rsidR="00232931">
        <w:t>13</w:t>
      </w:r>
      <w:r w:rsidR="002753CB" w:rsidRPr="00CB7CBF">
        <w:t xml:space="preserve"> responses. Th</w:t>
      </w:r>
      <w:r w:rsidR="00E159DF">
        <w:t>e</w:t>
      </w:r>
      <w:r w:rsidR="002753CB" w:rsidRPr="00CB7CBF">
        <w:t xml:space="preserve"> paper identified</w:t>
      </w:r>
      <w:r w:rsidR="008B5805" w:rsidRPr="00CB7CBF">
        <w:t xml:space="preserve"> growing interest in the 1.5 GHz band to provide support </w:t>
      </w:r>
      <w:r w:rsidR="003B5AED" w:rsidRPr="00CB7CBF">
        <w:t>for new services and expand operation</w:t>
      </w:r>
      <w:r w:rsidR="003B5AED">
        <w:t xml:space="preserve"> of existing services.</w:t>
      </w:r>
      <w:r w:rsidR="00982291">
        <w:t xml:space="preserve"> </w:t>
      </w:r>
      <w:r w:rsidR="00B87E1A">
        <w:t>Noting t</w:t>
      </w:r>
      <w:r w:rsidR="00B87E1A" w:rsidRPr="00F166FD">
        <w:t xml:space="preserve">he different pace of international developments for different uses in the band, </w:t>
      </w:r>
      <w:r w:rsidR="00B87E1A">
        <w:t>the ACMA proposed to progress</w:t>
      </w:r>
      <w:r w:rsidR="00B87E1A" w:rsidRPr="00F166FD">
        <w:t xml:space="preserve"> the review of arrangements for MSS in the extended MSS </w:t>
      </w:r>
      <w:r w:rsidR="00B87E1A" w:rsidRPr="0068233D">
        <w:t>L</w:t>
      </w:r>
      <w:r w:rsidR="00B87E1A" w:rsidRPr="00F8639A">
        <w:noBreakHyphen/>
      </w:r>
      <w:r w:rsidR="00B87E1A" w:rsidRPr="00F166FD">
        <w:t>band first.</w:t>
      </w:r>
      <w:r w:rsidR="00B87E1A">
        <w:t xml:space="preserve"> </w:t>
      </w:r>
      <w:r w:rsidR="00B87E1A" w:rsidRPr="00F166FD">
        <w:t>A review of terrestrial (non-satellite) services in the broader 1427</w:t>
      </w:r>
      <w:r w:rsidR="00B87E1A">
        <w:rPr>
          <w:szCs w:val="20"/>
        </w:rPr>
        <w:t>–</w:t>
      </w:r>
      <w:r w:rsidR="00B87E1A" w:rsidRPr="00F166FD">
        <w:t xml:space="preserve">1535 MHz </w:t>
      </w:r>
      <w:r w:rsidR="002A0781">
        <w:br/>
      </w:r>
      <w:r w:rsidR="00B87E1A" w:rsidRPr="00F166FD">
        <w:t xml:space="preserve">frequency range </w:t>
      </w:r>
      <w:r w:rsidR="00B87E1A">
        <w:t xml:space="preserve">will be progressed separately and </w:t>
      </w:r>
      <w:r w:rsidR="00B87E1A" w:rsidRPr="00F166FD">
        <w:t xml:space="preserve">is proposed for consideration in </w:t>
      </w:r>
      <w:r w:rsidR="002A0781">
        <w:br/>
      </w:r>
      <w:r w:rsidR="00B87E1A" w:rsidRPr="00F166FD">
        <w:t>the 2024</w:t>
      </w:r>
      <w:r w:rsidR="00B87E1A">
        <w:rPr>
          <w:szCs w:val="20"/>
        </w:rPr>
        <w:t>–</w:t>
      </w:r>
      <w:r w:rsidR="00B87E1A" w:rsidRPr="00F166FD">
        <w:t>25 financial year.</w:t>
      </w:r>
    </w:p>
    <w:p w14:paraId="4DD1F6F8" w14:textId="01F064B3" w:rsidR="00623B4C" w:rsidRPr="00BA69B3" w:rsidRDefault="002753CB" w:rsidP="002753CB">
      <w:pPr>
        <w:pStyle w:val="Paragraph"/>
      </w:pPr>
      <w:r w:rsidRPr="00BA69B3">
        <w:t xml:space="preserve">Following on from the </w:t>
      </w:r>
      <w:r w:rsidR="00A3259A" w:rsidRPr="00BA69B3">
        <w:t>May 2022</w:t>
      </w:r>
      <w:r w:rsidRPr="00BA69B3">
        <w:t xml:space="preserve"> paper, </w:t>
      </w:r>
      <w:r w:rsidR="002A0781">
        <w:t>we</w:t>
      </w:r>
      <w:r w:rsidRPr="00691682">
        <w:t xml:space="preserve"> released the </w:t>
      </w:r>
      <w:hyperlink r:id="rId33" w:history="1">
        <w:r w:rsidR="00A3259A" w:rsidRPr="008E4152">
          <w:rPr>
            <w:rStyle w:val="Hyperlink"/>
            <w:i/>
            <w:iCs/>
          </w:rPr>
          <w:t>Review of the 1.5 GHz extended MSS L-band options paper</w:t>
        </w:r>
      </w:hyperlink>
      <w:r w:rsidR="00A3259A" w:rsidRPr="00691682">
        <w:t xml:space="preserve"> (the option</w:t>
      </w:r>
      <w:r w:rsidR="00BA69B3" w:rsidRPr="00691682">
        <w:t xml:space="preserve">s </w:t>
      </w:r>
      <w:r w:rsidR="00A3259A" w:rsidRPr="00691682">
        <w:t>paper) in August 2023</w:t>
      </w:r>
      <w:r w:rsidRPr="00691682">
        <w:t xml:space="preserve">. The consultation closed on </w:t>
      </w:r>
      <w:r w:rsidR="00BA69B3" w:rsidRPr="00691682">
        <w:t>20 September</w:t>
      </w:r>
      <w:r w:rsidRPr="00691682">
        <w:t xml:space="preserve"> 2023</w:t>
      </w:r>
      <w:r w:rsidR="002A0781">
        <w:t>,</w:t>
      </w:r>
      <w:r w:rsidR="00623B4C" w:rsidRPr="00BA69B3">
        <w:t xml:space="preserve"> </w:t>
      </w:r>
      <w:r w:rsidR="00623B4C" w:rsidRPr="00D56DD7">
        <w:t xml:space="preserve">with </w:t>
      </w:r>
      <w:r w:rsidR="00C70545">
        <w:t>8</w:t>
      </w:r>
      <w:r w:rsidR="00BA69B3" w:rsidRPr="00D56DD7">
        <w:t xml:space="preserve"> </w:t>
      </w:r>
      <w:r w:rsidR="00623B4C" w:rsidRPr="00D56DD7">
        <w:t>responses received</w:t>
      </w:r>
      <w:r w:rsidR="00623B4C" w:rsidRPr="00BA69B3">
        <w:t xml:space="preserve"> from industry and interested parties.</w:t>
      </w:r>
    </w:p>
    <w:p w14:paraId="568CB1FD" w14:textId="7E53E763" w:rsidR="002753CB" w:rsidRPr="00DA2CE9" w:rsidRDefault="00623B4C" w:rsidP="002753CB">
      <w:pPr>
        <w:pStyle w:val="Paragraph"/>
      </w:pPr>
      <w:r w:rsidRPr="00DA2CE9">
        <w:t xml:space="preserve">A </w:t>
      </w:r>
      <w:r w:rsidR="008E4152">
        <w:t>‘</w:t>
      </w:r>
      <w:r w:rsidRPr="00DA2CE9">
        <w:t>reply to comment</w:t>
      </w:r>
      <w:r w:rsidR="008E4152">
        <w:t>’</w:t>
      </w:r>
      <w:r w:rsidRPr="00DA2CE9">
        <w:t xml:space="preserve"> period opened on</w:t>
      </w:r>
      <w:r w:rsidR="002753CB" w:rsidRPr="00DA2CE9">
        <w:t xml:space="preserve"> </w:t>
      </w:r>
      <w:r w:rsidR="00BA69B3" w:rsidRPr="00DA2CE9">
        <w:t>28 September</w:t>
      </w:r>
      <w:r w:rsidRPr="00DA2CE9">
        <w:t xml:space="preserve"> 2023 and closed on </w:t>
      </w:r>
      <w:r w:rsidR="00DA2CE9" w:rsidRPr="00DA2CE9">
        <w:t>25 October</w:t>
      </w:r>
      <w:r w:rsidRPr="00DA2CE9">
        <w:t xml:space="preserve"> 2023, </w:t>
      </w:r>
      <w:r w:rsidR="00950386" w:rsidRPr="00DA2CE9">
        <w:t xml:space="preserve">to </w:t>
      </w:r>
      <w:r w:rsidRPr="00DA2CE9">
        <w:t xml:space="preserve">allow </w:t>
      </w:r>
      <w:r w:rsidR="00950386" w:rsidRPr="00DA2CE9">
        <w:t xml:space="preserve">replies to </w:t>
      </w:r>
      <w:r w:rsidRPr="00DA2CE9">
        <w:t xml:space="preserve">submissions we received for the options paper. We received </w:t>
      </w:r>
      <w:r w:rsidR="002A0781">
        <w:t>one</w:t>
      </w:r>
      <w:r w:rsidRPr="00DA2CE9">
        <w:t xml:space="preserve"> </w:t>
      </w:r>
      <w:r w:rsidR="00950386" w:rsidRPr="00DA2CE9">
        <w:t>repl</w:t>
      </w:r>
      <w:r w:rsidR="00DA2CE9" w:rsidRPr="00DA2CE9">
        <w:t>y</w:t>
      </w:r>
      <w:r w:rsidRPr="00DA2CE9">
        <w:t>.</w:t>
      </w:r>
    </w:p>
    <w:p w14:paraId="61368F7B" w14:textId="73E0C24A" w:rsidR="007B0932" w:rsidRDefault="007B0932" w:rsidP="007B0932">
      <w:r w:rsidRPr="00DA2CE9">
        <w:t xml:space="preserve">The purpose of this paper </w:t>
      </w:r>
      <w:r w:rsidR="002A0781">
        <w:t>was</w:t>
      </w:r>
      <w:r w:rsidR="002A0781" w:rsidRPr="00DA2CE9">
        <w:t xml:space="preserve"> </w:t>
      </w:r>
      <w:r w:rsidRPr="00DA2CE9">
        <w:t xml:space="preserve">to </w:t>
      </w:r>
      <w:r w:rsidR="006F1308" w:rsidRPr="00DA2CE9">
        <w:t>present</w:t>
      </w:r>
      <w:r w:rsidRPr="00DA2CE9">
        <w:t xml:space="preserve"> </w:t>
      </w:r>
      <w:r w:rsidR="00DE6B4F" w:rsidRPr="00DA2CE9">
        <w:t xml:space="preserve">the ACMA’s replanning </w:t>
      </w:r>
      <w:r w:rsidR="00032EE2" w:rsidRPr="00DA2CE9">
        <w:t xml:space="preserve">outcomes for </w:t>
      </w:r>
      <w:r w:rsidR="00DE6B4F" w:rsidRPr="00DA2CE9">
        <w:t xml:space="preserve">the </w:t>
      </w:r>
      <w:r w:rsidR="00DA2CE9" w:rsidRPr="00DA2CE9">
        <w:t>extended MSS L-band</w:t>
      </w:r>
      <w:r w:rsidRPr="00DA2CE9">
        <w:t xml:space="preserve"> </w:t>
      </w:r>
      <w:r w:rsidR="00F81507" w:rsidRPr="00DA2CE9">
        <w:t>and</w:t>
      </w:r>
      <w:r w:rsidR="00EC1F1D" w:rsidRPr="00DA2CE9">
        <w:t xml:space="preserve"> </w:t>
      </w:r>
      <w:r w:rsidR="000A06F0" w:rsidRPr="00DA2CE9">
        <w:t xml:space="preserve">inform stakeholders about the future </w:t>
      </w:r>
      <w:r w:rsidR="00D8154D" w:rsidRPr="00DA2CE9">
        <w:t xml:space="preserve">use </w:t>
      </w:r>
      <w:r w:rsidR="000A06F0" w:rsidRPr="00DA2CE9">
        <w:t>of the band</w:t>
      </w:r>
      <w:r w:rsidR="006C6327" w:rsidRPr="00DA2CE9">
        <w:t>.</w:t>
      </w:r>
    </w:p>
    <w:p w14:paraId="40741D8A" w14:textId="50B9E1B2" w:rsidR="000C0D21" w:rsidRPr="00A85D75" w:rsidRDefault="000C0D21" w:rsidP="000C0D21">
      <w:pPr>
        <w:pStyle w:val="Heading2"/>
      </w:pPr>
      <w:bookmarkStart w:id="18" w:name="_Toc457809930"/>
      <w:bookmarkStart w:id="19" w:name="_Ref461109606"/>
      <w:bookmarkStart w:id="20" w:name="_Toc466017060"/>
      <w:bookmarkStart w:id="21" w:name="_Toc468438955"/>
      <w:bookmarkStart w:id="22" w:name="_Toc468705310"/>
      <w:bookmarkStart w:id="23" w:name="_Ref498078173"/>
      <w:bookmarkStart w:id="24" w:name="_Ref498436813"/>
      <w:bookmarkStart w:id="25" w:name="_Toc519765102"/>
      <w:bookmarkStart w:id="26" w:name="_Toc521585768"/>
      <w:bookmarkStart w:id="27" w:name="_Toc525132230"/>
      <w:bookmarkStart w:id="28" w:name="_Toc5000062"/>
      <w:bookmarkStart w:id="29" w:name="_Toc34727289"/>
      <w:bookmarkStart w:id="30" w:name="_Toc46316354"/>
      <w:bookmarkStart w:id="31" w:name="_Toc56965677"/>
      <w:bookmarkStart w:id="32" w:name="_Toc153793177"/>
      <w:r w:rsidRPr="00A85D75">
        <w:t>Legislative and policy environment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19DFEFD" w14:textId="60A01DAC" w:rsidR="000C0D21" w:rsidRPr="00A85D75" w:rsidRDefault="000C0D21" w:rsidP="000C0D21">
      <w:r w:rsidRPr="00A85D75">
        <w:t>Managing spectrum efficiently and effectively for the benefit of all Australians is a key priority for the ACMA.</w:t>
      </w:r>
      <w:r w:rsidRPr="00A85D75">
        <w:rPr>
          <w:vertAlign w:val="superscript"/>
        </w:rPr>
        <w:footnoteReference w:id="3"/>
      </w:r>
      <w:r w:rsidRPr="00A85D75">
        <w:t xml:space="preserve"> </w:t>
      </w:r>
    </w:p>
    <w:p w14:paraId="799F287F" w14:textId="1A421C09" w:rsidR="006B1E26" w:rsidRDefault="006B1E26" w:rsidP="006B1E26">
      <w:pPr>
        <w:pStyle w:val="Paragraphbeforelist"/>
      </w:pPr>
      <w:bookmarkStart w:id="33" w:name="_Toc56965680"/>
      <w:r>
        <w:t xml:space="preserve">The ACMA’s decisions are guided by the object of </w:t>
      </w:r>
      <w:r w:rsidRPr="00691682">
        <w:t xml:space="preserve">the </w:t>
      </w:r>
      <w:hyperlink r:id="rId34" w:history="1">
        <w:r w:rsidRPr="00990FAD">
          <w:rPr>
            <w:rStyle w:val="Hyperlink"/>
            <w:i/>
            <w:iCs/>
          </w:rPr>
          <w:t>Radiocommunications Act 1992</w:t>
        </w:r>
      </w:hyperlink>
      <w:r w:rsidRPr="00623B4C">
        <w:t xml:space="preserve"> </w:t>
      </w:r>
      <w:r w:rsidR="000D53C3">
        <w:t>(</w:t>
      </w:r>
      <w:r w:rsidR="002A0781">
        <w:t xml:space="preserve">the </w:t>
      </w:r>
      <w:r w:rsidR="000D53C3" w:rsidRPr="009178B8">
        <w:t>Act</w:t>
      </w:r>
      <w:r w:rsidR="000D53C3">
        <w:t xml:space="preserve">) </w:t>
      </w:r>
      <w:r>
        <w:t>to promote the long</w:t>
      </w:r>
      <w:r>
        <w:rPr>
          <w:rFonts w:ascii="Cambria Math" w:hAnsi="Cambria Math" w:cs="Cambria Math"/>
        </w:rPr>
        <w:noBreakHyphen/>
      </w:r>
      <w:r>
        <w:t>term public interest derived from the use of the spectrum by managing the spectrum in a manner that:</w:t>
      </w:r>
    </w:p>
    <w:p w14:paraId="69E1883F" w14:textId="77777777" w:rsidR="006B1E26" w:rsidRDefault="006B1E26" w:rsidP="009C17DC">
      <w:pPr>
        <w:pStyle w:val="ListParagraph"/>
        <w:numPr>
          <w:ilvl w:val="0"/>
          <w:numId w:val="11"/>
        </w:numPr>
        <w:spacing w:after="80"/>
        <w:ind w:right="17" w:hanging="357"/>
        <w:contextualSpacing w:val="0"/>
        <w:rPr>
          <w:rFonts w:cs="Arial"/>
          <w:szCs w:val="20"/>
        </w:rPr>
      </w:pPr>
      <w:r>
        <w:rPr>
          <w:rFonts w:cs="Arial"/>
          <w:szCs w:val="20"/>
        </w:rPr>
        <w:t xml:space="preserve">facilitates the efficient planning, allocation and use of the </w:t>
      </w:r>
      <w:proofErr w:type="gramStart"/>
      <w:r>
        <w:rPr>
          <w:rFonts w:cs="Arial"/>
          <w:szCs w:val="20"/>
        </w:rPr>
        <w:t>spectrum</w:t>
      </w:r>
      <w:proofErr w:type="gramEnd"/>
    </w:p>
    <w:p w14:paraId="0C34B953" w14:textId="77777777" w:rsidR="006B1E26" w:rsidRDefault="006B1E26" w:rsidP="009C17DC">
      <w:pPr>
        <w:pStyle w:val="ListParagraph"/>
        <w:numPr>
          <w:ilvl w:val="0"/>
          <w:numId w:val="11"/>
        </w:numPr>
        <w:spacing w:after="80"/>
        <w:ind w:right="17" w:hanging="357"/>
        <w:contextualSpacing w:val="0"/>
        <w:rPr>
          <w:rFonts w:cs="Arial"/>
          <w:szCs w:val="20"/>
        </w:rPr>
      </w:pPr>
      <w:r>
        <w:rPr>
          <w:rFonts w:cs="Arial"/>
          <w:szCs w:val="20"/>
        </w:rPr>
        <w:t>facilitates the use of the spectrum for:</w:t>
      </w:r>
    </w:p>
    <w:p w14:paraId="5DB64FDC" w14:textId="77777777" w:rsidR="006B1E26" w:rsidRDefault="006B1E26" w:rsidP="009C17DC">
      <w:pPr>
        <w:pStyle w:val="ListParagraph"/>
        <w:numPr>
          <w:ilvl w:val="1"/>
          <w:numId w:val="12"/>
        </w:numPr>
        <w:spacing w:after="80"/>
        <w:ind w:left="709" w:right="17" w:hanging="357"/>
        <w:contextualSpacing w:val="0"/>
        <w:rPr>
          <w:rFonts w:cs="Arial"/>
          <w:szCs w:val="20"/>
        </w:rPr>
      </w:pPr>
      <w:r>
        <w:rPr>
          <w:rFonts w:cs="Arial"/>
          <w:szCs w:val="20"/>
        </w:rPr>
        <w:t>commercial purposes</w:t>
      </w:r>
    </w:p>
    <w:p w14:paraId="3622994B" w14:textId="77777777" w:rsidR="006B1E26" w:rsidRDefault="006B1E26" w:rsidP="009C17DC">
      <w:pPr>
        <w:pStyle w:val="ListParagraph"/>
        <w:numPr>
          <w:ilvl w:val="1"/>
          <w:numId w:val="12"/>
        </w:numPr>
        <w:spacing w:after="80"/>
        <w:ind w:left="709" w:right="17" w:hanging="357"/>
        <w:contextualSpacing w:val="0"/>
        <w:rPr>
          <w:rFonts w:cs="Arial"/>
          <w:szCs w:val="20"/>
        </w:rPr>
      </w:pPr>
      <w:r>
        <w:rPr>
          <w:rFonts w:cs="Arial"/>
          <w:szCs w:val="20"/>
        </w:rPr>
        <w:t>defence, national security and other non</w:t>
      </w:r>
      <w:r>
        <w:rPr>
          <w:rFonts w:ascii="Cambria Math" w:hAnsi="Cambria Math" w:cs="Cambria Math"/>
          <w:szCs w:val="20"/>
        </w:rPr>
        <w:noBreakHyphen/>
      </w:r>
      <w:r>
        <w:rPr>
          <w:rFonts w:cs="Arial"/>
          <w:szCs w:val="20"/>
        </w:rPr>
        <w:t>commercial purposes (including public safety and community purposes)</w:t>
      </w:r>
    </w:p>
    <w:p w14:paraId="09DCAA0B" w14:textId="27776F6C" w:rsidR="00032368" w:rsidRDefault="006B1E26" w:rsidP="00032368">
      <w:pPr>
        <w:pStyle w:val="ListParagraph"/>
        <w:numPr>
          <w:ilvl w:val="0"/>
          <w:numId w:val="11"/>
        </w:numPr>
        <w:spacing w:line="276" w:lineRule="auto"/>
        <w:ind w:right="16"/>
        <w:rPr>
          <w:rFonts w:cs="Arial"/>
          <w:szCs w:val="20"/>
        </w:rPr>
      </w:pPr>
      <w:r>
        <w:rPr>
          <w:rFonts w:cs="Arial"/>
          <w:szCs w:val="20"/>
        </w:rPr>
        <w:t>supports the communications policy objectives of the Australian Government.</w:t>
      </w:r>
    </w:p>
    <w:p w14:paraId="709B0E3C" w14:textId="77777777" w:rsidR="000B5A6D" w:rsidRPr="00FF19DF" w:rsidRDefault="000B5A6D" w:rsidP="000B5A6D">
      <w:pPr>
        <w:pStyle w:val="ListBullet"/>
        <w:numPr>
          <w:ilvl w:val="0"/>
          <w:numId w:val="0"/>
        </w:numPr>
        <w:tabs>
          <w:tab w:val="left" w:pos="720"/>
        </w:tabs>
        <w:spacing w:before="240" w:after="240"/>
        <w:ind w:right="16"/>
      </w:pPr>
      <w:r w:rsidRPr="00FF19DF">
        <w:t xml:space="preserve">Communications policy initiatives relevant to the replanning considerations in this band have been identified. </w:t>
      </w:r>
    </w:p>
    <w:p w14:paraId="077E0EC2" w14:textId="4A331EAE" w:rsidR="000B5A6D" w:rsidRPr="0024608D" w:rsidRDefault="000B5A6D" w:rsidP="000B5A6D">
      <w:pPr>
        <w:pStyle w:val="Paragraph"/>
        <w:spacing w:after="120"/>
      </w:pPr>
      <w:r w:rsidRPr="0024608D">
        <w:t>Our work plan aims to support government communications and media objectives</w:t>
      </w:r>
      <w:r>
        <w:t>,</w:t>
      </w:r>
      <w:r w:rsidRPr="0024608D">
        <w:t xml:space="preserve"> </w:t>
      </w:r>
      <w:r w:rsidR="002A0781">
        <w:br/>
      </w:r>
      <w:r w:rsidRPr="0024608D">
        <w:t>and</w:t>
      </w:r>
      <w:r>
        <w:t xml:space="preserve"> the following</w:t>
      </w:r>
      <w:r w:rsidRPr="0024608D">
        <w:t xml:space="preserve"> priorities outlined in the December 2022 </w:t>
      </w:r>
      <w:hyperlink r:id="rId35" w:history="1">
        <w:r w:rsidRPr="0024608D">
          <w:rPr>
            <w:rStyle w:val="Hyperlink"/>
          </w:rPr>
          <w:t>Ministerial Statement of Expectations</w:t>
        </w:r>
      </w:hyperlink>
      <w:r w:rsidRPr="0024608D">
        <w:t xml:space="preserve">: </w:t>
      </w:r>
    </w:p>
    <w:p w14:paraId="0A08DECE" w14:textId="77777777" w:rsidR="000B5A6D" w:rsidRDefault="000B5A6D" w:rsidP="003144E0">
      <w:pPr>
        <w:pStyle w:val="ListBullet"/>
      </w:pPr>
      <w:r>
        <w:t xml:space="preserve">promoting the long-term public interest derived from spectrum, including the benefits of technological developments that improve spectrum utilisation and </w:t>
      </w:r>
      <w:proofErr w:type="gramStart"/>
      <w:r>
        <w:t>efficiency</w:t>
      </w:r>
      <w:proofErr w:type="gramEnd"/>
      <w:r>
        <w:t xml:space="preserve"> </w:t>
      </w:r>
    </w:p>
    <w:p w14:paraId="11582C67" w14:textId="77777777" w:rsidR="000B5A6D" w:rsidRDefault="000B5A6D" w:rsidP="003144E0">
      <w:pPr>
        <w:pStyle w:val="ListBullet"/>
      </w:pPr>
      <w:r>
        <w:t xml:space="preserve">supporting government policies related to regional, rural and remote Australia including by having regard to relevant ministerial policy statements in the planning and allocation of spectrum to support innovation and competition in these </w:t>
      </w:r>
      <w:proofErr w:type="gramStart"/>
      <w:r>
        <w:t>areas</w:t>
      </w:r>
      <w:proofErr w:type="gramEnd"/>
    </w:p>
    <w:p w14:paraId="7EAC1B4B" w14:textId="77777777" w:rsidR="000B5A6D" w:rsidRDefault="000B5A6D" w:rsidP="003144E0">
      <w:pPr>
        <w:pStyle w:val="ListBulletLast"/>
      </w:pPr>
      <w:r>
        <w:t xml:space="preserve">promoting investment, innovation and the adoption of new and emerging </w:t>
      </w:r>
      <w:r w:rsidRPr="00832413">
        <w:t>technologies</w:t>
      </w:r>
      <w:r>
        <w:t>, while continuing to safeguard the interests of consumers and small businesses.</w:t>
      </w:r>
    </w:p>
    <w:p w14:paraId="2BA00F13" w14:textId="77777777" w:rsidR="000B5A6D" w:rsidRDefault="000B5A6D" w:rsidP="000B5A6D">
      <w:pPr>
        <w:pStyle w:val="Paragraph"/>
        <w:spacing w:after="120"/>
      </w:pPr>
      <w:r>
        <w:t>We are committed to</w:t>
      </w:r>
      <w:r w:rsidRPr="0022117D">
        <w:t xml:space="preserve"> </w:t>
      </w:r>
      <w:r w:rsidRPr="002539C0">
        <w:t xml:space="preserve">meeting </w:t>
      </w:r>
      <w:r>
        <w:t>our</w:t>
      </w:r>
      <w:r w:rsidRPr="002539C0">
        <w:t xml:space="preserve"> objectives in the context of the</w:t>
      </w:r>
      <w:r>
        <w:t xml:space="preserve"> g</w:t>
      </w:r>
      <w:r w:rsidRPr="002539C0">
        <w:t>overnment’s broader media and communications policy framework</w:t>
      </w:r>
      <w:r>
        <w:t xml:space="preserve">. In our </w:t>
      </w:r>
      <w:hyperlink r:id="rId36" w:history="1">
        <w:r w:rsidRPr="00990FAD">
          <w:rPr>
            <w:rStyle w:val="Hyperlink"/>
            <w:i/>
            <w:iCs/>
          </w:rPr>
          <w:t>Statement of Intent</w:t>
        </w:r>
      </w:hyperlink>
      <w:r>
        <w:t xml:space="preserve">, we </w:t>
      </w:r>
      <w:r w:rsidRPr="007D2BC9">
        <w:t>respond</w:t>
      </w:r>
      <w:r>
        <w:t xml:space="preserve">ed </w:t>
      </w:r>
      <w:r w:rsidRPr="007D2BC9">
        <w:t xml:space="preserve">to the </w:t>
      </w:r>
      <w:r>
        <w:t>g</w:t>
      </w:r>
      <w:r w:rsidRPr="007D2BC9">
        <w:t>overnment’s Statement of Expectations for the ACMA.</w:t>
      </w:r>
      <w:r>
        <w:t xml:space="preserve"> </w:t>
      </w:r>
    </w:p>
    <w:p w14:paraId="366F0513" w14:textId="77777777" w:rsidR="000B5A6D" w:rsidRPr="001A4D8C" w:rsidRDefault="000B5A6D" w:rsidP="000B5A6D">
      <w:pPr>
        <w:pStyle w:val="Heading4"/>
      </w:pPr>
      <w:r>
        <w:t>Universal service obligation</w:t>
      </w:r>
    </w:p>
    <w:p w14:paraId="5C227414" w14:textId="06B4654D" w:rsidR="000B5A6D" w:rsidRDefault="000B5A6D" w:rsidP="000B5A6D">
      <w:pPr>
        <w:pStyle w:val="Paragraph"/>
      </w:pPr>
      <w:r>
        <w:t>Part 2 of the</w:t>
      </w:r>
      <w:r w:rsidRPr="00691682">
        <w:t xml:space="preserve"> </w:t>
      </w:r>
      <w:hyperlink r:id="rId37" w:history="1">
        <w:r w:rsidRPr="00990FAD">
          <w:rPr>
            <w:rStyle w:val="Hyperlink"/>
            <w:i/>
            <w:iCs/>
          </w:rPr>
          <w:t>Telecommunications (Consumer Protection and Service Standards) Act 1999</w:t>
        </w:r>
      </w:hyperlink>
      <w:r w:rsidRPr="00691682">
        <w:t xml:space="preserve"> establishes</w:t>
      </w:r>
      <w:r>
        <w:t xml:space="preserve"> the universal service obligation (USO) to provide people in Australia with access to standard telephone services on reasonable request, as well as reasonable access to payphone services. The USO is delivered by Telstra. The statutory obligation is reinforced with a contract between the Commonwealth and Telstra that runs to 30 June 2032. The USO is a well-established and long-standing part of Australian telecommunications.</w:t>
      </w:r>
    </w:p>
    <w:p w14:paraId="30CC1CBA" w14:textId="2F93833D" w:rsidR="000B5A6D" w:rsidRDefault="000B5A6D" w:rsidP="000B5A6D">
      <w:pPr>
        <w:pStyle w:val="Paragraph"/>
      </w:pPr>
      <w:r>
        <w:t>Within the NBN fixed-line footprint, Telstra generally uses the NBN to provide voice services. Outside this footprint (generally in rural and remote Australia), Telstra continues to use its own existing infrastructure to meet its statutory and contractual USO obligations. Telstra provides most voice services in these areas over its copper network</w:t>
      </w:r>
      <w:r w:rsidR="0066302A">
        <w:t>. H</w:t>
      </w:r>
      <w:r>
        <w:t>owever, it also delivers just over 10,000 USO services</w:t>
      </w:r>
      <w:r w:rsidR="0066302A">
        <w:t>,</w:t>
      </w:r>
      <w:r>
        <w:rPr>
          <w:rStyle w:val="FootnoteReference"/>
        </w:rPr>
        <w:footnoteReference w:id="4"/>
      </w:r>
      <w:r>
        <w:t xml:space="preserve"> including some payphones, through fixed wireless over its High-Capacity Radio Concentrator (HCRC) system, including use of spectrum in the 1.5 GHz band. </w:t>
      </w:r>
    </w:p>
    <w:p w14:paraId="45970E1B" w14:textId="73075AD1" w:rsidR="00032368" w:rsidRPr="001A4D8C" w:rsidRDefault="00032368" w:rsidP="00032368">
      <w:pPr>
        <w:pStyle w:val="Heading3"/>
      </w:pPr>
      <w:bookmarkStart w:id="34" w:name="_Toc153793178"/>
      <w:r>
        <w:t>Regional connectivity and satellite communications</w:t>
      </w:r>
      <w:bookmarkEnd w:id="34"/>
    </w:p>
    <w:p w14:paraId="0B4E36F7" w14:textId="1E349A1D" w:rsidR="00032368" w:rsidRPr="004D27C3" w:rsidRDefault="00032368" w:rsidP="00032368">
      <w:pPr>
        <w:pStyle w:val="Paragraphbeforelist"/>
      </w:pPr>
      <w:r>
        <w:t xml:space="preserve">The government has established the </w:t>
      </w:r>
      <w:r w:rsidRPr="00D25832">
        <w:t>Low Earth Orbit Satellite Working Grou</w:t>
      </w:r>
      <w:r>
        <w:t xml:space="preserve">p </w:t>
      </w:r>
      <w:r w:rsidRPr="004D27C3">
        <w:t xml:space="preserve">to examine the future role of satellite technology in delivering telecommunications services. </w:t>
      </w:r>
      <w:r>
        <w:t xml:space="preserve">We are a participant of the Working Group alongside the Department </w:t>
      </w:r>
      <w:r w:rsidR="005033A1">
        <w:t xml:space="preserve">of Infrastructure, Transport, Regional Development, Communications and the Arts (the Department) </w:t>
      </w:r>
      <w:r>
        <w:t xml:space="preserve">and other </w:t>
      </w:r>
      <w:r w:rsidRPr="00BA0666">
        <w:t>communications industry participants</w:t>
      </w:r>
      <w:r>
        <w:t>. The group met for the first time in February 2023 and identified 4</w:t>
      </w:r>
      <w:r w:rsidRPr="004D27C3">
        <w:t xml:space="preserve"> key issues </w:t>
      </w:r>
      <w:r>
        <w:t>for</w:t>
      </w:r>
      <w:r w:rsidRPr="004D27C3">
        <w:t xml:space="preserve"> future consideration:</w:t>
      </w:r>
    </w:p>
    <w:p w14:paraId="529F5ECC" w14:textId="77777777" w:rsidR="00032368" w:rsidRPr="004D27C3" w:rsidRDefault="00032368" w:rsidP="003144E0">
      <w:pPr>
        <w:pStyle w:val="ListBullet"/>
      </w:pPr>
      <w:r>
        <w:t>h</w:t>
      </w:r>
      <w:r w:rsidRPr="004D27C3">
        <w:t>ow satellites can help close the digital inclusion gap, particularly in relation to First</w:t>
      </w:r>
      <w:r>
        <w:t> </w:t>
      </w:r>
      <w:r w:rsidRPr="004D27C3">
        <w:t xml:space="preserve">Nations peoples </w:t>
      </w:r>
      <w:r>
        <w:t>(</w:t>
      </w:r>
      <w:r w:rsidRPr="004D27C3">
        <w:t>consistent with Closing the Gap Target 17</w:t>
      </w:r>
      <w:r>
        <w:t>)</w:t>
      </w:r>
    </w:p>
    <w:p w14:paraId="4704935F" w14:textId="77777777" w:rsidR="00032368" w:rsidRPr="004D27C3" w:rsidRDefault="00032368" w:rsidP="003144E0">
      <w:pPr>
        <w:pStyle w:val="ListBullet"/>
      </w:pPr>
      <w:r>
        <w:t xml:space="preserve">how </w:t>
      </w:r>
      <w:r w:rsidRPr="004D27C3">
        <w:t xml:space="preserve">satellites </w:t>
      </w:r>
      <w:r>
        <w:t>can</w:t>
      </w:r>
      <w:r w:rsidRPr="004D27C3">
        <w:t xml:space="preserve"> support greater resilience and redundancy in emergency circumstances</w:t>
      </w:r>
    </w:p>
    <w:p w14:paraId="1596867F" w14:textId="77777777" w:rsidR="00032368" w:rsidRPr="004D27C3" w:rsidRDefault="00032368" w:rsidP="003144E0">
      <w:pPr>
        <w:pStyle w:val="ListBullet"/>
      </w:pPr>
      <w:r w:rsidRPr="004D27C3">
        <w:t>us</w:t>
      </w:r>
      <w:r>
        <w:t>ing</w:t>
      </w:r>
      <w:r w:rsidRPr="004D27C3">
        <w:t xml:space="preserve"> satellites to deliver universal telecommunications </w:t>
      </w:r>
      <w:proofErr w:type="gramStart"/>
      <w:r w:rsidRPr="004D27C3">
        <w:t>services</w:t>
      </w:r>
      <w:proofErr w:type="gramEnd"/>
    </w:p>
    <w:p w14:paraId="4AB26797" w14:textId="77777777" w:rsidR="00032368" w:rsidRPr="004D27C3" w:rsidRDefault="00032368" w:rsidP="003144E0">
      <w:pPr>
        <w:pStyle w:val="ListBulletLast"/>
      </w:pPr>
      <w:r>
        <w:t>t</w:t>
      </w:r>
      <w:r w:rsidRPr="004D27C3">
        <w:t xml:space="preserve">he economic </w:t>
      </w:r>
      <w:r w:rsidRPr="00832413">
        <w:t>benefit</w:t>
      </w:r>
      <w:r w:rsidRPr="004D27C3">
        <w:t xml:space="preserve"> that could come from greater </w:t>
      </w:r>
      <w:r>
        <w:t>low earth orbit (</w:t>
      </w:r>
      <w:r w:rsidRPr="004D27C3">
        <w:t>LEO</w:t>
      </w:r>
      <w:r>
        <w:t>) s</w:t>
      </w:r>
      <w:r w:rsidRPr="004D27C3">
        <w:t>at</w:t>
      </w:r>
      <w:r>
        <w:t>ellite</w:t>
      </w:r>
      <w:r w:rsidRPr="004D27C3">
        <w:t xml:space="preserve"> use, including by facilitating the</w:t>
      </w:r>
      <w:r>
        <w:t xml:space="preserve"> Internet of Things</w:t>
      </w:r>
      <w:r w:rsidRPr="004D27C3">
        <w:t xml:space="preserve"> </w:t>
      </w:r>
      <w:r>
        <w:t>(IoT)</w:t>
      </w:r>
      <w:r w:rsidRPr="004D27C3">
        <w:t>.</w:t>
      </w:r>
      <w:r>
        <w:rPr>
          <w:rStyle w:val="FootnoteReference"/>
        </w:rPr>
        <w:footnoteReference w:id="5"/>
      </w:r>
    </w:p>
    <w:p w14:paraId="393CE133" w14:textId="4461CDF0" w:rsidR="00032368" w:rsidRPr="00513A0D" w:rsidRDefault="00032368" w:rsidP="00032368">
      <w:pPr>
        <w:pStyle w:val="ListBullet"/>
        <w:numPr>
          <w:ilvl w:val="0"/>
          <w:numId w:val="0"/>
        </w:numPr>
        <w:tabs>
          <w:tab w:val="left" w:pos="720"/>
        </w:tabs>
        <w:spacing w:after="240"/>
        <w:ind w:right="16"/>
        <w:rPr>
          <w:highlight w:val="yellow"/>
        </w:rPr>
      </w:pPr>
      <w:r w:rsidRPr="004D27C3">
        <w:t xml:space="preserve">The </w:t>
      </w:r>
      <w:r>
        <w:t>g</w:t>
      </w:r>
      <w:r w:rsidRPr="004D27C3">
        <w:t xml:space="preserve">roup </w:t>
      </w:r>
      <w:r w:rsidR="00A34428">
        <w:t xml:space="preserve">has since discussed these issues and </w:t>
      </w:r>
      <w:r w:rsidRPr="004D27C3">
        <w:t xml:space="preserve">will continue </w:t>
      </w:r>
      <w:r>
        <w:t xml:space="preserve">to </w:t>
      </w:r>
      <w:r w:rsidRPr="004D27C3">
        <w:t xml:space="preserve">meet to provide advice </w:t>
      </w:r>
      <w:r w:rsidRPr="00D20E4C">
        <w:t xml:space="preserve">and feedback </w:t>
      </w:r>
      <w:r>
        <w:t xml:space="preserve">to the government </w:t>
      </w:r>
      <w:r w:rsidRPr="00D20E4C">
        <w:t>on possible regulatory reforms to support the industry.</w:t>
      </w:r>
    </w:p>
    <w:p w14:paraId="7A09CC4F" w14:textId="77777777" w:rsidR="000C0D21" w:rsidRPr="00A85D75" w:rsidRDefault="000C0D21" w:rsidP="007F36D5">
      <w:pPr>
        <w:pStyle w:val="Heading2"/>
      </w:pPr>
      <w:bookmarkStart w:id="35" w:name="_Toc153793179"/>
      <w:r w:rsidRPr="00A85D75">
        <w:t>Licensing arrangements</w:t>
      </w:r>
      <w:bookmarkEnd w:id="33"/>
      <w:bookmarkEnd w:id="35"/>
    </w:p>
    <w:p w14:paraId="64EFDCF2" w14:textId="24399115" w:rsidR="000C0D21" w:rsidRPr="00A85D75" w:rsidRDefault="000C0D21" w:rsidP="000C0D21">
      <w:r w:rsidRPr="00A85D75">
        <w:t xml:space="preserve">There are </w:t>
      </w:r>
      <w:r w:rsidR="00E97D40">
        <w:t>3</w:t>
      </w:r>
      <w:r w:rsidR="00E97D40" w:rsidRPr="00A85D75">
        <w:t xml:space="preserve"> </w:t>
      </w:r>
      <w:r w:rsidRPr="00A85D75">
        <w:t xml:space="preserve">licensing approaches available to </w:t>
      </w:r>
      <w:r w:rsidR="0066302A">
        <w:t>us</w:t>
      </w:r>
      <w:r w:rsidRPr="00A85D75">
        <w:t xml:space="preserve"> for authorising access to spectrum</w:t>
      </w:r>
      <w:r w:rsidR="0066302A">
        <w:t xml:space="preserve"> –</w:t>
      </w:r>
      <w:r w:rsidRPr="00A85D75">
        <w:t xml:space="preserve"> spectrum, apparatus and class licences. These approaches influence how spectrum replanning options can be developed and implemented. </w:t>
      </w:r>
    </w:p>
    <w:p w14:paraId="60FC1FA1" w14:textId="717E3C6B" w:rsidR="000C0D21" w:rsidRPr="00A85D75" w:rsidRDefault="000C0D21" w:rsidP="000C0D21">
      <w:r w:rsidRPr="00A85D75">
        <w:t xml:space="preserve">A spectrum licence authorises the operation of devices within a defined frequency range and geographic area, with a high degree of exclusivity. The geographic area can vary in size and can comprise the entire country. Spectrum licences are usually allocated by an auction and have </w:t>
      </w:r>
      <w:r w:rsidR="00EB73CA" w:rsidRPr="00A85D75">
        <w:t>typically</w:t>
      </w:r>
      <w:r w:rsidRPr="00A85D75">
        <w:t xml:space="preserve"> been utilised </w:t>
      </w:r>
      <w:r w:rsidR="00EB73CA" w:rsidRPr="00A85D75">
        <w:t xml:space="preserve">in </w:t>
      </w:r>
      <w:r w:rsidRPr="00A85D75">
        <w:t xml:space="preserve">bands used to deploy </w:t>
      </w:r>
      <w:r w:rsidRPr="00885DA7">
        <w:t>commercial mobile broadband networks</w:t>
      </w:r>
      <w:r w:rsidR="00EB73CA" w:rsidRPr="00885DA7">
        <w:t>.</w:t>
      </w:r>
      <w:r w:rsidRPr="00885DA7">
        <w:t xml:space="preserve"> Spectrum licences may be allocated for up to </w:t>
      </w:r>
      <w:r w:rsidR="00885DA7" w:rsidRPr="00885DA7">
        <w:t>20</w:t>
      </w:r>
      <w:r w:rsidRPr="00885DA7">
        <w:t xml:space="preserve"> years.</w:t>
      </w:r>
    </w:p>
    <w:p w14:paraId="633B7A7B" w14:textId="6051694F" w:rsidR="000C0D21" w:rsidRPr="00A85D75" w:rsidRDefault="000C0D21" w:rsidP="000C0D21">
      <w:r w:rsidRPr="00A85D75">
        <w:t>An inherent feature of spectrum licensing is technological flexibility</w:t>
      </w:r>
      <w:r w:rsidR="00E97D40">
        <w:t xml:space="preserve"> – </w:t>
      </w:r>
      <w:r w:rsidRPr="00A85D75">
        <w:t>that is, the licence conditions and associated technical framework, while usually optimised for an expected technology, specify generic technical conditions</w:t>
      </w:r>
      <w:r w:rsidRPr="00A85D75">
        <w:rPr>
          <w:vertAlign w:val="superscript"/>
        </w:rPr>
        <w:footnoteReference w:id="6"/>
      </w:r>
      <w:r w:rsidRPr="00A85D75">
        <w:t xml:space="preserve"> and </w:t>
      </w:r>
      <w:r w:rsidR="00950386">
        <w:t xml:space="preserve">generally </w:t>
      </w:r>
      <w:r w:rsidRPr="00A85D75">
        <w:t xml:space="preserve">do not expressly mandate or limit specific technologies or services. This allows a licensee to deploy any technology that complies with the conditions of the licence. It is up to the licensee to manage interference between their devices (note that the adoption of international standards within the technical framework mitigates the potential for interference between devices). Spectrum licences are more conducive to secondary trading than apparatus licences, due to design features such as </w:t>
      </w:r>
      <w:r w:rsidRPr="00A85D75" w:rsidDel="00950386">
        <w:t xml:space="preserve">their </w:t>
      </w:r>
      <w:r w:rsidRPr="00A85D75">
        <w:t>ability to be sub-divided.</w:t>
      </w:r>
    </w:p>
    <w:p w14:paraId="7BD6AF93" w14:textId="585EC9C2" w:rsidR="000C0D21" w:rsidRPr="00A85D75" w:rsidRDefault="000C0D21" w:rsidP="000C0D21">
      <w:pPr>
        <w:pStyle w:val="Paragraph"/>
      </w:pPr>
      <w:r w:rsidRPr="00A85D75">
        <w:t>An apparatus licence</w:t>
      </w:r>
      <w:r w:rsidR="00950386">
        <w:t xml:space="preserve"> generally</w:t>
      </w:r>
      <w:r w:rsidRPr="00A85D75">
        <w:t xml:space="preserve"> authorises the use of a radiocommunications device (or group of devices) operating under a specific radiocommunications service type, in a specific </w:t>
      </w:r>
      <w:r w:rsidRPr="007D2D1C">
        <w:t xml:space="preserve">frequency range, and traditionally at </w:t>
      </w:r>
      <w:r w:rsidR="0066302A">
        <w:t>one</w:t>
      </w:r>
      <w:r w:rsidR="0066302A" w:rsidRPr="007D2D1C">
        <w:t xml:space="preserve"> </w:t>
      </w:r>
      <w:r w:rsidRPr="007D2D1C">
        <w:t>or more specific geographic locations</w:t>
      </w:r>
      <w:r w:rsidRPr="007D2D1C">
        <w:rPr>
          <w:szCs w:val="20"/>
        </w:rPr>
        <w:t xml:space="preserve"> </w:t>
      </w:r>
      <w:r w:rsidRPr="007D2D1C">
        <w:t xml:space="preserve">for a period of up to </w:t>
      </w:r>
      <w:r w:rsidR="007D2D1C" w:rsidRPr="007D2D1C">
        <w:t>20</w:t>
      </w:r>
      <w:r w:rsidR="00E97D40" w:rsidRPr="007D2D1C">
        <w:t xml:space="preserve"> </w:t>
      </w:r>
      <w:r w:rsidRPr="007D2D1C">
        <w:t xml:space="preserve">years. </w:t>
      </w:r>
      <w:r w:rsidR="00935743">
        <w:t>Apparatus licences</w:t>
      </w:r>
      <w:r w:rsidRPr="00A85D75">
        <w:t xml:space="preserve"> are typically issued</w:t>
      </w:r>
      <w:r w:rsidR="00935743">
        <w:t xml:space="preserve"> by the ACMA</w:t>
      </w:r>
      <w:r w:rsidRPr="00A85D75">
        <w:t xml:space="preserve"> ‘over</w:t>
      </w:r>
      <w:r w:rsidR="00024C51">
        <w:t xml:space="preserve"> </w:t>
      </w:r>
      <w:r w:rsidRPr="00A85D75">
        <w:t>the</w:t>
      </w:r>
      <w:r w:rsidR="00024C51">
        <w:t xml:space="preserve"> </w:t>
      </w:r>
      <w:r w:rsidRPr="00A85D75">
        <w:t>counter’</w:t>
      </w:r>
      <w:r w:rsidR="00935743">
        <w:t xml:space="preserve">, consistent with </w:t>
      </w:r>
      <w:r w:rsidR="0066302A">
        <w:t xml:space="preserve">our published </w:t>
      </w:r>
      <w:r w:rsidR="00935743">
        <w:t xml:space="preserve">administrative policy (e.g., </w:t>
      </w:r>
      <w:r w:rsidR="005033A1">
        <w:t xml:space="preserve">Radiocommunications Assignment and Licensing Instructions – </w:t>
      </w:r>
      <w:r w:rsidR="00935743">
        <w:t>RALIs)</w:t>
      </w:r>
      <w:r w:rsidRPr="00A85D75">
        <w:t xml:space="preserve">. </w:t>
      </w:r>
      <w:hyperlink r:id="rId38" w:history="1">
        <w:r w:rsidR="00950386" w:rsidRPr="00370DAF">
          <w:rPr>
            <w:rStyle w:val="Hyperlink"/>
          </w:rPr>
          <w:t>Taxes and cost recovery charges</w:t>
        </w:r>
      </w:hyperlink>
      <w:r w:rsidR="00950386" w:rsidRPr="00A85D75">
        <w:t xml:space="preserve"> </w:t>
      </w:r>
      <w:r w:rsidR="0066302A">
        <w:t xml:space="preserve">apply in relation to </w:t>
      </w:r>
      <w:r w:rsidR="00950386" w:rsidRPr="00A85D75">
        <w:t xml:space="preserve">apparatus licences, which cover our costs and </w:t>
      </w:r>
      <w:r w:rsidR="00950386">
        <w:t>incentivise licensees</w:t>
      </w:r>
      <w:r w:rsidR="00950386" w:rsidRPr="00A85D75">
        <w:t xml:space="preserve"> to use spectrum efficiently</w:t>
      </w:r>
      <w:r w:rsidR="004604C0">
        <w:t>.</w:t>
      </w:r>
    </w:p>
    <w:p w14:paraId="761A9402" w14:textId="6DC45238" w:rsidR="000C0D21" w:rsidRPr="00A85D75" w:rsidRDefault="0066302A" w:rsidP="000C0D21">
      <w:r>
        <w:t>We</w:t>
      </w:r>
      <w:r w:rsidR="007B5BEB">
        <w:t xml:space="preserve"> also</w:t>
      </w:r>
      <w:r w:rsidR="000C0D21" w:rsidRPr="00A85D75">
        <w:t xml:space="preserve"> created the </w:t>
      </w:r>
      <w:hyperlink r:id="rId39">
        <w:r w:rsidR="000C0D21" w:rsidRPr="00A85D75">
          <w:rPr>
            <w:rStyle w:val="Hyperlink"/>
          </w:rPr>
          <w:t>area-wide licence</w:t>
        </w:r>
      </w:hyperlink>
      <w:r w:rsidR="00950386" w:rsidRPr="00990FAD">
        <w:rPr>
          <w:rStyle w:val="FootnoteReference"/>
        </w:rPr>
        <w:footnoteReference w:id="7"/>
      </w:r>
      <w:r w:rsidR="000C0D21" w:rsidRPr="00A85D75">
        <w:t xml:space="preserve">. This authorises the operation of </w:t>
      </w:r>
      <w:r>
        <w:t>one</w:t>
      </w:r>
      <w:r w:rsidRPr="00A85D75">
        <w:t xml:space="preserve"> </w:t>
      </w:r>
      <w:r w:rsidR="000C0D21" w:rsidRPr="00A85D75">
        <w:t xml:space="preserve">or more radiocommunications </w:t>
      </w:r>
      <w:r w:rsidR="00950386">
        <w:t>transmitters</w:t>
      </w:r>
      <w:r w:rsidR="000C0D21" w:rsidRPr="00A85D75">
        <w:t xml:space="preserve"> within a defined geographic area within frequencies specified in the licence</w:t>
      </w:r>
      <w:r>
        <w:t xml:space="preserve">. This is </w:t>
      </w:r>
      <w:r w:rsidR="000C0D21" w:rsidRPr="00A85D75">
        <w:t xml:space="preserve">subject to the conditions included </w:t>
      </w:r>
      <w:r w:rsidR="00063C64">
        <w:t>i</w:t>
      </w:r>
      <w:r w:rsidR="000C0D21" w:rsidRPr="00A85D75">
        <w:t>n the issued licence</w:t>
      </w:r>
      <w:r w:rsidR="00950386">
        <w:t xml:space="preserve"> and in any applicable licence condition determination</w:t>
      </w:r>
      <w:r w:rsidR="000C0D21" w:rsidRPr="00A85D75">
        <w:t>. The licence type is</w:t>
      </w:r>
      <w:r w:rsidR="000C0D21" w:rsidRPr="00A85D75" w:rsidDel="00950386">
        <w:t xml:space="preserve"> </w:t>
      </w:r>
      <w:r w:rsidR="000C0D21" w:rsidRPr="00A85D75">
        <w:t>scalable, enabling its use for authorising different</w:t>
      </w:r>
      <w:r w:rsidR="00E97D40">
        <w:t xml:space="preserve"> </w:t>
      </w:r>
      <w:r w:rsidR="000C0D21" w:rsidRPr="00A85D75">
        <w:t xml:space="preserve">sized geographic areas and bandwidths. Unlike </w:t>
      </w:r>
      <w:r w:rsidR="00950386">
        <w:t>other transmitter</w:t>
      </w:r>
      <w:r w:rsidR="000C0D21" w:rsidRPr="00A85D75">
        <w:t xml:space="preserve"> licence types</w:t>
      </w:r>
      <w:r w:rsidR="00E97D40">
        <w:t xml:space="preserve"> – </w:t>
      </w:r>
      <w:r w:rsidR="000C0D21" w:rsidRPr="00A85D75">
        <w:t>which typically align with specific uses and purposes</w:t>
      </w:r>
      <w:r w:rsidR="00E97D40">
        <w:t xml:space="preserve"> </w:t>
      </w:r>
      <w:r w:rsidR="00C369D6">
        <w:t>–</w:t>
      </w:r>
      <w:r w:rsidR="00E97D40">
        <w:t xml:space="preserve"> </w:t>
      </w:r>
      <w:r w:rsidR="000C0D21" w:rsidRPr="00A85D75">
        <w:t xml:space="preserve">the area-wide licence </w:t>
      </w:r>
      <w:r w:rsidR="00EB79CE">
        <w:t>can</w:t>
      </w:r>
      <w:r w:rsidR="000C0D21" w:rsidRPr="00A85D75">
        <w:t xml:space="preserve"> authoris</w:t>
      </w:r>
      <w:r w:rsidR="00EB79CE">
        <w:t>e</w:t>
      </w:r>
      <w:r w:rsidR="000C0D21" w:rsidRPr="00A85D75">
        <w:t xml:space="preserve"> a variety of services, uses, applications and technologies. </w:t>
      </w:r>
    </w:p>
    <w:p w14:paraId="74AD096F" w14:textId="1F932748" w:rsidR="000C0D21" w:rsidRDefault="000C0D21" w:rsidP="000C0D21">
      <w:r w:rsidRPr="00A85D75">
        <w:t xml:space="preserve">Class licences are a standing authorisation to access spectrum without the need to apply to </w:t>
      </w:r>
      <w:r w:rsidR="0066302A">
        <w:t>us</w:t>
      </w:r>
      <w:r w:rsidRPr="00A85D75">
        <w:t xml:space="preserve"> for an individual licence (hence no </w:t>
      </w:r>
      <w:r w:rsidR="00EB79CE">
        <w:t>taxes or charges</w:t>
      </w:r>
      <w:r w:rsidRPr="00A85D75">
        <w:t xml:space="preserve"> are paid), subject to the conditions of the class licence. These conditions</w:t>
      </w:r>
      <w:r w:rsidR="00EB79CE">
        <w:t xml:space="preserve"> may</w:t>
      </w:r>
      <w:r w:rsidRPr="00A85D75">
        <w:t xml:space="preserve"> include technical and geographic matters and</w:t>
      </w:r>
      <w:r w:rsidR="00EB79CE">
        <w:t xml:space="preserve"> may</w:t>
      </w:r>
      <w:r w:rsidRPr="00A85D75">
        <w:t xml:space="preserve"> pertain to the type of use or class of user. </w:t>
      </w:r>
    </w:p>
    <w:p w14:paraId="02C7A33A" w14:textId="77777777" w:rsidR="001B067D" w:rsidRDefault="001B067D" w:rsidP="001B067D">
      <w:pPr>
        <w:pStyle w:val="Heading3"/>
      </w:pPr>
      <w:bookmarkStart w:id="36" w:name="_Toc153793180"/>
      <w:r>
        <w:t>Licensing of space-based communication systems</w:t>
      </w:r>
      <w:bookmarkEnd w:id="36"/>
    </w:p>
    <w:p w14:paraId="3FCD976D" w14:textId="77777777" w:rsidR="001B067D" w:rsidRDefault="001B067D" w:rsidP="001B067D">
      <w:pPr>
        <w:pStyle w:val="Paragraph"/>
      </w:pPr>
      <w:r>
        <w:t>A space-based radiocommunications system may not be operated in Australia without a licence. In general, there are 2 broad options for licensing space systems in Australia.</w:t>
      </w:r>
    </w:p>
    <w:p w14:paraId="4D3702A5" w14:textId="77777777" w:rsidR="001B067D" w:rsidRDefault="001B067D" w:rsidP="001B067D">
      <w:pPr>
        <w:pStyle w:val="Paragraph"/>
        <w:keepNext/>
        <w:keepLines/>
      </w:pPr>
      <w:r>
        <w:t xml:space="preserve">The first option requires operators to obtain apparatus licences for each of their earth stations individually: an </w:t>
      </w:r>
      <w:r w:rsidRPr="008E7236">
        <w:rPr>
          <w:i/>
        </w:rPr>
        <w:t>earth licence</w:t>
      </w:r>
      <w:r w:rsidRPr="008E7236">
        <w:t xml:space="preserve"> for the uplink and an </w:t>
      </w:r>
      <w:r w:rsidRPr="008E7236">
        <w:rPr>
          <w:i/>
        </w:rPr>
        <w:t>earth</w:t>
      </w:r>
      <w:r>
        <w:rPr>
          <w:i/>
        </w:rPr>
        <w:t>-</w:t>
      </w:r>
      <w:r w:rsidRPr="008E7236">
        <w:rPr>
          <w:i/>
        </w:rPr>
        <w:t>receive</w:t>
      </w:r>
      <w:r>
        <w:rPr>
          <w:i/>
        </w:rPr>
        <w:t xml:space="preserve"> licence</w:t>
      </w:r>
      <w:r>
        <w:t xml:space="preserve"> for the downlink. Under this approach, a licence is not required for the space stations or space-receive stations onboard a satellite. </w:t>
      </w:r>
    </w:p>
    <w:p w14:paraId="526D60D0" w14:textId="2DAFDF03" w:rsidR="001B067D" w:rsidRDefault="001B067D" w:rsidP="001B067D">
      <w:pPr>
        <w:pStyle w:val="Paragraph"/>
      </w:pPr>
      <w:r>
        <w:t xml:space="preserve">The second option involves a combination of apparatus and class licences. In certain bands specified in the </w:t>
      </w:r>
      <w:r>
        <w:rPr>
          <w:szCs w:val="20"/>
        </w:rPr>
        <w:t>CSO class licence</w:t>
      </w:r>
      <w:r>
        <w:t xml:space="preserve">, operators are required to obtain an apparatus licence for the space stations onboard a satellite with a </w:t>
      </w:r>
      <w:r>
        <w:rPr>
          <w:i/>
        </w:rPr>
        <w:t>space licence</w:t>
      </w:r>
      <w:r>
        <w:rPr>
          <w:iCs/>
        </w:rPr>
        <w:t xml:space="preserve"> </w:t>
      </w:r>
      <w:r>
        <w:t xml:space="preserve">for the downlink and a </w:t>
      </w:r>
      <w:r w:rsidRPr="00C24F95">
        <w:rPr>
          <w:i/>
        </w:rPr>
        <w:t>space</w:t>
      </w:r>
      <w:r>
        <w:rPr>
          <w:i/>
        </w:rPr>
        <w:t>-</w:t>
      </w:r>
      <w:r w:rsidRPr="00C24F95">
        <w:rPr>
          <w:i/>
        </w:rPr>
        <w:t>receive licence</w:t>
      </w:r>
      <w:r>
        <w:t xml:space="preserve"> for the uplink. Earth stations </w:t>
      </w:r>
      <w:r w:rsidR="005033A1">
        <w:t xml:space="preserve">(for either uplink or downlink) </w:t>
      </w:r>
      <w:r>
        <w:t xml:space="preserve">in the system are then automatically authorised collectively under </w:t>
      </w:r>
      <w:bookmarkStart w:id="37" w:name="_Hlk347270"/>
      <w:r>
        <w:t>the</w:t>
      </w:r>
      <w:bookmarkEnd w:id="37"/>
      <w:r>
        <w:t xml:space="preserve"> CSO class licence. This approach is typically used for satellite systems with numerous or ubiquitous </w:t>
      </w:r>
      <w:r w:rsidR="00596F58">
        <w:t>fixed-satellite service e</w:t>
      </w:r>
      <w:r>
        <w:t xml:space="preserve">arth stations. It provides an efficient means of licensing a large number of earth stations and avoids the need to obtain a licence for every earth station in a satellite system. </w:t>
      </w:r>
    </w:p>
    <w:p w14:paraId="4927E27B" w14:textId="77777777" w:rsidR="001B067D" w:rsidRDefault="001B067D" w:rsidP="001B067D">
      <w:pPr>
        <w:pStyle w:val="Paragraph"/>
      </w:pPr>
      <w:r>
        <w:t xml:space="preserve">A key requirement, irrespective of which approach to licensing is used, is that the satellite system must be filed with the International Telecommunication Union (ITU) by the ACMA or the equivalent national administration of another ITU member state. </w:t>
      </w:r>
    </w:p>
    <w:p w14:paraId="1A285723" w14:textId="778D1524" w:rsidR="001B067D" w:rsidRDefault="001B067D" w:rsidP="001B067D">
      <w:pPr>
        <w:pStyle w:val="Paragraph"/>
      </w:pPr>
      <w:r>
        <w:t xml:space="preserve">If an operator wishes to licence a satellite system under the second option, the controlling business entity must first be included in either the </w:t>
      </w:r>
      <w:hyperlink r:id="rId40" w:history="1">
        <w:r>
          <w:rPr>
            <w:rStyle w:val="Hyperlink"/>
          </w:rPr>
          <w:t>Radiocommunications (Australian Space Objects) Determination 2014</w:t>
        </w:r>
      </w:hyperlink>
      <w:r>
        <w:t xml:space="preserve"> or the </w:t>
      </w:r>
      <w:hyperlink r:id="rId41" w:history="1">
        <w:r>
          <w:rPr>
            <w:rStyle w:val="Hyperlink"/>
          </w:rPr>
          <w:t>Radiocommunications (Foreign Space Objects) Determination 2014</w:t>
        </w:r>
      </w:hyperlink>
      <w:r>
        <w:t xml:space="preserve">. </w:t>
      </w:r>
    </w:p>
    <w:p w14:paraId="18A39403" w14:textId="77777777" w:rsidR="001B067D" w:rsidRDefault="001B067D" w:rsidP="001B067D">
      <w:pPr>
        <w:pStyle w:val="Paragraph"/>
      </w:pPr>
      <w:r>
        <w:t xml:space="preserve">Information on how licence applications for space-based radiocommunications systems are assessed for compliance with ITU and other satellite regulatory matters is outlined in our </w:t>
      </w:r>
      <w:hyperlink r:id="rId42" w:history="1">
        <w:r>
          <w:rPr>
            <w:rStyle w:val="Hyperlink"/>
          </w:rPr>
          <w:t>business operating procedures</w:t>
        </w:r>
      </w:hyperlink>
      <w:r>
        <w:t>.</w:t>
      </w:r>
      <w:r>
        <w:rPr>
          <w:rStyle w:val="FootnoteReference"/>
        </w:rPr>
        <w:footnoteReference w:id="8"/>
      </w:r>
    </w:p>
    <w:p w14:paraId="5671F6B4" w14:textId="77777777" w:rsidR="001B067D" w:rsidRPr="00E41131" w:rsidRDefault="001B067D" w:rsidP="001B067D">
      <w:pPr>
        <w:pStyle w:val="Heading4"/>
      </w:pPr>
      <w:bookmarkStart w:id="38" w:name="_Toc86418684"/>
      <w:bookmarkStart w:id="39" w:name="_Toc90635443"/>
      <w:r w:rsidRPr="00E41131">
        <w:t>CSO class licence</w:t>
      </w:r>
      <w:bookmarkEnd w:id="38"/>
      <w:bookmarkEnd w:id="39"/>
    </w:p>
    <w:p w14:paraId="6D123965" w14:textId="5906E527" w:rsidR="001B067D" w:rsidRDefault="001B067D" w:rsidP="001B067D">
      <w:pPr>
        <w:pStyle w:val="Paragraph"/>
      </w:pPr>
      <w:r>
        <w:t xml:space="preserve">The </w:t>
      </w:r>
      <w:hyperlink r:id="rId43" w:history="1">
        <w:r>
          <w:rPr>
            <w:rStyle w:val="Hyperlink"/>
          </w:rPr>
          <w:t>Radiocommunications (Communication with Space Object) Class Licence 2015</w:t>
        </w:r>
      </w:hyperlink>
      <w:r>
        <w:t xml:space="preserve"> is a legislative instrument made by the ACMA under section 132 of the </w:t>
      </w:r>
      <w:r w:rsidRPr="00F8639A">
        <w:t>Act</w:t>
      </w:r>
      <w:r>
        <w:t xml:space="preserve">. It provides a standing authorisation for the operation of earth stations in specified frequency </w:t>
      </w:r>
      <w:r w:rsidR="005033A1">
        <w:t>ranges</w:t>
      </w:r>
      <w:r w:rsidR="001A4ADB">
        <w:t xml:space="preserve">. This is </w:t>
      </w:r>
      <w:r w:rsidR="005033A1">
        <w:t>for either transmission or reception</w:t>
      </w:r>
      <w:r w:rsidR="001A4ADB">
        <w:t xml:space="preserve"> –</w:t>
      </w:r>
      <w:r w:rsidR="005033A1">
        <w:t xml:space="preserve"> </w:t>
      </w:r>
      <w:r>
        <w:t xml:space="preserve">if the operator of an associated satellite system has obtained space and </w:t>
      </w:r>
      <w:r w:rsidRPr="00C24F95">
        <w:t>space</w:t>
      </w:r>
      <w:r>
        <w:t>-</w:t>
      </w:r>
      <w:r w:rsidRPr="00C24F95">
        <w:t>receive</w:t>
      </w:r>
      <w:r>
        <w:t xml:space="preserve"> licences authorising operation of the space-based segment of their system.</w:t>
      </w:r>
    </w:p>
    <w:p w14:paraId="6F30C802" w14:textId="4F1329BB" w:rsidR="001B067D" w:rsidRDefault="001B067D" w:rsidP="001B067D">
      <w:pPr>
        <w:pStyle w:val="Paragraph"/>
      </w:pPr>
      <w:r>
        <w:t xml:space="preserve">The CSO class licence also sets out equipment rules that earth stations authorised by this licence must comply with, as well as technical conditions that must be met for transmissions in certain </w:t>
      </w:r>
      <w:r w:rsidR="005033A1">
        <w:t xml:space="preserve">frequency ranges </w:t>
      </w:r>
      <w:r>
        <w:t>to minimise interference with other radiocommunications services.</w:t>
      </w:r>
    </w:p>
    <w:p w14:paraId="3D75D95B" w14:textId="77777777" w:rsidR="001B067D" w:rsidRPr="00E41131" w:rsidRDefault="001B067D" w:rsidP="002F2282">
      <w:pPr>
        <w:pStyle w:val="Heading4"/>
        <w:keepNext/>
      </w:pPr>
      <w:bookmarkStart w:id="40" w:name="_Toc86418685"/>
      <w:bookmarkStart w:id="41" w:name="_Toc90635444"/>
      <w:r w:rsidRPr="00E41131">
        <w:t>International obligations</w:t>
      </w:r>
      <w:bookmarkEnd w:id="40"/>
      <w:bookmarkEnd w:id="41"/>
    </w:p>
    <w:p w14:paraId="6D204FCC" w14:textId="7891F4E9" w:rsidR="001B067D" w:rsidRDefault="001A4ADB" w:rsidP="002F2282">
      <w:pPr>
        <w:pStyle w:val="Paragraph"/>
        <w:keepNext/>
      </w:pPr>
      <w:r>
        <w:t>Our</w:t>
      </w:r>
      <w:r w:rsidR="001B067D">
        <w:t xml:space="preserve"> current practice is that a satellite filing with the ITU for the associated space object will be required, in accordance with Australia’s obligations as a member of the ITU.</w:t>
      </w:r>
    </w:p>
    <w:p w14:paraId="0BA239DA" w14:textId="126D967E" w:rsidR="001B067D" w:rsidRDefault="001B067D" w:rsidP="001B067D">
      <w:pPr>
        <w:pStyle w:val="Paragraph"/>
      </w:pPr>
      <w:r>
        <w:t xml:space="preserve">It should be noted that while the ACMA can develop a framework to support the licensing of a satellite service, the viability of a satellite service is largely dependent on the status of the satellite system in the ITU satellite coordination process. This is the responsibility of prospective licensees to assess, and </w:t>
      </w:r>
      <w:r w:rsidR="001A4ADB">
        <w:t>we</w:t>
      </w:r>
      <w:r>
        <w:t xml:space="preserve"> can make no assurances in this regard.</w:t>
      </w:r>
    </w:p>
    <w:p w14:paraId="2D4FD924" w14:textId="7B352AE8" w:rsidR="000C0D21" w:rsidRPr="007B5BEB" w:rsidRDefault="000C0D21" w:rsidP="00C0269B">
      <w:pPr>
        <w:pStyle w:val="Heading2"/>
      </w:pPr>
      <w:bookmarkStart w:id="42" w:name="_Toc56965681"/>
      <w:bookmarkStart w:id="43" w:name="_Toc153793181"/>
      <w:r w:rsidRPr="007B5BEB">
        <w:t xml:space="preserve">Spectrum planning </w:t>
      </w:r>
      <w:r w:rsidR="00A219A5" w:rsidRPr="007B5BEB">
        <w:t xml:space="preserve">outcomes </w:t>
      </w:r>
      <w:proofErr w:type="gramStart"/>
      <w:r w:rsidRPr="007B5BEB">
        <w:t>development</w:t>
      </w:r>
      <w:bookmarkEnd w:id="42"/>
      <w:bookmarkEnd w:id="43"/>
      <w:proofErr w:type="gramEnd"/>
    </w:p>
    <w:p w14:paraId="6B4A109E" w14:textId="11331F64" w:rsidR="000C0D21" w:rsidRPr="00A85D75" w:rsidRDefault="000C0D21" w:rsidP="00B60874">
      <w:pPr>
        <w:pStyle w:val="Paragraph"/>
      </w:pPr>
      <w:r w:rsidRPr="00A85D75">
        <w:t>We are guided in our spectrum management functions by</w:t>
      </w:r>
      <w:r w:rsidR="001A4ADB">
        <w:t xml:space="preserve"> the</w:t>
      </w:r>
      <w:r w:rsidRPr="00A85D75">
        <w:t xml:space="preserve"> </w:t>
      </w:r>
      <w:hyperlink r:id="rId44" w:history="1">
        <w:r w:rsidRPr="00A85D75">
          <w:rPr>
            <w:rStyle w:val="Hyperlink"/>
          </w:rPr>
          <w:t xml:space="preserve">object of the </w:t>
        </w:r>
        <w:r w:rsidRPr="00360DA9">
          <w:rPr>
            <w:rStyle w:val="Hyperlink"/>
          </w:rPr>
          <w:t>Act</w:t>
        </w:r>
      </w:hyperlink>
      <w:r w:rsidRPr="00A85D75">
        <w:t xml:space="preserve">, set out in section 3. A balanced application of regulatory and market mechanisms is often necessary to achieve key elements of the object of the Act, in particular </w:t>
      </w:r>
      <w:r w:rsidR="00C41395">
        <w:t xml:space="preserve">promoting the long-term public interest derived from the </w:t>
      </w:r>
      <w:r w:rsidRPr="00A85D75">
        <w:t xml:space="preserve">use of the radiofrequency spectrum and meeting the government’s policy objectives. </w:t>
      </w:r>
    </w:p>
    <w:p w14:paraId="609D0663" w14:textId="7147FAF8" w:rsidR="00363703" w:rsidRDefault="00D37C56" w:rsidP="00363703">
      <w:pPr>
        <w:pStyle w:val="Paragraphbeforelist"/>
      </w:pPr>
      <w:r w:rsidRPr="00A85D75">
        <w:t xml:space="preserve">In </w:t>
      </w:r>
      <w:r w:rsidR="007A2C91" w:rsidRPr="00A85D75">
        <w:t xml:space="preserve">determining the planning outcomes presented in this paper, </w:t>
      </w:r>
      <w:r w:rsidR="001A4ADB">
        <w:t xml:space="preserve">we have </w:t>
      </w:r>
      <w:r w:rsidR="00625C9C" w:rsidRPr="00A85D75">
        <w:t>considered responses to</w:t>
      </w:r>
      <w:r w:rsidR="007B5BEB">
        <w:t xml:space="preserve"> </w:t>
      </w:r>
      <w:r w:rsidR="00625C9C" w:rsidRPr="00A85D75">
        <w:t xml:space="preserve">the </w:t>
      </w:r>
      <w:r w:rsidR="00E916FE">
        <w:t xml:space="preserve">May 2022 paper </w:t>
      </w:r>
      <w:r w:rsidR="007B5BEB">
        <w:t xml:space="preserve">and </w:t>
      </w:r>
      <w:r w:rsidR="00E916FE">
        <w:t xml:space="preserve">the </w:t>
      </w:r>
      <w:r w:rsidR="00625C9C" w:rsidRPr="00A85D75">
        <w:t>options paper</w:t>
      </w:r>
      <w:r w:rsidR="00F33269" w:rsidRPr="00A85D75">
        <w:t xml:space="preserve">. </w:t>
      </w:r>
      <w:r w:rsidR="00363703">
        <w:t>The desired planning outcomes were:</w:t>
      </w:r>
    </w:p>
    <w:p w14:paraId="12663D2F" w14:textId="77777777" w:rsidR="00363703" w:rsidRPr="007E689C" w:rsidRDefault="00363703" w:rsidP="00363703">
      <w:pPr>
        <w:pStyle w:val="ListNumber"/>
        <w:numPr>
          <w:ilvl w:val="0"/>
          <w:numId w:val="45"/>
        </w:numPr>
      </w:pPr>
      <w:r w:rsidRPr="007E689C">
        <w:t xml:space="preserve">Support the introduction of MSS in all or part of the extended MSS L-band in a reasonable timeframe.  </w:t>
      </w:r>
    </w:p>
    <w:p w14:paraId="7746019F" w14:textId="56A5FF03" w:rsidR="00363703" w:rsidRDefault="00363703" w:rsidP="00363703">
      <w:pPr>
        <w:pStyle w:val="Numberlistlevel1"/>
        <w:numPr>
          <w:ilvl w:val="0"/>
          <w:numId w:val="32"/>
        </w:numPr>
      </w:pPr>
      <w:r>
        <w:t xml:space="preserve">Support on-going use of the extended MSS L-band (and where relevant, adjacent bands) by incumbent licences and services as summarised at </w:t>
      </w:r>
      <w:hyperlink w:anchor="_Appendix_B:_Summary" w:history="1">
        <w:r w:rsidRPr="001A4ADB">
          <w:rPr>
            <w:rStyle w:val="Hyperlink"/>
          </w:rPr>
          <w:t>Appendix B</w:t>
        </w:r>
      </w:hyperlink>
      <w:r>
        <w:t>. This includes:</w:t>
      </w:r>
    </w:p>
    <w:p w14:paraId="53B930E3" w14:textId="77777777" w:rsidR="00363703" w:rsidRDefault="00363703" w:rsidP="00063C64">
      <w:pPr>
        <w:pStyle w:val="ListNumber2"/>
        <w:numPr>
          <w:ilvl w:val="0"/>
          <w:numId w:val="46"/>
        </w:numPr>
        <w:ind w:left="851"/>
      </w:pPr>
      <w:r>
        <w:t>Licences used for stratospheric balloon communications and licences held by Defence across the 1427</w:t>
      </w:r>
      <w:r w:rsidRPr="00363703">
        <w:rPr>
          <w:rFonts w:cs="Arial"/>
          <w:szCs w:val="20"/>
        </w:rPr>
        <w:t>–</w:t>
      </w:r>
      <w:r>
        <w:t>1535 MHz frequency range.</w:t>
      </w:r>
    </w:p>
    <w:p w14:paraId="029565B0" w14:textId="48A289AD" w:rsidR="00363703" w:rsidRDefault="00363703" w:rsidP="00363703">
      <w:pPr>
        <w:pStyle w:val="ListNumber2"/>
        <w:numPr>
          <w:ilvl w:val="0"/>
          <w:numId w:val="33"/>
        </w:numPr>
        <w:ind w:left="851"/>
      </w:pPr>
      <w:r>
        <w:t>Fixed licences and services (point-to-point and point-to-multipoint). This includes enabling the ongoing use of those licences used for the delivery of USO services in the 1427</w:t>
      </w:r>
      <w:r>
        <w:rPr>
          <w:rFonts w:cs="Arial"/>
          <w:szCs w:val="20"/>
        </w:rPr>
        <w:t>–</w:t>
      </w:r>
      <w:r>
        <w:t xml:space="preserve">1535 MHz </w:t>
      </w:r>
      <w:r w:rsidR="005033A1">
        <w:t xml:space="preserve">frequency range </w:t>
      </w:r>
      <w:r>
        <w:t xml:space="preserve">until </w:t>
      </w:r>
      <w:r w:rsidRPr="00D866C0">
        <w:t>such time as a proven alternate technology solution is identified and deployed</w:t>
      </w:r>
      <w:r>
        <w:t>.</w:t>
      </w:r>
    </w:p>
    <w:p w14:paraId="386AAFA9" w14:textId="736D94A4" w:rsidR="00363703" w:rsidRDefault="00363703" w:rsidP="00363703">
      <w:pPr>
        <w:pStyle w:val="ListNumber2"/>
        <w:numPr>
          <w:ilvl w:val="0"/>
          <w:numId w:val="33"/>
        </w:numPr>
        <w:ind w:left="851"/>
      </w:pPr>
      <w:r>
        <w:t>R</w:t>
      </w:r>
      <w:r w:rsidRPr="00806DA7">
        <w:t>adio astronomy and meteorological services</w:t>
      </w:r>
      <w:r>
        <w:t xml:space="preserve"> in and adjacent to the </w:t>
      </w:r>
      <w:r w:rsidR="001A4ADB">
        <w:br/>
      </w:r>
      <w:r>
        <w:t>1668</w:t>
      </w:r>
      <w:r>
        <w:rPr>
          <w:rFonts w:cs="Arial"/>
          <w:szCs w:val="20"/>
        </w:rPr>
        <w:t>–</w:t>
      </w:r>
      <w:r>
        <w:t>1675 MHz frequency range.</w:t>
      </w:r>
    </w:p>
    <w:p w14:paraId="6FE1AC01" w14:textId="77777777" w:rsidR="00363703" w:rsidRPr="0055049B" w:rsidRDefault="00363703" w:rsidP="00363703">
      <w:pPr>
        <w:pStyle w:val="ListNumber2"/>
        <w:numPr>
          <w:ilvl w:val="0"/>
          <w:numId w:val="33"/>
        </w:numPr>
        <w:ind w:left="851"/>
      </w:pPr>
      <w:r w:rsidRPr="00FE1E87">
        <w:rPr>
          <w:rFonts w:cs="Arial"/>
          <w:szCs w:val="20"/>
        </w:rPr>
        <w:t>Devices authorised to operate in accordance with the</w:t>
      </w:r>
      <w:r>
        <w:t xml:space="preserve"> </w:t>
      </w:r>
      <w:hyperlink r:id="rId45" w:history="1">
        <w:r w:rsidRPr="005E1CCE">
          <w:rPr>
            <w:rStyle w:val="Hyperlink"/>
          </w:rPr>
          <w:t>Radiocommunications (Low Interference Potential Devices) Class Licence 2015</w:t>
        </w:r>
      </w:hyperlink>
      <w:r>
        <w:t xml:space="preserve"> (the LIPD class licence), such as ground/wall penetrating radars.</w:t>
      </w:r>
    </w:p>
    <w:p w14:paraId="3F908964" w14:textId="77777777" w:rsidR="00363703" w:rsidRDefault="00363703" w:rsidP="00363703">
      <w:pPr>
        <w:pStyle w:val="Numberlistlevel1"/>
        <w:numPr>
          <w:ilvl w:val="0"/>
          <w:numId w:val="32"/>
        </w:numPr>
        <w:spacing w:after="240"/>
        <w:ind w:left="357" w:hanging="357"/>
      </w:pPr>
      <w:r>
        <w:t>Consider necessary regulatory measures for new MSS use in the extended MSS L</w:t>
      </w:r>
      <w:r>
        <w:noBreakHyphen/>
        <w:t>band to enable coexistence with incumbent and possible future in-band and adjacent band services (such as WBB). This is so the introduction of MSS before options for other services are considered does not unduly limit or constrain future replanning of the broader 1.5 GHz band.</w:t>
      </w:r>
    </w:p>
    <w:p w14:paraId="42E705EA" w14:textId="08D14DA9" w:rsidR="00447E19" w:rsidRPr="00A85D75" w:rsidRDefault="00F33269" w:rsidP="00B60874">
      <w:pPr>
        <w:pStyle w:val="Paragraph"/>
      </w:pPr>
      <w:r w:rsidRPr="00A85D75">
        <w:t xml:space="preserve">We have also </w:t>
      </w:r>
      <w:r w:rsidR="00EB79CE">
        <w:t>considered</w:t>
      </w:r>
      <w:r w:rsidRPr="00A85D75">
        <w:t xml:space="preserve"> other</w:t>
      </w:r>
      <w:r w:rsidR="008541A8" w:rsidRPr="00A85D75">
        <w:t xml:space="preserve"> relevant developments</w:t>
      </w:r>
      <w:r w:rsidR="00BF341C" w:rsidRPr="00A85D75">
        <w:t xml:space="preserve">, both domestic and international, that </w:t>
      </w:r>
      <w:r w:rsidR="007E4EED" w:rsidRPr="00A85D75">
        <w:t>may</w:t>
      </w:r>
      <w:r w:rsidR="008541A8" w:rsidRPr="00A85D75">
        <w:t xml:space="preserve"> </w:t>
      </w:r>
      <w:r w:rsidR="00186B68" w:rsidRPr="00A85D75">
        <w:t xml:space="preserve">impact the potential future use of the band. </w:t>
      </w:r>
    </w:p>
    <w:p w14:paraId="6BC3AE65" w14:textId="07415CC7" w:rsidR="000E6ED1" w:rsidRDefault="000E6ED1" w:rsidP="00B60874">
      <w:pPr>
        <w:pStyle w:val="Paragraph"/>
      </w:pPr>
      <w:r w:rsidRPr="00A85D75">
        <w:t xml:space="preserve">Following release of this paper, we will consult further </w:t>
      </w:r>
      <w:r w:rsidR="007E4EED" w:rsidRPr="00A85D75">
        <w:t xml:space="preserve">on </w:t>
      </w:r>
      <w:r w:rsidR="00D14BFA" w:rsidRPr="00A85D75">
        <w:t xml:space="preserve">proposed </w:t>
      </w:r>
      <w:r w:rsidR="007E4EED" w:rsidRPr="00A85D75">
        <w:t xml:space="preserve">licensing and technical planning </w:t>
      </w:r>
      <w:r w:rsidR="007E4EED" w:rsidRPr="002753CB">
        <w:t xml:space="preserve">arrangements as outlined in </w:t>
      </w:r>
      <w:r w:rsidR="00D14BFA" w:rsidRPr="002753CB">
        <w:t xml:space="preserve">the </w:t>
      </w:r>
      <w:hyperlink w:anchor="_Planning_outcomes" w:history="1">
        <w:r w:rsidR="00E7549F" w:rsidRPr="001A4ADB">
          <w:rPr>
            <w:rStyle w:val="Hyperlink"/>
          </w:rPr>
          <w:t>N</w:t>
        </w:r>
        <w:r w:rsidR="00E97D40" w:rsidRPr="001A4ADB">
          <w:rPr>
            <w:rStyle w:val="Hyperlink"/>
          </w:rPr>
          <w:t xml:space="preserve">ext </w:t>
        </w:r>
        <w:r w:rsidR="00D14BFA" w:rsidRPr="001A4ADB">
          <w:rPr>
            <w:rStyle w:val="Hyperlink"/>
          </w:rPr>
          <w:t>steps section</w:t>
        </w:r>
      </w:hyperlink>
      <w:r w:rsidR="002439BE" w:rsidRPr="002753CB">
        <w:t>.</w:t>
      </w:r>
    </w:p>
    <w:p w14:paraId="0FD292A8" w14:textId="77777777" w:rsidR="00654CC2" w:rsidRPr="00D64FD0" w:rsidRDefault="00654CC2" w:rsidP="00990FAD">
      <w:pPr>
        <w:pStyle w:val="Heading2"/>
        <w:keepLines/>
        <w:rPr>
          <w:b w:val="0"/>
          <w:bCs w:val="0"/>
        </w:rPr>
      </w:pPr>
      <w:bookmarkStart w:id="44" w:name="_Toc61435414"/>
      <w:bookmarkStart w:id="45" w:name="_Toc153793182"/>
      <w:r w:rsidRPr="00D64FD0">
        <w:t>Issues not within the scope of this paper</w:t>
      </w:r>
      <w:bookmarkEnd w:id="44"/>
      <w:bookmarkEnd w:id="45"/>
      <w:r w:rsidRPr="00D64FD0">
        <w:rPr>
          <w:rFonts w:hint="eastAsia"/>
        </w:rPr>
        <w:t> </w:t>
      </w:r>
    </w:p>
    <w:p w14:paraId="1C50FE97" w14:textId="042F88F2" w:rsidR="00654CC2" w:rsidRDefault="00654CC2" w:rsidP="00990FAD">
      <w:pPr>
        <w:pStyle w:val="Paragraph"/>
        <w:keepNext/>
        <w:keepLines/>
        <w:rPr>
          <w:rFonts w:ascii="&amp;quot" w:hAnsi="&amp;quot"/>
          <w:sz w:val="18"/>
          <w:szCs w:val="18"/>
        </w:rPr>
      </w:pPr>
      <w:r>
        <w:rPr>
          <w:rStyle w:val="normaltextrun"/>
          <w:szCs w:val="20"/>
        </w:rPr>
        <w:t>The following issues are not within the scope of this paper</w:t>
      </w:r>
      <w:r w:rsidR="00360DA9">
        <w:rPr>
          <w:rStyle w:val="normaltextrun"/>
          <w:szCs w:val="20"/>
        </w:rPr>
        <w:t>.</w:t>
      </w:r>
    </w:p>
    <w:p w14:paraId="6A43AC3D" w14:textId="3D8CD6EA" w:rsidR="00654CC2" w:rsidRPr="00D64FD0" w:rsidRDefault="00654CC2" w:rsidP="00990FAD">
      <w:pPr>
        <w:pStyle w:val="Heading3"/>
        <w:keepLines/>
        <w:rPr>
          <w:b w:val="0"/>
          <w:bCs w:val="0"/>
          <w:szCs w:val="20"/>
        </w:rPr>
      </w:pPr>
      <w:bookmarkStart w:id="46" w:name="_Toc61435415"/>
      <w:bookmarkStart w:id="47" w:name="_Toc153793183"/>
      <w:r w:rsidRPr="00D64FD0">
        <w:t xml:space="preserve">Apparatus </w:t>
      </w:r>
      <w:r w:rsidR="00EB79CE">
        <w:t xml:space="preserve">licence </w:t>
      </w:r>
      <w:r w:rsidRPr="00D64FD0">
        <w:t>tax arrangements</w:t>
      </w:r>
      <w:bookmarkEnd w:id="46"/>
      <w:bookmarkEnd w:id="47"/>
      <w:r w:rsidRPr="00D64FD0">
        <w:rPr>
          <w:rFonts w:hint="eastAsia"/>
        </w:rPr>
        <w:t> </w:t>
      </w:r>
    </w:p>
    <w:p w14:paraId="4E57D175" w14:textId="3886723A" w:rsidR="004E1A76" w:rsidRPr="001A3045" w:rsidRDefault="00654CC2" w:rsidP="00990FAD">
      <w:pPr>
        <w:pStyle w:val="Paragraph"/>
        <w:keepNext/>
        <w:keepLines/>
        <w:rPr>
          <w:rStyle w:val="normaltextrun"/>
          <w:b/>
          <w:bCs/>
          <w:szCs w:val="20"/>
        </w:rPr>
      </w:pPr>
      <w:r>
        <w:rPr>
          <w:rStyle w:val="normaltextrun"/>
          <w:szCs w:val="20"/>
        </w:rPr>
        <w:t xml:space="preserve">A review of the apparatus licence tax arrangements that apply to different services is not within the scope of this paper. </w:t>
      </w:r>
      <w:r w:rsidR="004E1A76">
        <w:rPr>
          <w:rStyle w:val="normaltextrun"/>
          <w:szCs w:val="20"/>
        </w:rPr>
        <w:t xml:space="preserve">In general there are opportunities for interested parties to provide their views about pricing matters as part of the consultation on the annual work program, the </w:t>
      </w:r>
      <w:hyperlink r:id="rId46" w:history="1">
        <w:r w:rsidR="001A4ADB">
          <w:rPr>
            <w:rStyle w:val="Hyperlink"/>
          </w:rPr>
          <w:t>F</w:t>
        </w:r>
        <w:r w:rsidR="004E1A76">
          <w:rPr>
            <w:rStyle w:val="Hyperlink"/>
          </w:rPr>
          <w:t>ive-year spectrum outlook</w:t>
        </w:r>
      </w:hyperlink>
      <w:r w:rsidR="004E1A76">
        <w:rPr>
          <w:rStyle w:val="normaltextrun"/>
          <w:szCs w:val="20"/>
        </w:rPr>
        <w:t xml:space="preserve"> (the FYSO). It is also noted in the FYSO 2023</w:t>
      </w:r>
      <w:r w:rsidR="00C369D6">
        <w:t>–</w:t>
      </w:r>
      <w:r w:rsidR="004E1A76">
        <w:rPr>
          <w:rStyle w:val="normaltextrun"/>
          <w:szCs w:val="20"/>
        </w:rPr>
        <w:t xml:space="preserve">28 that </w:t>
      </w:r>
      <w:r w:rsidR="001A4ADB">
        <w:rPr>
          <w:rStyle w:val="normaltextrun"/>
          <w:szCs w:val="20"/>
        </w:rPr>
        <w:t>we are</w:t>
      </w:r>
      <w:r w:rsidR="004E1A76">
        <w:rPr>
          <w:rStyle w:val="normaltextrun"/>
          <w:szCs w:val="20"/>
        </w:rPr>
        <w:t xml:space="preserve"> considering a review of apparatus licence taxes in </w:t>
      </w:r>
      <w:r w:rsidR="004E1A76" w:rsidRPr="001A3045">
        <w:rPr>
          <w:rStyle w:val="normaltextrun"/>
          <w:szCs w:val="20"/>
        </w:rPr>
        <w:t>the frequency ranges 520 MHz to 2690 MHz</w:t>
      </w:r>
      <w:r w:rsidR="004E1A76">
        <w:rPr>
          <w:rStyle w:val="normaltextrun"/>
          <w:szCs w:val="20"/>
        </w:rPr>
        <w:t xml:space="preserve"> in the 2025</w:t>
      </w:r>
      <w:r w:rsidR="00C369D6">
        <w:t>–</w:t>
      </w:r>
      <w:r w:rsidR="004E1A76">
        <w:rPr>
          <w:rStyle w:val="normaltextrun"/>
          <w:szCs w:val="20"/>
        </w:rPr>
        <w:t>26 financial year, where there would be further opportunities to comment. In addition, should the proposed planning arrangements outlined in this paper extend to consultation on proposed licensing arrangements there would be opportunities to comment on the relevant pricing matters at that time.</w:t>
      </w:r>
    </w:p>
    <w:p w14:paraId="7001567A" w14:textId="77777777" w:rsidR="00654CC2" w:rsidRPr="00717B24" w:rsidRDefault="00654CC2" w:rsidP="00654CC2">
      <w:pPr>
        <w:pStyle w:val="Heading3"/>
        <w:rPr>
          <w:rFonts w:ascii="&amp;quot" w:hAnsi="&amp;quot"/>
          <w:sz w:val="18"/>
          <w:szCs w:val="18"/>
        </w:rPr>
      </w:pPr>
      <w:bookmarkStart w:id="48" w:name="_Toc61435416"/>
      <w:bookmarkStart w:id="49" w:name="_Toc153793184"/>
      <w:r w:rsidRPr="00D64FD0">
        <w:rPr>
          <w:rStyle w:val="normaltextrun"/>
          <w:szCs w:val="20"/>
        </w:rPr>
        <w:t>Engagement in international activities</w:t>
      </w:r>
      <w:bookmarkEnd w:id="48"/>
      <w:bookmarkEnd w:id="49"/>
      <w:r w:rsidRPr="00D64FD0">
        <w:rPr>
          <w:rStyle w:val="eop"/>
          <w:rFonts w:ascii="&amp;quot" w:hAnsi="&amp;quot" w:hint="eastAsia"/>
          <w:szCs w:val="20"/>
        </w:rPr>
        <w:t> </w:t>
      </w:r>
    </w:p>
    <w:p w14:paraId="762F4E0F" w14:textId="3DC9562C" w:rsidR="00654CC2" w:rsidRPr="00EB5459" w:rsidRDefault="00654CC2" w:rsidP="00B60874">
      <w:pPr>
        <w:pStyle w:val="Paragraph"/>
        <w:rPr>
          <w:rFonts w:ascii="&amp;quot" w:hAnsi="&amp;quot"/>
          <w:sz w:val="18"/>
          <w:szCs w:val="18"/>
        </w:rPr>
      </w:pPr>
      <w:r>
        <w:rPr>
          <w:rStyle w:val="normaltextrun"/>
          <w:szCs w:val="20"/>
        </w:rPr>
        <w:t xml:space="preserve">The scope of this paper does not extend to Australian strategies or positions on matters under consideration in international spectrum management forums, such as the ITU or Asia-Pacific Telecommunity (APT). These matters are dealt with separately through relevant preparatory processes led by the ACMA and/or the Department. Stakeholders interested in these processes can find more information on the </w:t>
      </w:r>
      <w:hyperlink r:id="rId47" w:tgtFrame="_blank" w:history="1">
        <w:r>
          <w:rPr>
            <w:rStyle w:val="normaltextrun"/>
            <w:color w:val="0000FF"/>
            <w:szCs w:val="20"/>
            <w:u w:val="single"/>
          </w:rPr>
          <w:t>ACMA website</w:t>
        </w:r>
      </w:hyperlink>
      <w:r>
        <w:rPr>
          <w:rStyle w:val="normaltextrun"/>
          <w:szCs w:val="20"/>
        </w:rPr>
        <w:t xml:space="preserve"> or by contacting either the ACMA’s International Radiocommunications Section (</w:t>
      </w:r>
      <w:hyperlink r:id="rId48" w:tgtFrame="_blank" w:history="1">
        <w:r>
          <w:rPr>
            <w:rStyle w:val="normaltextrun"/>
            <w:color w:val="0000FF"/>
            <w:szCs w:val="20"/>
            <w:u w:val="single"/>
          </w:rPr>
          <w:t>irs@acma.gov.au</w:t>
        </w:r>
      </w:hyperlink>
      <w:r>
        <w:rPr>
          <w:rStyle w:val="normaltextrun"/>
          <w:szCs w:val="20"/>
        </w:rPr>
        <w:t xml:space="preserve">) or the </w:t>
      </w:r>
      <w:r w:rsidR="00EB79CE">
        <w:rPr>
          <w:rStyle w:val="normaltextrun"/>
          <w:szCs w:val="20"/>
        </w:rPr>
        <w:t>D</w:t>
      </w:r>
      <w:r>
        <w:rPr>
          <w:rStyle w:val="normaltextrun"/>
          <w:szCs w:val="20"/>
        </w:rPr>
        <w:t>epartment’s International Radiocommunications Section (</w:t>
      </w:r>
      <w:hyperlink r:id="rId49" w:tgtFrame="_blank" w:history="1">
        <w:r>
          <w:rPr>
            <w:rStyle w:val="normaltextrun"/>
            <w:color w:val="0000FF"/>
            <w:szCs w:val="20"/>
            <w:u w:val="single"/>
          </w:rPr>
          <w:t>wrc@communications.gov.au</w:t>
        </w:r>
      </w:hyperlink>
      <w:r>
        <w:rPr>
          <w:rStyle w:val="normaltextrun"/>
          <w:szCs w:val="20"/>
        </w:rPr>
        <w:t>).</w:t>
      </w:r>
    </w:p>
    <w:p w14:paraId="5528495E" w14:textId="77777777" w:rsidR="00F66827" w:rsidRPr="00A85D75" w:rsidRDefault="00F66827" w:rsidP="00F66827">
      <w:pPr>
        <w:pStyle w:val="Heading1"/>
      </w:pPr>
      <w:bookmarkStart w:id="50" w:name="_Toc46316357"/>
      <w:bookmarkStart w:id="51" w:name="_Toc56965686"/>
      <w:bookmarkStart w:id="52" w:name="_Toc153793185"/>
      <w:r w:rsidRPr="00A85D75">
        <w:t>The process to date</w:t>
      </w:r>
      <w:bookmarkEnd w:id="50"/>
      <w:bookmarkEnd w:id="51"/>
      <w:bookmarkEnd w:id="52"/>
    </w:p>
    <w:p w14:paraId="2BEC8B60" w14:textId="744A538D" w:rsidR="00990DF6" w:rsidRPr="00A85D75" w:rsidRDefault="00990DF6" w:rsidP="00990DF6">
      <w:bookmarkStart w:id="53" w:name="_Toc519765108"/>
      <w:bookmarkStart w:id="54" w:name="_Toc521585774"/>
      <w:bookmarkStart w:id="55" w:name="_Toc5000066"/>
      <w:bookmarkStart w:id="56" w:name="_Toc33513244"/>
      <w:bookmarkStart w:id="57" w:name="_Toc46316358"/>
      <w:bookmarkStart w:id="58" w:name="_Ref499046185"/>
      <w:bookmarkStart w:id="59" w:name="_Ref499046197"/>
      <w:bookmarkStart w:id="60" w:name="_Ref499109539"/>
      <w:r w:rsidRPr="00A85D75">
        <w:t xml:space="preserve">This chapter recaps the </w:t>
      </w:r>
      <w:r w:rsidR="00EC4868">
        <w:t>scenarios</w:t>
      </w:r>
      <w:r w:rsidR="00344F4F">
        <w:t xml:space="preserve"> outlined in the </w:t>
      </w:r>
      <w:r w:rsidR="00BE599F">
        <w:t>May 2022</w:t>
      </w:r>
      <w:r w:rsidR="00344F4F">
        <w:t xml:space="preserve"> paper and </w:t>
      </w:r>
      <w:r w:rsidRPr="00A85D75">
        <w:t xml:space="preserve">options proposed in the </w:t>
      </w:r>
      <w:r w:rsidR="00333BD3" w:rsidRPr="00A85D75">
        <w:t>o</w:t>
      </w:r>
      <w:r w:rsidRPr="00A85D75">
        <w:t xml:space="preserve">ptions paper. </w:t>
      </w:r>
    </w:p>
    <w:p w14:paraId="541AAE98" w14:textId="77777777" w:rsidR="0067115B" w:rsidRPr="00A85D75" w:rsidRDefault="0067115B" w:rsidP="0067115B">
      <w:pPr>
        <w:pStyle w:val="Heading2"/>
      </w:pPr>
      <w:bookmarkStart w:id="61" w:name="_Toc21088510"/>
      <w:bookmarkStart w:id="62" w:name="_Toc56950065"/>
      <w:bookmarkStart w:id="63" w:name="_Toc56965687"/>
      <w:bookmarkStart w:id="64" w:name="_Toc153793186"/>
      <w:r w:rsidRPr="00A85D75">
        <w:t xml:space="preserve">Overall approach to replanning the </w:t>
      </w:r>
      <w:proofErr w:type="gramStart"/>
      <w:r w:rsidRPr="00A85D75">
        <w:t>band</w:t>
      </w:r>
      <w:bookmarkEnd w:id="61"/>
      <w:bookmarkEnd w:id="62"/>
      <w:bookmarkEnd w:id="63"/>
      <w:bookmarkEnd w:id="64"/>
      <w:proofErr w:type="gramEnd"/>
    </w:p>
    <w:p w14:paraId="0D51C560" w14:textId="0BA37711" w:rsidR="00282163" w:rsidRDefault="0013515A" w:rsidP="00883311">
      <w:pPr>
        <w:pStyle w:val="Heading3"/>
      </w:pPr>
      <w:bookmarkStart w:id="65" w:name="_Toc153793187"/>
      <w:bookmarkEnd w:id="53"/>
      <w:bookmarkEnd w:id="54"/>
      <w:bookmarkEnd w:id="55"/>
      <w:bookmarkEnd w:id="56"/>
      <w:bookmarkEnd w:id="57"/>
      <w:bookmarkEnd w:id="58"/>
      <w:bookmarkEnd w:id="59"/>
      <w:bookmarkEnd w:id="60"/>
      <w:r>
        <w:t>The May 2022</w:t>
      </w:r>
      <w:r w:rsidR="00282163">
        <w:t xml:space="preserve"> paper</w:t>
      </w:r>
      <w:bookmarkEnd w:id="65"/>
    </w:p>
    <w:p w14:paraId="3FA72678" w14:textId="0C77BCD7" w:rsidR="00EC4868" w:rsidRDefault="0077520A" w:rsidP="00EC4868">
      <w:pPr>
        <w:rPr>
          <w:szCs w:val="20"/>
        </w:rPr>
      </w:pPr>
      <w:r w:rsidRPr="00A85D75">
        <w:rPr>
          <w:szCs w:val="20"/>
        </w:rPr>
        <w:t>T</w:t>
      </w:r>
      <w:r w:rsidR="00AD087D">
        <w:rPr>
          <w:szCs w:val="20"/>
        </w:rPr>
        <w:t>his</w:t>
      </w:r>
      <w:r w:rsidRPr="00A85D75">
        <w:rPr>
          <w:szCs w:val="20"/>
        </w:rPr>
        <w:t xml:space="preserve"> examined</w:t>
      </w:r>
      <w:r w:rsidR="00EB79CE">
        <w:rPr>
          <w:szCs w:val="20"/>
        </w:rPr>
        <w:t xml:space="preserve"> the</w:t>
      </w:r>
      <w:r w:rsidRPr="00A85D75">
        <w:rPr>
          <w:szCs w:val="20"/>
        </w:rPr>
        <w:t xml:space="preserve"> current use of the band, domestic demand </w:t>
      </w:r>
      <w:r w:rsidR="000269FB" w:rsidRPr="00A85D75">
        <w:rPr>
          <w:szCs w:val="20"/>
        </w:rPr>
        <w:t xml:space="preserve">for new services </w:t>
      </w:r>
      <w:r w:rsidRPr="00A85D75">
        <w:rPr>
          <w:szCs w:val="20"/>
        </w:rPr>
        <w:t>and international</w:t>
      </w:r>
      <w:r w:rsidR="000B4EA5">
        <w:rPr>
          <w:szCs w:val="20"/>
        </w:rPr>
        <w:t xml:space="preserve"> arrangements and technology</w:t>
      </w:r>
      <w:r w:rsidRPr="00A85D75">
        <w:rPr>
          <w:szCs w:val="20"/>
        </w:rPr>
        <w:t xml:space="preserve"> trends. </w:t>
      </w:r>
    </w:p>
    <w:p w14:paraId="79DD1639" w14:textId="3483C6D9" w:rsidR="006561F0" w:rsidRPr="009D70B4" w:rsidRDefault="006561F0" w:rsidP="005615F5">
      <w:pPr>
        <w:pStyle w:val="ListBullet"/>
        <w:numPr>
          <w:ilvl w:val="0"/>
          <w:numId w:val="0"/>
        </w:numPr>
        <w:rPr>
          <w:szCs w:val="20"/>
        </w:rPr>
      </w:pPr>
      <w:r>
        <w:t xml:space="preserve">The </w:t>
      </w:r>
      <w:r w:rsidR="00F75D56">
        <w:t>May 2022</w:t>
      </w:r>
      <w:r>
        <w:t xml:space="preserve"> paper identified the following </w:t>
      </w:r>
      <w:r w:rsidR="006A52D3">
        <w:t xml:space="preserve">WBB planning </w:t>
      </w:r>
      <w:r w:rsidR="00EC4868">
        <w:t>scenarios</w:t>
      </w:r>
      <w:r w:rsidRPr="009D70B4">
        <w:rPr>
          <w:szCs w:val="20"/>
        </w:rPr>
        <w:t>:</w:t>
      </w:r>
    </w:p>
    <w:p w14:paraId="31AA90EE" w14:textId="68944391" w:rsidR="006561F0" w:rsidRPr="008332FB" w:rsidRDefault="006A52D3" w:rsidP="00A872B2">
      <w:pPr>
        <w:pStyle w:val="ListBullet"/>
      </w:pPr>
      <w:r>
        <w:rPr>
          <w:b/>
          <w:bCs/>
        </w:rPr>
        <w:t>Scenario 1:</w:t>
      </w:r>
      <w:r w:rsidR="006561F0" w:rsidRPr="008332FB">
        <w:t xml:space="preserve"> </w:t>
      </w:r>
      <w:r w:rsidR="00815CE9">
        <w:t>all or part of the 1427</w:t>
      </w:r>
      <w:r w:rsidR="00C369D6">
        <w:t>–</w:t>
      </w:r>
      <w:r w:rsidR="00815CE9">
        <w:t>1517 MHz frequency range would be allocated for WBB using supplemental downlink</w:t>
      </w:r>
      <w:r w:rsidR="000717B1">
        <w:rPr>
          <w:rStyle w:val="FootnoteReference"/>
        </w:rPr>
        <w:footnoteReference w:id="9"/>
      </w:r>
      <w:r w:rsidR="00815CE9">
        <w:t xml:space="preserve"> (SDL) te</w:t>
      </w:r>
      <w:r w:rsidR="000A0FF3">
        <w:t>chnologies. Different</w:t>
      </w:r>
      <w:r w:rsidR="00284F7C">
        <w:t>-</w:t>
      </w:r>
      <w:r w:rsidR="000A0FF3">
        <w:t xml:space="preserve">sized guard bands at the 1427 MHz and/or 1518 MHz frequency boundaries could be considered to enable coexistence with </w:t>
      </w:r>
      <w:r w:rsidR="00ED796C">
        <w:t>earth exploration-satellite service (</w:t>
      </w:r>
      <w:r w:rsidR="000A0FF3">
        <w:t>EESS</w:t>
      </w:r>
      <w:r w:rsidR="00ED796C">
        <w:t>)</w:t>
      </w:r>
      <w:r w:rsidR="000A0FF3">
        <w:t xml:space="preserve"> (passive) and MSS stations.</w:t>
      </w:r>
      <w:r w:rsidR="001F7241">
        <w:t xml:space="preserve"> Adopting SDL arrangements may help to simplify and improve coordination and coexistence arrangements with other in-band and adjacent </w:t>
      </w:r>
      <w:r w:rsidR="00284F7C">
        <w:br/>
      </w:r>
      <w:r w:rsidR="001F7241">
        <w:t>band services.</w:t>
      </w:r>
    </w:p>
    <w:p w14:paraId="7786B6A0" w14:textId="6394A6FA" w:rsidR="006561F0" w:rsidRDefault="006A52D3" w:rsidP="00A872B2">
      <w:pPr>
        <w:pStyle w:val="ListBullet"/>
      </w:pPr>
      <w:r>
        <w:rPr>
          <w:b/>
          <w:bCs/>
        </w:rPr>
        <w:t>Scenario 2:</w:t>
      </w:r>
      <w:r w:rsidR="006561F0">
        <w:t xml:space="preserve"> </w:t>
      </w:r>
      <w:r w:rsidR="00F632AF">
        <w:t xml:space="preserve">all or part of the </w:t>
      </w:r>
      <w:r w:rsidR="00C47BD9">
        <w:t>1427–1517 MHz frequency range would be allocated for WBB using time division duplex (TDD) technologies. Different</w:t>
      </w:r>
      <w:r w:rsidR="00284F7C">
        <w:t>-</w:t>
      </w:r>
      <w:r w:rsidR="00C47BD9">
        <w:t>sized guard bands at the 1427 MHz and/or 1518 MHz frequency boundaries could be considered to enable coexistence with EESS (passive) and MSS stations.</w:t>
      </w:r>
      <w:r w:rsidR="006561F0">
        <w:t xml:space="preserve"> </w:t>
      </w:r>
      <w:r w:rsidR="00676307">
        <w:t xml:space="preserve">TDD WBB arrangements could support either </w:t>
      </w:r>
      <w:r w:rsidR="00284F7C">
        <w:t>l</w:t>
      </w:r>
      <w:r w:rsidR="00941E50">
        <w:t xml:space="preserve">ocal </w:t>
      </w:r>
      <w:r w:rsidR="00284F7C">
        <w:t>a</w:t>
      </w:r>
      <w:r w:rsidR="00941E50">
        <w:t>rea (</w:t>
      </w:r>
      <w:r w:rsidR="00676307">
        <w:t>LA</w:t>
      </w:r>
      <w:r w:rsidR="00941E50">
        <w:t>)</w:t>
      </w:r>
      <w:r w:rsidR="00676307">
        <w:t xml:space="preserve"> WBB or </w:t>
      </w:r>
      <w:r w:rsidR="00284F7C">
        <w:t>w</w:t>
      </w:r>
      <w:r w:rsidR="00941E50">
        <w:t xml:space="preserve">ide </w:t>
      </w:r>
      <w:r w:rsidR="00284F7C">
        <w:t>a</w:t>
      </w:r>
      <w:r w:rsidR="00941E50">
        <w:t>rea (</w:t>
      </w:r>
      <w:r w:rsidR="00676307">
        <w:t>WA</w:t>
      </w:r>
      <w:r w:rsidR="00941E50">
        <w:t>)</w:t>
      </w:r>
      <w:r w:rsidR="00676307">
        <w:t xml:space="preserve"> WBB operations.</w:t>
      </w:r>
      <w:r w:rsidR="00D1785A">
        <w:t xml:space="preserve"> However, more complicated coordination arrangements would be required with other in-band and adjacent band services and coexistence may be more difficult than under SDL WBB arrangements.</w:t>
      </w:r>
    </w:p>
    <w:p w14:paraId="79DEAF92" w14:textId="6F9D5CE6" w:rsidR="004115F8" w:rsidRDefault="006A52D3" w:rsidP="003144E0">
      <w:pPr>
        <w:pStyle w:val="ListBulletLast"/>
      </w:pPr>
      <w:r w:rsidRPr="006A52D3">
        <w:rPr>
          <w:b/>
          <w:bCs/>
        </w:rPr>
        <w:t>Scenario 3:</w:t>
      </w:r>
      <w:r w:rsidR="006561F0">
        <w:t xml:space="preserve"> </w:t>
      </w:r>
      <w:r w:rsidR="00B429D0">
        <w:t xml:space="preserve">all or part of the 1427–1518 MHz frequency range would be allocated for WBB using </w:t>
      </w:r>
      <w:r w:rsidR="00284F7C">
        <w:t>f</w:t>
      </w:r>
      <w:r w:rsidR="00941E50">
        <w:t xml:space="preserve">requency </w:t>
      </w:r>
      <w:r w:rsidR="00284F7C">
        <w:t>d</w:t>
      </w:r>
      <w:r w:rsidR="00941E50">
        <w:t xml:space="preserve">ivisions </w:t>
      </w:r>
      <w:r w:rsidR="00284F7C">
        <w:t>d</w:t>
      </w:r>
      <w:r w:rsidR="00941E50">
        <w:t>uplex (</w:t>
      </w:r>
      <w:r w:rsidR="00B429D0">
        <w:t>FDD</w:t>
      </w:r>
      <w:r w:rsidR="00941E50">
        <w:t>)</w:t>
      </w:r>
      <w:r w:rsidR="00B429D0">
        <w:t xml:space="preserve"> technologies. Different</w:t>
      </w:r>
      <w:r w:rsidR="00284F7C">
        <w:t>-</w:t>
      </w:r>
      <w:r w:rsidR="00B429D0">
        <w:t>sized guard bands at the 1427 MHz and/or 1518 MHz frequency boundaries could be considered to enable coexistence with EESS (passive) and MSS stations. FDD WBB arrangements could support either LA WBB or WA WBB operations.</w:t>
      </w:r>
      <w:r w:rsidR="00D1785A">
        <w:t xml:space="preserve"> However, more complicated coordination arrangements would be required with other in-band and adjacent band services, and coexistence may be more difficult than SDL WBB arrangements.</w:t>
      </w:r>
    </w:p>
    <w:p w14:paraId="097B49F0" w14:textId="1D30E5A0" w:rsidR="00301523" w:rsidRPr="009D70B4" w:rsidRDefault="00301523" w:rsidP="00301523">
      <w:pPr>
        <w:pStyle w:val="ListBullet"/>
        <w:numPr>
          <w:ilvl w:val="0"/>
          <w:numId w:val="0"/>
        </w:numPr>
        <w:rPr>
          <w:szCs w:val="20"/>
        </w:rPr>
      </w:pPr>
      <w:r>
        <w:t xml:space="preserve">The May 2022 paper </w:t>
      </w:r>
      <w:r w:rsidR="00FB17DA">
        <w:t xml:space="preserve">also </w:t>
      </w:r>
      <w:r>
        <w:t xml:space="preserve">identified the following </w:t>
      </w:r>
      <w:r w:rsidR="002A44AF">
        <w:t>MSS</w:t>
      </w:r>
      <w:r>
        <w:t xml:space="preserve"> planning scenarios</w:t>
      </w:r>
      <w:r w:rsidRPr="009D70B4">
        <w:rPr>
          <w:szCs w:val="20"/>
        </w:rPr>
        <w:t>:</w:t>
      </w:r>
    </w:p>
    <w:p w14:paraId="0813FD8B" w14:textId="786EF389" w:rsidR="002A44AF" w:rsidRPr="008332FB" w:rsidRDefault="002A44AF" w:rsidP="00A872B2">
      <w:pPr>
        <w:pStyle w:val="ListBullet"/>
      </w:pPr>
      <w:r>
        <w:rPr>
          <w:b/>
          <w:bCs/>
        </w:rPr>
        <w:t xml:space="preserve">Scenario </w:t>
      </w:r>
      <w:r w:rsidR="00427F49">
        <w:rPr>
          <w:b/>
          <w:bCs/>
        </w:rPr>
        <w:t>4</w:t>
      </w:r>
      <w:r>
        <w:rPr>
          <w:b/>
          <w:bCs/>
        </w:rPr>
        <w:t xml:space="preserve">: </w:t>
      </w:r>
      <w:r w:rsidR="001871AD">
        <w:t>the 1518–1525 MHz and 1668–1675 MHz frequency ranges would be made available for MSS use</w:t>
      </w:r>
      <w:r w:rsidR="00284F7C">
        <w:t>. H</w:t>
      </w:r>
      <w:r w:rsidR="001871AD">
        <w:t xml:space="preserve">owever, incumbent apparatus licensees would be able to continue operating in these </w:t>
      </w:r>
      <w:r w:rsidR="005033A1">
        <w:t>frequency ranges</w:t>
      </w:r>
      <w:r w:rsidR="001871AD">
        <w:t>. This means MSS stations in the 1518</w:t>
      </w:r>
      <w:r w:rsidR="00284F7C">
        <w:t>–</w:t>
      </w:r>
      <w:r w:rsidR="00261153">
        <w:t>1</w:t>
      </w:r>
      <w:r w:rsidR="001871AD">
        <w:t>525 MHz frequency range would operate on a no-protection basis to new and existing incumbent services. This mirrors existing arrangements for MSS in the adjacent 1525</w:t>
      </w:r>
      <w:r w:rsidR="00C369D6">
        <w:t>–</w:t>
      </w:r>
      <w:r w:rsidR="001871AD">
        <w:t>1535 MHz frequency range. There would also be some operational restrictions on MSS stations in the 1668–1675 MHz frequency range to protect radio astronomy and Metsat services.</w:t>
      </w:r>
    </w:p>
    <w:p w14:paraId="01F26789" w14:textId="13419FE7" w:rsidR="002A44AF" w:rsidRDefault="002A44AF" w:rsidP="003144E0">
      <w:pPr>
        <w:pStyle w:val="ListBulletLast"/>
      </w:pPr>
      <w:r>
        <w:rPr>
          <w:b/>
          <w:bCs/>
        </w:rPr>
        <w:t xml:space="preserve">Scenario </w:t>
      </w:r>
      <w:r w:rsidR="00427F49">
        <w:rPr>
          <w:b/>
          <w:bCs/>
        </w:rPr>
        <w:t>5</w:t>
      </w:r>
      <w:r>
        <w:rPr>
          <w:b/>
          <w:bCs/>
        </w:rPr>
        <w:t xml:space="preserve">: </w:t>
      </w:r>
      <w:r w:rsidR="00427F49">
        <w:t xml:space="preserve">similar to scenario 4; however, some or all incumbent apparatus licensees would be required to re-locate from the 1518–1525 MHz </w:t>
      </w:r>
      <w:r w:rsidR="005033A1">
        <w:t>frequency range</w:t>
      </w:r>
      <w:r w:rsidR="00427F49">
        <w:t>. MSS stations in the 1518–1525 MHz frequency range would operate on a no-protection basis for any remaining incumbent services.</w:t>
      </w:r>
    </w:p>
    <w:p w14:paraId="4F4E4A0A" w14:textId="5381B69F" w:rsidR="00301523" w:rsidRDefault="00284F7C" w:rsidP="00551F4B">
      <w:pPr>
        <w:pStyle w:val="ListBullet"/>
        <w:numPr>
          <w:ilvl w:val="0"/>
          <w:numId w:val="0"/>
        </w:numPr>
      </w:pPr>
      <w:r>
        <w:t>We</w:t>
      </w:r>
      <w:r w:rsidR="005A7D70">
        <w:t xml:space="preserve"> presented 5 issues for comment in the</w:t>
      </w:r>
      <w:r w:rsidR="00A038AD">
        <w:t xml:space="preserve"> May 2022</w:t>
      </w:r>
      <w:r w:rsidR="005A7D70">
        <w:t xml:space="preserve"> paper:</w:t>
      </w:r>
    </w:p>
    <w:p w14:paraId="5BC71475" w14:textId="5AE20ED0" w:rsidR="00BB5B80" w:rsidRDefault="00BB5B80" w:rsidP="00BB5B80">
      <w:pPr>
        <w:pStyle w:val="Numberlistlevel1"/>
        <w:numPr>
          <w:ilvl w:val="0"/>
          <w:numId w:val="13"/>
        </w:numPr>
        <w:ind w:left="360"/>
      </w:pPr>
      <w:bookmarkStart w:id="66" w:name="_Hlk14257908"/>
      <w:r>
        <w:t>Are there any international arrangements or technology trends that the ACMA should be aware of?</w:t>
      </w:r>
    </w:p>
    <w:p w14:paraId="357726E9" w14:textId="452D6323" w:rsidR="00BB5B80" w:rsidRDefault="00426B6F" w:rsidP="00BB5B80">
      <w:pPr>
        <w:pStyle w:val="Numberlistlevel1"/>
        <w:numPr>
          <w:ilvl w:val="0"/>
          <w:numId w:val="13"/>
        </w:numPr>
        <w:ind w:left="360"/>
      </w:pPr>
      <w:r>
        <w:t>What is the demand for access to the 1.5 GHz band for WBB, MSS and broadcasting services? Are there any other new services that should be considered?</w:t>
      </w:r>
    </w:p>
    <w:p w14:paraId="739FF12F" w14:textId="299D5612" w:rsidR="00426B6F" w:rsidRDefault="00426B6F" w:rsidP="00BB5B80">
      <w:pPr>
        <w:pStyle w:val="Numberlistlevel1"/>
        <w:numPr>
          <w:ilvl w:val="0"/>
          <w:numId w:val="13"/>
        </w:numPr>
        <w:ind w:left="360"/>
      </w:pPr>
      <w:r>
        <w:t>What are the ongoing requirements for incumbent services in the 1.5 GHz band? Are there any viable alternative options?</w:t>
      </w:r>
    </w:p>
    <w:p w14:paraId="5A2C5B21" w14:textId="46D94DEB" w:rsidR="00426B6F" w:rsidRDefault="00426B6F" w:rsidP="00BB5B80">
      <w:pPr>
        <w:pStyle w:val="Numberlistlevel1"/>
        <w:numPr>
          <w:ilvl w:val="0"/>
          <w:numId w:val="13"/>
        </w:numPr>
        <w:ind w:left="360"/>
      </w:pPr>
      <w:r>
        <w:t>What planning scenarios should be considered in the 1.5 GHz band?</w:t>
      </w:r>
    </w:p>
    <w:p w14:paraId="4B54E18B" w14:textId="08E3D93D" w:rsidR="00012846" w:rsidRDefault="00012846" w:rsidP="00551F4B">
      <w:pPr>
        <w:pStyle w:val="Numberlistlevel1"/>
        <w:numPr>
          <w:ilvl w:val="0"/>
          <w:numId w:val="13"/>
        </w:numPr>
        <w:spacing w:after="240"/>
        <w:ind w:left="357" w:hanging="357"/>
      </w:pPr>
      <w:r>
        <w:t>Comment is sought on the coexistence scenarios identified, including the ACMA’s preliminary thinking on these scenarios. Are there any other coexistence scenarios the ACMA should consider?</w:t>
      </w:r>
    </w:p>
    <w:p w14:paraId="29187D24" w14:textId="299E9B4B" w:rsidR="00883311" w:rsidRDefault="00883311" w:rsidP="00883311">
      <w:pPr>
        <w:pStyle w:val="Heading3"/>
      </w:pPr>
      <w:bookmarkStart w:id="67" w:name="_Toc153793188"/>
      <w:bookmarkEnd w:id="66"/>
      <w:r>
        <w:t>Options paper</w:t>
      </w:r>
      <w:bookmarkEnd w:id="67"/>
    </w:p>
    <w:p w14:paraId="2B7EA319" w14:textId="3247D93D" w:rsidR="001426AD" w:rsidRDefault="00284F7C" w:rsidP="00883311">
      <w:r>
        <w:t>We</w:t>
      </w:r>
      <w:r w:rsidR="009D530E" w:rsidRPr="00A85D75">
        <w:t xml:space="preserve"> subsequentl</w:t>
      </w:r>
      <w:r w:rsidR="00405924" w:rsidRPr="00A85D75">
        <w:t>y progressed the band to the preliminary replanning stag</w:t>
      </w:r>
      <w:r w:rsidR="003B72F1" w:rsidRPr="00A85D75">
        <w:t>e, which included release</w:t>
      </w:r>
      <w:r w:rsidR="009205C3">
        <w:t xml:space="preserve"> of</w:t>
      </w:r>
      <w:r w:rsidR="003B72F1" w:rsidRPr="00A85D75">
        <w:t xml:space="preserve"> </w:t>
      </w:r>
      <w:r w:rsidR="00C369D6">
        <w:t>the</w:t>
      </w:r>
      <w:r w:rsidR="00B0233E" w:rsidRPr="00BA69B3">
        <w:t xml:space="preserve"> options paper in August 2023</w:t>
      </w:r>
      <w:r w:rsidR="0072114D" w:rsidRPr="00A85D75">
        <w:t xml:space="preserve">. </w:t>
      </w:r>
    </w:p>
    <w:p w14:paraId="32DA17BD" w14:textId="48D38A83" w:rsidR="00883311" w:rsidRDefault="00883311" w:rsidP="00883311">
      <w:pPr>
        <w:pStyle w:val="Paragraphbeforelist"/>
      </w:pPr>
      <w:r w:rsidRPr="00BF2F2F">
        <w:t xml:space="preserve">In conducting its planning activities, </w:t>
      </w:r>
      <w:r w:rsidR="0079460E">
        <w:t>we are</w:t>
      </w:r>
      <w:r>
        <w:t xml:space="preserve"> </w:t>
      </w:r>
      <w:r w:rsidRPr="00BF2F2F">
        <w:t>informed by the object of the</w:t>
      </w:r>
      <w:r>
        <w:t xml:space="preserve"> </w:t>
      </w:r>
      <w:r w:rsidRPr="00A05EC9">
        <w:t>Act</w:t>
      </w:r>
      <w:r>
        <w:t xml:space="preserve">. Consistent with that object and after reviewing submissions to the </w:t>
      </w:r>
      <w:r w:rsidR="00EB0132">
        <w:t>May 2022</w:t>
      </w:r>
      <w:r>
        <w:t xml:space="preserve"> paper, the options paper proposed the following </w:t>
      </w:r>
      <w:r w:rsidR="00B452A2">
        <w:t>3</w:t>
      </w:r>
      <w:r w:rsidRPr="0098545F">
        <w:t xml:space="preserve"> desirable planning outcomes for</w:t>
      </w:r>
      <w:r>
        <w:t xml:space="preserve"> the review of the </w:t>
      </w:r>
      <w:r w:rsidR="0098545F">
        <w:t xml:space="preserve">extended </w:t>
      </w:r>
      <w:r w:rsidR="009F66D0">
        <w:t>MSS L-</w:t>
      </w:r>
      <w:r>
        <w:t>band:</w:t>
      </w:r>
    </w:p>
    <w:p w14:paraId="6C7B1246" w14:textId="77777777" w:rsidR="00681235" w:rsidRPr="007E689C" w:rsidRDefault="00681235" w:rsidP="00363703">
      <w:pPr>
        <w:pStyle w:val="ListNumber"/>
        <w:numPr>
          <w:ilvl w:val="0"/>
          <w:numId w:val="47"/>
        </w:numPr>
      </w:pPr>
      <w:bookmarkStart w:id="68" w:name="_Hlk135378214"/>
      <w:r w:rsidRPr="007E689C">
        <w:t xml:space="preserve">Support the introduction of MSS in all or part of the extended MSS L-band in a reasonable timeframe.  </w:t>
      </w:r>
    </w:p>
    <w:p w14:paraId="4878E7DD" w14:textId="76759A94" w:rsidR="00681235" w:rsidRDefault="00681235" w:rsidP="00681235">
      <w:pPr>
        <w:pStyle w:val="Numberlistlevel1"/>
        <w:numPr>
          <w:ilvl w:val="0"/>
          <w:numId w:val="32"/>
        </w:numPr>
      </w:pPr>
      <w:r>
        <w:t xml:space="preserve">Support ongoing use of the extended MSS L-band (and where relevant, adjacent bands) by incumbent licences and services as summarised at </w:t>
      </w:r>
      <w:hyperlink w:anchor="_Appendix_B:_Summary" w:history="1">
        <w:r w:rsidRPr="0079460E">
          <w:rPr>
            <w:rStyle w:val="Hyperlink"/>
          </w:rPr>
          <w:t xml:space="preserve">Appendix </w:t>
        </w:r>
        <w:r w:rsidR="00B66B37" w:rsidRPr="0079460E">
          <w:rPr>
            <w:rStyle w:val="Hyperlink"/>
          </w:rPr>
          <w:t>B</w:t>
        </w:r>
      </w:hyperlink>
      <w:r>
        <w:t>. This includes:</w:t>
      </w:r>
    </w:p>
    <w:p w14:paraId="2AD789F5" w14:textId="77777777" w:rsidR="005033A1" w:rsidRDefault="005033A1" w:rsidP="005033A1">
      <w:pPr>
        <w:pStyle w:val="ListNumber2"/>
        <w:numPr>
          <w:ilvl w:val="0"/>
          <w:numId w:val="48"/>
        </w:numPr>
      </w:pPr>
      <w:r>
        <w:t>Licences used for stratospheric balloon communications and licences held by Defence across the 1427</w:t>
      </w:r>
      <w:r w:rsidRPr="00363703">
        <w:rPr>
          <w:rFonts w:cs="Arial"/>
          <w:szCs w:val="20"/>
        </w:rPr>
        <w:t>–</w:t>
      </w:r>
      <w:r>
        <w:t>1535 MHz frequency range.</w:t>
      </w:r>
    </w:p>
    <w:p w14:paraId="29D455EB" w14:textId="77777777" w:rsidR="005033A1" w:rsidRDefault="005033A1" w:rsidP="005033A1">
      <w:pPr>
        <w:pStyle w:val="ListNumber2"/>
        <w:numPr>
          <w:ilvl w:val="0"/>
          <w:numId w:val="33"/>
        </w:numPr>
        <w:ind w:left="709" w:hanging="283"/>
      </w:pPr>
      <w:r>
        <w:t>Fixed licences and services (point-to-point and point-to-multipoint). This includes enabling the ongoing use of those licences used for the delivery of USO services in the 1427</w:t>
      </w:r>
      <w:r>
        <w:rPr>
          <w:rFonts w:cs="Arial"/>
          <w:szCs w:val="20"/>
        </w:rPr>
        <w:t>–</w:t>
      </w:r>
      <w:r>
        <w:t xml:space="preserve">1535 MHz frequency range until </w:t>
      </w:r>
      <w:r w:rsidRPr="00D866C0">
        <w:t>such time as a proven alternate technology solution is identified and deployed</w:t>
      </w:r>
      <w:r>
        <w:t>.</w:t>
      </w:r>
    </w:p>
    <w:p w14:paraId="51F0F103" w14:textId="77777777" w:rsidR="005033A1" w:rsidRDefault="005033A1" w:rsidP="005033A1">
      <w:pPr>
        <w:pStyle w:val="ListNumber2"/>
        <w:numPr>
          <w:ilvl w:val="0"/>
          <w:numId w:val="33"/>
        </w:numPr>
        <w:ind w:left="709" w:hanging="218"/>
      </w:pPr>
      <w:r>
        <w:t>R</w:t>
      </w:r>
      <w:r w:rsidRPr="00806DA7">
        <w:t>adio astronomy and meteorological services</w:t>
      </w:r>
      <w:r>
        <w:t xml:space="preserve"> in and adjacent to the 1668</w:t>
      </w:r>
      <w:r>
        <w:rPr>
          <w:rFonts w:cs="Arial"/>
          <w:szCs w:val="20"/>
        </w:rPr>
        <w:t>–</w:t>
      </w:r>
      <w:r>
        <w:t>1675 MHz frequency range.</w:t>
      </w:r>
    </w:p>
    <w:p w14:paraId="235AD55C" w14:textId="77777777" w:rsidR="005033A1" w:rsidRPr="0055049B" w:rsidRDefault="005033A1" w:rsidP="005033A1">
      <w:pPr>
        <w:pStyle w:val="ListNumber2"/>
        <w:numPr>
          <w:ilvl w:val="0"/>
          <w:numId w:val="33"/>
        </w:numPr>
        <w:ind w:left="709" w:hanging="218"/>
      </w:pPr>
      <w:r w:rsidRPr="00FE1E87">
        <w:rPr>
          <w:rFonts w:cs="Arial"/>
          <w:szCs w:val="20"/>
        </w:rPr>
        <w:t>Devices authorised to operate in accordance with the</w:t>
      </w:r>
      <w:r>
        <w:t xml:space="preserve"> </w:t>
      </w:r>
      <w:hyperlink r:id="rId50" w:history="1">
        <w:r w:rsidRPr="005E1CCE">
          <w:rPr>
            <w:rStyle w:val="Hyperlink"/>
          </w:rPr>
          <w:t>Radiocommunications (Low Interference Potential Devices) Class Licence 2015</w:t>
        </w:r>
      </w:hyperlink>
      <w:r>
        <w:t xml:space="preserve"> (the LIPD class licence), such as ground/wall penetrating radars.</w:t>
      </w:r>
    </w:p>
    <w:p w14:paraId="46610505" w14:textId="2B8831F8" w:rsidR="00681235" w:rsidRDefault="00681235" w:rsidP="00B66B37">
      <w:pPr>
        <w:pStyle w:val="Numberlistlevel1"/>
        <w:numPr>
          <w:ilvl w:val="0"/>
          <w:numId w:val="32"/>
        </w:numPr>
        <w:spacing w:after="240"/>
        <w:ind w:left="357" w:hanging="357"/>
      </w:pPr>
      <w:bookmarkStart w:id="69" w:name="_Hlk140071473"/>
      <w:r>
        <w:t>Consider necessary regulatory measures for new MSS use in the extended MSS L</w:t>
      </w:r>
      <w:r>
        <w:noBreakHyphen/>
        <w:t>band to enable coexistence with incumbent and possible future in-band and adjacent band services (such as WBB)</w:t>
      </w:r>
      <w:bookmarkEnd w:id="69"/>
      <w:r>
        <w:t xml:space="preserve">. </w:t>
      </w:r>
      <w:bookmarkStart w:id="70" w:name="_Hlk141264671"/>
      <w:r>
        <w:t>This is so the introduction of MSS before options for other services are considered does not unduly limit or constrain future replanning of the broader 1.5 GHz band.</w:t>
      </w:r>
      <w:bookmarkEnd w:id="70"/>
    </w:p>
    <w:bookmarkEnd w:id="68"/>
    <w:p w14:paraId="02CDFAAC" w14:textId="67AFD197" w:rsidR="0077520A" w:rsidRPr="00A85D75" w:rsidRDefault="004C2D32" w:rsidP="00485EDB">
      <w:pPr>
        <w:pStyle w:val="Paragraphbeforelist"/>
      </w:pPr>
      <w:r w:rsidRPr="00A85D75">
        <w:t>The paper</w:t>
      </w:r>
      <w:r w:rsidR="003C0268" w:rsidRPr="00A85D75">
        <w:t xml:space="preserve"> identified </w:t>
      </w:r>
      <w:r w:rsidR="001F7A4F" w:rsidRPr="00A85D75">
        <w:t xml:space="preserve">and assessed </w:t>
      </w:r>
      <w:r w:rsidR="00B452A2">
        <w:t>3</w:t>
      </w:r>
      <w:r w:rsidR="000F288D" w:rsidRPr="00A85D75">
        <w:t xml:space="preserve"> </w:t>
      </w:r>
      <w:r w:rsidR="003C0268" w:rsidRPr="00A85D75">
        <w:t xml:space="preserve">replanning options for the </w:t>
      </w:r>
      <w:r w:rsidR="008C0F8D">
        <w:t>extended MSS L-</w:t>
      </w:r>
      <w:r w:rsidR="003C0268" w:rsidRPr="00A85D75">
        <w:t>band</w:t>
      </w:r>
      <w:r w:rsidR="00815097">
        <w:t>.</w:t>
      </w:r>
    </w:p>
    <w:p w14:paraId="1A34D17E" w14:textId="77777777" w:rsidR="00A11D88" w:rsidRDefault="00A11D88" w:rsidP="003144E0">
      <w:pPr>
        <w:pStyle w:val="ListBullet"/>
      </w:pPr>
      <w:r>
        <w:t>Option 1: No change, maintain the existing arrangements.</w:t>
      </w:r>
    </w:p>
    <w:p w14:paraId="775580F9" w14:textId="77777777" w:rsidR="00A11D88" w:rsidRDefault="00A11D88" w:rsidP="003144E0">
      <w:pPr>
        <w:pStyle w:val="ListBullet"/>
      </w:pPr>
      <w:r>
        <w:t>Option 2: Implement arrangements to enable MSS use of the extended MSS L</w:t>
      </w:r>
      <w:r>
        <w:noBreakHyphen/>
        <w:t>band. All incumbent services and licences can continue operating in the band.</w:t>
      </w:r>
    </w:p>
    <w:p w14:paraId="2641C51F" w14:textId="77777777" w:rsidR="00A11D88" w:rsidRDefault="00A11D88" w:rsidP="003144E0">
      <w:pPr>
        <w:pStyle w:val="ListBulletLast"/>
      </w:pPr>
      <w:r>
        <w:t>Option 3: Implement arrangements to enable MSS use of the extended MSS L</w:t>
      </w:r>
      <w:r>
        <w:noBreakHyphen/>
        <w:t>band. Re-locate some or most incumbent services and licences to alternative bands or delivery techniques.</w:t>
      </w:r>
    </w:p>
    <w:p w14:paraId="69A08274" w14:textId="56DD0805" w:rsidR="00293B26" w:rsidRDefault="006A3F82" w:rsidP="00B30297">
      <w:pPr>
        <w:pStyle w:val="Paragraph"/>
      </w:pPr>
      <w:r w:rsidRPr="00A85D75">
        <w:t xml:space="preserve">Option </w:t>
      </w:r>
      <w:r w:rsidR="00A11D88">
        <w:t>2</w:t>
      </w:r>
      <w:r w:rsidRPr="00A85D75">
        <w:t xml:space="preserve"> was identified as </w:t>
      </w:r>
      <w:r w:rsidR="0079460E">
        <w:t>our</w:t>
      </w:r>
      <w:r w:rsidR="005A04F7">
        <w:t xml:space="preserve"> preferred option as it best aligns with our desirable planning outcomes. This option also allows arrangements for MSS to be implemented in a shorter timeframe than Option 3</w:t>
      </w:r>
      <w:r w:rsidR="00293B26">
        <w:t>.</w:t>
      </w:r>
    </w:p>
    <w:p w14:paraId="4E08E8AC" w14:textId="5A61E080" w:rsidR="00AD0A12" w:rsidRDefault="00AD0A12" w:rsidP="00AD0A12">
      <w:pPr>
        <w:pStyle w:val="ListBullet"/>
        <w:numPr>
          <w:ilvl w:val="0"/>
          <w:numId w:val="0"/>
        </w:numPr>
      </w:pPr>
      <w:r>
        <w:t>The ACMA presented 4 issues for comment in the options paper:</w:t>
      </w:r>
    </w:p>
    <w:p w14:paraId="685192F5" w14:textId="77777777" w:rsidR="00AD0A12" w:rsidRPr="00AE5586" w:rsidRDefault="00AD0A12" w:rsidP="00AD0A12">
      <w:pPr>
        <w:pStyle w:val="ListNumber"/>
        <w:numPr>
          <w:ilvl w:val="0"/>
          <w:numId w:val="34"/>
        </w:numPr>
      </w:pPr>
      <w:bookmarkStart w:id="71" w:name="_Hlk140587394"/>
      <w:r w:rsidRPr="00AE5586">
        <w:t xml:space="preserve">Comment is sought on the </w:t>
      </w:r>
      <w:r>
        <w:t xml:space="preserve">proposed </w:t>
      </w:r>
      <w:r w:rsidRPr="00AE5586">
        <w:t xml:space="preserve">desirable planning outcomes for the review of the extended </w:t>
      </w:r>
      <w:r>
        <w:t xml:space="preserve">MSS </w:t>
      </w:r>
      <w:r w:rsidRPr="00AE5586">
        <w:t>L</w:t>
      </w:r>
      <w:r>
        <w:t>-</w:t>
      </w:r>
      <w:r w:rsidRPr="00AE5586">
        <w:t>band.</w:t>
      </w:r>
    </w:p>
    <w:p w14:paraId="1C7FB7B1" w14:textId="77777777" w:rsidR="00AD0A12" w:rsidRPr="00F83DF1" w:rsidRDefault="00AD0A12" w:rsidP="00AD0A12">
      <w:pPr>
        <w:pStyle w:val="ListNumber"/>
      </w:pPr>
      <w:r>
        <w:t>Comment is sought on the options identified. Do you have any alternative options to propose</w:t>
      </w:r>
      <w:r w:rsidRPr="00AE5586">
        <w:t>?</w:t>
      </w:r>
    </w:p>
    <w:p w14:paraId="6AB6D059" w14:textId="77777777" w:rsidR="00AD0A12" w:rsidRPr="00F83DF1" w:rsidRDefault="00AD0A12" w:rsidP="00AD0A12">
      <w:pPr>
        <w:pStyle w:val="ListNumber"/>
      </w:pPr>
      <w:r w:rsidRPr="00AE5586">
        <w:t>Comment is sought on the ACMA’s assessment of options.</w:t>
      </w:r>
    </w:p>
    <w:p w14:paraId="0263D861" w14:textId="77777777" w:rsidR="00AD0A12" w:rsidRPr="00475A61" w:rsidRDefault="00AD0A12" w:rsidP="00AD0A12">
      <w:pPr>
        <w:pStyle w:val="Numberlistlast"/>
        <w:rPr>
          <w:color w:val="000000"/>
        </w:rPr>
      </w:pPr>
      <w:r>
        <w:t xml:space="preserve">Comment is sought on the ACMA’s preliminary preferred approach, including the proposed draft amendments to the </w:t>
      </w:r>
      <w:hyperlink r:id="rId51" w:history="1">
        <w:r w:rsidRPr="00F8639A">
          <w:rPr>
            <w:rStyle w:val="Hyperlink"/>
            <w:bCs/>
          </w:rPr>
          <w:t>Radiocommunications (Communication with Space Object) Class Licence</w:t>
        </w:r>
      </w:hyperlink>
      <w:r w:rsidRPr="00F8639A">
        <w:rPr>
          <w:rStyle w:val="Hyperlink"/>
          <w:bCs/>
        </w:rPr>
        <w:t xml:space="preserve"> 2015</w:t>
      </w:r>
      <w:r>
        <w:t xml:space="preserve"> and associated licence application and allocation process.</w:t>
      </w:r>
    </w:p>
    <w:p w14:paraId="38FF0CA3" w14:textId="6800B456" w:rsidR="0016325C" w:rsidRPr="00A85D75" w:rsidRDefault="00D906D1" w:rsidP="0016325C">
      <w:pPr>
        <w:pStyle w:val="Heading2"/>
      </w:pPr>
      <w:bookmarkStart w:id="72" w:name="_Toc46316359"/>
      <w:bookmarkStart w:id="73" w:name="_Toc56965688"/>
      <w:bookmarkStart w:id="74" w:name="_Toc153793189"/>
      <w:bookmarkEnd w:id="71"/>
      <w:r w:rsidRPr="00A85D75">
        <w:t>Discussion</w:t>
      </w:r>
      <w:r w:rsidR="0016325C" w:rsidRPr="00A85D75">
        <w:t xml:space="preserve"> of </w:t>
      </w:r>
      <w:bookmarkEnd w:id="72"/>
      <w:bookmarkEnd w:id="73"/>
      <w:r w:rsidR="004541F3">
        <w:t>responses</w:t>
      </w:r>
      <w:bookmarkEnd w:id="74"/>
    </w:p>
    <w:p w14:paraId="68371929" w14:textId="78897FA1" w:rsidR="00FD7AC3" w:rsidRDefault="004632E1" w:rsidP="004632E1">
      <w:pPr>
        <w:widowControl w:val="0"/>
        <w:spacing w:before="120"/>
      </w:pPr>
      <w:r>
        <w:t>Consultation on the options paper close</w:t>
      </w:r>
      <w:r w:rsidR="00564582">
        <w:t>d</w:t>
      </w:r>
      <w:r>
        <w:t xml:space="preserve"> on </w:t>
      </w:r>
      <w:r w:rsidR="00F60C04">
        <w:t>20 September</w:t>
      </w:r>
      <w:r>
        <w:t xml:space="preserve"> </w:t>
      </w:r>
      <w:r w:rsidRPr="00C70545">
        <w:t xml:space="preserve">2023. </w:t>
      </w:r>
      <w:r w:rsidR="000B5A7F" w:rsidRPr="00C70545">
        <w:rPr>
          <w:szCs w:val="20"/>
        </w:rPr>
        <w:t>We</w:t>
      </w:r>
      <w:r w:rsidR="0016325C" w:rsidRPr="00C70545">
        <w:rPr>
          <w:szCs w:val="20"/>
        </w:rPr>
        <w:t xml:space="preserve"> received </w:t>
      </w:r>
      <w:r w:rsidR="0079460E">
        <w:rPr>
          <w:szCs w:val="20"/>
        </w:rPr>
        <w:br/>
      </w:r>
      <w:r w:rsidR="00C70545" w:rsidRPr="00C70545">
        <w:rPr>
          <w:szCs w:val="20"/>
        </w:rPr>
        <w:t>8</w:t>
      </w:r>
      <w:r w:rsidR="006302EA" w:rsidRPr="00C70545">
        <w:rPr>
          <w:szCs w:val="20"/>
        </w:rPr>
        <w:t xml:space="preserve"> </w:t>
      </w:r>
      <w:r w:rsidR="004541F3" w:rsidRPr="00C70545">
        <w:t>responses to the options paper</w:t>
      </w:r>
      <w:r w:rsidR="00FD7AC3" w:rsidRPr="00C70545">
        <w:t>. A</w:t>
      </w:r>
      <w:r w:rsidR="00FD7AC3">
        <w:t xml:space="preserve"> </w:t>
      </w:r>
      <w:r w:rsidR="008E4152">
        <w:t>‘</w:t>
      </w:r>
      <w:r w:rsidR="00FD7AC3">
        <w:t>reply to comment</w:t>
      </w:r>
      <w:r w:rsidR="008E4152">
        <w:t>’</w:t>
      </w:r>
      <w:r w:rsidR="00FD7AC3">
        <w:t xml:space="preserve"> period opened on </w:t>
      </w:r>
      <w:r w:rsidR="00F60C04">
        <w:t>28 September</w:t>
      </w:r>
      <w:r w:rsidR="00FD7AC3">
        <w:t xml:space="preserve"> 2023 and closed on </w:t>
      </w:r>
      <w:r w:rsidR="00F60C04">
        <w:t>25 October</w:t>
      </w:r>
      <w:r w:rsidR="00FD7AC3">
        <w:t xml:space="preserve"> 2023, with</w:t>
      </w:r>
      <w:r w:rsidR="00F60C04">
        <w:t xml:space="preserve"> </w:t>
      </w:r>
      <w:r w:rsidR="0079460E">
        <w:t>one</w:t>
      </w:r>
      <w:r w:rsidR="00FD7AC3">
        <w:t xml:space="preserve"> re</w:t>
      </w:r>
      <w:r w:rsidR="00F928CC">
        <w:t>pl</w:t>
      </w:r>
      <w:r w:rsidR="00F60C04">
        <w:t>y</w:t>
      </w:r>
      <w:r w:rsidR="00FD7AC3">
        <w:t xml:space="preserve"> received.</w:t>
      </w:r>
      <w:r w:rsidR="000F288D">
        <w:t xml:space="preserve"> </w:t>
      </w:r>
      <w:r w:rsidR="00FD7AC3">
        <w:t>All submissions</w:t>
      </w:r>
      <w:r w:rsidR="0016325C" w:rsidRPr="00A85D75">
        <w:t xml:space="preserve"> are available </w:t>
      </w:r>
      <w:hyperlink r:id="rId52" w:history="1">
        <w:r w:rsidR="0016325C" w:rsidRPr="008B24D8">
          <w:rPr>
            <w:rStyle w:val="Hyperlink"/>
          </w:rPr>
          <w:t>on the ACMA website</w:t>
        </w:r>
      </w:hyperlink>
      <w:r w:rsidR="0016325C" w:rsidRPr="00A85D75">
        <w:t>.</w:t>
      </w:r>
    </w:p>
    <w:p w14:paraId="5AB6C5F9" w14:textId="24579FC6" w:rsidR="00EE0ABE" w:rsidRPr="00057029" w:rsidRDefault="00EE0ABE" w:rsidP="00EE0ABE">
      <w:pPr>
        <w:pStyle w:val="Heading1"/>
      </w:pPr>
      <w:bookmarkStart w:id="75" w:name="_Toc153793190"/>
      <w:r w:rsidRPr="00057029">
        <w:t xml:space="preserve">Summary and response to </w:t>
      </w:r>
      <w:r>
        <w:t xml:space="preserve">options paper </w:t>
      </w:r>
      <w:r w:rsidRPr="00057029">
        <w:t>issues</w:t>
      </w:r>
      <w:bookmarkEnd w:id="75"/>
    </w:p>
    <w:p w14:paraId="17E933C1" w14:textId="1B77E02F" w:rsidR="00786A1B" w:rsidRPr="00786A1B" w:rsidRDefault="00EE0ABE" w:rsidP="00EE0ABE">
      <w:pPr>
        <w:rPr>
          <w:rFonts w:cs="Arial"/>
          <w:szCs w:val="20"/>
        </w:rPr>
      </w:pPr>
      <w:r w:rsidRPr="00057029">
        <w:rPr>
          <w:rFonts w:cs="Arial"/>
          <w:szCs w:val="20"/>
        </w:rPr>
        <w:t>This section summarises responses made on the issues for comment in the</w:t>
      </w:r>
      <w:r>
        <w:rPr>
          <w:rFonts w:cs="Arial"/>
          <w:szCs w:val="20"/>
        </w:rPr>
        <w:t xml:space="preserve"> options</w:t>
      </w:r>
      <w:r w:rsidRPr="00057029">
        <w:rPr>
          <w:rFonts w:cs="Arial"/>
          <w:szCs w:val="20"/>
        </w:rPr>
        <w:t xml:space="preserve"> paper</w:t>
      </w:r>
      <w:r w:rsidR="0079460E">
        <w:rPr>
          <w:rFonts w:cs="Arial"/>
          <w:szCs w:val="20"/>
        </w:rPr>
        <w:t>,</w:t>
      </w:r>
      <w:r w:rsidRPr="00057029">
        <w:rPr>
          <w:rFonts w:cs="Arial"/>
          <w:szCs w:val="20"/>
        </w:rPr>
        <w:t xml:space="preserve"> as well as additional issues raised</w:t>
      </w:r>
      <w:r w:rsidR="00C14399">
        <w:rPr>
          <w:rFonts w:cs="Arial"/>
          <w:szCs w:val="20"/>
        </w:rPr>
        <w:t xml:space="preserve">, and the reply to </w:t>
      </w:r>
      <w:r w:rsidR="004541F3">
        <w:rPr>
          <w:rFonts w:cs="Arial"/>
          <w:szCs w:val="20"/>
        </w:rPr>
        <w:t xml:space="preserve">responses </w:t>
      </w:r>
      <w:r w:rsidR="00C14399">
        <w:rPr>
          <w:rFonts w:cs="Arial"/>
          <w:szCs w:val="20"/>
        </w:rPr>
        <w:t>we received</w:t>
      </w:r>
      <w:r w:rsidRPr="00057029">
        <w:rPr>
          <w:rFonts w:cs="Arial"/>
          <w:szCs w:val="20"/>
        </w:rPr>
        <w:t>.</w:t>
      </w:r>
      <w:r w:rsidR="0055126E">
        <w:rPr>
          <w:rFonts w:cs="Arial"/>
          <w:szCs w:val="20"/>
        </w:rPr>
        <w:t xml:space="preserve"> </w:t>
      </w:r>
      <w:r w:rsidR="00786A1B" w:rsidRPr="00786A1B">
        <w:rPr>
          <w:rFonts w:cs="Arial"/>
          <w:szCs w:val="20"/>
        </w:rPr>
        <w:t xml:space="preserve">A list of all respondents is in </w:t>
      </w:r>
      <w:hyperlink w:anchor="_Appendix_A:_Summary" w:history="1">
        <w:r w:rsidR="00786A1B" w:rsidRPr="0079460E">
          <w:rPr>
            <w:rStyle w:val="Hyperlink"/>
            <w:rFonts w:cs="Arial"/>
            <w:szCs w:val="20"/>
          </w:rPr>
          <w:t>Appendix A</w:t>
        </w:r>
      </w:hyperlink>
      <w:r w:rsidR="00786A1B" w:rsidRPr="00786A1B">
        <w:rPr>
          <w:rFonts w:cs="Arial"/>
          <w:szCs w:val="20"/>
        </w:rPr>
        <w:t>.</w:t>
      </w:r>
      <w:r w:rsidR="00786A1B">
        <w:rPr>
          <w:rFonts w:cs="Arial"/>
          <w:szCs w:val="20"/>
        </w:rPr>
        <w:t xml:space="preserve"> </w:t>
      </w:r>
      <w:r w:rsidR="0055126E">
        <w:rPr>
          <w:rFonts w:cs="Arial"/>
          <w:szCs w:val="20"/>
        </w:rPr>
        <w:t xml:space="preserve">Of </w:t>
      </w:r>
      <w:r w:rsidR="0055126E" w:rsidRPr="00786A1B">
        <w:rPr>
          <w:rFonts w:cs="Arial"/>
          <w:szCs w:val="20"/>
        </w:rPr>
        <w:t xml:space="preserve">the </w:t>
      </w:r>
      <w:r w:rsidR="00B452A2">
        <w:rPr>
          <w:rFonts w:cs="Arial"/>
          <w:szCs w:val="20"/>
        </w:rPr>
        <w:t>8</w:t>
      </w:r>
      <w:r w:rsidR="0055126E" w:rsidRPr="00786A1B">
        <w:rPr>
          <w:rFonts w:cs="Arial"/>
          <w:szCs w:val="20"/>
        </w:rPr>
        <w:t xml:space="preserve"> responses received, </w:t>
      </w:r>
      <w:r w:rsidR="00B452A2">
        <w:rPr>
          <w:rFonts w:cs="Arial"/>
          <w:szCs w:val="20"/>
        </w:rPr>
        <w:t>7</w:t>
      </w:r>
      <w:r w:rsidR="0055126E" w:rsidRPr="00786A1B">
        <w:rPr>
          <w:rFonts w:cs="Arial"/>
          <w:szCs w:val="20"/>
        </w:rPr>
        <w:t xml:space="preserve"> directly addressed the issues for comment</w:t>
      </w:r>
      <w:r w:rsidR="00786A1B">
        <w:rPr>
          <w:rFonts w:cs="Arial"/>
          <w:szCs w:val="20"/>
        </w:rPr>
        <w:t xml:space="preserve"> and</w:t>
      </w:r>
      <w:r w:rsidR="00375756" w:rsidRPr="00786A1B">
        <w:rPr>
          <w:rFonts w:cs="Arial"/>
          <w:szCs w:val="20"/>
        </w:rPr>
        <w:t xml:space="preserve"> supported </w:t>
      </w:r>
      <w:r w:rsidR="00786A1B">
        <w:rPr>
          <w:rFonts w:cs="Arial"/>
          <w:szCs w:val="20"/>
        </w:rPr>
        <w:t xml:space="preserve">the ACMA’s preferred </w:t>
      </w:r>
      <w:r w:rsidR="00375756" w:rsidRPr="00786A1B">
        <w:rPr>
          <w:rFonts w:cs="Arial"/>
          <w:szCs w:val="20"/>
        </w:rPr>
        <w:t>Option 2</w:t>
      </w:r>
      <w:r w:rsidR="00786A1B">
        <w:rPr>
          <w:rFonts w:cs="Arial"/>
          <w:szCs w:val="20"/>
        </w:rPr>
        <w:t>.</w:t>
      </w:r>
      <w:r w:rsidR="00786A1B" w:rsidRPr="00786A1B">
        <w:rPr>
          <w:rFonts w:cs="Arial"/>
          <w:szCs w:val="20"/>
        </w:rPr>
        <w:t xml:space="preserve"> </w:t>
      </w:r>
    </w:p>
    <w:p w14:paraId="46E6BDF2" w14:textId="4DF23F32" w:rsidR="00786A1B" w:rsidRDefault="00786A1B" w:rsidP="00EE0ABE">
      <w:pPr>
        <w:rPr>
          <w:rFonts w:cs="Arial"/>
          <w:szCs w:val="20"/>
        </w:rPr>
      </w:pPr>
      <w:r w:rsidRPr="00786A1B">
        <w:rPr>
          <w:rFonts w:cs="Arial"/>
          <w:szCs w:val="20"/>
        </w:rPr>
        <w:t>A maritime industry responder</w:t>
      </w:r>
      <w:r>
        <w:rPr>
          <w:rFonts w:cs="Arial"/>
          <w:szCs w:val="20"/>
        </w:rPr>
        <w:t xml:space="preserve"> had no view on the </w:t>
      </w:r>
      <w:r w:rsidR="00B452A2">
        <w:rPr>
          <w:rFonts w:cs="Arial"/>
          <w:szCs w:val="20"/>
        </w:rPr>
        <w:t>3</w:t>
      </w:r>
      <w:r>
        <w:rPr>
          <w:rFonts w:cs="Arial"/>
          <w:szCs w:val="20"/>
        </w:rPr>
        <w:t xml:space="preserve"> options proposed by the ACMA</w:t>
      </w:r>
      <w:r w:rsidRPr="00786A1B">
        <w:rPr>
          <w:rFonts w:cs="Arial"/>
          <w:szCs w:val="20"/>
        </w:rPr>
        <w:t xml:space="preserve">. </w:t>
      </w:r>
      <w:r>
        <w:rPr>
          <w:rFonts w:cs="Arial"/>
          <w:szCs w:val="20"/>
        </w:rPr>
        <w:t>They</w:t>
      </w:r>
      <w:r w:rsidRPr="00786A1B">
        <w:rPr>
          <w:rFonts w:cs="Arial"/>
          <w:szCs w:val="20"/>
        </w:rPr>
        <w:t xml:space="preserve"> did not address the issues for comment</w:t>
      </w:r>
      <w:r w:rsidR="0079460E">
        <w:rPr>
          <w:rFonts w:cs="Arial"/>
          <w:szCs w:val="20"/>
        </w:rPr>
        <w:t>. H</w:t>
      </w:r>
      <w:r w:rsidRPr="00786A1B">
        <w:rPr>
          <w:rFonts w:cs="Arial"/>
          <w:szCs w:val="20"/>
        </w:rPr>
        <w:t>owever, the</w:t>
      </w:r>
      <w:r>
        <w:rPr>
          <w:rFonts w:cs="Arial"/>
          <w:szCs w:val="20"/>
        </w:rPr>
        <w:t>y</w:t>
      </w:r>
      <w:r w:rsidRPr="00786A1B">
        <w:rPr>
          <w:rFonts w:cs="Arial"/>
          <w:szCs w:val="20"/>
        </w:rPr>
        <w:t xml:space="preserve"> raised several concerns with potential deployment of </w:t>
      </w:r>
      <w:r>
        <w:rPr>
          <w:rFonts w:cs="Arial"/>
          <w:color w:val="000000"/>
          <w:szCs w:val="20"/>
        </w:rPr>
        <w:t>International Mobile Telecommunications</w:t>
      </w:r>
      <w:r w:rsidRPr="00786A1B">
        <w:rPr>
          <w:rFonts w:cs="Arial"/>
          <w:szCs w:val="20"/>
        </w:rPr>
        <w:t xml:space="preserve"> </w:t>
      </w:r>
      <w:r>
        <w:rPr>
          <w:rFonts w:cs="Arial"/>
          <w:szCs w:val="20"/>
        </w:rPr>
        <w:t>(</w:t>
      </w:r>
      <w:r w:rsidRPr="00786A1B">
        <w:rPr>
          <w:rFonts w:cs="Arial"/>
          <w:szCs w:val="20"/>
        </w:rPr>
        <w:t>IMT</w:t>
      </w:r>
      <w:r>
        <w:rPr>
          <w:rFonts w:cs="Arial"/>
          <w:szCs w:val="20"/>
        </w:rPr>
        <w:t>)</w:t>
      </w:r>
      <w:r w:rsidRPr="00786A1B">
        <w:rPr>
          <w:rFonts w:cs="Arial"/>
          <w:szCs w:val="20"/>
        </w:rPr>
        <w:t xml:space="preserve"> in adjacent bands</w:t>
      </w:r>
      <w:r>
        <w:rPr>
          <w:rFonts w:cs="Arial"/>
          <w:szCs w:val="20"/>
        </w:rPr>
        <w:t>,</w:t>
      </w:r>
      <w:r w:rsidRPr="00786A1B">
        <w:rPr>
          <w:rFonts w:cs="Arial"/>
          <w:szCs w:val="20"/>
        </w:rPr>
        <w:t xml:space="preserve"> noting potential interference to maritime and aviation receivers with poor adjacent-channel blocking performance.</w:t>
      </w:r>
    </w:p>
    <w:p w14:paraId="1D787F5F" w14:textId="57A021F4" w:rsidR="00375756" w:rsidRDefault="00786A1B" w:rsidP="00786A1B">
      <w:pPr>
        <w:pStyle w:val="ListBullet"/>
        <w:numPr>
          <w:ilvl w:val="0"/>
          <w:numId w:val="0"/>
        </w:numPr>
        <w:rPr>
          <w:rFonts w:cs="Arial"/>
          <w:szCs w:val="20"/>
        </w:rPr>
      </w:pPr>
      <w:r>
        <w:rPr>
          <w:rFonts w:cs="Arial"/>
          <w:szCs w:val="20"/>
        </w:rPr>
        <w:t>The responder suggested that the following would require consideration during further consultation regarding the 1427</w:t>
      </w:r>
      <w:r w:rsidR="00C369D6">
        <w:rPr>
          <w:rFonts w:cs="Arial"/>
          <w:szCs w:val="20"/>
        </w:rPr>
        <w:t>–</w:t>
      </w:r>
      <w:r>
        <w:rPr>
          <w:rFonts w:cs="Arial"/>
          <w:szCs w:val="20"/>
        </w:rPr>
        <w:t xml:space="preserve">1532 MHz </w:t>
      </w:r>
      <w:r w:rsidR="005033A1">
        <w:rPr>
          <w:rFonts w:cs="Arial"/>
          <w:szCs w:val="20"/>
        </w:rPr>
        <w:t>frequency range</w:t>
      </w:r>
      <w:r>
        <w:rPr>
          <w:rFonts w:cs="Arial"/>
          <w:szCs w:val="20"/>
        </w:rPr>
        <w:t>:</w:t>
      </w:r>
      <w:r w:rsidRPr="00786A1B">
        <w:rPr>
          <w:rFonts w:cs="Arial"/>
          <w:szCs w:val="20"/>
        </w:rPr>
        <w:t xml:space="preserve"> </w:t>
      </w:r>
    </w:p>
    <w:p w14:paraId="4C22850B" w14:textId="4EA8653A" w:rsidR="00383C0A" w:rsidRDefault="0079460E" w:rsidP="003144E0">
      <w:pPr>
        <w:pStyle w:val="ListBullet"/>
      </w:pPr>
      <w:r>
        <w:t>T</w:t>
      </w:r>
      <w:r w:rsidR="00383C0A">
        <w:t>he Inmarsat constellation operating at 1530</w:t>
      </w:r>
      <w:r w:rsidR="00B452A2">
        <w:rPr>
          <w:szCs w:val="20"/>
        </w:rPr>
        <w:t>–</w:t>
      </w:r>
      <w:r w:rsidR="00383C0A">
        <w:t>1544 MHz and 1626.5</w:t>
      </w:r>
      <w:r w:rsidR="00C369D6">
        <w:rPr>
          <w:szCs w:val="20"/>
        </w:rPr>
        <w:t>–</w:t>
      </w:r>
      <w:r w:rsidR="00383C0A">
        <w:t>1645.5 MHz is an approved GMDSS</w:t>
      </w:r>
      <w:r w:rsidR="00AF2046">
        <w:t xml:space="preserve"> service</w:t>
      </w:r>
      <w:r w:rsidR="00D014B9">
        <w:t xml:space="preserve"> </w:t>
      </w:r>
      <w:r w:rsidR="00D014B9" w:rsidRPr="00D014B9">
        <w:t>under Chapter IV of the International Convention on the Safety of Life at Sea (SOLAS Convention)</w:t>
      </w:r>
      <w:r w:rsidR="00383C0A">
        <w:t xml:space="preserve"> and requires spectrum protection as per the ITU Radio Regulations.</w:t>
      </w:r>
      <w:r w:rsidR="00543759">
        <w:t xml:space="preserve"> </w:t>
      </w:r>
      <w:r w:rsidR="00383C0A">
        <w:t xml:space="preserve">Inmarsat equipment operating GMDSS in the </w:t>
      </w:r>
      <w:r>
        <w:br/>
      </w:r>
      <w:r w:rsidR="00383C0A">
        <w:t>1530</w:t>
      </w:r>
      <w:r w:rsidR="00C369D6">
        <w:rPr>
          <w:szCs w:val="20"/>
        </w:rPr>
        <w:t>–</w:t>
      </w:r>
      <w:r w:rsidR="00383C0A">
        <w:t xml:space="preserve">1544 MHz </w:t>
      </w:r>
      <w:r w:rsidR="005033A1">
        <w:t xml:space="preserve">frequency range </w:t>
      </w:r>
      <w:r w:rsidR="00383C0A">
        <w:t>may experience interference.</w:t>
      </w:r>
    </w:p>
    <w:p w14:paraId="377E9C69" w14:textId="616F36CE" w:rsidR="00383C0A" w:rsidRDefault="0079460E" w:rsidP="003144E0">
      <w:pPr>
        <w:pStyle w:val="ListBulletLast"/>
      </w:pPr>
      <w:r>
        <w:t>A</w:t>
      </w:r>
      <w:r w:rsidR="00383C0A">
        <w:t>s of 1</w:t>
      </w:r>
      <w:r w:rsidR="00383C0A" w:rsidRPr="00543759">
        <w:t xml:space="preserve"> </w:t>
      </w:r>
      <w:r w:rsidR="00383C0A">
        <w:t>January 2024, new performance standards will apply to Inmarsat-C ship earth stations which address the adjacent band interference blocking requirement, but this will not apply to existing vessels.</w:t>
      </w:r>
      <w:r w:rsidR="00543759">
        <w:t xml:space="preserve"> </w:t>
      </w:r>
      <w:r w:rsidR="00383C0A">
        <w:t xml:space="preserve">In some cases, </w:t>
      </w:r>
      <w:r w:rsidR="00AF2046">
        <w:t xml:space="preserve">application of </w:t>
      </w:r>
      <w:r w:rsidR="00383C0A">
        <w:t>new performance standards ha</w:t>
      </w:r>
      <w:r w:rsidR="00AF2046">
        <w:t>s</w:t>
      </w:r>
      <w:r w:rsidR="00383C0A">
        <w:t xml:space="preserve"> been extended to 1 January 2038.</w:t>
      </w:r>
      <w:r w:rsidR="00543759">
        <w:t xml:space="preserve"> </w:t>
      </w:r>
      <w:r w:rsidR="00383C0A">
        <w:t xml:space="preserve">It is estimated that not all vessels with Inmarsat equipment will meet the new performance standard until 1 January 2038. </w:t>
      </w:r>
    </w:p>
    <w:p w14:paraId="517BF7E4" w14:textId="7B86C358" w:rsidR="00883E83" w:rsidRDefault="00883E83" w:rsidP="00BD2637">
      <w:pPr>
        <w:spacing w:before="120"/>
      </w:pPr>
      <w:r>
        <w:t xml:space="preserve">A responder from the mobile telecommunications industry </w:t>
      </w:r>
      <w:r w:rsidR="00BD2637">
        <w:t>noted there is already international momentum supporting allocation and development of WB</w:t>
      </w:r>
      <w:r w:rsidR="00FB0060">
        <w:t>B</w:t>
      </w:r>
      <w:r w:rsidR="00BD2637">
        <w:t xml:space="preserve"> services in the 1427</w:t>
      </w:r>
      <w:r w:rsidR="00C369D6">
        <w:rPr>
          <w:rFonts w:cs="Arial"/>
          <w:szCs w:val="20"/>
        </w:rPr>
        <w:t>–</w:t>
      </w:r>
      <w:r w:rsidR="00BD2637">
        <w:t xml:space="preserve">1518 MHz </w:t>
      </w:r>
      <w:r w:rsidR="005033A1">
        <w:t xml:space="preserve">frequency range </w:t>
      </w:r>
      <w:r w:rsidR="00BD2637">
        <w:t>and that co-existence considerations will maximise efficient use of the 1.5 GHz spectrum. They argue</w:t>
      </w:r>
      <w:r w:rsidR="00804F29">
        <w:t>d</w:t>
      </w:r>
      <w:r w:rsidR="00BD2637">
        <w:t xml:space="preserve"> that guard bands below 1518 MHz should not be larger than 1 MHz and thus the ACMA </w:t>
      </w:r>
      <w:r w:rsidR="00A872B2">
        <w:t>should</w:t>
      </w:r>
      <w:r w:rsidR="00BD2637">
        <w:t xml:space="preserve"> not accept applications for </w:t>
      </w:r>
      <w:r w:rsidR="005033A1">
        <w:t>s</w:t>
      </w:r>
      <w:r w:rsidR="00BD2637">
        <w:t>pace licences in the 1518</w:t>
      </w:r>
      <w:r w:rsidR="00C369D6">
        <w:rPr>
          <w:rFonts w:cs="Arial"/>
          <w:szCs w:val="20"/>
        </w:rPr>
        <w:t>–</w:t>
      </w:r>
      <w:r w:rsidR="00BD2637">
        <w:t xml:space="preserve">1520 MHz </w:t>
      </w:r>
      <w:r w:rsidR="005033A1">
        <w:t>frequency range</w:t>
      </w:r>
      <w:r w:rsidR="00BD2637">
        <w:t xml:space="preserve">, which may be implemented in the </w:t>
      </w:r>
      <w:hyperlink r:id="rId53" w:history="1">
        <w:r w:rsidR="00B65D1C">
          <w:rPr>
            <w:rStyle w:val="Hyperlink"/>
            <w:szCs w:val="20"/>
          </w:rPr>
          <w:t>s</w:t>
        </w:r>
        <w:r w:rsidR="00031558" w:rsidRPr="00BE14E2">
          <w:rPr>
            <w:rStyle w:val="Hyperlink"/>
            <w:szCs w:val="20"/>
          </w:rPr>
          <w:t>pace BOP</w:t>
        </w:r>
      </w:hyperlink>
      <w:r w:rsidR="00BD2637">
        <w:t xml:space="preserve">. The responder asked the ACMA to explain how </w:t>
      </w:r>
      <w:r w:rsidR="0079460E">
        <w:t>‘</w:t>
      </w:r>
      <w:r w:rsidR="00BD2637">
        <w:t>additional restrictions on service deployments around ports and airports</w:t>
      </w:r>
      <w:r w:rsidR="0079460E">
        <w:t>’</w:t>
      </w:r>
      <w:r w:rsidR="00BD2637">
        <w:t xml:space="preserve"> would translate to long-term public interest, as these facilities are often located close to major cities with high WBB demands.</w:t>
      </w:r>
    </w:p>
    <w:p w14:paraId="3ACAC682" w14:textId="77777777" w:rsidR="002C2F8A" w:rsidRDefault="00BD2637" w:rsidP="00BD2637">
      <w:pPr>
        <w:spacing w:before="120"/>
      </w:pPr>
      <w:r>
        <w:t xml:space="preserve">A satellite industry responder </w:t>
      </w:r>
      <w:r w:rsidR="002C2F8A">
        <w:t>argued</w:t>
      </w:r>
      <w:r>
        <w:t xml:space="preserve"> that</w:t>
      </w:r>
      <w:r w:rsidRPr="00BD2637">
        <w:t xml:space="preserve"> MSS needs to be able to continue operating without harmful interference from future 1.5 GHz</w:t>
      </w:r>
      <w:r w:rsidR="002C2F8A">
        <w:t xml:space="preserve"> </w:t>
      </w:r>
      <w:r w:rsidRPr="00BD2637">
        <w:t>IMT/WBB services</w:t>
      </w:r>
      <w:r w:rsidR="002C2F8A">
        <w:t>.</w:t>
      </w:r>
    </w:p>
    <w:p w14:paraId="4DC840BC" w14:textId="025BC2CC" w:rsidR="00BD2637" w:rsidRDefault="002C2F8A" w:rsidP="00BD2637">
      <w:pPr>
        <w:spacing w:before="120"/>
      </w:pPr>
      <w:r>
        <w:t>A second satellite industry responder stressed the importance of the L-band for MSS applications in Australia, including applications such as public safety, disaster response, telemedicine</w:t>
      </w:r>
      <w:r w:rsidR="00254C4B">
        <w:t>,</w:t>
      </w:r>
      <w:r>
        <w:t xml:space="preserve"> remote education</w:t>
      </w:r>
      <w:r w:rsidR="00254C4B">
        <w:t xml:space="preserve"> and unmanned aircraft system use in air traffic management</w:t>
      </w:r>
      <w:r>
        <w:t>.</w:t>
      </w:r>
    </w:p>
    <w:p w14:paraId="154CAF1B" w14:textId="65224B46" w:rsidR="00254C4B" w:rsidRDefault="00254C4B" w:rsidP="00BD2637">
      <w:pPr>
        <w:spacing w:before="120"/>
      </w:pPr>
      <w:r>
        <w:t>A third satellite industry responder noted their specific interest in the 1.5 GHz</w:t>
      </w:r>
      <w:r w:rsidR="006E299F">
        <w:t xml:space="preserve"> band</w:t>
      </w:r>
      <w:r>
        <w:t xml:space="preserve"> for 3GPP non-terrestrial networks (NTN) services for applications such as direct space-to-mobile communications</w:t>
      </w:r>
      <w:r w:rsidRPr="00254C4B">
        <w:t>.</w:t>
      </w:r>
      <w:r>
        <w:t xml:space="preserve"> The responder </w:t>
      </w:r>
      <w:r w:rsidR="00B7594B">
        <w:t>considered</w:t>
      </w:r>
      <w:r>
        <w:t xml:space="preserve"> that the extended MSS L-band </w:t>
      </w:r>
      <w:r w:rsidRPr="00254C4B">
        <w:t xml:space="preserve">has the potential to be used as an extension of </w:t>
      </w:r>
      <w:r>
        <w:t xml:space="preserve">3GPP 5G NTN </w:t>
      </w:r>
      <w:r w:rsidRPr="00254C4B">
        <w:t>band n255. They</w:t>
      </w:r>
      <w:r w:rsidR="00A045B8">
        <w:t xml:space="preserve"> also argued that there should be conditions to guard against spectrum hoarding such as licence applicants having an existing satellite filing to allow timely use of the band.</w:t>
      </w:r>
      <w:r w:rsidRPr="00254C4B">
        <w:t xml:space="preserve"> </w:t>
      </w:r>
    </w:p>
    <w:p w14:paraId="6BEB6B8B" w14:textId="06E3549F" w:rsidR="00FB4478" w:rsidRDefault="00FB4478" w:rsidP="00FB4478">
      <w:pPr>
        <w:spacing w:before="120"/>
      </w:pPr>
      <w:r>
        <w:t xml:space="preserve">A telecommunications industry responder noted the importance of maximising the </w:t>
      </w:r>
      <w:r w:rsidR="0026339D">
        <w:t xml:space="preserve">efficient use of the </w:t>
      </w:r>
      <w:r>
        <w:t>1.5</w:t>
      </w:r>
      <w:r w:rsidR="006E299F">
        <w:t> </w:t>
      </w:r>
      <w:r>
        <w:t xml:space="preserve">GHz spectrum due to </w:t>
      </w:r>
      <w:r w:rsidR="0026339D">
        <w:t xml:space="preserve">the level of competing </w:t>
      </w:r>
      <w:r>
        <w:t xml:space="preserve">demand </w:t>
      </w:r>
      <w:r w:rsidR="0026339D">
        <w:t>for this spectrum</w:t>
      </w:r>
      <w:r>
        <w:t xml:space="preserve"> and consider</w:t>
      </w:r>
      <w:r w:rsidR="00804F29">
        <w:t>ed</w:t>
      </w:r>
      <w:r>
        <w:t xml:space="preserve"> Option 2 will best support deployment of MSS in the band. They also noted that </w:t>
      </w:r>
      <w:r w:rsidRPr="00FB4478">
        <w:t>the nature and scope of co-existence measures between WBB and MSS should be informed by international studies.</w:t>
      </w:r>
    </w:p>
    <w:p w14:paraId="07A45935" w14:textId="18939F45" w:rsidR="00FB4478" w:rsidRPr="00FB4478" w:rsidRDefault="00FB4478" w:rsidP="00FB4478">
      <w:pPr>
        <w:spacing w:before="120"/>
      </w:pPr>
      <w:r>
        <w:t xml:space="preserve">Another telecommunications industry responder </w:t>
      </w:r>
      <w:r w:rsidR="00245F7B">
        <w:t xml:space="preserve">urged </w:t>
      </w:r>
      <w:r w:rsidR="009F706A">
        <w:t>us</w:t>
      </w:r>
      <w:r w:rsidR="00245F7B">
        <w:t xml:space="preserve"> to continue protection of HCRC systems with all </w:t>
      </w:r>
      <w:r w:rsidR="00B452A2">
        <w:t>3</w:t>
      </w:r>
      <w:r w:rsidR="00245F7B">
        <w:t xml:space="preserve"> options, as they are still in operation in areas where there is no mobile or NBN coverage to facilitate fixed wireless access solutions.</w:t>
      </w:r>
    </w:p>
    <w:p w14:paraId="31537FD6" w14:textId="77777777" w:rsidR="00383C0A" w:rsidRPr="00057029" w:rsidRDefault="00383C0A" w:rsidP="00383C0A">
      <w:pPr>
        <w:pStyle w:val="Heading4"/>
      </w:pPr>
      <w:r w:rsidRPr="00057029">
        <w:t>ACMA response</w:t>
      </w:r>
    </w:p>
    <w:p w14:paraId="0A524307" w14:textId="550C8F34" w:rsidR="00FE4BCD" w:rsidRDefault="009F706A" w:rsidP="0085605D">
      <w:pPr>
        <w:pStyle w:val="ListBullet"/>
        <w:numPr>
          <w:ilvl w:val="0"/>
          <w:numId w:val="0"/>
        </w:numPr>
      </w:pPr>
      <w:r>
        <w:t>We have</w:t>
      </w:r>
      <w:r w:rsidR="00AF2046">
        <w:t xml:space="preserve"> noted</w:t>
      </w:r>
      <w:r w:rsidR="00383C0A">
        <w:t xml:space="preserve"> </w:t>
      </w:r>
      <w:r w:rsidR="00880776">
        <w:t>a number of issues that have been raised in the submissions</w:t>
      </w:r>
      <w:r w:rsidR="006E69A9">
        <w:t xml:space="preserve"> that are outside the scope of this phase of the consultation. Some of these issues will be considered in the next </w:t>
      </w:r>
      <w:r w:rsidR="005033A1">
        <w:t xml:space="preserve">stage </w:t>
      </w:r>
      <w:r w:rsidR="006E69A9">
        <w:t>of the review</w:t>
      </w:r>
      <w:r w:rsidR="00595830">
        <w:t xml:space="preserve"> of the broader 1427</w:t>
      </w:r>
      <w:r>
        <w:t>–</w:t>
      </w:r>
      <w:r w:rsidR="00595830">
        <w:t xml:space="preserve">1518 MHz frequency range (including consideration of the </w:t>
      </w:r>
      <w:r w:rsidR="00AF2046" w:rsidRPr="00AF2046">
        <w:t xml:space="preserve">potential </w:t>
      </w:r>
      <w:r w:rsidR="00595830">
        <w:t xml:space="preserve">effects on </w:t>
      </w:r>
      <w:r w:rsidR="00AF2046" w:rsidRPr="00AF2046">
        <w:t>GMDSS</w:t>
      </w:r>
      <w:r w:rsidR="00595830">
        <w:t>).</w:t>
      </w:r>
    </w:p>
    <w:p w14:paraId="1325DCC9" w14:textId="6EEC9F32" w:rsidR="00EE0ABE" w:rsidRPr="00057029" w:rsidRDefault="00EE0ABE" w:rsidP="00EE0ABE">
      <w:pPr>
        <w:pStyle w:val="Heading2"/>
        <w:spacing w:after="240"/>
      </w:pPr>
      <w:bookmarkStart w:id="76" w:name="_Toc153793191"/>
      <w:r w:rsidRPr="00057029">
        <w:t xml:space="preserve">Issues for </w:t>
      </w:r>
      <w:r>
        <w:t>c</w:t>
      </w:r>
      <w:r w:rsidRPr="00057029">
        <w:t>omment</w:t>
      </w:r>
      <w:bookmarkEnd w:id="76"/>
      <w:r w:rsidRPr="00057029">
        <w:t xml:space="preserve"> </w:t>
      </w:r>
    </w:p>
    <w:p w14:paraId="2E93B535" w14:textId="77777777" w:rsidR="00EE0ABE" w:rsidRPr="00D81F71" w:rsidRDefault="00EE0ABE" w:rsidP="00D81F71">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b/>
          <w:bCs/>
        </w:rPr>
      </w:pPr>
      <w:r w:rsidRPr="00D81F71">
        <w:rPr>
          <w:b/>
          <w:bCs/>
        </w:rPr>
        <w:t>Question 1</w:t>
      </w:r>
    </w:p>
    <w:p w14:paraId="5D73F3AC" w14:textId="77777777" w:rsidR="00AD0A12" w:rsidRPr="00E162C4" w:rsidRDefault="00AD0A12" w:rsidP="00AD0A12">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bookmarkStart w:id="77" w:name="_Hlk135291100"/>
      <w:r>
        <w:t>Comment is sought on the proposed desirable planning outcomes for the review of the extended MSS L-band.</w:t>
      </w:r>
    </w:p>
    <w:bookmarkEnd w:id="77"/>
    <w:p w14:paraId="4E253A4A" w14:textId="58777D64" w:rsidR="0055126E" w:rsidRDefault="00063C64" w:rsidP="0055126E">
      <w:pPr>
        <w:spacing w:before="120"/>
      </w:pPr>
      <w:r>
        <w:t>Seven</w:t>
      </w:r>
      <w:r w:rsidR="00375756">
        <w:t xml:space="preserve"> </w:t>
      </w:r>
      <w:r w:rsidR="0055126E">
        <w:t xml:space="preserve">responders supported the proposed desirable planning outcomes for the extended MSS L-band. </w:t>
      </w:r>
    </w:p>
    <w:p w14:paraId="3A812EBB" w14:textId="4F147550" w:rsidR="0055126E" w:rsidRDefault="0055126E" w:rsidP="0055126E">
      <w:pPr>
        <w:spacing w:before="120"/>
      </w:pPr>
      <w:r>
        <w:t xml:space="preserve">A responder from the mobile telecommunications industry strongly supported outcome number 3 and stated that it is necessary to maximise the public benefit derived from the use of the spectrum. </w:t>
      </w:r>
    </w:p>
    <w:p w14:paraId="7AE73A6B" w14:textId="5DDE8DEA" w:rsidR="00906AFE" w:rsidRDefault="0055126E" w:rsidP="008957D7">
      <w:pPr>
        <w:spacing w:before="120"/>
      </w:pPr>
      <w:r>
        <w:t xml:space="preserve">A responder </w:t>
      </w:r>
      <w:r w:rsidR="008957D7">
        <w:t xml:space="preserve">from the satellite industry stated </w:t>
      </w:r>
      <w:r>
        <w:t>that</w:t>
      </w:r>
      <w:r w:rsidR="008957D7">
        <w:t xml:space="preserve"> the extended </w:t>
      </w:r>
      <w:r w:rsidR="00804F29">
        <w:t xml:space="preserve">MSS </w:t>
      </w:r>
      <w:r w:rsidR="008957D7">
        <w:t>L-band would</w:t>
      </w:r>
      <w:r>
        <w:t xml:space="preserve"> </w:t>
      </w:r>
      <w:r w:rsidR="00804F29">
        <w:t>‘</w:t>
      </w:r>
      <w:r w:rsidR="008957D7" w:rsidRPr="008957D7">
        <w:t>provide additional spectrum to improve regional connectivity and enable the growth of the Australian user community as well as Internet of Thing</w:t>
      </w:r>
      <w:r w:rsidR="000B0C63">
        <w:t>s</w:t>
      </w:r>
      <w:r w:rsidR="008957D7" w:rsidRPr="008957D7">
        <w:t xml:space="preserve"> (IoT) applications through satellite communications and other MSS operations</w:t>
      </w:r>
      <w:r w:rsidR="00804F29">
        <w:t>’</w:t>
      </w:r>
      <w:r w:rsidR="00FC3B03">
        <w:t>. H</w:t>
      </w:r>
      <w:r w:rsidR="008957D7">
        <w:t xml:space="preserve">owever, they argued that incumbent services may provide a challenge to introducing MSS into the band and recommended the ACMA </w:t>
      </w:r>
      <w:r w:rsidR="0059427D">
        <w:t>conduct</w:t>
      </w:r>
      <w:r w:rsidR="008957D7">
        <w:t xml:space="preserve"> a consultation to address potential coexistence issues. The responder also stated that they do not support regulatory constraints on </w:t>
      </w:r>
      <w:r w:rsidR="000B0C63">
        <w:t xml:space="preserve">the </w:t>
      </w:r>
      <w:r w:rsidR="008957D7">
        <w:t xml:space="preserve">MSS in the extended </w:t>
      </w:r>
      <w:r w:rsidR="00804F29">
        <w:t xml:space="preserve">MSS </w:t>
      </w:r>
      <w:r w:rsidR="008957D7">
        <w:t xml:space="preserve">L-band </w:t>
      </w:r>
      <w:r w:rsidR="00627F4A">
        <w:t>as that</w:t>
      </w:r>
      <w:r w:rsidR="0059427D">
        <w:t xml:space="preserve"> would limit</w:t>
      </w:r>
      <w:r w:rsidR="008957D7">
        <w:t xml:space="preserve"> MSS services.</w:t>
      </w:r>
    </w:p>
    <w:p w14:paraId="3A97AECF" w14:textId="3DF7238C" w:rsidR="00627F4A" w:rsidRDefault="00627F4A" w:rsidP="008957D7">
      <w:pPr>
        <w:spacing w:before="120"/>
      </w:pPr>
      <w:r>
        <w:t>Another responder from the satellite industry stated that the extended MSS L-band will allow growth of Australian space services</w:t>
      </w:r>
      <w:r w:rsidR="00FC3B03">
        <w:t>. H</w:t>
      </w:r>
      <w:r>
        <w:t>owever, they were concerned with compatibility between extended MSS L-band and incumbent services, noting that any power limits in the 1518</w:t>
      </w:r>
      <w:r w:rsidR="00C369D6">
        <w:rPr>
          <w:rFonts w:cs="Arial"/>
          <w:szCs w:val="20"/>
        </w:rPr>
        <w:t>–</w:t>
      </w:r>
      <w:r>
        <w:t xml:space="preserve">1525 MHz </w:t>
      </w:r>
      <w:r w:rsidR="005033A1">
        <w:t xml:space="preserve">frequency range </w:t>
      </w:r>
      <w:r>
        <w:t>may prevent MSS operation. The responder also noted that regarding outcome number 3,</w:t>
      </w:r>
      <w:r w:rsidR="00375756">
        <w:t xml:space="preserve"> incumbent coexistence measures will need to be addressed.</w:t>
      </w:r>
    </w:p>
    <w:p w14:paraId="06FB1B50" w14:textId="2CD77B98" w:rsidR="002A2372" w:rsidRDefault="002A2372" w:rsidP="008957D7">
      <w:pPr>
        <w:spacing w:before="120"/>
      </w:pPr>
      <w:r>
        <w:t>A responder from the telecommunications industry</w:t>
      </w:r>
      <w:r w:rsidR="005A15AC">
        <w:t xml:space="preserve"> agreed with outcome 3</w:t>
      </w:r>
      <w:r w:rsidR="00883E83">
        <w:t>,</w:t>
      </w:r>
      <w:r w:rsidR="005A15AC">
        <w:t xml:space="preserve"> provided that the ACMA introduce coexistence measures between MSS and services in the 1427</w:t>
      </w:r>
      <w:r w:rsidR="00C369D6">
        <w:rPr>
          <w:rFonts w:cs="Arial"/>
          <w:szCs w:val="20"/>
        </w:rPr>
        <w:t>–</w:t>
      </w:r>
      <w:r w:rsidR="005A15AC">
        <w:t xml:space="preserve">1535 MHz </w:t>
      </w:r>
      <w:r w:rsidR="005033A1">
        <w:t>frequency range</w:t>
      </w:r>
      <w:r w:rsidR="005A15AC">
        <w:t>.</w:t>
      </w:r>
    </w:p>
    <w:p w14:paraId="3ADD7253" w14:textId="014FA26D" w:rsidR="005A15AC" w:rsidRDefault="005A15AC" w:rsidP="008957D7">
      <w:pPr>
        <w:spacing w:before="120"/>
      </w:pPr>
      <w:r>
        <w:t>Another responder from the telecommunications industry</w:t>
      </w:r>
      <w:r w:rsidR="00627F4A">
        <w:t xml:space="preserve"> supported the extended MSS L-band on the basis that MSS operates on a no</w:t>
      </w:r>
      <w:r w:rsidR="00804F29">
        <w:t>-</w:t>
      </w:r>
      <w:r w:rsidR="00627F4A">
        <w:t>interference</w:t>
      </w:r>
      <w:r w:rsidR="00804F29">
        <w:t>-</w:t>
      </w:r>
      <w:r w:rsidR="00627F4A">
        <w:t>no</w:t>
      </w:r>
      <w:r w:rsidR="00804F29">
        <w:t>-</w:t>
      </w:r>
      <w:r w:rsidR="00627F4A">
        <w:t>protection basis, as this would increase use of the band.</w:t>
      </w:r>
    </w:p>
    <w:p w14:paraId="5A127B7F" w14:textId="3F6A76AE" w:rsidR="00EE0ABE" w:rsidRPr="00057029" w:rsidRDefault="00EE0ABE" w:rsidP="0040126C">
      <w:pPr>
        <w:pStyle w:val="Heading4"/>
        <w:keepNext/>
      </w:pPr>
      <w:r w:rsidRPr="00057029">
        <w:t>ACMA response</w:t>
      </w:r>
    </w:p>
    <w:p w14:paraId="12189613" w14:textId="2470C72D" w:rsidR="00EE0ABE" w:rsidRDefault="00906AFE" w:rsidP="0040126C">
      <w:pPr>
        <w:pStyle w:val="Paragraph"/>
        <w:keepNext/>
      </w:pPr>
      <w:r>
        <w:t>The ACMA</w:t>
      </w:r>
      <w:r w:rsidR="006F6C86">
        <w:t xml:space="preserve"> </w:t>
      </w:r>
      <w:r w:rsidR="007226DE">
        <w:t xml:space="preserve">notes the broad </w:t>
      </w:r>
      <w:r w:rsidR="006F6C86">
        <w:t xml:space="preserve">support </w:t>
      </w:r>
      <w:r w:rsidR="007226DE">
        <w:t>for</w:t>
      </w:r>
      <w:r w:rsidR="00375756">
        <w:t xml:space="preserve"> the proposed desirable planning outcomes.</w:t>
      </w:r>
    </w:p>
    <w:p w14:paraId="056113BB" w14:textId="13FE5589" w:rsidR="00EE0ABE" w:rsidRPr="00D81F71" w:rsidRDefault="00EE0ABE" w:rsidP="00677CAA">
      <w:pPr>
        <w:pStyle w:val="Paragraph"/>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b/>
          <w:bCs/>
        </w:rPr>
      </w:pPr>
      <w:r w:rsidRPr="00D81F71">
        <w:rPr>
          <w:b/>
          <w:bCs/>
        </w:rPr>
        <w:t>Question 2</w:t>
      </w:r>
    </w:p>
    <w:p w14:paraId="570FC321" w14:textId="77777777" w:rsidR="00AD0A12" w:rsidRPr="00602151" w:rsidRDefault="00AD0A12" w:rsidP="00AD0A12">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536"/>
        </w:tabs>
      </w:pPr>
      <w:bookmarkStart w:id="78" w:name="_Hlk77249431"/>
      <w:r>
        <w:t>Comment is sought on the options identified. Do you have any alternative options to propose?</w:t>
      </w:r>
    </w:p>
    <w:bookmarkEnd w:id="78"/>
    <w:p w14:paraId="3D5948CE" w14:textId="4790BC96" w:rsidR="00375756" w:rsidRDefault="00375756" w:rsidP="00375756">
      <w:pPr>
        <w:spacing w:before="120"/>
      </w:pPr>
      <w:r>
        <w:t>All respon</w:t>
      </w:r>
      <w:r w:rsidR="00804F29">
        <w:t>der</w:t>
      </w:r>
      <w:r>
        <w:t xml:space="preserve">s to this question preferred Option 2. A mobile telecommunications responder noted that </w:t>
      </w:r>
      <w:r w:rsidR="00B06F8D">
        <w:t>this option provided</w:t>
      </w:r>
      <w:r>
        <w:t xml:space="preserve"> </w:t>
      </w:r>
      <w:r w:rsidR="00804F29">
        <w:t>‘</w:t>
      </w:r>
      <w:r>
        <w:t>the right balance between increasing the utility of the spectrum</w:t>
      </w:r>
      <w:r w:rsidR="00FC3B03">
        <w:t xml:space="preserve"> </w:t>
      </w:r>
      <w:r>
        <w:t>…</w:t>
      </w:r>
      <w:r w:rsidR="00FC3B03">
        <w:t xml:space="preserve"> </w:t>
      </w:r>
      <w:r>
        <w:t>while supporting continued operations in the band</w:t>
      </w:r>
      <w:r w:rsidR="00804F29">
        <w:t>’</w:t>
      </w:r>
      <w:r>
        <w:t>.</w:t>
      </w:r>
    </w:p>
    <w:p w14:paraId="7F41FF8C" w14:textId="41916506" w:rsidR="00223EA0" w:rsidRDefault="00375756" w:rsidP="00375756">
      <w:pPr>
        <w:spacing w:before="120"/>
      </w:pPr>
      <w:r>
        <w:t>A responder from the s</w:t>
      </w:r>
      <w:r w:rsidR="00AE3187">
        <w:t>atellite</w:t>
      </w:r>
      <w:r>
        <w:t xml:space="preserve"> industry stated that they oppose Option 1 and, although Option 3 would provide what they referred to as </w:t>
      </w:r>
      <w:r w:rsidR="00804F29">
        <w:t>‘</w:t>
      </w:r>
      <w:r>
        <w:t>a more complete solution</w:t>
      </w:r>
      <w:r w:rsidR="00804F29">
        <w:t>’</w:t>
      </w:r>
      <w:r>
        <w:t>, they acknowledged that implementing Option 3 would take time and was also not their preferred option.</w:t>
      </w:r>
      <w:r w:rsidR="00223EA0">
        <w:t xml:space="preserve"> The responder noted they agreed with the ACMA’s preferred option (Option 2) but argued that MSS needs to operate without harmful interference from other services and should be protected through regulatory measures. </w:t>
      </w:r>
    </w:p>
    <w:p w14:paraId="53AAD9F8" w14:textId="779D9F51" w:rsidR="00375756" w:rsidRDefault="00223EA0" w:rsidP="00375756">
      <w:pPr>
        <w:spacing w:before="120"/>
      </w:pPr>
      <w:r>
        <w:t xml:space="preserve">The same </w:t>
      </w:r>
      <w:r w:rsidR="00AE3187">
        <w:t>satellite</w:t>
      </w:r>
      <w:r>
        <w:t xml:space="preserve"> industry responder noted the ACMA stated in the options paper that the ITU satellite coordination process is sufficient to resolve compatibility matters but requested that MSS downlinks are not constrained in Australia by incumbent services by ensuring that downlink power flux density levels in the 1518</w:t>
      </w:r>
      <w:r w:rsidR="00C369D6">
        <w:rPr>
          <w:rFonts w:cs="Arial"/>
          <w:szCs w:val="20"/>
        </w:rPr>
        <w:t>–</w:t>
      </w:r>
      <w:r>
        <w:t xml:space="preserve">1525 MHz </w:t>
      </w:r>
      <w:r w:rsidR="005033A1">
        <w:t xml:space="preserve">frequency range </w:t>
      </w:r>
      <w:r>
        <w:t>are allowed to operate at the same level as in the 1525</w:t>
      </w:r>
      <w:r w:rsidR="00C369D6">
        <w:rPr>
          <w:rFonts w:cs="Arial"/>
          <w:szCs w:val="20"/>
        </w:rPr>
        <w:t>–</w:t>
      </w:r>
      <w:r>
        <w:t xml:space="preserve">1559 MHz </w:t>
      </w:r>
      <w:r w:rsidR="005033A1">
        <w:t>frequency range</w:t>
      </w:r>
      <w:r>
        <w:t>. The responder recommended that WBB is limited to below 1492 MHz (as has been implemented in some countries) to reduce compatibility issues between MSS and WBB.</w:t>
      </w:r>
      <w:r w:rsidR="00683B58">
        <w:t xml:space="preserve"> The responder support</w:t>
      </w:r>
      <w:r w:rsidR="00804F29">
        <w:t>ed</w:t>
      </w:r>
      <w:r w:rsidR="00683B58">
        <w:t xml:space="preserve"> the constraints on MSS proposed by the ACMA only for the short to medium term, arguing long-term constraints will impact MSS operations.</w:t>
      </w:r>
    </w:p>
    <w:p w14:paraId="19901EB1" w14:textId="4D562437" w:rsidR="00AE3187" w:rsidRDefault="00AE3187" w:rsidP="00375756">
      <w:pPr>
        <w:spacing w:before="120"/>
      </w:pPr>
      <w:r w:rsidRPr="00AE3187">
        <w:t>A</w:t>
      </w:r>
      <w:r>
        <w:t xml:space="preserve"> second </w:t>
      </w:r>
      <w:r w:rsidRPr="00AE3187">
        <w:t>satellite industry responder</w:t>
      </w:r>
      <w:r>
        <w:t xml:space="preserve"> mirrored the above comments</w:t>
      </w:r>
      <w:r w:rsidRPr="00AE3187">
        <w:t>.</w:t>
      </w:r>
    </w:p>
    <w:p w14:paraId="676A5B1C" w14:textId="41629A29" w:rsidR="00AE3187" w:rsidRDefault="00AE3187" w:rsidP="00AE3187">
      <w:pPr>
        <w:spacing w:before="120"/>
      </w:pPr>
      <w:r>
        <w:t xml:space="preserve">A third satellite industry responder agreed that Option 2 would complement existing </w:t>
      </w:r>
      <w:r w:rsidR="00804F29">
        <w:t xml:space="preserve">MSS </w:t>
      </w:r>
      <w:r>
        <w:t xml:space="preserve">L-band arrangements, support timely introduction of extended MSS L-band services, </w:t>
      </w:r>
      <w:r w:rsidR="00C32103">
        <w:t xml:space="preserve">be </w:t>
      </w:r>
      <w:r>
        <w:t>a simple solution</w:t>
      </w:r>
      <w:r w:rsidR="00804F29">
        <w:t>,</w:t>
      </w:r>
      <w:r>
        <w:t xml:space="preserve"> and have no impact on incumbent services. They did; however, argue that Option 2 would constrain MSS to coordinate around incumbent services, and so licensing new terrestrial services should be prevented. The responder also supported Option 3 as it would reduce potential for interference to MSS, suggesting that relocation of incumbents should be in parallel to Option 2 so that new MSS networks may be brought into use earlier.</w:t>
      </w:r>
    </w:p>
    <w:p w14:paraId="7C743227" w14:textId="35243FB1" w:rsidR="0060593D" w:rsidRDefault="00200ABC" w:rsidP="00375756">
      <w:pPr>
        <w:spacing w:before="120"/>
      </w:pPr>
      <w:r>
        <w:t xml:space="preserve">A telecommunications industry responder </w:t>
      </w:r>
      <w:r w:rsidR="003D17EF">
        <w:t xml:space="preserve">recognised </w:t>
      </w:r>
      <w:r w:rsidR="00FC3B03">
        <w:t>our</w:t>
      </w:r>
      <w:r w:rsidR="003D17EF">
        <w:t xml:space="preserve"> need to review arrangements for terrestrial services in the 1427</w:t>
      </w:r>
      <w:r w:rsidR="00C369D6">
        <w:rPr>
          <w:rFonts w:cs="Arial"/>
          <w:szCs w:val="20"/>
        </w:rPr>
        <w:t>–</w:t>
      </w:r>
      <w:r w:rsidR="003D17EF">
        <w:t xml:space="preserve">1535 MHz </w:t>
      </w:r>
      <w:r w:rsidR="005033A1">
        <w:t>frequency range</w:t>
      </w:r>
      <w:r w:rsidR="003D17EF">
        <w:t xml:space="preserve"> and noted increasing demand to support WBB services. The responder </w:t>
      </w:r>
      <w:r w:rsidR="001B405F">
        <w:t>requested that the ACMA comment on the latest ITU coexistence studies</w:t>
      </w:r>
      <w:r w:rsidR="0060593D">
        <w:t xml:space="preserve"> so that operators are able to make</w:t>
      </w:r>
      <w:r w:rsidR="001B405F">
        <w:t xml:space="preserve"> </w:t>
      </w:r>
      <w:r w:rsidR="0060593D">
        <w:t>long</w:t>
      </w:r>
      <w:r w:rsidR="00FC3B03">
        <w:t>-</w:t>
      </w:r>
      <w:r w:rsidR="0060593D">
        <w:t xml:space="preserve">term investment decisions. </w:t>
      </w:r>
    </w:p>
    <w:p w14:paraId="0F056F24" w14:textId="2AE2D346" w:rsidR="00200ABC" w:rsidRDefault="0060593D" w:rsidP="00375756">
      <w:pPr>
        <w:spacing w:before="120"/>
      </w:pPr>
      <w:r>
        <w:t xml:space="preserve">The same telecommunications industry responder questioned how the next stage of the 1.5 GHz band review would </w:t>
      </w:r>
      <w:r w:rsidR="00B06F8D">
        <w:t>promote</w:t>
      </w:r>
      <w:r>
        <w:t xml:space="preserve"> the long-term public interest, stating that </w:t>
      </w:r>
      <w:r w:rsidR="00804F29">
        <w:t>‘</w:t>
      </w:r>
      <w:r w:rsidRPr="0060593D">
        <w:t>design of co-existence frameworks should be clear and transparent, with a view to maximising the efficient use of the spectrum by providing sufficient predictability of spectrum access</w:t>
      </w:r>
      <w:r w:rsidR="00804F29">
        <w:t>’</w:t>
      </w:r>
      <w:r>
        <w:t xml:space="preserve"> which would promote network investment, benefit users and the Australian digital economy. The responder requested that the ACMA consider </w:t>
      </w:r>
      <w:r w:rsidRPr="0060593D">
        <w:t>imposing compatibility requirements on MSS operators early to avoid costs and delays to stakehol</w:t>
      </w:r>
      <w:r>
        <w:t>d</w:t>
      </w:r>
      <w:r w:rsidRPr="0060593D">
        <w:t>ers.</w:t>
      </w:r>
    </w:p>
    <w:p w14:paraId="32B43C1B" w14:textId="77777777" w:rsidR="00EE0ABE" w:rsidRPr="00057029" w:rsidRDefault="00EE0ABE" w:rsidP="0040126C">
      <w:pPr>
        <w:pStyle w:val="Heading4"/>
        <w:keepNext/>
      </w:pPr>
      <w:r w:rsidRPr="00057029">
        <w:t>ACMA response</w:t>
      </w:r>
    </w:p>
    <w:p w14:paraId="4772B671" w14:textId="0E607547" w:rsidR="00EE0ABE" w:rsidRDefault="003D17EF" w:rsidP="0040126C">
      <w:pPr>
        <w:pStyle w:val="Paragraph"/>
        <w:keepNext/>
      </w:pPr>
      <w:r>
        <w:t xml:space="preserve">The ACMA </w:t>
      </w:r>
      <w:r w:rsidR="00B06F8D">
        <w:t xml:space="preserve">notes the </w:t>
      </w:r>
      <w:r>
        <w:t xml:space="preserve">support </w:t>
      </w:r>
      <w:r w:rsidR="00B06F8D">
        <w:t>for</w:t>
      </w:r>
      <w:r>
        <w:t xml:space="preserve"> </w:t>
      </w:r>
      <w:r w:rsidR="00FC3B03">
        <w:t xml:space="preserve">our </w:t>
      </w:r>
      <w:r>
        <w:t xml:space="preserve">preferred Option 2. </w:t>
      </w:r>
      <w:r w:rsidR="00FC3B03">
        <w:t>We have</w:t>
      </w:r>
      <w:r w:rsidR="00200ABC">
        <w:t xml:space="preserve"> no plans to restrict licensing of terrestrial services in the extended MSS L-band</w:t>
      </w:r>
      <w:r w:rsidR="00B354DB">
        <w:t xml:space="preserve"> </w:t>
      </w:r>
      <w:r w:rsidR="0054410B">
        <w:t>noting that enabling coexistence with incumbent and possible future in-band and adjacent band services such as WBB aligns with the ACMA’s desirable planning outcomes</w:t>
      </w:r>
      <w:r w:rsidR="00200ABC">
        <w:t>.</w:t>
      </w:r>
    </w:p>
    <w:p w14:paraId="6619C9BC" w14:textId="30C1D275" w:rsidR="00D81F71" w:rsidRPr="00D81F71" w:rsidRDefault="00D81F71" w:rsidP="00EE0ABE">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b/>
          <w:bCs/>
        </w:rPr>
      </w:pPr>
      <w:r w:rsidRPr="00D81F71">
        <w:rPr>
          <w:b/>
          <w:bCs/>
        </w:rPr>
        <w:t>Question 3</w:t>
      </w:r>
    </w:p>
    <w:p w14:paraId="0AD6BC20" w14:textId="77777777" w:rsidR="00AD0A12" w:rsidRPr="00602151" w:rsidRDefault="00AD0A12" w:rsidP="00AD0A12">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536"/>
        </w:tabs>
      </w:pPr>
      <w:r>
        <w:t>Comment is sought on the ACMA’s assessment of options.</w:t>
      </w:r>
    </w:p>
    <w:p w14:paraId="4A809212" w14:textId="02B1F35A" w:rsidR="00CB7598" w:rsidRDefault="00260442" w:rsidP="00260442">
      <w:pPr>
        <w:spacing w:before="120"/>
      </w:pPr>
      <w:r>
        <w:t>A satellite industry responder argued that under Option 2, MSS services would operate as secondary services which may result in MSS operations no</w:t>
      </w:r>
      <w:r w:rsidR="00883E83">
        <w:t>t</w:t>
      </w:r>
      <w:r>
        <w:t xml:space="preserve"> being feasible in future in the extended MSS L-band. They argued that future systems in the same band and adjacent bands should not be prioritised over MSS and that protection for terrestrial mobile systems should be reviewed as part of the 1427</w:t>
      </w:r>
      <w:r w:rsidR="00C369D6">
        <w:rPr>
          <w:rFonts w:cs="Arial"/>
          <w:szCs w:val="20"/>
        </w:rPr>
        <w:t>–</w:t>
      </w:r>
      <w:r>
        <w:t>1535 MHz review.</w:t>
      </w:r>
    </w:p>
    <w:p w14:paraId="55CD70A9" w14:textId="5F581362" w:rsidR="00554782" w:rsidRDefault="00554782" w:rsidP="00554782">
      <w:pPr>
        <w:spacing w:before="120"/>
      </w:pPr>
      <w:r>
        <w:t>A second satellite industry responder mirrored the above comments.</w:t>
      </w:r>
    </w:p>
    <w:p w14:paraId="3FC184EB" w14:textId="257FD7D2" w:rsidR="00260442" w:rsidRDefault="00260442" w:rsidP="00260442">
      <w:pPr>
        <w:spacing w:before="120"/>
      </w:pPr>
      <w:r>
        <w:t xml:space="preserve">A </w:t>
      </w:r>
      <w:r w:rsidR="00554782">
        <w:t>third</w:t>
      </w:r>
      <w:r>
        <w:t xml:space="preserve"> satellite industry responder</w:t>
      </w:r>
      <w:r w:rsidR="00FD602F">
        <w:t xml:space="preserve"> agreed with </w:t>
      </w:r>
      <w:r w:rsidR="00FC3B03">
        <w:t>our</w:t>
      </w:r>
      <w:r w:rsidR="00FD602F">
        <w:t xml:space="preserve"> views on Option 1 and Option 2. They noted that they plan to use the extended MSS L-band for 5G NTN services, therefore, </w:t>
      </w:r>
      <w:r w:rsidR="00AE2F2B">
        <w:t>proposed operational restrictions will need to align with the 3GPP standard. The responder suggested implementing Option 2 and Option 3 in parallel so that incumbent service relocation is not delayed.</w:t>
      </w:r>
    </w:p>
    <w:p w14:paraId="757741AD" w14:textId="5D1610C7" w:rsidR="00260442" w:rsidRDefault="00260442" w:rsidP="00260442">
      <w:pPr>
        <w:spacing w:before="120"/>
      </w:pPr>
      <w:r>
        <w:t>A government responder raised their concerns that potential planning options might impede incumbents at the next stage of the 1.5 GHz review but acknowledged that these concerns will be addressed in future.</w:t>
      </w:r>
    </w:p>
    <w:p w14:paraId="328E9B3A" w14:textId="4041C9BB" w:rsidR="00AE2F2B" w:rsidRDefault="00AE2F2B" w:rsidP="00260442">
      <w:pPr>
        <w:spacing w:before="120"/>
      </w:pPr>
      <w:r>
        <w:t>A telecommunications industry responder support</w:t>
      </w:r>
      <w:r w:rsidR="00716EB3">
        <w:t>ed</w:t>
      </w:r>
      <w:r>
        <w:t xml:space="preserve"> </w:t>
      </w:r>
      <w:r w:rsidR="00804F29">
        <w:t xml:space="preserve">the </w:t>
      </w:r>
      <w:r>
        <w:t>ACMA’s assessment of options on the understanding that MSS stations in the 1518</w:t>
      </w:r>
      <w:r w:rsidR="00C369D6">
        <w:rPr>
          <w:rFonts w:cs="Arial"/>
          <w:szCs w:val="20"/>
        </w:rPr>
        <w:t>–</w:t>
      </w:r>
      <w:r>
        <w:t xml:space="preserve">1525 MHz </w:t>
      </w:r>
      <w:r w:rsidR="00031558">
        <w:t xml:space="preserve">frequency range </w:t>
      </w:r>
      <w:r>
        <w:t>will not be afforded protection from incumbent services</w:t>
      </w:r>
      <w:r w:rsidR="00DD7A47">
        <w:t>,</w:t>
      </w:r>
      <w:r>
        <w:t xml:space="preserve"> and that </w:t>
      </w:r>
      <w:r w:rsidR="00804F29">
        <w:t>‘</w:t>
      </w:r>
      <w:r>
        <w:t xml:space="preserve">the ACMA </w:t>
      </w:r>
      <w:r w:rsidRPr="00AE2F2B">
        <w:t>will implement measures to help ensure that the upcoming review of the arrangements for terrestrial (non-satellite related) services in the broader 1427</w:t>
      </w:r>
      <w:r w:rsidR="00C369D6">
        <w:rPr>
          <w:rFonts w:cs="Arial"/>
          <w:szCs w:val="20"/>
        </w:rPr>
        <w:t>–</w:t>
      </w:r>
      <w:r w:rsidRPr="00AE2F2B">
        <w:t xml:space="preserve">1535 MHz </w:t>
      </w:r>
      <w:r w:rsidR="00031558">
        <w:t>frequency range</w:t>
      </w:r>
      <w:r w:rsidRPr="00AE2F2B">
        <w:t xml:space="preserve"> is not unduly constrained</w:t>
      </w:r>
      <w:r w:rsidR="00804F29">
        <w:t>’</w:t>
      </w:r>
      <w:r>
        <w:t>.</w:t>
      </w:r>
    </w:p>
    <w:p w14:paraId="5A66F8D6" w14:textId="77777777" w:rsidR="00EE0ABE" w:rsidRPr="00057029" w:rsidRDefault="00EE0ABE" w:rsidP="00EE0ABE">
      <w:pPr>
        <w:pStyle w:val="Heading4"/>
        <w:rPr>
          <w:bCs/>
        </w:rPr>
      </w:pPr>
      <w:r w:rsidRPr="009D534A">
        <w:t>ACMA response</w:t>
      </w:r>
    </w:p>
    <w:p w14:paraId="3B650DB2" w14:textId="5CF487F7" w:rsidR="00EE0ABE" w:rsidRDefault="0040582D" w:rsidP="00EE0ABE">
      <w:pPr>
        <w:pStyle w:val="ListBullet"/>
        <w:numPr>
          <w:ilvl w:val="0"/>
          <w:numId w:val="0"/>
        </w:numPr>
        <w:spacing w:after="240"/>
      </w:pPr>
      <w:r>
        <w:t>The ACMA</w:t>
      </w:r>
      <w:r w:rsidR="00A70C46">
        <w:t xml:space="preserve"> notes th</w:t>
      </w:r>
      <w:r w:rsidR="00AE2F2B">
        <w:t>e comments made by responders to our assessment of options.</w:t>
      </w:r>
    </w:p>
    <w:p w14:paraId="63C17343" w14:textId="05036A08" w:rsidR="00D81F71" w:rsidRDefault="00D81F71" w:rsidP="00EE0ABE">
      <w:pPr>
        <w:pStyle w:val="ListNumber"/>
        <w:numPr>
          <w:ilvl w:val="0"/>
          <w:numId w:val="0"/>
        </w:numPr>
        <w:pBdr>
          <w:top w:val="single" w:sz="4" w:space="8" w:color="auto"/>
          <w:left w:val="single" w:sz="4" w:space="4" w:color="auto"/>
          <w:bottom w:val="single" w:sz="4" w:space="1" w:color="auto"/>
          <w:right w:val="single" w:sz="4" w:space="4" w:color="auto"/>
        </w:pBdr>
        <w:shd w:val="clear" w:color="auto" w:fill="F2F2F2" w:themeFill="background1" w:themeFillShade="F2"/>
        <w:spacing w:before="100"/>
        <w:rPr>
          <w:b/>
          <w:bCs/>
        </w:rPr>
      </w:pPr>
      <w:r w:rsidRPr="00D81F71">
        <w:rPr>
          <w:b/>
          <w:bCs/>
        </w:rPr>
        <w:t>Question 4</w:t>
      </w:r>
    </w:p>
    <w:p w14:paraId="6F075CB1" w14:textId="6B296F4C" w:rsidR="00AD0A12" w:rsidRPr="00D81F71" w:rsidRDefault="00AD0A12" w:rsidP="00EE0ABE">
      <w:pPr>
        <w:pStyle w:val="ListNumber"/>
        <w:numPr>
          <w:ilvl w:val="0"/>
          <w:numId w:val="0"/>
        </w:numPr>
        <w:pBdr>
          <w:top w:val="single" w:sz="4" w:space="8" w:color="auto"/>
          <w:left w:val="single" w:sz="4" w:space="4" w:color="auto"/>
          <w:bottom w:val="single" w:sz="4" w:space="1" w:color="auto"/>
          <w:right w:val="single" w:sz="4" w:space="4" w:color="auto"/>
        </w:pBdr>
        <w:shd w:val="clear" w:color="auto" w:fill="F2F2F2" w:themeFill="background1" w:themeFillShade="F2"/>
        <w:spacing w:before="100"/>
        <w:rPr>
          <w:b/>
          <w:bCs/>
        </w:rPr>
      </w:pPr>
      <w:r>
        <w:t xml:space="preserve">Comment is sought on the ACMA’s preliminary preferred approach, including the proposed draft amendments to the </w:t>
      </w:r>
      <w:hyperlink r:id="rId54" w:history="1">
        <w:r w:rsidRPr="00F8639A">
          <w:rPr>
            <w:rStyle w:val="Hyperlink"/>
            <w:bCs/>
          </w:rPr>
          <w:t>Radiocommunications (Communication with Space Object) Class Licence</w:t>
        </w:r>
      </w:hyperlink>
      <w:r w:rsidRPr="00F8639A">
        <w:rPr>
          <w:rStyle w:val="Hyperlink"/>
          <w:bCs/>
        </w:rPr>
        <w:t xml:space="preserve"> 2015</w:t>
      </w:r>
      <w:r>
        <w:t xml:space="preserve"> and associated licence application and allocation process.</w:t>
      </w:r>
    </w:p>
    <w:p w14:paraId="170000E3" w14:textId="54AA756C" w:rsidR="00EE0ABE" w:rsidRDefault="007439B4" w:rsidP="00FD602F">
      <w:pPr>
        <w:spacing w:before="120"/>
      </w:pPr>
      <w:r>
        <w:t>A mobile telecommunications industry responder agreed that a class licensing and apparatus licensing approach would be suitable for the extended MSS L-band as it is currently implemented in the 1525</w:t>
      </w:r>
      <w:r w:rsidR="00C369D6">
        <w:rPr>
          <w:rFonts w:cs="Arial"/>
          <w:szCs w:val="20"/>
        </w:rPr>
        <w:t>–</w:t>
      </w:r>
      <w:r>
        <w:t>1559 MHz and 1610</w:t>
      </w:r>
      <w:r w:rsidR="00C369D6">
        <w:rPr>
          <w:rFonts w:cs="Arial"/>
          <w:szCs w:val="20"/>
        </w:rPr>
        <w:t>–</w:t>
      </w:r>
      <w:r>
        <w:t xml:space="preserve">1660.5 MHz portion of the </w:t>
      </w:r>
      <w:r w:rsidR="00DD7A47">
        <w:br/>
      </w:r>
      <w:r>
        <w:t>L-band. They requested that the ACMA supplies (at minimum) performance requirements for MSS earth station receivers, including adjacent-channel selectivity (A</w:t>
      </w:r>
      <w:r w:rsidR="00883E83">
        <w:t>CS</w:t>
      </w:r>
      <w:r>
        <w:t xml:space="preserve">) and blocking requirements to enable coexistence with WBB services below </w:t>
      </w:r>
      <w:r w:rsidR="00DD7A47">
        <w:br/>
      </w:r>
      <w:r>
        <w:t xml:space="preserve">1518 MHz. The responder also supported advisory notes be added to future </w:t>
      </w:r>
      <w:r w:rsidR="00C84114">
        <w:t>s</w:t>
      </w:r>
      <w:r>
        <w:t>pace</w:t>
      </w:r>
      <w:r w:rsidR="00B4566D">
        <w:t xml:space="preserve"> receive</w:t>
      </w:r>
      <w:r>
        <w:t xml:space="preserve"> licences in the 1518</w:t>
      </w:r>
      <w:r w:rsidR="00C369D6">
        <w:rPr>
          <w:rFonts w:cs="Arial"/>
          <w:szCs w:val="20"/>
        </w:rPr>
        <w:t>–</w:t>
      </w:r>
      <w:r>
        <w:t xml:space="preserve">1525 MHz band, arguing that above 1518 MHz </w:t>
      </w:r>
      <w:r w:rsidR="00902CC1">
        <w:t xml:space="preserve">the ACMA </w:t>
      </w:r>
      <w:r>
        <w:t>should not allow</w:t>
      </w:r>
      <w:r w:rsidR="00902CC1">
        <w:t xml:space="preserve"> the continued operation of </w:t>
      </w:r>
      <w:r w:rsidR="00804F29">
        <w:t>‘</w:t>
      </w:r>
      <w:r w:rsidR="00902CC1">
        <w:t>poorly-performing</w:t>
      </w:r>
      <w:r w:rsidR="00804F29">
        <w:t>’</w:t>
      </w:r>
      <w:r w:rsidR="00902CC1">
        <w:t xml:space="preserve"> receiver equipment in incumbent MSS</w:t>
      </w:r>
      <w:r w:rsidR="00031558">
        <w:t xml:space="preserve"> licences</w:t>
      </w:r>
      <w:r w:rsidR="00902CC1">
        <w:t>.</w:t>
      </w:r>
    </w:p>
    <w:p w14:paraId="366371A1" w14:textId="67EECBF5" w:rsidR="00902CC1" w:rsidRDefault="00902CC1" w:rsidP="00FD602F">
      <w:pPr>
        <w:spacing w:before="120"/>
        <w:rPr>
          <w:szCs w:val="20"/>
        </w:rPr>
      </w:pPr>
      <w:r>
        <w:t xml:space="preserve">A satellite industry responder stated that </w:t>
      </w:r>
      <w:r>
        <w:rPr>
          <w:szCs w:val="20"/>
        </w:rPr>
        <w:t xml:space="preserve">MSS licensees will require access to complementary </w:t>
      </w:r>
      <w:r w:rsidR="00C84114">
        <w:rPr>
          <w:szCs w:val="20"/>
        </w:rPr>
        <w:t>s</w:t>
      </w:r>
      <w:r>
        <w:rPr>
          <w:szCs w:val="20"/>
        </w:rPr>
        <w:t>pace and</w:t>
      </w:r>
      <w:r w:rsidR="00883E83">
        <w:rPr>
          <w:szCs w:val="20"/>
        </w:rPr>
        <w:t xml:space="preserve"> </w:t>
      </w:r>
      <w:r w:rsidR="00C84114">
        <w:rPr>
          <w:szCs w:val="20"/>
        </w:rPr>
        <w:t>s</w:t>
      </w:r>
      <w:r>
        <w:rPr>
          <w:szCs w:val="20"/>
        </w:rPr>
        <w:t>pace receive apparatus licences in the extended</w:t>
      </w:r>
      <w:r w:rsidR="00031558">
        <w:rPr>
          <w:szCs w:val="20"/>
        </w:rPr>
        <w:t xml:space="preserve"> MSS</w:t>
      </w:r>
      <w:r>
        <w:rPr>
          <w:szCs w:val="20"/>
        </w:rPr>
        <w:t xml:space="preserve"> </w:t>
      </w:r>
      <w:r w:rsidR="00DD7A47">
        <w:rPr>
          <w:szCs w:val="20"/>
        </w:rPr>
        <w:br/>
      </w:r>
      <w:r>
        <w:rPr>
          <w:szCs w:val="20"/>
        </w:rPr>
        <w:t xml:space="preserve">L-band, and that it </w:t>
      </w:r>
      <w:r w:rsidR="00804F29">
        <w:rPr>
          <w:szCs w:val="20"/>
        </w:rPr>
        <w:t>‘</w:t>
      </w:r>
      <w:r>
        <w:rPr>
          <w:szCs w:val="20"/>
        </w:rPr>
        <w:t>seems premature</w:t>
      </w:r>
      <w:r w:rsidR="00804F29">
        <w:rPr>
          <w:szCs w:val="20"/>
        </w:rPr>
        <w:t>’</w:t>
      </w:r>
      <w:r>
        <w:rPr>
          <w:szCs w:val="20"/>
        </w:rPr>
        <w:t xml:space="preserve"> for the ACMA to include a note regarding </w:t>
      </w:r>
      <w:r w:rsidR="00DD7A47">
        <w:rPr>
          <w:szCs w:val="20"/>
        </w:rPr>
        <w:br/>
      </w:r>
      <w:r>
        <w:rPr>
          <w:szCs w:val="20"/>
        </w:rPr>
        <w:t>possible date of implementation of better performing MSS receivers while plans for the 1427</w:t>
      </w:r>
      <w:r w:rsidR="00C369D6">
        <w:rPr>
          <w:rFonts w:cs="Arial"/>
          <w:szCs w:val="20"/>
        </w:rPr>
        <w:t>–</w:t>
      </w:r>
      <w:r>
        <w:rPr>
          <w:szCs w:val="20"/>
        </w:rPr>
        <w:t xml:space="preserve">1518 MHz </w:t>
      </w:r>
      <w:r w:rsidR="00031558">
        <w:rPr>
          <w:szCs w:val="20"/>
        </w:rPr>
        <w:t>frequency range</w:t>
      </w:r>
      <w:r>
        <w:rPr>
          <w:szCs w:val="20"/>
        </w:rPr>
        <w:t xml:space="preserve"> have not been explored. The responder proposed to expand Embargo 70 to include new terrestrial licences in the 1427</w:t>
      </w:r>
      <w:r w:rsidR="00C369D6">
        <w:rPr>
          <w:rFonts w:cs="Arial"/>
          <w:szCs w:val="20"/>
        </w:rPr>
        <w:t>–</w:t>
      </w:r>
      <w:r>
        <w:rPr>
          <w:szCs w:val="20"/>
        </w:rPr>
        <w:t xml:space="preserve">1535 MHz </w:t>
      </w:r>
      <w:r w:rsidR="00031558">
        <w:rPr>
          <w:szCs w:val="20"/>
        </w:rPr>
        <w:t>frequency range</w:t>
      </w:r>
      <w:r>
        <w:rPr>
          <w:szCs w:val="20"/>
        </w:rPr>
        <w:t xml:space="preserve"> Australia-wide.</w:t>
      </w:r>
    </w:p>
    <w:p w14:paraId="3BD0AE1A" w14:textId="7E4ABAA6" w:rsidR="0087619C" w:rsidRDefault="0087619C" w:rsidP="00FD602F">
      <w:pPr>
        <w:spacing w:before="120"/>
        <w:rPr>
          <w:szCs w:val="20"/>
        </w:rPr>
      </w:pPr>
      <w:r>
        <w:rPr>
          <w:szCs w:val="20"/>
        </w:rPr>
        <w:t>A second satellite industry responder mirrored the above comments.</w:t>
      </w:r>
    </w:p>
    <w:p w14:paraId="35A17466" w14:textId="34876184" w:rsidR="0087619C" w:rsidRDefault="00B4566D" w:rsidP="0087619C">
      <w:pPr>
        <w:spacing w:before="120"/>
        <w:rPr>
          <w:szCs w:val="20"/>
        </w:rPr>
      </w:pPr>
      <w:r w:rsidRPr="00B4566D">
        <w:rPr>
          <w:szCs w:val="20"/>
        </w:rPr>
        <w:t>A</w:t>
      </w:r>
      <w:r w:rsidR="0087619C">
        <w:rPr>
          <w:szCs w:val="20"/>
        </w:rPr>
        <w:t xml:space="preserve"> third</w:t>
      </w:r>
      <w:r w:rsidRPr="00B4566D">
        <w:rPr>
          <w:szCs w:val="20"/>
        </w:rPr>
        <w:t xml:space="preserve"> satellite industry responder urged </w:t>
      </w:r>
      <w:r w:rsidR="00DD7A47">
        <w:rPr>
          <w:szCs w:val="20"/>
        </w:rPr>
        <w:t>us</w:t>
      </w:r>
      <w:r w:rsidRPr="00B4566D">
        <w:rPr>
          <w:szCs w:val="20"/>
        </w:rPr>
        <w:t xml:space="preserve"> to </w:t>
      </w:r>
      <w:r>
        <w:rPr>
          <w:szCs w:val="20"/>
        </w:rPr>
        <w:t>further consider</w:t>
      </w:r>
      <w:r w:rsidRPr="00B4566D">
        <w:rPr>
          <w:szCs w:val="20"/>
        </w:rPr>
        <w:t xml:space="preserve"> the provision to restrict operation of a station in the 1673.38</w:t>
      </w:r>
      <w:r w:rsidR="00C369D6">
        <w:rPr>
          <w:rFonts w:cs="Arial"/>
          <w:szCs w:val="20"/>
        </w:rPr>
        <w:t>–</w:t>
      </w:r>
      <w:r w:rsidRPr="00B4566D">
        <w:rPr>
          <w:szCs w:val="20"/>
        </w:rPr>
        <w:t xml:space="preserve">1675 MHz </w:t>
      </w:r>
      <w:r w:rsidR="00031558">
        <w:rPr>
          <w:szCs w:val="20"/>
        </w:rPr>
        <w:t>frequency range</w:t>
      </w:r>
      <w:r w:rsidRPr="00B4566D">
        <w:rPr>
          <w:szCs w:val="20"/>
        </w:rPr>
        <w:t xml:space="preserve"> to protect incumbent licences</w:t>
      </w:r>
      <w:r>
        <w:rPr>
          <w:szCs w:val="20"/>
        </w:rPr>
        <w:t>, as proposed in the draft CSO class licence variation.</w:t>
      </w:r>
    </w:p>
    <w:p w14:paraId="1B2A5601" w14:textId="188ABD1B" w:rsidR="00902CC1" w:rsidRDefault="00902CC1" w:rsidP="00FD602F">
      <w:pPr>
        <w:spacing w:before="120"/>
        <w:rPr>
          <w:szCs w:val="20"/>
        </w:rPr>
      </w:pPr>
      <w:r>
        <w:rPr>
          <w:szCs w:val="20"/>
        </w:rPr>
        <w:t xml:space="preserve">A government responder suggested that the ACMA add references to relevant ITU Recommendations and/or internationally recognised standards </w:t>
      </w:r>
      <w:r w:rsidR="00B4566D">
        <w:rPr>
          <w:szCs w:val="20"/>
        </w:rPr>
        <w:t>to support our proposal for better performing MSS receivers and more stringent blocking levels.</w:t>
      </w:r>
    </w:p>
    <w:p w14:paraId="6EBEAC8F" w14:textId="4B4119FA" w:rsidR="00902CC1" w:rsidRDefault="00B4566D" w:rsidP="00FD602F">
      <w:pPr>
        <w:spacing w:before="120"/>
        <w:rPr>
          <w:szCs w:val="20"/>
        </w:rPr>
      </w:pPr>
      <w:r>
        <w:rPr>
          <w:szCs w:val="20"/>
        </w:rPr>
        <w:t xml:space="preserve">A telecommunications industry responder agreed with </w:t>
      </w:r>
      <w:r w:rsidR="00804F29">
        <w:rPr>
          <w:szCs w:val="20"/>
        </w:rPr>
        <w:t xml:space="preserve">the </w:t>
      </w:r>
      <w:r>
        <w:rPr>
          <w:szCs w:val="20"/>
        </w:rPr>
        <w:t xml:space="preserve">ACMA’s proposal to introduce requirements on MSS stations to implement better performing receivers so that early introduction of MSS will not limit replanning in the 1.5 GHz band. They therefore </w:t>
      </w:r>
      <w:r w:rsidR="00584CBA">
        <w:rPr>
          <w:szCs w:val="20"/>
        </w:rPr>
        <w:br/>
      </w:r>
      <w:r>
        <w:rPr>
          <w:szCs w:val="20"/>
        </w:rPr>
        <w:t xml:space="preserve">support the addition of an advisory note to </w:t>
      </w:r>
      <w:r w:rsidR="00C84114">
        <w:rPr>
          <w:szCs w:val="20"/>
        </w:rPr>
        <w:t>s</w:t>
      </w:r>
      <w:r>
        <w:rPr>
          <w:szCs w:val="20"/>
        </w:rPr>
        <w:t>pace receive licences</w:t>
      </w:r>
      <w:r w:rsidR="00AD30D2">
        <w:rPr>
          <w:szCs w:val="20"/>
        </w:rPr>
        <w:t xml:space="preserve"> and </w:t>
      </w:r>
      <w:r w:rsidR="00031558">
        <w:rPr>
          <w:szCs w:val="20"/>
        </w:rPr>
        <w:t xml:space="preserve">an </w:t>
      </w:r>
      <w:r w:rsidR="00AD30D2">
        <w:rPr>
          <w:szCs w:val="20"/>
        </w:rPr>
        <w:t xml:space="preserve">update to </w:t>
      </w:r>
      <w:r w:rsidR="00584CBA">
        <w:rPr>
          <w:szCs w:val="20"/>
        </w:rPr>
        <w:br/>
      </w:r>
      <w:r w:rsidR="00AD30D2">
        <w:rPr>
          <w:szCs w:val="20"/>
        </w:rPr>
        <w:t xml:space="preserve">the </w:t>
      </w:r>
      <w:hyperlink r:id="rId55" w:history="1">
        <w:r w:rsidR="00B65D1C">
          <w:rPr>
            <w:rStyle w:val="Hyperlink"/>
            <w:szCs w:val="20"/>
          </w:rPr>
          <w:t>s</w:t>
        </w:r>
        <w:r w:rsidR="00AD30D2" w:rsidRPr="00BE14E2">
          <w:rPr>
            <w:rStyle w:val="Hyperlink"/>
            <w:szCs w:val="20"/>
          </w:rPr>
          <w:t xml:space="preserve">pace </w:t>
        </w:r>
        <w:r w:rsidR="00BD2637" w:rsidRPr="00BE14E2">
          <w:rPr>
            <w:rStyle w:val="Hyperlink"/>
            <w:szCs w:val="20"/>
          </w:rPr>
          <w:t>BOP</w:t>
        </w:r>
      </w:hyperlink>
      <w:r>
        <w:rPr>
          <w:szCs w:val="20"/>
        </w:rPr>
        <w:t xml:space="preserve"> noting review of the 1427</w:t>
      </w:r>
      <w:r w:rsidR="00C369D6">
        <w:rPr>
          <w:rFonts w:cs="Arial"/>
          <w:szCs w:val="20"/>
        </w:rPr>
        <w:t>–</w:t>
      </w:r>
      <w:r>
        <w:rPr>
          <w:szCs w:val="20"/>
        </w:rPr>
        <w:t xml:space="preserve">1535 MHz </w:t>
      </w:r>
      <w:r w:rsidR="00031558">
        <w:rPr>
          <w:szCs w:val="20"/>
        </w:rPr>
        <w:t>frequency range</w:t>
      </w:r>
      <w:r>
        <w:rPr>
          <w:szCs w:val="20"/>
        </w:rPr>
        <w:t xml:space="preserve"> and </w:t>
      </w:r>
      <w:r w:rsidR="00AD30D2">
        <w:rPr>
          <w:szCs w:val="20"/>
        </w:rPr>
        <w:t xml:space="preserve">date for implementation for better performing MSS receivers, and also support enforcement </w:t>
      </w:r>
      <w:r w:rsidR="00584CBA">
        <w:rPr>
          <w:szCs w:val="20"/>
        </w:rPr>
        <w:br/>
      </w:r>
      <w:r w:rsidR="00AD30D2">
        <w:rPr>
          <w:szCs w:val="20"/>
        </w:rPr>
        <w:t xml:space="preserve">of Embargo 70. The responder insisted that technical arrangements should support </w:t>
      </w:r>
      <w:r w:rsidR="00584CBA">
        <w:rPr>
          <w:szCs w:val="20"/>
        </w:rPr>
        <w:br/>
      </w:r>
      <w:r w:rsidR="00AD30D2">
        <w:rPr>
          <w:szCs w:val="20"/>
        </w:rPr>
        <w:t>3GPP-compliant equipment and interference limits to 1427</w:t>
      </w:r>
      <w:r w:rsidR="00C369D6">
        <w:rPr>
          <w:rFonts w:cs="Arial"/>
          <w:szCs w:val="20"/>
        </w:rPr>
        <w:t>–</w:t>
      </w:r>
      <w:r w:rsidR="00AD30D2">
        <w:rPr>
          <w:szCs w:val="20"/>
        </w:rPr>
        <w:t>1518 MHz to support WBB.</w:t>
      </w:r>
    </w:p>
    <w:p w14:paraId="0550A958" w14:textId="417FCED3" w:rsidR="00AD30D2" w:rsidRDefault="00AD30D2" w:rsidP="00FD602F">
      <w:pPr>
        <w:spacing w:before="120"/>
      </w:pPr>
      <w:r>
        <w:t xml:space="preserve">Another telecommunications industry responder noted that they support the advisory note to </w:t>
      </w:r>
      <w:r w:rsidR="00C84114">
        <w:t>s</w:t>
      </w:r>
      <w:r>
        <w:t xml:space="preserve">pace receive licences, a note in the </w:t>
      </w:r>
      <w:r w:rsidR="00B65D1C">
        <w:t>s</w:t>
      </w:r>
      <w:r>
        <w:t xml:space="preserve">pace </w:t>
      </w:r>
      <w:r w:rsidR="00BD2637">
        <w:t>BOP</w:t>
      </w:r>
      <w:r>
        <w:t xml:space="preserve"> and continued enforcement of Embargo 70.</w:t>
      </w:r>
    </w:p>
    <w:p w14:paraId="762EC127" w14:textId="77777777" w:rsidR="00EE0ABE" w:rsidRPr="00057029" w:rsidRDefault="00EE0ABE" w:rsidP="00EE0ABE">
      <w:pPr>
        <w:pStyle w:val="Heading4"/>
      </w:pPr>
      <w:r w:rsidRPr="00057029">
        <w:t>ACMA response</w:t>
      </w:r>
    </w:p>
    <w:p w14:paraId="259DBBD9" w14:textId="0E5DCB42" w:rsidR="00431C07" w:rsidRPr="00057029" w:rsidRDefault="00EE0ABE" w:rsidP="00431C07">
      <w:r w:rsidRPr="00057029">
        <w:t xml:space="preserve">The ACMA </w:t>
      </w:r>
      <w:r w:rsidR="00AD30D2">
        <w:t>acknowledges that responses were in support of our preliminary preferred licensing approach.</w:t>
      </w:r>
      <w:r w:rsidR="00431C07">
        <w:t xml:space="preserve"> Following consultation on the options paper, </w:t>
      </w:r>
      <w:r w:rsidR="00584CBA">
        <w:t>we</w:t>
      </w:r>
      <w:r w:rsidR="00431C07">
        <w:t xml:space="preserve"> will include a note in the </w:t>
      </w:r>
      <w:r w:rsidR="00B65D1C">
        <w:t>s</w:t>
      </w:r>
      <w:r w:rsidR="00431C07">
        <w:t>pace BOP flagging future review and possible application of regulatory measures on MSS operating in the L-band, including a statement of our intention to define a date for the implementation of</w:t>
      </w:r>
      <w:r w:rsidR="00431C07" w:rsidRPr="00FC10BD">
        <w:t xml:space="preserve"> better performing </w:t>
      </w:r>
      <w:r w:rsidR="00431C07">
        <w:t xml:space="preserve">MSS </w:t>
      </w:r>
      <w:r w:rsidR="00431C07" w:rsidRPr="00FC10BD">
        <w:t>receiver</w:t>
      </w:r>
      <w:r w:rsidR="00431C07">
        <w:t xml:space="preserve">s, including more stringent </w:t>
      </w:r>
      <w:r w:rsidR="00431C07" w:rsidRPr="00FC10BD">
        <w:t>blocking levels</w:t>
      </w:r>
      <w:r w:rsidR="00431C07">
        <w:t xml:space="preserve">. Any </w:t>
      </w:r>
      <w:r w:rsidR="00C17455">
        <w:t>s</w:t>
      </w:r>
      <w:r w:rsidR="00431C07">
        <w:t>pace receive licences issued will include an advisory note</w:t>
      </w:r>
      <w:r w:rsidR="00B354DB">
        <w:t xml:space="preserve"> to reflect the above</w:t>
      </w:r>
      <w:r w:rsidR="00431C07">
        <w:t>.</w:t>
      </w:r>
      <w:r w:rsidR="00B354DB">
        <w:t xml:space="preserve"> Receiver performance requirements and blocking levels will be considered during the next stage of the L-band planning process. The ACMA </w:t>
      </w:r>
      <w:r w:rsidR="00584CBA">
        <w:br/>
      </w:r>
      <w:r w:rsidR="00B354DB">
        <w:t xml:space="preserve">will continue to enforce Embargo 70 to preserve future planning options in the </w:t>
      </w:r>
      <w:r w:rsidR="00584CBA">
        <w:br/>
      </w:r>
      <w:r w:rsidR="00B354DB">
        <w:t>1427</w:t>
      </w:r>
      <w:r w:rsidR="00B354DB">
        <w:rPr>
          <w:rFonts w:cs="Arial"/>
          <w:szCs w:val="20"/>
        </w:rPr>
        <w:t>–</w:t>
      </w:r>
      <w:r w:rsidR="00B354DB">
        <w:t>1518 MHz frequency range.</w:t>
      </w:r>
    </w:p>
    <w:p w14:paraId="76C6952C" w14:textId="30384864" w:rsidR="00DD3659" w:rsidRPr="0071191E" w:rsidRDefault="00DD3659" w:rsidP="00DD3659">
      <w:pPr>
        <w:pStyle w:val="Heading2"/>
      </w:pPr>
      <w:bookmarkStart w:id="79" w:name="_Toc153793192"/>
      <w:r w:rsidRPr="0071191E">
        <w:t xml:space="preserve">Reply to </w:t>
      </w:r>
      <w:proofErr w:type="gramStart"/>
      <w:r w:rsidRPr="0071191E">
        <w:t>comment</w:t>
      </w:r>
      <w:bookmarkEnd w:id="79"/>
      <w:proofErr w:type="gramEnd"/>
    </w:p>
    <w:p w14:paraId="15E7DAA4" w14:textId="01AE77F2" w:rsidR="00C66C71" w:rsidRDefault="00C66C71" w:rsidP="000C5733">
      <w:pPr>
        <w:pStyle w:val="ListBullet"/>
        <w:numPr>
          <w:ilvl w:val="0"/>
          <w:numId w:val="0"/>
        </w:numPr>
      </w:pPr>
      <w:r>
        <w:t>One</w:t>
      </w:r>
      <w:r w:rsidR="00FA0BDB" w:rsidRPr="0071191E">
        <w:t xml:space="preserve"> repl</w:t>
      </w:r>
      <w:r>
        <w:t>y</w:t>
      </w:r>
      <w:r w:rsidR="00AC7234">
        <w:t xml:space="preserve"> to submissions</w:t>
      </w:r>
      <w:r w:rsidR="00FA0BDB" w:rsidRPr="0071191E">
        <w:t xml:space="preserve"> w</w:t>
      </w:r>
      <w:r>
        <w:t>as</w:t>
      </w:r>
      <w:r w:rsidR="0093124D" w:rsidRPr="0071191E">
        <w:t xml:space="preserve"> received </w:t>
      </w:r>
      <w:r w:rsidR="009A1686">
        <w:t>from the satellite industry. The responder noted that all responses to the options paper did not oppose the introduction of MSS into the extended L-band and broad support for Option 2. The responder listed 3 concerns with submissions:</w:t>
      </w:r>
    </w:p>
    <w:p w14:paraId="1D3C219C" w14:textId="6ED81D4B" w:rsidR="009A1686" w:rsidRDefault="00180E53" w:rsidP="00180E53">
      <w:pPr>
        <w:pStyle w:val="ListNumber"/>
        <w:numPr>
          <w:ilvl w:val="0"/>
          <w:numId w:val="36"/>
        </w:numPr>
      </w:pPr>
      <w:r>
        <w:t>Regulatory conditions on MSS operators in respect to incumbent and new terrestrial services</w:t>
      </w:r>
      <w:r w:rsidR="009F468C">
        <w:t>: the responder agree</w:t>
      </w:r>
      <w:r w:rsidR="00E079DF">
        <w:t>d</w:t>
      </w:r>
      <w:r w:rsidR="009F468C">
        <w:t xml:space="preserve"> that MSS operations in the 1518</w:t>
      </w:r>
      <w:r w:rsidR="00B452A2">
        <w:rPr>
          <w:rFonts w:cs="Arial"/>
          <w:szCs w:val="20"/>
        </w:rPr>
        <w:t>–</w:t>
      </w:r>
      <w:r w:rsidR="009F468C">
        <w:t xml:space="preserve">1525 MHz </w:t>
      </w:r>
      <w:r w:rsidR="00031558">
        <w:t xml:space="preserve">frequency range </w:t>
      </w:r>
      <w:r w:rsidR="009F468C">
        <w:t>should not claim protection from incumbent licences but disagree</w:t>
      </w:r>
      <w:r w:rsidR="00E079DF">
        <w:t>d</w:t>
      </w:r>
      <w:r w:rsidR="009F468C">
        <w:t xml:space="preserve"> that MSS should operate as a secondary service to new licences. They note</w:t>
      </w:r>
      <w:r w:rsidR="00E079DF">
        <w:t>d</w:t>
      </w:r>
      <w:r w:rsidR="009F468C">
        <w:t xml:space="preserve"> that there will be some negative impact on MSS services from fixed services, therefore any new terrestrial stations should not have priority over MSS operations</w:t>
      </w:r>
      <w:r w:rsidR="003A74B4">
        <w:t>, arguing this would imply that new terrestrial stations would have the right to cause interference to MSS</w:t>
      </w:r>
      <w:r w:rsidR="009F468C">
        <w:t>.</w:t>
      </w:r>
      <w:r w:rsidR="003A74B4">
        <w:t xml:space="preserve"> The responder noted that they had proposed extending Embargo 70 to include 1518</w:t>
      </w:r>
      <w:r w:rsidR="00C369D6">
        <w:rPr>
          <w:rFonts w:cs="Arial"/>
          <w:szCs w:val="20"/>
        </w:rPr>
        <w:t>–</w:t>
      </w:r>
      <w:r w:rsidR="003A74B4">
        <w:t>1535 MHz in their original submission to the options paper, and that this would avoid risk of interference from new fixed links.</w:t>
      </w:r>
    </w:p>
    <w:p w14:paraId="2F9BC0D0" w14:textId="0B1C3731" w:rsidR="00180E53" w:rsidRDefault="00180E53" w:rsidP="00180E53">
      <w:pPr>
        <w:pStyle w:val="ListNumber"/>
        <w:numPr>
          <w:ilvl w:val="0"/>
          <w:numId w:val="36"/>
        </w:numPr>
      </w:pPr>
      <w:r>
        <w:t>Mobile earth station receiver blocking requirements</w:t>
      </w:r>
      <w:r w:rsidR="003A74B4">
        <w:t>: the responder did not agree</w:t>
      </w:r>
      <w:r w:rsidR="00C32103">
        <w:t xml:space="preserve"> with</w:t>
      </w:r>
      <w:r w:rsidR="003A74B4">
        <w:t xml:space="preserve"> comments from </w:t>
      </w:r>
      <w:r w:rsidR="00B452A2">
        <w:t>2</w:t>
      </w:r>
      <w:r w:rsidR="003A74B4">
        <w:t xml:space="preserve"> responders regarding implementation of receiver blocking requirements being implemented to extended MSS L-band receivers and urged the ACMA to consider the issue of better performing receivers during the next stage of 1.5 GHz replanning. </w:t>
      </w:r>
    </w:p>
    <w:p w14:paraId="12DA7FB1" w14:textId="3D3CC387" w:rsidR="00180E53" w:rsidRDefault="00180E53" w:rsidP="00180E53">
      <w:pPr>
        <w:pStyle w:val="ListNumber"/>
        <w:numPr>
          <w:ilvl w:val="0"/>
          <w:numId w:val="36"/>
        </w:numPr>
      </w:pPr>
      <w:r>
        <w:t>Use of the 1518</w:t>
      </w:r>
      <w:r w:rsidR="00C369D6">
        <w:rPr>
          <w:rFonts w:cs="Arial"/>
          <w:szCs w:val="20"/>
        </w:rPr>
        <w:t>–</w:t>
      </w:r>
      <w:r>
        <w:t xml:space="preserve">1520 MHz </w:t>
      </w:r>
      <w:r w:rsidR="00031558">
        <w:t>frequency range</w:t>
      </w:r>
      <w:r w:rsidR="003A74B4">
        <w:t xml:space="preserve">: the responder argued that </w:t>
      </w:r>
      <w:r w:rsidR="00584CBA">
        <w:br/>
      </w:r>
      <w:r w:rsidR="003A74B4">
        <w:t xml:space="preserve">an additional 2 MHz </w:t>
      </w:r>
      <w:r w:rsidR="000A272B">
        <w:t>guard band above 1518 MHz as suggested by a telecommunications industry responder is unnecessary as MSS would need to accept interference from incumbent services</w:t>
      </w:r>
      <w:r w:rsidR="00140F43">
        <w:t xml:space="preserve"> and coexistence measures for new services would be subject to future review.</w:t>
      </w:r>
    </w:p>
    <w:p w14:paraId="791971D2" w14:textId="77777777" w:rsidR="008B3260" w:rsidRPr="00B156AD" w:rsidRDefault="008B3260" w:rsidP="003144E0">
      <w:pPr>
        <w:pStyle w:val="Heading4"/>
        <w:keepNext/>
      </w:pPr>
      <w:r w:rsidRPr="00B156AD">
        <w:t>ACMA response</w:t>
      </w:r>
    </w:p>
    <w:p w14:paraId="74CB5996" w14:textId="276FF165" w:rsidR="008B3260" w:rsidRDefault="009F468C" w:rsidP="003144E0">
      <w:pPr>
        <w:keepNext/>
        <w:autoSpaceDE w:val="0"/>
        <w:autoSpaceDN w:val="0"/>
        <w:spacing w:after="0" w:line="240" w:lineRule="auto"/>
      </w:pPr>
      <w:r>
        <w:t>MSS will operate under the CSO class licence in the extended MSS L-band</w:t>
      </w:r>
      <w:r w:rsidR="009A238B">
        <w:t xml:space="preserve"> under the same conditions as current </w:t>
      </w:r>
      <w:r w:rsidR="003A74B4">
        <w:t>MSS services</w:t>
      </w:r>
      <w:r w:rsidR="005E36D0">
        <w:t xml:space="preserve">, so as </w:t>
      </w:r>
      <w:r w:rsidR="003A74B4">
        <w:t>a result, the ACMA will not extend Embargo 70 to include the 1518</w:t>
      </w:r>
      <w:r w:rsidR="00C369D6">
        <w:rPr>
          <w:rFonts w:cs="Arial"/>
          <w:szCs w:val="20"/>
        </w:rPr>
        <w:t>–</w:t>
      </w:r>
      <w:r w:rsidR="003A74B4">
        <w:t xml:space="preserve">1535 MHz </w:t>
      </w:r>
      <w:r w:rsidR="00031558">
        <w:t>frequency range</w:t>
      </w:r>
      <w:r w:rsidR="003A74B4">
        <w:t>.</w:t>
      </w:r>
      <w:r w:rsidR="009A238B">
        <w:t xml:space="preserve"> Other issues raised wi</w:t>
      </w:r>
      <w:r w:rsidR="00C224D2">
        <w:t>ll</w:t>
      </w:r>
      <w:r w:rsidR="009A238B">
        <w:t xml:space="preserve"> be considered in the next </w:t>
      </w:r>
      <w:r w:rsidR="00031558">
        <w:t>stage</w:t>
      </w:r>
      <w:r w:rsidR="009A238B">
        <w:t xml:space="preserve"> of the review of the </w:t>
      </w:r>
      <w:r w:rsidR="00031558">
        <w:t xml:space="preserve">1.5 GHz </w:t>
      </w:r>
      <w:r w:rsidR="009A238B">
        <w:t>band.</w:t>
      </w:r>
    </w:p>
    <w:p w14:paraId="5318D891" w14:textId="5CFC8175" w:rsidR="006E7FCC" w:rsidRDefault="00676DA4" w:rsidP="006E7FCC">
      <w:pPr>
        <w:pStyle w:val="Heading1"/>
      </w:pPr>
      <w:bookmarkStart w:id="80" w:name="_Toc153793193"/>
      <w:r>
        <w:t>Planning</w:t>
      </w:r>
      <w:r w:rsidR="00484ACA">
        <w:t xml:space="preserve"> </w:t>
      </w:r>
      <w:r>
        <w:t>outcomes</w:t>
      </w:r>
      <w:bookmarkEnd w:id="80"/>
    </w:p>
    <w:p w14:paraId="7D34FC37" w14:textId="77777777" w:rsidR="00676DA4" w:rsidRPr="00124BA8" w:rsidRDefault="00676DA4" w:rsidP="00676DA4">
      <w:pPr>
        <w:pStyle w:val="Heading2"/>
      </w:pPr>
      <w:bookmarkStart w:id="81" w:name="_Toc153793194"/>
      <w:r>
        <w:t>Planning decisions</w:t>
      </w:r>
      <w:bookmarkEnd w:id="81"/>
    </w:p>
    <w:p w14:paraId="014845D0" w14:textId="3EA23C0E" w:rsidR="00786F57" w:rsidRDefault="00B83B2B" w:rsidP="00786F57">
      <w:pPr>
        <w:pStyle w:val="ListBullet"/>
        <w:numPr>
          <w:ilvl w:val="0"/>
          <w:numId w:val="0"/>
        </w:numPr>
      </w:pPr>
      <w:r>
        <w:rPr>
          <w:szCs w:val="20"/>
        </w:rPr>
        <w:t>Following consultation</w:t>
      </w:r>
      <w:r w:rsidR="00676DA4">
        <w:rPr>
          <w:szCs w:val="20"/>
        </w:rPr>
        <w:t xml:space="preserve">, </w:t>
      </w:r>
      <w:r w:rsidR="001C7762">
        <w:rPr>
          <w:szCs w:val="20"/>
        </w:rPr>
        <w:t>we have</w:t>
      </w:r>
      <w:r w:rsidR="00676DA4">
        <w:rPr>
          <w:szCs w:val="20"/>
        </w:rPr>
        <w:t xml:space="preserve"> decided to proceed with implementation of Option 2</w:t>
      </w:r>
      <w:r w:rsidR="00ED55AC">
        <w:rPr>
          <w:szCs w:val="20"/>
        </w:rPr>
        <w:t xml:space="preserve"> for the extended MSS L-band</w:t>
      </w:r>
      <w:r w:rsidRPr="00B83B2B">
        <w:t>.</w:t>
      </w:r>
      <w:r w:rsidR="00676DA4">
        <w:t xml:space="preserve"> </w:t>
      </w:r>
      <w:r w:rsidR="00786F57">
        <w:t xml:space="preserve">The implementation of Option 2 will </w:t>
      </w:r>
      <w:r w:rsidR="000251D9">
        <w:t>see</w:t>
      </w:r>
      <w:r w:rsidR="00786F57">
        <w:t xml:space="preserve"> an update to the CSO </w:t>
      </w:r>
      <w:r w:rsidR="00716EB3">
        <w:t>c</w:t>
      </w:r>
      <w:r w:rsidR="00786F57">
        <w:t xml:space="preserve">lass </w:t>
      </w:r>
      <w:r w:rsidR="00716EB3">
        <w:t>l</w:t>
      </w:r>
      <w:r w:rsidR="00786F57">
        <w:t xml:space="preserve">icence, as </w:t>
      </w:r>
      <w:r w:rsidR="000251D9">
        <w:t>detailed</w:t>
      </w:r>
      <w:r w:rsidR="00786F57">
        <w:t xml:space="preserve"> in the options paper. </w:t>
      </w:r>
    </w:p>
    <w:p w14:paraId="6041214F" w14:textId="18E76CDE" w:rsidR="00676DA4" w:rsidRDefault="00676DA4" w:rsidP="0026339D">
      <w:pPr>
        <w:pStyle w:val="ListBullet"/>
        <w:numPr>
          <w:ilvl w:val="0"/>
          <w:numId w:val="0"/>
        </w:numPr>
      </w:pPr>
      <w:r>
        <w:t>The main elements of Option 2 are:</w:t>
      </w:r>
    </w:p>
    <w:p w14:paraId="3DA7B3FC" w14:textId="5BB77BBB" w:rsidR="00676DA4" w:rsidRPr="00CF125A" w:rsidRDefault="00584CBA" w:rsidP="003144E0">
      <w:pPr>
        <w:pStyle w:val="ListBullet"/>
      </w:pPr>
      <w:r>
        <w:t>T</w:t>
      </w:r>
      <w:r w:rsidR="00676DA4">
        <w:t xml:space="preserve">he introduction of arrangements for MSS use of the </w:t>
      </w:r>
      <w:r w:rsidR="00676DA4" w:rsidRPr="00ED4611">
        <w:t>15</w:t>
      </w:r>
      <w:r w:rsidR="00676DA4">
        <w:t>18–</w:t>
      </w:r>
      <w:r w:rsidR="00676DA4" w:rsidRPr="00ED4611">
        <w:t>15</w:t>
      </w:r>
      <w:r w:rsidR="00676DA4">
        <w:t>25</w:t>
      </w:r>
      <w:r w:rsidR="00676DA4" w:rsidRPr="00ED4611">
        <w:t xml:space="preserve"> MHz (space-to-</w:t>
      </w:r>
      <w:r w:rsidR="00676DA4">
        <w:t>E</w:t>
      </w:r>
      <w:r w:rsidR="00676DA4" w:rsidRPr="00ED4611">
        <w:t>arth) and 16</w:t>
      </w:r>
      <w:r w:rsidR="00676DA4">
        <w:t>68–1675</w:t>
      </w:r>
      <w:r w:rsidR="00676DA4" w:rsidRPr="00ED4611">
        <w:t xml:space="preserve"> MHz (</w:t>
      </w:r>
      <w:r w:rsidR="00676DA4">
        <w:t>E</w:t>
      </w:r>
      <w:r w:rsidR="00676DA4" w:rsidRPr="00ED4611">
        <w:t>arth-to-space) frequency ranges</w:t>
      </w:r>
      <w:r w:rsidR="000251D9" w:rsidRPr="000251D9">
        <w:t xml:space="preserve"> </w:t>
      </w:r>
      <w:r w:rsidR="000251D9">
        <w:t>(in line with desirable planning outcome 1)</w:t>
      </w:r>
      <w:r w:rsidR="00676DA4">
        <w:t xml:space="preserve">. MSS stations operating in the 1518–1525 MHz </w:t>
      </w:r>
      <w:r w:rsidR="00031558">
        <w:t xml:space="preserve">frequency range </w:t>
      </w:r>
      <w:r w:rsidR="00676DA4">
        <w:t>will not be afforded protection from incumbent in-band and adjacent band services.</w:t>
      </w:r>
    </w:p>
    <w:p w14:paraId="4CD24E51" w14:textId="291295D1" w:rsidR="00676DA4" w:rsidRDefault="00584CBA" w:rsidP="003144E0">
      <w:pPr>
        <w:pStyle w:val="ListBulletLast"/>
      </w:pPr>
      <w:r>
        <w:t>N</w:t>
      </w:r>
      <w:r w:rsidR="00676DA4">
        <w:t>o change in arrangements for incumbent licences and services.</w:t>
      </w:r>
      <w:r w:rsidR="00676DA4" w:rsidRPr="007B7E7E">
        <w:t xml:space="preserve"> </w:t>
      </w:r>
      <w:r w:rsidR="00676DA4">
        <w:t>Therefore, in line with desirable planning outcome 2, this support</w:t>
      </w:r>
      <w:r w:rsidR="000251D9">
        <w:t>s</w:t>
      </w:r>
      <w:r w:rsidR="00676DA4">
        <w:t xml:space="preserve"> ongoing use of the extend </w:t>
      </w:r>
      <w:r>
        <w:br/>
      </w:r>
      <w:r w:rsidR="001C7762">
        <w:t xml:space="preserve">MSS </w:t>
      </w:r>
      <w:r w:rsidR="00676DA4">
        <w:t xml:space="preserve">L-band by incumbent licences and services. </w:t>
      </w:r>
    </w:p>
    <w:p w14:paraId="763CAD08" w14:textId="52DA3E51" w:rsidR="00E94252" w:rsidRDefault="00E94252" w:rsidP="00E94252">
      <w:pPr>
        <w:pStyle w:val="ListBullet"/>
        <w:numPr>
          <w:ilvl w:val="0"/>
          <w:numId w:val="0"/>
        </w:numPr>
      </w:pPr>
      <w:r>
        <w:t xml:space="preserve">The next stage of the 1.5 GHz band review will consider options for new terrestrial (non-satellite) services as well as options for expanding arrangements for incumbent services across the broader 1427–1535 MHz </w:t>
      </w:r>
      <w:r w:rsidR="00031558">
        <w:t>frequency range</w:t>
      </w:r>
      <w:r>
        <w:t xml:space="preserve">. The future review will not consider changes to arrangements for radio astronomy or meteorological services operating in, and adjacent to, the 1.5 GHz band. We intend to maintain existing arrangements for these services and continue providing </w:t>
      </w:r>
      <w:r w:rsidR="000251D9">
        <w:t>them</w:t>
      </w:r>
      <w:r>
        <w:t xml:space="preserve"> protection.</w:t>
      </w:r>
    </w:p>
    <w:p w14:paraId="1022141C" w14:textId="3B2860EC" w:rsidR="006E7FCC" w:rsidRDefault="006E7FCC" w:rsidP="006E7FCC">
      <w:pPr>
        <w:pStyle w:val="Heading2"/>
      </w:pPr>
      <w:bookmarkStart w:id="82" w:name="_Toc153793195"/>
      <w:r>
        <w:t xml:space="preserve">Coexistence </w:t>
      </w:r>
      <w:r w:rsidR="001C2C14">
        <w:t>considerations</w:t>
      </w:r>
      <w:bookmarkEnd w:id="82"/>
    </w:p>
    <w:p w14:paraId="6A4229B7" w14:textId="6C9311CE" w:rsidR="00E94252" w:rsidRDefault="00F84355" w:rsidP="00E94252">
      <w:pPr>
        <w:pStyle w:val="Paragraphbeforelist"/>
      </w:pPr>
      <w:bookmarkStart w:id="83" w:name="_Hlk140236877"/>
      <w:r>
        <w:t>Option 2 will have no impact on incumbent licences and services and is relatively simple to implement. The CSO class licence</w:t>
      </w:r>
      <w:r w:rsidR="00E94252">
        <w:t xml:space="preserve"> will be updated to include the changes proposed in the options paper consultation, adopting</w:t>
      </w:r>
      <w:r>
        <w:t xml:space="preserve"> the same allocation and licensing processes for those portions of the MSS L-band spectrum that are already available for use</w:t>
      </w:r>
      <w:r w:rsidR="00445810">
        <w:t xml:space="preserve">. The changes that </w:t>
      </w:r>
      <w:r w:rsidR="0085605D">
        <w:t>have</w:t>
      </w:r>
      <w:r w:rsidR="00445810">
        <w:t xml:space="preserve"> be</w:t>
      </w:r>
      <w:r w:rsidR="0085605D">
        <w:t>en</w:t>
      </w:r>
      <w:r w:rsidR="00445810">
        <w:t xml:space="preserve"> implemented are the</w:t>
      </w:r>
      <w:r w:rsidR="00E94252">
        <w:t>:</w:t>
      </w:r>
    </w:p>
    <w:p w14:paraId="6B352FBB" w14:textId="1AE6F385" w:rsidR="00E94252" w:rsidRPr="001C5FBC" w:rsidRDefault="001C5FBC" w:rsidP="003144E0">
      <w:pPr>
        <w:pStyle w:val="ListBullet"/>
      </w:pPr>
      <w:r>
        <w:t>u</w:t>
      </w:r>
      <w:r w:rsidR="00E94252" w:rsidRPr="001C5FBC">
        <w:t xml:space="preserve">pdate </w:t>
      </w:r>
      <w:r w:rsidR="00445810" w:rsidRPr="001C5FBC">
        <w:t>of</w:t>
      </w:r>
      <w:r w:rsidR="00E94252" w:rsidRPr="001C5FBC">
        <w:t xml:space="preserve"> subsection 8(2) authorising (if certain conditions are met) the operation of a station within 20 km of a radio astronomy observatory listed in footnote AUS87 of the Spectrum Plan to include </w:t>
      </w:r>
      <w:r w:rsidR="00031558">
        <w:t xml:space="preserve">the </w:t>
      </w:r>
      <w:r w:rsidR="00E94252" w:rsidRPr="001C5FBC">
        <w:t xml:space="preserve">frequency range 1670–1675 MHz. </w:t>
      </w:r>
    </w:p>
    <w:p w14:paraId="48B3DD65" w14:textId="7E8B3317" w:rsidR="00E94252" w:rsidRPr="001C5FBC" w:rsidRDefault="001C5FBC" w:rsidP="003144E0">
      <w:pPr>
        <w:pStyle w:val="ListBullet"/>
      </w:pPr>
      <w:r>
        <w:t>u</w:t>
      </w:r>
      <w:r w:rsidR="00E94252" w:rsidRPr="001C5FBC">
        <w:t xml:space="preserve">pdate </w:t>
      </w:r>
      <w:r w:rsidR="00445810" w:rsidRPr="001C5FBC">
        <w:t>of</w:t>
      </w:r>
      <w:r w:rsidR="00E94252" w:rsidRPr="001C5FBC">
        <w:t xml:space="preserve"> subsection 8(3), which prohibits operation of a land station within 500 km of a radio astronomy observatory listed in footnote AUS87 of the Spectrum Plan as well as prohibiting stations onboard </w:t>
      </w:r>
      <w:r w:rsidR="00031558">
        <w:t xml:space="preserve">airborne </w:t>
      </w:r>
      <w:r w:rsidR="00E94252" w:rsidRPr="001C5FBC">
        <w:t>aircraft, to include the frequency range 1668–</w:t>
      </w:r>
      <w:r w:rsidR="001C7762" w:rsidRPr="001C5FBC">
        <w:t>1670 MHz.</w:t>
      </w:r>
      <w:r w:rsidR="00E94252" w:rsidRPr="001C5FBC">
        <w:t xml:space="preserve"> </w:t>
      </w:r>
    </w:p>
    <w:p w14:paraId="0F8AE9F5" w14:textId="367B3AB7" w:rsidR="00E94252" w:rsidRPr="001C5FBC" w:rsidRDefault="001C5FBC" w:rsidP="003144E0">
      <w:pPr>
        <w:pStyle w:val="ListBulletLast"/>
      </w:pPr>
      <w:r>
        <w:t>i</w:t>
      </w:r>
      <w:r w:rsidR="00E94252" w:rsidRPr="001C5FBC">
        <w:t>nclu</w:t>
      </w:r>
      <w:r w:rsidR="00445810" w:rsidRPr="001C5FBC">
        <w:t>sion of</w:t>
      </w:r>
      <w:r w:rsidR="00E94252" w:rsidRPr="001C5FBC">
        <w:t xml:space="preserve"> a new subsection 8(3A) that requires </w:t>
      </w:r>
      <w:r w:rsidR="00031558">
        <w:t>a station</w:t>
      </w:r>
      <w:r w:rsidR="00031558" w:rsidRPr="001C5FBC">
        <w:t xml:space="preserve"> </w:t>
      </w:r>
      <w:r w:rsidR="00E94252" w:rsidRPr="001C5FBC">
        <w:t>to not exceed a</w:t>
      </w:r>
      <w:r w:rsidR="00031558">
        <w:t>n emission</w:t>
      </w:r>
      <w:r w:rsidR="00E94252" w:rsidRPr="001C5FBC">
        <w:t xml:space="preserve"> level of </w:t>
      </w:r>
      <w:r w:rsidR="00E94252" w:rsidRPr="001C5FBC">
        <w:noBreakHyphen/>
        <w:t>128.1 dBm/</w:t>
      </w:r>
      <w:r w:rsidR="00031558">
        <w:t xml:space="preserve">4 </w:t>
      </w:r>
      <w:r w:rsidR="00E94252" w:rsidRPr="001C5FBC">
        <w:t xml:space="preserve">MHz for more than 20% of the time at the output of the antenna of any </w:t>
      </w:r>
      <w:r w:rsidR="00031558">
        <w:t xml:space="preserve">radiocommunications receiver authorised under an </w:t>
      </w:r>
      <w:r w:rsidR="00E94252" w:rsidRPr="001C5FBC">
        <w:t>earth</w:t>
      </w:r>
      <w:r w:rsidR="00031558">
        <w:t xml:space="preserve"> </w:t>
      </w:r>
      <w:r w:rsidR="00E94252" w:rsidRPr="001C5FBC">
        <w:t>receive apparatus licence operating in the 1673.38–1675 MHz frequency range.</w:t>
      </w:r>
    </w:p>
    <w:p w14:paraId="28EC00D9" w14:textId="77777777" w:rsidR="008E1FF8" w:rsidRPr="00E162C4" w:rsidRDefault="008E1FF8" w:rsidP="008E1FF8">
      <w:pPr>
        <w:pStyle w:val="Heading3"/>
      </w:pPr>
      <w:bookmarkStart w:id="84" w:name="_Toc153793196"/>
      <w:r>
        <w:t xml:space="preserve">1518–1525 MHz and adjacent </w:t>
      </w:r>
      <w:r w:rsidRPr="001E7FAC">
        <w:t>bands</w:t>
      </w:r>
      <w:bookmarkEnd w:id="84"/>
    </w:p>
    <w:p w14:paraId="2E8018CE" w14:textId="533F6287" w:rsidR="008E1FF8" w:rsidRDefault="008E1FF8" w:rsidP="008E1FF8">
      <w:pPr>
        <w:pStyle w:val="Paragraph"/>
        <w:rPr>
          <w:szCs w:val="20"/>
        </w:rPr>
      </w:pPr>
      <w:r>
        <w:t xml:space="preserve">The 1518–1525 MHz </w:t>
      </w:r>
      <w:r w:rsidR="00031558">
        <w:t xml:space="preserve">frequency range </w:t>
      </w:r>
      <w:r>
        <w:t>will be used for space-to-</w:t>
      </w:r>
      <w:r w:rsidR="003144E0">
        <w:t>E</w:t>
      </w:r>
      <w:r>
        <w:t xml:space="preserve">arth communications by the MSS. MSS user terminals will only receive signals in this band and will not pose an interference risk to incumbent licences and services; however, incumbent services and licences may potentially cause interference to MSS user terminals. </w:t>
      </w:r>
      <w:r>
        <w:rPr>
          <w:szCs w:val="20"/>
        </w:rPr>
        <w:t xml:space="preserve">MSS user terminals would not be afforded protection from such interference. </w:t>
      </w:r>
    </w:p>
    <w:p w14:paraId="4ECC6AC6" w14:textId="067592ED" w:rsidR="008E1FF8" w:rsidRDefault="008E1FF8" w:rsidP="008E1FF8">
      <w:pPr>
        <w:rPr>
          <w:rFonts w:cs="Arial"/>
          <w:szCs w:val="20"/>
        </w:rPr>
      </w:pPr>
      <w:r>
        <w:rPr>
          <w:rFonts w:cs="Arial"/>
          <w:szCs w:val="20"/>
        </w:rPr>
        <w:t>There is also potential for a future change of arrangements in the 1427</w:t>
      </w:r>
      <w:r>
        <w:t>–</w:t>
      </w:r>
      <w:r>
        <w:rPr>
          <w:rFonts w:cs="Arial"/>
          <w:szCs w:val="20"/>
        </w:rPr>
        <w:t xml:space="preserve">1535 MHz band to affect MSS user terminals. As the MSS terminals in the extended MSS L-band will operate under a class licence, they will not be afforded protection from interference. </w:t>
      </w:r>
      <w:r w:rsidR="00024112">
        <w:rPr>
          <w:rFonts w:cs="Arial"/>
          <w:szCs w:val="20"/>
        </w:rPr>
        <w:t>A</w:t>
      </w:r>
      <w:r>
        <w:rPr>
          <w:rFonts w:cs="Arial"/>
          <w:szCs w:val="20"/>
        </w:rPr>
        <w:t xml:space="preserve">s part of the next stage of the 1.5 GHz band review, </w:t>
      </w:r>
      <w:r w:rsidR="00024112">
        <w:rPr>
          <w:rFonts w:cs="Arial"/>
          <w:szCs w:val="20"/>
        </w:rPr>
        <w:t xml:space="preserve">we will </w:t>
      </w:r>
      <w:r>
        <w:rPr>
          <w:rFonts w:cs="Arial"/>
          <w:szCs w:val="20"/>
        </w:rPr>
        <w:t>take into account the potential effect on MSS receivers in the 1518</w:t>
      </w:r>
      <w:r>
        <w:t>–</w:t>
      </w:r>
      <w:r>
        <w:rPr>
          <w:rFonts w:cs="Arial"/>
          <w:szCs w:val="20"/>
        </w:rPr>
        <w:t>1525 MHz and adjacent bands when considering any change in arrangements.</w:t>
      </w:r>
      <w:r w:rsidDel="00C06191">
        <w:rPr>
          <w:rFonts w:cs="Arial"/>
          <w:szCs w:val="20"/>
        </w:rPr>
        <w:t xml:space="preserve"> </w:t>
      </w:r>
      <w:r>
        <w:rPr>
          <w:rFonts w:cs="Arial"/>
          <w:szCs w:val="20"/>
        </w:rPr>
        <w:t xml:space="preserve">This could include the application of planning arrangements to reduce the risk of interference (such as the use of guard bands and additional restrictions on service deployments around ports and airports). </w:t>
      </w:r>
    </w:p>
    <w:p w14:paraId="27DB3530" w14:textId="0843F519" w:rsidR="008E1FF8" w:rsidRPr="00D24D4D" w:rsidRDefault="008E1FF8" w:rsidP="008E1FF8">
      <w:pPr>
        <w:rPr>
          <w:rFonts w:eastAsia="MS Mincho"/>
          <w:lang w:eastAsia="ja-JP"/>
        </w:rPr>
      </w:pPr>
      <w:r>
        <w:t xml:space="preserve">To better enable coexistence with other adjacent-band services, including possible WBB services, it is likely additional regulatory measures will also need to be applied to any MSS use in the L-band. The actual regulatory measures required to enable coexistence will depend on the outcomes of the next stage of the 1.5 GHz band review and the subsequent changes to planning arrangements. </w:t>
      </w:r>
    </w:p>
    <w:p w14:paraId="1F9438F3" w14:textId="77777777" w:rsidR="008E1FF8" w:rsidRPr="00E162C4" w:rsidRDefault="008E1FF8" w:rsidP="008E1FF8">
      <w:pPr>
        <w:pStyle w:val="Heading3"/>
      </w:pPr>
      <w:bookmarkStart w:id="85" w:name="_Toc153793197"/>
      <w:r>
        <w:t>1668–1675 MHz and adjacent bands</w:t>
      </w:r>
      <w:bookmarkEnd w:id="85"/>
    </w:p>
    <w:p w14:paraId="469723D4" w14:textId="03026340" w:rsidR="008E1FF8" w:rsidRDefault="008E1FF8" w:rsidP="00990FAD">
      <w:pPr>
        <w:pStyle w:val="Paragraphbeforelist"/>
      </w:pPr>
      <w:r>
        <w:t xml:space="preserve">The 1668–1675 MHz </w:t>
      </w:r>
      <w:r w:rsidR="00031558">
        <w:t xml:space="preserve">frequency range </w:t>
      </w:r>
      <w:r>
        <w:t xml:space="preserve">will be used for Earth-to-space communications by the MSS. MSS user terminals will only transmit in this </w:t>
      </w:r>
      <w:r w:rsidR="00031558">
        <w:t xml:space="preserve">frequency range </w:t>
      </w:r>
      <w:r>
        <w:t>and there is no interference risk to them; however, MSS user terminals pose an interference risk to incumbent services and licences. To manage this risk, restrictions on the frequencies and areas where MSS user terminals can operate are required to ensure the following licences and services are protected:</w:t>
      </w:r>
    </w:p>
    <w:p w14:paraId="2F465CAD" w14:textId="69BED693" w:rsidR="008E1FF8" w:rsidRPr="001C5FBC" w:rsidRDefault="001C5FBC" w:rsidP="00BE14E2">
      <w:pPr>
        <w:pStyle w:val="ListBullet"/>
      </w:pPr>
      <w:r>
        <w:t>t</w:t>
      </w:r>
      <w:r w:rsidR="008E1FF8" w:rsidRPr="001C5FBC">
        <w:t xml:space="preserve">he ARQZWA established by the </w:t>
      </w:r>
      <w:hyperlink r:id="rId56" w:history="1">
        <w:r w:rsidR="008E1FF8" w:rsidRPr="00BE14E2">
          <w:rPr>
            <w:rStyle w:val="Hyperlink"/>
            <w:color w:val="auto"/>
            <w:u w:val="none"/>
          </w:rPr>
          <w:t>Radiocommunications (Australian Radio Quiet Zone Western Australia) Frequency Band Plan 2023</w:t>
        </w:r>
      </w:hyperlink>
      <w:r w:rsidR="008E1FF8" w:rsidRPr="001C5FBC">
        <w:t xml:space="preserve"> and encompassing the 70 MHz to 25.25 GHz frequency range. </w:t>
      </w:r>
    </w:p>
    <w:p w14:paraId="395E1876" w14:textId="2E2B7D42" w:rsidR="008E1FF8" w:rsidRPr="001C5FBC" w:rsidRDefault="001C5FBC" w:rsidP="00BE14E2">
      <w:pPr>
        <w:pStyle w:val="ListBullet"/>
      </w:pPr>
      <w:r>
        <w:t>a</w:t>
      </w:r>
      <w:r w:rsidR="008E1FF8" w:rsidRPr="001C5FBC">
        <w:t>pparatus-licen</w:t>
      </w:r>
      <w:r w:rsidR="00616DDA" w:rsidRPr="001C5FBC">
        <w:t>s</w:t>
      </w:r>
      <w:r w:rsidR="008E1FF8" w:rsidRPr="001C5FBC">
        <w:t xml:space="preserve">ed radio astronomy services in the 1668–1670 MHz </w:t>
      </w:r>
      <w:r w:rsidR="00031558">
        <w:t>frequency range</w:t>
      </w:r>
      <w:r w:rsidR="00031558" w:rsidRPr="001C5FBC">
        <w:t xml:space="preserve"> </w:t>
      </w:r>
      <w:r w:rsidR="008E1FF8" w:rsidRPr="001C5FBC">
        <w:t xml:space="preserve">operated by the CSIRO, located at Parkes and Narrabri in New South Wales. </w:t>
      </w:r>
    </w:p>
    <w:p w14:paraId="69DD48DF" w14:textId="3B3225B8" w:rsidR="008E1FF8" w:rsidRPr="001C5FBC" w:rsidRDefault="001C5FBC" w:rsidP="00BE14E2">
      <w:pPr>
        <w:pStyle w:val="ListBullet"/>
      </w:pPr>
      <w:r>
        <w:t>r</w:t>
      </w:r>
      <w:r w:rsidR="008E1FF8" w:rsidRPr="001C5FBC">
        <w:t>adioastronomy facilities operating in the 1.2–1.8 GHz frequency range under footnote AUS87 of the Spectrum Plan.</w:t>
      </w:r>
    </w:p>
    <w:p w14:paraId="69418354" w14:textId="0957CCE3" w:rsidR="008E1FF8" w:rsidRPr="001C5FBC" w:rsidRDefault="008E1FF8" w:rsidP="00BE14E2">
      <w:pPr>
        <w:pStyle w:val="ListBulletLast"/>
      </w:pPr>
      <w:r w:rsidRPr="001C5FBC">
        <w:t xml:space="preserve">Metsat earth station receivers in the 1673.38–1678.62 MHz frequency range operated by Universal Space Network Inc, located at Yarragadee in Western Australia (this is consistent with </w:t>
      </w:r>
      <w:r w:rsidR="00031558">
        <w:t xml:space="preserve">international </w:t>
      </w:r>
      <w:r w:rsidRPr="001C5FBC">
        <w:t xml:space="preserve">footnote 380A of the Spectrum Plan, which requires MSS to protect earth stations of the Metsat service).  </w:t>
      </w:r>
    </w:p>
    <w:p w14:paraId="11581213" w14:textId="77777777" w:rsidR="008E1FF8" w:rsidRDefault="008E1FF8" w:rsidP="008E1FF8">
      <w:pPr>
        <w:pStyle w:val="Paragraph"/>
      </w:pPr>
      <w:r>
        <w:t xml:space="preserve">It is noted the CSO class licence already provides guidance on measures to manage interference for the ARQZWA. This is detailed in Note 3 at the end of section 8 and subsection 8(3) of the CSO class licence. </w:t>
      </w:r>
    </w:p>
    <w:p w14:paraId="751A781D" w14:textId="77777777" w:rsidR="00676DA4" w:rsidRDefault="00676DA4" w:rsidP="00676DA4">
      <w:pPr>
        <w:pStyle w:val="Heading2"/>
      </w:pPr>
      <w:bookmarkStart w:id="86" w:name="_Toc153793198"/>
      <w:bookmarkEnd w:id="83"/>
      <w:r>
        <w:t>Licensing arrangements for MSS</w:t>
      </w:r>
      <w:bookmarkEnd w:id="86"/>
      <w:r w:rsidRPr="00124BA8">
        <w:t xml:space="preserve"> </w:t>
      </w:r>
    </w:p>
    <w:p w14:paraId="17A03467" w14:textId="0064AC99" w:rsidR="008E1FF8" w:rsidRDefault="008E1FF8" w:rsidP="008E1FF8">
      <w:r>
        <w:t xml:space="preserve">Licence applications will be considered within the existing </w:t>
      </w:r>
      <w:hyperlink r:id="rId57" w:history="1">
        <w:r w:rsidRPr="008E1FF8">
          <w:rPr>
            <w:rStyle w:val="Hyperlink"/>
          </w:rPr>
          <w:t>Procedures for space and space receive licensing</w:t>
        </w:r>
      </w:hyperlink>
      <w:r w:rsidRPr="008E1FF8">
        <w:t>.</w:t>
      </w:r>
      <w:r w:rsidRPr="00F8639A">
        <w:rPr>
          <w:rStyle w:val="FootnoteReference"/>
        </w:rPr>
        <w:footnoteReference w:id="10"/>
      </w:r>
      <w:r>
        <w:t xml:space="preserve"> Beyond ensuring the proposed operation is in accordance with ITU requirements</w:t>
      </w:r>
      <w:r w:rsidR="005B25B9">
        <w:t>,</w:t>
      </w:r>
      <w:r>
        <w:rPr>
          <w:rStyle w:val="FootnoteReference"/>
        </w:rPr>
        <w:footnoteReference w:id="11"/>
      </w:r>
      <w:r>
        <w:t xml:space="preserve"> no further assessment of compatibility between satellite systems is intended. Our view is that in </w:t>
      </w:r>
      <w:r w:rsidR="00614A50">
        <w:t>the extended MSS L-</w:t>
      </w:r>
      <w:r>
        <w:t>band, the ITU satellite coordination process</w:t>
      </w:r>
      <w:r w:rsidDel="00546759">
        <w:t xml:space="preserve"> </w:t>
      </w:r>
      <w:r>
        <w:t xml:space="preserve">is sufficient to resolve any compatibility matters. </w:t>
      </w:r>
    </w:p>
    <w:p w14:paraId="2746E52C" w14:textId="58D2BAFF" w:rsidR="00E94252" w:rsidRDefault="008E1FF8" w:rsidP="00990FAD">
      <w:pPr>
        <w:pStyle w:val="Paragraphbeforelist"/>
      </w:pPr>
      <w:r>
        <w:t xml:space="preserve">Option 2 also allows the ongoing use of the extended MSS L-band by incumbent services and licences. </w:t>
      </w:r>
      <w:r w:rsidR="00E94252">
        <w:t xml:space="preserve">To ensure prospective MSS licensees are aware of the next stage of the 1.5 GHz band review and any implications it will have, we intend to: </w:t>
      </w:r>
    </w:p>
    <w:p w14:paraId="65D2A1FF" w14:textId="1A42AED6" w:rsidR="00E94252" w:rsidRDefault="001C5FBC" w:rsidP="00BE14E2">
      <w:pPr>
        <w:pStyle w:val="ListBullet"/>
      </w:pPr>
      <w:r>
        <w:t>a</w:t>
      </w:r>
      <w:r w:rsidR="00E94252">
        <w:t xml:space="preserve">ttach an advisory note to </w:t>
      </w:r>
      <w:r w:rsidR="00E94252" w:rsidRPr="00C24F95">
        <w:t>any space</w:t>
      </w:r>
      <w:r w:rsidR="00031558">
        <w:t xml:space="preserve"> </w:t>
      </w:r>
      <w:r w:rsidR="00E94252" w:rsidRPr="00C24F95">
        <w:t>receive</w:t>
      </w:r>
      <w:r w:rsidR="00E94252">
        <w:t xml:space="preserve"> licences issued flagging the future review, including our intention to define a date for the implementation of</w:t>
      </w:r>
      <w:r w:rsidR="00E94252" w:rsidRPr="00FC10BD">
        <w:t xml:space="preserve"> (or assumption for interference management purposes) better performing </w:t>
      </w:r>
      <w:r w:rsidR="00E94252">
        <w:t xml:space="preserve">MSS </w:t>
      </w:r>
      <w:r w:rsidR="00E94252" w:rsidRPr="00FC10BD">
        <w:t>receiver</w:t>
      </w:r>
      <w:r w:rsidR="00E94252">
        <w:t xml:space="preserve">s, including more stringent </w:t>
      </w:r>
      <w:r w:rsidR="00E94252" w:rsidRPr="00FC10BD">
        <w:t>blocking levels</w:t>
      </w:r>
      <w:r w:rsidR="00E94252">
        <w:t>.</w:t>
      </w:r>
    </w:p>
    <w:p w14:paraId="5C9DABBF" w14:textId="13D2A952" w:rsidR="00E94252" w:rsidRDefault="001C5FBC" w:rsidP="00BE14E2">
      <w:pPr>
        <w:pStyle w:val="ListBulletLast"/>
      </w:pPr>
      <w:r>
        <w:t>i</w:t>
      </w:r>
      <w:r w:rsidR="00E94252">
        <w:t xml:space="preserve">nclude a note in the business operating procedures for the submission and processing of applications for </w:t>
      </w:r>
      <w:hyperlink r:id="rId58" w:history="1">
        <w:r w:rsidR="00E94252" w:rsidRPr="004A3651">
          <w:rPr>
            <w:rStyle w:val="Hyperlink"/>
          </w:rPr>
          <w:t>space and space receive</w:t>
        </w:r>
      </w:hyperlink>
      <w:r w:rsidR="00E94252">
        <w:t xml:space="preserve"> apparatus licences, flagging the future review of arrangement</w:t>
      </w:r>
      <w:r w:rsidR="00616DDA">
        <w:t>s</w:t>
      </w:r>
      <w:r w:rsidR="00E94252">
        <w:t xml:space="preserve"> and possible application of regulatory measures on MSS operating in</w:t>
      </w:r>
      <w:r w:rsidR="00616DDA">
        <w:t xml:space="preserve"> the</w:t>
      </w:r>
      <w:r w:rsidR="00E94252">
        <w:t xml:space="preserve"> L-band. This will include a statement of our intention to define a date for the implementation of</w:t>
      </w:r>
      <w:r w:rsidR="00E94252" w:rsidRPr="00FC10BD">
        <w:t xml:space="preserve"> </w:t>
      </w:r>
      <w:bookmarkStart w:id="87" w:name="_Hlk141265558"/>
      <w:r w:rsidR="00E94252" w:rsidRPr="00FC10BD">
        <w:t xml:space="preserve">(or assumption for interference management purposes) better performing </w:t>
      </w:r>
      <w:r w:rsidR="00E94252">
        <w:t xml:space="preserve">MSS </w:t>
      </w:r>
      <w:r w:rsidR="00E94252" w:rsidRPr="00FC10BD">
        <w:t>receiver</w:t>
      </w:r>
      <w:r w:rsidR="00E94252">
        <w:t xml:space="preserve">s, including more stringent </w:t>
      </w:r>
      <w:r w:rsidR="00E94252" w:rsidRPr="00FC10BD">
        <w:t>blocking levels</w:t>
      </w:r>
      <w:bookmarkEnd w:id="87"/>
      <w:r w:rsidR="00E94252">
        <w:t>.</w:t>
      </w:r>
    </w:p>
    <w:p w14:paraId="0BF37D64" w14:textId="4A1874D5" w:rsidR="00F84355" w:rsidRDefault="00F84355" w:rsidP="00F84355">
      <w:pPr>
        <w:pStyle w:val="Paragraph"/>
      </w:pPr>
    </w:p>
    <w:p w14:paraId="3A08230D" w14:textId="77777777" w:rsidR="00676DA4" w:rsidRDefault="00676DA4" w:rsidP="00C66C71"/>
    <w:p w14:paraId="6914949E" w14:textId="029B87CC" w:rsidR="004A3FBE" w:rsidRPr="00A85D75" w:rsidRDefault="00E7549F" w:rsidP="002422E5">
      <w:pPr>
        <w:pStyle w:val="Heading1"/>
      </w:pPr>
      <w:bookmarkStart w:id="88" w:name="_Planning_outcomes"/>
      <w:bookmarkStart w:id="89" w:name="_Next_steps"/>
      <w:bookmarkStart w:id="90" w:name="_Toc56965712"/>
      <w:bookmarkStart w:id="91" w:name="_Ref57214073"/>
      <w:bookmarkStart w:id="92" w:name="_Toc153793199"/>
      <w:bookmarkEnd w:id="88"/>
      <w:bookmarkEnd w:id="89"/>
      <w:r>
        <w:t>N</w:t>
      </w:r>
      <w:r w:rsidR="004A3FBE" w:rsidRPr="00A85D75">
        <w:t>ext steps</w:t>
      </w:r>
      <w:bookmarkEnd w:id="90"/>
      <w:bookmarkEnd w:id="91"/>
      <w:bookmarkEnd w:id="92"/>
    </w:p>
    <w:p w14:paraId="55187856" w14:textId="77777777" w:rsidR="00D84B87" w:rsidRDefault="00D84B87" w:rsidP="00236E38">
      <w:pPr>
        <w:pStyle w:val="Paragraph"/>
      </w:pPr>
    </w:p>
    <w:p w14:paraId="51A1D7F0" w14:textId="22D15E39" w:rsidR="00A40BCE" w:rsidRDefault="009C3E5D" w:rsidP="00236E38">
      <w:pPr>
        <w:pStyle w:val="Paragraph"/>
      </w:pPr>
      <w:r w:rsidRPr="00A85D75">
        <w:t xml:space="preserve">To give effect to the planning decisions and preliminary views outlined in this paper, the ACMA </w:t>
      </w:r>
      <w:r w:rsidR="00620E19" w:rsidRPr="00A85D75">
        <w:t xml:space="preserve">has developed the indicative high level implementation plan set out in </w:t>
      </w:r>
      <w:r w:rsidRPr="00A85D75">
        <w:t>Table</w:t>
      </w:r>
      <w:r w:rsidR="00B94200" w:rsidRPr="00A85D75">
        <w:t> </w:t>
      </w:r>
      <w:r w:rsidR="00790FFE">
        <w:t>1</w:t>
      </w:r>
      <w:r w:rsidRPr="00A85D75">
        <w:t xml:space="preserve"> below.</w:t>
      </w:r>
      <w:r w:rsidR="005E4EA5" w:rsidRPr="00A85D75">
        <w:t xml:space="preserve"> </w:t>
      </w:r>
      <w:r w:rsidR="00236E38" w:rsidRPr="00A85D75">
        <w:t xml:space="preserve">The table shows the activities and estimated timing that will follow </w:t>
      </w:r>
      <w:r w:rsidR="00CC5D2F">
        <w:t xml:space="preserve">the </w:t>
      </w:r>
      <w:r w:rsidR="00236E38" w:rsidRPr="00A85D75">
        <w:t xml:space="preserve">release of this paper. </w:t>
      </w:r>
    </w:p>
    <w:p w14:paraId="61C84202" w14:textId="08A8DFE4" w:rsidR="00320B3E" w:rsidRPr="00A85D75" w:rsidRDefault="00236E38" w:rsidP="00236E38">
      <w:pPr>
        <w:pStyle w:val="Paragraph"/>
      </w:pPr>
      <w:r w:rsidRPr="00A85D75">
        <w:t>Completion of these activities is contingent on a variety of factors</w:t>
      </w:r>
      <w:r w:rsidR="00F45899">
        <w:t>,</w:t>
      </w:r>
      <w:r w:rsidRPr="00A85D75">
        <w:t xml:space="preserve"> including feedback received from stakeholders and consideration by the ACMA.</w:t>
      </w:r>
      <w:r w:rsidR="00444237" w:rsidRPr="00A85D75">
        <w:t xml:space="preserve"> </w:t>
      </w:r>
      <w:r w:rsidR="007A385E">
        <w:t xml:space="preserve">Timeframes are indicative </w:t>
      </w:r>
      <w:r w:rsidR="00EF3CC2">
        <w:t xml:space="preserve">and intended to provide a guide to </w:t>
      </w:r>
      <w:r w:rsidR="009701E3">
        <w:t xml:space="preserve">the sequencing and commencement of particular streams of work. </w:t>
      </w:r>
      <w:r w:rsidR="00E13BE9">
        <w:t xml:space="preserve">A more detailed </w:t>
      </w:r>
      <w:r w:rsidR="000D10D6" w:rsidRPr="00A85D75">
        <w:t>implementation</w:t>
      </w:r>
      <w:r w:rsidR="00444237" w:rsidRPr="00A85D75">
        <w:t xml:space="preserve"> program will be </w:t>
      </w:r>
      <w:r w:rsidR="00800369" w:rsidRPr="00A85D75">
        <w:t xml:space="preserve">developed </w:t>
      </w:r>
      <w:r w:rsidR="007A385E">
        <w:t xml:space="preserve">and consulted </w:t>
      </w:r>
      <w:r w:rsidR="00E13BE9">
        <w:t xml:space="preserve">on </w:t>
      </w:r>
      <w:r w:rsidR="000D10D6" w:rsidRPr="00A85D75">
        <w:t xml:space="preserve">through the </w:t>
      </w:r>
      <w:r w:rsidR="00575BFF">
        <w:t xml:space="preserve">ACMA’s </w:t>
      </w:r>
      <w:r w:rsidR="007A385E">
        <w:t xml:space="preserve">annual </w:t>
      </w:r>
      <w:hyperlink r:id="rId59" w:history="1">
        <w:r w:rsidR="00B94C0D">
          <w:rPr>
            <w:rStyle w:val="Hyperlink"/>
          </w:rPr>
          <w:t>FYSO</w:t>
        </w:r>
      </w:hyperlink>
      <w:r w:rsidR="000D10D6" w:rsidRPr="00A85D75">
        <w:t xml:space="preserve"> process.</w:t>
      </w:r>
    </w:p>
    <w:p w14:paraId="1A65758D" w14:textId="77777777" w:rsidR="00B42ECB" w:rsidRPr="00A85D75" w:rsidRDefault="00236E38" w:rsidP="00B42ECB">
      <w:pPr>
        <w:pStyle w:val="ACMATableHeader"/>
        <w:keepNext/>
        <w:tabs>
          <w:tab w:val="clear" w:pos="964"/>
          <w:tab w:val="num" w:pos="851"/>
          <w:tab w:val="num" w:pos="1957"/>
        </w:tabs>
        <w:ind w:left="0" w:firstLine="0"/>
      </w:pPr>
      <w:r w:rsidRPr="00A85D75">
        <w:t xml:space="preserve">Indicative timeline for </w:t>
      </w:r>
      <w:r w:rsidR="005C32BF" w:rsidRPr="00A85D75">
        <w:t>implementation of planning arrangement</w:t>
      </w:r>
      <w:r w:rsidR="00293E0A" w:rsidRPr="00A85D75">
        <w:t>s</w:t>
      </w:r>
      <w:r w:rsidR="005C32BF" w:rsidRPr="00A85D75">
        <w:t xml:space="preserve"> in </w:t>
      </w:r>
      <w:r w:rsidRPr="00A85D75">
        <w:t xml:space="preserve">the </w:t>
      </w:r>
      <w:r w:rsidR="00C66C71">
        <w:t>extended MSS L-</w:t>
      </w:r>
      <w:r w:rsidRPr="00A85D75">
        <w:t>band</w:t>
      </w:r>
    </w:p>
    <w:tbl>
      <w:tblPr>
        <w:tblStyle w:val="TableGrid"/>
        <w:tblW w:w="7600" w:type="dxa"/>
        <w:tblLayout w:type="fixed"/>
        <w:tblCellMar>
          <w:top w:w="85" w:type="dxa"/>
          <w:left w:w="57" w:type="dxa"/>
          <w:bottom w:w="85" w:type="dxa"/>
          <w:right w:w="57" w:type="dxa"/>
        </w:tblCellMar>
        <w:tblLook w:val="04A0" w:firstRow="1" w:lastRow="0" w:firstColumn="1" w:lastColumn="0" w:noHBand="0" w:noVBand="1"/>
        <w:tblCaption w:val="Indicative timeline for the progression of one band through the process for consideration of additional spectrum for mobile borabdand services"/>
        <w:tblDescription w:val="includes stage, milestones and indicative timings."/>
      </w:tblPr>
      <w:tblGrid>
        <w:gridCol w:w="5665"/>
        <w:gridCol w:w="1935"/>
      </w:tblGrid>
      <w:tr w:rsidR="00B42ECB" w:rsidRPr="00A85D75" w14:paraId="42CDF9DA" w14:textId="77777777" w:rsidTr="00451C91">
        <w:trPr>
          <w:cantSplit/>
          <w:trHeight w:val="86"/>
          <w:tblHeader/>
        </w:trPr>
        <w:tc>
          <w:tcPr>
            <w:tcW w:w="5665"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hideMark/>
          </w:tcPr>
          <w:p w14:paraId="415B6CB4" w14:textId="77777777" w:rsidR="00B42ECB" w:rsidRPr="00A85D75" w:rsidRDefault="00B42ECB" w:rsidP="00451C91">
            <w:pPr>
              <w:pStyle w:val="TableHeading0"/>
              <w:rPr>
                <w:color w:val="FFFFFF" w:themeColor="background1"/>
                <w:szCs w:val="20"/>
              </w:rPr>
            </w:pPr>
            <w:r w:rsidRPr="00A85D75">
              <w:rPr>
                <w:color w:val="FFFFFF" w:themeColor="background1"/>
                <w:szCs w:val="20"/>
              </w:rPr>
              <w:t>Action</w:t>
            </w:r>
          </w:p>
        </w:tc>
        <w:tc>
          <w:tcPr>
            <w:tcW w:w="1935"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hideMark/>
          </w:tcPr>
          <w:p w14:paraId="6B65FDFE" w14:textId="77777777" w:rsidR="00B42ECB" w:rsidRPr="00A85D75" w:rsidRDefault="00B42ECB" w:rsidP="00451C91">
            <w:pPr>
              <w:pStyle w:val="TableHeading0"/>
              <w:rPr>
                <w:color w:val="FFFFFF" w:themeColor="background1"/>
                <w:szCs w:val="20"/>
              </w:rPr>
            </w:pPr>
            <w:r w:rsidRPr="00A85D75">
              <w:rPr>
                <w:color w:val="FFFFFF" w:themeColor="background1"/>
                <w:szCs w:val="20"/>
              </w:rPr>
              <w:t>Timeframe</w:t>
            </w:r>
          </w:p>
        </w:tc>
      </w:tr>
      <w:tr w:rsidR="00B42ECB" w:rsidRPr="00A85D75" w14:paraId="7725FC25" w14:textId="77777777" w:rsidTr="00451C91">
        <w:trPr>
          <w:cantSplit/>
          <w:trHeight w:val="238"/>
        </w:trPr>
        <w:tc>
          <w:tcPr>
            <w:tcW w:w="5665" w:type="dxa"/>
            <w:tcBorders>
              <w:top w:val="single" w:sz="4" w:space="0" w:color="auto"/>
              <w:left w:val="single" w:sz="4" w:space="0" w:color="auto"/>
              <w:right w:val="single" w:sz="4" w:space="0" w:color="auto"/>
            </w:tcBorders>
          </w:tcPr>
          <w:p w14:paraId="72F6EE58" w14:textId="3FA9769B" w:rsidR="00B42ECB" w:rsidDel="00A52588" w:rsidRDefault="00B42ECB" w:rsidP="00451C91">
            <w:pPr>
              <w:pStyle w:val="Bulletlevel1"/>
              <w:keepNext/>
              <w:keepLines/>
              <w:numPr>
                <w:ilvl w:val="0"/>
                <w:numId w:val="0"/>
              </w:numPr>
              <w:ind w:left="82"/>
            </w:pPr>
            <w:r>
              <w:t xml:space="preserve">Update to the </w:t>
            </w:r>
            <w:hyperlink r:id="rId60" w:history="1">
              <w:r w:rsidRPr="005B3E36">
                <w:rPr>
                  <w:rStyle w:val="Hyperlink"/>
                  <w:bCs/>
                </w:rPr>
                <w:t>Radiocommunications (Communication with Space Object) Class Licence</w:t>
              </w:r>
            </w:hyperlink>
            <w:r w:rsidRPr="005B3E36">
              <w:rPr>
                <w:rStyle w:val="Hyperlink"/>
                <w:bCs/>
              </w:rPr>
              <w:t xml:space="preserve"> 2015</w:t>
            </w:r>
            <w:r>
              <w:t xml:space="preserve"> to include the extended MSS L-band</w:t>
            </w:r>
            <w:r w:rsidR="00B65D1C">
              <w:t>.</w:t>
            </w:r>
          </w:p>
        </w:tc>
        <w:tc>
          <w:tcPr>
            <w:tcW w:w="1935" w:type="dxa"/>
            <w:tcBorders>
              <w:top w:val="single" w:sz="4" w:space="0" w:color="auto"/>
              <w:left w:val="single" w:sz="4" w:space="0" w:color="auto"/>
              <w:right w:val="single" w:sz="4" w:space="0" w:color="auto"/>
            </w:tcBorders>
          </w:tcPr>
          <w:p w14:paraId="0622911F" w14:textId="47C3F69B" w:rsidR="00B42ECB" w:rsidRPr="0085605D" w:rsidRDefault="00B42ECB" w:rsidP="00451C91">
            <w:pPr>
              <w:spacing w:after="0"/>
              <w:ind w:firstLine="82"/>
              <w:rPr>
                <w:rFonts w:cs="Arial"/>
                <w:szCs w:val="20"/>
              </w:rPr>
            </w:pPr>
            <w:r w:rsidRPr="0085605D">
              <w:rPr>
                <w:rFonts w:cs="Arial"/>
                <w:szCs w:val="20"/>
              </w:rPr>
              <w:t>D</w:t>
            </w:r>
            <w:r>
              <w:rPr>
                <w:rFonts w:cs="Arial"/>
                <w:szCs w:val="20"/>
              </w:rPr>
              <w:t>one</w:t>
            </w:r>
          </w:p>
        </w:tc>
      </w:tr>
      <w:tr w:rsidR="00B42ECB" w:rsidRPr="00A85D75" w14:paraId="4F0BA614" w14:textId="77777777" w:rsidTr="00B65D1C">
        <w:trPr>
          <w:cantSplit/>
          <w:trHeight w:val="238"/>
        </w:trPr>
        <w:tc>
          <w:tcPr>
            <w:tcW w:w="5665" w:type="dxa"/>
            <w:tcBorders>
              <w:top w:val="single" w:sz="4" w:space="0" w:color="auto"/>
              <w:left w:val="single" w:sz="4" w:space="0" w:color="auto"/>
              <w:right w:val="single" w:sz="4" w:space="0" w:color="auto"/>
            </w:tcBorders>
            <w:shd w:val="clear" w:color="auto" w:fill="F2F2F2" w:themeFill="background1" w:themeFillShade="F2"/>
          </w:tcPr>
          <w:p w14:paraId="074705E4" w14:textId="6337F837" w:rsidR="00B42ECB" w:rsidRPr="00A85D75" w:rsidRDefault="00B42ECB" w:rsidP="00451C91">
            <w:pPr>
              <w:pStyle w:val="Bulletlevel1"/>
              <w:keepNext/>
              <w:keepLines/>
              <w:numPr>
                <w:ilvl w:val="0"/>
                <w:numId w:val="0"/>
              </w:numPr>
              <w:ind w:left="82"/>
              <w:rPr>
                <w:szCs w:val="20"/>
              </w:rPr>
            </w:pPr>
            <w:r>
              <w:rPr>
                <w:szCs w:val="20"/>
              </w:rPr>
              <w:t xml:space="preserve">Update to the </w:t>
            </w:r>
            <w:hyperlink r:id="rId61" w:history="1">
              <w:r>
                <w:rPr>
                  <w:rStyle w:val="Hyperlink"/>
                </w:rPr>
                <w:t>space business operating procedure</w:t>
              </w:r>
            </w:hyperlink>
            <w:r w:rsidR="00B65D1C" w:rsidRPr="00B65D1C">
              <w:rPr>
                <w:rStyle w:val="Hyperlink"/>
                <w:color w:val="auto"/>
                <w:u w:val="none"/>
              </w:rPr>
              <w:t>.</w:t>
            </w:r>
          </w:p>
        </w:tc>
        <w:tc>
          <w:tcPr>
            <w:tcW w:w="1935" w:type="dxa"/>
            <w:tcBorders>
              <w:top w:val="single" w:sz="4" w:space="0" w:color="auto"/>
              <w:left w:val="single" w:sz="4" w:space="0" w:color="auto"/>
              <w:right w:val="single" w:sz="4" w:space="0" w:color="auto"/>
            </w:tcBorders>
            <w:shd w:val="clear" w:color="auto" w:fill="F2F2F2" w:themeFill="background1" w:themeFillShade="F2"/>
          </w:tcPr>
          <w:p w14:paraId="4AB9A56A" w14:textId="6EDD898B" w:rsidR="00B42ECB" w:rsidRPr="00A85D75" w:rsidRDefault="00B42ECB" w:rsidP="00451C91">
            <w:pPr>
              <w:spacing w:after="0"/>
              <w:ind w:firstLine="82"/>
              <w:rPr>
                <w:rFonts w:cs="Arial"/>
                <w:szCs w:val="20"/>
              </w:rPr>
            </w:pPr>
            <w:r>
              <w:rPr>
                <w:rFonts w:cs="Arial"/>
                <w:szCs w:val="20"/>
              </w:rPr>
              <w:t>Done</w:t>
            </w:r>
          </w:p>
        </w:tc>
      </w:tr>
      <w:tr w:rsidR="00B42ECB" w:rsidRPr="00A85D75" w14:paraId="4D45C2AB" w14:textId="77777777" w:rsidTr="00451C91">
        <w:tblPrEx>
          <w:tblCellMar>
            <w:left w:w="108" w:type="dxa"/>
            <w:right w:w="108" w:type="dxa"/>
          </w:tblCellMar>
        </w:tblPrEx>
        <w:trPr>
          <w:cantSplit/>
          <w:trHeight w:val="138"/>
        </w:trPr>
        <w:tc>
          <w:tcPr>
            <w:tcW w:w="5665" w:type="dxa"/>
          </w:tcPr>
          <w:p w14:paraId="0CEF2D8D" w14:textId="7AFF59CC" w:rsidR="00B42ECB" w:rsidRPr="00EF0E7B" w:rsidRDefault="00B42ECB" w:rsidP="00451C91">
            <w:pPr>
              <w:pStyle w:val="Bulletlevel1"/>
              <w:keepNext/>
              <w:keepLines/>
              <w:numPr>
                <w:ilvl w:val="0"/>
                <w:numId w:val="0"/>
              </w:numPr>
              <w:rPr>
                <w:szCs w:val="20"/>
              </w:rPr>
            </w:pPr>
            <w:r>
              <w:t xml:space="preserve">Consultation on the </w:t>
            </w:r>
            <w:r w:rsidRPr="00E13400">
              <w:t>1.5 GHz (1427–1518 MHz)</w:t>
            </w:r>
            <w:r>
              <w:t xml:space="preserve"> band options paper</w:t>
            </w:r>
            <w:r w:rsidR="00B65D1C">
              <w:t>.</w:t>
            </w:r>
          </w:p>
        </w:tc>
        <w:tc>
          <w:tcPr>
            <w:tcW w:w="1935" w:type="dxa"/>
          </w:tcPr>
          <w:p w14:paraId="4EB33D5C" w14:textId="77777777" w:rsidR="00B42ECB" w:rsidRPr="00A85D75" w:rsidRDefault="00B42ECB" w:rsidP="00451C91">
            <w:pPr>
              <w:spacing w:after="0"/>
              <w:ind w:firstLine="37"/>
              <w:rPr>
                <w:rFonts w:cs="Arial"/>
                <w:szCs w:val="20"/>
              </w:rPr>
            </w:pPr>
            <w:r>
              <w:rPr>
                <w:rFonts w:cs="Arial"/>
                <w:szCs w:val="20"/>
              </w:rPr>
              <w:t>Q3/4 2024</w:t>
            </w:r>
          </w:p>
        </w:tc>
      </w:tr>
    </w:tbl>
    <w:p w14:paraId="58776CB0" w14:textId="60773067" w:rsidR="00D3744E" w:rsidRDefault="00D3744E">
      <w:pPr>
        <w:spacing w:after="0" w:line="240" w:lineRule="auto"/>
        <w:rPr>
          <w:rFonts w:cs="Arial"/>
        </w:rPr>
      </w:pPr>
    </w:p>
    <w:p w14:paraId="05316766" w14:textId="77777777" w:rsidR="00D3744E" w:rsidRDefault="00D3744E" w:rsidP="00D3744E">
      <w:pPr>
        <w:pStyle w:val="Heading1"/>
      </w:pPr>
      <w:bookmarkStart w:id="93" w:name="_Toc404767742"/>
      <w:bookmarkStart w:id="94" w:name="_Toc420420504"/>
      <w:bookmarkStart w:id="95" w:name="_Toc425513894"/>
      <w:bookmarkStart w:id="96" w:name="_Toc425513960"/>
      <w:bookmarkStart w:id="97" w:name="_Toc457809926"/>
      <w:bookmarkStart w:id="98" w:name="_Toc466017055"/>
      <w:bookmarkStart w:id="99" w:name="_Toc468438950"/>
      <w:bookmarkStart w:id="100" w:name="_Toc468705305"/>
      <w:bookmarkStart w:id="101" w:name="_Toc482886592"/>
      <w:bookmarkStart w:id="102" w:name="_Toc482886634"/>
      <w:bookmarkStart w:id="103" w:name="_Toc482888975"/>
      <w:bookmarkStart w:id="104" w:name="_Toc482891246"/>
      <w:bookmarkStart w:id="105" w:name="_Toc482891313"/>
      <w:bookmarkStart w:id="106" w:name="_Toc482956521"/>
      <w:bookmarkStart w:id="107" w:name="_Toc484011494"/>
      <w:bookmarkStart w:id="108" w:name="_Toc484511710"/>
      <w:bookmarkStart w:id="109" w:name="_Ref505242502"/>
      <w:bookmarkStart w:id="110" w:name="_Toc519765125"/>
      <w:bookmarkStart w:id="111" w:name="_Toc521585791"/>
      <w:bookmarkStart w:id="112" w:name="_Toc5000089"/>
      <w:bookmarkStart w:id="113" w:name="_Ref44313474"/>
      <w:bookmarkStart w:id="114" w:name="_Toc117870140"/>
      <w:bookmarkStart w:id="115" w:name="_Toc118785130"/>
      <w:bookmarkStart w:id="116" w:name="_Toc120600065"/>
      <w:bookmarkStart w:id="117" w:name="_Toc153793200"/>
      <w:bookmarkStart w:id="118" w:name="_Toc348105641"/>
      <w:r>
        <w:t>Glossary</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tbl>
      <w:tblPr>
        <w:tblStyle w:val="TableGrid"/>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4"/>
        <w:gridCol w:w="6231"/>
      </w:tblGrid>
      <w:tr w:rsidR="00D50F5B" w14:paraId="2F86F87C" w14:textId="77777777" w:rsidTr="00A223BD">
        <w:tc>
          <w:tcPr>
            <w:tcW w:w="2410" w:type="dxa"/>
          </w:tcPr>
          <w:p w14:paraId="621C051D" w14:textId="77777777" w:rsidR="00D50F5B" w:rsidRPr="00B64882" w:rsidRDefault="00D50F5B" w:rsidP="00D50F5B">
            <w:pPr>
              <w:pStyle w:val="Paragraph"/>
              <w:spacing w:after="120"/>
              <w:rPr>
                <w:color w:val="000000"/>
                <w:szCs w:val="20"/>
              </w:rPr>
            </w:pPr>
            <w:r>
              <w:rPr>
                <w:color w:val="000000"/>
                <w:szCs w:val="20"/>
              </w:rPr>
              <w:t>1.5 GHz band</w:t>
            </w:r>
          </w:p>
        </w:tc>
        <w:tc>
          <w:tcPr>
            <w:tcW w:w="284" w:type="dxa"/>
          </w:tcPr>
          <w:p w14:paraId="67FD03E6"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708B6AA4" w14:textId="72C77FEC" w:rsidR="00D50F5B" w:rsidRDefault="00D50F5B" w:rsidP="00D50F5B">
            <w:pPr>
              <w:pStyle w:val="Paragraph"/>
              <w:spacing w:after="120"/>
              <w:rPr>
                <w:rFonts w:asciiTheme="minorHAnsi" w:eastAsiaTheme="minorEastAsia" w:hAnsiTheme="minorHAnsi" w:cstheme="minorBidi"/>
                <w:b/>
                <w:noProof/>
                <w:sz w:val="22"/>
                <w:szCs w:val="22"/>
              </w:rPr>
            </w:pPr>
            <w:r>
              <w:t>the 1427–1518 MHz, 1518–1525 MHz and 1668–1675 MHz frequency ranges</w:t>
            </w:r>
          </w:p>
        </w:tc>
      </w:tr>
      <w:tr w:rsidR="00D50F5B" w:rsidRPr="005B3E36" w14:paraId="04B79DB5" w14:textId="77777777" w:rsidTr="00A223BD">
        <w:tc>
          <w:tcPr>
            <w:tcW w:w="2410" w:type="dxa"/>
          </w:tcPr>
          <w:p w14:paraId="67F77DE4" w14:textId="77777777" w:rsidR="00D50F5B" w:rsidRPr="00B64882" w:rsidRDefault="00D50F5B" w:rsidP="00D50F5B">
            <w:pPr>
              <w:pStyle w:val="Paragraph"/>
              <w:spacing w:after="120"/>
              <w:rPr>
                <w:color w:val="000000"/>
                <w:szCs w:val="20"/>
              </w:rPr>
            </w:pPr>
            <w:r>
              <w:rPr>
                <w:color w:val="000000"/>
                <w:szCs w:val="20"/>
              </w:rPr>
              <w:t>1.5 GHz band plan</w:t>
            </w:r>
          </w:p>
        </w:tc>
        <w:tc>
          <w:tcPr>
            <w:tcW w:w="284" w:type="dxa"/>
          </w:tcPr>
          <w:p w14:paraId="1CA593A9"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171E693A" w14:textId="77777777" w:rsidR="00D50F5B" w:rsidRPr="005B3E36" w:rsidRDefault="00A96A3D" w:rsidP="00D50F5B">
            <w:pPr>
              <w:pStyle w:val="Paragraph"/>
              <w:spacing w:after="120"/>
              <w:rPr>
                <w:rFonts w:eastAsiaTheme="minorEastAsia"/>
                <w:bCs/>
                <w:noProof/>
                <w:sz w:val="22"/>
                <w:szCs w:val="22"/>
              </w:rPr>
            </w:pPr>
            <w:hyperlink r:id="rId62" w:history="1">
              <w:r w:rsidR="00D50F5B" w:rsidRPr="00BC0714">
                <w:rPr>
                  <w:rStyle w:val="Hyperlink"/>
                  <w:szCs w:val="20"/>
                </w:rPr>
                <w:t>Radiocommunications 1.5 GHz Frequency Band Plan 2015</w:t>
              </w:r>
            </w:hyperlink>
          </w:p>
        </w:tc>
      </w:tr>
      <w:tr w:rsidR="00D50F5B" w:rsidRPr="00B64882" w14:paraId="61053C41" w14:textId="77777777" w:rsidTr="00A223BD">
        <w:tc>
          <w:tcPr>
            <w:tcW w:w="2410" w:type="dxa"/>
          </w:tcPr>
          <w:p w14:paraId="1329CEBF" w14:textId="77777777" w:rsidR="00D50F5B" w:rsidRPr="00B64882" w:rsidRDefault="00D50F5B" w:rsidP="00D50F5B">
            <w:pPr>
              <w:pStyle w:val="Paragraph"/>
              <w:spacing w:after="120"/>
              <w:rPr>
                <w:color w:val="000000"/>
                <w:szCs w:val="20"/>
              </w:rPr>
            </w:pPr>
            <w:r>
              <w:rPr>
                <w:color w:val="000000"/>
                <w:szCs w:val="20"/>
              </w:rPr>
              <w:t>3GPP</w:t>
            </w:r>
          </w:p>
        </w:tc>
        <w:tc>
          <w:tcPr>
            <w:tcW w:w="284" w:type="dxa"/>
          </w:tcPr>
          <w:p w14:paraId="45ED2C62"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36CC91E1" w14:textId="77777777" w:rsidR="00D50F5B" w:rsidRPr="00B64882" w:rsidRDefault="00D50F5B" w:rsidP="00D50F5B">
            <w:pPr>
              <w:pStyle w:val="Paragraph"/>
              <w:spacing w:after="120"/>
            </w:pPr>
            <w:r w:rsidRPr="00B64882">
              <w:t>3rd Generation Partnership Project</w:t>
            </w:r>
          </w:p>
        </w:tc>
      </w:tr>
      <w:tr w:rsidR="00D50F5B" w:rsidRPr="00B64882" w14:paraId="20CFDD17" w14:textId="77777777" w:rsidTr="00A223BD">
        <w:tc>
          <w:tcPr>
            <w:tcW w:w="2410" w:type="dxa"/>
          </w:tcPr>
          <w:p w14:paraId="20E56973" w14:textId="77777777" w:rsidR="00D50F5B" w:rsidRPr="00B64882" w:rsidRDefault="00D50F5B" w:rsidP="00D50F5B">
            <w:pPr>
              <w:pStyle w:val="Paragraph"/>
              <w:spacing w:after="120"/>
              <w:rPr>
                <w:color w:val="000000"/>
                <w:szCs w:val="20"/>
              </w:rPr>
            </w:pPr>
            <w:r>
              <w:rPr>
                <w:color w:val="000000"/>
                <w:szCs w:val="20"/>
              </w:rPr>
              <w:t>ACMA</w:t>
            </w:r>
          </w:p>
        </w:tc>
        <w:tc>
          <w:tcPr>
            <w:tcW w:w="284" w:type="dxa"/>
          </w:tcPr>
          <w:p w14:paraId="1C0B2078"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71E95E34" w14:textId="77777777" w:rsidR="00D50F5B" w:rsidRPr="00B64882" w:rsidRDefault="00D50F5B" w:rsidP="00D50F5B">
            <w:pPr>
              <w:pStyle w:val="Paragraph"/>
              <w:spacing w:after="120"/>
            </w:pPr>
            <w:r w:rsidRPr="00B64882">
              <w:t>Australian Communications and Media Authority</w:t>
            </w:r>
          </w:p>
        </w:tc>
      </w:tr>
      <w:tr w:rsidR="00883E83" w:rsidRPr="00B64882" w14:paraId="6897C092" w14:textId="77777777" w:rsidTr="00A223BD">
        <w:tc>
          <w:tcPr>
            <w:tcW w:w="2410" w:type="dxa"/>
          </w:tcPr>
          <w:p w14:paraId="5B4F46F4" w14:textId="7183CC0A" w:rsidR="00883E83" w:rsidRDefault="00883E83" w:rsidP="00D50F5B">
            <w:pPr>
              <w:pStyle w:val="Paragraph"/>
              <w:spacing w:after="120"/>
              <w:rPr>
                <w:color w:val="000000"/>
                <w:szCs w:val="20"/>
              </w:rPr>
            </w:pPr>
            <w:r>
              <w:rPr>
                <w:color w:val="000000"/>
                <w:szCs w:val="20"/>
              </w:rPr>
              <w:t>ACS</w:t>
            </w:r>
          </w:p>
        </w:tc>
        <w:tc>
          <w:tcPr>
            <w:tcW w:w="284" w:type="dxa"/>
          </w:tcPr>
          <w:p w14:paraId="0B61F52E" w14:textId="77777777" w:rsidR="00883E83" w:rsidRDefault="00883E83" w:rsidP="00D50F5B">
            <w:pPr>
              <w:pStyle w:val="Paragraph"/>
              <w:spacing w:after="120"/>
              <w:rPr>
                <w:rFonts w:asciiTheme="minorHAnsi" w:eastAsiaTheme="minorEastAsia" w:hAnsiTheme="minorHAnsi" w:cstheme="minorBidi"/>
                <w:b/>
                <w:noProof/>
                <w:sz w:val="22"/>
                <w:szCs w:val="22"/>
              </w:rPr>
            </w:pPr>
          </w:p>
        </w:tc>
        <w:tc>
          <w:tcPr>
            <w:tcW w:w="6231" w:type="dxa"/>
          </w:tcPr>
          <w:p w14:paraId="4807A6D3" w14:textId="5F4F2B59" w:rsidR="00883E83" w:rsidRDefault="00883E83" w:rsidP="00D50F5B">
            <w:pPr>
              <w:pStyle w:val="Paragraph"/>
              <w:spacing w:after="120"/>
            </w:pPr>
            <w:r>
              <w:t>adjacent channel selectivity</w:t>
            </w:r>
          </w:p>
        </w:tc>
      </w:tr>
      <w:tr w:rsidR="00D50F5B" w:rsidRPr="00B64882" w14:paraId="37FF48E4" w14:textId="77777777" w:rsidTr="00A223BD">
        <w:tc>
          <w:tcPr>
            <w:tcW w:w="2410" w:type="dxa"/>
          </w:tcPr>
          <w:p w14:paraId="467EDB74" w14:textId="77777777" w:rsidR="00D50F5B" w:rsidRPr="00B64882" w:rsidRDefault="00D50F5B" w:rsidP="00D50F5B">
            <w:pPr>
              <w:pStyle w:val="Paragraph"/>
              <w:spacing w:after="120"/>
              <w:rPr>
                <w:color w:val="000000"/>
                <w:szCs w:val="20"/>
              </w:rPr>
            </w:pPr>
            <w:r>
              <w:rPr>
                <w:color w:val="000000"/>
                <w:szCs w:val="20"/>
              </w:rPr>
              <w:t>ARQZWA</w:t>
            </w:r>
          </w:p>
        </w:tc>
        <w:tc>
          <w:tcPr>
            <w:tcW w:w="284" w:type="dxa"/>
          </w:tcPr>
          <w:p w14:paraId="0BB5D1E0"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594144F5" w14:textId="77777777" w:rsidR="00D50F5B" w:rsidRPr="00B64882" w:rsidRDefault="00D50F5B" w:rsidP="00D50F5B">
            <w:pPr>
              <w:pStyle w:val="Paragraph"/>
              <w:spacing w:after="120"/>
            </w:pPr>
            <w:r w:rsidRPr="00B64882">
              <w:t xml:space="preserve">Australian </w:t>
            </w:r>
            <w:r>
              <w:t>R</w:t>
            </w:r>
            <w:r w:rsidRPr="00B64882">
              <w:t xml:space="preserve">adio </w:t>
            </w:r>
            <w:r>
              <w:t>Q</w:t>
            </w:r>
            <w:r w:rsidRPr="00B64882">
              <w:t xml:space="preserve">uiet </w:t>
            </w:r>
            <w:r>
              <w:t>Z</w:t>
            </w:r>
            <w:r w:rsidRPr="00B64882">
              <w:t>one Western Australia</w:t>
            </w:r>
          </w:p>
        </w:tc>
      </w:tr>
      <w:tr w:rsidR="00D50F5B" w:rsidRPr="00B64882" w14:paraId="413A764D" w14:textId="77777777" w:rsidTr="00A223BD">
        <w:tc>
          <w:tcPr>
            <w:tcW w:w="2410" w:type="dxa"/>
          </w:tcPr>
          <w:p w14:paraId="36C5F605" w14:textId="77777777" w:rsidR="00D50F5B" w:rsidRPr="00B64882" w:rsidRDefault="00D50F5B" w:rsidP="00D50F5B">
            <w:pPr>
              <w:pStyle w:val="Paragraph"/>
              <w:spacing w:after="120"/>
              <w:rPr>
                <w:color w:val="000000"/>
                <w:szCs w:val="20"/>
              </w:rPr>
            </w:pPr>
            <w:r>
              <w:rPr>
                <w:color w:val="000000"/>
                <w:szCs w:val="20"/>
              </w:rPr>
              <w:t>CSIRO</w:t>
            </w:r>
          </w:p>
        </w:tc>
        <w:tc>
          <w:tcPr>
            <w:tcW w:w="284" w:type="dxa"/>
          </w:tcPr>
          <w:p w14:paraId="637BFF85" w14:textId="77777777" w:rsidR="00D50F5B" w:rsidRPr="00B64882" w:rsidRDefault="00D50F5B" w:rsidP="00D50F5B">
            <w:pPr>
              <w:pStyle w:val="Paragraph"/>
              <w:spacing w:after="120"/>
            </w:pPr>
          </w:p>
        </w:tc>
        <w:tc>
          <w:tcPr>
            <w:tcW w:w="6231" w:type="dxa"/>
          </w:tcPr>
          <w:p w14:paraId="27068C20" w14:textId="77777777" w:rsidR="00D50F5B" w:rsidRPr="00B64882" w:rsidRDefault="00D50F5B" w:rsidP="00D50F5B">
            <w:pPr>
              <w:spacing w:after="120" w:line="240" w:lineRule="auto"/>
              <w:rPr>
                <w:rFonts w:cs="Arial"/>
              </w:rPr>
            </w:pPr>
            <w:r w:rsidRPr="00B64882">
              <w:rPr>
                <w:rFonts w:cs="Arial"/>
              </w:rPr>
              <w:t>Commonwealth Scientific and Industrial Research Organisation</w:t>
            </w:r>
          </w:p>
        </w:tc>
      </w:tr>
      <w:tr w:rsidR="00D50F5B" w:rsidRPr="005B3E36" w14:paraId="21F187F2" w14:textId="77777777" w:rsidTr="00A223BD">
        <w:tc>
          <w:tcPr>
            <w:tcW w:w="2410" w:type="dxa"/>
          </w:tcPr>
          <w:p w14:paraId="7AD9372B" w14:textId="77777777" w:rsidR="00D50F5B" w:rsidRPr="00B64882" w:rsidRDefault="00D50F5B" w:rsidP="00D50F5B">
            <w:pPr>
              <w:pStyle w:val="Paragraph"/>
              <w:spacing w:after="120"/>
              <w:rPr>
                <w:color w:val="000000"/>
                <w:szCs w:val="20"/>
              </w:rPr>
            </w:pPr>
            <w:r>
              <w:rPr>
                <w:color w:val="000000"/>
                <w:szCs w:val="20"/>
              </w:rPr>
              <w:t>CSO class licence</w:t>
            </w:r>
          </w:p>
        </w:tc>
        <w:tc>
          <w:tcPr>
            <w:tcW w:w="284" w:type="dxa"/>
          </w:tcPr>
          <w:p w14:paraId="7A266C98"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2F210CB7" w14:textId="77777777" w:rsidR="00D50F5B" w:rsidRPr="005B3E36" w:rsidRDefault="00A96A3D" w:rsidP="00D50F5B">
            <w:pPr>
              <w:pStyle w:val="Paragraph"/>
              <w:spacing w:after="120"/>
              <w:rPr>
                <w:rFonts w:asciiTheme="minorHAnsi" w:eastAsiaTheme="minorEastAsia" w:hAnsiTheme="minorHAnsi" w:cstheme="minorBidi"/>
                <w:bCs/>
                <w:noProof/>
                <w:sz w:val="22"/>
                <w:szCs w:val="22"/>
              </w:rPr>
            </w:pPr>
            <w:hyperlink r:id="rId63" w:history="1">
              <w:r w:rsidR="00D50F5B" w:rsidRPr="005B3E36">
                <w:rPr>
                  <w:rStyle w:val="Hyperlink"/>
                  <w:bCs/>
                </w:rPr>
                <w:t>Radiocommunications (Communication with Space Object) Class Licence</w:t>
              </w:r>
            </w:hyperlink>
            <w:r w:rsidR="00D50F5B" w:rsidRPr="005B3E36">
              <w:rPr>
                <w:rStyle w:val="Hyperlink"/>
                <w:bCs/>
              </w:rPr>
              <w:t xml:space="preserve"> 2015</w:t>
            </w:r>
          </w:p>
        </w:tc>
      </w:tr>
      <w:tr w:rsidR="00D50F5B" w:rsidRPr="00B64882" w14:paraId="04BD112A" w14:textId="77777777" w:rsidTr="00A223BD">
        <w:tc>
          <w:tcPr>
            <w:tcW w:w="2410" w:type="dxa"/>
          </w:tcPr>
          <w:p w14:paraId="566373DA" w14:textId="1AA09776" w:rsidR="00ED796C" w:rsidRPr="00B64882" w:rsidRDefault="00ED796C" w:rsidP="00D50F5B">
            <w:pPr>
              <w:pStyle w:val="Paragraph"/>
              <w:spacing w:after="120"/>
              <w:rPr>
                <w:color w:val="000000"/>
                <w:szCs w:val="20"/>
              </w:rPr>
            </w:pPr>
            <w:r>
              <w:rPr>
                <w:color w:val="000000"/>
                <w:szCs w:val="20"/>
              </w:rPr>
              <w:t>EESS</w:t>
            </w:r>
          </w:p>
        </w:tc>
        <w:tc>
          <w:tcPr>
            <w:tcW w:w="284" w:type="dxa"/>
          </w:tcPr>
          <w:p w14:paraId="40604BE3"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494C0733" w14:textId="4529BD4D" w:rsidR="00ED796C" w:rsidRPr="00B64882" w:rsidRDefault="006819BF" w:rsidP="00D50F5B">
            <w:pPr>
              <w:spacing w:after="120" w:line="240" w:lineRule="auto"/>
              <w:rPr>
                <w:rFonts w:cs="Arial"/>
                <w:color w:val="000000"/>
                <w:szCs w:val="20"/>
              </w:rPr>
            </w:pPr>
            <w:r>
              <w:t>e</w:t>
            </w:r>
            <w:r w:rsidR="00ED796C">
              <w:t>arth exploration-satellite service</w:t>
            </w:r>
          </w:p>
        </w:tc>
      </w:tr>
      <w:tr w:rsidR="00D50F5B" w:rsidRPr="00B64882" w14:paraId="698544D0" w14:textId="77777777" w:rsidTr="00A223BD">
        <w:tc>
          <w:tcPr>
            <w:tcW w:w="2410" w:type="dxa"/>
          </w:tcPr>
          <w:p w14:paraId="64481F5E" w14:textId="2CABAD51" w:rsidR="00D50F5B" w:rsidRPr="00B64882" w:rsidRDefault="00031558" w:rsidP="00D50F5B">
            <w:pPr>
              <w:pStyle w:val="Paragraph"/>
              <w:spacing w:after="120"/>
              <w:rPr>
                <w:color w:val="000000"/>
                <w:szCs w:val="20"/>
              </w:rPr>
            </w:pPr>
            <w:r>
              <w:rPr>
                <w:color w:val="000000"/>
                <w:szCs w:val="20"/>
              </w:rPr>
              <w:t xml:space="preserve">extended </w:t>
            </w:r>
            <w:r w:rsidR="00D50F5B">
              <w:rPr>
                <w:color w:val="000000"/>
                <w:szCs w:val="20"/>
              </w:rPr>
              <w:t>MSS L-band</w:t>
            </w:r>
          </w:p>
        </w:tc>
        <w:tc>
          <w:tcPr>
            <w:tcW w:w="284" w:type="dxa"/>
          </w:tcPr>
          <w:p w14:paraId="3DE8524F"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14AA6F87" w14:textId="77777777" w:rsidR="00D50F5B" w:rsidRPr="00B64882" w:rsidRDefault="00D50F5B" w:rsidP="00D50F5B">
            <w:pPr>
              <w:spacing w:after="120" w:line="240" w:lineRule="auto"/>
              <w:rPr>
                <w:rFonts w:cs="Arial"/>
                <w:color w:val="000000"/>
                <w:szCs w:val="20"/>
              </w:rPr>
            </w:pPr>
            <w:r>
              <w:rPr>
                <w:rFonts w:cs="Arial"/>
                <w:color w:val="000000"/>
                <w:szCs w:val="20"/>
              </w:rPr>
              <w:t>t</w:t>
            </w:r>
            <w:r w:rsidRPr="00B64882">
              <w:rPr>
                <w:rFonts w:cs="Arial"/>
                <w:color w:val="000000"/>
                <w:szCs w:val="20"/>
              </w:rPr>
              <w:t>he 1518–1525 MHz and 1668–1675 MHz frequency range</w:t>
            </w:r>
            <w:r>
              <w:rPr>
                <w:rFonts w:cs="Arial"/>
                <w:color w:val="000000"/>
                <w:szCs w:val="20"/>
              </w:rPr>
              <w:t>s</w:t>
            </w:r>
          </w:p>
        </w:tc>
      </w:tr>
      <w:tr w:rsidR="00D50F5B" w:rsidRPr="00B64882" w14:paraId="72405384" w14:textId="77777777" w:rsidTr="00A223BD">
        <w:tc>
          <w:tcPr>
            <w:tcW w:w="2410" w:type="dxa"/>
          </w:tcPr>
          <w:p w14:paraId="38ADD74C" w14:textId="77777777" w:rsidR="00D50F5B" w:rsidRPr="00B64882" w:rsidRDefault="00D50F5B" w:rsidP="00D50F5B">
            <w:pPr>
              <w:pStyle w:val="Paragraph"/>
              <w:spacing w:after="120"/>
              <w:rPr>
                <w:color w:val="000000"/>
                <w:szCs w:val="20"/>
              </w:rPr>
            </w:pPr>
            <w:r>
              <w:rPr>
                <w:color w:val="000000"/>
                <w:szCs w:val="20"/>
              </w:rPr>
              <w:t>FDD</w:t>
            </w:r>
          </w:p>
        </w:tc>
        <w:tc>
          <w:tcPr>
            <w:tcW w:w="284" w:type="dxa"/>
          </w:tcPr>
          <w:p w14:paraId="0029627E"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4EB4341E" w14:textId="6BCAA505" w:rsidR="00D50F5B" w:rsidRPr="00B64882" w:rsidRDefault="00031558" w:rsidP="00D50F5B">
            <w:pPr>
              <w:spacing w:after="120" w:line="240" w:lineRule="auto"/>
              <w:rPr>
                <w:rFonts w:cs="Arial"/>
                <w:color w:val="000000"/>
                <w:szCs w:val="20"/>
              </w:rPr>
            </w:pPr>
            <w:r>
              <w:rPr>
                <w:rFonts w:cs="Arial"/>
                <w:color w:val="000000"/>
                <w:szCs w:val="20"/>
              </w:rPr>
              <w:t>f</w:t>
            </w:r>
            <w:r w:rsidR="00D50F5B">
              <w:rPr>
                <w:rFonts w:cs="Arial"/>
                <w:color w:val="000000"/>
                <w:szCs w:val="20"/>
              </w:rPr>
              <w:t xml:space="preserve">requency </w:t>
            </w:r>
            <w:r>
              <w:rPr>
                <w:rFonts w:cs="Arial"/>
                <w:color w:val="000000"/>
                <w:szCs w:val="20"/>
              </w:rPr>
              <w:t>d</w:t>
            </w:r>
            <w:r w:rsidR="00D50F5B">
              <w:rPr>
                <w:rFonts w:cs="Arial"/>
                <w:color w:val="000000"/>
                <w:szCs w:val="20"/>
              </w:rPr>
              <w:t xml:space="preserve">ivision </w:t>
            </w:r>
            <w:r>
              <w:rPr>
                <w:rFonts w:cs="Arial"/>
                <w:color w:val="000000"/>
                <w:szCs w:val="20"/>
              </w:rPr>
              <w:t>d</w:t>
            </w:r>
            <w:r w:rsidR="00D50F5B">
              <w:rPr>
                <w:rFonts w:cs="Arial"/>
                <w:color w:val="000000"/>
                <w:szCs w:val="20"/>
              </w:rPr>
              <w:t>uplex</w:t>
            </w:r>
          </w:p>
        </w:tc>
      </w:tr>
      <w:tr w:rsidR="00D50F5B" w:rsidRPr="00B64882" w14:paraId="221EAB0A" w14:textId="77777777" w:rsidTr="00A223BD">
        <w:tc>
          <w:tcPr>
            <w:tcW w:w="2410" w:type="dxa"/>
          </w:tcPr>
          <w:p w14:paraId="28D0D768" w14:textId="77777777" w:rsidR="00D50F5B" w:rsidRPr="00B64882" w:rsidRDefault="00D50F5B" w:rsidP="00D50F5B">
            <w:pPr>
              <w:pStyle w:val="Paragraph"/>
              <w:spacing w:after="120"/>
              <w:rPr>
                <w:color w:val="000000"/>
                <w:szCs w:val="20"/>
              </w:rPr>
            </w:pPr>
            <w:r>
              <w:rPr>
                <w:color w:val="000000"/>
                <w:szCs w:val="20"/>
              </w:rPr>
              <w:t>FYSO</w:t>
            </w:r>
          </w:p>
        </w:tc>
        <w:tc>
          <w:tcPr>
            <w:tcW w:w="284" w:type="dxa"/>
          </w:tcPr>
          <w:p w14:paraId="6EE46C59"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4C1D7BAE" w14:textId="77777777" w:rsidR="00D50F5B" w:rsidRPr="00B64882" w:rsidRDefault="00D50F5B" w:rsidP="00D50F5B">
            <w:pPr>
              <w:spacing w:after="120" w:line="240" w:lineRule="auto"/>
              <w:rPr>
                <w:rFonts w:cs="Arial"/>
                <w:color w:val="000000"/>
                <w:szCs w:val="20"/>
              </w:rPr>
            </w:pPr>
            <w:r>
              <w:rPr>
                <w:rFonts w:cs="Arial"/>
                <w:color w:val="000000"/>
                <w:szCs w:val="20"/>
              </w:rPr>
              <w:t>Five-year spectrum outlook</w:t>
            </w:r>
          </w:p>
        </w:tc>
      </w:tr>
      <w:tr w:rsidR="00383C0A" w:rsidRPr="00B64882" w14:paraId="087ED09B" w14:textId="77777777" w:rsidTr="00A223BD">
        <w:tc>
          <w:tcPr>
            <w:tcW w:w="2410" w:type="dxa"/>
          </w:tcPr>
          <w:p w14:paraId="636B418C" w14:textId="3DE289CB" w:rsidR="00383C0A" w:rsidRDefault="00383C0A" w:rsidP="00D50F5B">
            <w:pPr>
              <w:pStyle w:val="Paragraph"/>
              <w:spacing w:after="120"/>
              <w:rPr>
                <w:color w:val="000000"/>
                <w:szCs w:val="20"/>
              </w:rPr>
            </w:pPr>
            <w:r>
              <w:rPr>
                <w:color w:val="000000"/>
                <w:szCs w:val="20"/>
              </w:rPr>
              <w:t>GMDSS</w:t>
            </w:r>
          </w:p>
        </w:tc>
        <w:tc>
          <w:tcPr>
            <w:tcW w:w="284" w:type="dxa"/>
          </w:tcPr>
          <w:p w14:paraId="24BE8C4D" w14:textId="77777777" w:rsidR="00383C0A" w:rsidRDefault="00383C0A" w:rsidP="00D50F5B">
            <w:pPr>
              <w:pStyle w:val="Paragraph"/>
              <w:spacing w:after="120"/>
              <w:rPr>
                <w:rFonts w:asciiTheme="minorHAnsi" w:eastAsiaTheme="minorEastAsia" w:hAnsiTheme="minorHAnsi" w:cstheme="minorBidi"/>
                <w:b/>
                <w:noProof/>
                <w:sz w:val="22"/>
                <w:szCs w:val="22"/>
              </w:rPr>
            </w:pPr>
          </w:p>
        </w:tc>
        <w:tc>
          <w:tcPr>
            <w:tcW w:w="6231" w:type="dxa"/>
          </w:tcPr>
          <w:p w14:paraId="3D1923CA" w14:textId="36CCF83B" w:rsidR="00383C0A" w:rsidRDefault="00383C0A" w:rsidP="00D50F5B">
            <w:pPr>
              <w:spacing w:after="120" w:line="240" w:lineRule="auto"/>
              <w:rPr>
                <w:rFonts w:cs="Arial"/>
                <w:color w:val="000000"/>
                <w:szCs w:val="20"/>
              </w:rPr>
            </w:pPr>
            <w:r>
              <w:t>Global Maritime Distress and Safety Systems</w:t>
            </w:r>
          </w:p>
        </w:tc>
      </w:tr>
      <w:tr w:rsidR="00D50F5B" w:rsidRPr="00B64882" w14:paraId="39E3321C" w14:textId="77777777" w:rsidTr="00A223BD">
        <w:tc>
          <w:tcPr>
            <w:tcW w:w="2410" w:type="dxa"/>
          </w:tcPr>
          <w:p w14:paraId="0D945688" w14:textId="77777777" w:rsidR="00D50F5B" w:rsidRPr="00B64882" w:rsidRDefault="00D50F5B" w:rsidP="00D50F5B">
            <w:pPr>
              <w:pStyle w:val="Paragraph"/>
              <w:spacing w:after="120"/>
              <w:rPr>
                <w:color w:val="000000"/>
                <w:szCs w:val="20"/>
              </w:rPr>
            </w:pPr>
            <w:r>
              <w:rPr>
                <w:color w:val="000000"/>
                <w:szCs w:val="20"/>
              </w:rPr>
              <w:t>HCRC</w:t>
            </w:r>
          </w:p>
        </w:tc>
        <w:tc>
          <w:tcPr>
            <w:tcW w:w="284" w:type="dxa"/>
          </w:tcPr>
          <w:p w14:paraId="0EC86638"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39061868" w14:textId="77777777" w:rsidR="00D50F5B" w:rsidRPr="00B64882" w:rsidRDefault="00D50F5B" w:rsidP="00D50F5B">
            <w:pPr>
              <w:spacing w:after="120" w:line="240" w:lineRule="auto"/>
              <w:rPr>
                <w:rFonts w:cs="Arial"/>
                <w:color w:val="000000"/>
                <w:szCs w:val="20"/>
              </w:rPr>
            </w:pPr>
            <w:r>
              <w:rPr>
                <w:rFonts w:cs="Arial"/>
                <w:color w:val="000000"/>
                <w:szCs w:val="20"/>
              </w:rPr>
              <w:t>High-Capacity Radio Concentrator</w:t>
            </w:r>
          </w:p>
        </w:tc>
      </w:tr>
      <w:tr w:rsidR="00D50F5B" w:rsidRPr="00B64882" w14:paraId="130E682B" w14:textId="77777777" w:rsidTr="00A223BD">
        <w:tc>
          <w:tcPr>
            <w:tcW w:w="2410" w:type="dxa"/>
          </w:tcPr>
          <w:p w14:paraId="5C063E54" w14:textId="77777777" w:rsidR="00D50F5B" w:rsidRPr="00B64882" w:rsidRDefault="00D50F5B" w:rsidP="00D50F5B">
            <w:pPr>
              <w:pStyle w:val="Paragraph"/>
              <w:spacing w:after="120"/>
              <w:rPr>
                <w:color w:val="000000"/>
                <w:szCs w:val="20"/>
              </w:rPr>
            </w:pPr>
            <w:r>
              <w:rPr>
                <w:color w:val="000000"/>
                <w:szCs w:val="20"/>
              </w:rPr>
              <w:t>IMT</w:t>
            </w:r>
          </w:p>
        </w:tc>
        <w:tc>
          <w:tcPr>
            <w:tcW w:w="284" w:type="dxa"/>
          </w:tcPr>
          <w:p w14:paraId="7691F467"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585A1617" w14:textId="77777777" w:rsidR="00D50F5B" w:rsidRPr="00B64882" w:rsidRDefault="00D50F5B" w:rsidP="00D50F5B">
            <w:pPr>
              <w:spacing w:after="120" w:line="240" w:lineRule="auto"/>
              <w:rPr>
                <w:rFonts w:cs="Arial"/>
                <w:color w:val="000000"/>
                <w:szCs w:val="20"/>
              </w:rPr>
            </w:pPr>
            <w:r>
              <w:rPr>
                <w:rFonts w:cs="Arial"/>
                <w:color w:val="000000"/>
                <w:szCs w:val="20"/>
              </w:rPr>
              <w:t>International Mobile Telecommunications</w:t>
            </w:r>
          </w:p>
        </w:tc>
      </w:tr>
      <w:tr w:rsidR="00D50F5B" w:rsidRPr="00B64882" w14:paraId="5969831D" w14:textId="77777777" w:rsidTr="00A223BD">
        <w:tc>
          <w:tcPr>
            <w:tcW w:w="2410" w:type="dxa"/>
          </w:tcPr>
          <w:p w14:paraId="2ABEFE1B" w14:textId="77777777" w:rsidR="00D50F5B" w:rsidRPr="00B64882" w:rsidRDefault="00D50F5B" w:rsidP="00D50F5B">
            <w:pPr>
              <w:pStyle w:val="Paragraph"/>
              <w:spacing w:after="120"/>
              <w:rPr>
                <w:color w:val="000000"/>
                <w:szCs w:val="20"/>
              </w:rPr>
            </w:pPr>
            <w:r>
              <w:rPr>
                <w:color w:val="000000"/>
                <w:szCs w:val="20"/>
              </w:rPr>
              <w:t>ITU</w:t>
            </w:r>
          </w:p>
        </w:tc>
        <w:tc>
          <w:tcPr>
            <w:tcW w:w="284" w:type="dxa"/>
          </w:tcPr>
          <w:p w14:paraId="7C272C65"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05DF0FB0" w14:textId="77777777" w:rsidR="00D50F5B" w:rsidRPr="00B64882" w:rsidRDefault="00D50F5B" w:rsidP="00D50F5B">
            <w:pPr>
              <w:spacing w:after="120" w:line="240" w:lineRule="auto"/>
              <w:rPr>
                <w:rFonts w:cs="Arial"/>
                <w:color w:val="000000"/>
                <w:szCs w:val="20"/>
              </w:rPr>
            </w:pPr>
            <w:r>
              <w:rPr>
                <w:rFonts w:cs="Arial"/>
                <w:color w:val="000000"/>
                <w:szCs w:val="20"/>
              </w:rPr>
              <w:t>International Telecommunication Union</w:t>
            </w:r>
          </w:p>
        </w:tc>
      </w:tr>
      <w:tr w:rsidR="00D50F5B" w:rsidRPr="00B64882" w14:paraId="13B71DDC" w14:textId="77777777" w:rsidTr="00A223BD">
        <w:tc>
          <w:tcPr>
            <w:tcW w:w="2410" w:type="dxa"/>
          </w:tcPr>
          <w:p w14:paraId="773BBD40" w14:textId="77777777" w:rsidR="00D50F5B" w:rsidRPr="00B64882" w:rsidRDefault="00D50F5B" w:rsidP="00D50F5B">
            <w:pPr>
              <w:pStyle w:val="Paragraph"/>
              <w:spacing w:after="120"/>
              <w:rPr>
                <w:color w:val="000000"/>
                <w:szCs w:val="20"/>
              </w:rPr>
            </w:pPr>
            <w:r>
              <w:rPr>
                <w:color w:val="000000"/>
                <w:szCs w:val="20"/>
              </w:rPr>
              <w:t>LA WBB</w:t>
            </w:r>
          </w:p>
        </w:tc>
        <w:tc>
          <w:tcPr>
            <w:tcW w:w="284" w:type="dxa"/>
          </w:tcPr>
          <w:p w14:paraId="49D841CD"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08613190" w14:textId="6D50017F" w:rsidR="00D50F5B" w:rsidRPr="00B64882" w:rsidRDefault="006819BF" w:rsidP="00D50F5B">
            <w:pPr>
              <w:spacing w:after="120" w:line="240" w:lineRule="auto"/>
              <w:rPr>
                <w:rFonts w:cs="Arial"/>
                <w:color w:val="000000"/>
                <w:szCs w:val="20"/>
              </w:rPr>
            </w:pPr>
            <w:r>
              <w:rPr>
                <w:rFonts w:cs="Arial"/>
                <w:color w:val="000000"/>
                <w:szCs w:val="20"/>
              </w:rPr>
              <w:t>l</w:t>
            </w:r>
            <w:r w:rsidR="00D50F5B">
              <w:rPr>
                <w:rFonts w:cs="Arial"/>
                <w:color w:val="000000"/>
                <w:szCs w:val="20"/>
              </w:rPr>
              <w:t>ocal-area wireless broadband</w:t>
            </w:r>
          </w:p>
        </w:tc>
      </w:tr>
      <w:tr w:rsidR="00D50F5B" w14:paraId="72751900" w14:textId="77777777" w:rsidTr="00A223BD">
        <w:tc>
          <w:tcPr>
            <w:tcW w:w="2410" w:type="dxa"/>
          </w:tcPr>
          <w:p w14:paraId="73012B67" w14:textId="77777777" w:rsidR="00D50F5B" w:rsidRDefault="00D50F5B" w:rsidP="00D50F5B">
            <w:pPr>
              <w:pStyle w:val="Paragraph"/>
              <w:spacing w:after="120"/>
              <w:rPr>
                <w:color w:val="000000"/>
                <w:szCs w:val="20"/>
              </w:rPr>
            </w:pPr>
            <w:r>
              <w:rPr>
                <w:color w:val="000000"/>
                <w:szCs w:val="20"/>
              </w:rPr>
              <w:t>LEO</w:t>
            </w:r>
          </w:p>
        </w:tc>
        <w:tc>
          <w:tcPr>
            <w:tcW w:w="284" w:type="dxa"/>
          </w:tcPr>
          <w:p w14:paraId="0EEB0E40"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6A8E5C3A" w14:textId="602F8CEA" w:rsidR="00D50F5B" w:rsidRDefault="00716EB3" w:rsidP="00D50F5B">
            <w:pPr>
              <w:pStyle w:val="Paragraph"/>
              <w:spacing w:after="120"/>
            </w:pPr>
            <w:r>
              <w:t>l</w:t>
            </w:r>
            <w:r w:rsidR="00D50F5B">
              <w:t xml:space="preserve">ow </w:t>
            </w:r>
            <w:r>
              <w:t>e</w:t>
            </w:r>
            <w:r w:rsidR="00D50F5B">
              <w:t xml:space="preserve">arth </w:t>
            </w:r>
            <w:r>
              <w:t>o</w:t>
            </w:r>
            <w:r w:rsidR="00D50F5B">
              <w:t>rbit</w:t>
            </w:r>
          </w:p>
        </w:tc>
      </w:tr>
      <w:tr w:rsidR="00D50F5B" w:rsidRPr="005B3E36" w14:paraId="00EED4B5" w14:textId="77777777" w:rsidTr="00A223BD">
        <w:tc>
          <w:tcPr>
            <w:tcW w:w="2410" w:type="dxa"/>
          </w:tcPr>
          <w:p w14:paraId="114CFF7A" w14:textId="77777777" w:rsidR="00D50F5B" w:rsidRPr="00B64882" w:rsidRDefault="00D50F5B" w:rsidP="00D50F5B">
            <w:pPr>
              <w:pStyle w:val="Paragraph"/>
              <w:spacing w:after="120"/>
              <w:rPr>
                <w:color w:val="000000"/>
                <w:szCs w:val="20"/>
              </w:rPr>
            </w:pPr>
            <w:r>
              <w:rPr>
                <w:color w:val="000000"/>
                <w:szCs w:val="20"/>
              </w:rPr>
              <w:t>LIPD class licence</w:t>
            </w:r>
          </w:p>
        </w:tc>
        <w:tc>
          <w:tcPr>
            <w:tcW w:w="284" w:type="dxa"/>
          </w:tcPr>
          <w:p w14:paraId="51F1A324"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3E0C8248" w14:textId="3D93B597" w:rsidR="00D50F5B" w:rsidRPr="005B3E36" w:rsidRDefault="00A96A3D" w:rsidP="00D50F5B">
            <w:pPr>
              <w:pStyle w:val="Paragraph"/>
              <w:spacing w:after="120"/>
              <w:rPr>
                <w:rFonts w:asciiTheme="minorHAnsi" w:eastAsiaTheme="minorEastAsia" w:hAnsiTheme="minorHAnsi" w:cstheme="minorBidi"/>
                <w:bCs/>
                <w:noProof/>
                <w:sz w:val="22"/>
                <w:szCs w:val="22"/>
              </w:rPr>
            </w:pPr>
            <w:hyperlink r:id="rId64" w:history="1">
              <w:r w:rsidR="00D50F5B" w:rsidRPr="005B25B9">
                <w:rPr>
                  <w:rStyle w:val="Hyperlink"/>
                </w:rPr>
                <w:t>Radiocommunications (Low Interference Potential Devices) Class Licence 2015</w:t>
              </w:r>
            </w:hyperlink>
          </w:p>
        </w:tc>
      </w:tr>
      <w:tr w:rsidR="00D50F5B" w14:paraId="049FA172" w14:textId="77777777" w:rsidTr="00A223BD">
        <w:tc>
          <w:tcPr>
            <w:tcW w:w="2410" w:type="dxa"/>
          </w:tcPr>
          <w:p w14:paraId="1E659EF4" w14:textId="77777777" w:rsidR="00D50F5B" w:rsidRDefault="00D50F5B" w:rsidP="00D50F5B">
            <w:pPr>
              <w:pStyle w:val="Paragraph"/>
              <w:spacing w:after="120"/>
              <w:rPr>
                <w:color w:val="000000"/>
                <w:szCs w:val="20"/>
              </w:rPr>
            </w:pPr>
            <w:r>
              <w:rPr>
                <w:color w:val="000000"/>
                <w:szCs w:val="20"/>
              </w:rPr>
              <w:t>May 2022 paper</w:t>
            </w:r>
          </w:p>
        </w:tc>
        <w:tc>
          <w:tcPr>
            <w:tcW w:w="284" w:type="dxa"/>
          </w:tcPr>
          <w:p w14:paraId="3B8FC218"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1515E930" w14:textId="77777777" w:rsidR="00D50F5B" w:rsidRDefault="00A96A3D" w:rsidP="00D50F5B">
            <w:pPr>
              <w:pStyle w:val="Paragraph"/>
              <w:spacing w:after="120"/>
              <w:rPr>
                <w:color w:val="000000"/>
                <w:szCs w:val="20"/>
              </w:rPr>
            </w:pPr>
            <w:hyperlink r:id="rId65" w:history="1">
              <w:r w:rsidR="00D50F5B" w:rsidRPr="00883E83">
                <w:rPr>
                  <w:rStyle w:val="Hyperlink"/>
                </w:rPr>
                <w:t>Review of the 1.5 GHz band</w:t>
              </w:r>
            </w:hyperlink>
            <w:r w:rsidR="00D50F5B" w:rsidRPr="00883E83">
              <w:t xml:space="preserve"> </w:t>
            </w:r>
            <w:r w:rsidR="00D50F5B">
              <w:t>discussion paper</w:t>
            </w:r>
          </w:p>
        </w:tc>
      </w:tr>
      <w:tr w:rsidR="00D50F5B" w14:paraId="5A9C168C" w14:textId="77777777" w:rsidTr="00A223BD">
        <w:tc>
          <w:tcPr>
            <w:tcW w:w="2410" w:type="dxa"/>
          </w:tcPr>
          <w:p w14:paraId="7B013F11" w14:textId="77777777" w:rsidR="00D50F5B" w:rsidRDefault="00D50F5B" w:rsidP="00D50F5B">
            <w:pPr>
              <w:pStyle w:val="Paragraph"/>
              <w:spacing w:after="120"/>
              <w:rPr>
                <w:color w:val="000000"/>
                <w:szCs w:val="20"/>
              </w:rPr>
            </w:pPr>
            <w:r>
              <w:rPr>
                <w:color w:val="000000"/>
                <w:szCs w:val="20"/>
              </w:rPr>
              <w:t>MetAids</w:t>
            </w:r>
          </w:p>
        </w:tc>
        <w:tc>
          <w:tcPr>
            <w:tcW w:w="284" w:type="dxa"/>
          </w:tcPr>
          <w:p w14:paraId="79DD7944"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40821CEA" w14:textId="1C9494FB" w:rsidR="00D50F5B" w:rsidRDefault="00031558" w:rsidP="00D50F5B">
            <w:pPr>
              <w:pStyle w:val="Paragraph"/>
              <w:spacing w:after="120"/>
              <w:rPr>
                <w:color w:val="000000"/>
                <w:szCs w:val="20"/>
              </w:rPr>
            </w:pPr>
            <w:r>
              <w:rPr>
                <w:color w:val="000000"/>
                <w:szCs w:val="20"/>
              </w:rPr>
              <w:t>m</w:t>
            </w:r>
            <w:r w:rsidR="00D50F5B">
              <w:rPr>
                <w:color w:val="000000"/>
                <w:szCs w:val="20"/>
              </w:rPr>
              <w:t xml:space="preserve">eteorological </w:t>
            </w:r>
            <w:r>
              <w:rPr>
                <w:color w:val="000000"/>
                <w:szCs w:val="20"/>
              </w:rPr>
              <w:t>a</w:t>
            </w:r>
            <w:r w:rsidR="00D50F5B">
              <w:rPr>
                <w:color w:val="000000"/>
                <w:szCs w:val="20"/>
              </w:rPr>
              <w:t xml:space="preserve">id </w:t>
            </w:r>
            <w:r>
              <w:rPr>
                <w:color w:val="000000"/>
                <w:szCs w:val="20"/>
              </w:rPr>
              <w:t>s</w:t>
            </w:r>
            <w:r w:rsidR="00D50F5B">
              <w:rPr>
                <w:color w:val="000000"/>
                <w:szCs w:val="20"/>
              </w:rPr>
              <w:t>ervice</w:t>
            </w:r>
          </w:p>
        </w:tc>
      </w:tr>
      <w:tr w:rsidR="00D50F5B" w:rsidRPr="00B64882" w14:paraId="6C10E761" w14:textId="77777777" w:rsidTr="00A223BD">
        <w:tc>
          <w:tcPr>
            <w:tcW w:w="2410" w:type="dxa"/>
          </w:tcPr>
          <w:p w14:paraId="3119D506" w14:textId="77777777" w:rsidR="00D50F5B" w:rsidRPr="00B64882" w:rsidRDefault="00D50F5B" w:rsidP="00D50F5B">
            <w:pPr>
              <w:pStyle w:val="Paragraph"/>
              <w:spacing w:after="120"/>
              <w:rPr>
                <w:color w:val="000000"/>
                <w:szCs w:val="20"/>
              </w:rPr>
            </w:pPr>
            <w:r>
              <w:rPr>
                <w:color w:val="000000"/>
                <w:szCs w:val="20"/>
              </w:rPr>
              <w:t>Metsat</w:t>
            </w:r>
          </w:p>
        </w:tc>
        <w:tc>
          <w:tcPr>
            <w:tcW w:w="284" w:type="dxa"/>
          </w:tcPr>
          <w:p w14:paraId="470E0AB1"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00BCF508" w14:textId="7049EBE3" w:rsidR="00D50F5B" w:rsidRPr="00B64882" w:rsidRDefault="00031558" w:rsidP="00D50F5B">
            <w:pPr>
              <w:pStyle w:val="Paragraph"/>
              <w:spacing w:after="120"/>
              <w:rPr>
                <w:color w:val="000000"/>
                <w:szCs w:val="20"/>
              </w:rPr>
            </w:pPr>
            <w:r>
              <w:rPr>
                <w:color w:val="000000"/>
                <w:szCs w:val="20"/>
              </w:rPr>
              <w:t>m</w:t>
            </w:r>
            <w:r w:rsidR="00D50F5B">
              <w:rPr>
                <w:color w:val="000000"/>
                <w:szCs w:val="20"/>
              </w:rPr>
              <w:t xml:space="preserve">eteorological </w:t>
            </w:r>
            <w:r>
              <w:rPr>
                <w:color w:val="000000"/>
                <w:szCs w:val="20"/>
              </w:rPr>
              <w:t>s</w:t>
            </w:r>
            <w:r w:rsidR="00D50F5B">
              <w:rPr>
                <w:color w:val="000000"/>
                <w:szCs w:val="20"/>
              </w:rPr>
              <w:t xml:space="preserve">atellite </w:t>
            </w:r>
          </w:p>
        </w:tc>
      </w:tr>
      <w:tr w:rsidR="00D50F5B" w:rsidRPr="00B64882" w14:paraId="04C0E10D" w14:textId="77777777" w:rsidTr="00A223BD">
        <w:tc>
          <w:tcPr>
            <w:tcW w:w="2410" w:type="dxa"/>
          </w:tcPr>
          <w:p w14:paraId="75726207" w14:textId="77777777" w:rsidR="00D50F5B" w:rsidRPr="00B64882" w:rsidRDefault="00D50F5B" w:rsidP="00D50F5B">
            <w:pPr>
              <w:pStyle w:val="Paragraph"/>
              <w:spacing w:after="120"/>
              <w:rPr>
                <w:color w:val="000000"/>
                <w:szCs w:val="20"/>
              </w:rPr>
            </w:pPr>
            <w:r>
              <w:rPr>
                <w:color w:val="000000"/>
                <w:szCs w:val="20"/>
              </w:rPr>
              <w:t>MSS</w:t>
            </w:r>
          </w:p>
        </w:tc>
        <w:tc>
          <w:tcPr>
            <w:tcW w:w="284" w:type="dxa"/>
          </w:tcPr>
          <w:p w14:paraId="4027AF83"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4D850FED" w14:textId="77777777" w:rsidR="00D50F5B" w:rsidRPr="00B64882" w:rsidRDefault="00D50F5B" w:rsidP="00D50F5B">
            <w:pPr>
              <w:pStyle w:val="Paragraph"/>
              <w:spacing w:after="120"/>
              <w:rPr>
                <w:color w:val="000000"/>
                <w:szCs w:val="20"/>
              </w:rPr>
            </w:pPr>
            <w:r>
              <w:rPr>
                <w:color w:val="000000"/>
                <w:szCs w:val="20"/>
              </w:rPr>
              <w:t>mobile-satellite service</w:t>
            </w:r>
          </w:p>
        </w:tc>
      </w:tr>
      <w:tr w:rsidR="00883E83" w14:paraId="61A15089" w14:textId="77777777" w:rsidTr="00A223BD">
        <w:tc>
          <w:tcPr>
            <w:tcW w:w="2410" w:type="dxa"/>
          </w:tcPr>
          <w:p w14:paraId="47BBBF47" w14:textId="51D61A3A" w:rsidR="00883E83" w:rsidRDefault="00883E83" w:rsidP="00D50F5B">
            <w:pPr>
              <w:pStyle w:val="Paragraph"/>
              <w:spacing w:after="120"/>
              <w:rPr>
                <w:color w:val="000000"/>
                <w:szCs w:val="20"/>
              </w:rPr>
            </w:pPr>
            <w:r>
              <w:rPr>
                <w:color w:val="000000"/>
                <w:szCs w:val="20"/>
              </w:rPr>
              <w:t>NTN</w:t>
            </w:r>
          </w:p>
        </w:tc>
        <w:tc>
          <w:tcPr>
            <w:tcW w:w="284" w:type="dxa"/>
          </w:tcPr>
          <w:p w14:paraId="08A5E1AF" w14:textId="77777777" w:rsidR="00883E83" w:rsidRDefault="00883E83" w:rsidP="00D50F5B">
            <w:pPr>
              <w:pStyle w:val="Paragraph"/>
              <w:spacing w:after="120"/>
              <w:rPr>
                <w:rFonts w:asciiTheme="minorHAnsi" w:eastAsiaTheme="minorEastAsia" w:hAnsiTheme="minorHAnsi" w:cstheme="minorBidi"/>
                <w:b/>
                <w:noProof/>
                <w:sz w:val="22"/>
                <w:szCs w:val="22"/>
              </w:rPr>
            </w:pPr>
          </w:p>
        </w:tc>
        <w:tc>
          <w:tcPr>
            <w:tcW w:w="6231" w:type="dxa"/>
          </w:tcPr>
          <w:p w14:paraId="5ECFB6B6" w14:textId="049B919B" w:rsidR="00883E83" w:rsidRDefault="00883E83" w:rsidP="00D50F5B">
            <w:pPr>
              <w:pStyle w:val="Paragraph"/>
              <w:spacing w:after="120"/>
              <w:rPr>
                <w:color w:val="000000"/>
                <w:szCs w:val="20"/>
              </w:rPr>
            </w:pPr>
            <w:r>
              <w:t>non-terrestrial networks</w:t>
            </w:r>
          </w:p>
        </w:tc>
      </w:tr>
      <w:tr w:rsidR="00D50F5B" w:rsidRPr="00B64882" w14:paraId="472F0E13" w14:textId="77777777" w:rsidTr="00A223BD">
        <w:tc>
          <w:tcPr>
            <w:tcW w:w="2410" w:type="dxa"/>
          </w:tcPr>
          <w:p w14:paraId="383E73F3" w14:textId="77777777" w:rsidR="00D50F5B" w:rsidRPr="00B64882" w:rsidRDefault="00D50F5B" w:rsidP="00D50F5B">
            <w:pPr>
              <w:pStyle w:val="Paragraph"/>
              <w:spacing w:after="120"/>
              <w:rPr>
                <w:color w:val="000000"/>
                <w:szCs w:val="20"/>
              </w:rPr>
            </w:pPr>
            <w:r>
              <w:rPr>
                <w:color w:val="000000"/>
                <w:szCs w:val="20"/>
              </w:rPr>
              <w:t>PTP</w:t>
            </w:r>
          </w:p>
        </w:tc>
        <w:tc>
          <w:tcPr>
            <w:tcW w:w="284" w:type="dxa"/>
          </w:tcPr>
          <w:p w14:paraId="4EF2F77C"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5A0D3174" w14:textId="77777777" w:rsidR="00D50F5B" w:rsidRPr="00B64882" w:rsidRDefault="00D50F5B" w:rsidP="00D50F5B">
            <w:pPr>
              <w:pStyle w:val="Paragraph"/>
              <w:spacing w:after="120"/>
              <w:rPr>
                <w:color w:val="000000"/>
                <w:szCs w:val="20"/>
              </w:rPr>
            </w:pPr>
            <w:r>
              <w:rPr>
                <w:color w:val="000000"/>
                <w:szCs w:val="20"/>
              </w:rPr>
              <w:t>point-to-point</w:t>
            </w:r>
          </w:p>
        </w:tc>
      </w:tr>
      <w:tr w:rsidR="00D50F5B" w:rsidRPr="00B64882" w14:paraId="11F3B595" w14:textId="77777777" w:rsidTr="00A223BD">
        <w:tc>
          <w:tcPr>
            <w:tcW w:w="2410" w:type="dxa"/>
          </w:tcPr>
          <w:p w14:paraId="733BCE0F" w14:textId="77777777" w:rsidR="00D50F5B" w:rsidRPr="00B64882" w:rsidRDefault="00D50F5B" w:rsidP="00D50F5B">
            <w:pPr>
              <w:pStyle w:val="Paragraph"/>
              <w:spacing w:after="120"/>
              <w:rPr>
                <w:color w:val="000000"/>
                <w:szCs w:val="20"/>
              </w:rPr>
            </w:pPr>
            <w:r>
              <w:rPr>
                <w:color w:val="000000"/>
                <w:szCs w:val="20"/>
              </w:rPr>
              <w:t>SDL</w:t>
            </w:r>
          </w:p>
        </w:tc>
        <w:tc>
          <w:tcPr>
            <w:tcW w:w="284" w:type="dxa"/>
          </w:tcPr>
          <w:p w14:paraId="585D0983"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0442CE5F" w14:textId="77777777" w:rsidR="00D50F5B" w:rsidRPr="00B64882" w:rsidRDefault="00D50F5B" w:rsidP="00D50F5B">
            <w:pPr>
              <w:pStyle w:val="Paragraph"/>
              <w:spacing w:after="120"/>
              <w:rPr>
                <w:color w:val="000000"/>
                <w:szCs w:val="20"/>
              </w:rPr>
            </w:pPr>
            <w:r>
              <w:rPr>
                <w:color w:val="000000"/>
                <w:szCs w:val="20"/>
              </w:rPr>
              <w:t>supplemental downlink</w:t>
            </w:r>
          </w:p>
        </w:tc>
      </w:tr>
      <w:tr w:rsidR="00BD2637" w:rsidRPr="00B64882" w14:paraId="2F5D9E5B" w14:textId="77777777" w:rsidTr="00A223BD">
        <w:tc>
          <w:tcPr>
            <w:tcW w:w="2410" w:type="dxa"/>
          </w:tcPr>
          <w:p w14:paraId="4D856329" w14:textId="18F52AD5" w:rsidR="00BD2637" w:rsidRDefault="00BD2637" w:rsidP="00D50F5B">
            <w:pPr>
              <w:pStyle w:val="Paragraph"/>
              <w:spacing w:after="120"/>
              <w:rPr>
                <w:color w:val="000000"/>
                <w:szCs w:val="20"/>
              </w:rPr>
            </w:pPr>
            <w:r>
              <w:rPr>
                <w:color w:val="000000"/>
                <w:szCs w:val="20"/>
              </w:rPr>
              <w:t>Space BOP</w:t>
            </w:r>
          </w:p>
        </w:tc>
        <w:tc>
          <w:tcPr>
            <w:tcW w:w="284" w:type="dxa"/>
          </w:tcPr>
          <w:p w14:paraId="113A0C71" w14:textId="77777777" w:rsidR="00BD2637" w:rsidRDefault="00BD2637" w:rsidP="00D50F5B">
            <w:pPr>
              <w:pStyle w:val="Paragraph"/>
              <w:spacing w:after="120"/>
              <w:rPr>
                <w:rFonts w:asciiTheme="minorHAnsi" w:eastAsiaTheme="minorEastAsia" w:hAnsiTheme="minorHAnsi" w:cstheme="minorBidi"/>
                <w:b/>
                <w:noProof/>
                <w:sz w:val="22"/>
                <w:szCs w:val="22"/>
              </w:rPr>
            </w:pPr>
          </w:p>
        </w:tc>
        <w:tc>
          <w:tcPr>
            <w:tcW w:w="6231" w:type="dxa"/>
          </w:tcPr>
          <w:p w14:paraId="7AFBF7C8" w14:textId="2479818A" w:rsidR="00BD2637" w:rsidRDefault="00A96A3D" w:rsidP="00D50F5B">
            <w:pPr>
              <w:pStyle w:val="Paragraph"/>
              <w:spacing w:after="120"/>
              <w:rPr>
                <w:color w:val="000000"/>
                <w:szCs w:val="20"/>
              </w:rPr>
            </w:pPr>
            <w:hyperlink r:id="rId66" w:history="1">
              <w:r w:rsidR="00BD2637" w:rsidRPr="00BD2637">
                <w:rPr>
                  <w:rStyle w:val="Hyperlink"/>
                  <w:szCs w:val="20"/>
                </w:rPr>
                <w:t>Space business operating procedure</w:t>
              </w:r>
            </w:hyperlink>
          </w:p>
        </w:tc>
      </w:tr>
      <w:tr w:rsidR="00D50F5B" w:rsidRPr="00B64882" w14:paraId="27897F71" w14:textId="77777777" w:rsidTr="00A223BD">
        <w:tc>
          <w:tcPr>
            <w:tcW w:w="2410" w:type="dxa"/>
          </w:tcPr>
          <w:p w14:paraId="4D89C8E7" w14:textId="77777777" w:rsidR="00D50F5B" w:rsidRPr="00B64882" w:rsidRDefault="00D50F5B" w:rsidP="00D50F5B">
            <w:pPr>
              <w:pStyle w:val="Paragraph"/>
              <w:spacing w:after="120"/>
              <w:rPr>
                <w:color w:val="000000"/>
                <w:szCs w:val="20"/>
              </w:rPr>
            </w:pPr>
            <w:r>
              <w:rPr>
                <w:color w:val="000000"/>
                <w:szCs w:val="20"/>
              </w:rPr>
              <w:t>Spectrum Plan</w:t>
            </w:r>
          </w:p>
        </w:tc>
        <w:tc>
          <w:tcPr>
            <w:tcW w:w="284" w:type="dxa"/>
          </w:tcPr>
          <w:p w14:paraId="39ED3377" w14:textId="77777777" w:rsidR="00D50F5B" w:rsidRDefault="00D50F5B" w:rsidP="00D50F5B">
            <w:pPr>
              <w:pStyle w:val="Paragraph"/>
              <w:spacing w:after="120"/>
              <w:rPr>
                <w:rFonts w:asciiTheme="minorHAnsi" w:eastAsiaTheme="minorEastAsia" w:hAnsiTheme="minorHAnsi" w:cstheme="minorBidi"/>
                <w:b/>
                <w:noProof/>
                <w:sz w:val="22"/>
                <w:szCs w:val="22"/>
              </w:rPr>
            </w:pPr>
          </w:p>
        </w:tc>
        <w:tc>
          <w:tcPr>
            <w:tcW w:w="6231" w:type="dxa"/>
          </w:tcPr>
          <w:p w14:paraId="5BDC2522" w14:textId="71DE98FE" w:rsidR="00D50F5B" w:rsidRPr="00B64882" w:rsidRDefault="00A96A3D" w:rsidP="00D50F5B">
            <w:pPr>
              <w:pStyle w:val="Paragraph"/>
              <w:spacing w:after="120"/>
              <w:rPr>
                <w:color w:val="000000"/>
                <w:szCs w:val="20"/>
              </w:rPr>
            </w:pPr>
            <w:hyperlink r:id="rId67" w:history="1">
              <w:r w:rsidR="00031558" w:rsidRPr="005D444D">
                <w:rPr>
                  <w:rStyle w:val="Hyperlink"/>
                  <w:szCs w:val="20"/>
                </w:rPr>
                <w:t>Australian Radiofrequency Spectrum Plan 2021</w:t>
              </w:r>
            </w:hyperlink>
          </w:p>
        </w:tc>
      </w:tr>
      <w:tr w:rsidR="00D50F5B" w:rsidRPr="00B64882" w14:paraId="07E42AD1" w14:textId="77777777" w:rsidTr="00A223BD">
        <w:tc>
          <w:tcPr>
            <w:tcW w:w="2410" w:type="dxa"/>
          </w:tcPr>
          <w:p w14:paraId="60EACFB7" w14:textId="77777777" w:rsidR="00D50F5B" w:rsidRPr="00B64882" w:rsidRDefault="00D50F5B" w:rsidP="00990FAD">
            <w:pPr>
              <w:pStyle w:val="Paragraph"/>
              <w:keepNext/>
              <w:keepLines/>
              <w:spacing w:after="120"/>
              <w:rPr>
                <w:color w:val="000000"/>
                <w:szCs w:val="20"/>
              </w:rPr>
            </w:pPr>
            <w:r>
              <w:rPr>
                <w:color w:val="000000"/>
                <w:szCs w:val="20"/>
              </w:rPr>
              <w:t>TDD</w:t>
            </w:r>
          </w:p>
        </w:tc>
        <w:tc>
          <w:tcPr>
            <w:tcW w:w="284" w:type="dxa"/>
          </w:tcPr>
          <w:p w14:paraId="2B2F8C21" w14:textId="77777777" w:rsidR="00D50F5B" w:rsidRDefault="00D50F5B" w:rsidP="00990FAD">
            <w:pPr>
              <w:pStyle w:val="Paragraph"/>
              <w:keepNext/>
              <w:keepLines/>
              <w:spacing w:after="120"/>
              <w:rPr>
                <w:rFonts w:asciiTheme="minorHAnsi" w:eastAsiaTheme="minorEastAsia" w:hAnsiTheme="minorHAnsi" w:cstheme="minorBidi"/>
                <w:b/>
                <w:noProof/>
                <w:sz w:val="22"/>
                <w:szCs w:val="22"/>
              </w:rPr>
            </w:pPr>
          </w:p>
        </w:tc>
        <w:tc>
          <w:tcPr>
            <w:tcW w:w="6231" w:type="dxa"/>
          </w:tcPr>
          <w:p w14:paraId="5A1F9000" w14:textId="77777777" w:rsidR="00D50F5B" w:rsidRPr="00B64882" w:rsidRDefault="00D50F5B" w:rsidP="00990FAD">
            <w:pPr>
              <w:pStyle w:val="Paragraph"/>
              <w:keepNext/>
              <w:keepLines/>
              <w:spacing w:after="120"/>
              <w:rPr>
                <w:color w:val="000000"/>
                <w:szCs w:val="20"/>
              </w:rPr>
            </w:pPr>
            <w:r>
              <w:rPr>
                <w:color w:val="000000"/>
                <w:szCs w:val="20"/>
              </w:rPr>
              <w:t>time division duplex</w:t>
            </w:r>
          </w:p>
        </w:tc>
      </w:tr>
      <w:tr w:rsidR="00D50F5B" w:rsidRPr="00B64882" w14:paraId="46AFA7C0" w14:textId="77777777" w:rsidTr="00A223BD">
        <w:tc>
          <w:tcPr>
            <w:tcW w:w="2410" w:type="dxa"/>
          </w:tcPr>
          <w:p w14:paraId="6EA6DAC6" w14:textId="77777777" w:rsidR="00D50F5B" w:rsidRPr="00B64882" w:rsidRDefault="00D50F5B" w:rsidP="00990FAD">
            <w:pPr>
              <w:pStyle w:val="Paragraph"/>
              <w:keepNext/>
              <w:keepLines/>
              <w:spacing w:after="120"/>
              <w:rPr>
                <w:color w:val="000000"/>
                <w:szCs w:val="20"/>
              </w:rPr>
            </w:pPr>
            <w:r>
              <w:rPr>
                <w:color w:val="000000"/>
                <w:szCs w:val="20"/>
              </w:rPr>
              <w:t>USO</w:t>
            </w:r>
          </w:p>
        </w:tc>
        <w:tc>
          <w:tcPr>
            <w:tcW w:w="284" w:type="dxa"/>
          </w:tcPr>
          <w:p w14:paraId="1223DA04" w14:textId="77777777" w:rsidR="00D50F5B" w:rsidRDefault="00D50F5B" w:rsidP="00990FAD">
            <w:pPr>
              <w:pStyle w:val="Paragraph"/>
              <w:keepNext/>
              <w:keepLines/>
              <w:spacing w:after="120"/>
              <w:rPr>
                <w:rFonts w:asciiTheme="minorHAnsi" w:eastAsiaTheme="minorEastAsia" w:hAnsiTheme="minorHAnsi" w:cstheme="minorBidi"/>
                <w:b/>
                <w:noProof/>
                <w:sz w:val="22"/>
                <w:szCs w:val="22"/>
              </w:rPr>
            </w:pPr>
          </w:p>
        </w:tc>
        <w:tc>
          <w:tcPr>
            <w:tcW w:w="6231" w:type="dxa"/>
          </w:tcPr>
          <w:p w14:paraId="046F8E38" w14:textId="77777777" w:rsidR="00D50F5B" w:rsidRPr="00B64882" w:rsidRDefault="00D50F5B" w:rsidP="00990FAD">
            <w:pPr>
              <w:pStyle w:val="Paragraph"/>
              <w:keepNext/>
              <w:keepLines/>
              <w:spacing w:after="120"/>
              <w:rPr>
                <w:color w:val="000000"/>
                <w:szCs w:val="20"/>
              </w:rPr>
            </w:pPr>
            <w:r>
              <w:rPr>
                <w:color w:val="000000"/>
                <w:szCs w:val="20"/>
              </w:rPr>
              <w:t>universal service obligation</w:t>
            </w:r>
          </w:p>
        </w:tc>
      </w:tr>
      <w:tr w:rsidR="00D50F5B" w:rsidRPr="00B64882" w14:paraId="3F0C9054" w14:textId="77777777" w:rsidTr="00A223BD">
        <w:tc>
          <w:tcPr>
            <w:tcW w:w="2410" w:type="dxa"/>
          </w:tcPr>
          <w:p w14:paraId="5BC34D6F" w14:textId="77777777" w:rsidR="00D50F5B" w:rsidRPr="00B64882" w:rsidRDefault="00D50F5B" w:rsidP="00990FAD">
            <w:pPr>
              <w:pStyle w:val="Paragraph"/>
              <w:keepNext/>
              <w:keepLines/>
              <w:spacing w:after="120"/>
              <w:rPr>
                <w:color w:val="000000"/>
                <w:szCs w:val="20"/>
              </w:rPr>
            </w:pPr>
            <w:r>
              <w:rPr>
                <w:color w:val="000000"/>
                <w:szCs w:val="20"/>
              </w:rPr>
              <w:t>WA WBB</w:t>
            </w:r>
          </w:p>
        </w:tc>
        <w:tc>
          <w:tcPr>
            <w:tcW w:w="284" w:type="dxa"/>
          </w:tcPr>
          <w:p w14:paraId="6E7E8F9C" w14:textId="77777777" w:rsidR="00D50F5B" w:rsidRDefault="00D50F5B" w:rsidP="00990FAD">
            <w:pPr>
              <w:pStyle w:val="Paragraph"/>
              <w:keepNext/>
              <w:keepLines/>
              <w:spacing w:after="120"/>
              <w:rPr>
                <w:rFonts w:asciiTheme="minorHAnsi" w:eastAsiaTheme="minorEastAsia" w:hAnsiTheme="minorHAnsi" w:cstheme="minorBidi"/>
                <w:b/>
                <w:noProof/>
                <w:sz w:val="22"/>
                <w:szCs w:val="22"/>
              </w:rPr>
            </w:pPr>
          </w:p>
        </w:tc>
        <w:tc>
          <w:tcPr>
            <w:tcW w:w="6231" w:type="dxa"/>
          </w:tcPr>
          <w:p w14:paraId="08585048" w14:textId="77777777" w:rsidR="00D50F5B" w:rsidRPr="00B64882" w:rsidRDefault="00D50F5B" w:rsidP="00990FAD">
            <w:pPr>
              <w:pStyle w:val="Paragraph"/>
              <w:keepNext/>
              <w:keepLines/>
              <w:spacing w:after="120"/>
              <w:rPr>
                <w:color w:val="000000"/>
                <w:szCs w:val="20"/>
              </w:rPr>
            </w:pPr>
            <w:r>
              <w:rPr>
                <w:color w:val="000000"/>
                <w:szCs w:val="20"/>
              </w:rPr>
              <w:t>wide-area wireless broadband</w:t>
            </w:r>
          </w:p>
        </w:tc>
      </w:tr>
      <w:tr w:rsidR="00D50F5B" w:rsidRPr="00B64882" w14:paraId="4A6E673D" w14:textId="77777777" w:rsidTr="00A223BD">
        <w:tc>
          <w:tcPr>
            <w:tcW w:w="2410" w:type="dxa"/>
          </w:tcPr>
          <w:p w14:paraId="6009CCDE" w14:textId="77777777" w:rsidR="00D50F5B" w:rsidRPr="00B64882" w:rsidRDefault="00D50F5B" w:rsidP="00990FAD">
            <w:pPr>
              <w:pStyle w:val="Paragraph"/>
              <w:keepNext/>
              <w:keepLines/>
              <w:spacing w:after="120"/>
              <w:rPr>
                <w:color w:val="000000"/>
                <w:szCs w:val="20"/>
              </w:rPr>
            </w:pPr>
            <w:r>
              <w:rPr>
                <w:color w:val="000000"/>
                <w:szCs w:val="20"/>
              </w:rPr>
              <w:t>WBB</w:t>
            </w:r>
          </w:p>
        </w:tc>
        <w:tc>
          <w:tcPr>
            <w:tcW w:w="284" w:type="dxa"/>
          </w:tcPr>
          <w:p w14:paraId="73053F21" w14:textId="77777777" w:rsidR="00D50F5B" w:rsidRDefault="00D50F5B" w:rsidP="00990FAD">
            <w:pPr>
              <w:pStyle w:val="Paragraph"/>
              <w:keepNext/>
              <w:keepLines/>
              <w:spacing w:after="120"/>
              <w:rPr>
                <w:rFonts w:asciiTheme="minorHAnsi" w:eastAsiaTheme="minorEastAsia" w:hAnsiTheme="minorHAnsi" w:cstheme="minorBidi"/>
                <w:b/>
                <w:noProof/>
                <w:sz w:val="22"/>
                <w:szCs w:val="22"/>
              </w:rPr>
            </w:pPr>
          </w:p>
        </w:tc>
        <w:tc>
          <w:tcPr>
            <w:tcW w:w="6231" w:type="dxa"/>
          </w:tcPr>
          <w:p w14:paraId="2B53D711" w14:textId="77777777" w:rsidR="00D50F5B" w:rsidRPr="00B64882" w:rsidRDefault="00D50F5B" w:rsidP="00990FAD">
            <w:pPr>
              <w:pStyle w:val="Paragraph"/>
              <w:keepNext/>
              <w:keepLines/>
              <w:spacing w:after="120"/>
              <w:rPr>
                <w:color w:val="000000"/>
                <w:szCs w:val="20"/>
              </w:rPr>
            </w:pPr>
            <w:r>
              <w:rPr>
                <w:color w:val="000000"/>
                <w:szCs w:val="20"/>
              </w:rPr>
              <w:t>wireless broadband</w:t>
            </w:r>
          </w:p>
        </w:tc>
      </w:tr>
      <w:tr w:rsidR="00D50F5B" w:rsidRPr="00B64882" w14:paraId="74D2D807" w14:textId="77777777" w:rsidTr="00A223BD">
        <w:tc>
          <w:tcPr>
            <w:tcW w:w="2410" w:type="dxa"/>
          </w:tcPr>
          <w:p w14:paraId="087B749E" w14:textId="77777777" w:rsidR="00D50F5B" w:rsidRPr="00B64882" w:rsidRDefault="00D50F5B" w:rsidP="00990FAD">
            <w:pPr>
              <w:pStyle w:val="Paragraph"/>
              <w:keepNext/>
              <w:keepLines/>
              <w:spacing w:after="120"/>
              <w:rPr>
                <w:color w:val="000000"/>
                <w:szCs w:val="20"/>
              </w:rPr>
            </w:pPr>
            <w:r>
              <w:rPr>
                <w:color w:val="000000"/>
                <w:szCs w:val="20"/>
              </w:rPr>
              <w:t>WRC</w:t>
            </w:r>
          </w:p>
        </w:tc>
        <w:tc>
          <w:tcPr>
            <w:tcW w:w="284" w:type="dxa"/>
          </w:tcPr>
          <w:p w14:paraId="033582A1" w14:textId="77777777" w:rsidR="00D50F5B" w:rsidRDefault="00D50F5B" w:rsidP="00990FAD">
            <w:pPr>
              <w:pStyle w:val="Paragraph"/>
              <w:keepNext/>
              <w:keepLines/>
              <w:spacing w:after="120"/>
              <w:rPr>
                <w:rFonts w:asciiTheme="minorHAnsi" w:eastAsiaTheme="minorEastAsia" w:hAnsiTheme="minorHAnsi" w:cstheme="minorBidi"/>
                <w:b/>
                <w:noProof/>
                <w:sz w:val="22"/>
                <w:szCs w:val="22"/>
              </w:rPr>
            </w:pPr>
          </w:p>
        </w:tc>
        <w:tc>
          <w:tcPr>
            <w:tcW w:w="6231" w:type="dxa"/>
          </w:tcPr>
          <w:p w14:paraId="36E11AED" w14:textId="77777777" w:rsidR="00D50F5B" w:rsidRPr="00B64882" w:rsidRDefault="00D50F5B" w:rsidP="00990FAD">
            <w:pPr>
              <w:pStyle w:val="Paragraph"/>
              <w:keepNext/>
              <w:keepLines/>
              <w:spacing w:after="120"/>
              <w:rPr>
                <w:color w:val="000000"/>
                <w:szCs w:val="20"/>
              </w:rPr>
            </w:pPr>
            <w:r>
              <w:rPr>
                <w:color w:val="000000"/>
                <w:szCs w:val="20"/>
              </w:rPr>
              <w:t>World Radiocommunication Conference</w:t>
            </w:r>
          </w:p>
        </w:tc>
      </w:tr>
    </w:tbl>
    <w:p w14:paraId="7D6A8D91" w14:textId="77777777" w:rsidR="00D3744E" w:rsidRPr="00842BB4" w:rsidRDefault="00D3744E" w:rsidP="00D3744E"/>
    <w:p w14:paraId="7BC5E3C4" w14:textId="77777777" w:rsidR="00D3744E" w:rsidRPr="00BE29EE" w:rsidRDefault="00D3744E" w:rsidP="00D3744E">
      <w:pPr>
        <w:pStyle w:val="Heading1"/>
      </w:pPr>
      <w:bookmarkStart w:id="119" w:name="_Appendix_A:_Summary"/>
      <w:bookmarkStart w:id="120" w:name="_Appendix_A:_List"/>
      <w:bookmarkStart w:id="121" w:name="_Toc43214816"/>
      <w:bookmarkStart w:id="122" w:name="_Toc117870141"/>
      <w:bookmarkStart w:id="123" w:name="_Toc118785131"/>
      <w:bookmarkStart w:id="124" w:name="_Toc120600066"/>
      <w:bookmarkStart w:id="125" w:name="_Toc153793201"/>
      <w:bookmarkStart w:id="126" w:name="_Ref40264417"/>
      <w:bookmarkEnd w:id="119"/>
      <w:bookmarkEnd w:id="120"/>
      <w:r w:rsidRPr="00BE29EE">
        <w:t xml:space="preserve">Appendix A: </w:t>
      </w:r>
      <w:r>
        <w:t>List</w:t>
      </w:r>
      <w:r w:rsidRPr="00BE29EE">
        <w:t xml:space="preserve"> of </w:t>
      </w:r>
      <w:bookmarkEnd w:id="121"/>
      <w:r>
        <w:t>respondents</w:t>
      </w:r>
      <w:bookmarkEnd w:id="122"/>
      <w:bookmarkEnd w:id="123"/>
      <w:bookmarkEnd w:id="124"/>
      <w:bookmarkEnd w:id="125"/>
    </w:p>
    <w:bookmarkEnd w:id="118"/>
    <w:bookmarkEnd w:id="126"/>
    <w:p w14:paraId="71BFCC36" w14:textId="3A51A2A6" w:rsidR="00D3744E" w:rsidRPr="00576242" w:rsidRDefault="00D3744E" w:rsidP="00D3744E">
      <w:pPr>
        <w:pStyle w:val="Paragraph"/>
      </w:pPr>
      <w:r>
        <w:t>We</w:t>
      </w:r>
      <w:r w:rsidRPr="00576242">
        <w:t xml:space="preserve"> </w:t>
      </w:r>
      <w:r w:rsidR="00B94C0D">
        <w:t>o</w:t>
      </w:r>
      <w:r>
        <w:t>pened the</w:t>
      </w:r>
      <w:r w:rsidRPr="00576242">
        <w:t xml:space="preserve"> consultation</w:t>
      </w:r>
      <w:r w:rsidR="009E1784">
        <w:t xml:space="preserve"> for our options paper,</w:t>
      </w:r>
      <w:r w:rsidRPr="00576242">
        <w:t xml:space="preserve"> </w:t>
      </w:r>
      <w:hyperlink r:id="rId68" w:history="1">
        <w:r w:rsidR="00DD0664" w:rsidRPr="00BA69B3">
          <w:rPr>
            <w:rStyle w:val="Hyperlink"/>
            <w:i/>
            <w:iCs/>
          </w:rPr>
          <w:t>Review of the 1.5 GHz extended MSS L-band options paper</w:t>
        </w:r>
      </w:hyperlink>
      <w:r w:rsidR="00DD0664" w:rsidRPr="00BA69B3">
        <w:t xml:space="preserve"> </w:t>
      </w:r>
      <w:r w:rsidRPr="00576242">
        <w:t xml:space="preserve">on </w:t>
      </w:r>
      <w:r w:rsidR="00DD0664">
        <w:t>16 August</w:t>
      </w:r>
      <w:r w:rsidRPr="00576242">
        <w:t xml:space="preserve"> 202</w:t>
      </w:r>
      <w:r w:rsidR="00DD0664">
        <w:t>3</w:t>
      </w:r>
      <w:r w:rsidRPr="00576242">
        <w:t xml:space="preserve">. The consultation period </w:t>
      </w:r>
      <w:r>
        <w:t>form</w:t>
      </w:r>
      <w:r w:rsidR="009A5187">
        <w:t>ally</w:t>
      </w:r>
      <w:r>
        <w:t xml:space="preserve"> </w:t>
      </w:r>
      <w:r w:rsidRPr="00576242">
        <w:t xml:space="preserve">closed on </w:t>
      </w:r>
      <w:r w:rsidR="00DD0664">
        <w:t>20 September</w:t>
      </w:r>
      <w:r w:rsidRPr="00576242">
        <w:t xml:space="preserve"> 202</w:t>
      </w:r>
      <w:r w:rsidR="00104B0B">
        <w:t>3</w:t>
      </w:r>
      <w:r w:rsidRPr="00576242">
        <w:t xml:space="preserve">. </w:t>
      </w:r>
      <w:r>
        <w:t xml:space="preserve">We received </w:t>
      </w:r>
      <w:r w:rsidR="00840121">
        <w:t>8</w:t>
      </w:r>
      <w:r w:rsidRPr="00576242">
        <w:t xml:space="preserve"> </w:t>
      </w:r>
      <w:r w:rsidR="009A5187">
        <w:t xml:space="preserve">responses </w:t>
      </w:r>
      <w:r w:rsidRPr="00576242">
        <w:t>from the following stakeholders</w:t>
      </w:r>
      <w:r w:rsidR="00A763AE">
        <w:t>.</w:t>
      </w:r>
    </w:p>
    <w:p w14:paraId="5C61553A" w14:textId="7F65D681" w:rsidR="000C2B7D" w:rsidRDefault="000C2B7D" w:rsidP="003671B6">
      <w:pPr>
        <w:pStyle w:val="ListBullet"/>
        <w:numPr>
          <w:ilvl w:val="0"/>
          <w:numId w:val="17"/>
        </w:numPr>
      </w:pPr>
      <w:r>
        <w:t>A</w:t>
      </w:r>
      <w:r w:rsidR="00BB65AF">
        <w:t>ustralian Maritime Safety Authority (AMSA)</w:t>
      </w:r>
    </w:p>
    <w:p w14:paraId="30F14B59" w14:textId="77777777" w:rsidR="00D3744E" w:rsidRPr="004C35AB" w:rsidRDefault="00D3744E" w:rsidP="003671B6">
      <w:pPr>
        <w:pStyle w:val="ListBullet"/>
        <w:numPr>
          <w:ilvl w:val="0"/>
          <w:numId w:val="17"/>
        </w:numPr>
      </w:pPr>
      <w:r w:rsidRPr="004C35AB">
        <w:t>Australian Mobile Telecommunications Association (AMTA)</w:t>
      </w:r>
    </w:p>
    <w:p w14:paraId="55CC7DAC" w14:textId="0C04F3AE" w:rsidR="00D3744E" w:rsidRPr="00CB7598" w:rsidRDefault="00F71B36" w:rsidP="003671B6">
      <w:pPr>
        <w:pStyle w:val="ListBullet"/>
        <w:numPr>
          <w:ilvl w:val="0"/>
          <w:numId w:val="17"/>
        </w:numPr>
      </w:pPr>
      <w:r>
        <w:t>Communications Alliance Satellite Service Working Group (CA SSWG)</w:t>
      </w:r>
    </w:p>
    <w:p w14:paraId="4CD19122" w14:textId="05F123DE" w:rsidR="00D3744E" w:rsidRPr="00CB7598" w:rsidRDefault="0006027C" w:rsidP="003671B6">
      <w:pPr>
        <w:pStyle w:val="ListBullet"/>
        <w:numPr>
          <w:ilvl w:val="0"/>
          <w:numId w:val="17"/>
        </w:numPr>
      </w:pPr>
      <w:r>
        <w:t>Defence Spectrum Office, Department of Defence</w:t>
      </w:r>
    </w:p>
    <w:p w14:paraId="6CE44D9F" w14:textId="3D0BB7A3" w:rsidR="000C2B7D" w:rsidRDefault="001B4314" w:rsidP="003671B6">
      <w:pPr>
        <w:pStyle w:val="ListBullet"/>
        <w:numPr>
          <w:ilvl w:val="0"/>
          <w:numId w:val="17"/>
        </w:numPr>
      </w:pPr>
      <w:r>
        <w:t>Omnispace Australia</w:t>
      </w:r>
    </w:p>
    <w:p w14:paraId="2FB5E2D2" w14:textId="6986B3A7" w:rsidR="00534BB3" w:rsidRDefault="001B4314" w:rsidP="003671B6">
      <w:pPr>
        <w:pStyle w:val="ListBullet"/>
        <w:numPr>
          <w:ilvl w:val="0"/>
          <w:numId w:val="17"/>
        </w:numPr>
      </w:pPr>
      <w:r>
        <w:t>Optus</w:t>
      </w:r>
    </w:p>
    <w:p w14:paraId="23F178F4" w14:textId="4E556CF5" w:rsidR="00FB5429" w:rsidRDefault="001B4314" w:rsidP="003671B6">
      <w:pPr>
        <w:pStyle w:val="ListBullet"/>
        <w:numPr>
          <w:ilvl w:val="0"/>
          <w:numId w:val="17"/>
        </w:numPr>
      </w:pPr>
      <w:r>
        <w:t xml:space="preserve">Telstra </w:t>
      </w:r>
      <w:r w:rsidR="006C5CED">
        <w:t xml:space="preserve">Group </w:t>
      </w:r>
      <w:r>
        <w:t>Limited</w:t>
      </w:r>
      <w:r w:rsidR="006C5CED">
        <w:t xml:space="preserve"> (Telstra)</w:t>
      </w:r>
    </w:p>
    <w:p w14:paraId="0B126E51" w14:textId="082BC0E2" w:rsidR="00FB5429" w:rsidRDefault="006C5CED" w:rsidP="00FB5429">
      <w:pPr>
        <w:pStyle w:val="ListBullet"/>
        <w:numPr>
          <w:ilvl w:val="0"/>
          <w:numId w:val="17"/>
        </w:numPr>
        <w:spacing w:after="240"/>
        <w:ind w:left="357" w:hanging="357"/>
      </w:pPr>
      <w:r>
        <w:t>Viasat</w:t>
      </w:r>
      <w:r w:rsidR="00721E0C">
        <w:t xml:space="preserve"> + Inmarsat (Viasat)</w:t>
      </w:r>
    </w:p>
    <w:p w14:paraId="0E79011E" w14:textId="111AFBED" w:rsidR="00030DEB" w:rsidRPr="00CB7598" w:rsidRDefault="00030DEB" w:rsidP="00840121">
      <w:pPr>
        <w:pStyle w:val="Paragraph"/>
      </w:pPr>
      <w:r>
        <w:t>We</w:t>
      </w:r>
      <w:r w:rsidRPr="00576242">
        <w:t xml:space="preserve"> </w:t>
      </w:r>
      <w:r>
        <w:t xml:space="preserve">opened </w:t>
      </w:r>
      <w:r w:rsidR="00A763AE">
        <w:t xml:space="preserve">a </w:t>
      </w:r>
      <w:r w:rsidR="008E4152">
        <w:t>‘</w:t>
      </w:r>
      <w:r w:rsidR="00A763AE">
        <w:t>reply to comment</w:t>
      </w:r>
      <w:r w:rsidR="008E4152">
        <w:t>’</w:t>
      </w:r>
      <w:r w:rsidR="00A763AE">
        <w:t xml:space="preserve"> period on the </w:t>
      </w:r>
      <w:r w:rsidR="009A5187">
        <w:t>responses</w:t>
      </w:r>
      <w:r w:rsidR="00A763AE">
        <w:t xml:space="preserve"> received to the </w:t>
      </w:r>
      <w:r w:rsidR="008A6288">
        <w:t xml:space="preserve">options paper </w:t>
      </w:r>
      <w:hyperlink r:id="rId69" w:history="1"/>
      <w:r w:rsidRPr="00576242">
        <w:t xml:space="preserve">on </w:t>
      </w:r>
      <w:r w:rsidR="00A763AE">
        <w:t>2</w:t>
      </w:r>
      <w:r w:rsidR="00FA331A">
        <w:t>8 September</w:t>
      </w:r>
      <w:r w:rsidR="00A763AE">
        <w:t xml:space="preserve"> 2023</w:t>
      </w:r>
      <w:r w:rsidRPr="00576242">
        <w:t>.</w:t>
      </w:r>
      <w:r w:rsidR="00A763AE">
        <w:t xml:space="preserve"> The reply</w:t>
      </w:r>
      <w:r w:rsidR="00A763AE" w:rsidDel="009A5187">
        <w:t xml:space="preserve"> </w:t>
      </w:r>
      <w:r w:rsidR="00A763AE">
        <w:t>period closed on 2</w:t>
      </w:r>
      <w:r w:rsidR="00FA331A">
        <w:t>5 October</w:t>
      </w:r>
      <w:r w:rsidR="00A763AE">
        <w:t xml:space="preserve"> 2023</w:t>
      </w:r>
      <w:r w:rsidRPr="00576242">
        <w:t xml:space="preserve">. </w:t>
      </w:r>
      <w:r>
        <w:t xml:space="preserve">We received </w:t>
      </w:r>
      <w:r w:rsidR="00C14D0D">
        <w:br/>
        <w:t xml:space="preserve">one </w:t>
      </w:r>
      <w:r w:rsidR="009A5187">
        <w:t>rep</w:t>
      </w:r>
      <w:r w:rsidR="00FA331A">
        <w:t>ly</w:t>
      </w:r>
      <w:r w:rsidR="00FB5429">
        <w:t>.</w:t>
      </w:r>
    </w:p>
    <w:p w14:paraId="515446A9" w14:textId="77777777" w:rsidR="00B94C0D" w:rsidRDefault="00B94C0D">
      <w:pPr>
        <w:spacing w:after="0" w:line="240" w:lineRule="auto"/>
        <w:rPr>
          <w:rStyle w:val="Hyperlink"/>
          <w:color w:val="auto"/>
          <w:u w:val="none"/>
        </w:rPr>
      </w:pPr>
    </w:p>
    <w:p w14:paraId="033FB435" w14:textId="74410B54" w:rsidR="00A038AD" w:rsidRDefault="00A038AD">
      <w:pPr>
        <w:spacing w:after="0" w:line="240" w:lineRule="auto"/>
        <w:rPr>
          <w:rStyle w:val="Hyperlink"/>
          <w:rFonts w:cs="Arial"/>
          <w:color w:val="auto"/>
          <w:u w:val="none"/>
        </w:rPr>
      </w:pPr>
      <w:r>
        <w:rPr>
          <w:rStyle w:val="Hyperlink"/>
          <w:color w:val="auto"/>
          <w:u w:val="none"/>
        </w:rPr>
        <w:br w:type="page"/>
      </w:r>
    </w:p>
    <w:p w14:paraId="49D38EA7" w14:textId="484CD521" w:rsidR="003E716D" w:rsidRPr="00E162C4" w:rsidRDefault="00A038AD" w:rsidP="003E716D">
      <w:pPr>
        <w:pStyle w:val="Heading1"/>
      </w:pPr>
      <w:bookmarkStart w:id="127" w:name="_Appendix_B:_Summary"/>
      <w:bookmarkStart w:id="128" w:name="_Toc153793202"/>
      <w:bookmarkEnd w:id="127"/>
      <w:r w:rsidRPr="00BE29EE">
        <w:t xml:space="preserve">Appendix </w:t>
      </w:r>
      <w:r>
        <w:t>B</w:t>
      </w:r>
      <w:r w:rsidRPr="00BE29EE">
        <w:t xml:space="preserve">: </w:t>
      </w:r>
      <w:r w:rsidR="003E716D">
        <w:t>Summary of 1.5</w:t>
      </w:r>
      <w:r w:rsidR="00616DDA">
        <w:t> </w:t>
      </w:r>
      <w:r w:rsidR="003E716D">
        <w:t>GHz band arrangements</w:t>
      </w:r>
      <w:bookmarkEnd w:id="128"/>
      <w:r w:rsidR="003E716D">
        <w:t xml:space="preserve"> </w:t>
      </w:r>
    </w:p>
    <w:p w14:paraId="54146892" w14:textId="63E6C325" w:rsidR="003E716D" w:rsidRDefault="003E716D" w:rsidP="003E716D">
      <w:r>
        <w:t xml:space="preserve">A summary of existing arrangements in the 1.5 GHz band is provided in Figure 2 below. A more detailed description is provided in the </w:t>
      </w:r>
      <w:hyperlink r:id="rId70" w:history="1">
        <w:r w:rsidRPr="006A0BBC">
          <w:rPr>
            <w:rStyle w:val="Hyperlink"/>
          </w:rPr>
          <w:t>May 2022 paper</w:t>
        </w:r>
      </w:hyperlink>
      <w:r>
        <w:t xml:space="preserve">. Tables </w:t>
      </w:r>
      <w:r w:rsidR="00043E16">
        <w:t>2 to 4</w:t>
      </w:r>
      <w:r>
        <w:t xml:space="preserve"> also provide a breakdown of licences and licensees in the 1.5 GHz band.</w:t>
      </w:r>
    </w:p>
    <w:p w14:paraId="2DFC82F4" w14:textId="77777777" w:rsidR="003E716D" w:rsidRPr="00000B1E" w:rsidRDefault="003E716D" w:rsidP="003E716D">
      <w:pPr>
        <w:pStyle w:val="Figureheading"/>
      </w:pPr>
      <w:r w:rsidRPr="00000B1E">
        <w:t xml:space="preserve">1.5 GHz </w:t>
      </w:r>
      <w:r>
        <w:t xml:space="preserve">and adjacent </w:t>
      </w:r>
      <w:r w:rsidRPr="00000B1E">
        <w:t xml:space="preserve">band arrangements </w:t>
      </w:r>
    </w:p>
    <w:p w14:paraId="4B38A348" w14:textId="77777777" w:rsidR="003E716D" w:rsidRDefault="003E716D" w:rsidP="003E716D">
      <w:pPr>
        <w:spacing w:after="80"/>
        <w:rPr>
          <w:rFonts w:cs="Arial"/>
        </w:rPr>
      </w:pPr>
      <w:r>
        <w:rPr>
          <w:noProof/>
        </w:rPr>
        <w:drawing>
          <wp:inline distT="0" distB="0" distL="0" distR="0" wp14:anchorId="0173A0FC" wp14:editId="54B356D7">
            <wp:extent cx="5431695" cy="3721678"/>
            <wp:effectExtent l="19050" t="19050" r="0" b="0"/>
            <wp:docPr id="5" name="Picture 5" descr="Figure 2: 1.5 GHz and adjacent band arrang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1.5 GHz and adjacent band arrangements "/>
                    <pic:cNvPicPr/>
                  </pic:nvPicPr>
                  <pic:blipFill>
                    <a:blip r:embed="rId71"/>
                    <a:stretch>
                      <a:fillRect/>
                    </a:stretch>
                  </pic:blipFill>
                  <pic:spPr>
                    <a:xfrm>
                      <a:off x="0" y="0"/>
                      <a:ext cx="5452243" cy="3735757"/>
                    </a:xfrm>
                    <a:prstGeom prst="rect">
                      <a:avLst/>
                    </a:prstGeom>
                    <a:ln>
                      <a:solidFill>
                        <a:schemeClr val="tx1"/>
                      </a:solidFill>
                    </a:ln>
                  </pic:spPr>
                </pic:pic>
              </a:graphicData>
            </a:graphic>
          </wp:inline>
        </w:drawing>
      </w:r>
    </w:p>
    <w:p w14:paraId="56DCD66C" w14:textId="77777777" w:rsidR="003E716D" w:rsidRDefault="003E716D" w:rsidP="003E716D">
      <w:pPr>
        <w:rPr>
          <w:rFonts w:cs="Arial"/>
        </w:rPr>
      </w:pPr>
      <w:r>
        <w:rPr>
          <w:noProof/>
        </w:rPr>
        <w:drawing>
          <wp:inline distT="0" distB="0" distL="0" distR="0" wp14:anchorId="5D769603" wp14:editId="2965D7AB">
            <wp:extent cx="5431724" cy="3031315"/>
            <wp:effectExtent l="19050" t="19050" r="0" b="0"/>
            <wp:docPr id="6" name="Picture 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448081" cy="3040443"/>
                    </a:xfrm>
                    <a:prstGeom prst="rect">
                      <a:avLst/>
                    </a:prstGeom>
                    <a:ln>
                      <a:solidFill>
                        <a:schemeClr val="tx1"/>
                      </a:solidFill>
                    </a:ln>
                  </pic:spPr>
                </pic:pic>
              </a:graphicData>
            </a:graphic>
          </wp:inline>
        </w:drawing>
      </w:r>
    </w:p>
    <w:p w14:paraId="711AE232" w14:textId="20971022" w:rsidR="003E716D" w:rsidRPr="00217D57" w:rsidRDefault="003E716D" w:rsidP="003E716D">
      <w:pPr>
        <w:pStyle w:val="Tableheading"/>
        <w:keepNext w:val="0"/>
      </w:pPr>
      <w:r>
        <w:t>Top 10 PTP licensees in 1427–1535 MHz, at 1 July 2023</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0" w:type="dxa"/>
        </w:tblCellMar>
        <w:tblLook w:val="01E0" w:firstRow="1" w:lastRow="1" w:firstColumn="1" w:lastColumn="1" w:noHBand="0" w:noVBand="0"/>
      </w:tblPr>
      <w:tblGrid>
        <w:gridCol w:w="5240"/>
        <w:gridCol w:w="2410"/>
      </w:tblGrid>
      <w:tr w:rsidR="003E716D" w:rsidRPr="00644C81" w14:paraId="19CC6060" w14:textId="77777777" w:rsidTr="00A223BD">
        <w:trPr>
          <w:tblHeader/>
        </w:trPr>
        <w:tc>
          <w:tcPr>
            <w:tcW w:w="5240" w:type="dxa"/>
            <w:shd w:val="clear" w:color="auto" w:fill="404040" w:themeFill="text1" w:themeFillTint="BF"/>
            <w:tcMar>
              <w:top w:w="28" w:type="dxa"/>
              <w:left w:w="57" w:type="dxa"/>
              <w:bottom w:w="28" w:type="dxa"/>
              <w:right w:w="57" w:type="dxa"/>
            </w:tcMar>
          </w:tcPr>
          <w:p w14:paraId="2F6486C2" w14:textId="77777777" w:rsidR="003E716D" w:rsidRPr="00644C81" w:rsidRDefault="003E716D" w:rsidP="00A223BD">
            <w:pPr>
              <w:spacing w:after="0"/>
              <w:rPr>
                <w:b/>
                <w:color w:val="FFFFFF" w:themeColor="background1"/>
              </w:rPr>
            </w:pPr>
            <w:r>
              <w:rPr>
                <w:b/>
                <w:color w:val="FFFFFF" w:themeColor="background1"/>
              </w:rPr>
              <w:t>Licensee</w:t>
            </w:r>
          </w:p>
        </w:tc>
        <w:tc>
          <w:tcPr>
            <w:tcW w:w="2410" w:type="dxa"/>
            <w:shd w:val="clear" w:color="auto" w:fill="404040" w:themeFill="text1" w:themeFillTint="BF"/>
            <w:tcMar>
              <w:top w:w="28" w:type="dxa"/>
              <w:left w:w="57" w:type="dxa"/>
              <w:bottom w:w="28" w:type="dxa"/>
              <w:right w:w="57" w:type="dxa"/>
            </w:tcMar>
          </w:tcPr>
          <w:p w14:paraId="3E929E36" w14:textId="77777777" w:rsidR="003E716D" w:rsidRPr="00644C81" w:rsidRDefault="003E716D" w:rsidP="00A223BD">
            <w:pPr>
              <w:spacing w:after="0"/>
              <w:jc w:val="right"/>
              <w:rPr>
                <w:b/>
                <w:color w:val="FFFFFF" w:themeColor="background1"/>
              </w:rPr>
            </w:pPr>
            <w:r>
              <w:rPr>
                <w:b/>
                <w:color w:val="FFFFFF" w:themeColor="background1"/>
              </w:rPr>
              <w:t xml:space="preserve">Number of licences </w:t>
            </w:r>
          </w:p>
        </w:tc>
      </w:tr>
      <w:tr w:rsidR="003E716D" w:rsidRPr="00644C81" w14:paraId="1566A104"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509A05C9" w14:textId="77777777" w:rsidR="003E716D" w:rsidRPr="00E54F4F" w:rsidRDefault="003E716D" w:rsidP="00A223BD">
            <w:pPr>
              <w:spacing w:after="0"/>
              <w:rPr>
                <w:rFonts w:cs="Arial"/>
                <w:szCs w:val="20"/>
              </w:rPr>
            </w:pPr>
            <w:r w:rsidRPr="008B2FB3">
              <w:rPr>
                <w:rFonts w:cs="Arial"/>
                <w:color w:val="000000"/>
                <w:szCs w:val="20"/>
              </w:rPr>
              <w:t>Telstra Corporation Limited</w:t>
            </w:r>
          </w:p>
        </w:tc>
        <w:tc>
          <w:tcPr>
            <w:tcW w:w="2410" w:type="dxa"/>
            <w:shd w:val="clear" w:color="auto" w:fill="F2F2F2" w:themeFill="background1" w:themeFillShade="F2"/>
            <w:tcMar>
              <w:top w:w="28" w:type="dxa"/>
              <w:left w:w="57" w:type="dxa"/>
              <w:bottom w:w="28" w:type="dxa"/>
              <w:right w:w="57" w:type="dxa"/>
            </w:tcMar>
            <w:vAlign w:val="bottom"/>
          </w:tcPr>
          <w:p w14:paraId="3FDCD1BA" w14:textId="77777777" w:rsidR="003E716D" w:rsidRPr="00E54F4F" w:rsidRDefault="003E716D" w:rsidP="00A223BD">
            <w:pPr>
              <w:spacing w:after="0"/>
              <w:jc w:val="right"/>
              <w:rPr>
                <w:rFonts w:cs="Arial"/>
                <w:szCs w:val="20"/>
              </w:rPr>
            </w:pPr>
            <w:r w:rsidRPr="008B2FB3">
              <w:rPr>
                <w:rFonts w:cs="Arial"/>
                <w:color w:val="000000"/>
                <w:szCs w:val="20"/>
              </w:rPr>
              <w:t>8</w:t>
            </w:r>
            <w:r>
              <w:rPr>
                <w:rFonts w:cs="Arial"/>
                <w:color w:val="000000"/>
                <w:szCs w:val="20"/>
              </w:rPr>
              <w:t>66</w:t>
            </w:r>
          </w:p>
        </w:tc>
      </w:tr>
      <w:tr w:rsidR="003E716D" w:rsidRPr="00644C81" w14:paraId="1A44F50E" w14:textId="77777777" w:rsidTr="00A223BD">
        <w:trPr>
          <w:trHeight w:val="185"/>
        </w:trPr>
        <w:tc>
          <w:tcPr>
            <w:tcW w:w="5240" w:type="dxa"/>
            <w:shd w:val="clear" w:color="auto" w:fill="auto"/>
            <w:tcMar>
              <w:top w:w="28" w:type="dxa"/>
              <w:left w:w="57" w:type="dxa"/>
              <w:bottom w:w="28" w:type="dxa"/>
              <w:right w:w="57" w:type="dxa"/>
            </w:tcMar>
            <w:vAlign w:val="bottom"/>
          </w:tcPr>
          <w:p w14:paraId="1D3BE521" w14:textId="77777777" w:rsidR="003E716D" w:rsidRPr="003F3F20" w:rsidRDefault="003E716D" w:rsidP="00A223BD">
            <w:pPr>
              <w:spacing w:after="0"/>
              <w:rPr>
                <w:rFonts w:cs="Arial"/>
                <w:color w:val="000000"/>
                <w:szCs w:val="20"/>
              </w:rPr>
            </w:pPr>
            <w:r w:rsidRPr="003F3F20">
              <w:rPr>
                <w:rFonts w:cs="Arial"/>
                <w:color w:val="000000"/>
                <w:szCs w:val="20"/>
              </w:rPr>
              <w:t>University of New South Wales</w:t>
            </w:r>
          </w:p>
        </w:tc>
        <w:tc>
          <w:tcPr>
            <w:tcW w:w="2410" w:type="dxa"/>
            <w:shd w:val="clear" w:color="auto" w:fill="auto"/>
            <w:tcMar>
              <w:top w:w="28" w:type="dxa"/>
              <w:left w:w="57" w:type="dxa"/>
              <w:bottom w:w="28" w:type="dxa"/>
              <w:right w:w="57" w:type="dxa"/>
            </w:tcMar>
            <w:vAlign w:val="bottom"/>
          </w:tcPr>
          <w:p w14:paraId="1DD1F231" w14:textId="77777777" w:rsidR="003E716D" w:rsidRPr="003F3F20" w:rsidRDefault="003E716D" w:rsidP="00A223BD">
            <w:pPr>
              <w:spacing w:after="0"/>
              <w:jc w:val="right"/>
              <w:rPr>
                <w:rFonts w:cs="Arial"/>
                <w:color w:val="000000"/>
                <w:szCs w:val="20"/>
              </w:rPr>
            </w:pPr>
            <w:r w:rsidRPr="008B2FB3">
              <w:rPr>
                <w:rFonts w:cs="Arial"/>
                <w:color w:val="000000"/>
                <w:szCs w:val="20"/>
              </w:rPr>
              <w:t>26</w:t>
            </w:r>
          </w:p>
        </w:tc>
      </w:tr>
      <w:tr w:rsidR="003E716D" w:rsidRPr="00644C81" w14:paraId="2CC58D61"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6279D6DA" w14:textId="77777777" w:rsidR="003E716D" w:rsidRPr="003F3F20" w:rsidRDefault="003E716D" w:rsidP="00A223BD">
            <w:pPr>
              <w:spacing w:after="0"/>
              <w:rPr>
                <w:rFonts w:cs="Arial"/>
                <w:color w:val="000000"/>
                <w:szCs w:val="20"/>
              </w:rPr>
            </w:pPr>
            <w:r w:rsidRPr="003F3F20">
              <w:rPr>
                <w:rFonts w:cs="Arial"/>
                <w:color w:val="000000"/>
                <w:szCs w:val="20"/>
              </w:rPr>
              <w:t>Department of Police &amp; Emergency Management (Tas)</w:t>
            </w:r>
          </w:p>
        </w:tc>
        <w:tc>
          <w:tcPr>
            <w:tcW w:w="2410" w:type="dxa"/>
            <w:shd w:val="clear" w:color="auto" w:fill="F2F2F2" w:themeFill="background1" w:themeFillShade="F2"/>
            <w:tcMar>
              <w:top w:w="28" w:type="dxa"/>
              <w:left w:w="57" w:type="dxa"/>
              <w:bottom w:w="28" w:type="dxa"/>
              <w:right w:w="57" w:type="dxa"/>
            </w:tcMar>
            <w:vAlign w:val="bottom"/>
          </w:tcPr>
          <w:p w14:paraId="77344EF2" w14:textId="77777777" w:rsidR="003E716D" w:rsidRPr="003F3F20" w:rsidRDefault="003E716D" w:rsidP="00A223BD">
            <w:pPr>
              <w:spacing w:after="0"/>
              <w:jc w:val="right"/>
              <w:rPr>
                <w:rFonts w:cs="Arial"/>
                <w:color w:val="000000"/>
                <w:szCs w:val="20"/>
              </w:rPr>
            </w:pPr>
            <w:r w:rsidRPr="008B2FB3">
              <w:rPr>
                <w:rFonts w:cs="Arial"/>
                <w:color w:val="000000"/>
                <w:szCs w:val="20"/>
              </w:rPr>
              <w:t>26</w:t>
            </w:r>
          </w:p>
        </w:tc>
      </w:tr>
      <w:tr w:rsidR="003E716D" w:rsidRPr="00644C81" w14:paraId="42C3D59B" w14:textId="77777777" w:rsidTr="00A223BD">
        <w:trPr>
          <w:trHeight w:val="185"/>
        </w:trPr>
        <w:tc>
          <w:tcPr>
            <w:tcW w:w="5240" w:type="dxa"/>
            <w:shd w:val="clear" w:color="auto" w:fill="auto"/>
            <w:tcMar>
              <w:top w:w="28" w:type="dxa"/>
              <w:left w:w="57" w:type="dxa"/>
              <w:bottom w:w="28" w:type="dxa"/>
              <w:right w:w="57" w:type="dxa"/>
            </w:tcMar>
            <w:vAlign w:val="bottom"/>
          </w:tcPr>
          <w:p w14:paraId="31CD98A2" w14:textId="77777777" w:rsidR="003E716D" w:rsidRPr="003F3F20" w:rsidRDefault="003E716D" w:rsidP="00A223BD">
            <w:pPr>
              <w:spacing w:after="0"/>
              <w:rPr>
                <w:rFonts w:cs="Arial"/>
                <w:color w:val="000000"/>
                <w:szCs w:val="20"/>
              </w:rPr>
            </w:pPr>
            <w:r w:rsidRPr="008B2FB3">
              <w:rPr>
                <w:rFonts w:cs="Arial"/>
                <w:color w:val="000000"/>
                <w:szCs w:val="20"/>
              </w:rPr>
              <w:t>Powercor Australia Ltd</w:t>
            </w:r>
          </w:p>
        </w:tc>
        <w:tc>
          <w:tcPr>
            <w:tcW w:w="2410" w:type="dxa"/>
            <w:shd w:val="clear" w:color="auto" w:fill="auto"/>
            <w:tcMar>
              <w:top w:w="28" w:type="dxa"/>
              <w:left w:w="57" w:type="dxa"/>
              <w:bottom w:w="28" w:type="dxa"/>
              <w:right w:w="57" w:type="dxa"/>
            </w:tcMar>
            <w:vAlign w:val="bottom"/>
          </w:tcPr>
          <w:p w14:paraId="376542E3" w14:textId="77777777" w:rsidR="003E716D" w:rsidRPr="003F3F20" w:rsidRDefault="003E716D" w:rsidP="00A223BD">
            <w:pPr>
              <w:spacing w:after="0"/>
              <w:jc w:val="right"/>
              <w:rPr>
                <w:rFonts w:cs="Arial"/>
                <w:color w:val="000000"/>
                <w:szCs w:val="20"/>
              </w:rPr>
            </w:pPr>
            <w:r w:rsidRPr="008B2FB3">
              <w:rPr>
                <w:rFonts w:cs="Arial"/>
                <w:color w:val="000000"/>
                <w:szCs w:val="20"/>
              </w:rPr>
              <w:t>25</w:t>
            </w:r>
          </w:p>
        </w:tc>
      </w:tr>
      <w:tr w:rsidR="003E716D" w:rsidRPr="00644C81" w14:paraId="1E8C1DE7"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6DE67EA9" w14:textId="77777777" w:rsidR="003E716D" w:rsidRPr="003F3F20" w:rsidRDefault="003E716D" w:rsidP="00A223BD">
            <w:pPr>
              <w:spacing w:after="0"/>
              <w:rPr>
                <w:rFonts w:cs="Arial"/>
                <w:color w:val="000000"/>
                <w:szCs w:val="20"/>
              </w:rPr>
            </w:pPr>
            <w:r w:rsidRPr="008B2FB3">
              <w:rPr>
                <w:rFonts w:cs="Arial"/>
                <w:color w:val="000000"/>
                <w:szCs w:val="20"/>
              </w:rPr>
              <w:t>Essential Energy</w:t>
            </w:r>
          </w:p>
        </w:tc>
        <w:tc>
          <w:tcPr>
            <w:tcW w:w="2410" w:type="dxa"/>
            <w:shd w:val="clear" w:color="auto" w:fill="F2F2F2" w:themeFill="background1" w:themeFillShade="F2"/>
            <w:tcMar>
              <w:top w:w="28" w:type="dxa"/>
              <w:left w:w="57" w:type="dxa"/>
              <w:bottom w:w="28" w:type="dxa"/>
              <w:right w:w="57" w:type="dxa"/>
            </w:tcMar>
            <w:vAlign w:val="bottom"/>
          </w:tcPr>
          <w:p w14:paraId="3E96140D" w14:textId="77777777" w:rsidR="003E716D" w:rsidRPr="003F3F20" w:rsidRDefault="003E716D" w:rsidP="00A223BD">
            <w:pPr>
              <w:spacing w:after="0"/>
              <w:jc w:val="right"/>
              <w:rPr>
                <w:rFonts w:cs="Arial"/>
                <w:color w:val="000000"/>
                <w:szCs w:val="20"/>
              </w:rPr>
            </w:pPr>
            <w:r w:rsidRPr="008B2FB3">
              <w:rPr>
                <w:rFonts w:cs="Arial"/>
                <w:color w:val="000000"/>
                <w:szCs w:val="20"/>
              </w:rPr>
              <w:t>19</w:t>
            </w:r>
          </w:p>
        </w:tc>
      </w:tr>
      <w:tr w:rsidR="003E716D" w:rsidRPr="00644C81" w14:paraId="0D99D283" w14:textId="77777777" w:rsidTr="00A223BD">
        <w:trPr>
          <w:trHeight w:val="185"/>
        </w:trPr>
        <w:tc>
          <w:tcPr>
            <w:tcW w:w="5240" w:type="dxa"/>
            <w:shd w:val="clear" w:color="auto" w:fill="auto"/>
            <w:tcMar>
              <w:top w:w="28" w:type="dxa"/>
              <w:left w:w="57" w:type="dxa"/>
              <w:bottom w:w="28" w:type="dxa"/>
              <w:right w:w="57" w:type="dxa"/>
            </w:tcMar>
            <w:vAlign w:val="bottom"/>
          </w:tcPr>
          <w:p w14:paraId="0063DEF8" w14:textId="77777777" w:rsidR="003E716D" w:rsidRPr="003F3F20" w:rsidRDefault="003E716D" w:rsidP="00A223BD">
            <w:pPr>
              <w:spacing w:after="0"/>
              <w:rPr>
                <w:rFonts w:cs="Arial"/>
                <w:color w:val="000000"/>
                <w:szCs w:val="20"/>
              </w:rPr>
            </w:pPr>
            <w:r w:rsidRPr="008B2FB3">
              <w:rPr>
                <w:rFonts w:cs="Arial"/>
                <w:color w:val="000000"/>
                <w:szCs w:val="20"/>
              </w:rPr>
              <w:t>Queensland Rail Limited</w:t>
            </w:r>
          </w:p>
        </w:tc>
        <w:tc>
          <w:tcPr>
            <w:tcW w:w="2410" w:type="dxa"/>
            <w:shd w:val="clear" w:color="auto" w:fill="auto"/>
            <w:tcMar>
              <w:top w:w="28" w:type="dxa"/>
              <w:left w:w="57" w:type="dxa"/>
              <w:bottom w:w="28" w:type="dxa"/>
              <w:right w:w="57" w:type="dxa"/>
            </w:tcMar>
            <w:vAlign w:val="bottom"/>
          </w:tcPr>
          <w:p w14:paraId="126D7E7A" w14:textId="77777777" w:rsidR="003E716D" w:rsidRPr="003F3F20" w:rsidRDefault="003E716D" w:rsidP="00A223BD">
            <w:pPr>
              <w:spacing w:after="0"/>
              <w:jc w:val="right"/>
              <w:rPr>
                <w:rFonts w:cs="Arial"/>
                <w:color w:val="000000"/>
                <w:szCs w:val="20"/>
              </w:rPr>
            </w:pPr>
            <w:r w:rsidRPr="008B2FB3">
              <w:rPr>
                <w:rFonts w:cs="Arial"/>
                <w:color w:val="000000"/>
                <w:szCs w:val="20"/>
              </w:rPr>
              <w:t>12</w:t>
            </w:r>
          </w:p>
        </w:tc>
      </w:tr>
      <w:tr w:rsidR="003E716D" w:rsidRPr="00644C81" w14:paraId="7D71125A"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612D924F" w14:textId="77777777" w:rsidR="003E716D" w:rsidRPr="003F3F20" w:rsidRDefault="003E716D" w:rsidP="00A223BD">
            <w:pPr>
              <w:spacing w:after="0"/>
              <w:rPr>
                <w:rFonts w:cs="Arial"/>
                <w:color w:val="000000"/>
                <w:szCs w:val="20"/>
              </w:rPr>
            </w:pPr>
            <w:r w:rsidRPr="008B2FB3">
              <w:rPr>
                <w:rFonts w:cs="Arial"/>
                <w:color w:val="000000"/>
                <w:szCs w:val="20"/>
              </w:rPr>
              <w:t>Electricity Networks Corporation</w:t>
            </w:r>
          </w:p>
        </w:tc>
        <w:tc>
          <w:tcPr>
            <w:tcW w:w="2410" w:type="dxa"/>
            <w:shd w:val="clear" w:color="auto" w:fill="F2F2F2" w:themeFill="background1" w:themeFillShade="F2"/>
            <w:tcMar>
              <w:top w:w="28" w:type="dxa"/>
              <w:left w:w="57" w:type="dxa"/>
              <w:bottom w:w="28" w:type="dxa"/>
              <w:right w:w="57" w:type="dxa"/>
            </w:tcMar>
            <w:vAlign w:val="bottom"/>
          </w:tcPr>
          <w:p w14:paraId="2C52BEDE" w14:textId="77777777" w:rsidR="003E716D" w:rsidRPr="003F3F20" w:rsidRDefault="003E716D" w:rsidP="00A223BD">
            <w:pPr>
              <w:spacing w:after="0"/>
              <w:jc w:val="right"/>
              <w:rPr>
                <w:rFonts w:cs="Arial"/>
                <w:color w:val="000000"/>
                <w:szCs w:val="20"/>
              </w:rPr>
            </w:pPr>
            <w:r w:rsidRPr="008B2FB3">
              <w:rPr>
                <w:rFonts w:cs="Arial"/>
                <w:color w:val="000000"/>
                <w:szCs w:val="20"/>
              </w:rPr>
              <w:t>12</w:t>
            </w:r>
          </w:p>
        </w:tc>
      </w:tr>
      <w:tr w:rsidR="003E716D" w:rsidRPr="00644C81" w14:paraId="7EC7C90B" w14:textId="77777777" w:rsidTr="00A223BD">
        <w:trPr>
          <w:trHeight w:val="185"/>
        </w:trPr>
        <w:tc>
          <w:tcPr>
            <w:tcW w:w="5240" w:type="dxa"/>
            <w:shd w:val="clear" w:color="auto" w:fill="auto"/>
            <w:tcMar>
              <w:top w:w="28" w:type="dxa"/>
              <w:left w:w="57" w:type="dxa"/>
              <w:bottom w:w="28" w:type="dxa"/>
              <w:right w:w="57" w:type="dxa"/>
            </w:tcMar>
            <w:vAlign w:val="bottom"/>
          </w:tcPr>
          <w:p w14:paraId="75DA0060" w14:textId="77777777" w:rsidR="003E716D" w:rsidRPr="003F3F20" w:rsidRDefault="003E716D" w:rsidP="00A223BD">
            <w:pPr>
              <w:spacing w:after="0"/>
              <w:rPr>
                <w:rFonts w:cs="Arial"/>
                <w:color w:val="000000"/>
                <w:szCs w:val="20"/>
              </w:rPr>
            </w:pPr>
            <w:r w:rsidRPr="008B2FB3">
              <w:rPr>
                <w:rFonts w:cs="Arial"/>
                <w:color w:val="000000"/>
                <w:szCs w:val="20"/>
              </w:rPr>
              <w:t>Power and Water Corporation</w:t>
            </w:r>
          </w:p>
        </w:tc>
        <w:tc>
          <w:tcPr>
            <w:tcW w:w="2410" w:type="dxa"/>
            <w:shd w:val="clear" w:color="auto" w:fill="auto"/>
            <w:tcMar>
              <w:top w:w="28" w:type="dxa"/>
              <w:left w:w="57" w:type="dxa"/>
              <w:bottom w:w="28" w:type="dxa"/>
              <w:right w:w="57" w:type="dxa"/>
            </w:tcMar>
            <w:vAlign w:val="bottom"/>
          </w:tcPr>
          <w:p w14:paraId="474D627A" w14:textId="77777777" w:rsidR="003E716D" w:rsidRPr="003F3F20" w:rsidRDefault="003E716D" w:rsidP="00A223BD">
            <w:pPr>
              <w:spacing w:after="0"/>
              <w:jc w:val="right"/>
              <w:rPr>
                <w:rFonts w:cs="Arial"/>
                <w:color w:val="000000"/>
                <w:szCs w:val="20"/>
              </w:rPr>
            </w:pPr>
            <w:r w:rsidRPr="008B2FB3">
              <w:rPr>
                <w:rFonts w:cs="Arial"/>
                <w:color w:val="000000"/>
                <w:szCs w:val="20"/>
              </w:rPr>
              <w:t>11</w:t>
            </w:r>
          </w:p>
        </w:tc>
      </w:tr>
      <w:tr w:rsidR="003E716D" w:rsidRPr="00644C81" w14:paraId="142A9305"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5178AC52" w14:textId="77777777" w:rsidR="003E716D" w:rsidRPr="003F3F20" w:rsidRDefault="003E716D" w:rsidP="00A223BD">
            <w:pPr>
              <w:spacing w:after="0"/>
              <w:rPr>
                <w:rFonts w:cs="Arial"/>
                <w:color w:val="000000"/>
                <w:szCs w:val="20"/>
              </w:rPr>
            </w:pPr>
            <w:r w:rsidRPr="003F3F20">
              <w:rPr>
                <w:rFonts w:cs="Arial"/>
                <w:color w:val="000000"/>
                <w:szCs w:val="20"/>
              </w:rPr>
              <w:t>Western Australia Police</w:t>
            </w:r>
          </w:p>
        </w:tc>
        <w:tc>
          <w:tcPr>
            <w:tcW w:w="2410" w:type="dxa"/>
            <w:shd w:val="clear" w:color="auto" w:fill="F2F2F2" w:themeFill="background1" w:themeFillShade="F2"/>
            <w:tcMar>
              <w:top w:w="28" w:type="dxa"/>
              <w:left w:w="57" w:type="dxa"/>
              <w:bottom w:w="28" w:type="dxa"/>
              <w:right w:w="57" w:type="dxa"/>
            </w:tcMar>
            <w:vAlign w:val="bottom"/>
          </w:tcPr>
          <w:p w14:paraId="1D77B369" w14:textId="77777777" w:rsidR="003E716D" w:rsidRPr="003F3F20" w:rsidRDefault="003E716D" w:rsidP="00A223BD">
            <w:pPr>
              <w:spacing w:after="0"/>
              <w:jc w:val="right"/>
              <w:rPr>
                <w:rFonts w:cs="Arial"/>
                <w:color w:val="000000"/>
                <w:szCs w:val="20"/>
              </w:rPr>
            </w:pPr>
            <w:r w:rsidRPr="008B2FB3">
              <w:rPr>
                <w:rFonts w:cs="Arial"/>
                <w:color w:val="000000"/>
                <w:szCs w:val="20"/>
              </w:rPr>
              <w:t>10</w:t>
            </w:r>
          </w:p>
        </w:tc>
      </w:tr>
      <w:tr w:rsidR="003E716D" w:rsidRPr="00644C81" w14:paraId="02B5818F" w14:textId="77777777" w:rsidTr="00A223BD">
        <w:trPr>
          <w:trHeight w:val="185"/>
        </w:trPr>
        <w:tc>
          <w:tcPr>
            <w:tcW w:w="5240" w:type="dxa"/>
            <w:shd w:val="clear" w:color="auto" w:fill="auto"/>
            <w:tcMar>
              <w:top w:w="28" w:type="dxa"/>
              <w:left w:w="57" w:type="dxa"/>
              <w:bottom w:w="28" w:type="dxa"/>
              <w:right w:w="57" w:type="dxa"/>
            </w:tcMar>
            <w:vAlign w:val="bottom"/>
          </w:tcPr>
          <w:p w14:paraId="4056F26B" w14:textId="77777777" w:rsidR="003E716D" w:rsidRPr="003F3F20" w:rsidRDefault="003E716D" w:rsidP="00A223BD">
            <w:pPr>
              <w:spacing w:after="0"/>
              <w:rPr>
                <w:rFonts w:cs="Arial"/>
                <w:color w:val="000000"/>
                <w:szCs w:val="20"/>
              </w:rPr>
            </w:pPr>
            <w:r w:rsidRPr="008B2FB3">
              <w:rPr>
                <w:rFonts w:cs="Arial"/>
                <w:color w:val="000000"/>
                <w:szCs w:val="20"/>
              </w:rPr>
              <w:t>Airservices Australia</w:t>
            </w:r>
          </w:p>
        </w:tc>
        <w:tc>
          <w:tcPr>
            <w:tcW w:w="2410" w:type="dxa"/>
            <w:shd w:val="clear" w:color="auto" w:fill="auto"/>
            <w:tcMar>
              <w:top w:w="28" w:type="dxa"/>
              <w:left w:w="57" w:type="dxa"/>
              <w:bottom w:w="28" w:type="dxa"/>
              <w:right w:w="57" w:type="dxa"/>
            </w:tcMar>
            <w:vAlign w:val="bottom"/>
          </w:tcPr>
          <w:p w14:paraId="629ED746" w14:textId="77777777" w:rsidR="003E716D" w:rsidRPr="003F3F20" w:rsidRDefault="003E716D" w:rsidP="00A223BD">
            <w:pPr>
              <w:spacing w:after="0"/>
              <w:jc w:val="right"/>
              <w:rPr>
                <w:rFonts w:cs="Arial"/>
                <w:color w:val="000000"/>
                <w:szCs w:val="20"/>
              </w:rPr>
            </w:pPr>
            <w:r w:rsidRPr="008B2FB3">
              <w:rPr>
                <w:rFonts w:cs="Arial"/>
                <w:color w:val="000000"/>
                <w:szCs w:val="20"/>
              </w:rPr>
              <w:t>5</w:t>
            </w:r>
          </w:p>
        </w:tc>
      </w:tr>
    </w:tbl>
    <w:p w14:paraId="0837F85C" w14:textId="77777777" w:rsidR="003E716D" w:rsidRDefault="003E716D" w:rsidP="003E716D">
      <w:pPr>
        <w:pStyle w:val="Paragraph"/>
        <w:spacing w:after="0"/>
      </w:pPr>
    </w:p>
    <w:p w14:paraId="663F97BF" w14:textId="1AAACDC4" w:rsidR="003E716D" w:rsidRPr="00217D57" w:rsidRDefault="003E716D" w:rsidP="003E716D">
      <w:pPr>
        <w:pStyle w:val="Tableheading"/>
        <w:keepNext w:val="0"/>
      </w:pPr>
      <w:r>
        <w:t>Licensees and licence types (other than PTP) in 1427–1535 MHz, at 1 July 2023</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5E0" w:firstRow="1" w:lastRow="1" w:firstColumn="1" w:lastColumn="1" w:noHBand="0" w:noVBand="1"/>
      </w:tblPr>
      <w:tblGrid>
        <w:gridCol w:w="5240"/>
        <w:gridCol w:w="2410"/>
      </w:tblGrid>
      <w:tr w:rsidR="003E716D" w:rsidRPr="00644C81" w14:paraId="314BD70B" w14:textId="77777777" w:rsidTr="00A223BD">
        <w:trPr>
          <w:tblHeader/>
        </w:trPr>
        <w:tc>
          <w:tcPr>
            <w:tcW w:w="5240" w:type="dxa"/>
            <w:shd w:val="clear" w:color="auto" w:fill="404040" w:themeFill="text1" w:themeFillTint="BF"/>
            <w:tcMar>
              <w:top w:w="28" w:type="dxa"/>
              <w:left w:w="57" w:type="dxa"/>
              <w:bottom w:w="28" w:type="dxa"/>
              <w:right w:w="57" w:type="dxa"/>
            </w:tcMar>
          </w:tcPr>
          <w:p w14:paraId="30AD5F4F" w14:textId="77777777" w:rsidR="003E716D" w:rsidRPr="00644C81" w:rsidRDefault="003E716D" w:rsidP="00A223BD">
            <w:pPr>
              <w:spacing w:after="0"/>
              <w:rPr>
                <w:b/>
                <w:color w:val="FFFFFF" w:themeColor="background1"/>
              </w:rPr>
            </w:pPr>
            <w:r>
              <w:rPr>
                <w:b/>
                <w:color w:val="FFFFFF" w:themeColor="background1"/>
              </w:rPr>
              <w:t>Licensee and licence types</w:t>
            </w:r>
          </w:p>
        </w:tc>
        <w:tc>
          <w:tcPr>
            <w:tcW w:w="2410" w:type="dxa"/>
            <w:shd w:val="clear" w:color="auto" w:fill="404040" w:themeFill="text1" w:themeFillTint="BF"/>
            <w:tcMar>
              <w:top w:w="28" w:type="dxa"/>
              <w:left w:w="57" w:type="dxa"/>
              <w:bottom w:w="28" w:type="dxa"/>
              <w:right w:w="57" w:type="dxa"/>
            </w:tcMar>
          </w:tcPr>
          <w:p w14:paraId="062E1798" w14:textId="77777777" w:rsidR="003E716D" w:rsidRPr="00644C81" w:rsidRDefault="003E716D" w:rsidP="00A223BD">
            <w:pPr>
              <w:spacing w:after="0"/>
              <w:jc w:val="right"/>
              <w:rPr>
                <w:b/>
                <w:color w:val="FFFFFF" w:themeColor="background1"/>
              </w:rPr>
            </w:pPr>
            <w:r>
              <w:rPr>
                <w:b/>
                <w:color w:val="FFFFFF" w:themeColor="background1"/>
              </w:rPr>
              <w:t>Number of licences</w:t>
            </w:r>
          </w:p>
        </w:tc>
      </w:tr>
      <w:tr w:rsidR="003E716D" w:rsidRPr="00644C81" w14:paraId="40AF1BBA"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45859D02" w14:textId="77777777" w:rsidR="003E716D" w:rsidRPr="00E54F4F" w:rsidRDefault="003E716D" w:rsidP="00A223BD">
            <w:pPr>
              <w:spacing w:after="0"/>
              <w:rPr>
                <w:rFonts w:cs="Arial"/>
                <w:b/>
                <w:bCs/>
                <w:szCs w:val="20"/>
              </w:rPr>
            </w:pPr>
            <w:r w:rsidRPr="003F3F20">
              <w:rPr>
                <w:rFonts w:cs="Arial"/>
                <w:b/>
                <w:bCs/>
                <w:color w:val="000000"/>
                <w:szCs w:val="20"/>
              </w:rPr>
              <w:t>Telstra Corporation Limited</w:t>
            </w:r>
          </w:p>
        </w:tc>
        <w:tc>
          <w:tcPr>
            <w:tcW w:w="2410" w:type="dxa"/>
            <w:shd w:val="clear" w:color="auto" w:fill="F2F2F2" w:themeFill="background1" w:themeFillShade="F2"/>
            <w:tcMar>
              <w:top w:w="28" w:type="dxa"/>
              <w:left w:w="57" w:type="dxa"/>
              <w:bottom w:w="28" w:type="dxa"/>
              <w:right w:w="57" w:type="dxa"/>
            </w:tcMar>
            <w:vAlign w:val="bottom"/>
          </w:tcPr>
          <w:p w14:paraId="31E531AA" w14:textId="77777777" w:rsidR="003E716D" w:rsidRPr="00E54F4F" w:rsidRDefault="003E716D" w:rsidP="00A223BD">
            <w:pPr>
              <w:spacing w:after="0"/>
              <w:jc w:val="right"/>
              <w:rPr>
                <w:rFonts w:cs="Arial"/>
                <w:b/>
                <w:bCs/>
                <w:szCs w:val="20"/>
              </w:rPr>
            </w:pPr>
            <w:r w:rsidRPr="003F3F20">
              <w:rPr>
                <w:rFonts w:cs="Arial"/>
                <w:b/>
                <w:bCs/>
                <w:color w:val="000000"/>
                <w:szCs w:val="20"/>
              </w:rPr>
              <w:t>72</w:t>
            </w:r>
            <w:r>
              <w:rPr>
                <w:rFonts w:cs="Arial"/>
                <w:b/>
                <w:bCs/>
                <w:color w:val="000000"/>
                <w:szCs w:val="20"/>
              </w:rPr>
              <w:t>1</w:t>
            </w:r>
          </w:p>
        </w:tc>
      </w:tr>
      <w:tr w:rsidR="003E716D" w:rsidRPr="00644C81" w14:paraId="1ECB0969" w14:textId="77777777" w:rsidTr="00A223BD">
        <w:trPr>
          <w:trHeight w:val="185"/>
        </w:trPr>
        <w:tc>
          <w:tcPr>
            <w:tcW w:w="5240" w:type="dxa"/>
            <w:shd w:val="clear" w:color="auto" w:fill="FFFFFF" w:themeFill="background1"/>
            <w:tcMar>
              <w:top w:w="28" w:type="dxa"/>
              <w:left w:w="57" w:type="dxa"/>
              <w:bottom w:w="28" w:type="dxa"/>
              <w:right w:w="57" w:type="dxa"/>
            </w:tcMar>
            <w:vAlign w:val="bottom"/>
          </w:tcPr>
          <w:p w14:paraId="18C787AA" w14:textId="5294DB12" w:rsidR="003E716D" w:rsidRPr="00E54F4F" w:rsidRDefault="00031558" w:rsidP="00A223BD">
            <w:pPr>
              <w:spacing w:after="0"/>
              <w:ind w:left="284"/>
              <w:rPr>
                <w:rFonts w:cs="Arial"/>
                <w:szCs w:val="20"/>
              </w:rPr>
            </w:pPr>
            <w:r>
              <w:rPr>
                <w:rFonts w:cs="Arial"/>
                <w:color w:val="000000"/>
                <w:szCs w:val="20"/>
              </w:rPr>
              <w:t>Fixed p</w:t>
            </w:r>
            <w:r w:rsidR="003E716D" w:rsidRPr="003F3F20">
              <w:rPr>
                <w:rFonts w:cs="Arial"/>
                <w:color w:val="000000"/>
                <w:szCs w:val="20"/>
              </w:rPr>
              <w:t>oint</w:t>
            </w:r>
            <w:r w:rsidR="003E716D">
              <w:rPr>
                <w:rFonts w:cs="Arial"/>
                <w:color w:val="000000"/>
                <w:szCs w:val="20"/>
              </w:rPr>
              <w:t>-</w:t>
            </w:r>
            <w:r w:rsidR="003E716D" w:rsidRPr="003F3F20">
              <w:rPr>
                <w:rFonts w:cs="Arial"/>
                <w:color w:val="000000"/>
                <w:szCs w:val="20"/>
              </w:rPr>
              <w:t>to</w:t>
            </w:r>
            <w:r w:rsidR="003E716D">
              <w:rPr>
                <w:rFonts w:cs="Arial"/>
                <w:color w:val="000000"/>
                <w:szCs w:val="20"/>
              </w:rPr>
              <w:t>-m</w:t>
            </w:r>
            <w:r w:rsidR="003E716D" w:rsidRPr="003F3F20">
              <w:rPr>
                <w:rFonts w:cs="Arial"/>
                <w:color w:val="000000"/>
                <w:szCs w:val="20"/>
              </w:rPr>
              <w:t>ultipoint</w:t>
            </w:r>
          </w:p>
        </w:tc>
        <w:tc>
          <w:tcPr>
            <w:tcW w:w="2410" w:type="dxa"/>
            <w:shd w:val="clear" w:color="auto" w:fill="FFFFFF" w:themeFill="background1"/>
            <w:tcMar>
              <w:top w:w="28" w:type="dxa"/>
              <w:left w:w="57" w:type="dxa"/>
              <w:bottom w:w="28" w:type="dxa"/>
              <w:right w:w="57" w:type="dxa"/>
            </w:tcMar>
            <w:vAlign w:val="bottom"/>
          </w:tcPr>
          <w:p w14:paraId="39AC371C" w14:textId="77777777" w:rsidR="003E716D" w:rsidRPr="00E54F4F" w:rsidRDefault="003E716D" w:rsidP="00A223BD">
            <w:pPr>
              <w:spacing w:after="0"/>
              <w:jc w:val="right"/>
              <w:rPr>
                <w:rFonts w:cs="Arial"/>
                <w:szCs w:val="20"/>
              </w:rPr>
            </w:pPr>
            <w:r w:rsidRPr="003F3F20">
              <w:rPr>
                <w:rFonts w:cs="Arial"/>
                <w:color w:val="000000"/>
                <w:szCs w:val="20"/>
              </w:rPr>
              <w:t>72</w:t>
            </w:r>
            <w:r>
              <w:rPr>
                <w:rFonts w:cs="Arial"/>
                <w:color w:val="000000"/>
                <w:szCs w:val="20"/>
              </w:rPr>
              <w:t>1</w:t>
            </w:r>
          </w:p>
        </w:tc>
      </w:tr>
      <w:tr w:rsidR="003E716D" w:rsidRPr="00644C81" w14:paraId="62A1BD38"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6E34CB9F" w14:textId="77777777" w:rsidR="003E716D" w:rsidRPr="003F3F20" w:rsidRDefault="003E716D" w:rsidP="00A223BD">
            <w:pPr>
              <w:spacing w:after="0"/>
              <w:rPr>
                <w:rFonts w:cs="Arial"/>
                <w:b/>
                <w:bCs/>
                <w:color w:val="000000"/>
                <w:szCs w:val="20"/>
              </w:rPr>
            </w:pPr>
            <w:r w:rsidRPr="008B2FB3">
              <w:rPr>
                <w:rFonts w:cs="Arial"/>
                <w:b/>
                <w:bCs/>
                <w:color w:val="000000"/>
                <w:szCs w:val="20"/>
              </w:rPr>
              <w:t>Inmarsat</w:t>
            </w:r>
          </w:p>
        </w:tc>
        <w:tc>
          <w:tcPr>
            <w:tcW w:w="2410" w:type="dxa"/>
            <w:shd w:val="clear" w:color="auto" w:fill="F2F2F2" w:themeFill="background1" w:themeFillShade="F2"/>
            <w:tcMar>
              <w:top w:w="28" w:type="dxa"/>
              <w:left w:w="57" w:type="dxa"/>
              <w:bottom w:w="28" w:type="dxa"/>
              <w:right w:w="57" w:type="dxa"/>
            </w:tcMar>
            <w:vAlign w:val="bottom"/>
          </w:tcPr>
          <w:p w14:paraId="7A7481BA" w14:textId="77777777" w:rsidR="003E716D" w:rsidRDefault="003E716D" w:rsidP="00A223BD">
            <w:pPr>
              <w:spacing w:after="0"/>
              <w:jc w:val="right"/>
              <w:rPr>
                <w:rFonts w:cs="Arial"/>
                <w:b/>
                <w:bCs/>
                <w:color w:val="000000"/>
                <w:szCs w:val="20"/>
              </w:rPr>
            </w:pPr>
            <w:r>
              <w:rPr>
                <w:rFonts w:cs="Arial"/>
                <w:b/>
                <w:bCs/>
                <w:color w:val="000000"/>
                <w:szCs w:val="20"/>
              </w:rPr>
              <w:t>27</w:t>
            </w:r>
          </w:p>
        </w:tc>
      </w:tr>
      <w:tr w:rsidR="003E716D" w:rsidRPr="00644C81" w14:paraId="0012E694" w14:textId="77777777" w:rsidTr="00A223BD">
        <w:trPr>
          <w:trHeight w:val="185"/>
        </w:trPr>
        <w:tc>
          <w:tcPr>
            <w:tcW w:w="5240" w:type="dxa"/>
            <w:shd w:val="clear" w:color="auto" w:fill="auto"/>
            <w:tcMar>
              <w:top w:w="28" w:type="dxa"/>
              <w:left w:w="57" w:type="dxa"/>
              <w:bottom w:w="28" w:type="dxa"/>
              <w:right w:w="57" w:type="dxa"/>
            </w:tcMar>
            <w:vAlign w:val="bottom"/>
          </w:tcPr>
          <w:p w14:paraId="71E508E6" w14:textId="77777777" w:rsidR="003E716D" w:rsidRPr="00D65CA8" w:rsidRDefault="003E716D" w:rsidP="00A223BD">
            <w:pPr>
              <w:spacing w:after="0"/>
              <w:ind w:left="284"/>
              <w:rPr>
                <w:rFonts w:cs="Arial"/>
                <w:color w:val="000000"/>
                <w:szCs w:val="20"/>
              </w:rPr>
            </w:pPr>
            <w:r>
              <w:rPr>
                <w:rFonts w:cs="Arial"/>
                <w:color w:val="000000"/>
                <w:szCs w:val="20"/>
              </w:rPr>
              <w:t>Earth receive</w:t>
            </w:r>
          </w:p>
        </w:tc>
        <w:tc>
          <w:tcPr>
            <w:tcW w:w="2410" w:type="dxa"/>
            <w:shd w:val="clear" w:color="auto" w:fill="auto"/>
            <w:tcMar>
              <w:top w:w="28" w:type="dxa"/>
              <w:left w:w="57" w:type="dxa"/>
              <w:bottom w:w="28" w:type="dxa"/>
              <w:right w:w="57" w:type="dxa"/>
            </w:tcMar>
            <w:vAlign w:val="bottom"/>
          </w:tcPr>
          <w:p w14:paraId="7A934D8C" w14:textId="77777777" w:rsidR="003E716D" w:rsidRPr="00D65CA8" w:rsidRDefault="003E716D" w:rsidP="00A223BD">
            <w:pPr>
              <w:spacing w:after="0"/>
              <w:ind w:left="284"/>
              <w:jc w:val="right"/>
              <w:rPr>
                <w:rFonts w:cs="Arial"/>
                <w:color w:val="000000"/>
                <w:szCs w:val="20"/>
              </w:rPr>
            </w:pPr>
            <w:r>
              <w:rPr>
                <w:rFonts w:cs="Arial"/>
                <w:color w:val="000000"/>
                <w:szCs w:val="20"/>
              </w:rPr>
              <w:t>5</w:t>
            </w:r>
          </w:p>
        </w:tc>
      </w:tr>
      <w:tr w:rsidR="003E716D" w:rsidRPr="00644C81" w14:paraId="2B069318" w14:textId="77777777" w:rsidTr="00A223BD">
        <w:trPr>
          <w:trHeight w:val="185"/>
        </w:trPr>
        <w:tc>
          <w:tcPr>
            <w:tcW w:w="5240" w:type="dxa"/>
            <w:shd w:val="clear" w:color="auto" w:fill="auto"/>
            <w:tcMar>
              <w:top w:w="28" w:type="dxa"/>
              <w:left w:w="57" w:type="dxa"/>
              <w:bottom w:w="28" w:type="dxa"/>
              <w:right w:w="57" w:type="dxa"/>
            </w:tcMar>
            <w:vAlign w:val="bottom"/>
          </w:tcPr>
          <w:p w14:paraId="702472D6" w14:textId="77777777" w:rsidR="003E716D" w:rsidRPr="00D65CA8" w:rsidRDefault="003E716D" w:rsidP="00A223BD">
            <w:pPr>
              <w:spacing w:after="0"/>
              <w:ind w:left="284"/>
              <w:rPr>
                <w:rFonts w:cs="Arial"/>
                <w:color w:val="000000"/>
                <w:szCs w:val="20"/>
              </w:rPr>
            </w:pPr>
            <w:r>
              <w:rPr>
                <w:rFonts w:cs="Arial"/>
                <w:color w:val="000000"/>
                <w:szCs w:val="20"/>
              </w:rPr>
              <w:t>Space</w:t>
            </w:r>
          </w:p>
        </w:tc>
        <w:tc>
          <w:tcPr>
            <w:tcW w:w="2410" w:type="dxa"/>
            <w:shd w:val="clear" w:color="auto" w:fill="auto"/>
            <w:tcMar>
              <w:top w:w="28" w:type="dxa"/>
              <w:left w:w="57" w:type="dxa"/>
              <w:bottom w:w="28" w:type="dxa"/>
              <w:right w:w="57" w:type="dxa"/>
            </w:tcMar>
            <w:vAlign w:val="bottom"/>
          </w:tcPr>
          <w:p w14:paraId="415668FD" w14:textId="77777777" w:rsidR="003E716D" w:rsidRPr="00D65CA8" w:rsidRDefault="003E716D" w:rsidP="00A223BD">
            <w:pPr>
              <w:spacing w:after="0"/>
              <w:ind w:left="284"/>
              <w:jc w:val="right"/>
              <w:rPr>
                <w:rFonts w:cs="Arial"/>
                <w:color w:val="000000"/>
                <w:szCs w:val="20"/>
              </w:rPr>
            </w:pPr>
            <w:r>
              <w:rPr>
                <w:rFonts w:cs="Arial"/>
                <w:color w:val="000000"/>
                <w:szCs w:val="20"/>
              </w:rPr>
              <w:t>22</w:t>
            </w:r>
          </w:p>
        </w:tc>
      </w:tr>
      <w:tr w:rsidR="003E716D" w:rsidRPr="00644C81" w14:paraId="3CF2AA39"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3645C9C0" w14:textId="77777777" w:rsidR="003E716D" w:rsidRPr="003F3F20" w:rsidRDefault="003E716D" w:rsidP="00A223BD">
            <w:pPr>
              <w:spacing w:after="0"/>
              <w:rPr>
                <w:rFonts w:cs="Arial"/>
                <w:b/>
                <w:bCs/>
                <w:color w:val="000000"/>
                <w:szCs w:val="20"/>
              </w:rPr>
            </w:pPr>
            <w:r w:rsidRPr="003F3F20">
              <w:rPr>
                <w:rFonts w:cs="Arial"/>
                <w:b/>
                <w:bCs/>
                <w:color w:val="000000"/>
                <w:szCs w:val="20"/>
              </w:rPr>
              <w:t>Department of Defence</w:t>
            </w:r>
          </w:p>
        </w:tc>
        <w:tc>
          <w:tcPr>
            <w:tcW w:w="2410" w:type="dxa"/>
            <w:shd w:val="clear" w:color="auto" w:fill="F2F2F2" w:themeFill="background1" w:themeFillShade="F2"/>
            <w:tcMar>
              <w:top w:w="28" w:type="dxa"/>
              <w:left w:w="57" w:type="dxa"/>
              <w:bottom w:w="28" w:type="dxa"/>
              <w:right w:w="57" w:type="dxa"/>
            </w:tcMar>
            <w:vAlign w:val="bottom"/>
          </w:tcPr>
          <w:p w14:paraId="2E598FE9" w14:textId="77777777" w:rsidR="003E716D" w:rsidRPr="003F3F20" w:rsidRDefault="003E716D" w:rsidP="00A223BD">
            <w:pPr>
              <w:spacing w:after="0"/>
              <w:jc w:val="right"/>
              <w:rPr>
                <w:rFonts w:cs="Arial"/>
                <w:b/>
                <w:bCs/>
                <w:color w:val="000000"/>
                <w:szCs w:val="20"/>
              </w:rPr>
            </w:pPr>
            <w:r>
              <w:rPr>
                <w:rFonts w:cs="Arial"/>
                <w:b/>
                <w:bCs/>
                <w:color w:val="000000"/>
                <w:szCs w:val="20"/>
              </w:rPr>
              <w:t>20</w:t>
            </w:r>
          </w:p>
        </w:tc>
      </w:tr>
      <w:tr w:rsidR="003E716D" w:rsidRPr="00644C81" w14:paraId="69B43D21" w14:textId="77777777" w:rsidTr="00A223BD">
        <w:trPr>
          <w:trHeight w:val="185"/>
        </w:trPr>
        <w:tc>
          <w:tcPr>
            <w:tcW w:w="5240" w:type="dxa"/>
            <w:shd w:val="clear" w:color="auto" w:fill="FFFFFF" w:themeFill="background1"/>
            <w:tcMar>
              <w:top w:w="28" w:type="dxa"/>
              <w:left w:w="57" w:type="dxa"/>
              <w:bottom w:w="28" w:type="dxa"/>
              <w:right w:w="57" w:type="dxa"/>
            </w:tcMar>
            <w:vAlign w:val="bottom"/>
          </w:tcPr>
          <w:p w14:paraId="4479189C" w14:textId="77777777" w:rsidR="003E716D" w:rsidRPr="001567DB" w:rsidRDefault="003E716D" w:rsidP="00A223BD">
            <w:pPr>
              <w:spacing w:after="0"/>
              <w:ind w:left="284"/>
              <w:rPr>
                <w:rFonts w:cs="Arial"/>
                <w:color w:val="000000"/>
                <w:szCs w:val="20"/>
              </w:rPr>
            </w:pPr>
            <w:r w:rsidRPr="003F3F20">
              <w:rPr>
                <w:rFonts w:cs="Arial"/>
                <w:color w:val="000000"/>
                <w:szCs w:val="20"/>
              </w:rPr>
              <w:t xml:space="preserve">Aeronautical </w:t>
            </w:r>
            <w:r>
              <w:rPr>
                <w:rFonts w:cs="Arial"/>
                <w:color w:val="000000"/>
                <w:szCs w:val="20"/>
              </w:rPr>
              <w:t>a</w:t>
            </w:r>
            <w:r w:rsidRPr="003F3F20">
              <w:rPr>
                <w:rFonts w:cs="Arial"/>
                <w:color w:val="000000"/>
                <w:szCs w:val="20"/>
              </w:rPr>
              <w:t xml:space="preserve">ssigned </w:t>
            </w:r>
            <w:r>
              <w:rPr>
                <w:rFonts w:cs="Arial"/>
                <w:color w:val="000000"/>
                <w:szCs w:val="20"/>
              </w:rPr>
              <w:t>s</w:t>
            </w:r>
            <w:r w:rsidRPr="003F3F20">
              <w:rPr>
                <w:rFonts w:cs="Arial"/>
                <w:color w:val="000000"/>
                <w:szCs w:val="20"/>
              </w:rPr>
              <w:t>ystem</w:t>
            </w:r>
          </w:p>
        </w:tc>
        <w:tc>
          <w:tcPr>
            <w:tcW w:w="2410" w:type="dxa"/>
            <w:shd w:val="clear" w:color="auto" w:fill="FFFFFF" w:themeFill="background1"/>
            <w:tcMar>
              <w:top w:w="28" w:type="dxa"/>
              <w:left w:w="57" w:type="dxa"/>
              <w:bottom w:w="28" w:type="dxa"/>
              <w:right w:w="57" w:type="dxa"/>
            </w:tcMar>
            <w:vAlign w:val="bottom"/>
          </w:tcPr>
          <w:p w14:paraId="74B1F295" w14:textId="77777777" w:rsidR="003E716D" w:rsidRPr="00E54F4F" w:rsidRDefault="003E716D" w:rsidP="00A223BD">
            <w:pPr>
              <w:spacing w:after="0"/>
              <w:jc w:val="right"/>
              <w:rPr>
                <w:rFonts w:cs="Arial"/>
                <w:szCs w:val="20"/>
              </w:rPr>
            </w:pPr>
            <w:r>
              <w:rPr>
                <w:rFonts w:cs="Arial"/>
                <w:color w:val="000000"/>
                <w:szCs w:val="20"/>
              </w:rPr>
              <w:t>2</w:t>
            </w:r>
          </w:p>
        </w:tc>
      </w:tr>
      <w:tr w:rsidR="003E716D" w:rsidRPr="00644C81" w14:paraId="4CF541E8" w14:textId="77777777" w:rsidTr="00A223BD">
        <w:trPr>
          <w:trHeight w:val="185"/>
        </w:trPr>
        <w:tc>
          <w:tcPr>
            <w:tcW w:w="5240" w:type="dxa"/>
            <w:shd w:val="clear" w:color="auto" w:fill="FFFFFF" w:themeFill="background1"/>
            <w:tcMar>
              <w:top w:w="28" w:type="dxa"/>
              <w:left w:w="57" w:type="dxa"/>
              <w:bottom w:w="28" w:type="dxa"/>
              <w:right w:w="57" w:type="dxa"/>
            </w:tcMar>
            <w:vAlign w:val="bottom"/>
          </w:tcPr>
          <w:p w14:paraId="429A16B2" w14:textId="77777777" w:rsidR="003E716D" w:rsidRPr="001567DB" w:rsidRDefault="003E716D" w:rsidP="00A223BD">
            <w:pPr>
              <w:spacing w:after="0"/>
              <w:ind w:left="284"/>
              <w:rPr>
                <w:rFonts w:cs="Arial"/>
                <w:color w:val="000000"/>
                <w:szCs w:val="20"/>
              </w:rPr>
            </w:pPr>
            <w:r w:rsidRPr="003F3F20">
              <w:rPr>
                <w:rFonts w:cs="Arial"/>
                <w:color w:val="000000"/>
                <w:szCs w:val="20"/>
              </w:rPr>
              <w:t xml:space="preserve">Aircraft </w:t>
            </w:r>
            <w:r>
              <w:rPr>
                <w:rFonts w:cs="Arial"/>
                <w:color w:val="000000"/>
                <w:szCs w:val="20"/>
              </w:rPr>
              <w:t>a</w:t>
            </w:r>
            <w:r w:rsidRPr="003F3F20">
              <w:rPr>
                <w:rFonts w:cs="Arial"/>
                <w:color w:val="000000"/>
                <w:szCs w:val="20"/>
              </w:rPr>
              <w:t>ssigned</w:t>
            </w:r>
          </w:p>
        </w:tc>
        <w:tc>
          <w:tcPr>
            <w:tcW w:w="2410" w:type="dxa"/>
            <w:shd w:val="clear" w:color="auto" w:fill="FFFFFF" w:themeFill="background1"/>
            <w:tcMar>
              <w:top w:w="28" w:type="dxa"/>
              <w:left w:w="57" w:type="dxa"/>
              <w:bottom w:w="28" w:type="dxa"/>
              <w:right w:w="57" w:type="dxa"/>
            </w:tcMar>
            <w:vAlign w:val="bottom"/>
          </w:tcPr>
          <w:p w14:paraId="2C65803C" w14:textId="77777777" w:rsidR="003E716D" w:rsidRPr="00E54F4F" w:rsidRDefault="003E716D" w:rsidP="00A223BD">
            <w:pPr>
              <w:spacing w:after="0"/>
              <w:jc w:val="right"/>
              <w:rPr>
                <w:rFonts w:cs="Arial"/>
                <w:szCs w:val="20"/>
              </w:rPr>
            </w:pPr>
            <w:r w:rsidRPr="003F3F20">
              <w:rPr>
                <w:rFonts w:cs="Arial"/>
                <w:color w:val="000000"/>
                <w:szCs w:val="20"/>
              </w:rPr>
              <w:t>5</w:t>
            </w:r>
          </w:p>
        </w:tc>
      </w:tr>
      <w:tr w:rsidR="003E716D" w:rsidRPr="00644C81" w14:paraId="26556F0F" w14:textId="77777777" w:rsidTr="00A223BD">
        <w:trPr>
          <w:trHeight w:val="185"/>
        </w:trPr>
        <w:tc>
          <w:tcPr>
            <w:tcW w:w="5240" w:type="dxa"/>
            <w:shd w:val="clear" w:color="auto" w:fill="FFFFFF" w:themeFill="background1"/>
            <w:tcMar>
              <w:top w:w="28" w:type="dxa"/>
              <w:left w:w="57" w:type="dxa"/>
              <w:bottom w:w="28" w:type="dxa"/>
              <w:right w:w="57" w:type="dxa"/>
            </w:tcMar>
            <w:vAlign w:val="bottom"/>
          </w:tcPr>
          <w:p w14:paraId="77EE3F63" w14:textId="77777777" w:rsidR="003E716D" w:rsidRPr="003F3F20" w:rsidRDefault="003E716D" w:rsidP="00A223BD">
            <w:pPr>
              <w:spacing w:after="0"/>
              <w:ind w:left="284"/>
              <w:rPr>
                <w:rFonts w:cs="Arial"/>
                <w:color w:val="000000"/>
                <w:szCs w:val="20"/>
              </w:rPr>
            </w:pPr>
            <w:r w:rsidRPr="003F3F20">
              <w:rPr>
                <w:rFonts w:cs="Arial"/>
                <w:color w:val="000000"/>
                <w:szCs w:val="20"/>
              </w:rPr>
              <w:t xml:space="preserve">Fixed </w:t>
            </w:r>
            <w:r>
              <w:rPr>
                <w:rFonts w:cs="Arial"/>
                <w:color w:val="000000"/>
                <w:szCs w:val="20"/>
              </w:rPr>
              <w:t>r</w:t>
            </w:r>
            <w:r w:rsidRPr="003F3F20">
              <w:rPr>
                <w:rFonts w:cs="Arial"/>
                <w:color w:val="000000"/>
                <w:szCs w:val="20"/>
              </w:rPr>
              <w:t>eceive</w:t>
            </w:r>
          </w:p>
        </w:tc>
        <w:tc>
          <w:tcPr>
            <w:tcW w:w="2410" w:type="dxa"/>
            <w:shd w:val="clear" w:color="auto" w:fill="FFFFFF" w:themeFill="background1"/>
            <w:tcMar>
              <w:top w:w="28" w:type="dxa"/>
              <w:left w:w="57" w:type="dxa"/>
              <w:bottom w:w="28" w:type="dxa"/>
              <w:right w:w="57" w:type="dxa"/>
            </w:tcMar>
            <w:vAlign w:val="bottom"/>
          </w:tcPr>
          <w:p w14:paraId="0A02BE91" w14:textId="77777777" w:rsidR="003E716D" w:rsidRPr="003F3F20" w:rsidRDefault="003E716D" w:rsidP="00A223BD">
            <w:pPr>
              <w:spacing w:after="0"/>
              <w:jc w:val="right"/>
              <w:rPr>
                <w:rFonts w:cs="Arial"/>
                <w:color w:val="000000"/>
                <w:szCs w:val="20"/>
              </w:rPr>
            </w:pPr>
            <w:r w:rsidRPr="003F3F20">
              <w:rPr>
                <w:rFonts w:cs="Arial"/>
                <w:color w:val="000000"/>
                <w:szCs w:val="20"/>
              </w:rPr>
              <w:t>12</w:t>
            </w:r>
          </w:p>
        </w:tc>
      </w:tr>
      <w:tr w:rsidR="003E716D" w:rsidRPr="00644C81" w14:paraId="0876AA94" w14:textId="77777777" w:rsidTr="00A223BD">
        <w:trPr>
          <w:trHeight w:val="185"/>
        </w:trPr>
        <w:tc>
          <w:tcPr>
            <w:tcW w:w="5240" w:type="dxa"/>
            <w:shd w:val="clear" w:color="auto" w:fill="FFFFFF" w:themeFill="background1"/>
            <w:tcMar>
              <w:top w:w="28" w:type="dxa"/>
              <w:left w:w="57" w:type="dxa"/>
              <w:bottom w:w="28" w:type="dxa"/>
              <w:right w:w="57" w:type="dxa"/>
            </w:tcMar>
            <w:vAlign w:val="bottom"/>
          </w:tcPr>
          <w:p w14:paraId="369256A3" w14:textId="77777777" w:rsidR="003E716D" w:rsidRPr="001567DB" w:rsidRDefault="003E716D" w:rsidP="00A223BD">
            <w:pPr>
              <w:spacing w:after="0"/>
              <w:ind w:left="284"/>
              <w:rPr>
                <w:rFonts w:cs="Arial"/>
                <w:color w:val="000000"/>
                <w:szCs w:val="20"/>
              </w:rPr>
            </w:pPr>
            <w:r w:rsidRPr="003F3F20">
              <w:rPr>
                <w:rFonts w:cs="Arial"/>
                <w:color w:val="000000"/>
                <w:szCs w:val="20"/>
              </w:rPr>
              <w:t>Radiodetermination</w:t>
            </w:r>
          </w:p>
        </w:tc>
        <w:tc>
          <w:tcPr>
            <w:tcW w:w="2410" w:type="dxa"/>
            <w:shd w:val="clear" w:color="auto" w:fill="FFFFFF" w:themeFill="background1"/>
            <w:tcMar>
              <w:top w:w="28" w:type="dxa"/>
              <w:left w:w="57" w:type="dxa"/>
              <w:bottom w:w="28" w:type="dxa"/>
              <w:right w:w="57" w:type="dxa"/>
            </w:tcMar>
            <w:vAlign w:val="bottom"/>
          </w:tcPr>
          <w:p w14:paraId="271269EF" w14:textId="77777777" w:rsidR="003E716D" w:rsidRPr="00E54F4F" w:rsidRDefault="003E716D" w:rsidP="00A223BD">
            <w:pPr>
              <w:spacing w:after="0"/>
              <w:jc w:val="right"/>
              <w:rPr>
                <w:rFonts w:cs="Arial"/>
                <w:szCs w:val="20"/>
              </w:rPr>
            </w:pPr>
            <w:r w:rsidRPr="003F3F20">
              <w:rPr>
                <w:rFonts w:cs="Arial"/>
                <w:color w:val="000000"/>
                <w:szCs w:val="20"/>
              </w:rPr>
              <w:t>1</w:t>
            </w:r>
          </w:p>
        </w:tc>
      </w:tr>
      <w:tr w:rsidR="003E716D" w:rsidRPr="00644C81" w14:paraId="134B058E"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4B7A9E72" w14:textId="77777777" w:rsidR="003E716D" w:rsidRPr="00E54F4F" w:rsidRDefault="003E716D" w:rsidP="00A223BD">
            <w:pPr>
              <w:spacing w:after="0"/>
              <w:rPr>
                <w:rFonts w:cs="Arial"/>
                <w:b/>
                <w:bCs/>
                <w:szCs w:val="20"/>
              </w:rPr>
            </w:pPr>
            <w:r w:rsidRPr="003F3F20">
              <w:rPr>
                <w:rFonts w:cs="Arial"/>
                <w:b/>
                <w:bCs/>
                <w:color w:val="000000"/>
                <w:szCs w:val="20"/>
              </w:rPr>
              <w:t>University of New South Wales</w:t>
            </w:r>
          </w:p>
        </w:tc>
        <w:tc>
          <w:tcPr>
            <w:tcW w:w="2410" w:type="dxa"/>
            <w:shd w:val="clear" w:color="auto" w:fill="F2F2F2" w:themeFill="background1" w:themeFillShade="F2"/>
            <w:tcMar>
              <w:top w:w="28" w:type="dxa"/>
              <w:left w:w="57" w:type="dxa"/>
              <w:bottom w:w="28" w:type="dxa"/>
              <w:right w:w="57" w:type="dxa"/>
            </w:tcMar>
            <w:vAlign w:val="bottom"/>
          </w:tcPr>
          <w:p w14:paraId="3A1D5B79" w14:textId="77777777" w:rsidR="003E716D" w:rsidRPr="00E54F4F" w:rsidRDefault="003E716D" w:rsidP="00A223BD">
            <w:pPr>
              <w:spacing w:after="0"/>
              <w:jc w:val="right"/>
              <w:rPr>
                <w:rFonts w:cs="Arial"/>
                <w:b/>
                <w:bCs/>
                <w:szCs w:val="20"/>
              </w:rPr>
            </w:pPr>
            <w:r>
              <w:rPr>
                <w:rFonts w:cs="Arial"/>
                <w:b/>
                <w:bCs/>
                <w:szCs w:val="20"/>
              </w:rPr>
              <w:t>10</w:t>
            </w:r>
          </w:p>
        </w:tc>
      </w:tr>
      <w:tr w:rsidR="003E716D" w:rsidRPr="00644C81" w14:paraId="6659E364" w14:textId="77777777" w:rsidTr="00A223BD">
        <w:trPr>
          <w:trHeight w:val="185"/>
        </w:trPr>
        <w:tc>
          <w:tcPr>
            <w:tcW w:w="5240" w:type="dxa"/>
            <w:shd w:val="clear" w:color="auto" w:fill="FFFFFF" w:themeFill="background1"/>
            <w:tcMar>
              <w:top w:w="28" w:type="dxa"/>
              <w:left w:w="57" w:type="dxa"/>
              <w:bottom w:w="28" w:type="dxa"/>
              <w:right w:w="57" w:type="dxa"/>
            </w:tcMar>
            <w:vAlign w:val="bottom"/>
          </w:tcPr>
          <w:p w14:paraId="4020CED6" w14:textId="77777777" w:rsidR="003E716D" w:rsidRPr="00E54F4F" w:rsidRDefault="003E716D" w:rsidP="00A223BD">
            <w:pPr>
              <w:spacing w:after="0"/>
              <w:ind w:left="284"/>
              <w:rPr>
                <w:rFonts w:cs="Arial"/>
                <w:szCs w:val="20"/>
              </w:rPr>
            </w:pPr>
            <w:r>
              <w:rPr>
                <w:rFonts w:cs="Arial"/>
                <w:szCs w:val="20"/>
              </w:rPr>
              <w:t>Earth receive</w:t>
            </w:r>
          </w:p>
        </w:tc>
        <w:tc>
          <w:tcPr>
            <w:tcW w:w="2410" w:type="dxa"/>
            <w:shd w:val="clear" w:color="auto" w:fill="FFFFFF" w:themeFill="background1"/>
            <w:tcMar>
              <w:top w:w="28" w:type="dxa"/>
              <w:left w:w="57" w:type="dxa"/>
              <w:bottom w:w="28" w:type="dxa"/>
              <w:right w:w="57" w:type="dxa"/>
            </w:tcMar>
            <w:vAlign w:val="bottom"/>
          </w:tcPr>
          <w:p w14:paraId="45ABAEB3" w14:textId="77777777" w:rsidR="003E716D" w:rsidRPr="00E54F4F" w:rsidRDefault="003E716D" w:rsidP="00A223BD">
            <w:pPr>
              <w:spacing w:after="0"/>
              <w:jc w:val="right"/>
              <w:rPr>
                <w:rFonts w:cs="Arial"/>
                <w:szCs w:val="20"/>
              </w:rPr>
            </w:pPr>
            <w:r>
              <w:rPr>
                <w:rFonts w:cs="Arial"/>
                <w:szCs w:val="20"/>
              </w:rPr>
              <w:t>1</w:t>
            </w:r>
          </w:p>
        </w:tc>
      </w:tr>
      <w:tr w:rsidR="003E716D" w:rsidRPr="00644C81" w14:paraId="0B3C4B5C" w14:textId="77777777" w:rsidTr="00A223BD">
        <w:trPr>
          <w:trHeight w:val="185"/>
        </w:trPr>
        <w:tc>
          <w:tcPr>
            <w:tcW w:w="5240" w:type="dxa"/>
            <w:shd w:val="clear" w:color="auto" w:fill="FFFFFF" w:themeFill="background1"/>
            <w:tcMar>
              <w:top w:w="28" w:type="dxa"/>
              <w:left w:w="57" w:type="dxa"/>
              <w:bottom w:w="28" w:type="dxa"/>
              <w:right w:w="57" w:type="dxa"/>
            </w:tcMar>
            <w:vAlign w:val="bottom"/>
          </w:tcPr>
          <w:p w14:paraId="21754F6B" w14:textId="30F31092" w:rsidR="003E716D" w:rsidRPr="003F3F20" w:rsidRDefault="00031558" w:rsidP="00A223BD">
            <w:pPr>
              <w:spacing w:after="0"/>
              <w:ind w:left="284"/>
              <w:rPr>
                <w:rFonts w:cs="Arial"/>
                <w:color w:val="000000"/>
                <w:szCs w:val="20"/>
              </w:rPr>
            </w:pPr>
            <w:r>
              <w:rPr>
                <w:rFonts w:cs="Arial"/>
                <w:color w:val="000000"/>
                <w:szCs w:val="20"/>
              </w:rPr>
              <w:t>Fixed p</w:t>
            </w:r>
            <w:r w:rsidR="003E716D" w:rsidRPr="003F3F20">
              <w:rPr>
                <w:rFonts w:cs="Arial"/>
                <w:color w:val="000000"/>
                <w:szCs w:val="20"/>
              </w:rPr>
              <w:t>oint</w:t>
            </w:r>
            <w:r w:rsidR="003E716D">
              <w:rPr>
                <w:rFonts w:cs="Arial"/>
                <w:color w:val="000000"/>
                <w:szCs w:val="20"/>
              </w:rPr>
              <w:t>-</w:t>
            </w:r>
            <w:r w:rsidR="003E716D" w:rsidRPr="003F3F20">
              <w:rPr>
                <w:rFonts w:cs="Arial"/>
                <w:color w:val="000000"/>
                <w:szCs w:val="20"/>
              </w:rPr>
              <w:t>to</w:t>
            </w:r>
            <w:r w:rsidR="003E716D">
              <w:rPr>
                <w:rFonts w:cs="Arial"/>
                <w:color w:val="000000"/>
                <w:szCs w:val="20"/>
              </w:rPr>
              <w:t>-m</w:t>
            </w:r>
            <w:r w:rsidR="003E716D" w:rsidRPr="003F3F20">
              <w:rPr>
                <w:rFonts w:cs="Arial"/>
                <w:color w:val="000000"/>
                <w:szCs w:val="20"/>
              </w:rPr>
              <w:t>ultipoint</w:t>
            </w:r>
          </w:p>
        </w:tc>
        <w:tc>
          <w:tcPr>
            <w:tcW w:w="2410" w:type="dxa"/>
            <w:shd w:val="clear" w:color="auto" w:fill="FFFFFF" w:themeFill="background1"/>
            <w:tcMar>
              <w:top w:w="28" w:type="dxa"/>
              <w:left w:w="57" w:type="dxa"/>
              <w:bottom w:w="28" w:type="dxa"/>
              <w:right w:w="57" w:type="dxa"/>
            </w:tcMar>
            <w:vAlign w:val="bottom"/>
          </w:tcPr>
          <w:p w14:paraId="2C74786A" w14:textId="77777777" w:rsidR="003E716D" w:rsidRDefault="003E716D" w:rsidP="00A223BD">
            <w:pPr>
              <w:spacing w:after="0"/>
              <w:jc w:val="right"/>
              <w:rPr>
                <w:rFonts w:cs="Arial"/>
                <w:color w:val="000000"/>
                <w:szCs w:val="20"/>
              </w:rPr>
            </w:pPr>
            <w:r>
              <w:rPr>
                <w:rFonts w:cs="Arial"/>
                <w:color w:val="000000"/>
                <w:szCs w:val="20"/>
              </w:rPr>
              <w:t>9</w:t>
            </w:r>
          </w:p>
        </w:tc>
      </w:tr>
      <w:tr w:rsidR="003E716D" w:rsidRPr="00644C81" w14:paraId="55D5D101"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2323BB86" w14:textId="77777777" w:rsidR="003E716D" w:rsidRPr="00E54F4F" w:rsidRDefault="003E716D" w:rsidP="00A223BD">
            <w:pPr>
              <w:spacing w:after="0"/>
              <w:rPr>
                <w:rFonts w:cs="Arial"/>
                <w:b/>
                <w:bCs/>
                <w:szCs w:val="20"/>
              </w:rPr>
            </w:pPr>
            <w:r w:rsidRPr="008B2FB3">
              <w:rPr>
                <w:rFonts w:cs="Arial"/>
                <w:b/>
                <w:bCs/>
                <w:color w:val="000000"/>
                <w:szCs w:val="20"/>
              </w:rPr>
              <w:t>Thuraya</w:t>
            </w:r>
          </w:p>
        </w:tc>
        <w:tc>
          <w:tcPr>
            <w:tcW w:w="2410" w:type="dxa"/>
            <w:shd w:val="clear" w:color="auto" w:fill="F2F2F2" w:themeFill="background1" w:themeFillShade="F2"/>
            <w:tcMar>
              <w:top w:w="28" w:type="dxa"/>
              <w:left w:w="57" w:type="dxa"/>
              <w:bottom w:w="28" w:type="dxa"/>
              <w:right w:w="57" w:type="dxa"/>
            </w:tcMar>
            <w:vAlign w:val="bottom"/>
          </w:tcPr>
          <w:p w14:paraId="2CDDD8E0" w14:textId="77777777" w:rsidR="003E716D" w:rsidRPr="00E54F4F" w:rsidRDefault="003E716D" w:rsidP="00A223BD">
            <w:pPr>
              <w:spacing w:after="0"/>
              <w:jc w:val="right"/>
              <w:rPr>
                <w:rFonts w:cs="Arial"/>
                <w:b/>
                <w:bCs/>
                <w:szCs w:val="20"/>
              </w:rPr>
            </w:pPr>
            <w:r w:rsidRPr="008B2FB3">
              <w:rPr>
                <w:rFonts w:cs="Arial"/>
                <w:b/>
                <w:bCs/>
                <w:color w:val="000000"/>
                <w:szCs w:val="20"/>
              </w:rPr>
              <w:t>3</w:t>
            </w:r>
          </w:p>
        </w:tc>
      </w:tr>
      <w:tr w:rsidR="003E716D" w:rsidRPr="00644C81" w14:paraId="55C28267" w14:textId="77777777" w:rsidTr="00A223BD">
        <w:trPr>
          <w:trHeight w:val="185"/>
        </w:trPr>
        <w:tc>
          <w:tcPr>
            <w:tcW w:w="5240" w:type="dxa"/>
            <w:shd w:val="clear" w:color="auto" w:fill="FFFFFF" w:themeFill="background1"/>
            <w:tcMar>
              <w:top w:w="28" w:type="dxa"/>
              <w:left w:w="57" w:type="dxa"/>
              <w:bottom w:w="28" w:type="dxa"/>
              <w:right w:w="57" w:type="dxa"/>
            </w:tcMar>
            <w:vAlign w:val="bottom"/>
          </w:tcPr>
          <w:p w14:paraId="06C00615" w14:textId="77777777" w:rsidR="003E716D" w:rsidRPr="00E54F4F" w:rsidRDefault="003E716D" w:rsidP="00A223BD">
            <w:pPr>
              <w:spacing w:after="0"/>
              <w:ind w:left="284"/>
              <w:rPr>
                <w:rFonts w:cs="Arial"/>
                <w:szCs w:val="20"/>
              </w:rPr>
            </w:pPr>
            <w:r>
              <w:rPr>
                <w:rFonts w:cs="Arial"/>
                <w:color w:val="000000"/>
                <w:szCs w:val="20"/>
              </w:rPr>
              <w:t>Space</w:t>
            </w:r>
          </w:p>
        </w:tc>
        <w:tc>
          <w:tcPr>
            <w:tcW w:w="2410" w:type="dxa"/>
            <w:shd w:val="clear" w:color="auto" w:fill="FFFFFF" w:themeFill="background1"/>
            <w:tcMar>
              <w:top w:w="28" w:type="dxa"/>
              <w:left w:w="57" w:type="dxa"/>
              <w:bottom w:w="28" w:type="dxa"/>
              <w:right w:w="57" w:type="dxa"/>
            </w:tcMar>
            <w:vAlign w:val="bottom"/>
          </w:tcPr>
          <w:p w14:paraId="0FB60AA1" w14:textId="77777777" w:rsidR="003E716D" w:rsidRPr="00E54F4F" w:rsidRDefault="003E716D" w:rsidP="00A223BD">
            <w:pPr>
              <w:spacing w:after="0"/>
              <w:jc w:val="right"/>
              <w:rPr>
                <w:rFonts w:cs="Arial"/>
                <w:szCs w:val="20"/>
              </w:rPr>
            </w:pPr>
            <w:r>
              <w:rPr>
                <w:rFonts w:cs="Arial"/>
                <w:color w:val="000000"/>
                <w:szCs w:val="20"/>
              </w:rPr>
              <w:t>3</w:t>
            </w:r>
          </w:p>
        </w:tc>
      </w:tr>
      <w:tr w:rsidR="003E716D" w:rsidRPr="00644C81" w14:paraId="61338315"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221180F0" w14:textId="464D6886" w:rsidR="003E716D" w:rsidRPr="00D65CA8" w:rsidRDefault="003E716D" w:rsidP="00A223BD">
            <w:pPr>
              <w:spacing w:after="0"/>
              <w:rPr>
                <w:rFonts w:cs="Arial"/>
                <w:b/>
                <w:bCs/>
                <w:color w:val="000000"/>
                <w:szCs w:val="20"/>
              </w:rPr>
            </w:pPr>
            <w:r w:rsidRPr="00C55BA0">
              <w:rPr>
                <w:rFonts w:cs="Arial"/>
                <w:b/>
                <w:bCs/>
                <w:color w:val="000000"/>
                <w:szCs w:val="20"/>
              </w:rPr>
              <w:t>Astroca</w:t>
            </w:r>
            <w:r w:rsidR="009C7CE3">
              <w:rPr>
                <w:rFonts w:cs="Arial"/>
                <w:b/>
                <w:bCs/>
                <w:color w:val="000000"/>
                <w:szCs w:val="20"/>
              </w:rPr>
              <w:t>s</w:t>
            </w:r>
            <w:r w:rsidRPr="00C55BA0">
              <w:rPr>
                <w:rFonts w:cs="Arial"/>
                <w:b/>
                <w:bCs/>
                <w:color w:val="000000"/>
                <w:szCs w:val="20"/>
              </w:rPr>
              <w:t>t SA</w:t>
            </w:r>
          </w:p>
        </w:tc>
        <w:tc>
          <w:tcPr>
            <w:tcW w:w="2410" w:type="dxa"/>
            <w:shd w:val="clear" w:color="auto" w:fill="F2F2F2" w:themeFill="background1" w:themeFillShade="F2"/>
            <w:tcMar>
              <w:top w:w="28" w:type="dxa"/>
              <w:left w:w="57" w:type="dxa"/>
              <w:bottom w:w="28" w:type="dxa"/>
              <w:right w:w="57" w:type="dxa"/>
            </w:tcMar>
            <w:vAlign w:val="bottom"/>
          </w:tcPr>
          <w:p w14:paraId="148C30A9" w14:textId="77777777" w:rsidR="003E716D" w:rsidRPr="00D65CA8" w:rsidRDefault="003E716D" w:rsidP="00A223BD">
            <w:pPr>
              <w:spacing w:after="0"/>
              <w:jc w:val="right"/>
              <w:rPr>
                <w:rFonts w:cs="Arial"/>
                <w:b/>
                <w:bCs/>
                <w:color w:val="000000"/>
                <w:szCs w:val="20"/>
              </w:rPr>
            </w:pPr>
            <w:r w:rsidRPr="00C55BA0">
              <w:rPr>
                <w:rFonts w:cs="Arial"/>
                <w:b/>
                <w:bCs/>
                <w:color w:val="000000"/>
                <w:szCs w:val="20"/>
              </w:rPr>
              <w:t>2</w:t>
            </w:r>
          </w:p>
        </w:tc>
      </w:tr>
      <w:tr w:rsidR="003E716D" w:rsidRPr="00644C81" w14:paraId="7870D701" w14:textId="77777777" w:rsidTr="00A223BD">
        <w:trPr>
          <w:trHeight w:val="185"/>
        </w:trPr>
        <w:tc>
          <w:tcPr>
            <w:tcW w:w="5240" w:type="dxa"/>
            <w:shd w:val="clear" w:color="auto" w:fill="FFFFFF" w:themeFill="background1"/>
            <w:tcMar>
              <w:top w:w="28" w:type="dxa"/>
              <w:left w:w="57" w:type="dxa"/>
              <w:bottom w:w="28" w:type="dxa"/>
              <w:right w:w="57" w:type="dxa"/>
            </w:tcMar>
            <w:vAlign w:val="bottom"/>
          </w:tcPr>
          <w:p w14:paraId="1038A59B" w14:textId="77777777" w:rsidR="003E716D" w:rsidRPr="003F3F20" w:rsidRDefault="003E716D" w:rsidP="00A223BD">
            <w:pPr>
              <w:spacing w:after="0"/>
              <w:ind w:left="284"/>
              <w:rPr>
                <w:rFonts w:cs="Arial"/>
                <w:color w:val="000000"/>
                <w:szCs w:val="20"/>
              </w:rPr>
            </w:pPr>
            <w:r>
              <w:rPr>
                <w:rFonts w:cs="Arial"/>
                <w:color w:val="000000"/>
                <w:szCs w:val="20"/>
              </w:rPr>
              <w:t>Space</w:t>
            </w:r>
          </w:p>
        </w:tc>
        <w:tc>
          <w:tcPr>
            <w:tcW w:w="2410" w:type="dxa"/>
            <w:shd w:val="clear" w:color="auto" w:fill="FFFFFF" w:themeFill="background1"/>
            <w:tcMar>
              <w:top w:w="28" w:type="dxa"/>
              <w:left w:w="57" w:type="dxa"/>
              <w:bottom w:w="28" w:type="dxa"/>
              <w:right w:w="57" w:type="dxa"/>
            </w:tcMar>
            <w:vAlign w:val="bottom"/>
          </w:tcPr>
          <w:p w14:paraId="6835F124" w14:textId="77777777" w:rsidR="003E716D" w:rsidRPr="003F3F20" w:rsidRDefault="003E716D" w:rsidP="00A223BD">
            <w:pPr>
              <w:spacing w:after="0"/>
              <w:jc w:val="right"/>
              <w:rPr>
                <w:rFonts w:cs="Arial"/>
                <w:color w:val="000000"/>
                <w:szCs w:val="20"/>
              </w:rPr>
            </w:pPr>
            <w:r>
              <w:rPr>
                <w:rFonts w:cs="Arial"/>
                <w:color w:val="000000"/>
                <w:szCs w:val="20"/>
              </w:rPr>
              <w:t>2</w:t>
            </w:r>
          </w:p>
        </w:tc>
      </w:tr>
      <w:tr w:rsidR="003E716D" w:rsidRPr="00644C81" w14:paraId="4E85ECF1" w14:textId="77777777" w:rsidTr="00A223BD">
        <w:trPr>
          <w:trHeight w:val="185"/>
        </w:trPr>
        <w:tc>
          <w:tcPr>
            <w:tcW w:w="5240" w:type="dxa"/>
            <w:shd w:val="clear" w:color="auto" w:fill="F2F2F2" w:themeFill="background1" w:themeFillShade="F2"/>
            <w:tcMar>
              <w:top w:w="28" w:type="dxa"/>
              <w:left w:w="57" w:type="dxa"/>
              <w:bottom w:w="28" w:type="dxa"/>
              <w:right w:w="57" w:type="dxa"/>
            </w:tcMar>
            <w:vAlign w:val="bottom"/>
          </w:tcPr>
          <w:p w14:paraId="1BF534E8" w14:textId="77777777" w:rsidR="003E716D" w:rsidRPr="00E54F4F" w:rsidRDefault="003E716D" w:rsidP="00A223BD">
            <w:pPr>
              <w:spacing w:after="0"/>
              <w:rPr>
                <w:rFonts w:cs="Arial"/>
                <w:szCs w:val="20"/>
              </w:rPr>
            </w:pPr>
            <w:r w:rsidRPr="003F3F20">
              <w:rPr>
                <w:rFonts w:cs="Arial"/>
                <w:b/>
                <w:bCs/>
                <w:color w:val="000000"/>
                <w:szCs w:val="20"/>
              </w:rPr>
              <w:t>EOS Defence Systems Pty Ltd</w:t>
            </w:r>
          </w:p>
        </w:tc>
        <w:tc>
          <w:tcPr>
            <w:tcW w:w="2410" w:type="dxa"/>
            <w:shd w:val="clear" w:color="auto" w:fill="F2F2F2" w:themeFill="background1" w:themeFillShade="F2"/>
            <w:tcMar>
              <w:top w:w="28" w:type="dxa"/>
              <w:left w:w="57" w:type="dxa"/>
              <w:bottom w:w="28" w:type="dxa"/>
              <w:right w:w="57" w:type="dxa"/>
            </w:tcMar>
            <w:vAlign w:val="bottom"/>
          </w:tcPr>
          <w:p w14:paraId="28FB5F5B" w14:textId="77777777" w:rsidR="003E716D" w:rsidRPr="00E54F4F" w:rsidRDefault="003E716D" w:rsidP="00A223BD">
            <w:pPr>
              <w:spacing w:after="0"/>
              <w:jc w:val="right"/>
              <w:rPr>
                <w:rFonts w:cs="Arial"/>
                <w:szCs w:val="20"/>
              </w:rPr>
            </w:pPr>
            <w:r>
              <w:rPr>
                <w:rFonts w:cs="Arial"/>
                <w:b/>
                <w:bCs/>
                <w:color w:val="000000"/>
                <w:szCs w:val="20"/>
              </w:rPr>
              <w:t>2</w:t>
            </w:r>
          </w:p>
        </w:tc>
      </w:tr>
      <w:tr w:rsidR="003E716D" w:rsidRPr="00644C81" w14:paraId="7EDDA7CB" w14:textId="77777777" w:rsidTr="00A223BD">
        <w:trPr>
          <w:trHeight w:val="185"/>
        </w:trPr>
        <w:tc>
          <w:tcPr>
            <w:tcW w:w="5240" w:type="dxa"/>
            <w:shd w:val="clear" w:color="auto" w:fill="FFFFFF" w:themeFill="background1"/>
            <w:tcMar>
              <w:top w:w="28" w:type="dxa"/>
              <w:left w:w="57" w:type="dxa"/>
              <w:bottom w:w="28" w:type="dxa"/>
              <w:right w:w="57" w:type="dxa"/>
            </w:tcMar>
            <w:vAlign w:val="bottom"/>
          </w:tcPr>
          <w:p w14:paraId="02DFACF3" w14:textId="77777777" w:rsidR="003E716D" w:rsidRPr="00E54F4F" w:rsidRDefault="003E716D" w:rsidP="00A223BD">
            <w:pPr>
              <w:spacing w:after="0"/>
              <w:ind w:left="284"/>
              <w:rPr>
                <w:rFonts w:cs="Arial"/>
                <w:b/>
                <w:bCs/>
                <w:szCs w:val="20"/>
              </w:rPr>
            </w:pPr>
            <w:r w:rsidRPr="003F3F20">
              <w:rPr>
                <w:rFonts w:cs="Arial"/>
                <w:color w:val="000000"/>
                <w:szCs w:val="20"/>
              </w:rPr>
              <w:t xml:space="preserve">Scientific </w:t>
            </w:r>
            <w:r>
              <w:rPr>
                <w:rFonts w:cs="Arial"/>
                <w:color w:val="000000"/>
                <w:szCs w:val="20"/>
              </w:rPr>
              <w:t>a</w:t>
            </w:r>
            <w:r w:rsidRPr="003F3F20">
              <w:rPr>
                <w:rFonts w:cs="Arial"/>
                <w:color w:val="000000"/>
                <w:szCs w:val="20"/>
              </w:rPr>
              <w:t>ssigned</w:t>
            </w:r>
          </w:p>
        </w:tc>
        <w:tc>
          <w:tcPr>
            <w:tcW w:w="2410" w:type="dxa"/>
            <w:shd w:val="clear" w:color="auto" w:fill="FFFFFF" w:themeFill="background1"/>
            <w:tcMar>
              <w:top w:w="28" w:type="dxa"/>
              <w:left w:w="57" w:type="dxa"/>
              <w:bottom w:w="28" w:type="dxa"/>
              <w:right w:w="57" w:type="dxa"/>
            </w:tcMar>
            <w:vAlign w:val="bottom"/>
          </w:tcPr>
          <w:p w14:paraId="59FAA01F" w14:textId="77777777" w:rsidR="003E716D" w:rsidRPr="00E54F4F" w:rsidRDefault="003E716D" w:rsidP="00A223BD">
            <w:pPr>
              <w:spacing w:after="0"/>
              <w:jc w:val="right"/>
              <w:rPr>
                <w:rFonts w:cs="Arial"/>
                <w:b/>
                <w:bCs/>
                <w:szCs w:val="20"/>
              </w:rPr>
            </w:pPr>
            <w:r>
              <w:rPr>
                <w:rFonts w:cs="Arial"/>
                <w:color w:val="000000"/>
                <w:szCs w:val="20"/>
              </w:rPr>
              <w:t>2</w:t>
            </w:r>
          </w:p>
        </w:tc>
      </w:tr>
      <w:tr w:rsidR="003E716D" w:rsidRPr="00E54F4F" w14:paraId="0C43DAF0" w14:textId="77777777" w:rsidTr="00A223BD">
        <w:trPr>
          <w:trHeight w:val="185"/>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57" w:type="dxa"/>
              <w:bottom w:w="28" w:type="dxa"/>
              <w:right w:w="57" w:type="dxa"/>
            </w:tcMar>
            <w:vAlign w:val="bottom"/>
          </w:tcPr>
          <w:p w14:paraId="187B021F" w14:textId="77777777" w:rsidR="003E716D" w:rsidRPr="00D65CA8" w:rsidRDefault="003E716D" w:rsidP="00A223BD">
            <w:pPr>
              <w:spacing w:after="0"/>
              <w:rPr>
                <w:rFonts w:cs="Arial"/>
                <w:b/>
                <w:bCs/>
                <w:color w:val="000000"/>
                <w:szCs w:val="20"/>
              </w:rPr>
            </w:pPr>
            <w:proofErr w:type="spellStart"/>
            <w:r w:rsidRPr="00D65CA8">
              <w:rPr>
                <w:rFonts w:cs="Arial"/>
                <w:b/>
                <w:bCs/>
                <w:color w:val="000000"/>
                <w:szCs w:val="20"/>
              </w:rPr>
              <w:t>Mungalalu</w:t>
            </w:r>
            <w:proofErr w:type="spellEnd"/>
            <w:r w:rsidRPr="00D65CA8">
              <w:rPr>
                <w:rFonts w:cs="Arial"/>
                <w:b/>
                <w:bCs/>
                <w:color w:val="000000"/>
                <w:szCs w:val="20"/>
              </w:rPr>
              <w:t xml:space="preserve"> Truscott Airbase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57" w:type="dxa"/>
              <w:bottom w:w="28" w:type="dxa"/>
              <w:right w:w="57" w:type="dxa"/>
            </w:tcMar>
            <w:vAlign w:val="bottom"/>
          </w:tcPr>
          <w:p w14:paraId="420D1DFA" w14:textId="77777777" w:rsidR="003E716D" w:rsidRPr="00D65CA8" w:rsidRDefault="003E716D" w:rsidP="00A223BD">
            <w:pPr>
              <w:spacing w:after="0"/>
              <w:jc w:val="right"/>
              <w:rPr>
                <w:rFonts w:cs="Arial"/>
                <w:b/>
                <w:bCs/>
                <w:color w:val="000000"/>
                <w:szCs w:val="20"/>
              </w:rPr>
            </w:pPr>
            <w:r w:rsidRPr="00D65CA8">
              <w:rPr>
                <w:rFonts w:cs="Arial"/>
                <w:b/>
                <w:bCs/>
                <w:color w:val="000000"/>
                <w:szCs w:val="20"/>
              </w:rPr>
              <w:t>1</w:t>
            </w:r>
          </w:p>
        </w:tc>
      </w:tr>
      <w:tr w:rsidR="003E716D" w:rsidRPr="00E54F4F" w14:paraId="1FE8D75A" w14:textId="77777777" w:rsidTr="00A223BD">
        <w:trPr>
          <w:trHeight w:val="18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bottom"/>
          </w:tcPr>
          <w:p w14:paraId="2232D7DF" w14:textId="77777777" w:rsidR="003E716D" w:rsidRPr="008B2FB3" w:rsidRDefault="003E716D" w:rsidP="00A223BD">
            <w:pPr>
              <w:spacing w:after="0"/>
              <w:ind w:left="284"/>
              <w:rPr>
                <w:rFonts w:cs="Arial"/>
                <w:color w:val="000000"/>
                <w:szCs w:val="20"/>
              </w:rPr>
            </w:pPr>
            <w:r>
              <w:rPr>
                <w:rFonts w:cs="Arial"/>
                <w:color w:val="000000"/>
                <w:szCs w:val="20"/>
              </w:rPr>
              <w:t>Earth receive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bottom"/>
          </w:tcPr>
          <w:p w14:paraId="13903FB6" w14:textId="77777777" w:rsidR="003E716D" w:rsidRPr="008B2FB3" w:rsidRDefault="003E716D" w:rsidP="00A223BD">
            <w:pPr>
              <w:spacing w:after="0"/>
              <w:jc w:val="right"/>
              <w:rPr>
                <w:rFonts w:cs="Arial"/>
                <w:color w:val="000000"/>
                <w:szCs w:val="20"/>
              </w:rPr>
            </w:pPr>
            <w:r>
              <w:rPr>
                <w:rFonts w:cs="Arial"/>
                <w:color w:val="000000"/>
                <w:szCs w:val="20"/>
              </w:rPr>
              <w:t>1</w:t>
            </w:r>
          </w:p>
        </w:tc>
      </w:tr>
    </w:tbl>
    <w:p w14:paraId="429A4DF2" w14:textId="77777777" w:rsidR="003E716D" w:rsidRPr="00D33AF2" w:rsidRDefault="003E716D" w:rsidP="003E716D">
      <w:pPr>
        <w:pStyle w:val="Paragraph"/>
        <w:spacing w:after="0"/>
      </w:pPr>
    </w:p>
    <w:p w14:paraId="34AD03DF" w14:textId="77777777" w:rsidR="003E716D" w:rsidRPr="00217D57" w:rsidRDefault="003E716D" w:rsidP="003E716D">
      <w:pPr>
        <w:pStyle w:val="Tableheading"/>
      </w:pPr>
      <w:r>
        <w:t>Licensees and licence types in 1668–1675</w:t>
      </w:r>
      <w:r w:rsidRPr="00DF6FFF">
        <w:t xml:space="preserve"> MHz</w:t>
      </w:r>
      <w:r>
        <w:t>,</w:t>
      </w:r>
      <w:r w:rsidRPr="00DF6FFF">
        <w:t xml:space="preserve"> </w:t>
      </w:r>
      <w:r>
        <w:t>at 1 July 2023</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0" w:type="dxa"/>
        </w:tblCellMar>
        <w:tblLook w:val="05E0" w:firstRow="1" w:lastRow="1" w:firstColumn="1" w:lastColumn="1" w:noHBand="0" w:noVBand="1"/>
      </w:tblPr>
      <w:tblGrid>
        <w:gridCol w:w="5665"/>
        <w:gridCol w:w="1985"/>
      </w:tblGrid>
      <w:tr w:rsidR="003E716D" w:rsidRPr="00644C81" w14:paraId="25498259" w14:textId="77777777" w:rsidTr="00A223BD">
        <w:trPr>
          <w:tblHeader/>
        </w:trPr>
        <w:tc>
          <w:tcPr>
            <w:tcW w:w="5665" w:type="dxa"/>
            <w:shd w:val="clear" w:color="auto" w:fill="404040" w:themeFill="text1" w:themeFillTint="BF"/>
            <w:tcMar>
              <w:top w:w="28" w:type="dxa"/>
              <w:left w:w="57" w:type="dxa"/>
              <w:bottom w:w="28" w:type="dxa"/>
              <w:right w:w="57" w:type="dxa"/>
            </w:tcMar>
          </w:tcPr>
          <w:p w14:paraId="6C7A5C5F" w14:textId="77777777" w:rsidR="003E716D" w:rsidRPr="00644C81" w:rsidRDefault="003E716D" w:rsidP="00A223BD">
            <w:pPr>
              <w:keepNext/>
              <w:spacing w:after="0"/>
              <w:rPr>
                <w:b/>
                <w:color w:val="FFFFFF" w:themeColor="background1"/>
              </w:rPr>
            </w:pPr>
            <w:r>
              <w:rPr>
                <w:b/>
                <w:color w:val="FFFFFF" w:themeColor="background1"/>
              </w:rPr>
              <w:t>Licensee and licence types</w:t>
            </w:r>
          </w:p>
        </w:tc>
        <w:tc>
          <w:tcPr>
            <w:tcW w:w="1985" w:type="dxa"/>
            <w:shd w:val="clear" w:color="auto" w:fill="404040" w:themeFill="text1" w:themeFillTint="BF"/>
            <w:tcMar>
              <w:top w:w="28" w:type="dxa"/>
              <w:left w:w="57" w:type="dxa"/>
              <w:bottom w:w="28" w:type="dxa"/>
              <w:right w:w="57" w:type="dxa"/>
            </w:tcMar>
          </w:tcPr>
          <w:p w14:paraId="2D36AAF7" w14:textId="77777777" w:rsidR="003E716D" w:rsidRPr="00644C81" w:rsidRDefault="003E716D" w:rsidP="00A223BD">
            <w:pPr>
              <w:keepNext/>
              <w:spacing w:after="0"/>
              <w:jc w:val="right"/>
              <w:rPr>
                <w:b/>
                <w:color w:val="FFFFFF" w:themeColor="background1"/>
              </w:rPr>
            </w:pPr>
            <w:r>
              <w:rPr>
                <w:b/>
                <w:color w:val="FFFFFF" w:themeColor="background1"/>
              </w:rPr>
              <w:t>Number of licences</w:t>
            </w:r>
          </w:p>
        </w:tc>
      </w:tr>
      <w:tr w:rsidR="003E716D" w:rsidRPr="00644C81" w14:paraId="6C5B3A5F" w14:textId="77777777" w:rsidTr="00A223BD">
        <w:trPr>
          <w:trHeight w:val="185"/>
        </w:trPr>
        <w:tc>
          <w:tcPr>
            <w:tcW w:w="5665" w:type="dxa"/>
            <w:shd w:val="clear" w:color="auto" w:fill="F2F2F2" w:themeFill="background1" w:themeFillShade="F2"/>
            <w:tcMar>
              <w:top w:w="28" w:type="dxa"/>
              <w:left w:w="57" w:type="dxa"/>
              <w:bottom w:w="28" w:type="dxa"/>
              <w:right w:w="57" w:type="dxa"/>
            </w:tcMar>
            <w:vAlign w:val="bottom"/>
          </w:tcPr>
          <w:p w14:paraId="101A6827" w14:textId="77777777" w:rsidR="003E716D" w:rsidRPr="00E54F4F" w:rsidRDefault="003E716D" w:rsidP="00A223BD">
            <w:pPr>
              <w:keepNext/>
              <w:spacing w:after="0"/>
              <w:rPr>
                <w:rFonts w:cs="Arial"/>
                <w:b/>
                <w:bCs/>
                <w:szCs w:val="20"/>
              </w:rPr>
            </w:pPr>
            <w:r w:rsidRPr="003F3F20">
              <w:rPr>
                <w:rFonts w:cs="Arial"/>
                <w:b/>
                <w:bCs/>
                <w:color w:val="000000"/>
                <w:szCs w:val="20"/>
              </w:rPr>
              <w:t xml:space="preserve">Commonwealth Scientific and Industrial Research Organisation </w:t>
            </w:r>
            <w:r>
              <w:rPr>
                <w:rFonts w:cs="Arial"/>
                <w:b/>
                <w:bCs/>
                <w:color w:val="000000"/>
                <w:szCs w:val="20"/>
              </w:rPr>
              <w:t>(CSIRO)</w:t>
            </w:r>
          </w:p>
        </w:tc>
        <w:tc>
          <w:tcPr>
            <w:tcW w:w="1985" w:type="dxa"/>
            <w:shd w:val="clear" w:color="auto" w:fill="F2F2F2" w:themeFill="background1" w:themeFillShade="F2"/>
            <w:tcMar>
              <w:top w:w="28" w:type="dxa"/>
              <w:left w:w="57" w:type="dxa"/>
              <w:bottom w:w="28" w:type="dxa"/>
              <w:right w:w="57" w:type="dxa"/>
            </w:tcMar>
            <w:vAlign w:val="bottom"/>
          </w:tcPr>
          <w:p w14:paraId="601A4F25" w14:textId="77777777" w:rsidR="003E716D" w:rsidRPr="00E54F4F" w:rsidRDefault="003E716D" w:rsidP="00A223BD">
            <w:pPr>
              <w:keepNext/>
              <w:spacing w:after="0"/>
              <w:jc w:val="right"/>
              <w:rPr>
                <w:rFonts w:cs="Arial"/>
                <w:b/>
                <w:bCs/>
                <w:szCs w:val="20"/>
              </w:rPr>
            </w:pPr>
            <w:r w:rsidRPr="003F3F20">
              <w:rPr>
                <w:rFonts w:cs="Arial"/>
                <w:b/>
                <w:bCs/>
                <w:color w:val="000000"/>
                <w:szCs w:val="20"/>
              </w:rPr>
              <w:t>2</w:t>
            </w:r>
          </w:p>
        </w:tc>
      </w:tr>
      <w:tr w:rsidR="003E716D" w:rsidRPr="00644C81" w14:paraId="5EEA6123" w14:textId="77777777" w:rsidTr="00A223BD">
        <w:trPr>
          <w:trHeight w:val="185"/>
        </w:trPr>
        <w:tc>
          <w:tcPr>
            <w:tcW w:w="5665" w:type="dxa"/>
            <w:shd w:val="clear" w:color="auto" w:fill="FFFFFF" w:themeFill="background1"/>
            <w:tcMar>
              <w:top w:w="28" w:type="dxa"/>
              <w:left w:w="57" w:type="dxa"/>
              <w:bottom w:w="28" w:type="dxa"/>
              <w:right w:w="57" w:type="dxa"/>
            </w:tcMar>
            <w:vAlign w:val="bottom"/>
          </w:tcPr>
          <w:p w14:paraId="02DB38FD" w14:textId="77777777" w:rsidR="003E716D" w:rsidRPr="00E54F4F" w:rsidRDefault="003E716D" w:rsidP="00A223BD">
            <w:pPr>
              <w:keepNext/>
              <w:spacing w:after="0"/>
              <w:ind w:left="284"/>
              <w:rPr>
                <w:rFonts w:cs="Arial"/>
                <w:szCs w:val="20"/>
              </w:rPr>
            </w:pPr>
            <w:r w:rsidRPr="003F3F20">
              <w:rPr>
                <w:rFonts w:cs="Arial"/>
                <w:color w:val="000000"/>
                <w:szCs w:val="20"/>
              </w:rPr>
              <w:t xml:space="preserve">Earth </w:t>
            </w:r>
            <w:r>
              <w:rPr>
                <w:rFonts w:cs="Arial"/>
                <w:color w:val="000000"/>
                <w:szCs w:val="20"/>
              </w:rPr>
              <w:t>r</w:t>
            </w:r>
            <w:r w:rsidRPr="003F3F20">
              <w:rPr>
                <w:rFonts w:cs="Arial"/>
                <w:color w:val="000000"/>
                <w:szCs w:val="20"/>
              </w:rPr>
              <w:t>eceive</w:t>
            </w:r>
          </w:p>
        </w:tc>
        <w:tc>
          <w:tcPr>
            <w:tcW w:w="1985" w:type="dxa"/>
            <w:shd w:val="clear" w:color="auto" w:fill="FFFFFF" w:themeFill="background1"/>
            <w:tcMar>
              <w:top w:w="28" w:type="dxa"/>
              <w:left w:w="57" w:type="dxa"/>
              <w:bottom w:w="28" w:type="dxa"/>
              <w:right w:w="57" w:type="dxa"/>
            </w:tcMar>
            <w:vAlign w:val="bottom"/>
          </w:tcPr>
          <w:p w14:paraId="2F25F9BC" w14:textId="77777777" w:rsidR="003E716D" w:rsidRPr="00E54F4F" w:rsidRDefault="003E716D" w:rsidP="00A223BD">
            <w:pPr>
              <w:keepNext/>
              <w:spacing w:after="0"/>
              <w:jc w:val="right"/>
              <w:rPr>
                <w:rFonts w:cs="Arial"/>
                <w:szCs w:val="20"/>
              </w:rPr>
            </w:pPr>
            <w:r w:rsidRPr="003F3F20">
              <w:rPr>
                <w:rFonts w:cs="Arial"/>
                <w:color w:val="000000"/>
                <w:szCs w:val="20"/>
              </w:rPr>
              <w:t>2</w:t>
            </w:r>
          </w:p>
        </w:tc>
      </w:tr>
      <w:tr w:rsidR="003E716D" w:rsidRPr="00644C81" w14:paraId="48CE415B" w14:textId="77777777" w:rsidTr="00A223BD">
        <w:trPr>
          <w:trHeight w:val="185"/>
        </w:trPr>
        <w:tc>
          <w:tcPr>
            <w:tcW w:w="5665" w:type="dxa"/>
            <w:shd w:val="clear" w:color="auto" w:fill="F2F2F2" w:themeFill="background1" w:themeFillShade="F2"/>
            <w:tcMar>
              <w:top w:w="28" w:type="dxa"/>
              <w:left w:w="57" w:type="dxa"/>
              <w:bottom w:w="28" w:type="dxa"/>
              <w:right w:w="57" w:type="dxa"/>
            </w:tcMar>
            <w:vAlign w:val="bottom"/>
          </w:tcPr>
          <w:p w14:paraId="609D6344" w14:textId="77777777" w:rsidR="003E716D" w:rsidRPr="00E54F4F" w:rsidRDefault="003E716D" w:rsidP="00A223BD">
            <w:pPr>
              <w:keepNext/>
              <w:spacing w:after="0"/>
              <w:rPr>
                <w:rFonts w:cs="Arial"/>
                <w:b/>
                <w:bCs/>
                <w:szCs w:val="20"/>
              </w:rPr>
            </w:pPr>
            <w:bookmarkStart w:id="129" w:name="_Hlk100058634"/>
            <w:r w:rsidRPr="003F3F20">
              <w:rPr>
                <w:rFonts w:cs="Arial"/>
                <w:b/>
                <w:bCs/>
                <w:color w:val="000000"/>
                <w:szCs w:val="20"/>
              </w:rPr>
              <w:t>Universal Space Network Inc</w:t>
            </w:r>
            <w:bookmarkEnd w:id="129"/>
          </w:p>
        </w:tc>
        <w:tc>
          <w:tcPr>
            <w:tcW w:w="1985" w:type="dxa"/>
            <w:shd w:val="clear" w:color="auto" w:fill="F2F2F2" w:themeFill="background1" w:themeFillShade="F2"/>
            <w:tcMar>
              <w:top w:w="28" w:type="dxa"/>
              <w:left w:w="57" w:type="dxa"/>
              <w:bottom w:w="28" w:type="dxa"/>
              <w:right w:w="57" w:type="dxa"/>
            </w:tcMar>
            <w:vAlign w:val="bottom"/>
          </w:tcPr>
          <w:p w14:paraId="10F60298" w14:textId="77777777" w:rsidR="003E716D" w:rsidRPr="00E54F4F" w:rsidRDefault="003E716D" w:rsidP="00A223BD">
            <w:pPr>
              <w:keepNext/>
              <w:spacing w:after="0"/>
              <w:jc w:val="right"/>
              <w:rPr>
                <w:rFonts w:cs="Arial"/>
                <w:b/>
                <w:bCs/>
                <w:szCs w:val="20"/>
              </w:rPr>
            </w:pPr>
            <w:r w:rsidRPr="003F3F20">
              <w:rPr>
                <w:rFonts w:cs="Arial"/>
                <w:b/>
                <w:bCs/>
                <w:color w:val="000000"/>
                <w:szCs w:val="20"/>
              </w:rPr>
              <w:t>2</w:t>
            </w:r>
          </w:p>
        </w:tc>
      </w:tr>
      <w:tr w:rsidR="003E716D" w:rsidRPr="00644C81" w14:paraId="4F764558" w14:textId="77777777" w:rsidTr="00A223BD">
        <w:trPr>
          <w:trHeight w:val="185"/>
        </w:trPr>
        <w:tc>
          <w:tcPr>
            <w:tcW w:w="5665" w:type="dxa"/>
            <w:shd w:val="clear" w:color="auto" w:fill="FFFFFF" w:themeFill="background1"/>
            <w:tcMar>
              <w:top w:w="28" w:type="dxa"/>
              <w:left w:w="57" w:type="dxa"/>
              <w:bottom w:w="28" w:type="dxa"/>
              <w:right w:w="57" w:type="dxa"/>
            </w:tcMar>
            <w:vAlign w:val="bottom"/>
          </w:tcPr>
          <w:p w14:paraId="2BAE2C7B" w14:textId="77777777" w:rsidR="003E716D" w:rsidRPr="00E54F4F" w:rsidRDefault="003E716D" w:rsidP="00A223BD">
            <w:pPr>
              <w:keepNext/>
              <w:spacing w:after="0"/>
              <w:ind w:left="284"/>
              <w:rPr>
                <w:rFonts w:cs="Arial"/>
                <w:szCs w:val="20"/>
              </w:rPr>
            </w:pPr>
            <w:r w:rsidRPr="003F3F20">
              <w:rPr>
                <w:rFonts w:cs="Arial"/>
                <w:color w:val="000000"/>
                <w:szCs w:val="20"/>
              </w:rPr>
              <w:t xml:space="preserve">Earth </w:t>
            </w:r>
            <w:r>
              <w:rPr>
                <w:rFonts w:cs="Arial"/>
                <w:color w:val="000000"/>
                <w:szCs w:val="20"/>
              </w:rPr>
              <w:t>r</w:t>
            </w:r>
            <w:r w:rsidRPr="003F3F20">
              <w:rPr>
                <w:rFonts w:cs="Arial"/>
                <w:color w:val="000000"/>
                <w:szCs w:val="20"/>
              </w:rPr>
              <w:t>eceive</w:t>
            </w:r>
          </w:p>
        </w:tc>
        <w:tc>
          <w:tcPr>
            <w:tcW w:w="1985" w:type="dxa"/>
            <w:shd w:val="clear" w:color="auto" w:fill="FFFFFF" w:themeFill="background1"/>
            <w:tcMar>
              <w:top w:w="28" w:type="dxa"/>
              <w:left w:w="57" w:type="dxa"/>
              <w:bottom w:w="28" w:type="dxa"/>
              <w:right w:w="57" w:type="dxa"/>
            </w:tcMar>
            <w:vAlign w:val="bottom"/>
          </w:tcPr>
          <w:p w14:paraId="53ED3E27" w14:textId="77777777" w:rsidR="003E716D" w:rsidRPr="00E54F4F" w:rsidRDefault="003E716D" w:rsidP="00A223BD">
            <w:pPr>
              <w:keepNext/>
              <w:spacing w:after="0"/>
              <w:jc w:val="right"/>
              <w:rPr>
                <w:rFonts w:cs="Arial"/>
                <w:szCs w:val="20"/>
              </w:rPr>
            </w:pPr>
            <w:r w:rsidRPr="003F3F20">
              <w:rPr>
                <w:rFonts w:cs="Arial"/>
                <w:color w:val="000000"/>
                <w:szCs w:val="20"/>
              </w:rPr>
              <w:t>2</w:t>
            </w:r>
          </w:p>
        </w:tc>
      </w:tr>
    </w:tbl>
    <w:p w14:paraId="074F1F62" w14:textId="77777777" w:rsidR="003E716D" w:rsidRDefault="003E716D" w:rsidP="003E716D">
      <w:pPr>
        <w:spacing w:after="0" w:line="240" w:lineRule="auto"/>
        <w:rPr>
          <w:rFonts w:cs="Arial"/>
        </w:rPr>
      </w:pPr>
    </w:p>
    <w:p w14:paraId="1575232F" w14:textId="77777777" w:rsidR="003E716D" w:rsidRPr="003E716D" w:rsidRDefault="003E716D" w:rsidP="003E716D"/>
    <w:p w14:paraId="7E5C999C" w14:textId="77777777" w:rsidR="00A038AD" w:rsidRDefault="00A038AD" w:rsidP="00C66C71">
      <w:pPr>
        <w:pStyle w:val="Paragraph"/>
        <w:rPr>
          <w:rStyle w:val="Hyperlink"/>
          <w:color w:val="auto"/>
          <w:u w:val="none"/>
        </w:rPr>
      </w:pPr>
    </w:p>
    <w:sectPr w:rsidR="00A038AD" w:rsidSect="003E1B56">
      <w:headerReference w:type="even" r:id="rId73"/>
      <w:headerReference w:type="default" r:id="rId74"/>
      <w:footerReference w:type="even" r:id="rId75"/>
      <w:footerReference w:type="default" r:id="rId76"/>
      <w:pgSz w:w="11906" w:h="16838" w:code="9"/>
      <w:pgMar w:top="1945" w:right="2975"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78A0" w14:textId="77777777" w:rsidR="00644DF9" w:rsidRDefault="00644DF9">
      <w:r>
        <w:separator/>
      </w:r>
    </w:p>
  </w:endnote>
  <w:endnote w:type="continuationSeparator" w:id="0">
    <w:p w14:paraId="6F126198" w14:textId="77777777" w:rsidR="00644DF9" w:rsidRDefault="00644DF9">
      <w:r>
        <w:continuationSeparator/>
      </w:r>
    </w:p>
  </w:endnote>
  <w:endnote w:type="continuationNotice" w:id="1">
    <w:p w14:paraId="69BD76EB" w14:textId="77777777" w:rsidR="00644DF9" w:rsidRDefault="00644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374186" w14:paraId="57A3E24F" w14:textId="77777777" w:rsidTr="7697FD89">
      <w:tc>
        <w:tcPr>
          <w:tcW w:w="3260" w:type="dxa"/>
        </w:tcPr>
        <w:p w14:paraId="39001D93" w14:textId="4970428C" w:rsidR="00374186" w:rsidRDefault="00374186" w:rsidP="7697FD89">
          <w:pPr>
            <w:pStyle w:val="Header"/>
            <w:ind w:left="-115"/>
          </w:pPr>
        </w:p>
      </w:tc>
      <w:tc>
        <w:tcPr>
          <w:tcW w:w="3260" w:type="dxa"/>
        </w:tcPr>
        <w:p w14:paraId="55C4D3A1" w14:textId="74F36FEA" w:rsidR="00374186" w:rsidRDefault="00374186" w:rsidP="7697FD89">
          <w:pPr>
            <w:pStyle w:val="Header"/>
            <w:jc w:val="center"/>
          </w:pPr>
        </w:p>
      </w:tc>
      <w:tc>
        <w:tcPr>
          <w:tcW w:w="3260" w:type="dxa"/>
        </w:tcPr>
        <w:p w14:paraId="64B62491" w14:textId="2B3ECA35" w:rsidR="00374186" w:rsidRDefault="00374186" w:rsidP="7697FD89">
          <w:pPr>
            <w:pStyle w:val="Header"/>
            <w:ind w:right="-115"/>
            <w:jc w:val="right"/>
          </w:pPr>
        </w:p>
      </w:tc>
    </w:tr>
  </w:tbl>
  <w:p w14:paraId="36A714F3" w14:textId="7C7676BA" w:rsidR="00374186" w:rsidRDefault="0037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714E" w14:textId="77777777" w:rsidR="00374186" w:rsidRDefault="00374186" w:rsidP="005E250B">
    <w:pPr>
      <w:pStyle w:val="Footer"/>
      <w:jc w:val="right"/>
    </w:pPr>
    <w:r>
      <w:rPr>
        <w:noProof/>
      </w:rPr>
      <w:drawing>
        <wp:inline distT="0" distB="0" distL="0" distR="0" wp14:anchorId="6197918A" wp14:editId="0F5B4DA5">
          <wp:extent cx="1066800" cy="277368"/>
          <wp:effectExtent l="0" t="0" r="0" b="0"/>
          <wp:docPr id="3" name="Picture 3"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066800" cy="2773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349D" w14:textId="77777777" w:rsidR="00374186" w:rsidRDefault="003741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D087" w14:textId="77777777" w:rsidR="00374186" w:rsidRDefault="003741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1F02" w14:textId="77777777" w:rsidR="00374186" w:rsidRPr="00622A3B" w:rsidRDefault="00374186"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4AF5781" w14:textId="77777777" w:rsidR="00374186" w:rsidRPr="00A5474E" w:rsidRDefault="00374186"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CD26" w14:textId="77777777" w:rsidR="00374186" w:rsidRPr="00622A3B" w:rsidRDefault="00374186"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5BC1F26F" w14:textId="77777777" w:rsidR="00374186" w:rsidRPr="00A5474E" w:rsidRDefault="00374186"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7FFF" w14:textId="77777777" w:rsidR="00374186" w:rsidRPr="00622A3B" w:rsidRDefault="00374186"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2327198D" w14:textId="77777777" w:rsidR="00374186" w:rsidRPr="00A5474E" w:rsidRDefault="00374186"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79B8" w14:textId="77777777" w:rsidR="00374186" w:rsidRPr="00622A3B" w:rsidRDefault="00374186"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8DA5506" w14:textId="77777777" w:rsidR="00374186" w:rsidRPr="00A5474E" w:rsidRDefault="00374186"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8AC2" w14:textId="77777777" w:rsidR="00374186" w:rsidRPr="00622A3B" w:rsidRDefault="00374186"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489DE9C0" w14:textId="77777777" w:rsidR="00374186" w:rsidRPr="00A5474E" w:rsidRDefault="00374186"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8666" w14:textId="77777777" w:rsidR="00644DF9" w:rsidRDefault="00644DF9" w:rsidP="00374186">
      <w:pPr>
        <w:spacing w:after="120"/>
      </w:pPr>
      <w:r>
        <w:separator/>
      </w:r>
    </w:p>
  </w:footnote>
  <w:footnote w:type="continuationSeparator" w:id="0">
    <w:p w14:paraId="6F4D29F4" w14:textId="77777777" w:rsidR="00644DF9" w:rsidRDefault="00644DF9">
      <w:r>
        <w:continuationSeparator/>
      </w:r>
    </w:p>
  </w:footnote>
  <w:footnote w:type="continuationNotice" w:id="1">
    <w:p w14:paraId="47F8C1C5" w14:textId="77777777" w:rsidR="00644DF9" w:rsidRDefault="00644DF9">
      <w:pPr>
        <w:spacing w:after="0" w:line="240" w:lineRule="auto"/>
      </w:pPr>
    </w:p>
  </w:footnote>
  <w:footnote w:id="2">
    <w:p w14:paraId="751598A0" w14:textId="2144D7B7" w:rsidR="00272599" w:rsidRDefault="00272599" w:rsidP="00272599">
      <w:pPr>
        <w:pStyle w:val="FootnoteText"/>
      </w:pPr>
      <w:r>
        <w:rPr>
          <w:rStyle w:val="FootnoteReference"/>
        </w:rPr>
        <w:footnoteRef/>
      </w:r>
      <w:r>
        <w:t xml:space="preserve"> In this regard, ITU Radio Regulations APPENDIX 5 (REV.WRC-19), Identification of administrations with which coordination is to be affected or agreement sought under the provisions of Article 9 specifies coordination requirements that are relevant to Australia. </w:t>
      </w:r>
    </w:p>
  </w:footnote>
  <w:footnote w:id="3">
    <w:p w14:paraId="438578BB" w14:textId="090ACA54" w:rsidR="00374186" w:rsidRDefault="00374186" w:rsidP="00E2254B">
      <w:pPr>
        <w:pStyle w:val="FootnoteText"/>
      </w:pPr>
      <w:r>
        <w:rPr>
          <w:rStyle w:val="FootnoteReference"/>
        </w:rPr>
        <w:footnoteRef/>
      </w:r>
      <w:r>
        <w:t xml:space="preserve"> ACMA </w:t>
      </w:r>
      <w:hyperlink r:id="rId1" w:history="1">
        <w:r w:rsidRPr="00E2254B" w:rsidDel="00950386">
          <w:rPr>
            <w:rStyle w:val="Hyperlink"/>
            <w:i/>
            <w:iCs/>
          </w:rPr>
          <w:t xml:space="preserve">Corporate plan </w:t>
        </w:r>
        <w:r w:rsidR="00950386">
          <w:rPr>
            <w:rStyle w:val="Hyperlink"/>
            <w:i/>
            <w:iCs/>
          </w:rPr>
          <w:t>2023–24</w:t>
        </w:r>
      </w:hyperlink>
      <w:r w:rsidRPr="00800460">
        <w:t>.</w:t>
      </w:r>
    </w:p>
  </w:footnote>
  <w:footnote w:id="4">
    <w:p w14:paraId="2176CFE8" w14:textId="77777777" w:rsidR="000B5A6D" w:rsidRDefault="000B5A6D" w:rsidP="000B5A6D">
      <w:pPr>
        <w:pStyle w:val="FootnoteText"/>
      </w:pPr>
      <w:r>
        <w:rPr>
          <w:rStyle w:val="FootnoteReference"/>
        </w:rPr>
        <w:footnoteRef/>
      </w:r>
      <w:r>
        <w:t xml:space="preserve"> Telstra, </w:t>
      </w:r>
      <w:hyperlink r:id="rId2" w:history="1">
        <w:r w:rsidRPr="00AB4FA3">
          <w:rPr>
            <w:rStyle w:val="Hyperlink"/>
          </w:rPr>
          <w:t>Submission to the 2021 Regional Telecommunications Review</w:t>
        </w:r>
      </w:hyperlink>
      <w:r>
        <w:t>, 2021, accessed 26 April 2022, p. 23.</w:t>
      </w:r>
    </w:p>
  </w:footnote>
  <w:footnote w:id="5">
    <w:p w14:paraId="6F983718" w14:textId="77777777" w:rsidR="00032368" w:rsidRDefault="00032368" w:rsidP="00032368">
      <w:pPr>
        <w:pStyle w:val="FootnoteText"/>
      </w:pPr>
      <w:r>
        <w:rPr>
          <w:rStyle w:val="FootnoteReference"/>
        </w:rPr>
        <w:footnoteRef/>
      </w:r>
      <w:r>
        <w:t xml:space="preserve"> Department of Infrastructure, Transport, Regional Development, Communications and the Arts, </w:t>
      </w:r>
      <w:hyperlink r:id="rId3" w:history="1">
        <w:r w:rsidRPr="00D75CAF">
          <w:rPr>
            <w:rStyle w:val="Hyperlink"/>
            <w:i/>
            <w:iCs/>
          </w:rPr>
          <w:t>New satellite working group charts way forward for telco industry</w:t>
        </w:r>
      </w:hyperlink>
      <w:r>
        <w:t xml:space="preserve"> [media release], Australian Government, </w:t>
      </w:r>
      <w:r w:rsidRPr="000735E9">
        <w:t>Wednesday 15 February 2023,</w:t>
      </w:r>
      <w:r>
        <w:t xml:space="preserve"> accessed 23 March 2023</w:t>
      </w:r>
      <w:r w:rsidRPr="008E7236">
        <w:rPr>
          <w:rStyle w:val="Hyperlink"/>
          <w:color w:val="auto"/>
          <w:u w:val="none"/>
        </w:rPr>
        <w:t>.</w:t>
      </w:r>
    </w:p>
  </w:footnote>
  <w:footnote w:id="6">
    <w:p w14:paraId="72758435" w14:textId="77777777" w:rsidR="00374186" w:rsidRDefault="00374186" w:rsidP="000C0D21">
      <w:pPr>
        <w:pStyle w:val="FootnoteText"/>
      </w:pPr>
      <w:r>
        <w:rPr>
          <w:rStyle w:val="FootnoteReference"/>
        </w:rPr>
        <w:footnoteRef/>
      </w:r>
      <w:r>
        <w:t xml:space="preserve"> Technical conditions include maximum power, frequency range, out-of-band emissions limits, and geographical licence area. </w:t>
      </w:r>
    </w:p>
  </w:footnote>
  <w:footnote w:id="7">
    <w:p w14:paraId="0C16FAF0" w14:textId="6652C1DD" w:rsidR="00950386" w:rsidRDefault="00950386">
      <w:pPr>
        <w:pStyle w:val="FootnoteText"/>
      </w:pPr>
      <w:r>
        <w:rPr>
          <w:rStyle w:val="FootnoteReference"/>
        </w:rPr>
        <w:footnoteRef/>
      </w:r>
      <w:r>
        <w:t xml:space="preserve"> The ACMA has also created the area-wide receive licence, which authorises the operation of radiocommunications receivers.</w:t>
      </w:r>
    </w:p>
  </w:footnote>
  <w:footnote w:id="8">
    <w:p w14:paraId="699213AB" w14:textId="453D2552" w:rsidR="001B067D" w:rsidRDefault="001B067D" w:rsidP="001B067D">
      <w:pPr>
        <w:pStyle w:val="FootnoteText"/>
        <w:rPr>
          <w:lang w:val="en-US"/>
        </w:rPr>
      </w:pPr>
      <w:r>
        <w:rPr>
          <w:rStyle w:val="FootnoteReference"/>
          <w:rFonts w:cstheme="minorBidi"/>
        </w:rPr>
        <w:footnoteRef/>
      </w:r>
      <w:r>
        <w:t xml:space="preserve"> Specifically, procedures for submission and processing of applications for </w:t>
      </w:r>
      <w:hyperlink r:id="rId4" w:history="1">
        <w:r>
          <w:rPr>
            <w:rStyle w:val="Hyperlink"/>
          </w:rPr>
          <w:t>space and space receive apparatus licences</w:t>
        </w:r>
      </w:hyperlink>
      <w:r>
        <w:t xml:space="preserve"> and </w:t>
      </w:r>
      <w:hyperlink r:id="rId5" w:history="1">
        <w:r>
          <w:rPr>
            <w:rStyle w:val="Hyperlink"/>
          </w:rPr>
          <w:t>earth, earth receive apparatus licences and device registrations under area-wide apparatus licences for fixed earth stations</w:t>
        </w:r>
      </w:hyperlink>
      <w:r>
        <w:t>.</w:t>
      </w:r>
    </w:p>
  </w:footnote>
  <w:footnote w:id="9">
    <w:p w14:paraId="361042AD" w14:textId="5B24A894" w:rsidR="000717B1" w:rsidRDefault="000717B1">
      <w:pPr>
        <w:pStyle w:val="FootnoteText"/>
      </w:pPr>
      <w:r>
        <w:rPr>
          <w:rStyle w:val="FootnoteReference"/>
        </w:rPr>
        <w:footnoteRef/>
      </w:r>
      <w:r>
        <w:t xml:space="preserve"> SDL refers to use of the 1.5 </w:t>
      </w:r>
      <w:r w:rsidR="000B65C5">
        <w:t>G</w:t>
      </w:r>
      <w:r>
        <w:t>Hz band for downlink-only operations (base stations transmitting to user terminal receiver</w:t>
      </w:r>
      <w:r w:rsidR="000B65C5">
        <w:t xml:space="preserve">) to supplement existing FDD or TDD WBB operation in </w:t>
      </w:r>
      <w:r w:rsidR="00B452A2">
        <w:t>1</w:t>
      </w:r>
      <w:r w:rsidR="000B65C5">
        <w:t xml:space="preserve"> o</w:t>
      </w:r>
      <w:r w:rsidR="00B452A2">
        <w:t>r</w:t>
      </w:r>
      <w:r w:rsidR="000B65C5">
        <w:t xml:space="preserve"> more other bands.</w:t>
      </w:r>
    </w:p>
  </w:footnote>
  <w:footnote w:id="10">
    <w:p w14:paraId="78070A6A" w14:textId="77777777" w:rsidR="008E1FF8" w:rsidRDefault="008E1FF8" w:rsidP="008E1FF8">
      <w:pPr>
        <w:pStyle w:val="FootnoteText"/>
      </w:pPr>
      <w:r>
        <w:rPr>
          <w:rStyle w:val="FootnoteReference"/>
        </w:rPr>
        <w:footnoteRef/>
      </w:r>
      <w:r>
        <w:t xml:space="preserve"> This paper notes the intention to make a small change to the existing </w:t>
      </w:r>
      <w:r w:rsidRPr="00034851">
        <w:t>business operating procedure</w:t>
      </w:r>
      <w:r>
        <w:t xml:space="preserve"> if changes to the CSO class licence are made. </w:t>
      </w:r>
    </w:p>
  </w:footnote>
  <w:footnote w:id="11">
    <w:p w14:paraId="41276AC9" w14:textId="76DB80A5" w:rsidR="008E1FF8" w:rsidRDefault="008E1FF8" w:rsidP="008E1FF8">
      <w:pPr>
        <w:pStyle w:val="FootnoteText"/>
      </w:pPr>
      <w:r>
        <w:rPr>
          <w:rStyle w:val="FootnoteReference"/>
        </w:rPr>
        <w:footnoteRef/>
      </w:r>
      <w:r>
        <w:t xml:space="preserve"> In this regard, ITU Radio Regulations APPENDIX 5 (REV.WRC-19), Identification of administrations with which coordination is to be </w:t>
      </w:r>
      <w:r w:rsidR="00C32103">
        <w:t xml:space="preserve">effected </w:t>
      </w:r>
      <w:r>
        <w:t xml:space="preserve">or agreement sought under the provisions of Article 9 specifies coordination requirements that are relevant to Australia.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374186" w14:paraId="73D0709E" w14:textId="77777777" w:rsidTr="7697FD89">
      <w:tc>
        <w:tcPr>
          <w:tcW w:w="3260" w:type="dxa"/>
        </w:tcPr>
        <w:p w14:paraId="05CF2453" w14:textId="41476194" w:rsidR="00374186" w:rsidRDefault="00374186" w:rsidP="7697FD89">
          <w:pPr>
            <w:pStyle w:val="Header"/>
            <w:ind w:left="-115"/>
          </w:pPr>
        </w:p>
      </w:tc>
      <w:tc>
        <w:tcPr>
          <w:tcW w:w="3260" w:type="dxa"/>
        </w:tcPr>
        <w:p w14:paraId="177F06E5" w14:textId="68A6EF89" w:rsidR="00374186" w:rsidRDefault="00374186" w:rsidP="7697FD89">
          <w:pPr>
            <w:pStyle w:val="Header"/>
            <w:jc w:val="center"/>
          </w:pPr>
        </w:p>
      </w:tc>
      <w:tc>
        <w:tcPr>
          <w:tcW w:w="3260" w:type="dxa"/>
        </w:tcPr>
        <w:p w14:paraId="10C59E72" w14:textId="6A0BDE94" w:rsidR="00374186" w:rsidRDefault="00374186" w:rsidP="7697FD89">
          <w:pPr>
            <w:pStyle w:val="Header"/>
            <w:ind w:right="-115"/>
            <w:jc w:val="right"/>
          </w:pPr>
        </w:p>
      </w:tc>
    </w:tr>
  </w:tbl>
  <w:p w14:paraId="62148C5D" w14:textId="23C24541" w:rsidR="00374186" w:rsidRDefault="00374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838F" w14:textId="77777777" w:rsidR="00374186" w:rsidRPr="00A5474E" w:rsidRDefault="00374186" w:rsidP="00A5474E">
    <w:pPr>
      <w:pStyle w:val="Header"/>
    </w:pPr>
    <w:r>
      <w:rPr>
        <w:noProof/>
      </w:rPr>
      <w:drawing>
        <wp:inline distT="0" distB="0" distL="0" distR="0" wp14:anchorId="0BBCE850" wp14:editId="5272A2FA">
          <wp:extent cx="6210298" cy="571134"/>
          <wp:effectExtent l="0" t="0" r="0"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210298" cy="5711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D3A0" w14:textId="77777777" w:rsidR="00374186" w:rsidRPr="00A5474E" w:rsidRDefault="00374186"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F7E2" w14:textId="77777777" w:rsidR="00374186" w:rsidRDefault="003741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4EEE" w14:textId="77777777" w:rsidR="00374186" w:rsidRDefault="003741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374186" w14:paraId="3E88EDE2" w14:textId="77777777" w:rsidTr="00816D2B">
      <w:trPr>
        <w:trHeight w:hRule="exact" w:val="988"/>
      </w:trPr>
      <w:tc>
        <w:tcPr>
          <w:tcW w:w="7678" w:type="dxa"/>
          <w:shd w:val="clear" w:color="auto" w:fill="auto"/>
        </w:tcPr>
        <w:p w14:paraId="7E5FDC07" w14:textId="77777777" w:rsidR="00374186" w:rsidRDefault="00374186" w:rsidP="00971914">
          <w:pPr>
            <w:pStyle w:val="Header"/>
          </w:pPr>
        </w:p>
      </w:tc>
    </w:tr>
    <w:tr w:rsidR="00374186" w14:paraId="6AA9A36E" w14:textId="77777777" w:rsidTr="00816D2B">
      <w:tc>
        <w:tcPr>
          <w:tcW w:w="7678" w:type="dxa"/>
          <w:shd w:val="clear" w:color="auto" w:fill="auto"/>
        </w:tcPr>
        <w:p w14:paraId="261ABBF6" w14:textId="77777777" w:rsidR="00374186" w:rsidRDefault="00374186" w:rsidP="00971914">
          <w:pPr>
            <w:pStyle w:val="GridTable31"/>
          </w:pPr>
          <w:r>
            <w:t xml:space="preserve">Contents </w:t>
          </w:r>
          <w:r w:rsidRPr="00915B1C">
            <w:rPr>
              <w:b w:val="0"/>
              <w:spacing w:val="0"/>
              <w:sz w:val="28"/>
              <w:szCs w:val="28"/>
            </w:rPr>
            <w:t>(Continued)</w:t>
          </w:r>
        </w:p>
      </w:tc>
    </w:tr>
    <w:tr w:rsidR="00374186" w14:paraId="6F1ADF88" w14:textId="77777777" w:rsidTr="00816D2B">
      <w:trPr>
        <w:trHeight w:val="1220"/>
      </w:trPr>
      <w:tc>
        <w:tcPr>
          <w:tcW w:w="7678" w:type="dxa"/>
          <w:shd w:val="clear" w:color="auto" w:fill="auto"/>
        </w:tcPr>
        <w:p w14:paraId="08EFB5B7" w14:textId="77777777" w:rsidR="00374186" w:rsidRDefault="00374186" w:rsidP="00971914"/>
      </w:tc>
    </w:tr>
  </w:tbl>
  <w:p w14:paraId="74FE4B21" w14:textId="77777777" w:rsidR="00374186" w:rsidRDefault="00374186"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374186" w14:paraId="2741D778" w14:textId="77777777" w:rsidTr="00816D2B">
      <w:trPr>
        <w:trHeight w:hRule="exact" w:val="988"/>
      </w:trPr>
      <w:tc>
        <w:tcPr>
          <w:tcW w:w="7678" w:type="dxa"/>
          <w:shd w:val="clear" w:color="auto" w:fill="auto"/>
        </w:tcPr>
        <w:p w14:paraId="28BAF47B" w14:textId="77777777" w:rsidR="00374186" w:rsidRDefault="00374186" w:rsidP="00971914">
          <w:pPr>
            <w:pStyle w:val="Header"/>
          </w:pPr>
        </w:p>
      </w:tc>
    </w:tr>
    <w:tr w:rsidR="00374186" w14:paraId="5EE5F4CF" w14:textId="77777777" w:rsidTr="00816D2B">
      <w:tc>
        <w:tcPr>
          <w:tcW w:w="7678" w:type="dxa"/>
          <w:shd w:val="clear" w:color="auto" w:fill="auto"/>
        </w:tcPr>
        <w:p w14:paraId="23F3E6B2" w14:textId="77777777" w:rsidR="00374186" w:rsidRDefault="00374186" w:rsidP="00971914">
          <w:pPr>
            <w:pStyle w:val="GridTable31"/>
          </w:pPr>
          <w:r>
            <w:t xml:space="preserve">Contents </w:t>
          </w:r>
          <w:r w:rsidRPr="00915B1C">
            <w:rPr>
              <w:b w:val="0"/>
              <w:spacing w:val="0"/>
              <w:sz w:val="28"/>
              <w:szCs w:val="28"/>
            </w:rPr>
            <w:t>(Continued)</w:t>
          </w:r>
        </w:p>
      </w:tc>
    </w:tr>
    <w:tr w:rsidR="00374186" w14:paraId="5083EB68" w14:textId="77777777" w:rsidTr="00816D2B">
      <w:trPr>
        <w:trHeight w:val="1220"/>
      </w:trPr>
      <w:tc>
        <w:tcPr>
          <w:tcW w:w="7678" w:type="dxa"/>
          <w:shd w:val="clear" w:color="auto" w:fill="auto"/>
        </w:tcPr>
        <w:p w14:paraId="36ED813E" w14:textId="77777777" w:rsidR="00374186" w:rsidRDefault="00374186" w:rsidP="00971914"/>
      </w:tc>
    </w:tr>
  </w:tbl>
  <w:p w14:paraId="6FEAE459" w14:textId="77777777" w:rsidR="00374186" w:rsidRPr="00A5474E" w:rsidRDefault="00374186"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EB7F" w14:textId="77777777" w:rsidR="00374186" w:rsidRDefault="003741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5A1" w14:textId="77777777" w:rsidR="00374186" w:rsidRDefault="00374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1CDC48"/>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A4A28D4"/>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0552752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E4B01E0"/>
    <w:multiLevelType w:val="hybridMultilevel"/>
    <w:tmpl w:val="45F08C3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CBB6BF0"/>
    <w:multiLevelType w:val="hybridMultilevel"/>
    <w:tmpl w:val="9BDCC0E4"/>
    <w:lvl w:ilvl="0" w:tplc="DB24749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BE2AF6CE"/>
    <w:lvl w:ilvl="0" w:tplc="D05E2434">
      <w:start w:val="1"/>
      <w:numFmt w:val="bullet"/>
      <w:pStyle w:val="ACMABulletLevel1"/>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37370BB"/>
    <w:multiLevelType w:val="hybridMultilevel"/>
    <w:tmpl w:val="2CEA9B0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E726423"/>
    <w:multiLevelType w:val="hybridMultilevel"/>
    <w:tmpl w:val="DFD23B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A987256"/>
    <w:multiLevelType w:val="hybridMultilevel"/>
    <w:tmpl w:val="162CE998"/>
    <w:lvl w:ilvl="0" w:tplc="121044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9C073E"/>
    <w:multiLevelType w:val="hybridMultilevel"/>
    <w:tmpl w:val="0436F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F9410C"/>
    <w:multiLevelType w:val="hybridMultilevel"/>
    <w:tmpl w:val="E4A2A4CC"/>
    <w:lvl w:ilvl="0" w:tplc="0C09000F">
      <w:start w:val="1"/>
      <w:numFmt w:val="decimal"/>
      <w:lvlText w:val="%1."/>
      <w:lvlJc w:val="left"/>
      <w:pPr>
        <w:ind w:left="720" w:hanging="360"/>
      </w:pPr>
    </w:lvl>
    <w:lvl w:ilvl="1" w:tplc="DA50D02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30646C"/>
    <w:multiLevelType w:val="hybridMultilevel"/>
    <w:tmpl w:val="C040D86A"/>
    <w:lvl w:ilvl="0" w:tplc="D582818E">
      <w:start w:val="1"/>
      <w:numFmt w:val="bullet"/>
      <w:lvlText w:val=""/>
      <w:lvlJc w:val="left"/>
      <w:pPr>
        <w:ind w:left="1000" w:hanging="360"/>
      </w:pPr>
      <w:rPr>
        <w:rFonts w:ascii="Symbol" w:hAnsi="Symbol"/>
      </w:rPr>
    </w:lvl>
    <w:lvl w:ilvl="1" w:tplc="A24267B8">
      <w:start w:val="1"/>
      <w:numFmt w:val="bullet"/>
      <w:lvlText w:val=""/>
      <w:lvlJc w:val="left"/>
      <w:pPr>
        <w:ind w:left="1000" w:hanging="360"/>
      </w:pPr>
      <w:rPr>
        <w:rFonts w:ascii="Symbol" w:hAnsi="Symbol"/>
      </w:rPr>
    </w:lvl>
    <w:lvl w:ilvl="2" w:tplc="97287EBE">
      <w:start w:val="1"/>
      <w:numFmt w:val="bullet"/>
      <w:lvlText w:val=""/>
      <w:lvlJc w:val="left"/>
      <w:pPr>
        <w:ind w:left="1000" w:hanging="360"/>
      </w:pPr>
      <w:rPr>
        <w:rFonts w:ascii="Symbol" w:hAnsi="Symbol"/>
      </w:rPr>
    </w:lvl>
    <w:lvl w:ilvl="3" w:tplc="A1248C92">
      <w:start w:val="1"/>
      <w:numFmt w:val="bullet"/>
      <w:lvlText w:val=""/>
      <w:lvlJc w:val="left"/>
      <w:pPr>
        <w:ind w:left="1000" w:hanging="360"/>
      </w:pPr>
      <w:rPr>
        <w:rFonts w:ascii="Symbol" w:hAnsi="Symbol"/>
      </w:rPr>
    </w:lvl>
    <w:lvl w:ilvl="4" w:tplc="5B9E4986">
      <w:start w:val="1"/>
      <w:numFmt w:val="bullet"/>
      <w:lvlText w:val=""/>
      <w:lvlJc w:val="left"/>
      <w:pPr>
        <w:ind w:left="1000" w:hanging="360"/>
      </w:pPr>
      <w:rPr>
        <w:rFonts w:ascii="Symbol" w:hAnsi="Symbol"/>
      </w:rPr>
    </w:lvl>
    <w:lvl w:ilvl="5" w:tplc="E6644618">
      <w:start w:val="1"/>
      <w:numFmt w:val="bullet"/>
      <w:lvlText w:val=""/>
      <w:lvlJc w:val="left"/>
      <w:pPr>
        <w:ind w:left="1000" w:hanging="360"/>
      </w:pPr>
      <w:rPr>
        <w:rFonts w:ascii="Symbol" w:hAnsi="Symbol"/>
      </w:rPr>
    </w:lvl>
    <w:lvl w:ilvl="6" w:tplc="72906276">
      <w:start w:val="1"/>
      <w:numFmt w:val="bullet"/>
      <w:lvlText w:val=""/>
      <w:lvlJc w:val="left"/>
      <w:pPr>
        <w:ind w:left="1000" w:hanging="360"/>
      </w:pPr>
      <w:rPr>
        <w:rFonts w:ascii="Symbol" w:hAnsi="Symbol"/>
      </w:rPr>
    </w:lvl>
    <w:lvl w:ilvl="7" w:tplc="DB6C38BC">
      <w:start w:val="1"/>
      <w:numFmt w:val="bullet"/>
      <w:lvlText w:val=""/>
      <w:lvlJc w:val="left"/>
      <w:pPr>
        <w:ind w:left="1000" w:hanging="360"/>
      </w:pPr>
      <w:rPr>
        <w:rFonts w:ascii="Symbol" w:hAnsi="Symbol"/>
      </w:rPr>
    </w:lvl>
    <w:lvl w:ilvl="8" w:tplc="1248BDD6">
      <w:start w:val="1"/>
      <w:numFmt w:val="bullet"/>
      <w:lvlText w:val=""/>
      <w:lvlJc w:val="left"/>
      <w:pPr>
        <w:ind w:left="1000" w:hanging="360"/>
      </w:pPr>
      <w:rPr>
        <w:rFonts w:ascii="Symbol" w:hAnsi="Symbol"/>
      </w:rPr>
    </w:lvl>
  </w:abstractNum>
  <w:abstractNum w:abstractNumId="14"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20378"/>
    <w:multiLevelType w:val="multilevel"/>
    <w:tmpl w:val="75CEFEB4"/>
    <w:lvl w:ilvl="0">
      <w:start w:val="1"/>
      <w:numFmt w:val="decimal"/>
      <w:lvlText w:val="%1."/>
      <w:lvlJc w:val="left"/>
      <w:pPr>
        <w:ind w:left="644" w:hanging="360"/>
      </w:pPr>
    </w:lvl>
    <w:lvl w:ilvl="1">
      <w:start w:val="7"/>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A954D2D"/>
    <w:multiLevelType w:val="hybridMultilevel"/>
    <w:tmpl w:val="DD50C584"/>
    <w:lvl w:ilvl="0" w:tplc="0C090017">
      <w:start w:val="1"/>
      <w:numFmt w:val="lowerLetter"/>
      <w:lvlText w:val="%1)"/>
      <w:lvlJc w:val="left"/>
      <w:pPr>
        <w:ind w:left="360" w:hanging="360"/>
      </w:pPr>
    </w:lvl>
    <w:lvl w:ilvl="1" w:tplc="E444AD82">
      <w:start w:val="1"/>
      <w:numFmt w:val="lowerRoman"/>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5B824270"/>
    <w:multiLevelType w:val="hybridMultilevel"/>
    <w:tmpl w:val="DFD23B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0DF03E9"/>
    <w:multiLevelType w:val="hybridMultilevel"/>
    <w:tmpl w:val="6F1C0418"/>
    <w:lvl w:ilvl="0" w:tplc="4530D33A">
      <w:start w:val="1"/>
      <w:numFmt w:val="bullet"/>
      <w:lvlText w:val=""/>
      <w:lvlJc w:val="left"/>
      <w:pPr>
        <w:ind w:left="1000" w:hanging="360"/>
      </w:pPr>
      <w:rPr>
        <w:rFonts w:ascii="Symbol" w:hAnsi="Symbol"/>
      </w:rPr>
    </w:lvl>
    <w:lvl w:ilvl="1" w:tplc="F5706B44">
      <w:start w:val="1"/>
      <w:numFmt w:val="bullet"/>
      <w:lvlText w:val=""/>
      <w:lvlJc w:val="left"/>
      <w:pPr>
        <w:ind w:left="1000" w:hanging="360"/>
      </w:pPr>
      <w:rPr>
        <w:rFonts w:ascii="Symbol" w:hAnsi="Symbol"/>
      </w:rPr>
    </w:lvl>
    <w:lvl w:ilvl="2" w:tplc="9B42D642">
      <w:start w:val="1"/>
      <w:numFmt w:val="bullet"/>
      <w:lvlText w:val=""/>
      <w:lvlJc w:val="left"/>
      <w:pPr>
        <w:ind w:left="1000" w:hanging="360"/>
      </w:pPr>
      <w:rPr>
        <w:rFonts w:ascii="Symbol" w:hAnsi="Symbol"/>
      </w:rPr>
    </w:lvl>
    <w:lvl w:ilvl="3" w:tplc="227E9A7A">
      <w:start w:val="1"/>
      <w:numFmt w:val="bullet"/>
      <w:lvlText w:val=""/>
      <w:lvlJc w:val="left"/>
      <w:pPr>
        <w:ind w:left="1000" w:hanging="360"/>
      </w:pPr>
      <w:rPr>
        <w:rFonts w:ascii="Symbol" w:hAnsi="Symbol"/>
      </w:rPr>
    </w:lvl>
    <w:lvl w:ilvl="4" w:tplc="C45E04B8">
      <w:start w:val="1"/>
      <w:numFmt w:val="bullet"/>
      <w:lvlText w:val=""/>
      <w:lvlJc w:val="left"/>
      <w:pPr>
        <w:ind w:left="1000" w:hanging="360"/>
      </w:pPr>
      <w:rPr>
        <w:rFonts w:ascii="Symbol" w:hAnsi="Symbol"/>
      </w:rPr>
    </w:lvl>
    <w:lvl w:ilvl="5" w:tplc="5E9020BE">
      <w:start w:val="1"/>
      <w:numFmt w:val="bullet"/>
      <w:lvlText w:val=""/>
      <w:lvlJc w:val="left"/>
      <w:pPr>
        <w:ind w:left="1000" w:hanging="360"/>
      </w:pPr>
      <w:rPr>
        <w:rFonts w:ascii="Symbol" w:hAnsi="Symbol"/>
      </w:rPr>
    </w:lvl>
    <w:lvl w:ilvl="6" w:tplc="97729EDC">
      <w:start w:val="1"/>
      <w:numFmt w:val="bullet"/>
      <w:lvlText w:val=""/>
      <w:lvlJc w:val="left"/>
      <w:pPr>
        <w:ind w:left="1000" w:hanging="360"/>
      </w:pPr>
      <w:rPr>
        <w:rFonts w:ascii="Symbol" w:hAnsi="Symbol"/>
      </w:rPr>
    </w:lvl>
    <w:lvl w:ilvl="7" w:tplc="E9B460C4">
      <w:start w:val="1"/>
      <w:numFmt w:val="bullet"/>
      <w:lvlText w:val=""/>
      <w:lvlJc w:val="left"/>
      <w:pPr>
        <w:ind w:left="1000" w:hanging="360"/>
      </w:pPr>
      <w:rPr>
        <w:rFonts w:ascii="Symbol" w:hAnsi="Symbol"/>
      </w:rPr>
    </w:lvl>
    <w:lvl w:ilvl="8" w:tplc="BF768734">
      <w:start w:val="1"/>
      <w:numFmt w:val="bullet"/>
      <w:lvlText w:val=""/>
      <w:lvlJc w:val="left"/>
      <w:pPr>
        <w:ind w:left="1000" w:hanging="360"/>
      </w:pPr>
      <w:rPr>
        <w:rFonts w:ascii="Symbol" w:hAnsi="Symbol"/>
      </w:rPr>
    </w:lvl>
  </w:abstractNum>
  <w:abstractNum w:abstractNumId="1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71478"/>
    <w:multiLevelType w:val="hybridMultilevel"/>
    <w:tmpl w:val="8B7474FA"/>
    <w:lvl w:ilvl="0" w:tplc="30661376">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42CF3"/>
    <w:multiLevelType w:val="hybridMultilevel"/>
    <w:tmpl w:val="45F08C38"/>
    <w:lvl w:ilvl="0" w:tplc="0C09000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7E027592"/>
    <w:multiLevelType w:val="hybridMultilevel"/>
    <w:tmpl w:val="597A22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184594512">
    <w:abstractNumId w:val="3"/>
  </w:num>
  <w:num w:numId="2" w16cid:durableId="661082461">
    <w:abstractNumId w:val="1"/>
  </w:num>
  <w:num w:numId="3" w16cid:durableId="1520585833">
    <w:abstractNumId w:val="2"/>
  </w:num>
  <w:num w:numId="4" w16cid:durableId="1849446089">
    <w:abstractNumId w:val="0"/>
  </w:num>
  <w:num w:numId="5" w16cid:durableId="796604034">
    <w:abstractNumId w:val="6"/>
  </w:num>
  <w:num w:numId="6" w16cid:durableId="702679624">
    <w:abstractNumId w:val="20"/>
  </w:num>
  <w:num w:numId="7" w16cid:durableId="1237592559">
    <w:abstractNumId w:val="14"/>
  </w:num>
  <w:num w:numId="8" w16cid:durableId="242180351">
    <w:abstractNumId w:val="19"/>
  </w:num>
  <w:num w:numId="9" w16cid:durableId="363867979">
    <w:abstractNumId w:val="21"/>
  </w:num>
  <w:num w:numId="10" w16cid:durableId="1503542191">
    <w:abstractNumId w:val="7"/>
  </w:num>
  <w:num w:numId="11" w16cid:durableId="2058049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243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6947584">
    <w:abstractNumId w:val="12"/>
  </w:num>
  <w:num w:numId="14" w16cid:durableId="188841512">
    <w:abstractNumId w:val="11"/>
  </w:num>
  <w:num w:numId="15" w16cid:durableId="578444011">
    <w:abstractNumId w:val="8"/>
  </w:num>
  <w:num w:numId="16" w16cid:durableId="1338114977">
    <w:abstractNumId w:val="22"/>
  </w:num>
  <w:num w:numId="17" w16cid:durableId="103035225">
    <w:abstractNumId w:val="9"/>
  </w:num>
  <w:num w:numId="18" w16cid:durableId="4670409">
    <w:abstractNumId w:val="17"/>
  </w:num>
  <w:num w:numId="19" w16cid:durableId="862549493">
    <w:abstractNumId w:val="15"/>
  </w:num>
  <w:num w:numId="20" w16cid:durableId="1148866435">
    <w:abstractNumId w:val="3"/>
  </w:num>
  <w:num w:numId="21" w16cid:durableId="348141953">
    <w:abstractNumId w:val="4"/>
  </w:num>
  <w:num w:numId="22" w16cid:durableId="771634071">
    <w:abstractNumId w:val="18"/>
  </w:num>
  <w:num w:numId="23" w16cid:durableId="986938074">
    <w:abstractNumId w:val="13"/>
  </w:num>
  <w:num w:numId="24" w16cid:durableId="20784138">
    <w:abstractNumId w:val="3"/>
  </w:num>
  <w:num w:numId="25" w16cid:durableId="311369045">
    <w:abstractNumId w:val="3"/>
  </w:num>
  <w:num w:numId="26" w16cid:durableId="824056465">
    <w:abstractNumId w:val="3"/>
  </w:num>
  <w:num w:numId="27" w16cid:durableId="280067706">
    <w:abstractNumId w:val="3"/>
  </w:num>
  <w:num w:numId="28" w16cid:durableId="251857463">
    <w:abstractNumId w:val="10"/>
  </w:num>
  <w:num w:numId="29" w16cid:durableId="1001591838">
    <w:abstractNumId w:val="3"/>
  </w:num>
  <w:num w:numId="30" w16cid:durableId="1592813916">
    <w:abstractNumId w:val="3"/>
  </w:num>
  <w:num w:numId="31" w16cid:durableId="1088313074">
    <w:abstractNumId w:val="3"/>
  </w:num>
  <w:num w:numId="32" w16cid:durableId="1550874486">
    <w:abstractNumId w:val="2"/>
    <w:lvlOverride w:ilvl="0">
      <w:startOverride w:val="1"/>
    </w:lvlOverride>
  </w:num>
  <w:num w:numId="33" w16cid:durableId="418215980">
    <w:abstractNumId w:val="0"/>
    <w:lvlOverride w:ilvl="0">
      <w:startOverride w:val="1"/>
    </w:lvlOverride>
  </w:num>
  <w:num w:numId="34" w16cid:durableId="34038757">
    <w:abstractNumId w:val="2"/>
    <w:lvlOverride w:ilvl="0">
      <w:startOverride w:val="1"/>
    </w:lvlOverride>
  </w:num>
  <w:num w:numId="35" w16cid:durableId="562642306">
    <w:abstractNumId w:val="2"/>
  </w:num>
  <w:num w:numId="36" w16cid:durableId="1303119350">
    <w:abstractNumId w:val="2"/>
    <w:lvlOverride w:ilvl="0">
      <w:startOverride w:val="1"/>
    </w:lvlOverride>
  </w:num>
  <w:num w:numId="37" w16cid:durableId="1651254806">
    <w:abstractNumId w:val="3"/>
  </w:num>
  <w:num w:numId="38" w16cid:durableId="2008090089">
    <w:abstractNumId w:val="5"/>
  </w:num>
  <w:num w:numId="39" w16cid:durableId="2055156158">
    <w:abstractNumId w:val="3"/>
  </w:num>
  <w:num w:numId="40" w16cid:durableId="1709068081">
    <w:abstractNumId w:val="2"/>
  </w:num>
  <w:num w:numId="41" w16cid:durableId="1982147962">
    <w:abstractNumId w:val="2"/>
    <w:lvlOverride w:ilvl="0">
      <w:startOverride w:val="1"/>
    </w:lvlOverride>
  </w:num>
  <w:num w:numId="42" w16cid:durableId="448284883">
    <w:abstractNumId w:val="2"/>
  </w:num>
  <w:num w:numId="43" w16cid:durableId="249387281">
    <w:abstractNumId w:val="3"/>
  </w:num>
  <w:num w:numId="44" w16cid:durableId="943222168">
    <w:abstractNumId w:val="3"/>
  </w:num>
  <w:num w:numId="45" w16cid:durableId="549338782">
    <w:abstractNumId w:val="2"/>
    <w:lvlOverride w:ilvl="0">
      <w:startOverride w:val="1"/>
    </w:lvlOverride>
  </w:num>
  <w:num w:numId="46" w16cid:durableId="1638219555">
    <w:abstractNumId w:val="0"/>
    <w:lvlOverride w:ilvl="0">
      <w:startOverride w:val="1"/>
    </w:lvlOverride>
  </w:num>
  <w:num w:numId="47" w16cid:durableId="1559706431">
    <w:abstractNumId w:val="2"/>
    <w:lvlOverride w:ilvl="0">
      <w:startOverride w:val="1"/>
    </w:lvlOverride>
  </w:num>
  <w:num w:numId="48" w16cid:durableId="1496919509">
    <w:abstractNumId w:val="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savePreviewPicture/>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8"/>
    <w:rsid w:val="000007F2"/>
    <w:rsid w:val="00002E18"/>
    <w:rsid w:val="00003BA4"/>
    <w:rsid w:val="000047DF"/>
    <w:rsid w:val="00004BB7"/>
    <w:rsid w:val="00004DDF"/>
    <w:rsid w:val="00005616"/>
    <w:rsid w:val="000058E6"/>
    <w:rsid w:val="00005CEE"/>
    <w:rsid w:val="00006DFC"/>
    <w:rsid w:val="00006E49"/>
    <w:rsid w:val="00006F56"/>
    <w:rsid w:val="000075A7"/>
    <w:rsid w:val="000075CD"/>
    <w:rsid w:val="00007F54"/>
    <w:rsid w:val="00007F9A"/>
    <w:rsid w:val="00007FAE"/>
    <w:rsid w:val="00010667"/>
    <w:rsid w:val="00010972"/>
    <w:rsid w:val="00010C06"/>
    <w:rsid w:val="00011069"/>
    <w:rsid w:val="0001110A"/>
    <w:rsid w:val="000114B8"/>
    <w:rsid w:val="00011A68"/>
    <w:rsid w:val="00011E27"/>
    <w:rsid w:val="00011F02"/>
    <w:rsid w:val="00012090"/>
    <w:rsid w:val="00012535"/>
    <w:rsid w:val="000126DF"/>
    <w:rsid w:val="00012846"/>
    <w:rsid w:val="00012942"/>
    <w:rsid w:val="000129D5"/>
    <w:rsid w:val="00012C96"/>
    <w:rsid w:val="00013009"/>
    <w:rsid w:val="000131B5"/>
    <w:rsid w:val="0001356A"/>
    <w:rsid w:val="00013E95"/>
    <w:rsid w:val="00013EB5"/>
    <w:rsid w:val="000144FA"/>
    <w:rsid w:val="0001450D"/>
    <w:rsid w:val="000145F6"/>
    <w:rsid w:val="00014AEC"/>
    <w:rsid w:val="000150FD"/>
    <w:rsid w:val="0001525D"/>
    <w:rsid w:val="00015970"/>
    <w:rsid w:val="00015ADA"/>
    <w:rsid w:val="00015AE7"/>
    <w:rsid w:val="00016E21"/>
    <w:rsid w:val="00016FF8"/>
    <w:rsid w:val="0001719C"/>
    <w:rsid w:val="000177B4"/>
    <w:rsid w:val="00020393"/>
    <w:rsid w:val="000217AF"/>
    <w:rsid w:val="00021EFE"/>
    <w:rsid w:val="0002224E"/>
    <w:rsid w:val="00022C05"/>
    <w:rsid w:val="00022E7C"/>
    <w:rsid w:val="000238EF"/>
    <w:rsid w:val="000239F3"/>
    <w:rsid w:val="00023D92"/>
    <w:rsid w:val="00024112"/>
    <w:rsid w:val="000242ED"/>
    <w:rsid w:val="000245E5"/>
    <w:rsid w:val="00024678"/>
    <w:rsid w:val="000246F0"/>
    <w:rsid w:val="000249A1"/>
    <w:rsid w:val="00024C51"/>
    <w:rsid w:val="00024E88"/>
    <w:rsid w:val="000251D9"/>
    <w:rsid w:val="00025630"/>
    <w:rsid w:val="00025881"/>
    <w:rsid w:val="00025B77"/>
    <w:rsid w:val="00026068"/>
    <w:rsid w:val="000262D7"/>
    <w:rsid w:val="00026308"/>
    <w:rsid w:val="000265CA"/>
    <w:rsid w:val="0002678B"/>
    <w:rsid w:val="000269FB"/>
    <w:rsid w:val="00026D8E"/>
    <w:rsid w:val="00026F91"/>
    <w:rsid w:val="00027543"/>
    <w:rsid w:val="00027760"/>
    <w:rsid w:val="00027AC9"/>
    <w:rsid w:val="00027B26"/>
    <w:rsid w:val="00027F2C"/>
    <w:rsid w:val="00027F59"/>
    <w:rsid w:val="000304D9"/>
    <w:rsid w:val="00030516"/>
    <w:rsid w:val="000307ED"/>
    <w:rsid w:val="00030915"/>
    <w:rsid w:val="000309F5"/>
    <w:rsid w:val="00030AA4"/>
    <w:rsid w:val="00030DEB"/>
    <w:rsid w:val="00031558"/>
    <w:rsid w:val="00031A43"/>
    <w:rsid w:val="00031FEB"/>
    <w:rsid w:val="000322EC"/>
    <w:rsid w:val="00032368"/>
    <w:rsid w:val="00032621"/>
    <w:rsid w:val="00032670"/>
    <w:rsid w:val="00032BE7"/>
    <w:rsid w:val="00032EE2"/>
    <w:rsid w:val="000330B6"/>
    <w:rsid w:val="000336B4"/>
    <w:rsid w:val="00033860"/>
    <w:rsid w:val="00034650"/>
    <w:rsid w:val="00035210"/>
    <w:rsid w:val="00036412"/>
    <w:rsid w:val="0003719C"/>
    <w:rsid w:val="0003744A"/>
    <w:rsid w:val="000377CE"/>
    <w:rsid w:val="0004073C"/>
    <w:rsid w:val="00040E79"/>
    <w:rsid w:val="000412EB"/>
    <w:rsid w:val="0004133B"/>
    <w:rsid w:val="00041545"/>
    <w:rsid w:val="0004154B"/>
    <w:rsid w:val="00041A8B"/>
    <w:rsid w:val="00042745"/>
    <w:rsid w:val="00042C0A"/>
    <w:rsid w:val="00042EDE"/>
    <w:rsid w:val="0004380E"/>
    <w:rsid w:val="00043E16"/>
    <w:rsid w:val="00044277"/>
    <w:rsid w:val="0004442F"/>
    <w:rsid w:val="000447D7"/>
    <w:rsid w:val="0004488B"/>
    <w:rsid w:val="000453FA"/>
    <w:rsid w:val="000456F3"/>
    <w:rsid w:val="00045957"/>
    <w:rsid w:val="00045D2B"/>
    <w:rsid w:val="00045E51"/>
    <w:rsid w:val="000460AB"/>
    <w:rsid w:val="0004674F"/>
    <w:rsid w:val="00046F6A"/>
    <w:rsid w:val="00047399"/>
    <w:rsid w:val="00047549"/>
    <w:rsid w:val="0004764C"/>
    <w:rsid w:val="0004774A"/>
    <w:rsid w:val="00047B57"/>
    <w:rsid w:val="00047C06"/>
    <w:rsid w:val="00047D4D"/>
    <w:rsid w:val="00050073"/>
    <w:rsid w:val="0005011A"/>
    <w:rsid w:val="0005045A"/>
    <w:rsid w:val="00050BB7"/>
    <w:rsid w:val="00050D00"/>
    <w:rsid w:val="000511CF"/>
    <w:rsid w:val="000514BB"/>
    <w:rsid w:val="00051635"/>
    <w:rsid w:val="00051C1E"/>
    <w:rsid w:val="00052266"/>
    <w:rsid w:val="00052447"/>
    <w:rsid w:val="00052574"/>
    <w:rsid w:val="000529A1"/>
    <w:rsid w:val="00052B5D"/>
    <w:rsid w:val="00052DB5"/>
    <w:rsid w:val="0005300A"/>
    <w:rsid w:val="000539F9"/>
    <w:rsid w:val="00053A33"/>
    <w:rsid w:val="00053A9F"/>
    <w:rsid w:val="00053C57"/>
    <w:rsid w:val="00053C7C"/>
    <w:rsid w:val="00053DD7"/>
    <w:rsid w:val="00054045"/>
    <w:rsid w:val="000544B2"/>
    <w:rsid w:val="0005456D"/>
    <w:rsid w:val="00054C27"/>
    <w:rsid w:val="00054F5B"/>
    <w:rsid w:val="00055331"/>
    <w:rsid w:val="00055A0B"/>
    <w:rsid w:val="00055A98"/>
    <w:rsid w:val="00055ACE"/>
    <w:rsid w:val="00055C1C"/>
    <w:rsid w:val="00055EC3"/>
    <w:rsid w:val="0005624E"/>
    <w:rsid w:val="000563CE"/>
    <w:rsid w:val="000579E8"/>
    <w:rsid w:val="00057B15"/>
    <w:rsid w:val="00057DAC"/>
    <w:rsid w:val="0006027C"/>
    <w:rsid w:val="0006059D"/>
    <w:rsid w:val="0006075E"/>
    <w:rsid w:val="00060E9D"/>
    <w:rsid w:val="00061973"/>
    <w:rsid w:val="00061AE3"/>
    <w:rsid w:val="00062987"/>
    <w:rsid w:val="00062E85"/>
    <w:rsid w:val="000636C9"/>
    <w:rsid w:val="00063727"/>
    <w:rsid w:val="00063780"/>
    <w:rsid w:val="00063C64"/>
    <w:rsid w:val="00064159"/>
    <w:rsid w:val="000643C5"/>
    <w:rsid w:val="000653B1"/>
    <w:rsid w:val="00065942"/>
    <w:rsid w:val="000659B6"/>
    <w:rsid w:val="00065F22"/>
    <w:rsid w:val="00066046"/>
    <w:rsid w:val="0006686F"/>
    <w:rsid w:val="0006687F"/>
    <w:rsid w:val="00066AAA"/>
    <w:rsid w:val="00066BA1"/>
    <w:rsid w:val="0006722A"/>
    <w:rsid w:val="00067A67"/>
    <w:rsid w:val="000700B8"/>
    <w:rsid w:val="00070109"/>
    <w:rsid w:val="00070269"/>
    <w:rsid w:val="000707DC"/>
    <w:rsid w:val="00070AEC"/>
    <w:rsid w:val="0007153B"/>
    <w:rsid w:val="0007173B"/>
    <w:rsid w:val="000717B1"/>
    <w:rsid w:val="0007198E"/>
    <w:rsid w:val="00071BC0"/>
    <w:rsid w:val="00072791"/>
    <w:rsid w:val="0007281B"/>
    <w:rsid w:val="00072AE1"/>
    <w:rsid w:val="00072B32"/>
    <w:rsid w:val="00072D42"/>
    <w:rsid w:val="0007323B"/>
    <w:rsid w:val="000732CF"/>
    <w:rsid w:val="000733AD"/>
    <w:rsid w:val="000736C0"/>
    <w:rsid w:val="0007386D"/>
    <w:rsid w:val="000742CF"/>
    <w:rsid w:val="0007449F"/>
    <w:rsid w:val="00074B5A"/>
    <w:rsid w:val="00074BEA"/>
    <w:rsid w:val="00074FA6"/>
    <w:rsid w:val="00074FB8"/>
    <w:rsid w:val="00075A8B"/>
    <w:rsid w:val="00075B96"/>
    <w:rsid w:val="00075DAD"/>
    <w:rsid w:val="00076414"/>
    <w:rsid w:val="000768D2"/>
    <w:rsid w:val="00076B20"/>
    <w:rsid w:val="00076F31"/>
    <w:rsid w:val="00077419"/>
    <w:rsid w:val="000775EC"/>
    <w:rsid w:val="000807D7"/>
    <w:rsid w:val="00080982"/>
    <w:rsid w:val="000810AD"/>
    <w:rsid w:val="0008196A"/>
    <w:rsid w:val="00081D8B"/>
    <w:rsid w:val="000828AC"/>
    <w:rsid w:val="00083A99"/>
    <w:rsid w:val="00083B49"/>
    <w:rsid w:val="00083E1F"/>
    <w:rsid w:val="00084D7E"/>
    <w:rsid w:val="00084F1C"/>
    <w:rsid w:val="000851E5"/>
    <w:rsid w:val="000852A4"/>
    <w:rsid w:val="000853F0"/>
    <w:rsid w:val="000853FC"/>
    <w:rsid w:val="00085558"/>
    <w:rsid w:val="00085C3E"/>
    <w:rsid w:val="00086307"/>
    <w:rsid w:val="00086480"/>
    <w:rsid w:val="00086948"/>
    <w:rsid w:val="00086DE2"/>
    <w:rsid w:val="000877D5"/>
    <w:rsid w:val="0008799F"/>
    <w:rsid w:val="0009036D"/>
    <w:rsid w:val="000906F8"/>
    <w:rsid w:val="0009075C"/>
    <w:rsid w:val="00090A90"/>
    <w:rsid w:val="00090E0B"/>
    <w:rsid w:val="00090F64"/>
    <w:rsid w:val="000910EB"/>
    <w:rsid w:val="00091331"/>
    <w:rsid w:val="00091467"/>
    <w:rsid w:val="000915ED"/>
    <w:rsid w:val="000917A0"/>
    <w:rsid w:val="00091BC4"/>
    <w:rsid w:val="0009207A"/>
    <w:rsid w:val="0009209D"/>
    <w:rsid w:val="00092253"/>
    <w:rsid w:val="00092671"/>
    <w:rsid w:val="00092821"/>
    <w:rsid w:val="00092F93"/>
    <w:rsid w:val="0009320A"/>
    <w:rsid w:val="000932F6"/>
    <w:rsid w:val="0009463C"/>
    <w:rsid w:val="000946AF"/>
    <w:rsid w:val="00094A56"/>
    <w:rsid w:val="00094D59"/>
    <w:rsid w:val="000969BD"/>
    <w:rsid w:val="000969BF"/>
    <w:rsid w:val="00096A46"/>
    <w:rsid w:val="00096A7E"/>
    <w:rsid w:val="00096D3E"/>
    <w:rsid w:val="000974E0"/>
    <w:rsid w:val="000979FB"/>
    <w:rsid w:val="000A06F0"/>
    <w:rsid w:val="000A07CE"/>
    <w:rsid w:val="000A0C22"/>
    <w:rsid w:val="000A0FF3"/>
    <w:rsid w:val="000A1400"/>
    <w:rsid w:val="000A1472"/>
    <w:rsid w:val="000A1D33"/>
    <w:rsid w:val="000A21D6"/>
    <w:rsid w:val="000A244E"/>
    <w:rsid w:val="000A272B"/>
    <w:rsid w:val="000A2A2A"/>
    <w:rsid w:val="000A30F8"/>
    <w:rsid w:val="000A31AD"/>
    <w:rsid w:val="000A38A5"/>
    <w:rsid w:val="000A3C43"/>
    <w:rsid w:val="000A3E43"/>
    <w:rsid w:val="000A4058"/>
    <w:rsid w:val="000A41D8"/>
    <w:rsid w:val="000A44C4"/>
    <w:rsid w:val="000A4A51"/>
    <w:rsid w:val="000A4B3A"/>
    <w:rsid w:val="000A524C"/>
    <w:rsid w:val="000A54EF"/>
    <w:rsid w:val="000A5669"/>
    <w:rsid w:val="000A571D"/>
    <w:rsid w:val="000A5C9F"/>
    <w:rsid w:val="000A5D2B"/>
    <w:rsid w:val="000A5F76"/>
    <w:rsid w:val="000A6574"/>
    <w:rsid w:val="000A6836"/>
    <w:rsid w:val="000A6946"/>
    <w:rsid w:val="000A6CCA"/>
    <w:rsid w:val="000A7558"/>
    <w:rsid w:val="000A79E2"/>
    <w:rsid w:val="000A7B38"/>
    <w:rsid w:val="000A7B99"/>
    <w:rsid w:val="000A7CBC"/>
    <w:rsid w:val="000B01AD"/>
    <w:rsid w:val="000B03FD"/>
    <w:rsid w:val="000B0536"/>
    <w:rsid w:val="000B0619"/>
    <w:rsid w:val="000B0689"/>
    <w:rsid w:val="000B0B60"/>
    <w:rsid w:val="000B0C63"/>
    <w:rsid w:val="000B0CAB"/>
    <w:rsid w:val="000B1278"/>
    <w:rsid w:val="000B2480"/>
    <w:rsid w:val="000B2BFB"/>
    <w:rsid w:val="000B2E78"/>
    <w:rsid w:val="000B2FF3"/>
    <w:rsid w:val="000B300A"/>
    <w:rsid w:val="000B3532"/>
    <w:rsid w:val="000B3605"/>
    <w:rsid w:val="000B3B04"/>
    <w:rsid w:val="000B3B40"/>
    <w:rsid w:val="000B3C8E"/>
    <w:rsid w:val="000B3E23"/>
    <w:rsid w:val="000B4664"/>
    <w:rsid w:val="000B47DF"/>
    <w:rsid w:val="000B4B69"/>
    <w:rsid w:val="000B4EA5"/>
    <w:rsid w:val="000B5053"/>
    <w:rsid w:val="000B597C"/>
    <w:rsid w:val="000B5A6D"/>
    <w:rsid w:val="000B5A7F"/>
    <w:rsid w:val="000B5C86"/>
    <w:rsid w:val="000B5DE3"/>
    <w:rsid w:val="000B5F5F"/>
    <w:rsid w:val="000B65C5"/>
    <w:rsid w:val="000B6B28"/>
    <w:rsid w:val="000B70AF"/>
    <w:rsid w:val="000B70DF"/>
    <w:rsid w:val="000B74EE"/>
    <w:rsid w:val="000B7557"/>
    <w:rsid w:val="000B79EB"/>
    <w:rsid w:val="000B7BE6"/>
    <w:rsid w:val="000C049C"/>
    <w:rsid w:val="000C08A2"/>
    <w:rsid w:val="000C0A57"/>
    <w:rsid w:val="000C0D21"/>
    <w:rsid w:val="000C0E15"/>
    <w:rsid w:val="000C116A"/>
    <w:rsid w:val="000C13FB"/>
    <w:rsid w:val="000C1DFE"/>
    <w:rsid w:val="000C1E3F"/>
    <w:rsid w:val="000C230C"/>
    <w:rsid w:val="000C28E5"/>
    <w:rsid w:val="000C2B7D"/>
    <w:rsid w:val="000C44EF"/>
    <w:rsid w:val="000C486B"/>
    <w:rsid w:val="000C5733"/>
    <w:rsid w:val="000C585B"/>
    <w:rsid w:val="000C62BE"/>
    <w:rsid w:val="000C631D"/>
    <w:rsid w:val="000C6661"/>
    <w:rsid w:val="000C6907"/>
    <w:rsid w:val="000C6A1A"/>
    <w:rsid w:val="000C6AB4"/>
    <w:rsid w:val="000C6F5D"/>
    <w:rsid w:val="000C6F6D"/>
    <w:rsid w:val="000C700B"/>
    <w:rsid w:val="000C71EB"/>
    <w:rsid w:val="000C7775"/>
    <w:rsid w:val="000C7AF4"/>
    <w:rsid w:val="000C7D04"/>
    <w:rsid w:val="000D080A"/>
    <w:rsid w:val="000D0870"/>
    <w:rsid w:val="000D0BAD"/>
    <w:rsid w:val="000D0F90"/>
    <w:rsid w:val="000D10D6"/>
    <w:rsid w:val="000D129C"/>
    <w:rsid w:val="000D1700"/>
    <w:rsid w:val="000D2430"/>
    <w:rsid w:val="000D2659"/>
    <w:rsid w:val="000D279E"/>
    <w:rsid w:val="000D27DE"/>
    <w:rsid w:val="000D2A3A"/>
    <w:rsid w:val="000D2D45"/>
    <w:rsid w:val="000D3171"/>
    <w:rsid w:val="000D33ED"/>
    <w:rsid w:val="000D3408"/>
    <w:rsid w:val="000D396A"/>
    <w:rsid w:val="000D3B36"/>
    <w:rsid w:val="000D3BF7"/>
    <w:rsid w:val="000D42DE"/>
    <w:rsid w:val="000D4D0B"/>
    <w:rsid w:val="000D5248"/>
    <w:rsid w:val="000D53C3"/>
    <w:rsid w:val="000D5444"/>
    <w:rsid w:val="000D67FB"/>
    <w:rsid w:val="000D71D9"/>
    <w:rsid w:val="000D766F"/>
    <w:rsid w:val="000D76E0"/>
    <w:rsid w:val="000D7B3D"/>
    <w:rsid w:val="000D7C23"/>
    <w:rsid w:val="000D7DAA"/>
    <w:rsid w:val="000D7E8B"/>
    <w:rsid w:val="000E01E0"/>
    <w:rsid w:val="000E044F"/>
    <w:rsid w:val="000E140B"/>
    <w:rsid w:val="000E19A0"/>
    <w:rsid w:val="000E1DC8"/>
    <w:rsid w:val="000E2568"/>
    <w:rsid w:val="000E2CE5"/>
    <w:rsid w:val="000E2E26"/>
    <w:rsid w:val="000E37D3"/>
    <w:rsid w:val="000E3A0D"/>
    <w:rsid w:val="000E4201"/>
    <w:rsid w:val="000E4449"/>
    <w:rsid w:val="000E47DC"/>
    <w:rsid w:val="000E49EA"/>
    <w:rsid w:val="000E5592"/>
    <w:rsid w:val="000E588A"/>
    <w:rsid w:val="000E5CD3"/>
    <w:rsid w:val="000E5FF2"/>
    <w:rsid w:val="000E6097"/>
    <w:rsid w:val="000E6104"/>
    <w:rsid w:val="000E6706"/>
    <w:rsid w:val="000E6858"/>
    <w:rsid w:val="000E6CEF"/>
    <w:rsid w:val="000E6E74"/>
    <w:rsid w:val="000E6ED1"/>
    <w:rsid w:val="000E73DA"/>
    <w:rsid w:val="000E76BA"/>
    <w:rsid w:val="000E79EA"/>
    <w:rsid w:val="000F037A"/>
    <w:rsid w:val="000F0C78"/>
    <w:rsid w:val="000F1054"/>
    <w:rsid w:val="000F181A"/>
    <w:rsid w:val="000F288D"/>
    <w:rsid w:val="000F33DD"/>
    <w:rsid w:val="000F36CD"/>
    <w:rsid w:val="000F3809"/>
    <w:rsid w:val="000F3D8F"/>
    <w:rsid w:val="000F5049"/>
    <w:rsid w:val="000F534C"/>
    <w:rsid w:val="000F54F3"/>
    <w:rsid w:val="000F5649"/>
    <w:rsid w:val="000F6090"/>
    <w:rsid w:val="000F6352"/>
    <w:rsid w:val="000F6494"/>
    <w:rsid w:val="000F7584"/>
    <w:rsid w:val="000F7AFC"/>
    <w:rsid w:val="000F7FD6"/>
    <w:rsid w:val="001001F1"/>
    <w:rsid w:val="00100A61"/>
    <w:rsid w:val="00100A91"/>
    <w:rsid w:val="001014CF"/>
    <w:rsid w:val="00101C42"/>
    <w:rsid w:val="00101EE9"/>
    <w:rsid w:val="00102401"/>
    <w:rsid w:val="001029C4"/>
    <w:rsid w:val="00102B05"/>
    <w:rsid w:val="00102B3C"/>
    <w:rsid w:val="00102BE7"/>
    <w:rsid w:val="00102EC4"/>
    <w:rsid w:val="001030F2"/>
    <w:rsid w:val="001034CF"/>
    <w:rsid w:val="00103829"/>
    <w:rsid w:val="00103B17"/>
    <w:rsid w:val="00103BB2"/>
    <w:rsid w:val="001043B6"/>
    <w:rsid w:val="00104AB2"/>
    <w:rsid w:val="00104B0B"/>
    <w:rsid w:val="001057A7"/>
    <w:rsid w:val="00105AC5"/>
    <w:rsid w:val="001060BC"/>
    <w:rsid w:val="001063DD"/>
    <w:rsid w:val="001064C4"/>
    <w:rsid w:val="00106AA9"/>
    <w:rsid w:val="00106B5F"/>
    <w:rsid w:val="00107580"/>
    <w:rsid w:val="0010770B"/>
    <w:rsid w:val="00107E99"/>
    <w:rsid w:val="00110307"/>
    <w:rsid w:val="00110AAF"/>
    <w:rsid w:val="00111115"/>
    <w:rsid w:val="001111ED"/>
    <w:rsid w:val="00111AC4"/>
    <w:rsid w:val="00111C80"/>
    <w:rsid w:val="00111F81"/>
    <w:rsid w:val="00111FCE"/>
    <w:rsid w:val="00112340"/>
    <w:rsid w:val="0011243B"/>
    <w:rsid w:val="001124B8"/>
    <w:rsid w:val="00112810"/>
    <w:rsid w:val="001129CB"/>
    <w:rsid w:val="00112ED6"/>
    <w:rsid w:val="00113504"/>
    <w:rsid w:val="0011376B"/>
    <w:rsid w:val="001144E2"/>
    <w:rsid w:val="0011493E"/>
    <w:rsid w:val="00114AB6"/>
    <w:rsid w:val="00114E24"/>
    <w:rsid w:val="00115015"/>
    <w:rsid w:val="001160BB"/>
    <w:rsid w:val="001161ED"/>
    <w:rsid w:val="0011629A"/>
    <w:rsid w:val="00116639"/>
    <w:rsid w:val="00116930"/>
    <w:rsid w:val="00116A3F"/>
    <w:rsid w:val="00116D29"/>
    <w:rsid w:val="00117317"/>
    <w:rsid w:val="00117326"/>
    <w:rsid w:val="001178CE"/>
    <w:rsid w:val="00120E5D"/>
    <w:rsid w:val="00120ED9"/>
    <w:rsid w:val="00120FA6"/>
    <w:rsid w:val="00121198"/>
    <w:rsid w:val="001215E4"/>
    <w:rsid w:val="00121A17"/>
    <w:rsid w:val="00122371"/>
    <w:rsid w:val="001229A5"/>
    <w:rsid w:val="001231F3"/>
    <w:rsid w:val="00123470"/>
    <w:rsid w:val="001235CC"/>
    <w:rsid w:val="00123853"/>
    <w:rsid w:val="001238EA"/>
    <w:rsid w:val="001240EF"/>
    <w:rsid w:val="0012489B"/>
    <w:rsid w:val="00124BD0"/>
    <w:rsid w:val="00124EB0"/>
    <w:rsid w:val="001259FC"/>
    <w:rsid w:val="00125EDE"/>
    <w:rsid w:val="00125F28"/>
    <w:rsid w:val="001260A9"/>
    <w:rsid w:val="00126981"/>
    <w:rsid w:val="00126F2E"/>
    <w:rsid w:val="001271B5"/>
    <w:rsid w:val="001277F5"/>
    <w:rsid w:val="00127BE9"/>
    <w:rsid w:val="00130017"/>
    <w:rsid w:val="0013034A"/>
    <w:rsid w:val="00130A9C"/>
    <w:rsid w:val="00130F91"/>
    <w:rsid w:val="001313F7"/>
    <w:rsid w:val="0013189C"/>
    <w:rsid w:val="00131F78"/>
    <w:rsid w:val="001325B8"/>
    <w:rsid w:val="00132907"/>
    <w:rsid w:val="00132928"/>
    <w:rsid w:val="00132935"/>
    <w:rsid w:val="00132C50"/>
    <w:rsid w:val="00133019"/>
    <w:rsid w:val="001333A4"/>
    <w:rsid w:val="00133BDF"/>
    <w:rsid w:val="00134625"/>
    <w:rsid w:val="00134883"/>
    <w:rsid w:val="001349ED"/>
    <w:rsid w:val="00134CD1"/>
    <w:rsid w:val="0013515A"/>
    <w:rsid w:val="001351FD"/>
    <w:rsid w:val="00135705"/>
    <w:rsid w:val="0013583A"/>
    <w:rsid w:val="00136020"/>
    <w:rsid w:val="001362C6"/>
    <w:rsid w:val="001369E3"/>
    <w:rsid w:val="00136B02"/>
    <w:rsid w:val="00136D25"/>
    <w:rsid w:val="00136F02"/>
    <w:rsid w:val="00137424"/>
    <w:rsid w:val="001378D1"/>
    <w:rsid w:val="001379CB"/>
    <w:rsid w:val="00137C65"/>
    <w:rsid w:val="00140318"/>
    <w:rsid w:val="00140B07"/>
    <w:rsid w:val="00140BEF"/>
    <w:rsid w:val="00140BFF"/>
    <w:rsid w:val="00140EFD"/>
    <w:rsid w:val="00140F43"/>
    <w:rsid w:val="00141098"/>
    <w:rsid w:val="001414AE"/>
    <w:rsid w:val="00141924"/>
    <w:rsid w:val="00141AD9"/>
    <w:rsid w:val="001426AD"/>
    <w:rsid w:val="00142728"/>
    <w:rsid w:val="00142BB6"/>
    <w:rsid w:val="00142D22"/>
    <w:rsid w:val="0014327F"/>
    <w:rsid w:val="00143363"/>
    <w:rsid w:val="00143925"/>
    <w:rsid w:val="0014399B"/>
    <w:rsid w:val="00143A47"/>
    <w:rsid w:val="00143C64"/>
    <w:rsid w:val="00143E11"/>
    <w:rsid w:val="00143EE2"/>
    <w:rsid w:val="001440F0"/>
    <w:rsid w:val="001442E9"/>
    <w:rsid w:val="001445A9"/>
    <w:rsid w:val="001448F5"/>
    <w:rsid w:val="00145609"/>
    <w:rsid w:val="00145F97"/>
    <w:rsid w:val="00146125"/>
    <w:rsid w:val="001461B9"/>
    <w:rsid w:val="0014690F"/>
    <w:rsid w:val="00146C6B"/>
    <w:rsid w:val="00146CE6"/>
    <w:rsid w:val="001478D0"/>
    <w:rsid w:val="00150095"/>
    <w:rsid w:val="00150E2A"/>
    <w:rsid w:val="0015135C"/>
    <w:rsid w:val="00151F72"/>
    <w:rsid w:val="0015233B"/>
    <w:rsid w:val="00152903"/>
    <w:rsid w:val="0015369A"/>
    <w:rsid w:val="001536D2"/>
    <w:rsid w:val="001537F5"/>
    <w:rsid w:val="001538DD"/>
    <w:rsid w:val="00153ABD"/>
    <w:rsid w:val="00153D68"/>
    <w:rsid w:val="00153FD5"/>
    <w:rsid w:val="001551C2"/>
    <w:rsid w:val="00155247"/>
    <w:rsid w:val="00155D9A"/>
    <w:rsid w:val="0015603F"/>
    <w:rsid w:val="0015614F"/>
    <w:rsid w:val="001566D8"/>
    <w:rsid w:val="001577C2"/>
    <w:rsid w:val="00157D2C"/>
    <w:rsid w:val="00157DA1"/>
    <w:rsid w:val="001600A4"/>
    <w:rsid w:val="001601C8"/>
    <w:rsid w:val="001605BF"/>
    <w:rsid w:val="0016080A"/>
    <w:rsid w:val="0016118F"/>
    <w:rsid w:val="001611DA"/>
    <w:rsid w:val="001612CD"/>
    <w:rsid w:val="001613D5"/>
    <w:rsid w:val="001614B9"/>
    <w:rsid w:val="00161729"/>
    <w:rsid w:val="00161970"/>
    <w:rsid w:val="00162A02"/>
    <w:rsid w:val="00162DAE"/>
    <w:rsid w:val="00162DB3"/>
    <w:rsid w:val="0016325C"/>
    <w:rsid w:val="001633C4"/>
    <w:rsid w:val="00163861"/>
    <w:rsid w:val="00163ADA"/>
    <w:rsid w:val="00163E76"/>
    <w:rsid w:val="001641D0"/>
    <w:rsid w:val="00164244"/>
    <w:rsid w:val="0016444B"/>
    <w:rsid w:val="00164804"/>
    <w:rsid w:val="00165737"/>
    <w:rsid w:val="0016574D"/>
    <w:rsid w:val="00165885"/>
    <w:rsid w:val="00165B62"/>
    <w:rsid w:val="00165FF5"/>
    <w:rsid w:val="001661A8"/>
    <w:rsid w:val="001670A7"/>
    <w:rsid w:val="00167433"/>
    <w:rsid w:val="00167AD0"/>
    <w:rsid w:val="00167BEA"/>
    <w:rsid w:val="00167F46"/>
    <w:rsid w:val="00170451"/>
    <w:rsid w:val="001704D5"/>
    <w:rsid w:val="001708B0"/>
    <w:rsid w:val="00171167"/>
    <w:rsid w:val="00171591"/>
    <w:rsid w:val="0017189B"/>
    <w:rsid w:val="00171F22"/>
    <w:rsid w:val="001727E9"/>
    <w:rsid w:val="00172B70"/>
    <w:rsid w:val="00172DBD"/>
    <w:rsid w:val="00173047"/>
    <w:rsid w:val="00173512"/>
    <w:rsid w:val="00173981"/>
    <w:rsid w:val="00173A41"/>
    <w:rsid w:val="00173A4D"/>
    <w:rsid w:val="00173BDB"/>
    <w:rsid w:val="00173C43"/>
    <w:rsid w:val="00173D36"/>
    <w:rsid w:val="001742BF"/>
    <w:rsid w:val="00174380"/>
    <w:rsid w:val="0017443E"/>
    <w:rsid w:val="0017460E"/>
    <w:rsid w:val="00174887"/>
    <w:rsid w:val="00174A32"/>
    <w:rsid w:val="0017521D"/>
    <w:rsid w:val="0017556D"/>
    <w:rsid w:val="00175884"/>
    <w:rsid w:val="00175C1B"/>
    <w:rsid w:val="00175F9F"/>
    <w:rsid w:val="001760A0"/>
    <w:rsid w:val="001765F2"/>
    <w:rsid w:val="00176788"/>
    <w:rsid w:val="00176F0D"/>
    <w:rsid w:val="001770A4"/>
    <w:rsid w:val="0017719D"/>
    <w:rsid w:val="001772A1"/>
    <w:rsid w:val="0017756F"/>
    <w:rsid w:val="00177723"/>
    <w:rsid w:val="001779F7"/>
    <w:rsid w:val="00177B16"/>
    <w:rsid w:val="00177CDE"/>
    <w:rsid w:val="0018035E"/>
    <w:rsid w:val="00180E53"/>
    <w:rsid w:val="00181242"/>
    <w:rsid w:val="00181249"/>
    <w:rsid w:val="00181A03"/>
    <w:rsid w:val="00182063"/>
    <w:rsid w:val="00182113"/>
    <w:rsid w:val="0018213E"/>
    <w:rsid w:val="0018286C"/>
    <w:rsid w:val="00182ADA"/>
    <w:rsid w:val="001832FE"/>
    <w:rsid w:val="00183934"/>
    <w:rsid w:val="00183AEC"/>
    <w:rsid w:val="00183FD7"/>
    <w:rsid w:val="001841DA"/>
    <w:rsid w:val="001842E8"/>
    <w:rsid w:val="00184426"/>
    <w:rsid w:val="00185CAB"/>
    <w:rsid w:val="00186756"/>
    <w:rsid w:val="00186769"/>
    <w:rsid w:val="0018689A"/>
    <w:rsid w:val="00186919"/>
    <w:rsid w:val="00186B68"/>
    <w:rsid w:val="00186EE1"/>
    <w:rsid w:val="001871AD"/>
    <w:rsid w:val="001872AF"/>
    <w:rsid w:val="001875A6"/>
    <w:rsid w:val="001875B3"/>
    <w:rsid w:val="001875B7"/>
    <w:rsid w:val="00187C0A"/>
    <w:rsid w:val="00187CB3"/>
    <w:rsid w:val="00187E2B"/>
    <w:rsid w:val="00190086"/>
    <w:rsid w:val="0019049D"/>
    <w:rsid w:val="001904AB"/>
    <w:rsid w:val="0019050A"/>
    <w:rsid w:val="001905AE"/>
    <w:rsid w:val="00190A4A"/>
    <w:rsid w:val="001910D4"/>
    <w:rsid w:val="00191117"/>
    <w:rsid w:val="001926C8"/>
    <w:rsid w:val="00193601"/>
    <w:rsid w:val="00193C68"/>
    <w:rsid w:val="00193DE8"/>
    <w:rsid w:val="00194968"/>
    <w:rsid w:val="00195617"/>
    <w:rsid w:val="00195B8B"/>
    <w:rsid w:val="00195BCF"/>
    <w:rsid w:val="00195CEF"/>
    <w:rsid w:val="00195D48"/>
    <w:rsid w:val="00196183"/>
    <w:rsid w:val="00196442"/>
    <w:rsid w:val="00196F3F"/>
    <w:rsid w:val="001976E3"/>
    <w:rsid w:val="001976F1"/>
    <w:rsid w:val="00197DCA"/>
    <w:rsid w:val="001A01DE"/>
    <w:rsid w:val="001A0201"/>
    <w:rsid w:val="001A0471"/>
    <w:rsid w:val="001A0719"/>
    <w:rsid w:val="001A16BE"/>
    <w:rsid w:val="001A176E"/>
    <w:rsid w:val="001A2569"/>
    <w:rsid w:val="001A25C3"/>
    <w:rsid w:val="001A288C"/>
    <w:rsid w:val="001A29AE"/>
    <w:rsid w:val="001A2C7D"/>
    <w:rsid w:val="001A32EC"/>
    <w:rsid w:val="001A3567"/>
    <w:rsid w:val="001A3E6B"/>
    <w:rsid w:val="001A403E"/>
    <w:rsid w:val="001A4093"/>
    <w:rsid w:val="001A44EC"/>
    <w:rsid w:val="001A4A35"/>
    <w:rsid w:val="001A4ADB"/>
    <w:rsid w:val="001A4B58"/>
    <w:rsid w:val="001A4DF2"/>
    <w:rsid w:val="001A5063"/>
    <w:rsid w:val="001A518C"/>
    <w:rsid w:val="001A55CF"/>
    <w:rsid w:val="001A5897"/>
    <w:rsid w:val="001A628E"/>
    <w:rsid w:val="001A6B05"/>
    <w:rsid w:val="001A70D5"/>
    <w:rsid w:val="001A7DD1"/>
    <w:rsid w:val="001A7F80"/>
    <w:rsid w:val="001B067D"/>
    <w:rsid w:val="001B0882"/>
    <w:rsid w:val="001B0926"/>
    <w:rsid w:val="001B0F3F"/>
    <w:rsid w:val="001B13E7"/>
    <w:rsid w:val="001B15E1"/>
    <w:rsid w:val="001B1B38"/>
    <w:rsid w:val="001B1CA0"/>
    <w:rsid w:val="001B1EEF"/>
    <w:rsid w:val="001B20AC"/>
    <w:rsid w:val="001B2355"/>
    <w:rsid w:val="001B23C1"/>
    <w:rsid w:val="001B2619"/>
    <w:rsid w:val="001B2D06"/>
    <w:rsid w:val="001B2D70"/>
    <w:rsid w:val="001B2E50"/>
    <w:rsid w:val="001B31CA"/>
    <w:rsid w:val="001B33E2"/>
    <w:rsid w:val="001B3737"/>
    <w:rsid w:val="001B375B"/>
    <w:rsid w:val="001B3E6A"/>
    <w:rsid w:val="001B405F"/>
    <w:rsid w:val="001B416C"/>
    <w:rsid w:val="001B41B2"/>
    <w:rsid w:val="001B41FC"/>
    <w:rsid w:val="001B42EC"/>
    <w:rsid w:val="001B4314"/>
    <w:rsid w:val="001B4790"/>
    <w:rsid w:val="001B4C2C"/>
    <w:rsid w:val="001B4CB4"/>
    <w:rsid w:val="001B5416"/>
    <w:rsid w:val="001B58AA"/>
    <w:rsid w:val="001B5CE8"/>
    <w:rsid w:val="001B5F37"/>
    <w:rsid w:val="001B614C"/>
    <w:rsid w:val="001B669F"/>
    <w:rsid w:val="001B6791"/>
    <w:rsid w:val="001B6D32"/>
    <w:rsid w:val="001B70BE"/>
    <w:rsid w:val="001B75B2"/>
    <w:rsid w:val="001B7A54"/>
    <w:rsid w:val="001B7E48"/>
    <w:rsid w:val="001C03F9"/>
    <w:rsid w:val="001C0593"/>
    <w:rsid w:val="001C0823"/>
    <w:rsid w:val="001C1197"/>
    <w:rsid w:val="001C1738"/>
    <w:rsid w:val="001C17CE"/>
    <w:rsid w:val="001C19A3"/>
    <w:rsid w:val="001C2790"/>
    <w:rsid w:val="001C2965"/>
    <w:rsid w:val="001C2C14"/>
    <w:rsid w:val="001C2F45"/>
    <w:rsid w:val="001C36CA"/>
    <w:rsid w:val="001C3793"/>
    <w:rsid w:val="001C3BDF"/>
    <w:rsid w:val="001C3E08"/>
    <w:rsid w:val="001C3EC4"/>
    <w:rsid w:val="001C44D1"/>
    <w:rsid w:val="001C4A7E"/>
    <w:rsid w:val="001C4BD8"/>
    <w:rsid w:val="001C4F02"/>
    <w:rsid w:val="001C5806"/>
    <w:rsid w:val="001C5960"/>
    <w:rsid w:val="001C5E0F"/>
    <w:rsid w:val="001C5FBC"/>
    <w:rsid w:val="001C6238"/>
    <w:rsid w:val="001C63CB"/>
    <w:rsid w:val="001C6728"/>
    <w:rsid w:val="001C6AB6"/>
    <w:rsid w:val="001C6AEE"/>
    <w:rsid w:val="001C6BD8"/>
    <w:rsid w:val="001C70AB"/>
    <w:rsid w:val="001C70C4"/>
    <w:rsid w:val="001C74A3"/>
    <w:rsid w:val="001C7609"/>
    <w:rsid w:val="001C7630"/>
    <w:rsid w:val="001C7762"/>
    <w:rsid w:val="001C793C"/>
    <w:rsid w:val="001D01E2"/>
    <w:rsid w:val="001D05AC"/>
    <w:rsid w:val="001D0A22"/>
    <w:rsid w:val="001D1065"/>
    <w:rsid w:val="001D1203"/>
    <w:rsid w:val="001D1240"/>
    <w:rsid w:val="001D1368"/>
    <w:rsid w:val="001D14F3"/>
    <w:rsid w:val="001D1621"/>
    <w:rsid w:val="001D1A5A"/>
    <w:rsid w:val="001D1B94"/>
    <w:rsid w:val="001D1F48"/>
    <w:rsid w:val="001D2217"/>
    <w:rsid w:val="001D28DE"/>
    <w:rsid w:val="001D2D5A"/>
    <w:rsid w:val="001D2F8E"/>
    <w:rsid w:val="001D3795"/>
    <w:rsid w:val="001D3A73"/>
    <w:rsid w:val="001D3B52"/>
    <w:rsid w:val="001D4572"/>
    <w:rsid w:val="001D50A5"/>
    <w:rsid w:val="001D539E"/>
    <w:rsid w:val="001D53B2"/>
    <w:rsid w:val="001D5512"/>
    <w:rsid w:val="001D558D"/>
    <w:rsid w:val="001D58BF"/>
    <w:rsid w:val="001D5D0E"/>
    <w:rsid w:val="001D616B"/>
    <w:rsid w:val="001D61CD"/>
    <w:rsid w:val="001D6322"/>
    <w:rsid w:val="001D6BC0"/>
    <w:rsid w:val="001D6D15"/>
    <w:rsid w:val="001D6EA9"/>
    <w:rsid w:val="001D70C4"/>
    <w:rsid w:val="001D728B"/>
    <w:rsid w:val="001D7631"/>
    <w:rsid w:val="001D7B58"/>
    <w:rsid w:val="001E04E9"/>
    <w:rsid w:val="001E0A60"/>
    <w:rsid w:val="001E0E3A"/>
    <w:rsid w:val="001E0E6F"/>
    <w:rsid w:val="001E127D"/>
    <w:rsid w:val="001E1336"/>
    <w:rsid w:val="001E1BA5"/>
    <w:rsid w:val="001E268F"/>
    <w:rsid w:val="001E2895"/>
    <w:rsid w:val="001E2EDD"/>
    <w:rsid w:val="001E3968"/>
    <w:rsid w:val="001E47B3"/>
    <w:rsid w:val="001E4FF0"/>
    <w:rsid w:val="001E5A83"/>
    <w:rsid w:val="001E5CF1"/>
    <w:rsid w:val="001E676E"/>
    <w:rsid w:val="001E71A2"/>
    <w:rsid w:val="001E7732"/>
    <w:rsid w:val="001E79FA"/>
    <w:rsid w:val="001E7FB7"/>
    <w:rsid w:val="001F0786"/>
    <w:rsid w:val="001F0A84"/>
    <w:rsid w:val="001F138C"/>
    <w:rsid w:val="001F17B3"/>
    <w:rsid w:val="001F22F7"/>
    <w:rsid w:val="001F2488"/>
    <w:rsid w:val="001F2521"/>
    <w:rsid w:val="001F3800"/>
    <w:rsid w:val="001F3889"/>
    <w:rsid w:val="001F3A39"/>
    <w:rsid w:val="001F4390"/>
    <w:rsid w:val="001F449D"/>
    <w:rsid w:val="001F47B4"/>
    <w:rsid w:val="001F48E7"/>
    <w:rsid w:val="001F4F4C"/>
    <w:rsid w:val="001F4F94"/>
    <w:rsid w:val="001F50F7"/>
    <w:rsid w:val="001F581E"/>
    <w:rsid w:val="001F63A0"/>
    <w:rsid w:val="001F6771"/>
    <w:rsid w:val="001F6BB3"/>
    <w:rsid w:val="001F6E98"/>
    <w:rsid w:val="001F7067"/>
    <w:rsid w:val="001F7241"/>
    <w:rsid w:val="001F7558"/>
    <w:rsid w:val="001F75F8"/>
    <w:rsid w:val="001F7A4F"/>
    <w:rsid w:val="001F7EB8"/>
    <w:rsid w:val="00200826"/>
    <w:rsid w:val="00200ABC"/>
    <w:rsid w:val="00200B15"/>
    <w:rsid w:val="00200EDA"/>
    <w:rsid w:val="002016D0"/>
    <w:rsid w:val="002016D1"/>
    <w:rsid w:val="00201896"/>
    <w:rsid w:val="00201D10"/>
    <w:rsid w:val="00201EE2"/>
    <w:rsid w:val="00202094"/>
    <w:rsid w:val="00202432"/>
    <w:rsid w:val="00202537"/>
    <w:rsid w:val="00202671"/>
    <w:rsid w:val="002033AA"/>
    <w:rsid w:val="00203614"/>
    <w:rsid w:val="0020368E"/>
    <w:rsid w:val="002040B3"/>
    <w:rsid w:val="002042A2"/>
    <w:rsid w:val="00204DFF"/>
    <w:rsid w:val="002056F0"/>
    <w:rsid w:val="0020572D"/>
    <w:rsid w:val="00205B57"/>
    <w:rsid w:val="00205D76"/>
    <w:rsid w:val="00205F9F"/>
    <w:rsid w:val="0020610F"/>
    <w:rsid w:val="002065C2"/>
    <w:rsid w:val="0020669E"/>
    <w:rsid w:val="002067C6"/>
    <w:rsid w:val="00206C49"/>
    <w:rsid w:val="00207674"/>
    <w:rsid w:val="0020770A"/>
    <w:rsid w:val="00207C5F"/>
    <w:rsid w:val="00207E2C"/>
    <w:rsid w:val="00207F57"/>
    <w:rsid w:val="002113BE"/>
    <w:rsid w:val="00211B9C"/>
    <w:rsid w:val="00211E47"/>
    <w:rsid w:val="002121E4"/>
    <w:rsid w:val="00212477"/>
    <w:rsid w:val="00213728"/>
    <w:rsid w:val="002138C2"/>
    <w:rsid w:val="00213A19"/>
    <w:rsid w:val="0021426C"/>
    <w:rsid w:val="00214758"/>
    <w:rsid w:val="00214C0F"/>
    <w:rsid w:val="00214FB1"/>
    <w:rsid w:val="00215358"/>
    <w:rsid w:val="0021564B"/>
    <w:rsid w:val="002157D8"/>
    <w:rsid w:val="002157E0"/>
    <w:rsid w:val="00215EA8"/>
    <w:rsid w:val="00216959"/>
    <w:rsid w:val="00216A57"/>
    <w:rsid w:val="00216CC0"/>
    <w:rsid w:val="00217448"/>
    <w:rsid w:val="00217A6A"/>
    <w:rsid w:val="00217B7B"/>
    <w:rsid w:val="00217D70"/>
    <w:rsid w:val="0022049D"/>
    <w:rsid w:val="00220ADE"/>
    <w:rsid w:val="00220DA2"/>
    <w:rsid w:val="002213BF"/>
    <w:rsid w:val="002214BB"/>
    <w:rsid w:val="002214FB"/>
    <w:rsid w:val="00221B26"/>
    <w:rsid w:val="00221B6E"/>
    <w:rsid w:val="00222675"/>
    <w:rsid w:val="00222730"/>
    <w:rsid w:val="00222AA1"/>
    <w:rsid w:val="0022334F"/>
    <w:rsid w:val="00223E84"/>
    <w:rsid w:val="00223EA0"/>
    <w:rsid w:val="002249F6"/>
    <w:rsid w:val="00224AED"/>
    <w:rsid w:val="00224B97"/>
    <w:rsid w:val="0022634A"/>
    <w:rsid w:val="00226819"/>
    <w:rsid w:val="0022686D"/>
    <w:rsid w:val="00226E3F"/>
    <w:rsid w:val="00227545"/>
    <w:rsid w:val="0022783F"/>
    <w:rsid w:val="00227FF2"/>
    <w:rsid w:val="002309CF"/>
    <w:rsid w:val="002309D9"/>
    <w:rsid w:val="00230AF4"/>
    <w:rsid w:val="00230C7E"/>
    <w:rsid w:val="0023107C"/>
    <w:rsid w:val="0023110B"/>
    <w:rsid w:val="0023126D"/>
    <w:rsid w:val="00231945"/>
    <w:rsid w:val="00231CB3"/>
    <w:rsid w:val="00231F36"/>
    <w:rsid w:val="00232183"/>
    <w:rsid w:val="002321D9"/>
    <w:rsid w:val="0023287C"/>
    <w:rsid w:val="00232931"/>
    <w:rsid w:val="00232E7F"/>
    <w:rsid w:val="00232EA5"/>
    <w:rsid w:val="00232FCF"/>
    <w:rsid w:val="00233101"/>
    <w:rsid w:val="00233663"/>
    <w:rsid w:val="00233817"/>
    <w:rsid w:val="002340BD"/>
    <w:rsid w:val="00234934"/>
    <w:rsid w:val="00234DE7"/>
    <w:rsid w:val="0023516F"/>
    <w:rsid w:val="00235312"/>
    <w:rsid w:val="00235428"/>
    <w:rsid w:val="00235DB0"/>
    <w:rsid w:val="00236192"/>
    <w:rsid w:val="0023631B"/>
    <w:rsid w:val="002363CB"/>
    <w:rsid w:val="0023649E"/>
    <w:rsid w:val="002367FF"/>
    <w:rsid w:val="00236E38"/>
    <w:rsid w:val="00236EFD"/>
    <w:rsid w:val="00237E5D"/>
    <w:rsid w:val="00240172"/>
    <w:rsid w:val="002401C6"/>
    <w:rsid w:val="00240A5D"/>
    <w:rsid w:val="00240CE9"/>
    <w:rsid w:val="00241234"/>
    <w:rsid w:val="002412C9"/>
    <w:rsid w:val="002422E5"/>
    <w:rsid w:val="00242759"/>
    <w:rsid w:val="00242EE1"/>
    <w:rsid w:val="002434BA"/>
    <w:rsid w:val="002439BE"/>
    <w:rsid w:val="002446FA"/>
    <w:rsid w:val="00244D95"/>
    <w:rsid w:val="00244E9A"/>
    <w:rsid w:val="00244EA1"/>
    <w:rsid w:val="00244ECB"/>
    <w:rsid w:val="00244F95"/>
    <w:rsid w:val="00245151"/>
    <w:rsid w:val="002451EE"/>
    <w:rsid w:val="00245328"/>
    <w:rsid w:val="00245C9B"/>
    <w:rsid w:val="00245E32"/>
    <w:rsid w:val="00245EB6"/>
    <w:rsid w:val="00245EEE"/>
    <w:rsid w:val="00245F7B"/>
    <w:rsid w:val="0024604B"/>
    <w:rsid w:val="00246089"/>
    <w:rsid w:val="00246093"/>
    <w:rsid w:val="00246702"/>
    <w:rsid w:val="002468A7"/>
    <w:rsid w:val="002468ED"/>
    <w:rsid w:val="00247121"/>
    <w:rsid w:val="00247783"/>
    <w:rsid w:val="00247C59"/>
    <w:rsid w:val="00247CC1"/>
    <w:rsid w:val="00247F2E"/>
    <w:rsid w:val="0025057C"/>
    <w:rsid w:val="00250818"/>
    <w:rsid w:val="0025089D"/>
    <w:rsid w:val="00250ABE"/>
    <w:rsid w:val="00250ADC"/>
    <w:rsid w:val="00250B07"/>
    <w:rsid w:val="00251005"/>
    <w:rsid w:val="002511FC"/>
    <w:rsid w:val="002514E1"/>
    <w:rsid w:val="002517EB"/>
    <w:rsid w:val="00251843"/>
    <w:rsid w:val="0025211C"/>
    <w:rsid w:val="0025231F"/>
    <w:rsid w:val="00252510"/>
    <w:rsid w:val="0025276F"/>
    <w:rsid w:val="00252BF3"/>
    <w:rsid w:val="002530B5"/>
    <w:rsid w:val="002537FA"/>
    <w:rsid w:val="00253D6E"/>
    <w:rsid w:val="002540BB"/>
    <w:rsid w:val="00254C4B"/>
    <w:rsid w:val="00254D95"/>
    <w:rsid w:val="00254FA3"/>
    <w:rsid w:val="002557AE"/>
    <w:rsid w:val="0025647E"/>
    <w:rsid w:val="00256565"/>
    <w:rsid w:val="00256C63"/>
    <w:rsid w:val="00256CA9"/>
    <w:rsid w:val="002571EF"/>
    <w:rsid w:val="00257321"/>
    <w:rsid w:val="00257553"/>
    <w:rsid w:val="002575E1"/>
    <w:rsid w:val="00257B87"/>
    <w:rsid w:val="00257E60"/>
    <w:rsid w:val="00257E8F"/>
    <w:rsid w:val="00257F3E"/>
    <w:rsid w:val="00260054"/>
    <w:rsid w:val="002602DA"/>
    <w:rsid w:val="00260379"/>
    <w:rsid w:val="00260442"/>
    <w:rsid w:val="00260533"/>
    <w:rsid w:val="00260934"/>
    <w:rsid w:val="00260EDF"/>
    <w:rsid w:val="00260FB2"/>
    <w:rsid w:val="00261153"/>
    <w:rsid w:val="002613DB"/>
    <w:rsid w:val="00261A03"/>
    <w:rsid w:val="0026210B"/>
    <w:rsid w:val="00262128"/>
    <w:rsid w:val="002621E7"/>
    <w:rsid w:val="00262CEF"/>
    <w:rsid w:val="002631FA"/>
    <w:rsid w:val="0026339D"/>
    <w:rsid w:val="0026351B"/>
    <w:rsid w:val="002635AE"/>
    <w:rsid w:val="00264155"/>
    <w:rsid w:val="00264272"/>
    <w:rsid w:val="00264512"/>
    <w:rsid w:val="00264535"/>
    <w:rsid w:val="00264654"/>
    <w:rsid w:val="00265065"/>
    <w:rsid w:val="00265377"/>
    <w:rsid w:val="00265AA3"/>
    <w:rsid w:val="00265AD9"/>
    <w:rsid w:val="002666C2"/>
    <w:rsid w:val="0026693E"/>
    <w:rsid w:val="00266F26"/>
    <w:rsid w:val="0026705F"/>
    <w:rsid w:val="002677CE"/>
    <w:rsid w:val="00267E52"/>
    <w:rsid w:val="002702EA"/>
    <w:rsid w:val="00270754"/>
    <w:rsid w:val="00270F4D"/>
    <w:rsid w:val="00270FC0"/>
    <w:rsid w:val="00271501"/>
    <w:rsid w:val="0027165D"/>
    <w:rsid w:val="002721AF"/>
    <w:rsid w:val="00272599"/>
    <w:rsid w:val="0027292F"/>
    <w:rsid w:val="002729D1"/>
    <w:rsid w:val="00272FDA"/>
    <w:rsid w:val="00273242"/>
    <w:rsid w:val="00273624"/>
    <w:rsid w:val="00273843"/>
    <w:rsid w:val="00273999"/>
    <w:rsid w:val="00273CEB"/>
    <w:rsid w:val="002743A8"/>
    <w:rsid w:val="0027455D"/>
    <w:rsid w:val="002753CB"/>
    <w:rsid w:val="002753E7"/>
    <w:rsid w:val="00275F79"/>
    <w:rsid w:val="00276910"/>
    <w:rsid w:val="00276965"/>
    <w:rsid w:val="00276F37"/>
    <w:rsid w:val="002800E0"/>
    <w:rsid w:val="002800E5"/>
    <w:rsid w:val="002804BE"/>
    <w:rsid w:val="00280920"/>
    <w:rsid w:val="00280937"/>
    <w:rsid w:val="002809C2"/>
    <w:rsid w:val="00280B48"/>
    <w:rsid w:val="00280C8A"/>
    <w:rsid w:val="002811D7"/>
    <w:rsid w:val="002812EE"/>
    <w:rsid w:val="00281818"/>
    <w:rsid w:val="00281C89"/>
    <w:rsid w:val="00281CC8"/>
    <w:rsid w:val="00281EDA"/>
    <w:rsid w:val="00282153"/>
    <w:rsid w:val="00282163"/>
    <w:rsid w:val="0028220B"/>
    <w:rsid w:val="00282536"/>
    <w:rsid w:val="00282620"/>
    <w:rsid w:val="002827B4"/>
    <w:rsid w:val="002827C9"/>
    <w:rsid w:val="0028282F"/>
    <w:rsid w:val="002829FA"/>
    <w:rsid w:val="00282BEF"/>
    <w:rsid w:val="002831FC"/>
    <w:rsid w:val="0028328A"/>
    <w:rsid w:val="00283530"/>
    <w:rsid w:val="002837D7"/>
    <w:rsid w:val="00283859"/>
    <w:rsid w:val="00283906"/>
    <w:rsid w:val="00284735"/>
    <w:rsid w:val="0028483E"/>
    <w:rsid w:val="00284BDB"/>
    <w:rsid w:val="00284F7C"/>
    <w:rsid w:val="00284FA1"/>
    <w:rsid w:val="002853C2"/>
    <w:rsid w:val="00285D91"/>
    <w:rsid w:val="0028628B"/>
    <w:rsid w:val="00286350"/>
    <w:rsid w:val="002867BA"/>
    <w:rsid w:val="002868E3"/>
    <w:rsid w:val="00286922"/>
    <w:rsid w:val="00286B2F"/>
    <w:rsid w:val="00286B3D"/>
    <w:rsid w:val="00286F95"/>
    <w:rsid w:val="002901FC"/>
    <w:rsid w:val="0029082E"/>
    <w:rsid w:val="00291312"/>
    <w:rsid w:val="002921DC"/>
    <w:rsid w:val="00292289"/>
    <w:rsid w:val="002922D7"/>
    <w:rsid w:val="0029288D"/>
    <w:rsid w:val="00292AAD"/>
    <w:rsid w:val="00292BA8"/>
    <w:rsid w:val="00292C26"/>
    <w:rsid w:val="00292E51"/>
    <w:rsid w:val="00292EBC"/>
    <w:rsid w:val="002939EE"/>
    <w:rsid w:val="00293B26"/>
    <w:rsid w:val="00293C65"/>
    <w:rsid w:val="00293E0A"/>
    <w:rsid w:val="002946B6"/>
    <w:rsid w:val="002946E4"/>
    <w:rsid w:val="002948B7"/>
    <w:rsid w:val="00294CC9"/>
    <w:rsid w:val="002952BA"/>
    <w:rsid w:val="002956C5"/>
    <w:rsid w:val="002956CD"/>
    <w:rsid w:val="0029593B"/>
    <w:rsid w:val="00295B5E"/>
    <w:rsid w:val="00295BC3"/>
    <w:rsid w:val="00296174"/>
    <w:rsid w:val="00296F24"/>
    <w:rsid w:val="0029709A"/>
    <w:rsid w:val="00297215"/>
    <w:rsid w:val="00297541"/>
    <w:rsid w:val="00297648"/>
    <w:rsid w:val="002977E1"/>
    <w:rsid w:val="00297BE1"/>
    <w:rsid w:val="00297CD6"/>
    <w:rsid w:val="00297E39"/>
    <w:rsid w:val="00297FC0"/>
    <w:rsid w:val="00297FC5"/>
    <w:rsid w:val="002A0328"/>
    <w:rsid w:val="002A0417"/>
    <w:rsid w:val="002A0781"/>
    <w:rsid w:val="002A0B16"/>
    <w:rsid w:val="002A116A"/>
    <w:rsid w:val="002A127A"/>
    <w:rsid w:val="002A16D8"/>
    <w:rsid w:val="002A1806"/>
    <w:rsid w:val="002A1BC8"/>
    <w:rsid w:val="002A20C2"/>
    <w:rsid w:val="002A2372"/>
    <w:rsid w:val="002A2586"/>
    <w:rsid w:val="002A2823"/>
    <w:rsid w:val="002A2C46"/>
    <w:rsid w:val="002A2ED7"/>
    <w:rsid w:val="002A309F"/>
    <w:rsid w:val="002A38FA"/>
    <w:rsid w:val="002A3D40"/>
    <w:rsid w:val="002A3EF2"/>
    <w:rsid w:val="002A44AF"/>
    <w:rsid w:val="002A4845"/>
    <w:rsid w:val="002A4DDD"/>
    <w:rsid w:val="002A5410"/>
    <w:rsid w:val="002A58D1"/>
    <w:rsid w:val="002A59CC"/>
    <w:rsid w:val="002A5B51"/>
    <w:rsid w:val="002A5BC5"/>
    <w:rsid w:val="002A5FE1"/>
    <w:rsid w:val="002A60B1"/>
    <w:rsid w:val="002A61CD"/>
    <w:rsid w:val="002A6607"/>
    <w:rsid w:val="002A6F8E"/>
    <w:rsid w:val="002A7387"/>
    <w:rsid w:val="002A7458"/>
    <w:rsid w:val="002A759B"/>
    <w:rsid w:val="002A777E"/>
    <w:rsid w:val="002B0DED"/>
    <w:rsid w:val="002B0F69"/>
    <w:rsid w:val="002B125B"/>
    <w:rsid w:val="002B17C1"/>
    <w:rsid w:val="002B1859"/>
    <w:rsid w:val="002B1873"/>
    <w:rsid w:val="002B1899"/>
    <w:rsid w:val="002B19A2"/>
    <w:rsid w:val="002B1CD7"/>
    <w:rsid w:val="002B2F8B"/>
    <w:rsid w:val="002B381A"/>
    <w:rsid w:val="002B3DB2"/>
    <w:rsid w:val="002B479F"/>
    <w:rsid w:val="002B4FCC"/>
    <w:rsid w:val="002B50D5"/>
    <w:rsid w:val="002B51BB"/>
    <w:rsid w:val="002B5202"/>
    <w:rsid w:val="002B52E5"/>
    <w:rsid w:val="002B5422"/>
    <w:rsid w:val="002B54D9"/>
    <w:rsid w:val="002B555E"/>
    <w:rsid w:val="002B55E0"/>
    <w:rsid w:val="002B6092"/>
    <w:rsid w:val="002B60AE"/>
    <w:rsid w:val="002B683F"/>
    <w:rsid w:val="002B6CD5"/>
    <w:rsid w:val="002B6E87"/>
    <w:rsid w:val="002B6EBD"/>
    <w:rsid w:val="002B7405"/>
    <w:rsid w:val="002B7408"/>
    <w:rsid w:val="002B7478"/>
    <w:rsid w:val="002B7CFD"/>
    <w:rsid w:val="002B7D5F"/>
    <w:rsid w:val="002C01A6"/>
    <w:rsid w:val="002C0530"/>
    <w:rsid w:val="002C0851"/>
    <w:rsid w:val="002C0B9F"/>
    <w:rsid w:val="002C0F59"/>
    <w:rsid w:val="002C0F87"/>
    <w:rsid w:val="002C14AA"/>
    <w:rsid w:val="002C1C3C"/>
    <w:rsid w:val="002C210F"/>
    <w:rsid w:val="002C2F8A"/>
    <w:rsid w:val="002C30F2"/>
    <w:rsid w:val="002C3740"/>
    <w:rsid w:val="002C377C"/>
    <w:rsid w:val="002C3E64"/>
    <w:rsid w:val="002C3F11"/>
    <w:rsid w:val="002C4459"/>
    <w:rsid w:val="002C457B"/>
    <w:rsid w:val="002C4887"/>
    <w:rsid w:val="002C4E6B"/>
    <w:rsid w:val="002C5045"/>
    <w:rsid w:val="002C5A30"/>
    <w:rsid w:val="002C5E61"/>
    <w:rsid w:val="002C686A"/>
    <w:rsid w:val="002C6AED"/>
    <w:rsid w:val="002C6BB5"/>
    <w:rsid w:val="002C6E7E"/>
    <w:rsid w:val="002C7806"/>
    <w:rsid w:val="002C7A1D"/>
    <w:rsid w:val="002C7D8C"/>
    <w:rsid w:val="002D02F0"/>
    <w:rsid w:val="002D03B5"/>
    <w:rsid w:val="002D0983"/>
    <w:rsid w:val="002D0BCC"/>
    <w:rsid w:val="002D0FD0"/>
    <w:rsid w:val="002D10A9"/>
    <w:rsid w:val="002D10FD"/>
    <w:rsid w:val="002D2004"/>
    <w:rsid w:val="002D2A31"/>
    <w:rsid w:val="002D2AF1"/>
    <w:rsid w:val="002D3108"/>
    <w:rsid w:val="002D3521"/>
    <w:rsid w:val="002D35FD"/>
    <w:rsid w:val="002D3600"/>
    <w:rsid w:val="002D37AD"/>
    <w:rsid w:val="002D4408"/>
    <w:rsid w:val="002D4A66"/>
    <w:rsid w:val="002D5083"/>
    <w:rsid w:val="002D54B3"/>
    <w:rsid w:val="002D554F"/>
    <w:rsid w:val="002D6127"/>
    <w:rsid w:val="002D63A8"/>
    <w:rsid w:val="002D65D2"/>
    <w:rsid w:val="002D6853"/>
    <w:rsid w:val="002D6D8A"/>
    <w:rsid w:val="002D71E8"/>
    <w:rsid w:val="002D7DC4"/>
    <w:rsid w:val="002E084A"/>
    <w:rsid w:val="002E0964"/>
    <w:rsid w:val="002E1348"/>
    <w:rsid w:val="002E219D"/>
    <w:rsid w:val="002E21EE"/>
    <w:rsid w:val="002E2325"/>
    <w:rsid w:val="002E23AD"/>
    <w:rsid w:val="002E2B8B"/>
    <w:rsid w:val="002E3024"/>
    <w:rsid w:val="002E3CB3"/>
    <w:rsid w:val="002E3E0D"/>
    <w:rsid w:val="002E4445"/>
    <w:rsid w:val="002E48CB"/>
    <w:rsid w:val="002E4C92"/>
    <w:rsid w:val="002E4DC9"/>
    <w:rsid w:val="002E4DDC"/>
    <w:rsid w:val="002E4E2E"/>
    <w:rsid w:val="002E4EA8"/>
    <w:rsid w:val="002E57E1"/>
    <w:rsid w:val="002E5D6F"/>
    <w:rsid w:val="002E5D97"/>
    <w:rsid w:val="002E6A04"/>
    <w:rsid w:val="002E6A17"/>
    <w:rsid w:val="002E6A6A"/>
    <w:rsid w:val="002E6B2B"/>
    <w:rsid w:val="002E788A"/>
    <w:rsid w:val="002E78AD"/>
    <w:rsid w:val="002E7A99"/>
    <w:rsid w:val="002F0884"/>
    <w:rsid w:val="002F0BBE"/>
    <w:rsid w:val="002F0D22"/>
    <w:rsid w:val="002F116A"/>
    <w:rsid w:val="002F11D5"/>
    <w:rsid w:val="002F1617"/>
    <w:rsid w:val="002F1BBD"/>
    <w:rsid w:val="002F1C96"/>
    <w:rsid w:val="002F1D86"/>
    <w:rsid w:val="002F1F79"/>
    <w:rsid w:val="002F1F80"/>
    <w:rsid w:val="002F2282"/>
    <w:rsid w:val="002F22DD"/>
    <w:rsid w:val="002F2AAB"/>
    <w:rsid w:val="002F35C0"/>
    <w:rsid w:val="002F3A3A"/>
    <w:rsid w:val="002F5523"/>
    <w:rsid w:val="002F55F1"/>
    <w:rsid w:val="002F61DC"/>
    <w:rsid w:val="002F6B81"/>
    <w:rsid w:val="002F6B9F"/>
    <w:rsid w:val="002F6C6F"/>
    <w:rsid w:val="002F6F37"/>
    <w:rsid w:val="002F6F80"/>
    <w:rsid w:val="002F7289"/>
    <w:rsid w:val="002F7295"/>
    <w:rsid w:val="002F74A7"/>
    <w:rsid w:val="002F7526"/>
    <w:rsid w:val="002F752E"/>
    <w:rsid w:val="002F77B0"/>
    <w:rsid w:val="002F7EAC"/>
    <w:rsid w:val="003000DA"/>
    <w:rsid w:val="00300348"/>
    <w:rsid w:val="003007BA"/>
    <w:rsid w:val="00300EF7"/>
    <w:rsid w:val="0030114E"/>
    <w:rsid w:val="00301523"/>
    <w:rsid w:val="00301CFB"/>
    <w:rsid w:val="00301E17"/>
    <w:rsid w:val="003020E6"/>
    <w:rsid w:val="00302153"/>
    <w:rsid w:val="00302480"/>
    <w:rsid w:val="003026E5"/>
    <w:rsid w:val="00302758"/>
    <w:rsid w:val="00303D64"/>
    <w:rsid w:val="00303F23"/>
    <w:rsid w:val="0030471C"/>
    <w:rsid w:val="00304B62"/>
    <w:rsid w:val="00305232"/>
    <w:rsid w:val="003069D8"/>
    <w:rsid w:val="003069DF"/>
    <w:rsid w:val="00307318"/>
    <w:rsid w:val="00310944"/>
    <w:rsid w:val="003109BE"/>
    <w:rsid w:val="003109F9"/>
    <w:rsid w:val="00310AE9"/>
    <w:rsid w:val="0031145B"/>
    <w:rsid w:val="00311E83"/>
    <w:rsid w:val="003123E8"/>
    <w:rsid w:val="003126F1"/>
    <w:rsid w:val="00312A9E"/>
    <w:rsid w:val="00312D65"/>
    <w:rsid w:val="003132F1"/>
    <w:rsid w:val="003136E0"/>
    <w:rsid w:val="003138B0"/>
    <w:rsid w:val="00313F19"/>
    <w:rsid w:val="003144E0"/>
    <w:rsid w:val="00314558"/>
    <w:rsid w:val="003146DD"/>
    <w:rsid w:val="00314838"/>
    <w:rsid w:val="00314A22"/>
    <w:rsid w:val="00314F99"/>
    <w:rsid w:val="003153F8"/>
    <w:rsid w:val="003153FB"/>
    <w:rsid w:val="00315CE3"/>
    <w:rsid w:val="0031602F"/>
    <w:rsid w:val="003163DB"/>
    <w:rsid w:val="003165E6"/>
    <w:rsid w:val="00316868"/>
    <w:rsid w:val="0031724E"/>
    <w:rsid w:val="003176B2"/>
    <w:rsid w:val="00320207"/>
    <w:rsid w:val="003203E6"/>
    <w:rsid w:val="003205A7"/>
    <w:rsid w:val="0032062B"/>
    <w:rsid w:val="00320771"/>
    <w:rsid w:val="003207C0"/>
    <w:rsid w:val="00320AAB"/>
    <w:rsid w:val="00320B3E"/>
    <w:rsid w:val="00320BF9"/>
    <w:rsid w:val="00320D32"/>
    <w:rsid w:val="00320E97"/>
    <w:rsid w:val="00321309"/>
    <w:rsid w:val="003215B5"/>
    <w:rsid w:val="00321B15"/>
    <w:rsid w:val="00321CB1"/>
    <w:rsid w:val="00321DA8"/>
    <w:rsid w:val="00322051"/>
    <w:rsid w:val="003221CF"/>
    <w:rsid w:val="003229DF"/>
    <w:rsid w:val="00322A96"/>
    <w:rsid w:val="00322D9D"/>
    <w:rsid w:val="003233ED"/>
    <w:rsid w:val="00323952"/>
    <w:rsid w:val="00323E91"/>
    <w:rsid w:val="0032410E"/>
    <w:rsid w:val="00324D9F"/>
    <w:rsid w:val="00325218"/>
    <w:rsid w:val="00325505"/>
    <w:rsid w:val="00325FCC"/>
    <w:rsid w:val="003260A0"/>
    <w:rsid w:val="00326AFC"/>
    <w:rsid w:val="00326C93"/>
    <w:rsid w:val="00326E41"/>
    <w:rsid w:val="0032743E"/>
    <w:rsid w:val="003274A9"/>
    <w:rsid w:val="00327804"/>
    <w:rsid w:val="00327907"/>
    <w:rsid w:val="00327948"/>
    <w:rsid w:val="0033000F"/>
    <w:rsid w:val="003300A2"/>
    <w:rsid w:val="00330129"/>
    <w:rsid w:val="00330595"/>
    <w:rsid w:val="0033062C"/>
    <w:rsid w:val="00330723"/>
    <w:rsid w:val="0033096A"/>
    <w:rsid w:val="003311AB"/>
    <w:rsid w:val="003315D7"/>
    <w:rsid w:val="003317BA"/>
    <w:rsid w:val="003317F2"/>
    <w:rsid w:val="00331B00"/>
    <w:rsid w:val="00331BF7"/>
    <w:rsid w:val="00331DB7"/>
    <w:rsid w:val="00331FCD"/>
    <w:rsid w:val="00332011"/>
    <w:rsid w:val="00332518"/>
    <w:rsid w:val="00332520"/>
    <w:rsid w:val="00332522"/>
    <w:rsid w:val="00332587"/>
    <w:rsid w:val="003326E2"/>
    <w:rsid w:val="00332925"/>
    <w:rsid w:val="00332AB3"/>
    <w:rsid w:val="00332B1A"/>
    <w:rsid w:val="00332CAF"/>
    <w:rsid w:val="00332E3F"/>
    <w:rsid w:val="003332ED"/>
    <w:rsid w:val="00333638"/>
    <w:rsid w:val="00333BD3"/>
    <w:rsid w:val="00333C7D"/>
    <w:rsid w:val="00333F6F"/>
    <w:rsid w:val="003345F8"/>
    <w:rsid w:val="00334C72"/>
    <w:rsid w:val="003354CA"/>
    <w:rsid w:val="00336450"/>
    <w:rsid w:val="003364D0"/>
    <w:rsid w:val="003368DC"/>
    <w:rsid w:val="00336E01"/>
    <w:rsid w:val="00336F36"/>
    <w:rsid w:val="0033729E"/>
    <w:rsid w:val="003379AC"/>
    <w:rsid w:val="00337AB6"/>
    <w:rsid w:val="00337BD1"/>
    <w:rsid w:val="00340166"/>
    <w:rsid w:val="0034044B"/>
    <w:rsid w:val="00341148"/>
    <w:rsid w:val="0034166C"/>
    <w:rsid w:val="00341BE1"/>
    <w:rsid w:val="00342067"/>
    <w:rsid w:val="0034253A"/>
    <w:rsid w:val="0034254D"/>
    <w:rsid w:val="003427B6"/>
    <w:rsid w:val="0034329D"/>
    <w:rsid w:val="0034375D"/>
    <w:rsid w:val="00343B64"/>
    <w:rsid w:val="00344A80"/>
    <w:rsid w:val="00344D7D"/>
    <w:rsid w:val="00344F4F"/>
    <w:rsid w:val="003453D7"/>
    <w:rsid w:val="00345418"/>
    <w:rsid w:val="003457C8"/>
    <w:rsid w:val="00345927"/>
    <w:rsid w:val="003459D4"/>
    <w:rsid w:val="00345D6F"/>
    <w:rsid w:val="003461C0"/>
    <w:rsid w:val="00346411"/>
    <w:rsid w:val="003466DF"/>
    <w:rsid w:val="00346998"/>
    <w:rsid w:val="003469B8"/>
    <w:rsid w:val="00346A41"/>
    <w:rsid w:val="00346C9A"/>
    <w:rsid w:val="00346E21"/>
    <w:rsid w:val="00347D60"/>
    <w:rsid w:val="00350170"/>
    <w:rsid w:val="0035018C"/>
    <w:rsid w:val="00350584"/>
    <w:rsid w:val="00350955"/>
    <w:rsid w:val="00350F11"/>
    <w:rsid w:val="00350F4E"/>
    <w:rsid w:val="00351857"/>
    <w:rsid w:val="00351D1B"/>
    <w:rsid w:val="00351DA4"/>
    <w:rsid w:val="0035240A"/>
    <w:rsid w:val="00352C6A"/>
    <w:rsid w:val="0035374A"/>
    <w:rsid w:val="0035383E"/>
    <w:rsid w:val="00353F15"/>
    <w:rsid w:val="00354249"/>
    <w:rsid w:val="00354279"/>
    <w:rsid w:val="0035457F"/>
    <w:rsid w:val="003545E8"/>
    <w:rsid w:val="00354AA0"/>
    <w:rsid w:val="00354C99"/>
    <w:rsid w:val="00354EF2"/>
    <w:rsid w:val="003551C5"/>
    <w:rsid w:val="00355905"/>
    <w:rsid w:val="00355B6C"/>
    <w:rsid w:val="0035624C"/>
    <w:rsid w:val="003565E9"/>
    <w:rsid w:val="00356E2C"/>
    <w:rsid w:val="003576E9"/>
    <w:rsid w:val="0035797C"/>
    <w:rsid w:val="00357B0B"/>
    <w:rsid w:val="00357E50"/>
    <w:rsid w:val="00360466"/>
    <w:rsid w:val="00360619"/>
    <w:rsid w:val="003606A1"/>
    <w:rsid w:val="00360729"/>
    <w:rsid w:val="003607B5"/>
    <w:rsid w:val="00360DA9"/>
    <w:rsid w:val="003610B9"/>
    <w:rsid w:val="003610E1"/>
    <w:rsid w:val="00362401"/>
    <w:rsid w:val="00362717"/>
    <w:rsid w:val="0036325D"/>
    <w:rsid w:val="0036343C"/>
    <w:rsid w:val="0036356B"/>
    <w:rsid w:val="00363703"/>
    <w:rsid w:val="003637F0"/>
    <w:rsid w:val="0036391C"/>
    <w:rsid w:val="00363A2B"/>
    <w:rsid w:val="003642F4"/>
    <w:rsid w:val="00364338"/>
    <w:rsid w:val="00364532"/>
    <w:rsid w:val="00365675"/>
    <w:rsid w:val="0036584B"/>
    <w:rsid w:val="00365F40"/>
    <w:rsid w:val="00366044"/>
    <w:rsid w:val="003664DE"/>
    <w:rsid w:val="003667F5"/>
    <w:rsid w:val="00366A87"/>
    <w:rsid w:val="00366BCC"/>
    <w:rsid w:val="00366C69"/>
    <w:rsid w:val="00366DA2"/>
    <w:rsid w:val="003671B6"/>
    <w:rsid w:val="003671BE"/>
    <w:rsid w:val="00367CAB"/>
    <w:rsid w:val="00367F35"/>
    <w:rsid w:val="00370006"/>
    <w:rsid w:val="0037034B"/>
    <w:rsid w:val="0037175D"/>
    <w:rsid w:val="00371834"/>
    <w:rsid w:val="00371CA5"/>
    <w:rsid w:val="0037203A"/>
    <w:rsid w:val="00372485"/>
    <w:rsid w:val="00372659"/>
    <w:rsid w:val="00372EAA"/>
    <w:rsid w:val="00372FBE"/>
    <w:rsid w:val="00373200"/>
    <w:rsid w:val="00374186"/>
    <w:rsid w:val="003743D4"/>
    <w:rsid w:val="0037467B"/>
    <w:rsid w:val="003746F7"/>
    <w:rsid w:val="00374A19"/>
    <w:rsid w:val="00374F57"/>
    <w:rsid w:val="00374F76"/>
    <w:rsid w:val="00375529"/>
    <w:rsid w:val="003756E1"/>
    <w:rsid w:val="00375756"/>
    <w:rsid w:val="00375790"/>
    <w:rsid w:val="00375903"/>
    <w:rsid w:val="00375AE1"/>
    <w:rsid w:val="00375EF5"/>
    <w:rsid w:val="00376189"/>
    <w:rsid w:val="003763FE"/>
    <w:rsid w:val="003767A5"/>
    <w:rsid w:val="003770F4"/>
    <w:rsid w:val="00377E0B"/>
    <w:rsid w:val="0038044B"/>
    <w:rsid w:val="0038061C"/>
    <w:rsid w:val="00380671"/>
    <w:rsid w:val="00380CEC"/>
    <w:rsid w:val="00380DA3"/>
    <w:rsid w:val="0038109D"/>
    <w:rsid w:val="00381C12"/>
    <w:rsid w:val="00381D15"/>
    <w:rsid w:val="00381D29"/>
    <w:rsid w:val="00381F0D"/>
    <w:rsid w:val="003822C4"/>
    <w:rsid w:val="00383407"/>
    <w:rsid w:val="00383A60"/>
    <w:rsid w:val="00383B9A"/>
    <w:rsid w:val="00383C0A"/>
    <w:rsid w:val="003841F6"/>
    <w:rsid w:val="003842E0"/>
    <w:rsid w:val="0038451C"/>
    <w:rsid w:val="0038466B"/>
    <w:rsid w:val="00385254"/>
    <w:rsid w:val="0038542F"/>
    <w:rsid w:val="00385441"/>
    <w:rsid w:val="00385634"/>
    <w:rsid w:val="00385B90"/>
    <w:rsid w:val="00385CEF"/>
    <w:rsid w:val="00386067"/>
    <w:rsid w:val="003860AB"/>
    <w:rsid w:val="0038647D"/>
    <w:rsid w:val="0038688D"/>
    <w:rsid w:val="00386D94"/>
    <w:rsid w:val="00386E9E"/>
    <w:rsid w:val="00387694"/>
    <w:rsid w:val="00387F79"/>
    <w:rsid w:val="00390640"/>
    <w:rsid w:val="003906F6"/>
    <w:rsid w:val="0039072A"/>
    <w:rsid w:val="0039091D"/>
    <w:rsid w:val="0039093E"/>
    <w:rsid w:val="00391243"/>
    <w:rsid w:val="003913E7"/>
    <w:rsid w:val="003915B9"/>
    <w:rsid w:val="00391710"/>
    <w:rsid w:val="00391800"/>
    <w:rsid w:val="00391B32"/>
    <w:rsid w:val="00391D17"/>
    <w:rsid w:val="00392443"/>
    <w:rsid w:val="003924F8"/>
    <w:rsid w:val="00392856"/>
    <w:rsid w:val="00392883"/>
    <w:rsid w:val="00393211"/>
    <w:rsid w:val="0039326C"/>
    <w:rsid w:val="003933C7"/>
    <w:rsid w:val="003933E8"/>
    <w:rsid w:val="003936E4"/>
    <w:rsid w:val="00393AA8"/>
    <w:rsid w:val="00393D69"/>
    <w:rsid w:val="00393E01"/>
    <w:rsid w:val="00393E8A"/>
    <w:rsid w:val="00394031"/>
    <w:rsid w:val="00394F4F"/>
    <w:rsid w:val="00395299"/>
    <w:rsid w:val="003952C7"/>
    <w:rsid w:val="0039611D"/>
    <w:rsid w:val="003964EC"/>
    <w:rsid w:val="003968F2"/>
    <w:rsid w:val="00396DC2"/>
    <w:rsid w:val="00397095"/>
    <w:rsid w:val="003971E1"/>
    <w:rsid w:val="00397AE4"/>
    <w:rsid w:val="003A0312"/>
    <w:rsid w:val="003A04DB"/>
    <w:rsid w:val="003A0B5A"/>
    <w:rsid w:val="003A0FC5"/>
    <w:rsid w:val="003A1FDE"/>
    <w:rsid w:val="003A2312"/>
    <w:rsid w:val="003A26B2"/>
    <w:rsid w:val="003A3032"/>
    <w:rsid w:val="003A332D"/>
    <w:rsid w:val="003A360D"/>
    <w:rsid w:val="003A4002"/>
    <w:rsid w:val="003A444C"/>
    <w:rsid w:val="003A44F6"/>
    <w:rsid w:val="003A454D"/>
    <w:rsid w:val="003A4A00"/>
    <w:rsid w:val="003A5168"/>
    <w:rsid w:val="003A539C"/>
    <w:rsid w:val="003A5761"/>
    <w:rsid w:val="003A59CA"/>
    <w:rsid w:val="003A59FF"/>
    <w:rsid w:val="003A5F5B"/>
    <w:rsid w:val="003A66D8"/>
    <w:rsid w:val="003A68C7"/>
    <w:rsid w:val="003A6C7D"/>
    <w:rsid w:val="003A6F6A"/>
    <w:rsid w:val="003A74B4"/>
    <w:rsid w:val="003A7813"/>
    <w:rsid w:val="003A789A"/>
    <w:rsid w:val="003A79FD"/>
    <w:rsid w:val="003A7A4A"/>
    <w:rsid w:val="003A7A7D"/>
    <w:rsid w:val="003A7DA5"/>
    <w:rsid w:val="003B014B"/>
    <w:rsid w:val="003B028D"/>
    <w:rsid w:val="003B03D9"/>
    <w:rsid w:val="003B0A98"/>
    <w:rsid w:val="003B0B7C"/>
    <w:rsid w:val="003B0E33"/>
    <w:rsid w:val="003B102C"/>
    <w:rsid w:val="003B1072"/>
    <w:rsid w:val="003B112C"/>
    <w:rsid w:val="003B12EC"/>
    <w:rsid w:val="003B1322"/>
    <w:rsid w:val="003B1740"/>
    <w:rsid w:val="003B1A75"/>
    <w:rsid w:val="003B1B08"/>
    <w:rsid w:val="003B25A6"/>
    <w:rsid w:val="003B283C"/>
    <w:rsid w:val="003B2A41"/>
    <w:rsid w:val="003B2DAB"/>
    <w:rsid w:val="003B32D4"/>
    <w:rsid w:val="003B4153"/>
    <w:rsid w:val="003B430A"/>
    <w:rsid w:val="003B4E98"/>
    <w:rsid w:val="003B5368"/>
    <w:rsid w:val="003B5AED"/>
    <w:rsid w:val="003B6021"/>
    <w:rsid w:val="003B61AD"/>
    <w:rsid w:val="003B651C"/>
    <w:rsid w:val="003B67FF"/>
    <w:rsid w:val="003B6841"/>
    <w:rsid w:val="003B697C"/>
    <w:rsid w:val="003B7230"/>
    <w:rsid w:val="003B72F1"/>
    <w:rsid w:val="003B7C38"/>
    <w:rsid w:val="003B7DBE"/>
    <w:rsid w:val="003C018F"/>
    <w:rsid w:val="003C0268"/>
    <w:rsid w:val="003C03B8"/>
    <w:rsid w:val="003C1BF8"/>
    <w:rsid w:val="003C1D53"/>
    <w:rsid w:val="003C1DFD"/>
    <w:rsid w:val="003C20ED"/>
    <w:rsid w:val="003C2253"/>
    <w:rsid w:val="003C2334"/>
    <w:rsid w:val="003C23BD"/>
    <w:rsid w:val="003C2A28"/>
    <w:rsid w:val="003C3506"/>
    <w:rsid w:val="003C3FE2"/>
    <w:rsid w:val="003C446E"/>
    <w:rsid w:val="003C464B"/>
    <w:rsid w:val="003C4D62"/>
    <w:rsid w:val="003C4D79"/>
    <w:rsid w:val="003C4D7D"/>
    <w:rsid w:val="003C53C9"/>
    <w:rsid w:val="003C66F3"/>
    <w:rsid w:val="003C731B"/>
    <w:rsid w:val="003C77E0"/>
    <w:rsid w:val="003C79C5"/>
    <w:rsid w:val="003C7AC7"/>
    <w:rsid w:val="003D0873"/>
    <w:rsid w:val="003D0D8E"/>
    <w:rsid w:val="003D0ED2"/>
    <w:rsid w:val="003D13D7"/>
    <w:rsid w:val="003D13FF"/>
    <w:rsid w:val="003D17D7"/>
    <w:rsid w:val="003D17EF"/>
    <w:rsid w:val="003D194C"/>
    <w:rsid w:val="003D1A08"/>
    <w:rsid w:val="003D23E4"/>
    <w:rsid w:val="003D2678"/>
    <w:rsid w:val="003D4686"/>
    <w:rsid w:val="003D46E9"/>
    <w:rsid w:val="003D4989"/>
    <w:rsid w:val="003D49E2"/>
    <w:rsid w:val="003D4D4B"/>
    <w:rsid w:val="003D55C5"/>
    <w:rsid w:val="003D59ED"/>
    <w:rsid w:val="003D5C2F"/>
    <w:rsid w:val="003D5CD4"/>
    <w:rsid w:val="003D5E9A"/>
    <w:rsid w:val="003D5EB4"/>
    <w:rsid w:val="003D6158"/>
    <w:rsid w:val="003D616C"/>
    <w:rsid w:val="003D65D1"/>
    <w:rsid w:val="003D66FC"/>
    <w:rsid w:val="003D69FD"/>
    <w:rsid w:val="003D71A3"/>
    <w:rsid w:val="003D73E5"/>
    <w:rsid w:val="003E0246"/>
    <w:rsid w:val="003E06FA"/>
    <w:rsid w:val="003E0A09"/>
    <w:rsid w:val="003E0DF8"/>
    <w:rsid w:val="003E0E5A"/>
    <w:rsid w:val="003E0F6E"/>
    <w:rsid w:val="003E0F9B"/>
    <w:rsid w:val="003E1352"/>
    <w:rsid w:val="003E13DC"/>
    <w:rsid w:val="003E1B56"/>
    <w:rsid w:val="003E236A"/>
    <w:rsid w:val="003E255E"/>
    <w:rsid w:val="003E264B"/>
    <w:rsid w:val="003E29BF"/>
    <w:rsid w:val="003E2B8A"/>
    <w:rsid w:val="003E2DC5"/>
    <w:rsid w:val="003E3286"/>
    <w:rsid w:val="003E359D"/>
    <w:rsid w:val="003E38B9"/>
    <w:rsid w:val="003E3D50"/>
    <w:rsid w:val="003E434E"/>
    <w:rsid w:val="003E4504"/>
    <w:rsid w:val="003E4DBE"/>
    <w:rsid w:val="003E5F7F"/>
    <w:rsid w:val="003E70C3"/>
    <w:rsid w:val="003E716D"/>
    <w:rsid w:val="003E72F2"/>
    <w:rsid w:val="003E771E"/>
    <w:rsid w:val="003E7AC4"/>
    <w:rsid w:val="003E7EA2"/>
    <w:rsid w:val="003F04DC"/>
    <w:rsid w:val="003F0860"/>
    <w:rsid w:val="003F0ADA"/>
    <w:rsid w:val="003F0FFC"/>
    <w:rsid w:val="003F10EE"/>
    <w:rsid w:val="003F16F6"/>
    <w:rsid w:val="003F1EC1"/>
    <w:rsid w:val="003F290B"/>
    <w:rsid w:val="003F2A23"/>
    <w:rsid w:val="003F2E47"/>
    <w:rsid w:val="003F2E59"/>
    <w:rsid w:val="003F3234"/>
    <w:rsid w:val="003F3667"/>
    <w:rsid w:val="003F3E62"/>
    <w:rsid w:val="003F4DC7"/>
    <w:rsid w:val="003F4F7E"/>
    <w:rsid w:val="003F5235"/>
    <w:rsid w:val="003F52A7"/>
    <w:rsid w:val="003F61BD"/>
    <w:rsid w:val="003F6CDF"/>
    <w:rsid w:val="003F7407"/>
    <w:rsid w:val="003F7634"/>
    <w:rsid w:val="003F7795"/>
    <w:rsid w:val="003F7920"/>
    <w:rsid w:val="004008D7"/>
    <w:rsid w:val="00400935"/>
    <w:rsid w:val="0040126C"/>
    <w:rsid w:val="00401782"/>
    <w:rsid w:val="004018BE"/>
    <w:rsid w:val="00401B65"/>
    <w:rsid w:val="00401CE7"/>
    <w:rsid w:val="004027E4"/>
    <w:rsid w:val="00402898"/>
    <w:rsid w:val="00402B32"/>
    <w:rsid w:val="00402ECF"/>
    <w:rsid w:val="00403CFE"/>
    <w:rsid w:val="0040414F"/>
    <w:rsid w:val="004045E3"/>
    <w:rsid w:val="00404B59"/>
    <w:rsid w:val="00404D0E"/>
    <w:rsid w:val="0040582D"/>
    <w:rsid w:val="00405924"/>
    <w:rsid w:val="00405E92"/>
    <w:rsid w:val="0040630F"/>
    <w:rsid w:val="00406356"/>
    <w:rsid w:val="00406A01"/>
    <w:rsid w:val="0040728F"/>
    <w:rsid w:val="00407726"/>
    <w:rsid w:val="00410122"/>
    <w:rsid w:val="0041071D"/>
    <w:rsid w:val="00410F0B"/>
    <w:rsid w:val="004115E3"/>
    <w:rsid w:val="004115F8"/>
    <w:rsid w:val="00411937"/>
    <w:rsid w:val="00411A04"/>
    <w:rsid w:val="00411A46"/>
    <w:rsid w:val="00411F9B"/>
    <w:rsid w:val="0041239C"/>
    <w:rsid w:val="00412580"/>
    <w:rsid w:val="00412816"/>
    <w:rsid w:val="004129DD"/>
    <w:rsid w:val="00412FEE"/>
    <w:rsid w:val="004133E1"/>
    <w:rsid w:val="0041342B"/>
    <w:rsid w:val="004140BC"/>
    <w:rsid w:val="0041464A"/>
    <w:rsid w:val="004147F1"/>
    <w:rsid w:val="00414AFC"/>
    <w:rsid w:val="004151A7"/>
    <w:rsid w:val="00415310"/>
    <w:rsid w:val="00415585"/>
    <w:rsid w:val="004158EA"/>
    <w:rsid w:val="00415A99"/>
    <w:rsid w:val="00416B2B"/>
    <w:rsid w:val="00417056"/>
    <w:rsid w:val="0041729A"/>
    <w:rsid w:val="00417369"/>
    <w:rsid w:val="004177D4"/>
    <w:rsid w:val="00417EAD"/>
    <w:rsid w:val="004204F2"/>
    <w:rsid w:val="0042091C"/>
    <w:rsid w:val="00420E2C"/>
    <w:rsid w:val="004210F1"/>
    <w:rsid w:val="004211FC"/>
    <w:rsid w:val="0042151F"/>
    <w:rsid w:val="0042168B"/>
    <w:rsid w:val="00421709"/>
    <w:rsid w:val="004217F6"/>
    <w:rsid w:val="00421D70"/>
    <w:rsid w:val="0042237A"/>
    <w:rsid w:val="004224A9"/>
    <w:rsid w:val="00422582"/>
    <w:rsid w:val="00422B37"/>
    <w:rsid w:val="00422BE0"/>
    <w:rsid w:val="00422CB0"/>
    <w:rsid w:val="00422CE7"/>
    <w:rsid w:val="00422F3B"/>
    <w:rsid w:val="00422FBF"/>
    <w:rsid w:val="00423002"/>
    <w:rsid w:val="0042310D"/>
    <w:rsid w:val="00423444"/>
    <w:rsid w:val="00423763"/>
    <w:rsid w:val="00423869"/>
    <w:rsid w:val="00423FFD"/>
    <w:rsid w:val="0042451E"/>
    <w:rsid w:val="00424690"/>
    <w:rsid w:val="00425BBE"/>
    <w:rsid w:val="00425BD7"/>
    <w:rsid w:val="00426272"/>
    <w:rsid w:val="0042632A"/>
    <w:rsid w:val="00426333"/>
    <w:rsid w:val="00426477"/>
    <w:rsid w:val="004264E1"/>
    <w:rsid w:val="0042665A"/>
    <w:rsid w:val="00426836"/>
    <w:rsid w:val="0042691A"/>
    <w:rsid w:val="00426B6F"/>
    <w:rsid w:val="00426C7E"/>
    <w:rsid w:val="0042762F"/>
    <w:rsid w:val="00427BE3"/>
    <w:rsid w:val="00427CE3"/>
    <w:rsid w:val="00427DC7"/>
    <w:rsid w:val="00427F49"/>
    <w:rsid w:val="00430692"/>
    <w:rsid w:val="004306AB"/>
    <w:rsid w:val="004307A3"/>
    <w:rsid w:val="00430E60"/>
    <w:rsid w:val="00431220"/>
    <w:rsid w:val="00431459"/>
    <w:rsid w:val="00431613"/>
    <w:rsid w:val="00431675"/>
    <w:rsid w:val="00431792"/>
    <w:rsid w:val="00431BD2"/>
    <w:rsid w:val="00431C07"/>
    <w:rsid w:val="00432040"/>
    <w:rsid w:val="00432053"/>
    <w:rsid w:val="00432492"/>
    <w:rsid w:val="004326D0"/>
    <w:rsid w:val="004326E6"/>
    <w:rsid w:val="00432807"/>
    <w:rsid w:val="00432861"/>
    <w:rsid w:val="004328B0"/>
    <w:rsid w:val="0043297A"/>
    <w:rsid w:val="00432AC6"/>
    <w:rsid w:val="00432EB2"/>
    <w:rsid w:val="00433BE5"/>
    <w:rsid w:val="00433C68"/>
    <w:rsid w:val="00433D74"/>
    <w:rsid w:val="00434153"/>
    <w:rsid w:val="004341DD"/>
    <w:rsid w:val="004345BD"/>
    <w:rsid w:val="00435077"/>
    <w:rsid w:val="004352BC"/>
    <w:rsid w:val="00435319"/>
    <w:rsid w:val="0043567F"/>
    <w:rsid w:val="00435B2B"/>
    <w:rsid w:val="00435F06"/>
    <w:rsid w:val="00436814"/>
    <w:rsid w:val="0043689A"/>
    <w:rsid w:val="00436A6D"/>
    <w:rsid w:val="00436D33"/>
    <w:rsid w:val="0043714F"/>
    <w:rsid w:val="00437983"/>
    <w:rsid w:val="00437CCB"/>
    <w:rsid w:val="00437D49"/>
    <w:rsid w:val="004400FC"/>
    <w:rsid w:val="00440551"/>
    <w:rsid w:val="00440A88"/>
    <w:rsid w:val="004411AB"/>
    <w:rsid w:val="0044156B"/>
    <w:rsid w:val="00443225"/>
    <w:rsid w:val="004433AE"/>
    <w:rsid w:val="004438B5"/>
    <w:rsid w:val="00443B39"/>
    <w:rsid w:val="0044408A"/>
    <w:rsid w:val="00444237"/>
    <w:rsid w:val="00444895"/>
    <w:rsid w:val="00444EC3"/>
    <w:rsid w:val="004452E5"/>
    <w:rsid w:val="0044543D"/>
    <w:rsid w:val="00445810"/>
    <w:rsid w:val="004461F3"/>
    <w:rsid w:val="004466FA"/>
    <w:rsid w:val="00446B19"/>
    <w:rsid w:val="00446DA2"/>
    <w:rsid w:val="00446EFA"/>
    <w:rsid w:val="00446FE7"/>
    <w:rsid w:val="00447037"/>
    <w:rsid w:val="004472F0"/>
    <w:rsid w:val="004477F5"/>
    <w:rsid w:val="00447A20"/>
    <w:rsid w:val="00447E19"/>
    <w:rsid w:val="004502A5"/>
    <w:rsid w:val="00450344"/>
    <w:rsid w:val="0045043C"/>
    <w:rsid w:val="004504D0"/>
    <w:rsid w:val="00450AA0"/>
    <w:rsid w:val="00450B8F"/>
    <w:rsid w:val="00450D2B"/>
    <w:rsid w:val="004510D4"/>
    <w:rsid w:val="0045124D"/>
    <w:rsid w:val="00451694"/>
    <w:rsid w:val="004519FF"/>
    <w:rsid w:val="00451A0B"/>
    <w:rsid w:val="00451FF7"/>
    <w:rsid w:val="00452911"/>
    <w:rsid w:val="004532A0"/>
    <w:rsid w:val="004532B7"/>
    <w:rsid w:val="004534A5"/>
    <w:rsid w:val="0045356A"/>
    <w:rsid w:val="00453B8F"/>
    <w:rsid w:val="00453C0B"/>
    <w:rsid w:val="00454053"/>
    <w:rsid w:val="0045417B"/>
    <w:rsid w:val="004541F3"/>
    <w:rsid w:val="00454596"/>
    <w:rsid w:val="004548E8"/>
    <w:rsid w:val="00454942"/>
    <w:rsid w:val="00454B40"/>
    <w:rsid w:val="00455128"/>
    <w:rsid w:val="00455281"/>
    <w:rsid w:val="00455A75"/>
    <w:rsid w:val="00455BC2"/>
    <w:rsid w:val="00455E36"/>
    <w:rsid w:val="0045605D"/>
    <w:rsid w:val="004569A5"/>
    <w:rsid w:val="004569AD"/>
    <w:rsid w:val="00456E23"/>
    <w:rsid w:val="0045764B"/>
    <w:rsid w:val="00457702"/>
    <w:rsid w:val="004578D6"/>
    <w:rsid w:val="00457BD7"/>
    <w:rsid w:val="00460035"/>
    <w:rsid w:val="004604C0"/>
    <w:rsid w:val="00460CDA"/>
    <w:rsid w:val="00461325"/>
    <w:rsid w:val="0046135B"/>
    <w:rsid w:val="00461538"/>
    <w:rsid w:val="00461D47"/>
    <w:rsid w:val="00461D6F"/>
    <w:rsid w:val="00462054"/>
    <w:rsid w:val="004626FA"/>
    <w:rsid w:val="00462F5D"/>
    <w:rsid w:val="0046325A"/>
    <w:rsid w:val="004632E1"/>
    <w:rsid w:val="00463620"/>
    <w:rsid w:val="00463B96"/>
    <w:rsid w:val="004642AD"/>
    <w:rsid w:val="00464981"/>
    <w:rsid w:val="00465524"/>
    <w:rsid w:val="00465C22"/>
    <w:rsid w:val="004660B0"/>
    <w:rsid w:val="004660CA"/>
    <w:rsid w:val="004662CF"/>
    <w:rsid w:val="004666F5"/>
    <w:rsid w:val="00466746"/>
    <w:rsid w:val="00467456"/>
    <w:rsid w:val="00467C57"/>
    <w:rsid w:val="004705A5"/>
    <w:rsid w:val="00470646"/>
    <w:rsid w:val="0047084C"/>
    <w:rsid w:val="00470C95"/>
    <w:rsid w:val="004710BF"/>
    <w:rsid w:val="0047174C"/>
    <w:rsid w:val="004718CC"/>
    <w:rsid w:val="0047199F"/>
    <w:rsid w:val="00472540"/>
    <w:rsid w:val="004729CF"/>
    <w:rsid w:val="00472BF1"/>
    <w:rsid w:val="00472C60"/>
    <w:rsid w:val="00472D4F"/>
    <w:rsid w:val="00472F0B"/>
    <w:rsid w:val="00472FB3"/>
    <w:rsid w:val="00473523"/>
    <w:rsid w:val="004739F7"/>
    <w:rsid w:val="00473CE7"/>
    <w:rsid w:val="0047443D"/>
    <w:rsid w:val="00474D2E"/>
    <w:rsid w:val="004754B6"/>
    <w:rsid w:val="00475899"/>
    <w:rsid w:val="004763F3"/>
    <w:rsid w:val="00477050"/>
    <w:rsid w:val="00477653"/>
    <w:rsid w:val="004776E1"/>
    <w:rsid w:val="00477811"/>
    <w:rsid w:val="004778C9"/>
    <w:rsid w:val="00477A5D"/>
    <w:rsid w:val="00477D9A"/>
    <w:rsid w:val="00477EC4"/>
    <w:rsid w:val="00480142"/>
    <w:rsid w:val="00480502"/>
    <w:rsid w:val="0048072F"/>
    <w:rsid w:val="0048088A"/>
    <w:rsid w:val="00480C48"/>
    <w:rsid w:val="00480E4B"/>
    <w:rsid w:val="0048141B"/>
    <w:rsid w:val="00481695"/>
    <w:rsid w:val="00481B97"/>
    <w:rsid w:val="00481FCC"/>
    <w:rsid w:val="0048279E"/>
    <w:rsid w:val="00482ED6"/>
    <w:rsid w:val="00483230"/>
    <w:rsid w:val="0048323E"/>
    <w:rsid w:val="00483252"/>
    <w:rsid w:val="004833B9"/>
    <w:rsid w:val="00483C85"/>
    <w:rsid w:val="00483D7C"/>
    <w:rsid w:val="00484A54"/>
    <w:rsid w:val="00484ACA"/>
    <w:rsid w:val="00484CED"/>
    <w:rsid w:val="004850C4"/>
    <w:rsid w:val="00485978"/>
    <w:rsid w:val="00485A16"/>
    <w:rsid w:val="00485BC9"/>
    <w:rsid w:val="00485EDB"/>
    <w:rsid w:val="0048652F"/>
    <w:rsid w:val="00486B64"/>
    <w:rsid w:val="00487007"/>
    <w:rsid w:val="004874D3"/>
    <w:rsid w:val="004874E2"/>
    <w:rsid w:val="00487A90"/>
    <w:rsid w:val="00487BB2"/>
    <w:rsid w:val="00487CBA"/>
    <w:rsid w:val="00487E76"/>
    <w:rsid w:val="004901B8"/>
    <w:rsid w:val="00490625"/>
    <w:rsid w:val="0049069D"/>
    <w:rsid w:val="00491EF9"/>
    <w:rsid w:val="00492033"/>
    <w:rsid w:val="0049203D"/>
    <w:rsid w:val="0049217E"/>
    <w:rsid w:val="00492180"/>
    <w:rsid w:val="004927F8"/>
    <w:rsid w:val="00492A1B"/>
    <w:rsid w:val="00492CEE"/>
    <w:rsid w:val="00492F7B"/>
    <w:rsid w:val="00492FD7"/>
    <w:rsid w:val="00493025"/>
    <w:rsid w:val="00493622"/>
    <w:rsid w:val="0049475A"/>
    <w:rsid w:val="00494FD6"/>
    <w:rsid w:val="0049535B"/>
    <w:rsid w:val="0049595E"/>
    <w:rsid w:val="00495A96"/>
    <w:rsid w:val="00495BB3"/>
    <w:rsid w:val="00495CB6"/>
    <w:rsid w:val="00495DBD"/>
    <w:rsid w:val="00496159"/>
    <w:rsid w:val="0049651D"/>
    <w:rsid w:val="004969EB"/>
    <w:rsid w:val="00496E92"/>
    <w:rsid w:val="00497628"/>
    <w:rsid w:val="00497A23"/>
    <w:rsid w:val="004A06DC"/>
    <w:rsid w:val="004A077B"/>
    <w:rsid w:val="004A0C80"/>
    <w:rsid w:val="004A1479"/>
    <w:rsid w:val="004A153D"/>
    <w:rsid w:val="004A16FB"/>
    <w:rsid w:val="004A1C84"/>
    <w:rsid w:val="004A2110"/>
    <w:rsid w:val="004A2161"/>
    <w:rsid w:val="004A22BA"/>
    <w:rsid w:val="004A24CF"/>
    <w:rsid w:val="004A2BB5"/>
    <w:rsid w:val="004A2D7E"/>
    <w:rsid w:val="004A30B7"/>
    <w:rsid w:val="004A3221"/>
    <w:rsid w:val="004A3282"/>
    <w:rsid w:val="004A3657"/>
    <w:rsid w:val="004A391D"/>
    <w:rsid w:val="004A3FBE"/>
    <w:rsid w:val="004A470F"/>
    <w:rsid w:val="004A482E"/>
    <w:rsid w:val="004A48E9"/>
    <w:rsid w:val="004A4DAD"/>
    <w:rsid w:val="004A4E9E"/>
    <w:rsid w:val="004A4FAE"/>
    <w:rsid w:val="004A5030"/>
    <w:rsid w:val="004A54E0"/>
    <w:rsid w:val="004A56BB"/>
    <w:rsid w:val="004A573D"/>
    <w:rsid w:val="004A5C8C"/>
    <w:rsid w:val="004A5F56"/>
    <w:rsid w:val="004A64CF"/>
    <w:rsid w:val="004A70D6"/>
    <w:rsid w:val="004A7368"/>
    <w:rsid w:val="004A74F1"/>
    <w:rsid w:val="004A7787"/>
    <w:rsid w:val="004A785D"/>
    <w:rsid w:val="004A79DE"/>
    <w:rsid w:val="004B0582"/>
    <w:rsid w:val="004B0598"/>
    <w:rsid w:val="004B0619"/>
    <w:rsid w:val="004B06CB"/>
    <w:rsid w:val="004B0AB7"/>
    <w:rsid w:val="004B1080"/>
    <w:rsid w:val="004B1751"/>
    <w:rsid w:val="004B1816"/>
    <w:rsid w:val="004B18DE"/>
    <w:rsid w:val="004B197A"/>
    <w:rsid w:val="004B1B26"/>
    <w:rsid w:val="004B1F85"/>
    <w:rsid w:val="004B2C7C"/>
    <w:rsid w:val="004B2EAA"/>
    <w:rsid w:val="004B3094"/>
    <w:rsid w:val="004B3289"/>
    <w:rsid w:val="004B34D1"/>
    <w:rsid w:val="004B3599"/>
    <w:rsid w:val="004B36BB"/>
    <w:rsid w:val="004B3830"/>
    <w:rsid w:val="004B39F9"/>
    <w:rsid w:val="004B3B52"/>
    <w:rsid w:val="004B3B76"/>
    <w:rsid w:val="004B43BA"/>
    <w:rsid w:val="004B4434"/>
    <w:rsid w:val="004B4B48"/>
    <w:rsid w:val="004B55C1"/>
    <w:rsid w:val="004B55CB"/>
    <w:rsid w:val="004B5CEF"/>
    <w:rsid w:val="004B6014"/>
    <w:rsid w:val="004B623D"/>
    <w:rsid w:val="004B62E3"/>
    <w:rsid w:val="004B6379"/>
    <w:rsid w:val="004B6B1D"/>
    <w:rsid w:val="004B6B4D"/>
    <w:rsid w:val="004B7EE7"/>
    <w:rsid w:val="004C0253"/>
    <w:rsid w:val="004C0712"/>
    <w:rsid w:val="004C0AC6"/>
    <w:rsid w:val="004C0FCD"/>
    <w:rsid w:val="004C1426"/>
    <w:rsid w:val="004C1621"/>
    <w:rsid w:val="004C1853"/>
    <w:rsid w:val="004C2792"/>
    <w:rsid w:val="004C2D32"/>
    <w:rsid w:val="004C2E77"/>
    <w:rsid w:val="004C2F95"/>
    <w:rsid w:val="004C367E"/>
    <w:rsid w:val="004C3E97"/>
    <w:rsid w:val="004C49E3"/>
    <w:rsid w:val="004C4E74"/>
    <w:rsid w:val="004C4F69"/>
    <w:rsid w:val="004C51A7"/>
    <w:rsid w:val="004C5678"/>
    <w:rsid w:val="004C5706"/>
    <w:rsid w:val="004C5D63"/>
    <w:rsid w:val="004C6048"/>
    <w:rsid w:val="004C60B0"/>
    <w:rsid w:val="004C6323"/>
    <w:rsid w:val="004C6414"/>
    <w:rsid w:val="004C64B9"/>
    <w:rsid w:val="004C64DD"/>
    <w:rsid w:val="004C668C"/>
    <w:rsid w:val="004C6AD5"/>
    <w:rsid w:val="004C6F4B"/>
    <w:rsid w:val="004C7070"/>
    <w:rsid w:val="004C76EA"/>
    <w:rsid w:val="004C7A1C"/>
    <w:rsid w:val="004C7A60"/>
    <w:rsid w:val="004C7B6C"/>
    <w:rsid w:val="004D005B"/>
    <w:rsid w:val="004D0463"/>
    <w:rsid w:val="004D04A4"/>
    <w:rsid w:val="004D0645"/>
    <w:rsid w:val="004D0E15"/>
    <w:rsid w:val="004D1277"/>
    <w:rsid w:val="004D1906"/>
    <w:rsid w:val="004D1AEF"/>
    <w:rsid w:val="004D1B42"/>
    <w:rsid w:val="004D1BE9"/>
    <w:rsid w:val="004D1C57"/>
    <w:rsid w:val="004D1EC3"/>
    <w:rsid w:val="004D1F73"/>
    <w:rsid w:val="004D2247"/>
    <w:rsid w:val="004D2ACF"/>
    <w:rsid w:val="004D3143"/>
    <w:rsid w:val="004D32A9"/>
    <w:rsid w:val="004D35C8"/>
    <w:rsid w:val="004D3AF4"/>
    <w:rsid w:val="004D3CA1"/>
    <w:rsid w:val="004D421F"/>
    <w:rsid w:val="004D43C5"/>
    <w:rsid w:val="004D4F0E"/>
    <w:rsid w:val="004D51CA"/>
    <w:rsid w:val="004D5324"/>
    <w:rsid w:val="004D54BE"/>
    <w:rsid w:val="004D56FF"/>
    <w:rsid w:val="004D6248"/>
    <w:rsid w:val="004D657E"/>
    <w:rsid w:val="004D6C1F"/>
    <w:rsid w:val="004D6F94"/>
    <w:rsid w:val="004D77A1"/>
    <w:rsid w:val="004D7814"/>
    <w:rsid w:val="004D7CE3"/>
    <w:rsid w:val="004D7FED"/>
    <w:rsid w:val="004E056D"/>
    <w:rsid w:val="004E15BE"/>
    <w:rsid w:val="004E1A76"/>
    <w:rsid w:val="004E1B91"/>
    <w:rsid w:val="004E22C5"/>
    <w:rsid w:val="004E2A09"/>
    <w:rsid w:val="004E2DC7"/>
    <w:rsid w:val="004E3654"/>
    <w:rsid w:val="004E39AC"/>
    <w:rsid w:val="004E39D3"/>
    <w:rsid w:val="004E411B"/>
    <w:rsid w:val="004E42B5"/>
    <w:rsid w:val="004E4922"/>
    <w:rsid w:val="004E4E38"/>
    <w:rsid w:val="004E508A"/>
    <w:rsid w:val="004E5BAB"/>
    <w:rsid w:val="004E616D"/>
    <w:rsid w:val="004E6C20"/>
    <w:rsid w:val="004E7000"/>
    <w:rsid w:val="004E7D6A"/>
    <w:rsid w:val="004E7E02"/>
    <w:rsid w:val="004F0172"/>
    <w:rsid w:val="004F018A"/>
    <w:rsid w:val="004F0A5B"/>
    <w:rsid w:val="004F0BD6"/>
    <w:rsid w:val="004F1285"/>
    <w:rsid w:val="004F1529"/>
    <w:rsid w:val="004F1BDE"/>
    <w:rsid w:val="004F2302"/>
    <w:rsid w:val="004F2BFF"/>
    <w:rsid w:val="004F2CEE"/>
    <w:rsid w:val="004F2CFD"/>
    <w:rsid w:val="004F33CC"/>
    <w:rsid w:val="004F3469"/>
    <w:rsid w:val="004F3478"/>
    <w:rsid w:val="004F3A5B"/>
    <w:rsid w:val="004F3D24"/>
    <w:rsid w:val="004F3FCF"/>
    <w:rsid w:val="004F4435"/>
    <w:rsid w:val="004F4D71"/>
    <w:rsid w:val="004F52D6"/>
    <w:rsid w:val="004F556E"/>
    <w:rsid w:val="004F573E"/>
    <w:rsid w:val="004F591C"/>
    <w:rsid w:val="004F6188"/>
    <w:rsid w:val="004F68EE"/>
    <w:rsid w:val="004F6A5C"/>
    <w:rsid w:val="004F729E"/>
    <w:rsid w:val="004F7BE6"/>
    <w:rsid w:val="004F7F44"/>
    <w:rsid w:val="0050026F"/>
    <w:rsid w:val="005006C5"/>
    <w:rsid w:val="00500B3A"/>
    <w:rsid w:val="005012FE"/>
    <w:rsid w:val="00501379"/>
    <w:rsid w:val="005018C5"/>
    <w:rsid w:val="00501984"/>
    <w:rsid w:val="00501D25"/>
    <w:rsid w:val="005033A1"/>
    <w:rsid w:val="005036A2"/>
    <w:rsid w:val="005037B4"/>
    <w:rsid w:val="00503A85"/>
    <w:rsid w:val="00503D6D"/>
    <w:rsid w:val="00504431"/>
    <w:rsid w:val="00504C02"/>
    <w:rsid w:val="00504E96"/>
    <w:rsid w:val="00504F60"/>
    <w:rsid w:val="00505811"/>
    <w:rsid w:val="00505A5C"/>
    <w:rsid w:val="00506086"/>
    <w:rsid w:val="00507286"/>
    <w:rsid w:val="00507291"/>
    <w:rsid w:val="00507479"/>
    <w:rsid w:val="00507915"/>
    <w:rsid w:val="005079BF"/>
    <w:rsid w:val="005079C7"/>
    <w:rsid w:val="00507B1D"/>
    <w:rsid w:val="00507CAC"/>
    <w:rsid w:val="00507CB2"/>
    <w:rsid w:val="005102EF"/>
    <w:rsid w:val="00510336"/>
    <w:rsid w:val="00510696"/>
    <w:rsid w:val="00510961"/>
    <w:rsid w:val="005109F2"/>
    <w:rsid w:val="00510D91"/>
    <w:rsid w:val="00511117"/>
    <w:rsid w:val="005111EF"/>
    <w:rsid w:val="0051134B"/>
    <w:rsid w:val="005113C1"/>
    <w:rsid w:val="00511795"/>
    <w:rsid w:val="00511A90"/>
    <w:rsid w:val="00511B55"/>
    <w:rsid w:val="0051209F"/>
    <w:rsid w:val="005121E9"/>
    <w:rsid w:val="0051269A"/>
    <w:rsid w:val="00512A16"/>
    <w:rsid w:val="00512C8A"/>
    <w:rsid w:val="0051318D"/>
    <w:rsid w:val="00513371"/>
    <w:rsid w:val="0051383E"/>
    <w:rsid w:val="00513918"/>
    <w:rsid w:val="00513EFF"/>
    <w:rsid w:val="0051429E"/>
    <w:rsid w:val="00514C90"/>
    <w:rsid w:val="00514C95"/>
    <w:rsid w:val="00514DA4"/>
    <w:rsid w:val="00514DC0"/>
    <w:rsid w:val="0051582B"/>
    <w:rsid w:val="00515C02"/>
    <w:rsid w:val="00515CAE"/>
    <w:rsid w:val="0051665C"/>
    <w:rsid w:val="00516FE2"/>
    <w:rsid w:val="005178FF"/>
    <w:rsid w:val="00520415"/>
    <w:rsid w:val="005205B3"/>
    <w:rsid w:val="005209EA"/>
    <w:rsid w:val="00520DA3"/>
    <w:rsid w:val="00520F60"/>
    <w:rsid w:val="005219E7"/>
    <w:rsid w:val="00521AB2"/>
    <w:rsid w:val="00522129"/>
    <w:rsid w:val="005223BF"/>
    <w:rsid w:val="00522E08"/>
    <w:rsid w:val="00522E2F"/>
    <w:rsid w:val="00522E6D"/>
    <w:rsid w:val="00523354"/>
    <w:rsid w:val="00523E5F"/>
    <w:rsid w:val="00524309"/>
    <w:rsid w:val="00524C9E"/>
    <w:rsid w:val="00524E74"/>
    <w:rsid w:val="005250CD"/>
    <w:rsid w:val="00525595"/>
    <w:rsid w:val="00525DD2"/>
    <w:rsid w:val="00526738"/>
    <w:rsid w:val="0052678C"/>
    <w:rsid w:val="00527220"/>
    <w:rsid w:val="0052742B"/>
    <w:rsid w:val="0053007B"/>
    <w:rsid w:val="005308CD"/>
    <w:rsid w:val="00530FCC"/>
    <w:rsid w:val="00531306"/>
    <w:rsid w:val="00531458"/>
    <w:rsid w:val="005319F4"/>
    <w:rsid w:val="00531B4B"/>
    <w:rsid w:val="00531B6E"/>
    <w:rsid w:val="00531B9A"/>
    <w:rsid w:val="00531C1F"/>
    <w:rsid w:val="00531D15"/>
    <w:rsid w:val="0053295A"/>
    <w:rsid w:val="00532B0C"/>
    <w:rsid w:val="00532F26"/>
    <w:rsid w:val="00533652"/>
    <w:rsid w:val="0053369C"/>
    <w:rsid w:val="0053371E"/>
    <w:rsid w:val="0053376B"/>
    <w:rsid w:val="00533F50"/>
    <w:rsid w:val="0053411B"/>
    <w:rsid w:val="0053453C"/>
    <w:rsid w:val="0053475B"/>
    <w:rsid w:val="00534BB3"/>
    <w:rsid w:val="0053500E"/>
    <w:rsid w:val="00535198"/>
    <w:rsid w:val="005353E5"/>
    <w:rsid w:val="005354F7"/>
    <w:rsid w:val="0053551D"/>
    <w:rsid w:val="00535640"/>
    <w:rsid w:val="005358D8"/>
    <w:rsid w:val="00535FF2"/>
    <w:rsid w:val="00537299"/>
    <w:rsid w:val="00537493"/>
    <w:rsid w:val="00537604"/>
    <w:rsid w:val="0053760D"/>
    <w:rsid w:val="005379E0"/>
    <w:rsid w:val="00537F41"/>
    <w:rsid w:val="00540153"/>
    <w:rsid w:val="005403DA"/>
    <w:rsid w:val="005406FB"/>
    <w:rsid w:val="005409E3"/>
    <w:rsid w:val="00540BCF"/>
    <w:rsid w:val="00540BD9"/>
    <w:rsid w:val="005410D8"/>
    <w:rsid w:val="00541402"/>
    <w:rsid w:val="005414DE"/>
    <w:rsid w:val="00542377"/>
    <w:rsid w:val="005432AD"/>
    <w:rsid w:val="00543759"/>
    <w:rsid w:val="0054382D"/>
    <w:rsid w:val="0054406C"/>
    <w:rsid w:val="0054410B"/>
    <w:rsid w:val="00544166"/>
    <w:rsid w:val="00544501"/>
    <w:rsid w:val="005445FC"/>
    <w:rsid w:val="005454F8"/>
    <w:rsid w:val="00545576"/>
    <w:rsid w:val="00545580"/>
    <w:rsid w:val="00545E76"/>
    <w:rsid w:val="0054614E"/>
    <w:rsid w:val="00546903"/>
    <w:rsid w:val="00546BEC"/>
    <w:rsid w:val="00546F34"/>
    <w:rsid w:val="005471E8"/>
    <w:rsid w:val="005476EB"/>
    <w:rsid w:val="00547AB7"/>
    <w:rsid w:val="00550831"/>
    <w:rsid w:val="00551133"/>
    <w:rsid w:val="0055126E"/>
    <w:rsid w:val="00551782"/>
    <w:rsid w:val="00551A74"/>
    <w:rsid w:val="00551F4B"/>
    <w:rsid w:val="005520E8"/>
    <w:rsid w:val="00552231"/>
    <w:rsid w:val="00552292"/>
    <w:rsid w:val="005530EC"/>
    <w:rsid w:val="0055322D"/>
    <w:rsid w:val="00553F17"/>
    <w:rsid w:val="00553F3D"/>
    <w:rsid w:val="0055402C"/>
    <w:rsid w:val="0055408B"/>
    <w:rsid w:val="0055431B"/>
    <w:rsid w:val="0055432D"/>
    <w:rsid w:val="00554597"/>
    <w:rsid w:val="005546DF"/>
    <w:rsid w:val="00554782"/>
    <w:rsid w:val="00554A81"/>
    <w:rsid w:val="00554C32"/>
    <w:rsid w:val="00554E24"/>
    <w:rsid w:val="00555188"/>
    <w:rsid w:val="00555970"/>
    <w:rsid w:val="00555BFD"/>
    <w:rsid w:val="00555CAB"/>
    <w:rsid w:val="00556546"/>
    <w:rsid w:val="005567E5"/>
    <w:rsid w:val="00556A56"/>
    <w:rsid w:val="005571D6"/>
    <w:rsid w:val="00557EF2"/>
    <w:rsid w:val="005601F3"/>
    <w:rsid w:val="005602CB"/>
    <w:rsid w:val="0056044C"/>
    <w:rsid w:val="005615F5"/>
    <w:rsid w:val="00561810"/>
    <w:rsid w:val="00561B1E"/>
    <w:rsid w:val="00562437"/>
    <w:rsid w:val="005627FD"/>
    <w:rsid w:val="005629B1"/>
    <w:rsid w:val="00562BBE"/>
    <w:rsid w:val="00563116"/>
    <w:rsid w:val="005632EA"/>
    <w:rsid w:val="0056360E"/>
    <w:rsid w:val="00563721"/>
    <w:rsid w:val="005638B2"/>
    <w:rsid w:val="00563EF1"/>
    <w:rsid w:val="005642B8"/>
    <w:rsid w:val="00564582"/>
    <w:rsid w:val="005646F5"/>
    <w:rsid w:val="00564B6C"/>
    <w:rsid w:val="00564D2E"/>
    <w:rsid w:val="00565241"/>
    <w:rsid w:val="00565294"/>
    <w:rsid w:val="0056531F"/>
    <w:rsid w:val="00565CC3"/>
    <w:rsid w:val="00565E1E"/>
    <w:rsid w:val="00566AB4"/>
    <w:rsid w:val="00566AD7"/>
    <w:rsid w:val="00566B0C"/>
    <w:rsid w:val="00566B80"/>
    <w:rsid w:val="00566B8B"/>
    <w:rsid w:val="005675D1"/>
    <w:rsid w:val="005676C1"/>
    <w:rsid w:val="00567CDD"/>
    <w:rsid w:val="005700DA"/>
    <w:rsid w:val="00570411"/>
    <w:rsid w:val="0057085B"/>
    <w:rsid w:val="005718B0"/>
    <w:rsid w:val="00571BFE"/>
    <w:rsid w:val="00571EEA"/>
    <w:rsid w:val="00572386"/>
    <w:rsid w:val="0057278A"/>
    <w:rsid w:val="00572D6F"/>
    <w:rsid w:val="00572DCF"/>
    <w:rsid w:val="0057331C"/>
    <w:rsid w:val="00573645"/>
    <w:rsid w:val="00573812"/>
    <w:rsid w:val="00573834"/>
    <w:rsid w:val="00573944"/>
    <w:rsid w:val="00573BAE"/>
    <w:rsid w:val="00573C9E"/>
    <w:rsid w:val="00574006"/>
    <w:rsid w:val="0057499D"/>
    <w:rsid w:val="00575455"/>
    <w:rsid w:val="00575738"/>
    <w:rsid w:val="00575771"/>
    <w:rsid w:val="00575AC5"/>
    <w:rsid w:val="00575BFF"/>
    <w:rsid w:val="00575F92"/>
    <w:rsid w:val="0057605D"/>
    <w:rsid w:val="005765F9"/>
    <w:rsid w:val="00576A47"/>
    <w:rsid w:val="00576C3C"/>
    <w:rsid w:val="00577061"/>
    <w:rsid w:val="005770E4"/>
    <w:rsid w:val="005773BE"/>
    <w:rsid w:val="00577804"/>
    <w:rsid w:val="005778FE"/>
    <w:rsid w:val="00580565"/>
    <w:rsid w:val="00580587"/>
    <w:rsid w:val="00580AAC"/>
    <w:rsid w:val="00580D87"/>
    <w:rsid w:val="00581347"/>
    <w:rsid w:val="00581501"/>
    <w:rsid w:val="00581AC9"/>
    <w:rsid w:val="00581EC9"/>
    <w:rsid w:val="00582381"/>
    <w:rsid w:val="00582508"/>
    <w:rsid w:val="005825AF"/>
    <w:rsid w:val="00582707"/>
    <w:rsid w:val="00582A34"/>
    <w:rsid w:val="00583B86"/>
    <w:rsid w:val="00584138"/>
    <w:rsid w:val="0058430B"/>
    <w:rsid w:val="0058455C"/>
    <w:rsid w:val="005847EF"/>
    <w:rsid w:val="0058491F"/>
    <w:rsid w:val="005849F8"/>
    <w:rsid w:val="00584CBA"/>
    <w:rsid w:val="00585B3B"/>
    <w:rsid w:val="00585C76"/>
    <w:rsid w:val="005860F3"/>
    <w:rsid w:val="005868D4"/>
    <w:rsid w:val="005868DC"/>
    <w:rsid w:val="005871C4"/>
    <w:rsid w:val="00587257"/>
    <w:rsid w:val="00587344"/>
    <w:rsid w:val="0058735F"/>
    <w:rsid w:val="0059023C"/>
    <w:rsid w:val="005902F8"/>
    <w:rsid w:val="0059030A"/>
    <w:rsid w:val="0059051A"/>
    <w:rsid w:val="005905A4"/>
    <w:rsid w:val="005906C0"/>
    <w:rsid w:val="00590D47"/>
    <w:rsid w:val="00590E3D"/>
    <w:rsid w:val="00591377"/>
    <w:rsid w:val="00591BA6"/>
    <w:rsid w:val="00591ECE"/>
    <w:rsid w:val="0059345F"/>
    <w:rsid w:val="005938DF"/>
    <w:rsid w:val="0059394C"/>
    <w:rsid w:val="00593A08"/>
    <w:rsid w:val="00593E42"/>
    <w:rsid w:val="005941E0"/>
    <w:rsid w:val="0059427D"/>
    <w:rsid w:val="00594E9C"/>
    <w:rsid w:val="00595315"/>
    <w:rsid w:val="005956D0"/>
    <w:rsid w:val="005957A4"/>
    <w:rsid w:val="00595830"/>
    <w:rsid w:val="00595BA5"/>
    <w:rsid w:val="00595C10"/>
    <w:rsid w:val="00595D00"/>
    <w:rsid w:val="00595ED8"/>
    <w:rsid w:val="00595FAB"/>
    <w:rsid w:val="005960A1"/>
    <w:rsid w:val="005961D8"/>
    <w:rsid w:val="00596274"/>
    <w:rsid w:val="00596C8D"/>
    <w:rsid w:val="00596F58"/>
    <w:rsid w:val="005974D2"/>
    <w:rsid w:val="0059761A"/>
    <w:rsid w:val="00597A79"/>
    <w:rsid w:val="00597BE9"/>
    <w:rsid w:val="00597C03"/>
    <w:rsid w:val="005A0454"/>
    <w:rsid w:val="005A04F7"/>
    <w:rsid w:val="005A0584"/>
    <w:rsid w:val="005A0969"/>
    <w:rsid w:val="005A099B"/>
    <w:rsid w:val="005A0B2C"/>
    <w:rsid w:val="005A0C8C"/>
    <w:rsid w:val="005A14ED"/>
    <w:rsid w:val="005A15AC"/>
    <w:rsid w:val="005A1B7D"/>
    <w:rsid w:val="005A1EDD"/>
    <w:rsid w:val="005A2C84"/>
    <w:rsid w:val="005A2CFD"/>
    <w:rsid w:val="005A2D9C"/>
    <w:rsid w:val="005A2E0D"/>
    <w:rsid w:val="005A2F2B"/>
    <w:rsid w:val="005A31B9"/>
    <w:rsid w:val="005A3459"/>
    <w:rsid w:val="005A371B"/>
    <w:rsid w:val="005A3783"/>
    <w:rsid w:val="005A4F42"/>
    <w:rsid w:val="005A5331"/>
    <w:rsid w:val="005A55FE"/>
    <w:rsid w:val="005A5C3B"/>
    <w:rsid w:val="005A5D2D"/>
    <w:rsid w:val="005A621B"/>
    <w:rsid w:val="005A6221"/>
    <w:rsid w:val="005A6232"/>
    <w:rsid w:val="005A6A11"/>
    <w:rsid w:val="005A7340"/>
    <w:rsid w:val="005A76D6"/>
    <w:rsid w:val="005A793F"/>
    <w:rsid w:val="005A7BA7"/>
    <w:rsid w:val="005A7D70"/>
    <w:rsid w:val="005A7E63"/>
    <w:rsid w:val="005B07FD"/>
    <w:rsid w:val="005B0CFD"/>
    <w:rsid w:val="005B0E27"/>
    <w:rsid w:val="005B10E6"/>
    <w:rsid w:val="005B140F"/>
    <w:rsid w:val="005B1694"/>
    <w:rsid w:val="005B16A9"/>
    <w:rsid w:val="005B1E57"/>
    <w:rsid w:val="005B25B9"/>
    <w:rsid w:val="005B26C3"/>
    <w:rsid w:val="005B29AA"/>
    <w:rsid w:val="005B2CBA"/>
    <w:rsid w:val="005B2CD7"/>
    <w:rsid w:val="005B2D18"/>
    <w:rsid w:val="005B2F0D"/>
    <w:rsid w:val="005B2F61"/>
    <w:rsid w:val="005B3271"/>
    <w:rsid w:val="005B3E16"/>
    <w:rsid w:val="005B3FB4"/>
    <w:rsid w:val="005B464E"/>
    <w:rsid w:val="005B5392"/>
    <w:rsid w:val="005B62B7"/>
    <w:rsid w:val="005B641C"/>
    <w:rsid w:val="005B6CEF"/>
    <w:rsid w:val="005B6E84"/>
    <w:rsid w:val="005B6EA6"/>
    <w:rsid w:val="005B77CA"/>
    <w:rsid w:val="005B7DCA"/>
    <w:rsid w:val="005B7E7D"/>
    <w:rsid w:val="005C06AC"/>
    <w:rsid w:val="005C0CE4"/>
    <w:rsid w:val="005C0DB5"/>
    <w:rsid w:val="005C0E42"/>
    <w:rsid w:val="005C102A"/>
    <w:rsid w:val="005C1507"/>
    <w:rsid w:val="005C158F"/>
    <w:rsid w:val="005C1A74"/>
    <w:rsid w:val="005C1D6C"/>
    <w:rsid w:val="005C1F5A"/>
    <w:rsid w:val="005C24D2"/>
    <w:rsid w:val="005C26C2"/>
    <w:rsid w:val="005C2B60"/>
    <w:rsid w:val="005C2BBA"/>
    <w:rsid w:val="005C2EDC"/>
    <w:rsid w:val="005C319F"/>
    <w:rsid w:val="005C31EA"/>
    <w:rsid w:val="005C32BF"/>
    <w:rsid w:val="005C34EF"/>
    <w:rsid w:val="005C3643"/>
    <w:rsid w:val="005C38BD"/>
    <w:rsid w:val="005C39FD"/>
    <w:rsid w:val="005C3A46"/>
    <w:rsid w:val="005C3C91"/>
    <w:rsid w:val="005C3CB3"/>
    <w:rsid w:val="005C448C"/>
    <w:rsid w:val="005C47F6"/>
    <w:rsid w:val="005C4E46"/>
    <w:rsid w:val="005C507C"/>
    <w:rsid w:val="005C5443"/>
    <w:rsid w:val="005C545F"/>
    <w:rsid w:val="005C5D46"/>
    <w:rsid w:val="005C5E07"/>
    <w:rsid w:val="005C6013"/>
    <w:rsid w:val="005C6198"/>
    <w:rsid w:val="005C6E45"/>
    <w:rsid w:val="005C6E77"/>
    <w:rsid w:val="005C7114"/>
    <w:rsid w:val="005C71E4"/>
    <w:rsid w:val="005C74BE"/>
    <w:rsid w:val="005C7E01"/>
    <w:rsid w:val="005D0219"/>
    <w:rsid w:val="005D03DE"/>
    <w:rsid w:val="005D06B2"/>
    <w:rsid w:val="005D0D29"/>
    <w:rsid w:val="005D1B15"/>
    <w:rsid w:val="005D1FF6"/>
    <w:rsid w:val="005D23F2"/>
    <w:rsid w:val="005D2502"/>
    <w:rsid w:val="005D259D"/>
    <w:rsid w:val="005D2756"/>
    <w:rsid w:val="005D2C68"/>
    <w:rsid w:val="005D3C2C"/>
    <w:rsid w:val="005D3C99"/>
    <w:rsid w:val="005D3DB3"/>
    <w:rsid w:val="005D3E65"/>
    <w:rsid w:val="005D40BB"/>
    <w:rsid w:val="005D4511"/>
    <w:rsid w:val="005D47F3"/>
    <w:rsid w:val="005D49BF"/>
    <w:rsid w:val="005D4A18"/>
    <w:rsid w:val="005D4AA5"/>
    <w:rsid w:val="005D4ED8"/>
    <w:rsid w:val="005D4F3E"/>
    <w:rsid w:val="005D50FA"/>
    <w:rsid w:val="005D5501"/>
    <w:rsid w:val="005D562C"/>
    <w:rsid w:val="005D5D95"/>
    <w:rsid w:val="005D6406"/>
    <w:rsid w:val="005D6860"/>
    <w:rsid w:val="005D69F1"/>
    <w:rsid w:val="005D6F4E"/>
    <w:rsid w:val="005D79A6"/>
    <w:rsid w:val="005D7C73"/>
    <w:rsid w:val="005D7FE4"/>
    <w:rsid w:val="005E04E6"/>
    <w:rsid w:val="005E0718"/>
    <w:rsid w:val="005E0856"/>
    <w:rsid w:val="005E1368"/>
    <w:rsid w:val="005E1512"/>
    <w:rsid w:val="005E160C"/>
    <w:rsid w:val="005E1807"/>
    <w:rsid w:val="005E198D"/>
    <w:rsid w:val="005E1CCE"/>
    <w:rsid w:val="005E250B"/>
    <w:rsid w:val="005E28BB"/>
    <w:rsid w:val="005E2BDA"/>
    <w:rsid w:val="005E2FA8"/>
    <w:rsid w:val="005E36D0"/>
    <w:rsid w:val="005E38F2"/>
    <w:rsid w:val="005E3ACD"/>
    <w:rsid w:val="005E3E0D"/>
    <w:rsid w:val="005E40F1"/>
    <w:rsid w:val="005E444A"/>
    <w:rsid w:val="005E4693"/>
    <w:rsid w:val="005E4C94"/>
    <w:rsid w:val="005E4EA5"/>
    <w:rsid w:val="005E53CC"/>
    <w:rsid w:val="005E568E"/>
    <w:rsid w:val="005E5A3E"/>
    <w:rsid w:val="005E5AE5"/>
    <w:rsid w:val="005E65B6"/>
    <w:rsid w:val="005E6FA8"/>
    <w:rsid w:val="005E7028"/>
    <w:rsid w:val="005E7053"/>
    <w:rsid w:val="005E7226"/>
    <w:rsid w:val="005E7A57"/>
    <w:rsid w:val="005E7AA9"/>
    <w:rsid w:val="005E7B3C"/>
    <w:rsid w:val="005E7DAC"/>
    <w:rsid w:val="005E7F37"/>
    <w:rsid w:val="005F0364"/>
    <w:rsid w:val="005F1865"/>
    <w:rsid w:val="005F1A03"/>
    <w:rsid w:val="005F1C44"/>
    <w:rsid w:val="005F24B0"/>
    <w:rsid w:val="005F2F6D"/>
    <w:rsid w:val="005F361B"/>
    <w:rsid w:val="005F3C67"/>
    <w:rsid w:val="005F3F43"/>
    <w:rsid w:val="005F4689"/>
    <w:rsid w:val="005F4701"/>
    <w:rsid w:val="005F5001"/>
    <w:rsid w:val="005F59FB"/>
    <w:rsid w:val="005F5F48"/>
    <w:rsid w:val="005F6342"/>
    <w:rsid w:val="005F67D1"/>
    <w:rsid w:val="005F68E9"/>
    <w:rsid w:val="005F70C7"/>
    <w:rsid w:val="005F7406"/>
    <w:rsid w:val="005F756F"/>
    <w:rsid w:val="005F7799"/>
    <w:rsid w:val="005F7BB4"/>
    <w:rsid w:val="005F7BC7"/>
    <w:rsid w:val="005F7FAE"/>
    <w:rsid w:val="006000AB"/>
    <w:rsid w:val="006002BF"/>
    <w:rsid w:val="00600AF6"/>
    <w:rsid w:val="006013CB"/>
    <w:rsid w:val="0060149B"/>
    <w:rsid w:val="00601AB5"/>
    <w:rsid w:val="00601C40"/>
    <w:rsid w:val="00601F35"/>
    <w:rsid w:val="0060236D"/>
    <w:rsid w:val="0060248E"/>
    <w:rsid w:val="006028D6"/>
    <w:rsid w:val="0060302D"/>
    <w:rsid w:val="0060364A"/>
    <w:rsid w:val="00603B43"/>
    <w:rsid w:val="00604032"/>
    <w:rsid w:val="00604088"/>
    <w:rsid w:val="00604255"/>
    <w:rsid w:val="00604315"/>
    <w:rsid w:val="006044EA"/>
    <w:rsid w:val="00604962"/>
    <w:rsid w:val="00604A62"/>
    <w:rsid w:val="00604BCE"/>
    <w:rsid w:val="00604E1E"/>
    <w:rsid w:val="00604E26"/>
    <w:rsid w:val="00604F1F"/>
    <w:rsid w:val="006050F3"/>
    <w:rsid w:val="0060523F"/>
    <w:rsid w:val="006052CF"/>
    <w:rsid w:val="00605634"/>
    <w:rsid w:val="0060593D"/>
    <w:rsid w:val="00605E43"/>
    <w:rsid w:val="006066CC"/>
    <w:rsid w:val="0060680C"/>
    <w:rsid w:val="00606A12"/>
    <w:rsid w:val="00606D61"/>
    <w:rsid w:val="006070A8"/>
    <w:rsid w:val="00607140"/>
    <w:rsid w:val="006071C5"/>
    <w:rsid w:val="006074C7"/>
    <w:rsid w:val="0060775B"/>
    <w:rsid w:val="00607B8D"/>
    <w:rsid w:val="00607E92"/>
    <w:rsid w:val="0061012A"/>
    <w:rsid w:val="0061072F"/>
    <w:rsid w:val="00610740"/>
    <w:rsid w:val="00610C37"/>
    <w:rsid w:val="0061111F"/>
    <w:rsid w:val="00611A41"/>
    <w:rsid w:val="00611DFA"/>
    <w:rsid w:val="00611F5C"/>
    <w:rsid w:val="0061225C"/>
    <w:rsid w:val="00612861"/>
    <w:rsid w:val="006129BD"/>
    <w:rsid w:val="00612A06"/>
    <w:rsid w:val="00612BB5"/>
    <w:rsid w:val="00612BF6"/>
    <w:rsid w:val="006131EE"/>
    <w:rsid w:val="0061344C"/>
    <w:rsid w:val="0061384E"/>
    <w:rsid w:val="00614087"/>
    <w:rsid w:val="00614191"/>
    <w:rsid w:val="0061492A"/>
    <w:rsid w:val="00614A50"/>
    <w:rsid w:val="00614AF8"/>
    <w:rsid w:val="00614C2D"/>
    <w:rsid w:val="00614FA8"/>
    <w:rsid w:val="00615185"/>
    <w:rsid w:val="006155FF"/>
    <w:rsid w:val="00616016"/>
    <w:rsid w:val="0061632A"/>
    <w:rsid w:val="006164E6"/>
    <w:rsid w:val="006168D8"/>
    <w:rsid w:val="00616963"/>
    <w:rsid w:val="00616DDA"/>
    <w:rsid w:val="00616DF9"/>
    <w:rsid w:val="00616E09"/>
    <w:rsid w:val="00617AAB"/>
    <w:rsid w:val="00620D35"/>
    <w:rsid w:val="00620E19"/>
    <w:rsid w:val="0062198E"/>
    <w:rsid w:val="006221D4"/>
    <w:rsid w:val="0062239E"/>
    <w:rsid w:val="006225C9"/>
    <w:rsid w:val="006226EC"/>
    <w:rsid w:val="00622A3B"/>
    <w:rsid w:val="00622EEA"/>
    <w:rsid w:val="00623418"/>
    <w:rsid w:val="00623754"/>
    <w:rsid w:val="0062394F"/>
    <w:rsid w:val="0062396C"/>
    <w:rsid w:val="00623991"/>
    <w:rsid w:val="00623B17"/>
    <w:rsid w:val="00623B2E"/>
    <w:rsid w:val="00623B4C"/>
    <w:rsid w:val="00623EA7"/>
    <w:rsid w:val="00623F78"/>
    <w:rsid w:val="00623FF9"/>
    <w:rsid w:val="00624416"/>
    <w:rsid w:val="00624A60"/>
    <w:rsid w:val="00624D90"/>
    <w:rsid w:val="0062571A"/>
    <w:rsid w:val="00625894"/>
    <w:rsid w:val="00625C9C"/>
    <w:rsid w:val="00625D5C"/>
    <w:rsid w:val="00625DC1"/>
    <w:rsid w:val="00625F20"/>
    <w:rsid w:val="00626084"/>
    <w:rsid w:val="006265F6"/>
    <w:rsid w:val="00626C8B"/>
    <w:rsid w:val="00626E4D"/>
    <w:rsid w:val="0062719F"/>
    <w:rsid w:val="0062780B"/>
    <w:rsid w:val="00627D4E"/>
    <w:rsid w:val="00627F4A"/>
    <w:rsid w:val="00630224"/>
    <w:rsid w:val="006302EA"/>
    <w:rsid w:val="00631039"/>
    <w:rsid w:val="006310AA"/>
    <w:rsid w:val="00631182"/>
    <w:rsid w:val="006313A4"/>
    <w:rsid w:val="00631862"/>
    <w:rsid w:val="006319A2"/>
    <w:rsid w:val="00631CE4"/>
    <w:rsid w:val="006321BD"/>
    <w:rsid w:val="006323C4"/>
    <w:rsid w:val="00632B89"/>
    <w:rsid w:val="00632F64"/>
    <w:rsid w:val="00632F73"/>
    <w:rsid w:val="0063346D"/>
    <w:rsid w:val="006335F2"/>
    <w:rsid w:val="00633F94"/>
    <w:rsid w:val="00633F9C"/>
    <w:rsid w:val="006341C4"/>
    <w:rsid w:val="006343E1"/>
    <w:rsid w:val="00634478"/>
    <w:rsid w:val="0063472C"/>
    <w:rsid w:val="00634990"/>
    <w:rsid w:val="00634A51"/>
    <w:rsid w:val="0063516A"/>
    <w:rsid w:val="006353EA"/>
    <w:rsid w:val="0063579A"/>
    <w:rsid w:val="00635815"/>
    <w:rsid w:val="00635B82"/>
    <w:rsid w:val="0063624B"/>
    <w:rsid w:val="00636507"/>
    <w:rsid w:val="006367A9"/>
    <w:rsid w:val="00636B06"/>
    <w:rsid w:val="00636CDB"/>
    <w:rsid w:val="006370BA"/>
    <w:rsid w:val="00637F40"/>
    <w:rsid w:val="00640034"/>
    <w:rsid w:val="00640116"/>
    <w:rsid w:val="00640142"/>
    <w:rsid w:val="006403AB"/>
    <w:rsid w:val="00640A60"/>
    <w:rsid w:val="00640CC4"/>
    <w:rsid w:val="006414FD"/>
    <w:rsid w:val="00641733"/>
    <w:rsid w:val="00641C3E"/>
    <w:rsid w:val="006422A1"/>
    <w:rsid w:val="006425B6"/>
    <w:rsid w:val="0064415E"/>
    <w:rsid w:val="0064417B"/>
    <w:rsid w:val="006441B0"/>
    <w:rsid w:val="00644373"/>
    <w:rsid w:val="0064446E"/>
    <w:rsid w:val="006445BA"/>
    <w:rsid w:val="00644856"/>
    <w:rsid w:val="00644867"/>
    <w:rsid w:val="00644AD1"/>
    <w:rsid w:val="00644DF9"/>
    <w:rsid w:val="00644E06"/>
    <w:rsid w:val="0064510C"/>
    <w:rsid w:val="0064559B"/>
    <w:rsid w:val="00645819"/>
    <w:rsid w:val="00645823"/>
    <w:rsid w:val="00645915"/>
    <w:rsid w:val="0064600C"/>
    <w:rsid w:val="0064646C"/>
    <w:rsid w:val="0064671A"/>
    <w:rsid w:val="00646CC4"/>
    <w:rsid w:val="0064710F"/>
    <w:rsid w:val="006471CD"/>
    <w:rsid w:val="0064720F"/>
    <w:rsid w:val="0064789D"/>
    <w:rsid w:val="00647A7F"/>
    <w:rsid w:val="00647C9A"/>
    <w:rsid w:val="00647E6C"/>
    <w:rsid w:val="006501CA"/>
    <w:rsid w:val="006508D5"/>
    <w:rsid w:val="00650C22"/>
    <w:rsid w:val="00650DC5"/>
    <w:rsid w:val="006519C3"/>
    <w:rsid w:val="00652020"/>
    <w:rsid w:val="00652160"/>
    <w:rsid w:val="006527F1"/>
    <w:rsid w:val="00652B30"/>
    <w:rsid w:val="00652F04"/>
    <w:rsid w:val="00653387"/>
    <w:rsid w:val="00654A66"/>
    <w:rsid w:val="00654CC2"/>
    <w:rsid w:val="00655293"/>
    <w:rsid w:val="00655C95"/>
    <w:rsid w:val="006561F0"/>
    <w:rsid w:val="00656345"/>
    <w:rsid w:val="006568A3"/>
    <w:rsid w:val="00656DC6"/>
    <w:rsid w:val="00657A82"/>
    <w:rsid w:val="00657B44"/>
    <w:rsid w:val="00657D2A"/>
    <w:rsid w:val="00657D47"/>
    <w:rsid w:val="00660CBE"/>
    <w:rsid w:val="00660EC6"/>
    <w:rsid w:val="0066106C"/>
    <w:rsid w:val="00661223"/>
    <w:rsid w:val="006612C6"/>
    <w:rsid w:val="006615FB"/>
    <w:rsid w:val="006619A9"/>
    <w:rsid w:val="00661B0C"/>
    <w:rsid w:val="00661C03"/>
    <w:rsid w:val="00662262"/>
    <w:rsid w:val="006623B1"/>
    <w:rsid w:val="006626FE"/>
    <w:rsid w:val="006627EB"/>
    <w:rsid w:val="00662A0E"/>
    <w:rsid w:val="00662E79"/>
    <w:rsid w:val="0066302A"/>
    <w:rsid w:val="006636AD"/>
    <w:rsid w:val="00663779"/>
    <w:rsid w:val="00663A35"/>
    <w:rsid w:val="00663D2F"/>
    <w:rsid w:val="00663E47"/>
    <w:rsid w:val="00663F15"/>
    <w:rsid w:val="00664110"/>
    <w:rsid w:val="00664714"/>
    <w:rsid w:val="00664942"/>
    <w:rsid w:val="00664982"/>
    <w:rsid w:val="00664BC3"/>
    <w:rsid w:val="00664D17"/>
    <w:rsid w:val="006651C4"/>
    <w:rsid w:val="006651F4"/>
    <w:rsid w:val="0066558E"/>
    <w:rsid w:val="00665D17"/>
    <w:rsid w:val="00665D6A"/>
    <w:rsid w:val="00665EAA"/>
    <w:rsid w:val="00666358"/>
    <w:rsid w:val="00666520"/>
    <w:rsid w:val="00667072"/>
    <w:rsid w:val="006671B8"/>
    <w:rsid w:val="00667B38"/>
    <w:rsid w:val="00667C5B"/>
    <w:rsid w:val="00667DB3"/>
    <w:rsid w:val="00670C59"/>
    <w:rsid w:val="00671152"/>
    <w:rsid w:val="0067115B"/>
    <w:rsid w:val="0067129E"/>
    <w:rsid w:val="006717D6"/>
    <w:rsid w:val="00672169"/>
    <w:rsid w:val="006722AA"/>
    <w:rsid w:val="006723D1"/>
    <w:rsid w:val="006728CE"/>
    <w:rsid w:val="00673190"/>
    <w:rsid w:val="00673660"/>
    <w:rsid w:val="0067373D"/>
    <w:rsid w:val="00673C19"/>
    <w:rsid w:val="0067480E"/>
    <w:rsid w:val="00674D29"/>
    <w:rsid w:val="0067590A"/>
    <w:rsid w:val="00675E3A"/>
    <w:rsid w:val="0067623E"/>
    <w:rsid w:val="00676307"/>
    <w:rsid w:val="00676758"/>
    <w:rsid w:val="00676AA9"/>
    <w:rsid w:val="00676DA4"/>
    <w:rsid w:val="00676F52"/>
    <w:rsid w:val="00677379"/>
    <w:rsid w:val="006774F1"/>
    <w:rsid w:val="00677CAA"/>
    <w:rsid w:val="00680728"/>
    <w:rsid w:val="00680CD2"/>
    <w:rsid w:val="00681235"/>
    <w:rsid w:val="0068148C"/>
    <w:rsid w:val="006814F8"/>
    <w:rsid w:val="0068170D"/>
    <w:rsid w:val="006819BF"/>
    <w:rsid w:val="00681B28"/>
    <w:rsid w:val="006822DA"/>
    <w:rsid w:val="00682991"/>
    <w:rsid w:val="00682DFD"/>
    <w:rsid w:val="00683B58"/>
    <w:rsid w:val="006840F7"/>
    <w:rsid w:val="006842FB"/>
    <w:rsid w:val="006844AA"/>
    <w:rsid w:val="00684C7D"/>
    <w:rsid w:val="0068522E"/>
    <w:rsid w:val="006852F4"/>
    <w:rsid w:val="00685382"/>
    <w:rsid w:val="006856C9"/>
    <w:rsid w:val="0068600D"/>
    <w:rsid w:val="0068651E"/>
    <w:rsid w:val="00686723"/>
    <w:rsid w:val="00686B0B"/>
    <w:rsid w:val="00690270"/>
    <w:rsid w:val="00690444"/>
    <w:rsid w:val="00691045"/>
    <w:rsid w:val="006910AB"/>
    <w:rsid w:val="00691682"/>
    <w:rsid w:val="006917A4"/>
    <w:rsid w:val="00691938"/>
    <w:rsid w:val="00691EB8"/>
    <w:rsid w:val="00692223"/>
    <w:rsid w:val="006925AC"/>
    <w:rsid w:val="006925FD"/>
    <w:rsid w:val="00692CDE"/>
    <w:rsid w:val="00692D18"/>
    <w:rsid w:val="00692D4D"/>
    <w:rsid w:val="00693073"/>
    <w:rsid w:val="006935BC"/>
    <w:rsid w:val="006938C9"/>
    <w:rsid w:val="00693A32"/>
    <w:rsid w:val="00693EA2"/>
    <w:rsid w:val="00694554"/>
    <w:rsid w:val="00695076"/>
    <w:rsid w:val="00695C50"/>
    <w:rsid w:val="006965ED"/>
    <w:rsid w:val="00696606"/>
    <w:rsid w:val="00696899"/>
    <w:rsid w:val="00696D4A"/>
    <w:rsid w:val="006977FF"/>
    <w:rsid w:val="00697FB2"/>
    <w:rsid w:val="006A01FA"/>
    <w:rsid w:val="006A02A2"/>
    <w:rsid w:val="006A079F"/>
    <w:rsid w:val="006A07BC"/>
    <w:rsid w:val="006A09CD"/>
    <w:rsid w:val="006A0BD7"/>
    <w:rsid w:val="006A0E9E"/>
    <w:rsid w:val="006A15DC"/>
    <w:rsid w:val="006A180A"/>
    <w:rsid w:val="006A187F"/>
    <w:rsid w:val="006A1926"/>
    <w:rsid w:val="006A1B1F"/>
    <w:rsid w:val="006A2591"/>
    <w:rsid w:val="006A25C7"/>
    <w:rsid w:val="006A2641"/>
    <w:rsid w:val="006A2B66"/>
    <w:rsid w:val="006A2BEB"/>
    <w:rsid w:val="006A2C06"/>
    <w:rsid w:val="006A2CF1"/>
    <w:rsid w:val="006A393B"/>
    <w:rsid w:val="006A3F82"/>
    <w:rsid w:val="006A4AAD"/>
    <w:rsid w:val="006A4CCA"/>
    <w:rsid w:val="006A52D3"/>
    <w:rsid w:val="006A5A38"/>
    <w:rsid w:val="006A5AFF"/>
    <w:rsid w:val="006A61F1"/>
    <w:rsid w:val="006A6724"/>
    <w:rsid w:val="006A6BCB"/>
    <w:rsid w:val="006A6DA2"/>
    <w:rsid w:val="006A7AB2"/>
    <w:rsid w:val="006A7FDF"/>
    <w:rsid w:val="006B067B"/>
    <w:rsid w:val="006B0950"/>
    <w:rsid w:val="006B194D"/>
    <w:rsid w:val="006B1BC8"/>
    <w:rsid w:val="006B1D8B"/>
    <w:rsid w:val="006B1E26"/>
    <w:rsid w:val="006B28BC"/>
    <w:rsid w:val="006B2CF7"/>
    <w:rsid w:val="006B2DB8"/>
    <w:rsid w:val="006B4163"/>
    <w:rsid w:val="006B41B4"/>
    <w:rsid w:val="006B43D4"/>
    <w:rsid w:val="006B4495"/>
    <w:rsid w:val="006B4664"/>
    <w:rsid w:val="006B4C79"/>
    <w:rsid w:val="006B52DE"/>
    <w:rsid w:val="006B5717"/>
    <w:rsid w:val="006B582F"/>
    <w:rsid w:val="006B5913"/>
    <w:rsid w:val="006B5A60"/>
    <w:rsid w:val="006B5EB2"/>
    <w:rsid w:val="006B684B"/>
    <w:rsid w:val="006B6A83"/>
    <w:rsid w:val="006B7452"/>
    <w:rsid w:val="006B751E"/>
    <w:rsid w:val="006B75B9"/>
    <w:rsid w:val="006B77AA"/>
    <w:rsid w:val="006B78D0"/>
    <w:rsid w:val="006B7B3F"/>
    <w:rsid w:val="006C001F"/>
    <w:rsid w:val="006C036B"/>
    <w:rsid w:val="006C04A8"/>
    <w:rsid w:val="006C0CEB"/>
    <w:rsid w:val="006C0D71"/>
    <w:rsid w:val="006C0FF2"/>
    <w:rsid w:val="006C1631"/>
    <w:rsid w:val="006C1F6F"/>
    <w:rsid w:val="006C22E5"/>
    <w:rsid w:val="006C2ACA"/>
    <w:rsid w:val="006C2B99"/>
    <w:rsid w:val="006C365B"/>
    <w:rsid w:val="006C3B1E"/>
    <w:rsid w:val="006C4220"/>
    <w:rsid w:val="006C4492"/>
    <w:rsid w:val="006C47FD"/>
    <w:rsid w:val="006C4C04"/>
    <w:rsid w:val="006C51C6"/>
    <w:rsid w:val="006C552D"/>
    <w:rsid w:val="006C5B68"/>
    <w:rsid w:val="006C5C11"/>
    <w:rsid w:val="006C5C19"/>
    <w:rsid w:val="006C5CED"/>
    <w:rsid w:val="006C5DD3"/>
    <w:rsid w:val="006C6327"/>
    <w:rsid w:val="006C63D1"/>
    <w:rsid w:val="006C654D"/>
    <w:rsid w:val="006C6925"/>
    <w:rsid w:val="006C6D8C"/>
    <w:rsid w:val="006C7014"/>
    <w:rsid w:val="006C70A0"/>
    <w:rsid w:val="006C73C4"/>
    <w:rsid w:val="006C740B"/>
    <w:rsid w:val="006C74D6"/>
    <w:rsid w:val="006C74F4"/>
    <w:rsid w:val="006C7B63"/>
    <w:rsid w:val="006D01C0"/>
    <w:rsid w:val="006D0431"/>
    <w:rsid w:val="006D0730"/>
    <w:rsid w:val="006D1014"/>
    <w:rsid w:val="006D116C"/>
    <w:rsid w:val="006D1551"/>
    <w:rsid w:val="006D15F7"/>
    <w:rsid w:val="006D178F"/>
    <w:rsid w:val="006D1A23"/>
    <w:rsid w:val="006D1D1D"/>
    <w:rsid w:val="006D25EA"/>
    <w:rsid w:val="006D27CB"/>
    <w:rsid w:val="006D2F08"/>
    <w:rsid w:val="006D2F38"/>
    <w:rsid w:val="006D33A2"/>
    <w:rsid w:val="006D341B"/>
    <w:rsid w:val="006D3552"/>
    <w:rsid w:val="006D3A69"/>
    <w:rsid w:val="006D3A8B"/>
    <w:rsid w:val="006D3C5A"/>
    <w:rsid w:val="006D4F28"/>
    <w:rsid w:val="006D4FCF"/>
    <w:rsid w:val="006D4FFF"/>
    <w:rsid w:val="006D56FC"/>
    <w:rsid w:val="006D576C"/>
    <w:rsid w:val="006D5865"/>
    <w:rsid w:val="006D5E6C"/>
    <w:rsid w:val="006D6833"/>
    <w:rsid w:val="006D6FF6"/>
    <w:rsid w:val="006D7519"/>
    <w:rsid w:val="006D7550"/>
    <w:rsid w:val="006D75BB"/>
    <w:rsid w:val="006D7A72"/>
    <w:rsid w:val="006E0179"/>
    <w:rsid w:val="006E0B88"/>
    <w:rsid w:val="006E0C1F"/>
    <w:rsid w:val="006E0CB3"/>
    <w:rsid w:val="006E16D6"/>
    <w:rsid w:val="006E1972"/>
    <w:rsid w:val="006E1A41"/>
    <w:rsid w:val="006E299F"/>
    <w:rsid w:val="006E29D9"/>
    <w:rsid w:val="006E31C8"/>
    <w:rsid w:val="006E371F"/>
    <w:rsid w:val="006E3AF2"/>
    <w:rsid w:val="006E3C18"/>
    <w:rsid w:val="006E4058"/>
    <w:rsid w:val="006E4167"/>
    <w:rsid w:val="006E4B1B"/>
    <w:rsid w:val="006E536E"/>
    <w:rsid w:val="006E539B"/>
    <w:rsid w:val="006E5445"/>
    <w:rsid w:val="006E579C"/>
    <w:rsid w:val="006E601F"/>
    <w:rsid w:val="006E6930"/>
    <w:rsid w:val="006E69A9"/>
    <w:rsid w:val="006E6E63"/>
    <w:rsid w:val="006E784D"/>
    <w:rsid w:val="006E7AB3"/>
    <w:rsid w:val="006E7D93"/>
    <w:rsid w:val="006E7E33"/>
    <w:rsid w:val="006E7FCC"/>
    <w:rsid w:val="006F0AE7"/>
    <w:rsid w:val="006F117F"/>
    <w:rsid w:val="006F1308"/>
    <w:rsid w:val="006F1377"/>
    <w:rsid w:val="006F159C"/>
    <w:rsid w:val="006F2A74"/>
    <w:rsid w:val="006F300E"/>
    <w:rsid w:val="006F303B"/>
    <w:rsid w:val="006F3161"/>
    <w:rsid w:val="006F4421"/>
    <w:rsid w:val="006F46BD"/>
    <w:rsid w:val="006F4921"/>
    <w:rsid w:val="006F511E"/>
    <w:rsid w:val="006F552D"/>
    <w:rsid w:val="006F5871"/>
    <w:rsid w:val="006F64C9"/>
    <w:rsid w:val="006F667E"/>
    <w:rsid w:val="006F6C86"/>
    <w:rsid w:val="006F71BD"/>
    <w:rsid w:val="006F76A9"/>
    <w:rsid w:val="006F7972"/>
    <w:rsid w:val="006F7A52"/>
    <w:rsid w:val="006F7EE3"/>
    <w:rsid w:val="007003A6"/>
    <w:rsid w:val="00700498"/>
    <w:rsid w:val="00700539"/>
    <w:rsid w:val="00701311"/>
    <w:rsid w:val="0070133D"/>
    <w:rsid w:val="0070299B"/>
    <w:rsid w:val="007029A3"/>
    <w:rsid w:val="00702C00"/>
    <w:rsid w:val="00703011"/>
    <w:rsid w:val="007036FA"/>
    <w:rsid w:val="007039BF"/>
    <w:rsid w:val="007039E7"/>
    <w:rsid w:val="007040C0"/>
    <w:rsid w:val="007040C6"/>
    <w:rsid w:val="00704C1D"/>
    <w:rsid w:val="00704CB3"/>
    <w:rsid w:val="0070503C"/>
    <w:rsid w:val="007056AA"/>
    <w:rsid w:val="00705C0A"/>
    <w:rsid w:val="00705C1B"/>
    <w:rsid w:val="00706802"/>
    <w:rsid w:val="00706E4E"/>
    <w:rsid w:val="00706FE0"/>
    <w:rsid w:val="007073F9"/>
    <w:rsid w:val="007077AE"/>
    <w:rsid w:val="0070791C"/>
    <w:rsid w:val="0070793F"/>
    <w:rsid w:val="00707D5B"/>
    <w:rsid w:val="00707E89"/>
    <w:rsid w:val="00710463"/>
    <w:rsid w:val="00710A22"/>
    <w:rsid w:val="00710A51"/>
    <w:rsid w:val="00711581"/>
    <w:rsid w:val="00711727"/>
    <w:rsid w:val="0071183F"/>
    <w:rsid w:val="00711888"/>
    <w:rsid w:val="0071191E"/>
    <w:rsid w:val="00711A8E"/>
    <w:rsid w:val="00711AF5"/>
    <w:rsid w:val="007122A3"/>
    <w:rsid w:val="00712AAE"/>
    <w:rsid w:val="00712B31"/>
    <w:rsid w:val="00712E4A"/>
    <w:rsid w:val="0071383C"/>
    <w:rsid w:val="007138FD"/>
    <w:rsid w:val="007141A7"/>
    <w:rsid w:val="00714325"/>
    <w:rsid w:val="00714FB8"/>
    <w:rsid w:val="00715722"/>
    <w:rsid w:val="0071596B"/>
    <w:rsid w:val="00715B11"/>
    <w:rsid w:val="00715BAF"/>
    <w:rsid w:val="00715D1C"/>
    <w:rsid w:val="00715F44"/>
    <w:rsid w:val="0071622D"/>
    <w:rsid w:val="00716EB3"/>
    <w:rsid w:val="007172E1"/>
    <w:rsid w:val="00717528"/>
    <w:rsid w:val="00717599"/>
    <w:rsid w:val="00720EC3"/>
    <w:rsid w:val="00721032"/>
    <w:rsid w:val="0072114D"/>
    <w:rsid w:val="00721765"/>
    <w:rsid w:val="0072190E"/>
    <w:rsid w:val="00721B55"/>
    <w:rsid w:val="00721DA9"/>
    <w:rsid w:val="00721E0C"/>
    <w:rsid w:val="0072207F"/>
    <w:rsid w:val="0072252F"/>
    <w:rsid w:val="007226DE"/>
    <w:rsid w:val="0072272C"/>
    <w:rsid w:val="007229E9"/>
    <w:rsid w:val="00722BF2"/>
    <w:rsid w:val="00722DED"/>
    <w:rsid w:val="007240B0"/>
    <w:rsid w:val="007244D0"/>
    <w:rsid w:val="00724DBC"/>
    <w:rsid w:val="00724FFC"/>
    <w:rsid w:val="0072523D"/>
    <w:rsid w:val="00725498"/>
    <w:rsid w:val="00725945"/>
    <w:rsid w:val="00725DBE"/>
    <w:rsid w:val="00725DE4"/>
    <w:rsid w:val="00725F63"/>
    <w:rsid w:val="00726279"/>
    <w:rsid w:val="0072644A"/>
    <w:rsid w:val="007264FF"/>
    <w:rsid w:val="00726CE4"/>
    <w:rsid w:val="0072729A"/>
    <w:rsid w:val="007272AD"/>
    <w:rsid w:val="007275F2"/>
    <w:rsid w:val="007279D3"/>
    <w:rsid w:val="00727D2F"/>
    <w:rsid w:val="00727EBE"/>
    <w:rsid w:val="00727F54"/>
    <w:rsid w:val="00730BE4"/>
    <w:rsid w:val="00730DC8"/>
    <w:rsid w:val="0073134A"/>
    <w:rsid w:val="00731476"/>
    <w:rsid w:val="00731541"/>
    <w:rsid w:val="00731723"/>
    <w:rsid w:val="00731EB4"/>
    <w:rsid w:val="00732391"/>
    <w:rsid w:val="00732888"/>
    <w:rsid w:val="007328AB"/>
    <w:rsid w:val="0073292D"/>
    <w:rsid w:val="00732B5D"/>
    <w:rsid w:val="00732B92"/>
    <w:rsid w:val="00732E58"/>
    <w:rsid w:val="00733A3E"/>
    <w:rsid w:val="007340A5"/>
    <w:rsid w:val="007340FA"/>
    <w:rsid w:val="00734143"/>
    <w:rsid w:val="007341BA"/>
    <w:rsid w:val="0073424E"/>
    <w:rsid w:val="00734414"/>
    <w:rsid w:val="00734A22"/>
    <w:rsid w:val="00734CED"/>
    <w:rsid w:val="0073622D"/>
    <w:rsid w:val="00736438"/>
    <w:rsid w:val="007366F2"/>
    <w:rsid w:val="007368EB"/>
    <w:rsid w:val="00736E4F"/>
    <w:rsid w:val="00737A1B"/>
    <w:rsid w:val="00737E47"/>
    <w:rsid w:val="00737F30"/>
    <w:rsid w:val="00740103"/>
    <w:rsid w:val="00740379"/>
    <w:rsid w:val="00740397"/>
    <w:rsid w:val="007405FC"/>
    <w:rsid w:val="00740B23"/>
    <w:rsid w:val="00740EAC"/>
    <w:rsid w:val="00742BD1"/>
    <w:rsid w:val="00742C1B"/>
    <w:rsid w:val="00742CF5"/>
    <w:rsid w:val="00743063"/>
    <w:rsid w:val="0074340C"/>
    <w:rsid w:val="00743434"/>
    <w:rsid w:val="007439B4"/>
    <w:rsid w:val="00743AEA"/>
    <w:rsid w:val="00744240"/>
    <w:rsid w:val="007445EC"/>
    <w:rsid w:val="00744956"/>
    <w:rsid w:val="00744AF8"/>
    <w:rsid w:val="007453CE"/>
    <w:rsid w:val="00745489"/>
    <w:rsid w:val="00745A5C"/>
    <w:rsid w:val="0074605F"/>
    <w:rsid w:val="00746799"/>
    <w:rsid w:val="00746B1E"/>
    <w:rsid w:val="007473E7"/>
    <w:rsid w:val="00747CD1"/>
    <w:rsid w:val="00747E94"/>
    <w:rsid w:val="00750181"/>
    <w:rsid w:val="007506EA"/>
    <w:rsid w:val="00750A04"/>
    <w:rsid w:val="00750FB3"/>
    <w:rsid w:val="007510BA"/>
    <w:rsid w:val="00751373"/>
    <w:rsid w:val="00751AE4"/>
    <w:rsid w:val="00751C11"/>
    <w:rsid w:val="00751FE5"/>
    <w:rsid w:val="00752135"/>
    <w:rsid w:val="007522E5"/>
    <w:rsid w:val="0075238C"/>
    <w:rsid w:val="007524BE"/>
    <w:rsid w:val="0075271B"/>
    <w:rsid w:val="007536CD"/>
    <w:rsid w:val="00753802"/>
    <w:rsid w:val="00753B19"/>
    <w:rsid w:val="00754C83"/>
    <w:rsid w:val="00754EE4"/>
    <w:rsid w:val="00755023"/>
    <w:rsid w:val="00755397"/>
    <w:rsid w:val="00755D8E"/>
    <w:rsid w:val="00756281"/>
    <w:rsid w:val="0075696B"/>
    <w:rsid w:val="00756AEF"/>
    <w:rsid w:val="00757105"/>
    <w:rsid w:val="00757734"/>
    <w:rsid w:val="007577DD"/>
    <w:rsid w:val="007578FF"/>
    <w:rsid w:val="007608AD"/>
    <w:rsid w:val="00760D95"/>
    <w:rsid w:val="00760E40"/>
    <w:rsid w:val="007611BB"/>
    <w:rsid w:val="00761E5C"/>
    <w:rsid w:val="00761E78"/>
    <w:rsid w:val="00762469"/>
    <w:rsid w:val="00762927"/>
    <w:rsid w:val="0076298B"/>
    <w:rsid w:val="00762E28"/>
    <w:rsid w:val="00762E50"/>
    <w:rsid w:val="00763850"/>
    <w:rsid w:val="00763903"/>
    <w:rsid w:val="007644AE"/>
    <w:rsid w:val="00764537"/>
    <w:rsid w:val="0076497C"/>
    <w:rsid w:val="00764A95"/>
    <w:rsid w:val="00764BF5"/>
    <w:rsid w:val="00764C66"/>
    <w:rsid w:val="007651FA"/>
    <w:rsid w:val="00765207"/>
    <w:rsid w:val="00765DF8"/>
    <w:rsid w:val="007661A2"/>
    <w:rsid w:val="007665AA"/>
    <w:rsid w:val="00766682"/>
    <w:rsid w:val="00766749"/>
    <w:rsid w:val="00766905"/>
    <w:rsid w:val="00767391"/>
    <w:rsid w:val="00767C1B"/>
    <w:rsid w:val="00767C5B"/>
    <w:rsid w:val="00767D7D"/>
    <w:rsid w:val="00770AC2"/>
    <w:rsid w:val="00770B3F"/>
    <w:rsid w:val="00770BD5"/>
    <w:rsid w:val="00770CB4"/>
    <w:rsid w:val="007714A9"/>
    <w:rsid w:val="00771729"/>
    <w:rsid w:val="0077180F"/>
    <w:rsid w:val="00771A3D"/>
    <w:rsid w:val="00771A50"/>
    <w:rsid w:val="00772E0C"/>
    <w:rsid w:val="00772F52"/>
    <w:rsid w:val="007733AA"/>
    <w:rsid w:val="007739FB"/>
    <w:rsid w:val="00773A83"/>
    <w:rsid w:val="00773C4D"/>
    <w:rsid w:val="00774005"/>
    <w:rsid w:val="007740EE"/>
    <w:rsid w:val="007744BD"/>
    <w:rsid w:val="00774678"/>
    <w:rsid w:val="00774B1D"/>
    <w:rsid w:val="00774B82"/>
    <w:rsid w:val="00774F88"/>
    <w:rsid w:val="00774FDB"/>
    <w:rsid w:val="0077520A"/>
    <w:rsid w:val="00775D5D"/>
    <w:rsid w:val="00776314"/>
    <w:rsid w:val="00776DDD"/>
    <w:rsid w:val="00777606"/>
    <w:rsid w:val="00777BA2"/>
    <w:rsid w:val="0078014D"/>
    <w:rsid w:val="00780303"/>
    <w:rsid w:val="00780F69"/>
    <w:rsid w:val="00781004"/>
    <w:rsid w:val="00781408"/>
    <w:rsid w:val="00781BCF"/>
    <w:rsid w:val="00781D50"/>
    <w:rsid w:val="00781F64"/>
    <w:rsid w:val="00782142"/>
    <w:rsid w:val="0078222B"/>
    <w:rsid w:val="0078261B"/>
    <w:rsid w:val="00783C3A"/>
    <w:rsid w:val="00783C76"/>
    <w:rsid w:val="0078448F"/>
    <w:rsid w:val="00784F5E"/>
    <w:rsid w:val="00784F7F"/>
    <w:rsid w:val="00785660"/>
    <w:rsid w:val="0078609C"/>
    <w:rsid w:val="00786262"/>
    <w:rsid w:val="007865B4"/>
    <w:rsid w:val="007868FF"/>
    <w:rsid w:val="00786A1B"/>
    <w:rsid w:val="00786A7F"/>
    <w:rsid w:val="00786AF0"/>
    <w:rsid w:val="00786CBC"/>
    <w:rsid w:val="00786DE4"/>
    <w:rsid w:val="00786F57"/>
    <w:rsid w:val="00787275"/>
    <w:rsid w:val="007878BD"/>
    <w:rsid w:val="00787B42"/>
    <w:rsid w:val="00790362"/>
    <w:rsid w:val="007905DA"/>
    <w:rsid w:val="00790E6C"/>
    <w:rsid w:val="00790E92"/>
    <w:rsid w:val="00790FFE"/>
    <w:rsid w:val="00791760"/>
    <w:rsid w:val="007926C7"/>
    <w:rsid w:val="00792C74"/>
    <w:rsid w:val="007937D7"/>
    <w:rsid w:val="007939B4"/>
    <w:rsid w:val="00793A28"/>
    <w:rsid w:val="00793C9C"/>
    <w:rsid w:val="00793CC8"/>
    <w:rsid w:val="00793F7E"/>
    <w:rsid w:val="0079460E"/>
    <w:rsid w:val="007946D0"/>
    <w:rsid w:val="007950CE"/>
    <w:rsid w:val="0079600B"/>
    <w:rsid w:val="00796635"/>
    <w:rsid w:val="00796747"/>
    <w:rsid w:val="00796F25"/>
    <w:rsid w:val="00797101"/>
    <w:rsid w:val="00797255"/>
    <w:rsid w:val="00797804"/>
    <w:rsid w:val="007A13B0"/>
    <w:rsid w:val="007A1405"/>
    <w:rsid w:val="007A2B36"/>
    <w:rsid w:val="007A2C91"/>
    <w:rsid w:val="007A2E98"/>
    <w:rsid w:val="007A3308"/>
    <w:rsid w:val="007A33D3"/>
    <w:rsid w:val="007A3690"/>
    <w:rsid w:val="007A3795"/>
    <w:rsid w:val="007A385E"/>
    <w:rsid w:val="007A3A14"/>
    <w:rsid w:val="007A3AA6"/>
    <w:rsid w:val="007A3BA3"/>
    <w:rsid w:val="007A3C85"/>
    <w:rsid w:val="007A3CB1"/>
    <w:rsid w:val="007A3E74"/>
    <w:rsid w:val="007A4082"/>
    <w:rsid w:val="007A40DB"/>
    <w:rsid w:val="007A42CB"/>
    <w:rsid w:val="007A445E"/>
    <w:rsid w:val="007A477C"/>
    <w:rsid w:val="007A47D8"/>
    <w:rsid w:val="007A4A9A"/>
    <w:rsid w:val="007A4BDB"/>
    <w:rsid w:val="007A4D17"/>
    <w:rsid w:val="007A4EE9"/>
    <w:rsid w:val="007A513E"/>
    <w:rsid w:val="007A53B1"/>
    <w:rsid w:val="007A5C6C"/>
    <w:rsid w:val="007A652A"/>
    <w:rsid w:val="007A663F"/>
    <w:rsid w:val="007A6665"/>
    <w:rsid w:val="007A6CC0"/>
    <w:rsid w:val="007A703A"/>
    <w:rsid w:val="007A713A"/>
    <w:rsid w:val="007A7346"/>
    <w:rsid w:val="007A79DD"/>
    <w:rsid w:val="007A7DFE"/>
    <w:rsid w:val="007A7FEC"/>
    <w:rsid w:val="007B0588"/>
    <w:rsid w:val="007B068B"/>
    <w:rsid w:val="007B0932"/>
    <w:rsid w:val="007B0FED"/>
    <w:rsid w:val="007B1461"/>
    <w:rsid w:val="007B1499"/>
    <w:rsid w:val="007B1906"/>
    <w:rsid w:val="007B1BBF"/>
    <w:rsid w:val="007B1FA4"/>
    <w:rsid w:val="007B20D9"/>
    <w:rsid w:val="007B28D0"/>
    <w:rsid w:val="007B2960"/>
    <w:rsid w:val="007B29F7"/>
    <w:rsid w:val="007B2FB7"/>
    <w:rsid w:val="007B33F9"/>
    <w:rsid w:val="007B355D"/>
    <w:rsid w:val="007B3E11"/>
    <w:rsid w:val="007B3FDC"/>
    <w:rsid w:val="007B41D8"/>
    <w:rsid w:val="007B44ED"/>
    <w:rsid w:val="007B4571"/>
    <w:rsid w:val="007B4857"/>
    <w:rsid w:val="007B49B5"/>
    <w:rsid w:val="007B538F"/>
    <w:rsid w:val="007B56B4"/>
    <w:rsid w:val="007B5997"/>
    <w:rsid w:val="007B5BEB"/>
    <w:rsid w:val="007B5FBC"/>
    <w:rsid w:val="007B6148"/>
    <w:rsid w:val="007B6717"/>
    <w:rsid w:val="007B69CD"/>
    <w:rsid w:val="007B6CF2"/>
    <w:rsid w:val="007B6CFC"/>
    <w:rsid w:val="007B6F3F"/>
    <w:rsid w:val="007B6F95"/>
    <w:rsid w:val="007B7698"/>
    <w:rsid w:val="007B78C5"/>
    <w:rsid w:val="007B7980"/>
    <w:rsid w:val="007C0094"/>
    <w:rsid w:val="007C092F"/>
    <w:rsid w:val="007C0C06"/>
    <w:rsid w:val="007C0DEF"/>
    <w:rsid w:val="007C10BA"/>
    <w:rsid w:val="007C11D5"/>
    <w:rsid w:val="007C140A"/>
    <w:rsid w:val="007C1915"/>
    <w:rsid w:val="007C1BD1"/>
    <w:rsid w:val="007C1D43"/>
    <w:rsid w:val="007C1ED0"/>
    <w:rsid w:val="007C226D"/>
    <w:rsid w:val="007C281A"/>
    <w:rsid w:val="007C2EC7"/>
    <w:rsid w:val="007C343A"/>
    <w:rsid w:val="007C3C88"/>
    <w:rsid w:val="007C466B"/>
    <w:rsid w:val="007C4A7C"/>
    <w:rsid w:val="007C4ADB"/>
    <w:rsid w:val="007C51FA"/>
    <w:rsid w:val="007C5331"/>
    <w:rsid w:val="007C572A"/>
    <w:rsid w:val="007C5849"/>
    <w:rsid w:val="007C5D5A"/>
    <w:rsid w:val="007C5E3A"/>
    <w:rsid w:val="007C5F31"/>
    <w:rsid w:val="007C5F97"/>
    <w:rsid w:val="007C607F"/>
    <w:rsid w:val="007C6223"/>
    <w:rsid w:val="007C632A"/>
    <w:rsid w:val="007C6B12"/>
    <w:rsid w:val="007C6E0C"/>
    <w:rsid w:val="007C741B"/>
    <w:rsid w:val="007C750E"/>
    <w:rsid w:val="007C769B"/>
    <w:rsid w:val="007C7757"/>
    <w:rsid w:val="007C79DD"/>
    <w:rsid w:val="007D02C8"/>
    <w:rsid w:val="007D02DB"/>
    <w:rsid w:val="007D0524"/>
    <w:rsid w:val="007D120B"/>
    <w:rsid w:val="007D14CA"/>
    <w:rsid w:val="007D1557"/>
    <w:rsid w:val="007D1A97"/>
    <w:rsid w:val="007D1C4D"/>
    <w:rsid w:val="007D1D93"/>
    <w:rsid w:val="007D226D"/>
    <w:rsid w:val="007D2950"/>
    <w:rsid w:val="007D2CD6"/>
    <w:rsid w:val="007D2D1C"/>
    <w:rsid w:val="007D3063"/>
    <w:rsid w:val="007D3396"/>
    <w:rsid w:val="007D3732"/>
    <w:rsid w:val="007D3762"/>
    <w:rsid w:val="007D3B14"/>
    <w:rsid w:val="007D3CEB"/>
    <w:rsid w:val="007D40B6"/>
    <w:rsid w:val="007D40FF"/>
    <w:rsid w:val="007D42CB"/>
    <w:rsid w:val="007D4585"/>
    <w:rsid w:val="007D4E34"/>
    <w:rsid w:val="007D51B3"/>
    <w:rsid w:val="007D5352"/>
    <w:rsid w:val="007D5D3C"/>
    <w:rsid w:val="007D5F4E"/>
    <w:rsid w:val="007D60A4"/>
    <w:rsid w:val="007D6862"/>
    <w:rsid w:val="007D699B"/>
    <w:rsid w:val="007D6BFD"/>
    <w:rsid w:val="007D6E86"/>
    <w:rsid w:val="007D7527"/>
    <w:rsid w:val="007E0761"/>
    <w:rsid w:val="007E0762"/>
    <w:rsid w:val="007E17AD"/>
    <w:rsid w:val="007E199B"/>
    <w:rsid w:val="007E1A89"/>
    <w:rsid w:val="007E2AD6"/>
    <w:rsid w:val="007E2AE0"/>
    <w:rsid w:val="007E4492"/>
    <w:rsid w:val="007E4616"/>
    <w:rsid w:val="007E4B6B"/>
    <w:rsid w:val="007E4E94"/>
    <w:rsid w:val="007E4EED"/>
    <w:rsid w:val="007E5079"/>
    <w:rsid w:val="007E58AA"/>
    <w:rsid w:val="007E5963"/>
    <w:rsid w:val="007E618B"/>
    <w:rsid w:val="007E68DB"/>
    <w:rsid w:val="007E6C68"/>
    <w:rsid w:val="007E6CA3"/>
    <w:rsid w:val="007E7631"/>
    <w:rsid w:val="007E7683"/>
    <w:rsid w:val="007E7D02"/>
    <w:rsid w:val="007E7F08"/>
    <w:rsid w:val="007F067E"/>
    <w:rsid w:val="007F1193"/>
    <w:rsid w:val="007F11DA"/>
    <w:rsid w:val="007F14A6"/>
    <w:rsid w:val="007F1A49"/>
    <w:rsid w:val="007F1E4F"/>
    <w:rsid w:val="007F28C4"/>
    <w:rsid w:val="007F2D0E"/>
    <w:rsid w:val="007F352A"/>
    <w:rsid w:val="007F36D5"/>
    <w:rsid w:val="007F37BA"/>
    <w:rsid w:val="007F3A98"/>
    <w:rsid w:val="007F4285"/>
    <w:rsid w:val="007F428D"/>
    <w:rsid w:val="007F49FA"/>
    <w:rsid w:val="007F4F69"/>
    <w:rsid w:val="007F4F98"/>
    <w:rsid w:val="007F54C4"/>
    <w:rsid w:val="007F581C"/>
    <w:rsid w:val="007F60FE"/>
    <w:rsid w:val="007F6297"/>
    <w:rsid w:val="007F65CE"/>
    <w:rsid w:val="007F6D50"/>
    <w:rsid w:val="007F6E9A"/>
    <w:rsid w:val="007F75B4"/>
    <w:rsid w:val="007F7F27"/>
    <w:rsid w:val="00800369"/>
    <w:rsid w:val="00800460"/>
    <w:rsid w:val="0080052A"/>
    <w:rsid w:val="00800855"/>
    <w:rsid w:val="00800ADD"/>
    <w:rsid w:val="00800B16"/>
    <w:rsid w:val="00800B86"/>
    <w:rsid w:val="00800CCD"/>
    <w:rsid w:val="00800EE1"/>
    <w:rsid w:val="008011EA"/>
    <w:rsid w:val="0080144D"/>
    <w:rsid w:val="0080153F"/>
    <w:rsid w:val="00801D6A"/>
    <w:rsid w:val="00802F85"/>
    <w:rsid w:val="00803095"/>
    <w:rsid w:val="00803097"/>
    <w:rsid w:val="00803311"/>
    <w:rsid w:val="00803AF5"/>
    <w:rsid w:val="008042E8"/>
    <w:rsid w:val="008044D4"/>
    <w:rsid w:val="0080486D"/>
    <w:rsid w:val="00804F29"/>
    <w:rsid w:val="00805175"/>
    <w:rsid w:val="00805524"/>
    <w:rsid w:val="00805E5C"/>
    <w:rsid w:val="00805F8A"/>
    <w:rsid w:val="0080664F"/>
    <w:rsid w:val="00810470"/>
    <w:rsid w:val="00810AB4"/>
    <w:rsid w:val="00811572"/>
    <w:rsid w:val="00811799"/>
    <w:rsid w:val="008119CB"/>
    <w:rsid w:val="00811E58"/>
    <w:rsid w:val="00812A0A"/>
    <w:rsid w:val="008135C2"/>
    <w:rsid w:val="00813623"/>
    <w:rsid w:val="008138D5"/>
    <w:rsid w:val="00813AAC"/>
    <w:rsid w:val="00813C09"/>
    <w:rsid w:val="00813D8C"/>
    <w:rsid w:val="008140A4"/>
    <w:rsid w:val="008144EF"/>
    <w:rsid w:val="00814509"/>
    <w:rsid w:val="00814CDA"/>
    <w:rsid w:val="00815097"/>
    <w:rsid w:val="0081515B"/>
    <w:rsid w:val="0081533A"/>
    <w:rsid w:val="0081552C"/>
    <w:rsid w:val="00815693"/>
    <w:rsid w:val="00815993"/>
    <w:rsid w:val="00815CE9"/>
    <w:rsid w:val="00816183"/>
    <w:rsid w:val="008165CA"/>
    <w:rsid w:val="00816D2B"/>
    <w:rsid w:val="00816D9A"/>
    <w:rsid w:val="00816DA4"/>
    <w:rsid w:val="00817401"/>
    <w:rsid w:val="00817766"/>
    <w:rsid w:val="008178C2"/>
    <w:rsid w:val="00817965"/>
    <w:rsid w:val="00817B56"/>
    <w:rsid w:val="00817D8F"/>
    <w:rsid w:val="0082003D"/>
    <w:rsid w:val="008205AC"/>
    <w:rsid w:val="008206C9"/>
    <w:rsid w:val="00820855"/>
    <w:rsid w:val="008208F9"/>
    <w:rsid w:val="00820912"/>
    <w:rsid w:val="00820E1B"/>
    <w:rsid w:val="008216C7"/>
    <w:rsid w:val="00821766"/>
    <w:rsid w:val="00821818"/>
    <w:rsid w:val="008219AE"/>
    <w:rsid w:val="00821A2C"/>
    <w:rsid w:val="00821A88"/>
    <w:rsid w:val="00821C8F"/>
    <w:rsid w:val="00822AB0"/>
    <w:rsid w:val="008231B0"/>
    <w:rsid w:val="0082322E"/>
    <w:rsid w:val="008233A6"/>
    <w:rsid w:val="00823D46"/>
    <w:rsid w:val="0082477E"/>
    <w:rsid w:val="0082495D"/>
    <w:rsid w:val="0082552E"/>
    <w:rsid w:val="0082561D"/>
    <w:rsid w:val="008262F9"/>
    <w:rsid w:val="00826370"/>
    <w:rsid w:val="008263C3"/>
    <w:rsid w:val="008268CA"/>
    <w:rsid w:val="00826C9A"/>
    <w:rsid w:val="00826ECB"/>
    <w:rsid w:val="00827246"/>
    <w:rsid w:val="00827414"/>
    <w:rsid w:val="008276CD"/>
    <w:rsid w:val="00827EF3"/>
    <w:rsid w:val="00827EF6"/>
    <w:rsid w:val="008301BA"/>
    <w:rsid w:val="0083042B"/>
    <w:rsid w:val="00830A2C"/>
    <w:rsid w:val="008310D3"/>
    <w:rsid w:val="00831AC3"/>
    <w:rsid w:val="00832257"/>
    <w:rsid w:val="0083233B"/>
    <w:rsid w:val="0083262E"/>
    <w:rsid w:val="00832705"/>
    <w:rsid w:val="00832792"/>
    <w:rsid w:val="00832CC1"/>
    <w:rsid w:val="00832D22"/>
    <w:rsid w:val="008332A9"/>
    <w:rsid w:val="008332F1"/>
    <w:rsid w:val="0083380E"/>
    <w:rsid w:val="00833BAF"/>
    <w:rsid w:val="00834027"/>
    <w:rsid w:val="008345EC"/>
    <w:rsid w:val="00834857"/>
    <w:rsid w:val="008354BA"/>
    <w:rsid w:val="0083552D"/>
    <w:rsid w:val="0083597D"/>
    <w:rsid w:val="00835A84"/>
    <w:rsid w:val="00836DB6"/>
    <w:rsid w:val="00836FCE"/>
    <w:rsid w:val="00837CA9"/>
    <w:rsid w:val="00837D74"/>
    <w:rsid w:val="00840121"/>
    <w:rsid w:val="008408FF"/>
    <w:rsid w:val="00840CBE"/>
    <w:rsid w:val="00841807"/>
    <w:rsid w:val="00841833"/>
    <w:rsid w:val="008422BC"/>
    <w:rsid w:val="0084250A"/>
    <w:rsid w:val="0084293D"/>
    <w:rsid w:val="00842CED"/>
    <w:rsid w:val="00842D38"/>
    <w:rsid w:val="00842E2F"/>
    <w:rsid w:val="0084326E"/>
    <w:rsid w:val="0084349E"/>
    <w:rsid w:val="0084381C"/>
    <w:rsid w:val="00843951"/>
    <w:rsid w:val="00843BF3"/>
    <w:rsid w:val="008440E9"/>
    <w:rsid w:val="008446C6"/>
    <w:rsid w:val="0084495B"/>
    <w:rsid w:val="00844AED"/>
    <w:rsid w:val="00844C3C"/>
    <w:rsid w:val="0084523E"/>
    <w:rsid w:val="008454B4"/>
    <w:rsid w:val="008459A6"/>
    <w:rsid w:val="00845B6D"/>
    <w:rsid w:val="00845D45"/>
    <w:rsid w:val="00846A55"/>
    <w:rsid w:val="00846CE6"/>
    <w:rsid w:val="008478D8"/>
    <w:rsid w:val="00847A01"/>
    <w:rsid w:val="00847C48"/>
    <w:rsid w:val="00847E77"/>
    <w:rsid w:val="00847FCA"/>
    <w:rsid w:val="008501E5"/>
    <w:rsid w:val="0085034C"/>
    <w:rsid w:val="0085035D"/>
    <w:rsid w:val="00851F3F"/>
    <w:rsid w:val="0085271D"/>
    <w:rsid w:val="0085293A"/>
    <w:rsid w:val="00852FAB"/>
    <w:rsid w:val="00853066"/>
    <w:rsid w:val="00853965"/>
    <w:rsid w:val="00853971"/>
    <w:rsid w:val="008539DF"/>
    <w:rsid w:val="008541A8"/>
    <w:rsid w:val="008541AD"/>
    <w:rsid w:val="008542BA"/>
    <w:rsid w:val="008543BA"/>
    <w:rsid w:val="00854EF0"/>
    <w:rsid w:val="00854F79"/>
    <w:rsid w:val="0085562E"/>
    <w:rsid w:val="00855F0F"/>
    <w:rsid w:val="00855F6D"/>
    <w:rsid w:val="0085605D"/>
    <w:rsid w:val="00856281"/>
    <w:rsid w:val="0085656E"/>
    <w:rsid w:val="008565EA"/>
    <w:rsid w:val="0085661F"/>
    <w:rsid w:val="00856781"/>
    <w:rsid w:val="00856819"/>
    <w:rsid w:val="00856C84"/>
    <w:rsid w:val="00856E8C"/>
    <w:rsid w:val="00856EDC"/>
    <w:rsid w:val="008573A9"/>
    <w:rsid w:val="0085792E"/>
    <w:rsid w:val="00857C18"/>
    <w:rsid w:val="00857F5F"/>
    <w:rsid w:val="008601F5"/>
    <w:rsid w:val="008602BB"/>
    <w:rsid w:val="00861476"/>
    <w:rsid w:val="00861726"/>
    <w:rsid w:val="00862127"/>
    <w:rsid w:val="0086215F"/>
    <w:rsid w:val="008623B5"/>
    <w:rsid w:val="008626FF"/>
    <w:rsid w:val="00862AEA"/>
    <w:rsid w:val="00862E80"/>
    <w:rsid w:val="00862F7B"/>
    <w:rsid w:val="008630B9"/>
    <w:rsid w:val="00863146"/>
    <w:rsid w:val="00863174"/>
    <w:rsid w:val="008637AD"/>
    <w:rsid w:val="00863A94"/>
    <w:rsid w:val="00863B58"/>
    <w:rsid w:val="00863CA3"/>
    <w:rsid w:val="00863DE6"/>
    <w:rsid w:val="00864110"/>
    <w:rsid w:val="00864571"/>
    <w:rsid w:val="00864CBB"/>
    <w:rsid w:val="00864DAD"/>
    <w:rsid w:val="00864EFB"/>
    <w:rsid w:val="0086517C"/>
    <w:rsid w:val="0086544D"/>
    <w:rsid w:val="00865659"/>
    <w:rsid w:val="008658BF"/>
    <w:rsid w:val="00865CBC"/>
    <w:rsid w:val="0086634C"/>
    <w:rsid w:val="0086699A"/>
    <w:rsid w:val="00866C1C"/>
    <w:rsid w:val="008670A1"/>
    <w:rsid w:val="008670AD"/>
    <w:rsid w:val="0086756F"/>
    <w:rsid w:val="008675B9"/>
    <w:rsid w:val="008677E5"/>
    <w:rsid w:val="00870ABA"/>
    <w:rsid w:val="00870AD7"/>
    <w:rsid w:val="00870AE9"/>
    <w:rsid w:val="00870F4E"/>
    <w:rsid w:val="008710E1"/>
    <w:rsid w:val="008712BF"/>
    <w:rsid w:val="0087138F"/>
    <w:rsid w:val="0087142A"/>
    <w:rsid w:val="008714A0"/>
    <w:rsid w:val="008716E5"/>
    <w:rsid w:val="0087177E"/>
    <w:rsid w:val="008721E0"/>
    <w:rsid w:val="00872257"/>
    <w:rsid w:val="008729F5"/>
    <w:rsid w:val="008736E5"/>
    <w:rsid w:val="00873BF2"/>
    <w:rsid w:val="00873C40"/>
    <w:rsid w:val="00873D4C"/>
    <w:rsid w:val="00873F89"/>
    <w:rsid w:val="00874020"/>
    <w:rsid w:val="008740E0"/>
    <w:rsid w:val="00874705"/>
    <w:rsid w:val="00874E8D"/>
    <w:rsid w:val="00875435"/>
    <w:rsid w:val="008759E6"/>
    <w:rsid w:val="00875BD5"/>
    <w:rsid w:val="0087619C"/>
    <w:rsid w:val="00876AB7"/>
    <w:rsid w:val="00876AC9"/>
    <w:rsid w:val="00877C6A"/>
    <w:rsid w:val="0088042A"/>
    <w:rsid w:val="00880514"/>
    <w:rsid w:val="00880776"/>
    <w:rsid w:val="00880AE0"/>
    <w:rsid w:val="00881711"/>
    <w:rsid w:val="00881CA9"/>
    <w:rsid w:val="00882917"/>
    <w:rsid w:val="0088297F"/>
    <w:rsid w:val="00882B7E"/>
    <w:rsid w:val="00882C33"/>
    <w:rsid w:val="00882C3E"/>
    <w:rsid w:val="00882C7A"/>
    <w:rsid w:val="00883009"/>
    <w:rsid w:val="00883311"/>
    <w:rsid w:val="00883628"/>
    <w:rsid w:val="008837FB"/>
    <w:rsid w:val="00883E83"/>
    <w:rsid w:val="0088417C"/>
    <w:rsid w:val="008843B8"/>
    <w:rsid w:val="00884449"/>
    <w:rsid w:val="00884FCC"/>
    <w:rsid w:val="00885544"/>
    <w:rsid w:val="00885795"/>
    <w:rsid w:val="008857BB"/>
    <w:rsid w:val="00885BB0"/>
    <w:rsid w:val="00885CB9"/>
    <w:rsid w:val="00885CFB"/>
    <w:rsid w:val="00885DA7"/>
    <w:rsid w:val="008862A5"/>
    <w:rsid w:val="0088634E"/>
    <w:rsid w:val="00886EAD"/>
    <w:rsid w:val="008870B8"/>
    <w:rsid w:val="008872B4"/>
    <w:rsid w:val="008876FE"/>
    <w:rsid w:val="008878D3"/>
    <w:rsid w:val="008878E7"/>
    <w:rsid w:val="00887CE7"/>
    <w:rsid w:val="00890024"/>
    <w:rsid w:val="0089065E"/>
    <w:rsid w:val="008908CF"/>
    <w:rsid w:val="00890A2F"/>
    <w:rsid w:val="008913D7"/>
    <w:rsid w:val="008916E8"/>
    <w:rsid w:val="008917CF"/>
    <w:rsid w:val="00891B59"/>
    <w:rsid w:val="0089208B"/>
    <w:rsid w:val="0089222C"/>
    <w:rsid w:val="00892C9C"/>
    <w:rsid w:val="00893AB8"/>
    <w:rsid w:val="00893CFB"/>
    <w:rsid w:val="00894222"/>
    <w:rsid w:val="0089564C"/>
    <w:rsid w:val="008957D7"/>
    <w:rsid w:val="00896E77"/>
    <w:rsid w:val="008971F2"/>
    <w:rsid w:val="00897298"/>
    <w:rsid w:val="00897764"/>
    <w:rsid w:val="008A020E"/>
    <w:rsid w:val="008A0412"/>
    <w:rsid w:val="008A0465"/>
    <w:rsid w:val="008A04C8"/>
    <w:rsid w:val="008A061D"/>
    <w:rsid w:val="008A0C9A"/>
    <w:rsid w:val="008A0FE9"/>
    <w:rsid w:val="008A1369"/>
    <w:rsid w:val="008A1901"/>
    <w:rsid w:val="008A1C40"/>
    <w:rsid w:val="008A1DB0"/>
    <w:rsid w:val="008A2628"/>
    <w:rsid w:val="008A3C9A"/>
    <w:rsid w:val="008A3CA1"/>
    <w:rsid w:val="008A3EA5"/>
    <w:rsid w:val="008A4578"/>
    <w:rsid w:val="008A4696"/>
    <w:rsid w:val="008A47BC"/>
    <w:rsid w:val="008A519D"/>
    <w:rsid w:val="008A522D"/>
    <w:rsid w:val="008A6288"/>
    <w:rsid w:val="008A658B"/>
    <w:rsid w:val="008A6913"/>
    <w:rsid w:val="008A6AC5"/>
    <w:rsid w:val="008A6C15"/>
    <w:rsid w:val="008A79FF"/>
    <w:rsid w:val="008A7A61"/>
    <w:rsid w:val="008A7E88"/>
    <w:rsid w:val="008B0DA7"/>
    <w:rsid w:val="008B100A"/>
    <w:rsid w:val="008B15D3"/>
    <w:rsid w:val="008B19E9"/>
    <w:rsid w:val="008B1BF1"/>
    <w:rsid w:val="008B1E41"/>
    <w:rsid w:val="008B24D8"/>
    <w:rsid w:val="008B26D7"/>
    <w:rsid w:val="008B2807"/>
    <w:rsid w:val="008B2832"/>
    <w:rsid w:val="008B2FB4"/>
    <w:rsid w:val="008B3260"/>
    <w:rsid w:val="008B3C00"/>
    <w:rsid w:val="008B44CF"/>
    <w:rsid w:val="008B4722"/>
    <w:rsid w:val="008B54AD"/>
    <w:rsid w:val="008B54BF"/>
    <w:rsid w:val="008B56F6"/>
    <w:rsid w:val="008B5805"/>
    <w:rsid w:val="008B6361"/>
    <w:rsid w:val="008B70F3"/>
    <w:rsid w:val="008B71C4"/>
    <w:rsid w:val="008B730E"/>
    <w:rsid w:val="008B73E7"/>
    <w:rsid w:val="008B76DF"/>
    <w:rsid w:val="008C028A"/>
    <w:rsid w:val="008C05CF"/>
    <w:rsid w:val="008C0864"/>
    <w:rsid w:val="008C0D79"/>
    <w:rsid w:val="008C0F8D"/>
    <w:rsid w:val="008C10F4"/>
    <w:rsid w:val="008C116A"/>
    <w:rsid w:val="008C258D"/>
    <w:rsid w:val="008C26DE"/>
    <w:rsid w:val="008C2C27"/>
    <w:rsid w:val="008C2F1F"/>
    <w:rsid w:val="008C3278"/>
    <w:rsid w:val="008C36DA"/>
    <w:rsid w:val="008C40EA"/>
    <w:rsid w:val="008C4BFC"/>
    <w:rsid w:val="008C5332"/>
    <w:rsid w:val="008C53D3"/>
    <w:rsid w:val="008C54EF"/>
    <w:rsid w:val="008C5851"/>
    <w:rsid w:val="008C592E"/>
    <w:rsid w:val="008C594E"/>
    <w:rsid w:val="008C5A99"/>
    <w:rsid w:val="008C5B8C"/>
    <w:rsid w:val="008C5D98"/>
    <w:rsid w:val="008C65F7"/>
    <w:rsid w:val="008C69AB"/>
    <w:rsid w:val="008C6AC1"/>
    <w:rsid w:val="008C6AC3"/>
    <w:rsid w:val="008C6E36"/>
    <w:rsid w:val="008C6F20"/>
    <w:rsid w:val="008C72D2"/>
    <w:rsid w:val="008D035A"/>
    <w:rsid w:val="008D0AE1"/>
    <w:rsid w:val="008D0B1A"/>
    <w:rsid w:val="008D0DF5"/>
    <w:rsid w:val="008D0F29"/>
    <w:rsid w:val="008D10F7"/>
    <w:rsid w:val="008D12E1"/>
    <w:rsid w:val="008D15B6"/>
    <w:rsid w:val="008D174D"/>
    <w:rsid w:val="008D1BC3"/>
    <w:rsid w:val="008D1DF9"/>
    <w:rsid w:val="008D1E97"/>
    <w:rsid w:val="008D20D6"/>
    <w:rsid w:val="008D216D"/>
    <w:rsid w:val="008D28DA"/>
    <w:rsid w:val="008D2938"/>
    <w:rsid w:val="008D2D47"/>
    <w:rsid w:val="008D38AE"/>
    <w:rsid w:val="008D3B07"/>
    <w:rsid w:val="008D3B37"/>
    <w:rsid w:val="008D45C0"/>
    <w:rsid w:val="008D49C8"/>
    <w:rsid w:val="008D4B6B"/>
    <w:rsid w:val="008D4D4E"/>
    <w:rsid w:val="008D4E02"/>
    <w:rsid w:val="008D4E8F"/>
    <w:rsid w:val="008D4F36"/>
    <w:rsid w:val="008D53DA"/>
    <w:rsid w:val="008D5431"/>
    <w:rsid w:val="008D5748"/>
    <w:rsid w:val="008D5C07"/>
    <w:rsid w:val="008D6058"/>
    <w:rsid w:val="008D61DF"/>
    <w:rsid w:val="008D63A0"/>
    <w:rsid w:val="008D68F6"/>
    <w:rsid w:val="008D6CE7"/>
    <w:rsid w:val="008D6DE9"/>
    <w:rsid w:val="008D70DC"/>
    <w:rsid w:val="008D727E"/>
    <w:rsid w:val="008D73A9"/>
    <w:rsid w:val="008D769D"/>
    <w:rsid w:val="008D7912"/>
    <w:rsid w:val="008D7965"/>
    <w:rsid w:val="008D7E57"/>
    <w:rsid w:val="008E0151"/>
    <w:rsid w:val="008E0428"/>
    <w:rsid w:val="008E0B67"/>
    <w:rsid w:val="008E1133"/>
    <w:rsid w:val="008E12BC"/>
    <w:rsid w:val="008E19CF"/>
    <w:rsid w:val="008E1A0B"/>
    <w:rsid w:val="008E1FF8"/>
    <w:rsid w:val="008E220D"/>
    <w:rsid w:val="008E2335"/>
    <w:rsid w:val="008E26CF"/>
    <w:rsid w:val="008E29C6"/>
    <w:rsid w:val="008E2BB5"/>
    <w:rsid w:val="008E3483"/>
    <w:rsid w:val="008E3B1F"/>
    <w:rsid w:val="008E3C24"/>
    <w:rsid w:val="008E4152"/>
    <w:rsid w:val="008E455E"/>
    <w:rsid w:val="008E46C1"/>
    <w:rsid w:val="008E4767"/>
    <w:rsid w:val="008E500C"/>
    <w:rsid w:val="008E5490"/>
    <w:rsid w:val="008E5F43"/>
    <w:rsid w:val="008E61C1"/>
    <w:rsid w:val="008E648F"/>
    <w:rsid w:val="008E6871"/>
    <w:rsid w:val="008E7200"/>
    <w:rsid w:val="008E72CE"/>
    <w:rsid w:val="008E7A8C"/>
    <w:rsid w:val="008E7C0D"/>
    <w:rsid w:val="008E7F21"/>
    <w:rsid w:val="008E7F60"/>
    <w:rsid w:val="008F01B0"/>
    <w:rsid w:val="008F024D"/>
    <w:rsid w:val="008F0945"/>
    <w:rsid w:val="008F0B33"/>
    <w:rsid w:val="008F0E60"/>
    <w:rsid w:val="008F1067"/>
    <w:rsid w:val="008F109C"/>
    <w:rsid w:val="008F1276"/>
    <w:rsid w:val="008F146F"/>
    <w:rsid w:val="008F1845"/>
    <w:rsid w:val="008F1C55"/>
    <w:rsid w:val="008F1D99"/>
    <w:rsid w:val="008F1F5D"/>
    <w:rsid w:val="008F2387"/>
    <w:rsid w:val="008F298A"/>
    <w:rsid w:val="008F2EBC"/>
    <w:rsid w:val="008F3042"/>
    <w:rsid w:val="008F3584"/>
    <w:rsid w:val="008F36BC"/>
    <w:rsid w:val="008F386A"/>
    <w:rsid w:val="008F39F4"/>
    <w:rsid w:val="008F3BA0"/>
    <w:rsid w:val="008F47F1"/>
    <w:rsid w:val="008F4B05"/>
    <w:rsid w:val="008F4CE0"/>
    <w:rsid w:val="008F4E25"/>
    <w:rsid w:val="008F5649"/>
    <w:rsid w:val="008F5819"/>
    <w:rsid w:val="008F5C61"/>
    <w:rsid w:val="008F5CEE"/>
    <w:rsid w:val="008F6C7D"/>
    <w:rsid w:val="008F6D61"/>
    <w:rsid w:val="008F6F41"/>
    <w:rsid w:val="008F734A"/>
    <w:rsid w:val="008F790F"/>
    <w:rsid w:val="008F7B33"/>
    <w:rsid w:val="008F7BCF"/>
    <w:rsid w:val="00900790"/>
    <w:rsid w:val="009009F0"/>
    <w:rsid w:val="00900F65"/>
    <w:rsid w:val="00901285"/>
    <w:rsid w:val="00901371"/>
    <w:rsid w:val="00901552"/>
    <w:rsid w:val="009017BC"/>
    <w:rsid w:val="009018BA"/>
    <w:rsid w:val="00901A47"/>
    <w:rsid w:val="0090203B"/>
    <w:rsid w:val="0090235F"/>
    <w:rsid w:val="00902823"/>
    <w:rsid w:val="009028E2"/>
    <w:rsid w:val="00902CC1"/>
    <w:rsid w:val="00903285"/>
    <w:rsid w:val="0090331A"/>
    <w:rsid w:val="0090337D"/>
    <w:rsid w:val="009035C9"/>
    <w:rsid w:val="009046E4"/>
    <w:rsid w:val="00904FDD"/>
    <w:rsid w:val="00905316"/>
    <w:rsid w:val="0090559C"/>
    <w:rsid w:val="00906AFE"/>
    <w:rsid w:val="00906D4A"/>
    <w:rsid w:val="00906F40"/>
    <w:rsid w:val="00907152"/>
    <w:rsid w:val="0090731E"/>
    <w:rsid w:val="00907FAA"/>
    <w:rsid w:val="0091009B"/>
    <w:rsid w:val="0091018C"/>
    <w:rsid w:val="00910852"/>
    <w:rsid w:val="009115C9"/>
    <w:rsid w:val="009115CB"/>
    <w:rsid w:val="00911808"/>
    <w:rsid w:val="00911A23"/>
    <w:rsid w:val="00911F48"/>
    <w:rsid w:val="00912551"/>
    <w:rsid w:val="009128C9"/>
    <w:rsid w:val="0091302E"/>
    <w:rsid w:val="00913396"/>
    <w:rsid w:val="00913C50"/>
    <w:rsid w:val="00914088"/>
    <w:rsid w:val="00914F85"/>
    <w:rsid w:val="00914FCF"/>
    <w:rsid w:val="00915163"/>
    <w:rsid w:val="0091527C"/>
    <w:rsid w:val="009158F5"/>
    <w:rsid w:val="00915A06"/>
    <w:rsid w:val="00915B1C"/>
    <w:rsid w:val="009162B4"/>
    <w:rsid w:val="0091673E"/>
    <w:rsid w:val="00916C3C"/>
    <w:rsid w:val="009173F0"/>
    <w:rsid w:val="009174F3"/>
    <w:rsid w:val="009178B8"/>
    <w:rsid w:val="0091797D"/>
    <w:rsid w:val="0091798A"/>
    <w:rsid w:val="009179A8"/>
    <w:rsid w:val="009205C3"/>
    <w:rsid w:val="00920D6A"/>
    <w:rsid w:val="0092146F"/>
    <w:rsid w:val="009219ED"/>
    <w:rsid w:val="00921AB5"/>
    <w:rsid w:val="00921F72"/>
    <w:rsid w:val="009223A8"/>
    <w:rsid w:val="00922851"/>
    <w:rsid w:val="00922D04"/>
    <w:rsid w:val="00922E1E"/>
    <w:rsid w:val="009230E6"/>
    <w:rsid w:val="00923177"/>
    <w:rsid w:val="009236A8"/>
    <w:rsid w:val="00923A43"/>
    <w:rsid w:val="00923CBA"/>
    <w:rsid w:val="00923E44"/>
    <w:rsid w:val="009249BD"/>
    <w:rsid w:val="00924F7B"/>
    <w:rsid w:val="009251C3"/>
    <w:rsid w:val="00925A06"/>
    <w:rsid w:val="00925A41"/>
    <w:rsid w:val="00925B2B"/>
    <w:rsid w:val="00925B56"/>
    <w:rsid w:val="00926703"/>
    <w:rsid w:val="009269A9"/>
    <w:rsid w:val="00926D22"/>
    <w:rsid w:val="00926D44"/>
    <w:rsid w:val="00927691"/>
    <w:rsid w:val="009279CA"/>
    <w:rsid w:val="00927A5F"/>
    <w:rsid w:val="00927BA5"/>
    <w:rsid w:val="00927ED4"/>
    <w:rsid w:val="00930510"/>
    <w:rsid w:val="00930C5A"/>
    <w:rsid w:val="00930CF4"/>
    <w:rsid w:val="0093124D"/>
    <w:rsid w:val="009315AE"/>
    <w:rsid w:val="009317C5"/>
    <w:rsid w:val="009319E1"/>
    <w:rsid w:val="00931CA0"/>
    <w:rsid w:val="00931E18"/>
    <w:rsid w:val="009324F7"/>
    <w:rsid w:val="009325EA"/>
    <w:rsid w:val="009334DC"/>
    <w:rsid w:val="0093383E"/>
    <w:rsid w:val="00933E57"/>
    <w:rsid w:val="009340E9"/>
    <w:rsid w:val="00934A06"/>
    <w:rsid w:val="00934C40"/>
    <w:rsid w:val="00934D6E"/>
    <w:rsid w:val="00934E78"/>
    <w:rsid w:val="00934F45"/>
    <w:rsid w:val="009355F2"/>
    <w:rsid w:val="00935743"/>
    <w:rsid w:val="009357E2"/>
    <w:rsid w:val="0093581F"/>
    <w:rsid w:val="009359C4"/>
    <w:rsid w:val="00935B63"/>
    <w:rsid w:val="00935B65"/>
    <w:rsid w:val="00935EF2"/>
    <w:rsid w:val="009366FD"/>
    <w:rsid w:val="00936B9A"/>
    <w:rsid w:val="00936E95"/>
    <w:rsid w:val="00937169"/>
    <w:rsid w:val="0093744A"/>
    <w:rsid w:val="00937F59"/>
    <w:rsid w:val="00940331"/>
    <w:rsid w:val="0094078F"/>
    <w:rsid w:val="00940FA3"/>
    <w:rsid w:val="0094141E"/>
    <w:rsid w:val="0094158F"/>
    <w:rsid w:val="009417A6"/>
    <w:rsid w:val="00941A42"/>
    <w:rsid w:val="00941DF8"/>
    <w:rsid w:val="00941E50"/>
    <w:rsid w:val="00941F1C"/>
    <w:rsid w:val="00941FB0"/>
    <w:rsid w:val="00942580"/>
    <w:rsid w:val="009426D4"/>
    <w:rsid w:val="0094284A"/>
    <w:rsid w:val="009436EA"/>
    <w:rsid w:val="00943D06"/>
    <w:rsid w:val="00944254"/>
    <w:rsid w:val="009443EA"/>
    <w:rsid w:val="00944467"/>
    <w:rsid w:val="00944795"/>
    <w:rsid w:val="0094525B"/>
    <w:rsid w:val="0094552C"/>
    <w:rsid w:val="009463FE"/>
    <w:rsid w:val="009465E7"/>
    <w:rsid w:val="0094660C"/>
    <w:rsid w:val="009467B6"/>
    <w:rsid w:val="00946A49"/>
    <w:rsid w:val="009474FB"/>
    <w:rsid w:val="00947EA2"/>
    <w:rsid w:val="00947F25"/>
    <w:rsid w:val="00950159"/>
    <w:rsid w:val="00950295"/>
    <w:rsid w:val="00950386"/>
    <w:rsid w:val="00950428"/>
    <w:rsid w:val="00950467"/>
    <w:rsid w:val="00950591"/>
    <w:rsid w:val="00950AA2"/>
    <w:rsid w:val="009514B5"/>
    <w:rsid w:val="0095153E"/>
    <w:rsid w:val="00952180"/>
    <w:rsid w:val="0095221A"/>
    <w:rsid w:val="0095245B"/>
    <w:rsid w:val="009529FE"/>
    <w:rsid w:val="009533A4"/>
    <w:rsid w:val="00953CDA"/>
    <w:rsid w:val="00953E07"/>
    <w:rsid w:val="009541B7"/>
    <w:rsid w:val="0095424A"/>
    <w:rsid w:val="00954524"/>
    <w:rsid w:val="009546C4"/>
    <w:rsid w:val="0095490B"/>
    <w:rsid w:val="009551B5"/>
    <w:rsid w:val="00955786"/>
    <w:rsid w:val="00956505"/>
    <w:rsid w:val="00956B69"/>
    <w:rsid w:val="00956C83"/>
    <w:rsid w:val="0095705C"/>
    <w:rsid w:val="0095767C"/>
    <w:rsid w:val="00957FC1"/>
    <w:rsid w:val="00960016"/>
    <w:rsid w:val="009601A5"/>
    <w:rsid w:val="00960A33"/>
    <w:rsid w:val="00960C72"/>
    <w:rsid w:val="00960E8F"/>
    <w:rsid w:val="00960EA7"/>
    <w:rsid w:val="009616F8"/>
    <w:rsid w:val="00961C0D"/>
    <w:rsid w:val="00961CD5"/>
    <w:rsid w:val="00962029"/>
    <w:rsid w:val="0096264A"/>
    <w:rsid w:val="009626B6"/>
    <w:rsid w:val="0096279C"/>
    <w:rsid w:val="009628EF"/>
    <w:rsid w:val="00962C4F"/>
    <w:rsid w:val="00963246"/>
    <w:rsid w:val="00963939"/>
    <w:rsid w:val="00963B29"/>
    <w:rsid w:val="009640D1"/>
    <w:rsid w:val="009642ED"/>
    <w:rsid w:val="00965180"/>
    <w:rsid w:val="00965348"/>
    <w:rsid w:val="009656AD"/>
    <w:rsid w:val="009662C4"/>
    <w:rsid w:val="00966337"/>
    <w:rsid w:val="0096633F"/>
    <w:rsid w:val="009663A3"/>
    <w:rsid w:val="00966AAA"/>
    <w:rsid w:val="0096700F"/>
    <w:rsid w:val="00967083"/>
    <w:rsid w:val="009701E3"/>
    <w:rsid w:val="00970520"/>
    <w:rsid w:val="00970855"/>
    <w:rsid w:val="00970B40"/>
    <w:rsid w:val="00970D88"/>
    <w:rsid w:val="00970F09"/>
    <w:rsid w:val="009713DA"/>
    <w:rsid w:val="009717C3"/>
    <w:rsid w:val="0097182B"/>
    <w:rsid w:val="00971914"/>
    <w:rsid w:val="00972170"/>
    <w:rsid w:val="0097249A"/>
    <w:rsid w:val="00972C20"/>
    <w:rsid w:val="00972C8C"/>
    <w:rsid w:val="00972E87"/>
    <w:rsid w:val="009730D5"/>
    <w:rsid w:val="009732DF"/>
    <w:rsid w:val="0097386F"/>
    <w:rsid w:val="00973CB5"/>
    <w:rsid w:val="00973DCF"/>
    <w:rsid w:val="00974363"/>
    <w:rsid w:val="009747F2"/>
    <w:rsid w:val="0097482C"/>
    <w:rsid w:val="00975635"/>
    <w:rsid w:val="00975B01"/>
    <w:rsid w:val="00975C95"/>
    <w:rsid w:val="00975D7D"/>
    <w:rsid w:val="00975F04"/>
    <w:rsid w:val="009760AD"/>
    <w:rsid w:val="009771FF"/>
    <w:rsid w:val="00977588"/>
    <w:rsid w:val="00977D05"/>
    <w:rsid w:val="009807DE"/>
    <w:rsid w:val="00980B22"/>
    <w:rsid w:val="00981045"/>
    <w:rsid w:val="00981898"/>
    <w:rsid w:val="0098194A"/>
    <w:rsid w:val="00981A1D"/>
    <w:rsid w:val="00981BDA"/>
    <w:rsid w:val="00981CA7"/>
    <w:rsid w:val="00982291"/>
    <w:rsid w:val="009826E5"/>
    <w:rsid w:val="00982F3A"/>
    <w:rsid w:val="00983008"/>
    <w:rsid w:val="0098318A"/>
    <w:rsid w:val="0098321F"/>
    <w:rsid w:val="009832A9"/>
    <w:rsid w:val="009835B6"/>
    <w:rsid w:val="00983DF8"/>
    <w:rsid w:val="009842A1"/>
    <w:rsid w:val="009842D5"/>
    <w:rsid w:val="009847C9"/>
    <w:rsid w:val="0098545F"/>
    <w:rsid w:val="00985EE0"/>
    <w:rsid w:val="009866DB"/>
    <w:rsid w:val="009867C9"/>
    <w:rsid w:val="009867E4"/>
    <w:rsid w:val="00986E10"/>
    <w:rsid w:val="00987C52"/>
    <w:rsid w:val="009904CA"/>
    <w:rsid w:val="00990DA5"/>
    <w:rsid w:val="00990DF6"/>
    <w:rsid w:val="00990EF1"/>
    <w:rsid w:val="00990FAD"/>
    <w:rsid w:val="00991892"/>
    <w:rsid w:val="0099189D"/>
    <w:rsid w:val="00991C47"/>
    <w:rsid w:val="00991CD6"/>
    <w:rsid w:val="00991F0C"/>
    <w:rsid w:val="0099209A"/>
    <w:rsid w:val="00992E78"/>
    <w:rsid w:val="00993887"/>
    <w:rsid w:val="00994D57"/>
    <w:rsid w:val="00994DE1"/>
    <w:rsid w:val="0099577C"/>
    <w:rsid w:val="0099578E"/>
    <w:rsid w:val="009959A6"/>
    <w:rsid w:val="00995E81"/>
    <w:rsid w:val="0099669E"/>
    <w:rsid w:val="00997D4F"/>
    <w:rsid w:val="009A005A"/>
    <w:rsid w:val="009A021C"/>
    <w:rsid w:val="009A0436"/>
    <w:rsid w:val="009A0614"/>
    <w:rsid w:val="009A06B0"/>
    <w:rsid w:val="009A1686"/>
    <w:rsid w:val="009A16D2"/>
    <w:rsid w:val="009A1A12"/>
    <w:rsid w:val="009A2050"/>
    <w:rsid w:val="009A227B"/>
    <w:rsid w:val="009A238B"/>
    <w:rsid w:val="009A24B5"/>
    <w:rsid w:val="009A25CC"/>
    <w:rsid w:val="009A26D0"/>
    <w:rsid w:val="009A2A1B"/>
    <w:rsid w:val="009A3001"/>
    <w:rsid w:val="009A3469"/>
    <w:rsid w:val="009A3AF6"/>
    <w:rsid w:val="009A3C88"/>
    <w:rsid w:val="009A4043"/>
    <w:rsid w:val="009A4078"/>
    <w:rsid w:val="009A4468"/>
    <w:rsid w:val="009A4955"/>
    <w:rsid w:val="009A4B6C"/>
    <w:rsid w:val="009A4F3D"/>
    <w:rsid w:val="009A5187"/>
    <w:rsid w:val="009A5C91"/>
    <w:rsid w:val="009A640C"/>
    <w:rsid w:val="009A6603"/>
    <w:rsid w:val="009A6EF2"/>
    <w:rsid w:val="009A7168"/>
    <w:rsid w:val="009A76B2"/>
    <w:rsid w:val="009A782D"/>
    <w:rsid w:val="009A7B1C"/>
    <w:rsid w:val="009B071E"/>
    <w:rsid w:val="009B0854"/>
    <w:rsid w:val="009B0C32"/>
    <w:rsid w:val="009B1C51"/>
    <w:rsid w:val="009B2259"/>
    <w:rsid w:val="009B24A5"/>
    <w:rsid w:val="009B2540"/>
    <w:rsid w:val="009B2601"/>
    <w:rsid w:val="009B3348"/>
    <w:rsid w:val="009B3879"/>
    <w:rsid w:val="009B3C2A"/>
    <w:rsid w:val="009B4254"/>
    <w:rsid w:val="009B4327"/>
    <w:rsid w:val="009B4A85"/>
    <w:rsid w:val="009B4E9E"/>
    <w:rsid w:val="009B632C"/>
    <w:rsid w:val="009B6A72"/>
    <w:rsid w:val="009B6DC1"/>
    <w:rsid w:val="009B720F"/>
    <w:rsid w:val="009B76E5"/>
    <w:rsid w:val="009B76E9"/>
    <w:rsid w:val="009B771C"/>
    <w:rsid w:val="009C0312"/>
    <w:rsid w:val="009C066E"/>
    <w:rsid w:val="009C0D52"/>
    <w:rsid w:val="009C0DE0"/>
    <w:rsid w:val="009C11D9"/>
    <w:rsid w:val="009C1350"/>
    <w:rsid w:val="009C1690"/>
    <w:rsid w:val="009C17DC"/>
    <w:rsid w:val="009C2075"/>
    <w:rsid w:val="009C222F"/>
    <w:rsid w:val="009C2994"/>
    <w:rsid w:val="009C2DCD"/>
    <w:rsid w:val="009C2E75"/>
    <w:rsid w:val="009C304D"/>
    <w:rsid w:val="009C318C"/>
    <w:rsid w:val="009C3E5D"/>
    <w:rsid w:val="009C418B"/>
    <w:rsid w:val="009C45C8"/>
    <w:rsid w:val="009C47A1"/>
    <w:rsid w:val="009C4E3C"/>
    <w:rsid w:val="009C51E8"/>
    <w:rsid w:val="009C52A0"/>
    <w:rsid w:val="009C57F5"/>
    <w:rsid w:val="009C5E7B"/>
    <w:rsid w:val="009C5F2A"/>
    <w:rsid w:val="009C620B"/>
    <w:rsid w:val="009C67AE"/>
    <w:rsid w:val="009C6881"/>
    <w:rsid w:val="009C7316"/>
    <w:rsid w:val="009C7759"/>
    <w:rsid w:val="009C793D"/>
    <w:rsid w:val="009C7B66"/>
    <w:rsid w:val="009C7CE3"/>
    <w:rsid w:val="009C7E79"/>
    <w:rsid w:val="009D043D"/>
    <w:rsid w:val="009D072F"/>
    <w:rsid w:val="009D075A"/>
    <w:rsid w:val="009D07C8"/>
    <w:rsid w:val="009D1087"/>
    <w:rsid w:val="009D17D2"/>
    <w:rsid w:val="009D1F8F"/>
    <w:rsid w:val="009D228E"/>
    <w:rsid w:val="009D32E7"/>
    <w:rsid w:val="009D3476"/>
    <w:rsid w:val="009D3DB9"/>
    <w:rsid w:val="009D45B1"/>
    <w:rsid w:val="009D4820"/>
    <w:rsid w:val="009D4B2E"/>
    <w:rsid w:val="009D4C85"/>
    <w:rsid w:val="009D4CB6"/>
    <w:rsid w:val="009D4D01"/>
    <w:rsid w:val="009D4DFB"/>
    <w:rsid w:val="009D4F57"/>
    <w:rsid w:val="009D530E"/>
    <w:rsid w:val="009D534A"/>
    <w:rsid w:val="009D5875"/>
    <w:rsid w:val="009D5F58"/>
    <w:rsid w:val="009D6180"/>
    <w:rsid w:val="009D621F"/>
    <w:rsid w:val="009D6978"/>
    <w:rsid w:val="009D6C71"/>
    <w:rsid w:val="009D726A"/>
    <w:rsid w:val="009D7544"/>
    <w:rsid w:val="009D7850"/>
    <w:rsid w:val="009D7930"/>
    <w:rsid w:val="009D7CC5"/>
    <w:rsid w:val="009D7D5B"/>
    <w:rsid w:val="009E0083"/>
    <w:rsid w:val="009E02AB"/>
    <w:rsid w:val="009E0631"/>
    <w:rsid w:val="009E09CC"/>
    <w:rsid w:val="009E111D"/>
    <w:rsid w:val="009E1250"/>
    <w:rsid w:val="009E16D0"/>
    <w:rsid w:val="009E1784"/>
    <w:rsid w:val="009E1788"/>
    <w:rsid w:val="009E18DC"/>
    <w:rsid w:val="009E1E83"/>
    <w:rsid w:val="009E2051"/>
    <w:rsid w:val="009E28BF"/>
    <w:rsid w:val="009E2FF8"/>
    <w:rsid w:val="009E35F7"/>
    <w:rsid w:val="009E38FD"/>
    <w:rsid w:val="009E498C"/>
    <w:rsid w:val="009E512F"/>
    <w:rsid w:val="009E52CB"/>
    <w:rsid w:val="009E5859"/>
    <w:rsid w:val="009E5CC2"/>
    <w:rsid w:val="009E5D21"/>
    <w:rsid w:val="009E5D3E"/>
    <w:rsid w:val="009E5F53"/>
    <w:rsid w:val="009E624E"/>
    <w:rsid w:val="009E627E"/>
    <w:rsid w:val="009E6CC2"/>
    <w:rsid w:val="009E6D3D"/>
    <w:rsid w:val="009E78F7"/>
    <w:rsid w:val="009F0079"/>
    <w:rsid w:val="009F13D6"/>
    <w:rsid w:val="009F1595"/>
    <w:rsid w:val="009F1AEB"/>
    <w:rsid w:val="009F1D43"/>
    <w:rsid w:val="009F1EC5"/>
    <w:rsid w:val="009F20A1"/>
    <w:rsid w:val="009F20CD"/>
    <w:rsid w:val="009F2490"/>
    <w:rsid w:val="009F25D8"/>
    <w:rsid w:val="009F2640"/>
    <w:rsid w:val="009F2C62"/>
    <w:rsid w:val="009F2D16"/>
    <w:rsid w:val="009F2D45"/>
    <w:rsid w:val="009F33F7"/>
    <w:rsid w:val="009F3479"/>
    <w:rsid w:val="009F386E"/>
    <w:rsid w:val="009F3DD1"/>
    <w:rsid w:val="009F4060"/>
    <w:rsid w:val="009F468C"/>
    <w:rsid w:val="009F4843"/>
    <w:rsid w:val="009F4A3D"/>
    <w:rsid w:val="009F4A93"/>
    <w:rsid w:val="009F4C6B"/>
    <w:rsid w:val="009F4C9E"/>
    <w:rsid w:val="009F4D55"/>
    <w:rsid w:val="009F5052"/>
    <w:rsid w:val="009F5225"/>
    <w:rsid w:val="009F52AD"/>
    <w:rsid w:val="009F59D8"/>
    <w:rsid w:val="009F5C2F"/>
    <w:rsid w:val="009F66D0"/>
    <w:rsid w:val="009F67B1"/>
    <w:rsid w:val="009F706A"/>
    <w:rsid w:val="009F78A8"/>
    <w:rsid w:val="009F79F4"/>
    <w:rsid w:val="009F7C16"/>
    <w:rsid w:val="00A0038C"/>
    <w:rsid w:val="00A004C7"/>
    <w:rsid w:val="00A008B5"/>
    <w:rsid w:val="00A00AB0"/>
    <w:rsid w:val="00A01C82"/>
    <w:rsid w:val="00A02A2E"/>
    <w:rsid w:val="00A02A91"/>
    <w:rsid w:val="00A02AD6"/>
    <w:rsid w:val="00A02C9A"/>
    <w:rsid w:val="00A02EB3"/>
    <w:rsid w:val="00A02EC6"/>
    <w:rsid w:val="00A038AD"/>
    <w:rsid w:val="00A038E8"/>
    <w:rsid w:val="00A03A3E"/>
    <w:rsid w:val="00A03B19"/>
    <w:rsid w:val="00A03F12"/>
    <w:rsid w:val="00A03FA6"/>
    <w:rsid w:val="00A04569"/>
    <w:rsid w:val="00A045B8"/>
    <w:rsid w:val="00A04661"/>
    <w:rsid w:val="00A04B55"/>
    <w:rsid w:val="00A04BDA"/>
    <w:rsid w:val="00A052F5"/>
    <w:rsid w:val="00A0535A"/>
    <w:rsid w:val="00A05FAC"/>
    <w:rsid w:val="00A06B08"/>
    <w:rsid w:val="00A07096"/>
    <w:rsid w:val="00A07318"/>
    <w:rsid w:val="00A073C4"/>
    <w:rsid w:val="00A077C2"/>
    <w:rsid w:val="00A0789A"/>
    <w:rsid w:val="00A07AAA"/>
    <w:rsid w:val="00A07ED2"/>
    <w:rsid w:val="00A10508"/>
    <w:rsid w:val="00A10510"/>
    <w:rsid w:val="00A1056A"/>
    <w:rsid w:val="00A10BAE"/>
    <w:rsid w:val="00A10BDC"/>
    <w:rsid w:val="00A11370"/>
    <w:rsid w:val="00A11A08"/>
    <w:rsid w:val="00A11D17"/>
    <w:rsid w:val="00A11D88"/>
    <w:rsid w:val="00A12313"/>
    <w:rsid w:val="00A1263A"/>
    <w:rsid w:val="00A12B00"/>
    <w:rsid w:val="00A131F2"/>
    <w:rsid w:val="00A132C6"/>
    <w:rsid w:val="00A13D7D"/>
    <w:rsid w:val="00A140E9"/>
    <w:rsid w:val="00A14317"/>
    <w:rsid w:val="00A14B24"/>
    <w:rsid w:val="00A15007"/>
    <w:rsid w:val="00A15349"/>
    <w:rsid w:val="00A1578C"/>
    <w:rsid w:val="00A1593D"/>
    <w:rsid w:val="00A1596B"/>
    <w:rsid w:val="00A16A16"/>
    <w:rsid w:val="00A16DBC"/>
    <w:rsid w:val="00A17549"/>
    <w:rsid w:val="00A1767E"/>
    <w:rsid w:val="00A1783F"/>
    <w:rsid w:val="00A21331"/>
    <w:rsid w:val="00A21634"/>
    <w:rsid w:val="00A219A5"/>
    <w:rsid w:val="00A21AA9"/>
    <w:rsid w:val="00A21BAC"/>
    <w:rsid w:val="00A21D72"/>
    <w:rsid w:val="00A21E2C"/>
    <w:rsid w:val="00A21FC3"/>
    <w:rsid w:val="00A221EA"/>
    <w:rsid w:val="00A224CE"/>
    <w:rsid w:val="00A22522"/>
    <w:rsid w:val="00A226DA"/>
    <w:rsid w:val="00A22BF8"/>
    <w:rsid w:val="00A22D52"/>
    <w:rsid w:val="00A22E50"/>
    <w:rsid w:val="00A232B9"/>
    <w:rsid w:val="00A23C10"/>
    <w:rsid w:val="00A23D31"/>
    <w:rsid w:val="00A241F6"/>
    <w:rsid w:val="00A24AFD"/>
    <w:rsid w:val="00A24D65"/>
    <w:rsid w:val="00A24F5C"/>
    <w:rsid w:val="00A254DC"/>
    <w:rsid w:val="00A25E7B"/>
    <w:rsid w:val="00A263C2"/>
    <w:rsid w:val="00A264A5"/>
    <w:rsid w:val="00A268A9"/>
    <w:rsid w:val="00A26B05"/>
    <w:rsid w:val="00A26DC4"/>
    <w:rsid w:val="00A26DEA"/>
    <w:rsid w:val="00A272B0"/>
    <w:rsid w:val="00A2792B"/>
    <w:rsid w:val="00A30311"/>
    <w:rsid w:val="00A30B4E"/>
    <w:rsid w:val="00A30F46"/>
    <w:rsid w:val="00A31319"/>
    <w:rsid w:val="00A315FA"/>
    <w:rsid w:val="00A31918"/>
    <w:rsid w:val="00A31973"/>
    <w:rsid w:val="00A3259A"/>
    <w:rsid w:val="00A32ABB"/>
    <w:rsid w:val="00A32F96"/>
    <w:rsid w:val="00A33408"/>
    <w:rsid w:val="00A33458"/>
    <w:rsid w:val="00A33983"/>
    <w:rsid w:val="00A34428"/>
    <w:rsid w:val="00A3449E"/>
    <w:rsid w:val="00A34B17"/>
    <w:rsid w:val="00A34E05"/>
    <w:rsid w:val="00A351EA"/>
    <w:rsid w:val="00A35217"/>
    <w:rsid w:val="00A35609"/>
    <w:rsid w:val="00A356C8"/>
    <w:rsid w:val="00A36548"/>
    <w:rsid w:val="00A3654D"/>
    <w:rsid w:val="00A36C3C"/>
    <w:rsid w:val="00A36DB0"/>
    <w:rsid w:val="00A36E19"/>
    <w:rsid w:val="00A36F1D"/>
    <w:rsid w:val="00A37717"/>
    <w:rsid w:val="00A4013F"/>
    <w:rsid w:val="00A4019A"/>
    <w:rsid w:val="00A407AD"/>
    <w:rsid w:val="00A40871"/>
    <w:rsid w:val="00A408A1"/>
    <w:rsid w:val="00A40BCE"/>
    <w:rsid w:val="00A410E4"/>
    <w:rsid w:val="00A412AB"/>
    <w:rsid w:val="00A415EF"/>
    <w:rsid w:val="00A416DD"/>
    <w:rsid w:val="00A417D6"/>
    <w:rsid w:val="00A4187C"/>
    <w:rsid w:val="00A4193E"/>
    <w:rsid w:val="00A4195A"/>
    <w:rsid w:val="00A419D7"/>
    <w:rsid w:val="00A41A4C"/>
    <w:rsid w:val="00A41FA3"/>
    <w:rsid w:val="00A4219E"/>
    <w:rsid w:val="00A42779"/>
    <w:rsid w:val="00A42E8B"/>
    <w:rsid w:val="00A42F1B"/>
    <w:rsid w:val="00A43304"/>
    <w:rsid w:val="00A435FC"/>
    <w:rsid w:val="00A4361D"/>
    <w:rsid w:val="00A440E0"/>
    <w:rsid w:val="00A442EF"/>
    <w:rsid w:val="00A449BC"/>
    <w:rsid w:val="00A45A99"/>
    <w:rsid w:val="00A45FFF"/>
    <w:rsid w:val="00A46114"/>
    <w:rsid w:val="00A4633B"/>
    <w:rsid w:val="00A46AD7"/>
    <w:rsid w:val="00A46B3C"/>
    <w:rsid w:val="00A46B59"/>
    <w:rsid w:val="00A473D4"/>
    <w:rsid w:val="00A479BC"/>
    <w:rsid w:val="00A47C8A"/>
    <w:rsid w:val="00A50053"/>
    <w:rsid w:val="00A502C4"/>
    <w:rsid w:val="00A5090E"/>
    <w:rsid w:val="00A51A7E"/>
    <w:rsid w:val="00A51D1A"/>
    <w:rsid w:val="00A51D7F"/>
    <w:rsid w:val="00A52292"/>
    <w:rsid w:val="00A52588"/>
    <w:rsid w:val="00A52697"/>
    <w:rsid w:val="00A52C69"/>
    <w:rsid w:val="00A53223"/>
    <w:rsid w:val="00A5418D"/>
    <w:rsid w:val="00A5474E"/>
    <w:rsid w:val="00A55C27"/>
    <w:rsid w:val="00A562AE"/>
    <w:rsid w:val="00A5643D"/>
    <w:rsid w:val="00A56C84"/>
    <w:rsid w:val="00A570AC"/>
    <w:rsid w:val="00A5710C"/>
    <w:rsid w:val="00A57BD8"/>
    <w:rsid w:val="00A57E06"/>
    <w:rsid w:val="00A57F45"/>
    <w:rsid w:val="00A60032"/>
    <w:rsid w:val="00A608B0"/>
    <w:rsid w:val="00A60994"/>
    <w:rsid w:val="00A609E4"/>
    <w:rsid w:val="00A60C7E"/>
    <w:rsid w:val="00A61461"/>
    <w:rsid w:val="00A61EFE"/>
    <w:rsid w:val="00A61F53"/>
    <w:rsid w:val="00A626A0"/>
    <w:rsid w:val="00A62A48"/>
    <w:rsid w:val="00A62B62"/>
    <w:rsid w:val="00A62C21"/>
    <w:rsid w:val="00A62D1A"/>
    <w:rsid w:val="00A632B8"/>
    <w:rsid w:val="00A635D2"/>
    <w:rsid w:val="00A63CD7"/>
    <w:rsid w:val="00A63DEA"/>
    <w:rsid w:val="00A641EE"/>
    <w:rsid w:val="00A64234"/>
    <w:rsid w:val="00A64882"/>
    <w:rsid w:val="00A648F1"/>
    <w:rsid w:val="00A64C75"/>
    <w:rsid w:val="00A65560"/>
    <w:rsid w:val="00A65D38"/>
    <w:rsid w:val="00A65EDC"/>
    <w:rsid w:val="00A66154"/>
    <w:rsid w:val="00A664F0"/>
    <w:rsid w:val="00A665B9"/>
    <w:rsid w:val="00A66787"/>
    <w:rsid w:val="00A66C39"/>
    <w:rsid w:val="00A66F0D"/>
    <w:rsid w:val="00A6735E"/>
    <w:rsid w:val="00A67D53"/>
    <w:rsid w:val="00A7025C"/>
    <w:rsid w:val="00A70ADF"/>
    <w:rsid w:val="00A70C46"/>
    <w:rsid w:val="00A711DA"/>
    <w:rsid w:val="00A71308"/>
    <w:rsid w:val="00A71466"/>
    <w:rsid w:val="00A71AF2"/>
    <w:rsid w:val="00A71B62"/>
    <w:rsid w:val="00A71CC4"/>
    <w:rsid w:val="00A71DF1"/>
    <w:rsid w:val="00A72448"/>
    <w:rsid w:val="00A72718"/>
    <w:rsid w:val="00A72A8E"/>
    <w:rsid w:val="00A72EB6"/>
    <w:rsid w:val="00A733F9"/>
    <w:rsid w:val="00A7390E"/>
    <w:rsid w:val="00A73F52"/>
    <w:rsid w:val="00A740F0"/>
    <w:rsid w:val="00A742CE"/>
    <w:rsid w:val="00A74732"/>
    <w:rsid w:val="00A74B5E"/>
    <w:rsid w:val="00A761AD"/>
    <w:rsid w:val="00A763AE"/>
    <w:rsid w:val="00A7656C"/>
    <w:rsid w:val="00A76CFD"/>
    <w:rsid w:val="00A76EC9"/>
    <w:rsid w:val="00A770F5"/>
    <w:rsid w:val="00A773DD"/>
    <w:rsid w:val="00A77D29"/>
    <w:rsid w:val="00A77EAD"/>
    <w:rsid w:val="00A801E9"/>
    <w:rsid w:val="00A80B2F"/>
    <w:rsid w:val="00A80E4F"/>
    <w:rsid w:val="00A80FE6"/>
    <w:rsid w:val="00A8189E"/>
    <w:rsid w:val="00A81BED"/>
    <w:rsid w:val="00A81C86"/>
    <w:rsid w:val="00A81E57"/>
    <w:rsid w:val="00A81EC4"/>
    <w:rsid w:val="00A81FD0"/>
    <w:rsid w:val="00A824E8"/>
    <w:rsid w:val="00A82661"/>
    <w:rsid w:val="00A82BE7"/>
    <w:rsid w:val="00A82F0E"/>
    <w:rsid w:val="00A82FF1"/>
    <w:rsid w:val="00A8361B"/>
    <w:rsid w:val="00A83868"/>
    <w:rsid w:val="00A84423"/>
    <w:rsid w:val="00A84428"/>
    <w:rsid w:val="00A8444E"/>
    <w:rsid w:val="00A8448E"/>
    <w:rsid w:val="00A84A4D"/>
    <w:rsid w:val="00A84F99"/>
    <w:rsid w:val="00A85139"/>
    <w:rsid w:val="00A8519E"/>
    <w:rsid w:val="00A85D75"/>
    <w:rsid w:val="00A85F0F"/>
    <w:rsid w:val="00A86216"/>
    <w:rsid w:val="00A86747"/>
    <w:rsid w:val="00A872B2"/>
    <w:rsid w:val="00A872EA"/>
    <w:rsid w:val="00A87766"/>
    <w:rsid w:val="00A87789"/>
    <w:rsid w:val="00A87CE5"/>
    <w:rsid w:val="00A901CF"/>
    <w:rsid w:val="00A90518"/>
    <w:rsid w:val="00A9080F"/>
    <w:rsid w:val="00A909E9"/>
    <w:rsid w:val="00A911FC"/>
    <w:rsid w:val="00A91478"/>
    <w:rsid w:val="00A91686"/>
    <w:rsid w:val="00A917A1"/>
    <w:rsid w:val="00A92326"/>
    <w:rsid w:val="00A926B8"/>
    <w:rsid w:val="00A92907"/>
    <w:rsid w:val="00A9297A"/>
    <w:rsid w:val="00A935CA"/>
    <w:rsid w:val="00A939FC"/>
    <w:rsid w:val="00A9432A"/>
    <w:rsid w:val="00A944D6"/>
    <w:rsid w:val="00A94651"/>
    <w:rsid w:val="00A94F70"/>
    <w:rsid w:val="00A95043"/>
    <w:rsid w:val="00A950B5"/>
    <w:rsid w:val="00A95E77"/>
    <w:rsid w:val="00A9678D"/>
    <w:rsid w:val="00A967FD"/>
    <w:rsid w:val="00A968A9"/>
    <w:rsid w:val="00A96A3D"/>
    <w:rsid w:val="00AA0493"/>
    <w:rsid w:val="00AA127B"/>
    <w:rsid w:val="00AA1399"/>
    <w:rsid w:val="00AA24A7"/>
    <w:rsid w:val="00AA2DE5"/>
    <w:rsid w:val="00AA2F1C"/>
    <w:rsid w:val="00AA2F8B"/>
    <w:rsid w:val="00AA328C"/>
    <w:rsid w:val="00AA328D"/>
    <w:rsid w:val="00AA32C4"/>
    <w:rsid w:val="00AA332A"/>
    <w:rsid w:val="00AA3593"/>
    <w:rsid w:val="00AA3891"/>
    <w:rsid w:val="00AA3F66"/>
    <w:rsid w:val="00AA400D"/>
    <w:rsid w:val="00AA4182"/>
    <w:rsid w:val="00AA4758"/>
    <w:rsid w:val="00AA47B8"/>
    <w:rsid w:val="00AA4E44"/>
    <w:rsid w:val="00AA54DF"/>
    <w:rsid w:val="00AA55EB"/>
    <w:rsid w:val="00AA5BFF"/>
    <w:rsid w:val="00AA6132"/>
    <w:rsid w:val="00AA6921"/>
    <w:rsid w:val="00AA695F"/>
    <w:rsid w:val="00AA6965"/>
    <w:rsid w:val="00AA6A8E"/>
    <w:rsid w:val="00AA7418"/>
    <w:rsid w:val="00AA79A7"/>
    <w:rsid w:val="00AB015C"/>
    <w:rsid w:val="00AB01AE"/>
    <w:rsid w:val="00AB0425"/>
    <w:rsid w:val="00AB14C4"/>
    <w:rsid w:val="00AB156C"/>
    <w:rsid w:val="00AB20F0"/>
    <w:rsid w:val="00AB26EE"/>
    <w:rsid w:val="00AB27B7"/>
    <w:rsid w:val="00AB298D"/>
    <w:rsid w:val="00AB2EC9"/>
    <w:rsid w:val="00AB3058"/>
    <w:rsid w:val="00AB30F5"/>
    <w:rsid w:val="00AB339B"/>
    <w:rsid w:val="00AB33B4"/>
    <w:rsid w:val="00AB33F3"/>
    <w:rsid w:val="00AB3B82"/>
    <w:rsid w:val="00AB49FE"/>
    <w:rsid w:val="00AB4A79"/>
    <w:rsid w:val="00AB53E4"/>
    <w:rsid w:val="00AB5765"/>
    <w:rsid w:val="00AB5A5D"/>
    <w:rsid w:val="00AB5CCF"/>
    <w:rsid w:val="00AB675B"/>
    <w:rsid w:val="00AB67C3"/>
    <w:rsid w:val="00AB6814"/>
    <w:rsid w:val="00AB6E5D"/>
    <w:rsid w:val="00AB6F88"/>
    <w:rsid w:val="00AB7277"/>
    <w:rsid w:val="00AC04BA"/>
    <w:rsid w:val="00AC07A7"/>
    <w:rsid w:val="00AC0E39"/>
    <w:rsid w:val="00AC1BB1"/>
    <w:rsid w:val="00AC21EC"/>
    <w:rsid w:val="00AC221E"/>
    <w:rsid w:val="00AC2995"/>
    <w:rsid w:val="00AC2EA4"/>
    <w:rsid w:val="00AC32DD"/>
    <w:rsid w:val="00AC37D6"/>
    <w:rsid w:val="00AC3D01"/>
    <w:rsid w:val="00AC4C43"/>
    <w:rsid w:val="00AC4DAB"/>
    <w:rsid w:val="00AC4E1D"/>
    <w:rsid w:val="00AC4F44"/>
    <w:rsid w:val="00AC52C1"/>
    <w:rsid w:val="00AC55C1"/>
    <w:rsid w:val="00AC58E5"/>
    <w:rsid w:val="00AC5E77"/>
    <w:rsid w:val="00AC602E"/>
    <w:rsid w:val="00AC6073"/>
    <w:rsid w:val="00AC68ED"/>
    <w:rsid w:val="00AC69DA"/>
    <w:rsid w:val="00AC6FAB"/>
    <w:rsid w:val="00AC700F"/>
    <w:rsid w:val="00AC7234"/>
    <w:rsid w:val="00AC74D9"/>
    <w:rsid w:val="00AC76D9"/>
    <w:rsid w:val="00AC7C27"/>
    <w:rsid w:val="00AC7C57"/>
    <w:rsid w:val="00AC7D2D"/>
    <w:rsid w:val="00AC7DD5"/>
    <w:rsid w:val="00AC7EA2"/>
    <w:rsid w:val="00AD0531"/>
    <w:rsid w:val="00AD06FD"/>
    <w:rsid w:val="00AD087D"/>
    <w:rsid w:val="00AD09D1"/>
    <w:rsid w:val="00AD0A12"/>
    <w:rsid w:val="00AD1581"/>
    <w:rsid w:val="00AD17E2"/>
    <w:rsid w:val="00AD1A2B"/>
    <w:rsid w:val="00AD1A75"/>
    <w:rsid w:val="00AD1AE1"/>
    <w:rsid w:val="00AD2149"/>
    <w:rsid w:val="00AD251E"/>
    <w:rsid w:val="00AD2655"/>
    <w:rsid w:val="00AD2817"/>
    <w:rsid w:val="00AD2C3C"/>
    <w:rsid w:val="00AD2E05"/>
    <w:rsid w:val="00AD3082"/>
    <w:rsid w:val="00AD30D2"/>
    <w:rsid w:val="00AD32B4"/>
    <w:rsid w:val="00AD3BC0"/>
    <w:rsid w:val="00AD3E58"/>
    <w:rsid w:val="00AD4AD0"/>
    <w:rsid w:val="00AD51DE"/>
    <w:rsid w:val="00AD5245"/>
    <w:rsid w:val="00AD5436"/>
    <w:rsid w:val="00AD60CD"/>
    <w:rsid w:val="00AD63F7"/>
    <w:rsid w:val="00AD6C8C"/>
    <w:rsid w:val="00AD701A"/>
    <w:rsid w:val="00AD7239"/>
    <w:rsid w:val="00AD74A3"/>
    <w:rsid w:val="00AD7BEC"/>
    <w:rsid w:val="00AE04E9"/>
    <w:rsid w:val="00AE04F3"/>
    <w:rsid w:val="00AE08BC"/>
    <w:rsid w:val="00AE091D"/>
    <w:rsid w:val="00AE0DAD"/>
    <w:rsid w:val="00AE14B8"/>
    <w:rsid w:val="00AE15F8"/>
    <w:rsid w:val="00AE1F91"/>
    <w:rsid w:val="00AE27A5"/>
    <w:rsid w:val="00AE2E31"/>
    <w:rsid w:val="00AE2F2B"/>
    <w:rsid w:val="00AE3187"/>
    <w:rsid w:val="00AE3581"/>
    <w:rsid w:val="00AE35F6"/>
    <w:rsid w:val="00AE39B9"/>
    <w:rsid w:val="00AE3B60"/>
    <w:rsid w:val="00AE3CE0"/>
    <w:rsid w:val="00AE4258"/>
    <w:rsid w:val="00AE4730"/>
    <w:rsid w:val="00AE4B06"/>
    <w:rsid w:val="00AE4C2A"/>
    <w:rsid w:val="00AE5098"/>
    <w:rsid w:val="00AE53A1"/>
    <w:rsid w:val="00AE5962"/>
    <w:rsid w:val="00AE5AA5"/>
    <w:rsid w:val="00AE5B3F"/>
    <w:rsid w:val="00AE601D"/>
    <w:rsid w:val="00AE6BD8"/>
    <w:rsid w:val="00AE7265"/>
    <w:rsid w:val="00AE72AA"/>
    <w:rsid w:val="00AE7F0F"/>
    <w:rsid w:val="00AE7FA4"/>
    <w:rsid w:val="00AF08C6"/>
    <w:rsid w:val="00AF1227"/>
    <w:rsid w:val="00AF1A86"/>
    <w:rsid w:val="00AF1E36"/>
    <w:rsid w:val="00AF2046"/>
    <w:rsid w:val="00AF211C"/>
    <w:rsid w:val="00AF247A"/>
    <w:rsid w:val="00AF2484"/>
    <w:rsid w:val="00AF2556"/>
    <w:rsid w:val="00AF25B5"/>
    <w:rsid w:val="00AF28BF"/>
    <w:rsid w:val="00AF2FD4"/>
    <w:rsid w:val="00AF32DE"/>
    <w:rsid w:val="00AF3413"/>
    <w:rsid w:val="00AF3516"/>
    <w:rsid w:val="00AF372E"/>
    <w:rsid w:val="00AF3796"/>
    <w:rsid w:val="00AF41C3"/>
    <w:rsid w:val="00AF492D"/>
    <w:rsid w:val="00AF49D7"/>
    <w:rsid w:val="00AF4E32"/>
    <w:rsid w:val="00AF56BD"/>
    <w:rsid w:val="00AF5AEA"/>
    <w:rsid w:val="00AF5D18"/>
    <w:rsid w:val="00AF5DF5"/>
    <w:rsid w:val="00AF63E7"/>
    <w:rsid w:val="00AF66D4"/>
    <w:rsid w:val="00AF6883"/>
    <w:rsid w:val="00AF6988"/>
    <w:rsid w:val="00AF6E17"/>
    <w:rsid w:val="00AF70E9"/>
    <w:rsid w:val="00AF7725"/>
    <w:rsid w:val="00AF786C"/>
    <w:rsid w:val="00AF7A22"/>
    <w:rsid w:val="00B003AD"/>
    <w:rsid w:val="00B0050D"/>
    <w:rsid w:val="00B0165D"/>
    <w:rsid w:val="00B01B60"/>
    <w:rsid w:val="00B01D20"/>
    <w:rsid w:val="00B0233E"/>
    <w:rsid w:val="00B02AB0"/>
    <w:rsid w:val="00B02D57"/>
    <w:rsid w:val="00B031F3"/>
    <w:rsid w:val="00B033C4"/>
    <w:rsid w:val="00B03AD0"/>
    <w:rsid w:val="00B03BEE"/>
    <w:rsid w:val="00B03C0A"/>
    <w:rsid w:val="00B0406B"/>
    <w:rsid w:val="00B052A4"/>
    <w:rsid w:val="00B05349"/>
    <w:rsid w:val="00B05654"/>
    <w:rsid w:val="00B05AFD"/>
    <w:rsid w:val="00B0610B"/>
    <w:rsid w:val="00B066A0"/>
    <w:rsid w:val="00B06C29"/>
    <w:rsid w:val="00B06F79"/>
    <w:rsid w:val="00B06F8D"/>
    <w:rsid w:val="00B07793"/>
    <w:rsid w:val="00B078B0"/>
    <w:rsid w:val="00B07EB3"/>
    <w:rsid w:val="00B102A7"/>
    <w:rsid w:val="00B121E6"/>
    <w:rsid w:val="00B125DE"/>
    <w:rsid w:val="00B127F4"/>
    <w:rsid w:val="00B12DBA"/>
    <w:rsid w:val="00B12E69"/>
    <w:rsid w:val="00B136FF"/>
    <w:rsid w:val="00B13F27"/>
    <w:rsid w:val="00B13FDD"/>
    <w:rsid w:val="00B156AD"/>
    <w:rsid w:val="00B15E83"/>
    <w:rsid w:val="00B164BB"/>
    <w:rsid w:val="00B167FD"/>
    <w:rsid w:val="00B17194"/>
    <w:rsid w:val="00B17470"/>
    <w:rsid w:val="00B1776C"/>
    <w:rsid w:val="00B17D1D"/>
    <w:rsid w:val="00B202D4"/>
    <w:rsid w:val="00B20F53"/>
    <w:rsid w:val="00B211EA"/>
    <w:rsid w:val="00B213B5"/>
    <w:rsid w:val="00B216BB"/>
    <w:rsid w:val="00B225B2"/>
    <w:rsid w:val="00B22EB2"/>
    <w:rsid w:val="00B2360C"/>
    <w:rsid w:val="00B238F7"/>
    <w:rsid w:val="00B23A02"/>
    <w:rsid w:val="00B2452F"/>
    <w:rsid w:val="00B249A1"/>
    <w:rsid w:val="00B249A3"/>
    <w:rsid w:val="00B24F1B"/>
    <w:rsid w:val="00B250D8"/>
    <w:rsid w:val="00B26688"/>
    <w:rsid w:val="00B2693F"/>
    <w:rsid w:val="00B272D4"/>
    <w:rsid w:val="00B27442"/>
    <w:rsid w:val="00B2789F"/>
    <w:rsid w:val="00B27F89"/>
    <w:rsid w:val="00B30297"/>
    <w:rsid w:val="00B30A7C"/>
    <w:rsid w:val="00B30B04"/>
    <w:rsid w:val="00B30F19"/>
    <w:rsid w:val="00B31167"/>
    <w:rsid w:val="00B312B8"/>
    <w:rsid w:val="00B313C6"/>
    <w:rsid w:val="00B31447"/>
    <w:rsid w:val="00B31AA7"/>
    <w:rsid w:val="00B31BF0"/>
    <w:rsid w:val="00B329D8"/>
    <w:rsid w:val="00B32A86"/>
    <w:rsid w:val="00B32BB9"/>
    <w:rsid w:val="00B33AE1"/>
    <w:rsid w:val="00B33E9F"/>
    <w:rsid w:val="00B33F8C"/>
    <w:rsid w:val="00B3435B"/>
    <w:rsid w:val="00B347E7"/>
    <w:rsid w:val="00B34C11"/>
    <w:rsid w:val="00B34D67"/>
    <w:rsid w:val="00B34EBB"/>
    <w:rsid w:val="00B354DB"/>
    <w:rsid w:val="00B3556A"/>
    <w:rsid w:val="00B357FF"/>
    <w:rsid w:val="00B361CA"/>
    <w:rsid w:val="00B36F2F"/>
    <w:rsid w:val="00B37307"/>
    <w:rsid w:val="00B37337"/>
    <w:rsid w:val="00B3781C"/>
    <w:rsid w:val="00B37C38"/>
    <w:rsid w:val="00B401E4"/>
    <w:rsid w:val="00B40978"/>
    <w:rsid w:val="00B40F82"/>
    <w:rsid w:val="00B4144A"/>
    <w:rsid w:val="00B41C6F"/>
    <w:rsid w:val="00B4231F"/>
    <w:rsid w:val="00B4288C"/>
    <w:rsid w:val="00B42991"/>
    <w:rsid w:val="00B429D0"/>
    <w:rsid w:val="00B42A0C"/>
    <w:rsid w:val="00B42ECB"/>
    <w:rsid w:val="00B43262"/>
    <w:rsid w:val="00B43807"/>
    <w:rsid w:val="00B43DB9"/>
    <w:rsid w:val="00B43EF0"/>
    <w:rsid w:val="00B43F3A"/>
    <w:rsid w:val="00B4405F"/>
    <w:rsid w:val="00B4408D"/>
    <w:rsid w:val="00B4409C"/>
    <w:rsid w:val="00B44100"/>
    <w:rsid w:val="00B44413"/>
    <w:rsid w:val="00B4455F"/>
    <w:rsid w:val="00B445B4"/>
    <w:rsid w:val="00B44C9A"/>
    <w:rsid w:val="00B452A2"/>
    <w:rsid w:val="00B45554"/>
    <w:rsid w:val="00B4566D"/>
    <w:rsid w:val="00B45741"/>
    <w:rsid w:val="00B45BB3"/>
    <w:rsid w:val="00B45FAB"/>
    <w:rsid w:val="00B46330"/>
    <w:rsid w:val="00B4655A"/>
    <w:rsid w:val="00B469AF"/>
    <w:rsid w:val="00B46CBA"/>
    <w:rsid w:val="00B46F65"/>
    <w:rsid w:val="00B46F94"/>
    <w:rsid w:val="00B4716E"/>
    <w:rsid w:val="00B47487"/>
    <w:rsid w:val="00B47A67"/>
    <w:rsid w:val="00B47C1F"/>
    <w:rsid w:val="00B47C63"/>
    <w:rsid w:val="00B47FCF"/>
    <w:rsid w:val="00B50313"/>
    <w:rsid w:val="00B50845"/>
    <w:rsid w:val="00B50A6E"/>
    <w:rsid w:val="00B511E4"/>
    <w:rsid w:val="00B51961"/>
    <w:rsid w:val="00B51DF6"/>
    <w:rsid w:val="00B52CD2"/>
    <w:rsid w:val="00B53285"/>
    <w:rsid w:val="00B537A2"/>
    <w:rsid w:val="00B53BBA"/>
    <w:rsid w:val="00B53C52"/>
    <w:rsid w:val="00B5407E"/>
    <w:rsid w:val="00B54834"/>
    <w:rsid w:val="00B54B43"/>
    <w:rsid w:val="00B54D05"/>
    <w:rsid w:val="00B5521C"/>
    <w:rsid w:val="00B552CD"/>
    <w:rsid w:val="00B55867"/>
    <w:rsid w:val="00B569D4"/>
    <w:rsid w:val="00B56B47"/>
    <w:rsid w:val="00B56F3A"/>
    <w:rsid w:val="00B57576"/>
    <w:rsid w:val="00B5765B"/>
    <w:rsid w:val="00B579D5"/>
    <w:rsid w:val="00B57F39"/>
    <w:rsid w:val="00B6003C"/>
    <w:rsid w:val="00B605EF"/>
    <w:rsid w:val="00B60865"/>
    <w:rsid w:val="00B60874"/>
    <w:rsid w:val="00B6197A"/>
    <w:rsid w:val="00B61A8E"/>
    <w:rsid w:val="00B61F03"/>
    <w:rsid w:val="00B61F2E"/>
    <w:rsid w:val="00B626E4"/>
    <w:rsid w:val="00B6292B"/>
    <w:rsid w:val="00B629D3"/>
    <w:rsid w:val="00B62B48"/>
    <w:rsid w:val="00B62BD3"/>
    <w:rsid w:val="00B636C6"/>
    <w:rsid w:val="00B639B1"/>
    <w:rsid w:val="00B64F73"/>
    <w:rsid w:val="00B6574D"/>
    <w:rsid w:val="00B65D1C"/>
    <w:rsid w:val="00B661E2"/>
    <w:rsid w:val="00B66881"/>
    <w:rsid w:val="00B66B37"/>
    <w:rsid w:val="00B66DD7"/>
    <w:rsid w:val="00B67001"/>
    <w:rsid w:val="00B67339"/>
    <w:rsid w:val="00B67A22"/>
    <w:rsid w:val="00B67B84"/>
    <w:rsid w:val="00B67CB3"/>
    <w:rsid w:val="00B67F56"/>
    <w:rsid w:val="00B70417"/>
    <w:rsid w:val="00B70E56"/>
    <w:rsid w:val="00B710D2"/>
    <w:rsid w:val="00B7112C"/>
    <w:rsid w:val="00B71838"/>
    <w:rsid w:val="00B71877"/>
    <w:rsid w:val="00B71987"/>
    <w:rsid w:val="00B72408"/>
    <w:rsid w:val="00B72F4A"/>
    <w:rsid w:val="00B7393B"/>
    <w:rsid w:val="00B739EC"/>
    <w:rsid w:val="00B74932"/>
    <w:rsid w:val="00B74D11"/>
    <w:rsid w:val="00B75320"/>
    <w:rsid w:val="00B753C0"/>
    <w:rsid w:val="00B75457"/>
    <w:rsid w:val="00B7594B"/>
    <w:rsid w:val="00B75EB2"/>
    <w:rsid w:val="00B76F57"/>
    <w:rsid w:val="00B7711F"/>
    <w:rsid w:val="00B7752B"/>
    <w:rsid w:val="00B77759"/>
    <w:rsid w:val="00B778FF"/>
    <w:rsid w:val="00B77BA6"/>
    <w:rsid w:val="00B80E06"/>
    <w:rsid w:val="00B810E5"/>
    <w:rsid w:val="00B815E5"/>
    <w:rsid w:val="00B81852"/>
    <w:rsid w:val="00B81A7D"/>
    <w:rsid w:val="00B81FAA"/>
    <w:rsid w:val="00B820E3"/>
    <w:rsid w:val="00B82881"/>
    <w:rsid w:val="00B82B5C"/>
    <w:rsid w:val="00B82E27"/>
    <w:rsid w:val="00B836CF"/>
    <w:rsid w:val="00B83B2B"/>
    <w:rsid w:val="00B83C27"/>
    <w:rsid w:val="00B83F94"/>
    <w:rsid w:val="00B83F99"/>
    <w:rsid w:val="00B84488"/>
    <w:rsid w:val="00B844BC"/>
    <w:rsid w:val="00B84BC3"/>
    <w:rsid w:val="00B84BDD"/>
    <w:rsid w:val="00B853EC"/>
    <w:rsid w:val="00B85600"/>
    <w:rsid w:val="00B85667"/>
    <w:rsid w:val="00B85D99"/>
    <w:rsid w:val="00B86564"/>
    <w:rsid w:val="00B86887"/>
    <w:rsid w:val="00B86EDD"/>
    <w:rsid w:val="00B870FD"/>
    <w:rsid w:val="00B874BC"/>
    <w:rsid w:val="00B87E1A"/>
    <w:rsid w:val="00B90102"/>
    <w:rsid w:val="00B90194"/>
    <w:rsid w:val="00B907A4"/>
    <w:rsid w:val="00B9139F"/>
    <w:rsid w:val="00B913DB"/>
    <w:rsid w:val="00B91800"/>
    <w:rsid w:val="00B91904"/>
    <w:rsid w:val="00B91DE3"/>
    <w:rsid w:val="00B91ED3"/>
    <w:rsid w:val="00B91EE4"/>
    <w:rsid w:val="00B92479"/>
    <w:rsid w:val="00B92496"/>
    <w:rsid w:val="00B925BE"/>
    <w:rsid w:val="00B92659"/>
    <w:rsid w:val="00B92812"/>
    <w:rsid w:val="00B928EF"/>
    <w:rsid w:val="00B93D47"/>
    <w:rsid w:val="00B93DB4"/>
    <w:rsid w:val="00B93EC8"/>
    <w:rsid w:val="00B94200"/>
    <w:rsid w:val="00B94230"/>
    <w:rsid w:val="00B94C0D"/>
    <w:rsid w:val="00B9538A"/>
    <w:rsid w:val="00B954B1"/>
    <w:rsid w:val="00B955A0"/>
    <w:rsid w:val="00B9560B"/>
    <w:rsid w:val="00B9591B"/>
    <w:rsid w:val="00B95B3D"/>
    <w:rsid w:val="00B96952"/>
    <w:rsid w:val="00B96D1A"/>
    <w:rsid w:val="00B96F7E"/>
    <w:rsid w:val="00B96FF1"/>
    <w:rsid w:val="00B971BA"/>
    <w:rsid w:val="00B974E3"/>
    <w:rsid w:val="00B9755F"/>
    <w:rsid w:val="00B97930"/>
    <w:rsid w:val="00BA073E"/>
    <w:rsid w:val="00BA0B27"/>
    <w:rsid w:val="00BA0D78"/>
    <w:rsid w:val="00BA109A"/>
    <w:rsid w:val="00BA12F1"/>
    <w:rsid w:val="00BA12FB"/>
    <w:rsid w:val="00BA16E5"/>
    <w:rsid w:val="00BA17EA"/>
    <w:rsid w:val="00BA18C3"/>
    <w:rsid w:val="00BA195D"/>
    <w:rsid w:val="00BA1C1B"/>
    <w:rsid w:val="00BA1D15"/>
    <w:rsid w:val="00BA277F"/>
    <w:rsid w:val="00BA28EE"/>
    <w:rsid w:val="00BA2DF4"/>
    <w:rsid w:val="00BA3C7E"/>
    <w:rsid w:val="00BA3D57"/>
    <w:rsid w:val="00BA453B"/>
    <w:rsid w:val="00BA45F4"/>
    <w:rsid w:val="00BA4ABF"/>
    <w:rsid w:val="00BA579B"/>
    <w:rsid w:val="00BA5BE1"/>
    <w:rsid w:val="00BA5C0D"/>
    <w:rsid w:val="00BA619F"/>
    <w:rsid w:val="00BA63C1"/>
    <w:rsid w:val="00BA640D"/>
    <w:rsid w:val="00BA6431"/>
    <w:rsid w:val="00BA66CF"/>
    <w:rsid w:val="00BA6725"/>
    <w:rsid w:val="00BA69B3"/>
    <w:rsid w:val="00BA6A6C"/>
    <w:rsid w:val="00BA6AB5"/>
    <w:rsid w:val="00BA6B11"/>
    <w:rsid w:val="00BA6D79"/>
    <w:rsid w:val="00BA6FEC"/>
    <w:rsid w:val="00BA73F4"/>
    <w:rsid w:val="00BA79A4"/>
    <w:rsid w:val="00BA7E8F"/>
    <w:rsid w:val="00BA7F76"/>
    <w:rsid w:val="00BB0057"/>
    <w:rsid w:val="00BB01F2"/>
    <w:rsid w:val="00BB0485"/>
    <w:rsid w:val="00BB06C4"/>
    <w:rsid w:val="00BB0DE7"/>
    <w:rsid w:val="00BB0E82"/>
    <w:rsid w:val="00BB0E85"/>
    <w:rsid w:val="00BB108C"/>
    <w:rsid w:val="00BB119C"/>
    <w:rsid w:val="00BB1765"/>
    <w:rsid w:val="00BB1E75"/>
    <w:rsid w:val="00BB1F75"/>
    <w:rsid w:val="00BB23A3"/>
    <w:rsid w:val="00BB2503"/>
    <w:rsid w:val="00BB27C6"/>
    <w:rsid w:val="00BB2859"/>
    <w:rsid w:val="00BB2C6B"/>
    <w:rsid w:val="00BB4218"/>
    <w:rsid w:val="00BB45A1"/>
    <w:rsid w:val="00BB4AE6"/>
    <w:rsid w:val="00BB4B32"/>
    <w:rsid w:val="00BB4C1C"/>
    <w:rsid w:val="00BB4DE3"/>
    <w:rsid w:val="00BB50AD"/>
    <w:rsid w:val="00BB53A4"/>
    <w:rsid w:val="00BB5509"/>
    <w:rsid w:val="00BB5836"/>
    <w:rsid w:val="00BB5B80"/>
    <w:rsid w:val="00BB61B4"/>
    <w:rsid w:val="00BB6335"/>
    <w:rsid w:val="00BB65AF"/>
    <w:rsid w:val="00BB6CAB"/>
    <w:rsid w:val="00BB7686"/>
    <w:rsid w:val="00BB76A2"/>
    <w:rsid w:val="00BB76A5"/>
    <w:rsid w:val="00BB7802"/>
    <w:rsid w:val="00BB7B77"/>
    <w:rsid w:val="00BB7BE3"/>
    <w:rsid w:val="00BB7E81"/>
    <w:rsid w:val="00BC00DD"/>
    <w:rsid w:val="00BC039C"/>
    <w:rsid w:val="00BC08FE"/>
    <w:rsid w:val="00BC0D08"/>
    <w:rsid w:val="00BC0EEA"/>
    <w:rsid w:val="00BC0F7F"/>
    <w:rsid w:val="00BC10A7"/>
    <w:rsid w:val="00BC11C7"/>
    <w:rsid w:val="00BC143C"/>
    <w:rsid w:val="00BC1570"/>
    <w:rsid w:val="00BC1640"/>
    <w:rsid w:val="00BC1C3F"/>
    <w:rsid w:val="00BC23F9"/>
    <w:rsid w:val="00BC245F"/>
    <w:rsid w:val="00BC2D47"/>
    <w:rsid w:val="00BC2F94"/>
    <w:rsid w:val="00BC3127"/>
    <w:rsid w:val="00BC33A2"/>
    <w:rsid w:val="00BC3421"/>
    <w:rsid w:val="00BC375F"/>
    <w:rsid w:val="00BC3A4A"/>
    <w:rsid w:val="00BC46D0"/>
    <w:rsid w:val="00BC4932"/>
    <w:rsid w:val="00BC4C1F"/>
    <w:rsid w:val="00BC51D1"/>
    <w:rsid w:val="00BC5760"/>
    <w:rsid w:val="00BC58D1"/>
    <w:rsid w:val="00BC6BB3"/>
    <w:rsid w:val="00BC732C"/>
    <w:rsid w:val="00BC7838"/>
    <w:rsid w:val="00BC7BDC"/>
    <w:rsid w:val="00BC7C3E"/>
    <w:rsid w:val="00BC7C51"/>
    <w:rsid w:val="00BC7CC6"/>
    <w:rsid w:val="00BD005D"/>
    <w:rsid w:val="00BD040F"/>
    <w:rsid w:val="00BD09F8"/>
    <w:rsid w:val="00BD0E8E"/>
    <w:rsid w:val="00BD1453"/>
    <w:rsid w:val="00BD1733"/>
    <w:rsid w:val="00BD1C24"/>
    <w:rsid w:val="00BD1F72"/>
    <w:rsid w:val="00BD23EE"/>
    <w:rsid w:val="00BD2637"/>
    <w:rsid w:val="00BD29AF"/>
    <w:rsid w:val="00BD2A35"/>
    <w:rsid w:val="00BD2F12"/>
    <w:rsid w:val="00BD36A5"/>
    <w:rsid w:val="00BD37BA"/>
    <w:rsid w:val="00BD43AD"/>
    <w:rsid w:val="00BD4421"/>
    <w:rsid w:val="00BD47B4"/>
    <w:rsid w:val="00BD4ADD"/>
    <w:rsid w:val="00BD4C17"/>
    <w:rsid w:val="00BD5265"/>
    <w:rsid w:val="00BD5268"/>
    <w:rsid w:val="00BD53C7"/>
    <w:rsid w:val="00BD5C47"/>
    <w:rsid w:val="00BD5EF8"/>
    <w:rsid w:val="00BD64C1"/>
    <w:rsid w:val="00BD665D"/>
    <w:rsid w:val="00BD6DA8"/>
    <w:rsid w:val="00BD6EEB"/>
    <w:rsid w:val="00BD71A4"/>
    <w:rsid w:val="00BD7457"/>
    <w:rsid w:val="00BD7913"/>
    <w:rsid w:val="00BD7E34"/>
    <w:rsid w:val="00BD7E58"/>
    <w:rsid w:val="00BE01B4"/>
    <w:rsid w:val="00BE097D"/>
    <w:rsid w:val="00BE0ABB"/>
    <w:rsid w:val="00BE14E2"/>
    <w:rsid w:val="00BE150E"/>
    <w:rsid w:val="00BE188D"/>
    <w:rsid w:val="00BE1B73"/>
    <w:rsid w:val="00BE1DAA"/>
    <w:rsid w:val="00BE24A6"/>
    <w:rsid w:val="00BE2580"/>
    <w:rsid w:val="00BE25F0"/>
    <w:rsid w:val="00BE266D"/>
    <w:rsid w:val="00BE3292"/>
    <w:rsid w:val="00BE33EC"/>
    <w:rsid w:val="00BE383F"/>
    <w:rsid w:val="00BE38AB"/>
    <w:rsid w:val="00BE3916"/>
    <w:rsid w:val="00BE3938"/>
    <w:rsid w:val="00BE3A8D"/>
    <w:rsid w:val="00BE4100"/>
    <w:rsid w:val="00BE41F7"/>
    <w:rsid w:val="00BE45BC"/>
    <w:rsid w:val="00BE46B3"/>
    <w:rsid w:val="00BE46FA"/>
    <w:rsid w:val="00BE4AA2"/>
    <w:rsid w:val="00BE4C11"/>
    <w:rsid w:val="00BE4D26"/>
    <w:rsid w:val="00BE501A"/>
    <w:rsid w:val="00BE5131"/>
    <w:rsid w:val="00BE5944"/>
    <w:rsid w:val="00BE599F"/>
    <w:rsid w:val="00BE621D"/>
    <w:rsid w:val="00BE6368"/>
    <w:rsid w:val="00BE64F8"/>
    <w:rsid w:val="00BE67C7"/>
    <w:rsid w:val="00BE6ECD"/>
    <w:rsid w:val="00BE7122"/>
    <w:rsid w:val="00BE71C0"/>
    <w:rsid w:val="00BE7244"/>
    <w:rsid w:val="00BE7E3F"/>
    <w:rsid w:val="00BF019F"/>
    <w:rsid w:val="00BF0226"/>
    <w:rsid w:val="00BF06AB"/>
    <w:rsid w:val="00BF149F"/>
    <w:rsid w:val="00BF1516"/>
    <w:rsid w:val="00BF174E"/>
    <w:rsid w:val="00BF178E"/>
    <w:rsid w:val="00BF18CD"/>
    <w:rsid w:val="00BF19C4"/>
    <w:rsid w:val="00BF20EA"/>
    <w:rsid w:val="00BF2265"/>
    <w:rsid w:val="00BF2709"/>
    <w:rsid w:val="00BF289F"/>
    <w:rsid w:val="00BF2912"/>
    <w:rsid w:val="00BF2939"/>
    <w:rsid w:val="00BF341C"/>
    <w:rsid w:val="00BF3A63"/>
    <w:rsid w:val="00BF3AED"/>
    <w:rsid w:val="00BF3BF0"/>
    <w:rsid w:val="00BF3C39"/>
    <w:rsid w:val="00BF3EBC"/>
    <w:rsid w:val="00BF40C1"/>
    <w:rsid w:val="00BF44B4"/>
    <w:rsid w:val="00BF4983"/>
    <w:rsid w:val="00BF4C95"/>
    <w:rsid w:val="00BF5514"/>
    <w:rsid w:val="00BF552C"/>
    <w:rsid w:val="00BF554B"/>
    <w:rsid w:val="00BF55B5"/>
    <w:rsid w:val="00BF5ECE"/>
    <w:rsid w:val="00BF610A"/>
    <w:rsid w:val="00BF610C"/>
    <w:rsid w:val="00BF6BFF"/>
    <w:rsid w:val="00BF7198"/>
    <w:rsid w:val="00BF7BC4"/>
    <w:rsid w:val="00BF7E90"/>
    <w:rsid w:val="00C0011A"/>
    <w:rsid w:val="00C00332"/>
    <w:rsid w:val="00C0060B"/>
    <w:rsid w:val="00C01A6C"/>
    <w:rsid w:val="00C023B5"/>
    <w:rsid w:val="00C02617"/>
    <w:rsid w:val="00C0269B"/>
    <w:rsid w:val="00C0277D"/>
    <w:rsid w:val="00C02848"/>
    <w:rsid w:val="00C028D4"/>
    <w:rsid w:val="00C028DD"/>
    <w:rsid w:val="00C02915"/>
    <w:rsid w:val="00C02F26"/>
    <w:rsid w:val="00C031B2"/>
    <w:rsid w:val="00C03F29"/>
    <w:rsid w:val="00C040F0"/>
    <w:rsid w:val="00C042C3"/>
    <w:rsid w:val="00C0471E"/>
    <w:rsid w:val="00C04ED6"/>
    <w:rsid w:val="00C05218"/>
    <w:rsid w:val="00C052D7"/>
    <w:rsid w:val="00C053A1"/>
    <w:rsid w:val="00C05531"/>
    <w:rsid w:val="00C06817"/>
    <w:rsid w:val="00C06ABB"/>
    <w:rsid w:val="00C06C77"/>
    <w:rsid w:val="00C075A0"/>
    <w:rsid w:val="00C07721"/>
    <w:rsid w:val="00C0786B"/>
    <w:rsid w:val="00C07AFD"/>
    <w:rsid w:val="00C10A97"/>
    <w:rsid w:val="00C11211"/>
    <w:rsid w:val="00C114F8"/>
    <w:rsid w:val="00C1180A"/>
    <w:rsid w:val="00C11850"/>
    <w:rsid w:val="00C11BF7"/>
    <w:rsid w:val="00C11EBF"/>
    <w:rsid w:val="00C128F7"/>
    <w:rsid w:val="00C12B75"/>
    <w:rsid w:val="00C139C7"/>
    <w:rsid w:val="00C13F06"/>
    <w:rsid w:val="00C13F38"/>
    <w:rsid w:val="00C14399"/>
    <w:rsid w:val="00C14A56"/>
    <w:rsid w:val="00C14D0D"/>
    <w:rsid w:val="00C15546"/>
    <w:rsid w:val="00C16198"/>
    <w:rsid w:val="00C16599"/>
    <w:rsid w:val="00C16C2F"/>
    <w:rsid w:val="00C16CDA"/>
    <w:rsid w:val="00C16DFD"/>
    <w:rsid w:val="00C1727F"/>
    <w:rsid w:val="00C17455"/>
    <w:rsid w:val="00C174C4"/>
    <w:rsid w:val="00C200B0"/>
    <w:rsid w:val="00C20409"/>
    <w:rsid w:val="00C2083D"/>
    <w:rsid w:val="00C208C8"/>
    <w:rsid w:val="00C20D00"/>
    <w:rsid w:val="00C213D4"/>
    <w:rsid w:val="00C214CC"/>
    <w:rsid w:val="00C219E4"/>
    <w:rsid w:val="00C219F8"/>
    <w:rsid w:val="00C21CF6"/>
    <w:rsid w:val="00C2208A"/>
    <w:rsid w:val="00C22272"/>
    <w:rsid w:val="00C224D2"/>
    <w:rsid w:val="00C227A0"/>
    <w:rsid w:val="00C22B91"/>
    <w:rsid w:val="00C23296"/>
    <w:rsid w:val="00C240B1"/>
    <w:rsid w:val="00C241D4"/>
    <w:rsid w:val="00C24420"/>
    <w:rsid w:val="00C246CE"/>
    <w:rsid w:val="00C2497B"/>
    <w:rsid w:val="00C24A53"/>
    <w:rsid w:val="00C24D68"/>
    <w:rsid w:val="00C24D6F"/>
    <w:rsid w:val="00C24DF1"/>
    <w:rsid w:val="00C257EB"/>
    <w:rsid w:val="00C25CED"/>
    <w:rsid w:val="00C266FF"/>
    <w:rsid w:val="00C26E6E"/>
    <w:rsid w:val="00C2728F"/>
    <w:rsid w:val="00C2739D"/>
    <w:rsid w:val="00C278FF"/>
    <w:rsid w:val="00C27C5D"/>
    <w:rsid w:val="00C27D42"/>
    <w:rsid w:val="00C301EA"/>
    <w:rsid w:val="00C30356"/>
    <w:rsid w:val="00C30653"/>
    <w:rsid w:val="00C3099F"/>
    <w:rsid w:val="00C3139F"/>
    <w:rsid w:val="00C3163D"/>
    <w:rsid w:val="00C31DD8"/>
    <w:rsid w:val="00C32022"/>
    <w:rsid w:val="00C32103"/>
    <w:rsid w:val="00C32D26"/>
    <w:rsid w:val="00C3378D"/>
    <w:rsid w:val="00C33C71"/>
    <w:rsid w:val="00C34549"/>
    <w:rsid w:val="00C34692"/>
    <w:rsid w:val="00C346B6"/>
    <w:rsid w:val="00C34897"/>
    <w:rsid w:val="00C34A05"/>
    <w:rsid w:val="00C34E2B"/>
    <w:rsid w:val="00C3506D"/>
    <w:rsid w:val="00C35157"/>
    <w:rsid w:val="00C3540D"/>
    <w:rsid w:val="00C35BFF"/>
    <w:rsid w:val="00C35CCE"/>
    <w:rsid w:val="00C369D6"/>
    <w:rsid w:val="00C36C02"/>
    <w:rsid w:val="00C37F89"/>
    <w:rsid w:val="00C4032F"/>
    <w:rsid w:val="00C40DCC"/>
    <w:rsid w:val="00C412FD"/>
    <w:rsid w:val="00C41395"/>
    <w:rsid w:val="00C41583"/>
    <w:rsid w:val="00C4169C"/>
    <w:rsid w:val="00C41B4A"/>
    <w:rsid w:val="00C41F21"/>
    <w:rsid w:val="00C421D4"/>
    <w:rsid w:val="00C426C5"/>
    <w:rsid w:val="00C426D8"/>
    <w:rsid w:val="00C42C43"/>
    <w:rsid w:val="00C42CE4"/>
    <w:rsid w:val="00C434F9"/>
    <w:rsid w:val="00C4357A"/>
    <w:rsid w:val="00C4379C"/>
    <w:rsid w:val="00C43849"/>
    <w:rsid w:val="00C44047"/>
    <w:rsid w:val="00C4469C"/>
    <w:rsid w:val="00C447EE"/>
    <w:rsid w:val="00C4489D"/>
    <w:rsid w:val="00C449B0"/>
    <w:rsid w:val="00C449B9"/>
    <w:rsid w:val="00C44A74"/>
    <w:rsid w:val="00C44FC8"/>
    <w:rsid w:val="00C45155"/>
    <w:rsid w:val="00C45632"/>
    <w:rsid w:val="00C456CB"/>
    <w:rsid w:val="00C4601A"/>
    <w:rsid w:val="00C462ED"/>
    <w:rsid w:val="00C47550"/>
    <w:rsid w:val="00C47BD9"/>
    <w:rsid w:val="00C47F2A"/>
    <w:rsid w:val="00C504D8"/>
    <w:rsid w:val="00C5055C"/>
    <w:rsid w:val="00C505EF"/>
    <w:rsid w:val="00C505FD"/>
    <w:rsid w:val="00C50996"/>
    <w:rsid w:val="00C5131F"/>
    <w:rsid w:val="00C517DC"/>
    <w:rsid w:val="00C51969"/>
    <w:rsid w:val="00C51E73"/>
    <w:rsid w:val="00C52C8A"/>
    <w:rsid w:val="00C52E14"/>
    <w:rsid w:val="00C53133"/>
    <w:rsid w:val="00C532C8"/>
    <w:rsid w:val="00C53961"/>
    <w:rsid w:val="00C53965"/>
    <w:rsid w:val="00C539DF"/>
    <w:rsid w:val="00C53B0A"/>
    <w:rsid w:val="00C53B8D"/>
    <w:rsid w:val="00C541EB"/>
    <w:rsid w:val="00C54351"/>
    <w:rsid w:val="00C548A8"/>
    <w:rsid w:val="00C5498F"/>
    <w:rsid w:val="00C54F53"/>
    <w:rsid w:val="00C55002"/>
    <w:rsid w:val="00C55235"/>
    <w:rsid w:val="00C55546"/>
    <w:rsid w:val="00C55A59"/>
    <w:rsid w:val="00C55E0A"/>
    <w:rsid w:val="00C561F8"/>
    <w:rsid w:val="00C568F8"/>
    <w:rsid w:val="00C56969"/>
    <w:rsid w:val="00C569DD"/>
    <w:rsid w:val="00C5714C"/>
    <w:rsid w:val="00C5748F"/>
    <w:rsid w:val="00C57782"/>
    <w:rsid w:val="00C578AB"/>
    <w:rsid w:val="00C57C2C"/>
    <w:rsid w:val="00C57EDE"/>
    <w:rsid w:val="00C57EF5"/>
    <w:rsid w:val="00C603A7"/>
    <w:rsid w:val="00C60548"/>
    <w:rsid w:val="00C606FE"/>
    <w:rsid w:val="00C6077F"/>
    <w:rsid w:val="00C607CC"/>
    <w:rsid w:val="00C6156B"/>
    <w:rsid w:val="00C616BF"/>
    <w:rsid w:val="00C6189D"/>
    <w:rsid w:val="00C627E1"/>
    <w:rsid w:val="00C62932"/>
    <w:rsid w:val="00C62BF7"/>
    <w:rsid w:val="00C64228"/>
    <w:rsid w:val="00C64CD0"/>
    <w:rsid w:val="00C65F61"/>
    <w:rsid w:val="00C6684F"/>
    <w:rsid w:val="00C66C71"/>
    <w:rsid w:val="00C677D1"/>
    <w:rsid w:val="00C70545"/>
    <w:rsid w:val="00C707C3"/>
    <w:rsid w:val="00C70CA2"/>
    <w:rsid w:val="00C70E70"/>
    <w:rsid w:val="00C71015"/>
    <w:rsid w:val="00C7139F"/>
    <w:rsid w:val="00C71B61"/>
    <w:rsid w:val="00C71C18"/>
    <w:rsid w:val="00C71CF3"/>
    <w:rsid w:val="00C72FE3"/>
    <w:rsid w:val="00C73038"/>
    <w:rsid w:val="00C730F3"/>
    <w:rsid w:val="00C73364"/>
    <w:rsid w:val="00C737F7"/>
    <w:rsid w:val="00C738F9"/>
    <w:rsid w:val="00C73CC4"/>
    <w:rsid w:val="00C73D1D"/>
    <w:rsid w:val="00C74145"/>
    <w:rsid w:val="00C74B17"/>
    <w:rsid w:val="00C74B89"/>
    <w:rsid w:val="00C7516D"/>
    <w:rsid w:val="00C751AF"/>
    <w:rsid w:val="00C752AD"/>
    <w:rsid w:val="00C752C7"/>
    <w:rsid w:val="00C75737"/>
    <w:rsid w:val="00C75DF5"/>
    <w:rsid w:val="00C75E87"/>
    <w:rsid w:val="00C75F8D"/>
    <w:rsid w:val="00C76477"/>
    <w:rsid w:val="00C768DA"/>
    <w:rsid w:val="00C769D0"/>
    <w:rsid w:val="00C77380"/>
    <w:rsid w:val="00C779C8"/>
    <w:rsid w:val="00C77B56"/>
    <w:rsid w:val="00C77D01"/>
    <w:rsid w:val="00C80035"/>
    <w:rsid w:val="00C803ED"/>
    <w:rsid w:val="00C80480"/>
    <w:rsid w:val="00C80ACD"/>
    <w:rsid w:val="00C813C9"/>
    <w:rsid w:val="00C81660"/>
    <w:rsid w:val="00C81F0C"/>
    <w:rsid w:val="00C82242"/>
    <w:rsid w:val="00C825A2"/>
    <w:rsid w:val="00C8263A"/>
    <w:rsid w:val="00C82BD7"/>
    <w:rsid w:val="00C82DEF"/>
    <w:rsid w:val="00C83E3A"/>
    <w:rsid w:val="00C84114"/>
    <w:rsid w:val="00C84606"/>
    <w:rsid w:val="00C84939"/>
    <w:rsid w:val="00C84B20"/>
    <w:rsid w:val="00C8587E"/>
    <w:rsid w:val="00C85C88"/>
    <w:rsid w:val="00C860CC"/>
    <w:rsid w:val="00C861F1"/>
    <w:rsid w:val="00C86641"/>
    <w:rsid w:val="00C86944"/>
    <w:rsid w:val="00C86B10"/>
    <w:rsid w:val="00C870EE"/>
    <w:rsid w:val="00C87DE1"/>
    <w:rsid w:val="00C87E8A"/>
    <w:rsid w:val="00C906E7"/>
    <w:rsid w:val="00C90933"/>
    <w:rsid w:val="00C90CDB"/>
    <w:rsid w:val="00C90D9D"/>
    <w:rsid w:val="00C913C0"/>
    <w:rsid w:val="00C913D6"/>
    <w:rsid w:val="00C91653"/>
    <w:rsid w:val="00C91D03"/>
    <w:rsid w:val="00C92674"/>
    <w:rsid w:val="00C92826"/>
    <w:rsid w:val="00C92B18"/>
    <w:rsid w:val="00C92B8A"/>
    <w:rsid w:val="00C92D14"/>
    <w:rsid w:val="00C93060"/>
    <w:rsid w:val="00C93294"/>
    <w:rsid w:val="00C9373D"/>
    <w:rsid w:val="00C937AB"/>
    <w:rsid w:val="00C93C8B"/>
    <w:rsid w:val="00C93CC0"/>
    <w:rsid w:val="00C93EC3"/>
    <w:rsid w:val="00C9466E"/>
    <w:rsid w:val="00C9470D"/>
    <w:rsid w:val="00C95BD7"/>
    <w:rsid w:val="00C95C1D"/>
    <w:rsid w:val="00C962FA"/>
    <w:rsid w:val="00C96408"/>
    <w:rsid w:val="00C964A1"/>
    <w:rsid w:val="00C967E1"/>
    <w:rsid w:val="00C967E7"/>
    <w:rsid w:val="00C969CE"/>
    <w:rsid w:val="00C97736"/>
    <w:rsid w:val="00C97756"/>
    <w:rsid w:val="00C9775C"/>
    <w:rsid w:val="00C9782A"/>
    <w:rsid w:val="00C97A2A"/>
    <w:rsid w:val="00C97CDF"/>
    <w:rsid w:val="00C97DD2"/>
    <w:rsid w:val="00C97DDF"/>
    <w:rsid w:val="00CA0234"/>
    <w:rsid w:val="00CA04C3"/>
    <w:rsid w:val="00CA07C2"/>
    <w:rsid w:val="00CA0A86"/>
    <w:rsid w:val="00CA0E86"/>
    <w:rsid w:val="00CA0F45"/>
    <w:rsid w:val="00CA10BE"/>
    <w:rsid w:val="00CA1208"/>
    <w:rsid w:val="00CA1393"/>
    <w:rsid w:val="00CA141A"/>
    <w:rsid w:val="00CA1441"/>
    <w:rsid w:val="00CA14BD"/>
    <w:rsid w:val="00CA1943"/>
    <w:rsid w:val="00CA1CB1"/>
    <w:rsid w:val="00CA2001"/>
    <w:rsid w:val="00CA223F"/>
    <w:rsid w:val="00CA2288"/>
    <w:rsid w:val="00CA345A"/>
    <w:rsid w:val="00CA3A21"/>
    <w:rsid w:val="00CA48E8"/>
    <w:rsid w:val="00CA4C10"/>
    <w:rsid w:val="00CA50E6"/>
    <w:rsid w:val="00CA5226"/>
    <w:rsid w:val="00CA543B"/>
    <w:rsid w:val="00CA54DC"/>
    <w:rsid w:val="00CA55BD"/>
    <w:rsid w:val="00CA5783"/>
    <w:rsid w:val="00CA5AAA"/>
    <w:rsid w:val="00CA5E26"/>
    <w:rsid w:val="00CA5F19"/>
    <w:rsid w:val="00CA6D7E"/>
    <w:rsid w:val="00CA6F43"/>
    <w:rsid w:val="00CA6FBA"/>
    <w:rsid w:val="00CA746A"/>
    <w:rsid w:val="00CA7CBD"/>
    <w:rsid w:val="00CB06EA"/>
    <w:rsid w:val="00CB079D"/>
    <w:rsid w:val="00CB08D4"/>
    <w:rsid w:val="00CB1073"/>
    <w:rsid w:val="00CB160D"/>
    <w:rsid w:val="00CB17B3"/>
    <w:rsid w:val="00CB17EC"/>
    <w:rsid w:val="00CB18BD"/>
    <w:rsid w:val="00CB1E82"/>
    <w:rsid w:val="00CB1F92"/>
    <w:rsid w:val="00CB217C"/>
    <w:rsid w:val="00CB2306"/>
    <w:rsid w:val="00CB29ED"/>
    <w:rsid w:val="00CB2A3A"/>
    <w:rsid w:val="00CB2A4A"/>
    <w:rsid w:val="00CB2B7A"/>
    <w:rsid w:val="00CB2BD8"/>
    <w:rsid w:val="00CB2DA1"/>
    <w:rsid w:val="00CB2F36"/>
    <w:rsid w:val="00CB326F"/>
    <w:rsid w:val="00CB33F3"/>
    <w:rsid w:val="00CB3A5F"/>
    <w:rsid w:val="00CB3BF3"/>
    <w:rsid w:val="00CB43CE"/>
    <w:rsid w:val="00CB48EE"/>
    <w:rsid w:val="00CB4BA8"/>
    <w:rsid w:val="00CB4CF3"/>
    <w:rsid w:val="00CB4F9F"/>
    <w:rsid w:val="00CB52D7"/>
    <w:rsid w:val="00CB5495"/>
    <w:rsid w:val="00CB5590"/>
    <w:rsid w:val="00CB5C4C"/>
    <w:rsid w:val="00CB5E40"/>
    <w:rsid w:val="00CB5FE2"/>
    <w:rsid w:val="00CB689A"/>
    <w:rsid w:val="00CB71E4"/>
    <w:rsid w:val="00CB7359"/>
    <w:rsid w:val="00CB7598"/>
    <w:rsid w:val="00CB76CE"/>
    <w:rsid w:val="00CB7837"/>
    <w:rsid w:val="00CB7A32"/>
    <w:rsid w:val="00CB7CBF"/>
    <w:rsid w:val="00CC00E1"/>
    <w:rsid w:val="00CC0116"/>
    <w:rsid w:val="00CC0132"/>
    <w:rsid w:val="00CC0F54"/>
    <w:rsid w:val="00CC1489"/>
    <w:rsid w:val="00CC1CC2"/>
    <w:rsid w:val="00CC1D5B"/>
    <w:rsid w:val="00CC1FD6"/>
    <w:rsid w:val="00CC205F"/>
    <w:rsid w:val="00CC33D1"/>
    <w:rsid w:val="00CC3501"/>
    <w:rsid w:val="00CC4D90"/>
    <w:rsid w:val="00CC5636"/>
    <w:rsid w:val="00CC56E9"/>
    <w:rsid w:val="00CC5B40"/>
    <w:rsid w:val="00CC5D2F"/>
    <w:rsid w:val="00CC6692"/>
    <w:rsid w:val="00CC6732"/>
    <w:rsid w:val="00CC73DD"/>
    <w:rsid w:val="00CC7444"/>
    <w:rsid w:val="00CC7D72"/>
    <w:rsid w:val="00CC7D78"/>
    <w:rsid w:val="00CC7F09"/>
    <w:rsid w:val="00CD02D3"/>
    <w:rsid w:val="00CD1B5C"/>
    <w:rsid w:val="00CD2274"/>
    <w:rsid w:val="00CD29BB"/>
    <w:rsid w:val="00CD29E3"/>
    <w:rsid w:val="00CD2AF7"/>
    <w:rsid w:val="00CD3112"/>
    <w:rsid w:val="00CD3674"/>
    <w:rsid w:val="00CD3918"/>
    <w:rsid w:val="00CD3C19"/>
    <w:rsid w:val="00CD3FAE"/>
    <w:rsid w:val="00CD4536"/>
    <w:rsid w:val="00CD4A6D"/>
    <w:rsid w:val="00CD4C66"/>
    <w:rsid w:val="00CD4CDD"/>
    <w:rsid w:val="00CD4D1E"/>
    <w:rsid w:val="00CD557C"/>
    <w:rsid w:val="00CD5A56"/>
    <w:rsid w:val="00CD5C2D"/>
    <w:rsid w:val="00CD6218"/>
    <w:rsid w:val="00CD65B1"/>
    <w:rsid w:val="00CD6710"/>
    <w:rsid w:val="00CD6ACF"/>
    <w:rsid w:val="00CD6B6E"/>
    <w:rsid w:val="00CD6BD2"/>
    <w:rsid w:val="00CD6EF8"/>
    <w:rsid w:val="00CD76CE"/>
    <w:rsid w:val="00CD7F7D"/>
    <w:rsid w:val="00CE04AF"/>
    <w:rsid w:val="00CE06B0"/>
    <w:rsid w:val="00CE0994"/>
    <w:rsid w:val="00CE0A0D"/>
    <w:rsid w:val="00CE0F08"/>
    <w:rsid w:val="00CE1CDB"/>
    <w:rsid w:val="00CE1DFE"/>
    <w:rsid w:val="00CE3C96"/>
    <w:rsid w:val="00CE3D0D"/>
    <w:rsid w:val="00CE4AB0"/>
    <w:rsid w:val="00CE51A8"/>
    <w:rsid w:val="00CE579A"/>
    <w:rsid w:val="00CE6696"/>
    <w:rsid w:val="00CE6823"/>
    <w:rsid w:val="00CE6BF0"/>
    <w:rsid w:val="00CE7CE7"/>
    <w:rsid w:val="00CE7FBA"/>
    <w:rsid w:val="00CF0020"/>
    <w:rsid w:val="00CF031A"/>
    <w:rsid w:val="00CF0BFE"/>
    <w:rsid w:val="00CF0D47"/>
    <w:rsid w:val="00CF1F68"/>
    <w:rsid w:val="00CF1F6F"/>
    <w:rsid w:val="00CF2C3A"/>
    <w:rsid w:val="00CF32D0"/>
    <w:rsid w:val="00CF3306"/>
    <w:rsid w:val="00CF369B"/>
    <w:rsid w:val="00CF3844"/>
    <w:rsid w:val="00CF3B7E"/>
    <w:rsid w:val="00CF3FE1"/>
    <w:rsid w:val="00CF4012"/>
    <w:rsid w:val="00CF46BC"/>
    <w:rsid w:val="00CF654E"/>
    <w:rsid w:val="00CF65BE"/>
    <w:rsid w:val="00CF66A5"/>
    <w:rsid w:val="00CF6B68"/>
    <w:rsid w:val="00CF7F40"/>
    <w:rsid w:val="00D001FA"/>
    <w:rsid w:val="00D00C98"/>
    <w:rsid w:val="00D00E28"/>
    <w:rsid w:val="00D011D5"/>
    <w:rsid w:val="00D014B9"/>
    <w:rsid w:val="00D01AB8"/>
    <w:rsid w:val="00D01B7C"/>
    <w:rsid w:val="00D01ECE"/>
    <w:rsid w:val="00D01F7D"/>
    <w:rsid w:val="00D02445"/>
    <w:rsid w:val="00D0269E"/>
    <w:rsid w:val="00D027E1"/>
    <w:rsid w:val="00D02CED"/>
    <w:rsid w:val="00D02D7C"/>
    <w:rsid w:val="00D02DF2"/>
    <w:rsid w:val="00D0318F"/>
    <w:rsid w:val="00D031ED"/>
    <w:rsid w:val="00D037AE"/>
    <w:rsid w:val="00D03C29"/>
    <w:rsid w:val="00D03FAE"/>
    <w:rsid w:val="00D05AF4"/>
    <w:rsid w:val="00D05B35"/>
    <w:rsid w:val="00D05D6C"/>
    <w:rsid w:val="00D060A9"/>
    <w:rsid w:val="00D068E5"/>
    <w:rsid w:val="00D06ABE"/>
    <w:rsid w:val="00D07287"/>
    <w:rsid w:val="00D07454"/>
    <w:rsid w:val="00D0772E"/>
    <w:rsid w:val="00D10605"/>
    <w:rsid w:val="00D10789"/>
    <w:rsid w:val="00D1092F"/>
    <w:rsid w:val="00D109C2"/>
    <w:rsid w:val="00D10C33"/>
    <w:rsid w:val="00D11738"/>
    <w:rsid w:val="00D118C1"/>
    <w:rsid w:val="00D1285A"/>
    <w:rsid w:val="00D12A06"/>
    <w:rsid w:val="00D12F76"/>
    <w:rsid w:val="00D13628"/>
    <w:rsid w:val="00D136C3"/>
    <w:rsid w:val="00D137C9"/>
    <w:rsid w:val="00D14265"/>
    <w:rsid w:val="00D144A2"/>
    <w:rsid w:val="00D14754"/>
    <w:rsid w:val="00D14788"/>
    <w:rsid w:val="00D14970"/>
    <w:rsid w:val="00D14A91"/>
    <w:rsid w:val="00D14BFA"/>
    <w:rsid w:val="00D14D46"/>
    <w:rsid w:val="00D14FAB"/>
    <w:rsid w:val="00D15810"/>
    <w:rsid w:val="00D15C39"/>
    <w:rsid w:val="00D16307"/>
    <w:rsid w:val="00D167C5"/>
    <w:rsid w:val="00D167F5"/>
    <w:rsid w:val="00D168EF"/>
    <w:rsid w:val="00D16995"/>
    <w:rsid w:val="00D16D4E"/>
    <w:rsid w:val="00D16FE3"/>
    <w:rsid w:val="00D171EC"/>
    <w:rsid w:val="00D17426"/>
    <w:rsid w:val="00D1760D"/>
    <w:rsid w:val="00D17724"/>
    <w:rsid w:val="00D1778F"/>
    <w:rsid w:val="00D1785A"/>
    <w:rsid w:val="00D2017A"/>
    <w:rsid w:val="00D21297"/>
    <w:rsid w:val="00D2148B"/>
    <w:rsid w:val="00D216E0"/>
    <w:rsid w:val="00D21955"/>
    <w:rsid w:val="00D222C5"/>
    <w:rsid w:val="00D22300"/>
    <w:rsid w:val="00D224E1"/>
    <w:rsid w:val="00D225FB"/>
    <w:rsid w:val="00D22B6A"/>
    <w:rsid w:val="00D22FCB"/>
    <w:rsid w:val="00D23886"/>
    <w:rsid w:val="00D23A16"/>
    <w:rsid w:val="00D23E4F"/>
    <w:rsid w:val="00D24549"/>
    <w:rsid w:val="00D24555"/>
    <w:rsid w:val="00D25162"/>
    <w:rsid w:val="00D259C5"/>
    <w:rsid w:val="00D25AAC"/>
    <w:rsid w:val="00D261AA"/>
    <w:rsid w:val="00D2634B"/>
    <w:rsid w:val="00D26CE8"/>
    <w:rsid w:val="00D272CE"/>
    <w:rsid w:val="00D27359"/>
    <w:rsid w:val="00D27DAC"/>
    <w:rsid w:val="00D27F41"/>
    <w:rsid w:val="00D303A9"/>
    <w:rsid w:val="00D3044B"/>
    <w:rsid w:val="00D308F3"/>
    <w:rsid w:val="00D3141B"/>
    <w:rsid w:val="00D31F07"/>
    <w:rsid w:val="00D32470"/>
    <w:rsid w:val="00D326FA"/>
    <w:rsid w:val="00D32875"/>
    <w:rsid w:val="00D329C1"/>
    <w:rsid w:val="00D32D95"/>
    <w:rsid w:val="00D32DD7"/>
    <w:rsid w:val="00D3301C"/>
    <w:rsid w:val="00D33490"/>
    <w:rsid w:val="00D33652"/>
    <w:rsid w:val="00D33AD3"/>
    <w:rsid w:val="00D33C11"/>
    <w:rsid w:val="00D33C26"/>
    <w:rsid w:val="00D340D3"/>
    <w:rsid w:val="00D342A4"/>
    <w:rsid w:val="00D343D1"/>
    <w:rsid w:val="00D34448"/>
    <w:rsid w:val="00D349D3"/>
    <w:rsid w:val="00D35383"/>
    <w:rsid w:val="00D35782"/>
    <w:rsid w:val="00D35C30"/>
    <w:rsid w:val="00D362BD"/>
    <w:rsid w:val="00D36441"/>
    <w:rsid w:val="00D36617"/>
    <w:rsid w:val="00D36856"/>
    <w:rsid w:val="00D36922"/>
    <w:rsid w:val="00D36CC3"/>
    <w:rsid w:val="00D36CF6"/>
    <w:rsid w:val="00D36DF8"/>
    <w:rsid w:val="00D36E19"/>
    <w:rsid w:val="00D370A2"/>
    <w:rsid w:val="00D3744E"/>
    <w:rsid w:val="00D3774B"/>
    <w:rsid w:val="00D37C56"/>
    <w:rsid w:val="00D401F7"/>
    <w:rsid w:val="00D4064E"/>
    <w:rsid w:val="00D40B1C"/>
    <w:rsid w:val="00D41A7A"/>
    <w:rsid w:val="00D41D6D"/>
    <w:rsid w:val="00D42E44"/>
    <w:rsid w:val="00D43033"/>
    <w:rsid w:val="00D43266"/>
    <w:rsid w:val="00D437A0"/>
    <w:rsid w:val="00D43ACC"/>
    <w:rsid w:val="00D43B44"/>
    <w:rsid w:val="00D43D65"/>
    <w:rsid w:val="00D4448D"/>
    <w:rsid w:val="00D444A6"/>
    <w:rsid w:val="00D445AA"/>
    <w:rsid w:val="00D447CE"/>
    <w:rsid w:val="00D44B7B"/>
    <w:rsid w:val="00D44D36"/>
    <w:rsid w:val="00D44E94"/>
    <w:rsid w:val="00D44E9B"/>
    <w:rsid w:val="00D451FF"/>
    <w:rsid w:val="00D453AE"/>
    <w:rsid w:val="00D4546E"/>
    <w:rsid w:val="00D458B9"/>
    <w:rsid w:val="00D46461"/>
    <w:rsid w:val="00D467DC"/>
    <w:rsid w:val="00D46879"/>
    <w:rsid w:val="00D475CE"/>
    <w:rsid w:val="00D47A1D"/>
    <w:rsid w:val="00D47A3D"/>
    <w:rsid w:val="00D47A62"/>
    <w:rsid w:val="00D47AEB"/>
    <w:rsid w:val="00D47B52"/>
    <w:rsid w:val="00D50223"/>
    <w:rsid w:val="00D50ABA"/>
    <w:rsid w:val="00D50DB9"/>
    <w:rsid w:val="00D50F55"/>
    <w:rsid w:val="00D50F5B"/>
    <w:rsid w:val="00D51302"/>
    <w:rsid w:val="00D51A57"/>
    <w:rsid w:val="00D51ECD"/>
    <w:rsid w:val="00D520E9"/>
    <w:rsid w:val="00D52C43"/>
    <w:rsid w:val="00D52F44"/>
    <w:rsid w:val="00D530C4"/>
    <w:rsid w:val="00D54439"/>
    <w:rsid w:val="00D5444D"/>
    <w:rsid w:val="00D54728"/>
    <w:rsid w:val="00D54D5D"/>
    <w:rsid w:val="00D557C0"/>
    <w:rsid w:val="00D564D4"/>
    <w:rsid w:val="00D56811"/>
    <w:rsid w:val="00D5690C"/>
    <w:rsid w:val="00D56ABA"/>
    <w:rsid w:val="00D56AD2"/>
    <w:rsid w:val="00D56DD7"/>
    <w:rsid w:val="00D570FE"/>
    <w:rsid w:val="00D5772D"/>
    <w:rsid w:val="00D601CF"/>
    <w:rsid w:val="00D608A4"/>
    <w:rsid w:val="00D60CD4"/>
    <w:rsid w:val="00D61243"/>
    <w:rsid w:val="00D61D51"/>
    <w:rsid w:val="00D622E3"/>
    <w:rsid w:val="00D623C4"/>
    <w:rsid w:val="00D62734"/>
    <w:rsid w:val="00D631FB"/>
    <w:rsid w:val="00D633B3"/>
    <w:rsid w:val="00D6355B"/>
    <w:rsid w:val="00D63D57"/>
    <w:rsid w:val="00D6415B"/>
    <w:rsid w:val="00D64374"/>
    <w:rsid w:val="00D64919"/>
    <w:rsid w:val="00D64C40"/>
    <w:rsid w:val="00D64D60"/>
    <w:rsid w:val="00D64E95"/>
    <w:rsid w:val="00D64F05"/>
    <w:rsid w:val="00D6507F"/>
    <w:rsid w:val="00D651B0"/>
    <w:rsid w:val="00D65687"/>
    <w:rsid w:val="00D65AC1"/>
    <w:rsid w:val="00D65BAB"/>
    <w:rsid w:val="00D65C56"/>
    <w:rsid w:val="00D65D63"/>
    <w:rsid w:val="00D65E9A"/>
    <w:rsid w:val="00D66094"/>
    <w:rsid w:val="00D666CB"/>
    <w:rsid w:val="00D6677F"/>
    <w:rsid w:val="00D66924"/>
    <w:rsid w:val="00D67080"/>
    <w:rsid w:val="00D67714"/>
    <w:rsid w:val="00D7043C"/>
    <w:rsid w:val="00D706B3"/>
    <w:rsid w:val="00D70728"/>
    <w:rsid w:val="00D70ACA"/>
    <w:rsid w:val="00D70BBA"/>
    <w:rsid w:val="00D71234"/>
    <w:rsid w:val="00D71E9A"/>
    <w:rsid w:val="00D72065"/>
    <w:rsid w:val="00D72DC7"/>
    <w:rsid w:val="00D72FAF"/>
    <w:rsid w:val="00D730BC"/>
    <w:rsid w:val="00D736DF"/>
    <w:rsid w:val="00D73912"/>
    <w:rsid w:val="00D73F50"/>
    <w:rsid w:val="00D746B6"/>
    <w:rsid w:val="00D75E54"/>
    <w:rsid w:val="00D7602E"/>
    <w:rsid w:val="00D763D0"/>
    <w:rsid w:val="00D76957"/>
    <w:rsid w:val="00D76EE6"/>
    <w:rsid w:val="00D77006"/>
    <w:rsid w:val="00D77465"/>
    <w:rsid w:val="00D77A9F"/>
    <w:rsid w:val="00D802C3"/>
    <w:rsid w:val="00D8039C"/>
    <w:rsid w:val="00D80E19"/>
    <w:rsid w:val="00D80F72"/>
    <w:rsid w:val="00D81468"/>
    <w:rsid w:val="00D8154D"/>
    <w:rsid w:val="00D81570"/>
    <w:rsid w:val="00D81710"/>
    <w:rsid w:val="00D81711"/>
    <w:rsid w:val="00D81A89"/>
    <w:rsid w:val="00D81F71"/>
    <w:rsid w:val="00D81F81"/>
    <w:rsid w:val="00D82BD0"/>
    <w:rsid w:val="00D82D21"/>
    <w:rsid w:val="00D832C1"/>
    <w:rsid w:val="00D8375F"/>
    <w:rsid w:val="00D839A8"/>
    <w:rsid w:val="00D83A17"/>
    <w:rsid w:val="00D83E3F"/>
    <w:rsid w:val="00D841A1"/>
    <w:rsid w:val="00D84393"/>
    <w:rsid w:val="00D8461C"/>
    <w:rsid w:val="00D84903"/>
    <w:rsid w:val="00D84AD4"/>
    <w:rsid w:val="00D84B87"/>
    <w:rsid w:val="00D84EEC"/>
    <w:rsid w:val="00D8500C"/>
    <w:rsid w:val="00D85226"/>
    <w:rsid w:val="00D853B2"/>
    <w:rsid w:val="00D8597C"/>
    <w:rsid w:val="00D85DFA"/>
    <w:rsid w:val="00D85E95"/>
    <w:rsid w:val="00D860A7"/>
    <w:rsid w:val="00D860EF"/>
    <w:rsid w:val="00D86128"/>
    <w:rsid w:val="00D86451"/>
    <w:rsid w:val="00D865AA"/>
    <w:rsid w:val="00D871C3"/>
    <w:rsid w:val="00D87542"/>
    <w:rsid w:val="00D877ED"/>
    <w:rsid w:val="00D87B94"/>
    <w:rsid w:val="00D9010F"/>
    <w:rsid w:val="00D90312"/>
    <w:rsid w:val="00D906D1"/>
    <w:rsid w:val="00D906D3"/>
    <w:rsid w:val="00D90AD0"/>
    <w:rsid w:val="00D922A0"/>
    <w:rsid w:val="00D92361"/>
    <w:rsid w:val="00D92D49"/>
    <w:rsid w:val="00D92EC1"/>
    <w:rsid w:val="00D9300A"/>
    <w:rsid w:val="00D9306E"/>
    <w:rsid w:val="00D9315F"/>
    <w:rsid w:val="00D93192"/>
    <w:rsid w:val="00D9327B"/>
    <w:rsid w:val="00D93ACF"/>
    <w:rsid w:val="00D9400A"/>
    <w:rsid w:val="00D9444A"/>
    <w:rsid w:val="00D9450B"/>
    <w:rsid w:val="00D95145"/>
    <w:rsid w:val="00D95512"/>
    <w:rsid w:val="00D95F63"/>
    <w:rsid w:val="00D96043"/>
    <w:rsid w:val="00D96758"/>
    <w:rsid w:val="00D96DEA"/>
    <w:rsid w:val="00DA01F7"/>
    <w:rsid w:val="00DA0385"/>
    <w:rsid w:val="00DA0D41"/>
    <w:rsid w:val="00DA13CC"/>
    <w:rsid w:val="00DA153C"/>
    <w:rsid w:val="00DA1B69"/>
    <w:rsid w:val="00DA27C7"/>
    <w:rsid w:val="00DA294B"/>
    <w:rsid w:val="00DA2C93"/>
    <w:rsid w:val="00DA2CE9"/>
    <w:rsid w:val="00DA30C8"/>
    <w:rsid w:val="00DA3207"/>
    <w:rsid w:val="00DA3726"/>
    <w:rsid w:val="00DA3B8A"/>
    <w:rsid w:val="00DA3FF4"/>
    <w:rsid w:val="00DA403F"/>
    <w:rsid w:val="00DA4159"/>
    <w:rsid w:val="00DA4176"/>
    <w:rsid w:val="00DA4E41"/>
    <w:rsid w:val="00DA56FE"/>
    <w:rsid w:val="00DA5E92"/>
    <w:rsid w:val="00DA631D"/>
    <w:rsid w:val="00DA6E3D"/>
    <w:rsid w:val="00DA74EA"/>
    <w:rsid w:val="00DA7708"/>
    <w:rsid w:val="00DB02EF"/>
    <w:rsid w:val="00DB03D4"/>
    <w:rsid w:val="00DB0500"/>
    <w:rsid w:val="00DB098A"/>
    <w:rsid w:val="00DB0F08"/>
    <w:rsid w:val="00DB10F2"/>
    <w:rsid w:val="00DB117A"/>
    <w:rsid w:val="00DB13DC"/>
    <w:rsid w:val="00DB20A7"/>
    <w:rsid w:val="00DB28CB"/>
    <w:rsid w:val="00DB2A5A"/>
    <w:rsid w:val="00DB32E0"/>
    <w:rsid w:val="00DB36C4"/>
    <w:rsid w:val="00DB3E88"/>
    <w:rsid w:val="00DB450F"/>
    <w:rsid w:val="00DB45B8"/>
    <w:rsid w:val="00DB4EA0"/>
    <w:rsid w:val="00DB50D7"/>
    <w:rsid w:val="00DB516E"/>
    <w:rsid w:val="00DB5173"/>
    <w:rsid w:val="00DB5462"/>
    <w:rsid w:val="00DB593C"/>
    <w:rsid w:val="00DB5D16"/>
    <w:rsid w:val="00DB5EF1"/>
    <w:rsid w:val="00DB6121"/>
    <w:rsid w:val="00DB6371"/>
    <w:rsid w:val="00DB6443"/>
    <w:rsid w:val="00DB6568"/>
    <w:rsid w:val="00DB68BE"/>
    <w:rsid w:val="00DB6AF0"/>
    <w:rsid w:val="00DB6B4D"/>
    <w:rsid w:val="00DB6C68"/>
    <w:rsid w:val="00DB6D36"/>
    <w:rsid w:val="00DB7383"/>
    <w:rsid w:val="00DB7873"/>
    <w:rsid w:val="00DB7AFC"/>
    <w:rsid w:val="00DC043A"/>
    <w:rsid w:val="00DC067D"/>
    <w:rsid w:val="00DC0718"/>
    <w:rsid w:val="00DC07D7"/>
    <w:rsid w:val="00DC0BA4"/>
    <w:rsid w:val="00DC0FCB"/>
    <w:rsid w:val="00DC1805"/>
    <w:rsid w:val="00DC1839"/>
    <w:rsid w:val="00DC187B"/>
    <w:rsid w:val="00DC1BCC"/>
    <w:rsid w:val="00DC1DD1"/>
    <w:rsid w:val="00DC1E59"/>
    <w:rsid w:val="00DC278D"/>
    <w:rsid w:val="00DC2F2B"/>
    <w:rsid w:val="00DC313E"/>
    <w:rsid w:val="00DC447C"/>
    <w:rsid w:val="00DC4988"/>
    <w:rsid w:val="00DC49FF"/>
    <w:rsid w:val="00DC4E8D"/>
    <w:rsid w:val="00DC5208"/>
    <w:rsid w:val="00DC5742"/>
    <w:rsid w:val="00DC5997"/>
    <w:rsid w:val="00DC62C2"/>
    <w:rsid w:val="00DC6665"/>
    <w:rsid w:val="00DC66A2"/>
    <w:rsid w:val="00DC69B8"/>
    <w:rsid w:val="00DC7004"/>
    <w:rsid w:val="00DC71CF"/>
    <w:rsid w:val="00DC7693"/>
    <w:rsid w:val="00DC76E2"/>
    <w:rsid w:val="00DC78D9"/>
    <w:rsid w:val="00DD0410"/>
    <w:rsid w:val="00DD0664"/>
    <w:rsid w:val="00DD0781"/>
    <w:rsid w:val="00DD07EC"/>
    <w:rsid w:val="00DD0861"/>
    <w:rsid w:val="00DD0CF0"/>
    <w:rsid w:val="00DD1136"/>
    <w:rsid w:val="00DD11A1"/>
    <w:rsid w:val="00DD1353"/>
    <w:rsid w:val="00DD1A43"/>
    <w:rsid w:val="00DD1AD6"/>
    <w:rsid w:val="00DD1F1A"/>
    <w:rsid w:val="00DD1F23"/>
    <w:rsid w:val="00DD21BF"/>
    <w:rsid w:val="00DD2876"/>
    <w:rsid w:val="00DD2E03"/>
    <w:rsid w:val="00DD2E6E"/>
    <w:rsid w:val="00DD2EA0"/>
    <w:rsid w:val="00DD31FB"/>
    <w:rsid w:val="00DD32CD"/>
    <w:rsid w:val="00DD3659"/>
    <w:rsid w:val="00DD3F4A"/>
    <w:rsid w:val="00DD3F93"/>
    <w:rsid w:val="00DD4313"/>
    <w:rsid w:val="00DD57B7"/>
    <w:rsid w:val="00DD5ECB"/>
    <w:rsid w:val="00DD6FF0"/>
    <w:rsid w:val="00DD7187"/>
    <w:rsid w:val="00DD73C2"/>
    <w:rsid w:val="00DD7509"/>
    <w:rsid w:val="00DD7873"/>
    <w:rsid w:val="00DD7A47"/>
    <w:rsid w:val="00DD7FF2"/>
    <w:rsid w:val="00DE0687"/>
    <w:rsid w:val="00DE0961"/>
    <w:rsid w:val="00DE0E89"/>
    <w:rsid w:val="00DE14E9"/>
    <w:rsid w:val="00DE19ED"/>
    <w:rsid w:val="00DE1E0B"/>
    <w:rsid w:val="00DE258E"/>
    <w:rsid w:val="00DE2802"/>
    <w:rsid w:val="00DE2E25"/>
    <w:rsid w:val="00DE319B"/>
    <w:rsid w:val="00DE33FA"/>
    <w:rsid w:val="00DE3526"/>
    <w:rsid w:val="00DE38E3"/>
    <w:rsid w:val="00DE3C6C"/>
    <w:rsid w:val="00DE3D65"/>
    <w:rsid w:val="00DE416E"/>
    <w:rsid w:val="00DE4357"/>
    <w:rsid w:val="00DE4B57"/>
    <w:rsid w:val="00DE4BE6"/>
    <w:rsid w:val="00DE4C3C"/>
    <w:rsid w:val="00DE5242"/>
    <w:rsid w:val="00DE5C37"/>
    <w:rsid w:val="00DE6077"/>
    <w:rsid w:val="00DE6B4F"/>
    <w:rsid w:val="00DE6CAE"/>
    <w:rsid w:val="00DE71D4"/>
    <w:rsid w:val="00DE7C80"/>
    <w:rsid w:val="00DE7EB4"/>
    <w:rsid w:val="00DF0FCD"/>
    <w:rsid w:val="00DF1003"/>
    <w:rsid w:val="00DF13D5"/>
    <w:rsid w:val="00DF1720"/>
    <w:rsid w:val="00DF18BF"/>
    <w:rsid w:val="00DF23D1"/>
    <w:rsid w:val="00DF2B39"/>
    <w:rsid w:val="00DF2EFA"/>
    <w:rsid w:val="00DF34FE"/>
    <w:rsid w:val="00DF356F"/>
    <w:rsid w:val="00DF38BE"/>
    <w:rsid w:val="00DF38C5"/>
    <w:rsid w:val="00DF3933"/>
    <w:rsid w:val="00DF3A4D"/>
    <w:rsid w:val="00DF3ED3"/>
    <w:rsid w:val="00DF3F3D"/>
    <w:rsid w:val="00DF4150"/>
    <w:rsid w:val="00DF4E3A"/>
    <w:rsid w:val="00DF4F23"/>
    <w:rsid w:val="00DF4F47"/>
    <w:rsid w:val="00DF51C9"/>
    <w:rsid w:val="00DF53D9"/>
    <w:rsid w:val="00DF56AA"/>
    <w:rsid w:val="00DF56AF"/>
    <w:rsid w:val="00DF5927"/>
    <w:rsid w:val="00DF5B34"/>
    <w:rsid w:val="00DF7123"/>
    <w:rsid w:val="00DF78E7"/>
    <w:rsid w:val="00DF7EF1"/>
    <w:rsid w:val="00DF7F90"/>
    <w:rsid w:val="00E00010"/>
    <w:rsid w:val="00E0034B"/>
    <w:rsid w:val="00E00630"/>
    <w:rsid w:val="00E0125E"/>
    <w:rsid w:val="00E01713"/>
    <w:rsid w:val="00E023A0"/>
    <w:rsid w:val="00E026A9"/>
    <w:rsid w:val="00E028D5"/>
    <w:rsid w:val="00E0308C"/>
    <w:rsid w:val="00E0322C"/>
    <w:rsid w:val="00E03487"/>
    <w:rsid w:val="00E03514"/>
    <w:rsid w:val="00E03664"/>
    <w:rsid w:val="00E03D67"/>
    <w:rsid w:val="00E04709"/>
    <w:rsid w:val="00E05173"/>
    <w:rsid w:val="00E05B4C"/>
    <w:rsid w:val="00E05F90"/>
    <w:rsid w:val="00E06FB1"/>
    <w:rsid w:val="00E07896"/>
    <w:rsid w:val="00E079DF"/>
    <w:rsid w:val="00E07B2B"/>
    <w:rsid w:val="00E07B99"/>
    <w:rsid w:val="00E10006"/>
    <w:rsid w:val="00E100E2"/>
    <w:rsid w:val="00E101F5"/>
    <w:rsid w:val="00E102B3"/>
    <w:rsid w:val="00E10DC0"/>
    <w:rsid w:val="00E110E0"/>
    <w:rsid w:val="00E1120A"/>
    <w:rsid w:val="00E11473"/>
    <w:rsid w:val="00E11573"/>
    <w:rsid w:val="00E11A50"/>
    <w:rsid w:val="00E11F65"/>
    <w:rsid w:val="00E1216F"/>
    <w:rsid w:val="00E127FB"/>
    <w:rsid w:val="00E12A5A"/>
    <w:rsid w:val="00E13272"/>
    <w:rsid w:val="00E1341A"/>
    <w:rsid w:val="00E13528"/>
    <w:rsid w:val="00E13BE9"/>
    <w:rsid w:val="00E13FBD"/>
    <w:rsid w:val="00E14B2E"/>
    <w:rsid w:val="00E14B61"/>
    <w:rsid w:val="00E14CEB"/>
    <w:rsid w:val="00E15159"/>
    <w:rsid w:val="00E15371"/>
    <w:rsid w:val="00E153AE"/>
    <w:rsid w:val="00E159DF"/>
    <w:rsid w:val="00E15CDE"/>
    <w:rsid w:val="00E15DDE"/>
    <w:rsid w:val="00E16576"/>
    <w:rsid w:val="00E171CA"/>
    <w:rsid w:val="00E172A2"/>
    <w:rsid w:val="00E173A9"/>
    <w:rsid w:val="00E174FC"/>
    <w:rsid w:val="00E17D1B"/>
    <w:rsid w:val="00E17ED4"/>
    <w:rsid w:val="00E2007D"/>
    <w:rsid w:val="00E2062F"/>
    <w:rsid w:val="00E20E24"/>
    <w:rsid w:val="00E21056"/>
    <w:rsid w:val="00E2135D"/>
    <w:rsid w:val="00E214A0"/>
    <w:rsid w:val="00E216FF"/>
    <w:rsid w:val="00E21AFB"/>
    <w:rsid w:val="00E21C70"/>
    <w:rsid w:val="00E21E9A"/>
    <w:rsid w:val="00E2254B"/>
    <w:rsid w:val="00E22974"/>
    <w:rsid w:val="00E22B28"/>
    <w:rsid w:val="00E22D7F"/>
    <w:rsid w:val="00E22F97"/>
    <w:rsid w:val="00E232EB"/>
    <w:rsid w:val="00E24104"/>
    <w:rsid w:val="00E24240"/>
    <w:rsid w:val="00E2499F"/>
    <w:rsid w:val="00E24B59"/>
    <w:rsid w:val="00E24F5D"/>
    <w:rsid w:val="00E25166"/>
    <w:rsid w:val="00E25277"/>
    <w:rsid w:val="00E2532A"/>
    <w:rsid w:val="00E253A9"/>
    <w:rsid w:val="00E2546E"/>
    <w:rsid w:val="00E254C1"/>
    <w:rsid w:val="00E256B0"/>
    <w:rsid w:val="00E25A6B"/>
    <w:rsid w:val="00E25B49"/>
    <w:rsid w:val="00E25CAD"/>
    <w:rsid w:val="00E25FEF"/>
    <w:rsid w:val="00E26481"/>
    <w:rsid w:val="00E264A1"/>
    <w:rsid w:val="00E26588"/>
    <w:rsid w:val="00E2664E"/>
    <w:rsid w:val="00E26E17"/>
    <w:rsid w:val="00E26E56"/>
    <w:rsid w:val="00E26E93"/>
    <w:rsid w:val="00E27634"/>
    <w:rsid w:val="00E27786"/>
    <w:rsid w:val="00E277BB"/>
    <w:rsid w:val="00E27D3F"/>
    <w:rsid w:val="00E302D0"/>
    <w:rsid w:val="00E30386"/>
    <w:rsid w:val="00E30574"/>
    <w:rsid w:val="00E3074A"/>
    <w:rsid w:val="00E30A75"/>
    <w:rsid w:val="00E30ACF"/>
    <w:rsid w:val="00E30B37"/>
    <w:rsid w:val="00E31C8B"/>
    <w:rsid w:val="00E31FEB"/>
    <w:rsid w:val="00E32113"/>
    <w:rsid w:val="00E3213E"/>
    <w:rsid w:val="00E32343"/>
    <w:rsid w:val="00E32723"/>
    <w:rsid w:val="00E32FDB"/>
    <w:rsid w:val="00E32FEE"/>
    <w:rsid w:val="00E330A3"/>
    <w:rsid w:val="00E33207"/>
    <w:rsid w:val="00E3368B"/>
    <w:rsid w:val="00E33810"/>
    <w:rsid w:val="00E3387C"/>
    <w:rsid w:val="00E33BF6"/>
    <w:rsid w:val="00E33C0F"/>
    <w:rsid w:val="00E34510"/>
    <w:rsid w:val="00E346FF"/>
    <w:rsid w:val="00E34744"/>
    <w:rsid w:val="00E34911"/>
    <w:rsid w:val="00E34B3A"/>
    <w:rsid w:val="00E35707"/>
    <w:rsid w:val="00E35D47"/>
    <w:rsid w:val="00E3607C"/>
    <w:rsid w:val="00E36AA1"/>
    <w:rsid w:val="00E36E5B"/>
    <w:rsid w:val="00E37164"/>
    <w:rsid w:val="00E37230"/>
    <w:rsid w:val="00E37E31"/>
    <w:rsid w:val="00E4016B"/>
    <w:rsid w:val="00E40C98"/>
    <w:rsid w:val="00E40CCA"/>
    <w:rsid w:val="00E40E73"/>
    <w:rsid w:val="00E40F7A"/>
    <w:rsid w:val="00E41961"/>
    <w:rsid w:val="00E419F0"/>
    <w:rsid w:val="00E41ECB"/>
    <w:rsid w:val="00E42676"/>
    <w:rsid w:val="00E427F0"/>
    <w:rsid w:val="00E42974"/>
    <w:rsid w:val="00E42A14"/>
    <w:rsid w:val="00E42DD2"/>
    <w:rsid w:val="00E431AE"/>
    <w:rsid w:val="00E43853"/>
    <w:rsid w:val="00E43AE1"/>
    <w:rsid w:val="00E43C81"/>
    <w:rsid w:val="00E43DC1"/>
    <w:rsid w:val="00E444E7"/>
    <w:rsid w:val="00E445DF"/>
    <w:rsid w:val="00E44654"/>
    <w:rsid w:val="00E450CB"/>
    <w:rsid w:val="00E45426"/>
    <w:rsid w:val="00E455AF"/>
    <w:rsid w:val="00E45820"/>
    <w:rsid w:val="00E4599A"/>
    <w:rsid w:val="00E45B4B"/>
    <w:rsid w:val="00E45DD2"/>
    <w:rsid w:val="00E45E9D"/>
    <w:rsid w:val="00E45FAD"/>
    <w:rsid w:val="00E469DA"/>
    <w:rsid w:val="00E46C4E"/>
    <w:rsid w:val="00E46F06"/>
    <w:rsid w:val="00E46F7F"/>
    <w:rsid w:val="00E47210"/>
    <w:rsid w:val="00E50394"/>
    <w:rsid w:val="00E504C1"/>
    <w:rsid w:val="00E50646"/>
    <w:rsid w:val="00E5126A"/>
    <w:rsid w:val="00E5130B"/>
    <w:rsid w:val="00E51A1F"/>
    <w:rsid w:val="00E530B5"/>
    <w:rsid w:val="00E53918"/>
    <w:rsid w:val="00E53B8B"/>
    <w:rsid w:val="00E54051"/>
    <w:rsid w:val="00E542B8"/>
    <w:rsid w:val="00E54D11"/>
    <w:rsid w:val="00E54EEE"/>
    <w:rsid w:val="00E54F20"/>
    <w:rsid w:val="00E54FDB"/>
    <w:rsid w:val="00E55623"/>
    <w:rsid w:val="00E55F5C"/>
    <w:rsid w:val="00E56106"/>
    <w:rsid w:val="00E56126"/>
    <w:rsid w:val="00E5617D"/>
    <w:rsid w:val="00E563C1"/>
    <w:rsid w:val="00E563D7"/>
    <w:rsid w:val="00E565F0"/>
    <w:rsid w:val="00E566C1"/>
    <w:rsid w:val="00E56816"/>
    <w:rsid w:val="00E571BB"/>
    <w:rsid w:val="00E575FC"/>
    <w:rsid w:val="00E5791B"/>
    <w:rsid w:val="00E6109D"/>
    <w:rsid w:val="00E6144D"/>
    <w:rsid w:val="00E6165D"/>
    <w:rsid w:val="00E61B94"/>
    <w:rsid w:val="00E61DD1"/>
    <w:rsid w:val="00E622B4"/>
    <w:rsid w:val="00E62631"/>
    <w:rsid w:val="00E62755"/>
    <w:rsid w:val="00E62AFC"/>
    <w:rsid w:val="00E632B8"/>
    <w:rsid w:val="00E63651"/>
    <w:rsid w:val="00E63B10"/>
    <w:rsid w:val="00E645F8"/>
    <w:rsid w:val="00E6495B"/>
    <w:rsid w:val="00E65019"/>
    <w:rsid w:val="00E6565E"/>
    <w:rsid w:val="00E65803"/>
    <w:rsid w:val="00E65B3E"/>
    <w:rsid w:val="00E663F4"/>
    <w:rsid w:val="00E666F2"/>
    <w:rsid w:val="00E6673C"/>
    <w:rsid w:val="00E66750"/>
    <w:rsid w:val="00E66824"/>
    <w:rsid w:val="00E66854"/>
    <w:rsid w:val="00E66D31"/>
    <w:rsid w:val="00E66D8E"/>
    <w:rsid w:val="00E66DD4"/>
    <w:rsid w:val="00E67036"/>
    <w:rsid w:val="00E678B9"/>
    <w:rsid w:val="00E6799D"/>
    <w:rsid w:val="00E67BD4"/>
    <w:rsid w:val="00E67FD4"/>
    <w:rsid w:val="00E705B7"/>
    <w:rsid w:val="00E706B1"/>
    <w:rsid w:val="00E70A12"/>
    <w:rsid w:val="00E70DA5"/>
    <w:rsid w:val="00E711AF"/>
    <w:rsid w:val="00E717B8"/>
    <w:rsid w:val="00E71872"/>
    <w:rsid w:val="00E7249D"/>
    <w:rsid w:val="00E7342B"/>
    <w:rsid w:val="00E73CDA"/>
    <w:rsid w:val="00E7402A"/>
    <w:rsid w:val="00E74124"/>
    <w:rsid w:val="00E7412D"/>
    <w:rsid w:val="00E74708"/>
    <w:rsid w:val="00E7478F"/>
    <w:rsid w:val="00E748CC"/>
    <w:rsid w:val="00E74E3A"/>
    <w:rsid w:val="00E74FCA"/>
    <w:rsid w:val="00E7529B"/>
    <w:rsid w:val="00E75379"/>
    <w:rsid w:val="00E75415"/>
    <w:rsid w:val="00E7549F"/>
    <w:rsid w:val="00E75830"/>
    <w:rsid w:val="00E75B52"/>
    <w:rsid w:val="00E75D8A"/>
    <w:rsid w:val="00E75E0D"/>
    <w:rsid w:val="00E76EE3"/>
    <w:rsid w:val="00E76FEB"/>
    <w:rsid w:val="00E775B1"/>
    <w:rsid w:val="00E77603"/>
    <w:rsid w:val="00E779AA"/>
    <w:rsid w:val="00E8009D"/>
    <w:rsid w:val="00E80252"/>
    <w:rsid w:val="00E8060D"/>
    <w:rsid w:val="00E80B02"/>
    <w:rsid w:val="00E80F06"/>
    <w:rsid w:val="00E80FB9"/>
    <w:rsid w:val="00E810A7"/>
    <w:rsid w:val="00E81269"/>
    <w:rsid w:val="00E8152A"/>
    <w:rsid w:val="00E815D3"/>
    <w:rsid w:val="00E823DE"/>
    <w:rsid w:val="00E825A2"/>
    <w:rsid w:val="00E83614"/>
    <w:rsid w:val="00E83664"/>
    <w:rsid w:val="00E83967"/>
    <w:rsid w:val="00E83B95"/>
    <w:rsid w:val="00E83C49"/>
    <w:rsid w:val="00E83DEC"/>
    <w:rsid w:val="00E8401B"/>
    <w:rsid w:val="00E84A61"/>
    <w:rsid w:val="00E84CF5"/>
    <w:rsid w:val="00E84CFA"/>
    <w:rsid w:val="00E84D6A"/>
    <w:rsid w:val="00E853C6"/>
    <w:rsid w:val="00E8549D"/>
    <w:rsid w:val="00E8588D"/>
    <w:rsid w:val="00E858A6"/>
    <w:rsid w:val="00E85E0D"/>
    <w:rsid w:val="00E8657D"/>
    <w:rsid w:val="00E86A65"/>
    <w:rsid w:val="00E86E7D"/>
    <w:rsid w:val="00E8770F"/>
    <w:rsid w:val="00E8793C"/>
    <w:rsid w:val="00E87C71"/>
    <w:rsid w:val="00E901EA"/>
    <w:rsid w:val="00E90FD9"/>
    <w:rsid w:val="00E916FE"/>
    <w:rsid w:val="00E9179F"/>
    <w:rsid w:val="00E91CA9"/>
    <w:rsid w:val="00E91DA3"/>
    <w:rsid w:val="00E91F35"/>
    <w:rsid w:val="00E9221A"/>
    <w:rsid w:val="00E9233D"/>
    <w:rsid w:val="00E92511"/>
    <w:rsid w:val="00E926F2"/>
    <w:rsid w:val="00E92EC2"/>
    <w:rsid w:val="00E93579"/>
    <w:rsid w:val="00E93629"/>
    <w:rsid w:val="00E938D3"/>
    <w:rsid w:val="00E93B5C"/>
    <w:rsid w:val="00E93CA7"/>
    <w:rsid w:val="00E93F36"/>
    <w:rsid w:val="00E94252"/>
    <w:rsid w:val="00E94291"/>
    <w:rsid w:val="00E94480"/>
    <w:rsid w:val="00E94487"/>
    <w:rsid w:val="00E94CEC"/>
    <w:rsid w:val="00E94F76"/>
    <w:rsid w:val="00E9517C"/>
    <w:rsid w:val="00E95B0A"/>
    <w:rsid w:val="00E96130"/>
    <w:rsid w:val="00E96151"/>
    <w:rsid w:val="00E966D4"/>
    <w:rsid w:val="00E967ED"/>
    <w:rsid w:val="00E967F9"/>
    <w:rsid w:val="00E970B6"/>
    <w:rsid w:val="00E97D40"/>
    <w:rsid w:val="00EA0375"/>
    <w:rsid w:val="00EA04EF"/>
    <w:rsid w:val="00EA0604"/>
    <w:rsid w:val="00EA0918"/>
    <w:rsid w:val="00EA0B8C"/>
    <w:rsid w:val="00EA0F33"/>
    <w:rsid w:val="00EA12BB"/>
    <w:rsid w:val="00EA1801"/>
    <w:rsid w:val="00EA1945"/>
    <w:rsid w:val="00EA1F31"/>
    <w:rsid w:val="00EA21CC"/>
    <w:rsid w:val="00EA2FE0"/>
    <w:rsid w:val="00EA361C"/>
    <w:rsid w:val="00EA3620"/>
    <w:rsid w:val="00EA365F"/>
    <w:rsid w:val="00EA37E7"/>
    <w:rsid w:val="00EA3820"/>
    <w:rsid w:val="00EA3E12"/>
    <w:rsid w:val="00EA65BD"/>
    <w:rsid w:val="00EA65E5"/>
    <w:rsid w:val="00EA693C"/>
    <w:rsid w:val="00EA6971"/>
    <w:rsid w:val="00EA6BB1"/>
    <w:rsid w:val="00EA6C79"/>
    <w:rsid w:val="00EA6F19"/>
    <w:rsid w:val="00EA760E"/>
    <w:rsid w:val="00EA76C1"/>
    <w:rsid w:val="00EA7EF6"/>
    <w:rsid w:val="00EB0132"/>
    <w:rsid w:val="00EB063B"/>
    <w:rsid w:val="00EB06E1"/>
    <w:rsid w:val="00EB07C2"/>
    <w:rsid w:val="00EB0EF6"/>
    <w:rsid w:val="00EB17ED"/>
    <w:rsid w:val="00EB35D2"/>
    <w:rsid w:val="00EB3845"/>
    <w:rsid w:val="00EB3A7E"/>
    <w:rsid w:val="00EB3B13"/>
    <w:rsid w:val="00EB4431"/>
    <w:rsid w:val="00EB4A17"/>
    <w:rsid w:val="00EB4A67"/>
    <w:rsid w:val="00EB4BAB"/>
    <w:rsid w:val="00EB4C77"/>
    <w:rsid w:val="00EB5459"/>
    <w:rsid w:val="00EB5903"/>
    <w:rsid w:val="00EB5C05"/>
    <w:rsid w:val="00EB5DBA"/>
    <w:rsid w:val="00EB625B"/>
    <w:rsid w:val="00EB62D8"/>
    <w:rsid w:val="00EB649E"/>
    <w:rsid w:val="00EB691E"/>
    <w:rsid w:val="00EB6983"/>
    <w:rsid w:val="00EB69DE"/>
    <w:rsid w:val="00EB7090"/>
    <w:rsid w:val="00EB7336"/>
    <w:rsid w:val="00EB73CA"/>
    <w:rsid w:val="00EB7607"/>
    <w:rsid w:val="00EB76A8"/>
    <w:rsid w:val="00EB79CE"/>
    <w:rsid w:val="00EC097E"/>
    <w:rsid w:val="00EC0ED7"/>
    <w:rsid w:val="00EC10B0"/>
    <w:rsid w:val="00EC19A0"/>
    <w:rsid w:val="00EC1A25"/>
    <w:rsid w:val="00EC1BBE"/>
    <w:rsid w:val="00EC1C35"/>
    <w:rsid w:val="00EC1F1D"/>
    <w:rsid w:val="00EC2414"/>
    <w:rsid w:val="00EC273B"/>
    <w:rsid w:val="00EC2B68"/>
    <w:rsid w:val="00EC398A"/>
    <w:rsid w:val="00EC3AEF"/>
    <w:rsid w:val="00EC3BEF"/>
    <w:rsid w:val="00EC3EEF"/>
    <w:rsid w:val="00EC3F90"/>
    <w:rsid w:val="00EC40EC"/>
    <w:rsid w:val="00EC429C"/>
    <w:rsid w:val="00EC4838"/>
    <w:rsid w:val="00EC4868"/>
    <w:rsid w:val="00EC4994"/>
    <w:rsid w:val="00EC4E24"/>
    <w:rsid w:val="00EC4E7E"/>
    <w:rsid w:val="00EC5146"/>
    <w:rsid w:val="00EC54C2"/>
    <w:rsid w:val="00EC594C"/>
    <w:rsid w:val="00EC5AE9"/>
    <w:rsid w:val="00EC5CD7"/>
    <w:rsid w:val="00EC603E"/>
    <w:rsid w:val="00EC63A2"/>
    <w:rsid w:val="00EC64D7"/>
    <w:rsid w:val="00EC6544"/>
    <w:rsid w:val="00EC6E13"/>
    <w:rsid w:val="00EC6F45"/>
    <w:rsid w:val="00EC6F4C"/>
    <w:rsid w:val="00EC73A0"/>
    <w:rsid w:val="00EC7B18"/>
    <w:rsid w:val="00EC7E3E"/>
    <w:rsid w:val="00ED0264"/>
    <w:rsid w:val="00ED0B51"/>
    <w:rsid w:val="00ED0C67"/>
    <w:rsid w:val="00ED0E48"/>
    <w:rsid w:val="00ED0E53"/>
    <w:rsid w:val="00ED0F50"/>
    <w:rsid w:val="00ED102B"/>
    <w:rsid w:val="00ED1226"/>
    <w:rsid w:val="00ED1331"/>
    <w:rsid w:val="00ED1D89"/>
    <w:rsid w:val="00ED2097"/>
    <w:rsid w:val="00ED3847"/>
    <w:rsid w:val="00ED3A7E"/>
    <w:rsid w:val="00ED44B6"/>
    <w:rsid w:val="00ED4647"/>
    <w:rsid w:val="00ED55AC"/>
    <w:rsid w:val="00ED62BC"/>
    <w:rsid w:val="00ED6301"/>
    <w:rsid w:val="00ED64A1"/>
    <w:rsid w:val="00ED6F7A"/>
    <w:rsid w:val="00ED7147"/>
    <w:rsid w:val="00ED740D"/>
    <w:rsid w:val="00ED7732"/>
    <w:rsid w:val="00ED781F"/>
    <w:rsid w:val="00ED796C"/>
    <w:rsid w:val="00ED7D68"/>
    <w:rsid w:val="00EE033E"/>
    <w:rsid w:val="00EE0ABE"/>
    <w:rsid w:val="00EE17A4"/>
    <w:rsid w:val="00EE1AF7"/>
    <w:rsid w:val="00EE1FF6"/>
    <w:rsid w:val="00EE269B"/>
    <w:rsid w:val="00EE2A82"/>
    <w:rsid w:val="00EE2D10"/>
    <w:rsid w:val="00EE3088"/>
    <w:rsid w:val="00EE30F5"/>
    <w:rsid w:val="00EE3400"/>
    <w:rsid w:val="00EE3940"/>
    <w:rsid w:val="00EE4A43"/>
    <w:rsid w:val="00EE52E9"/>
    <w:rsid w:val="00EE53B8"/>
    <w:rsid w:val="00EE555D"/>
    <w:rsid w:val="00EE57EF"/>
    <w:rsid w:val="00EE5C68"/>
    <w:rsid w:val="00EE5CC7"/>
    <w:rsid w:val="00EE5FB3"/>
    <w:rsid w:val="00EE69C6"/>
    <w:rsid w:val="00EE6AC5"/>
    <w:rsid w:val="00EE6EC2"/>
    <w:rsid w:val="00EE7205"/>
    <w:rsid w:val="00EE743D"/>
    <w:rsid w:val="00EE7ABC"/>
    <w:rsid w:val="00EE7F79"/>
    <w:rsid w:val="00EF0786"/>
    <w:rsid w:val="00EF0E7B"/>
    <w:rsid w:val="00EF1049"/>
    <w:rsid w:val="00EF1322"/>
    <w:rsid w:val="00EF15DB"/>
    <w:rsid w:val="00EF1AA8"/>
    <w:rsid w:val="00EF1F6A"/>
    <w:rsid w:val="00EF265A"/>
    <w:rsid w:val="00EF2C22"/>
    <w:rsid w:val="00EF3105"/>
    <w:rsid w:val="00EF317E"/>
    <w:rsid w:val="00EF35B8"/>
    <w:rsid w:val="00EF3CC2"/>
    <w:rsid w:val="00EF4256"/>
    <w:rsid w:val="00EF4558"/>
    <w:rsid w:val="00EF4FCB"/>
    <w:rsid w:val="00EF51F1"/>
    <w:rsid w:val="00EF52C9"/>
    <w:rsid w:val="00EF5362"/>
    <w:rsid w:val="00EF5796"/>
    <w:rsid w:val="00EF58FD"/>
    <w:rsid w:val="00EF5B67"/>
    <w:rsid w:val="00EF5CD3"/>
    <w:rsid w:val="00EF5FB9"/>
    <w:rsid w:val="00EF6085"/>
    <w:rsid w:val="00EF6790"/>
    <w:rsid w:val="00EF6A88"/>
    <w:rsid w:val="00EF6B35"/>
    <w:rsid w:val="00EF70BF"/>
    <w:rsid w:val="00EF7112"/>
    <w:rsid w:val="00EF715A"/>
    <w:rsid w:val="00EF7302"/>
    <w:rsid w:val="00EF77AF"/>
    <w:rsid w:val="00EF77CE"/>
    <w:rsid w:val="00EF7B19"/>
    <w:rsid w:val="00EF7E22"/>
    <w:rsid w:val="00EF7FB0"/>
    <w:rsid w:val="00F00382"/>
    <w:rsid w:val="00F00518"/>
    <w:rsid w:val="00F0065A"/>
    <w:rsid w:val="00F00E07"/>
    <w:rsid w:val="00F0118A"/>
    <w:rsid w:val="00F0127B"/>
    <w:rsid w:val="00F01C85"/>
    <w:rsid w:val="00F028F6"/>
    <w:rsid w:val="00F03764"/>
    <w:rsid w:val="00F03A59"/>
    <w:rsid w:val="00F03DE4"/>
    <w:rsid w:val="00F03E22"/>
    <w:rsid w:val="00F049A7"/>
    <w:rsid w:val="00F04EC3"/>
    <w:rsid w:val="00F0596E"/>
    <w:rsid w:val="00F05C04"/>
    <w:rsid w:val="00F060EC"/>
    <w:rsid w:val="00F0615B"/>
    <w:rsid w:val="00F06578"/>
    <w:rsid w:val="00F0675D"/>
    <w:rsid w:val="00F06E14"/>
    <w:rsid w:val="00F07981"/>
    <w:rsid w:val="00F07CE8"/>
    <w:rsid w:val="00F10DE7"/>
    <w:rsid w:val="00F11128"/>
    <w:rsid w:val="00F1182A"/>
    <w:rsid w:val="00F11945"/>
    <w:rsid w:val="00F11D1A"/>
    <w:rsid w:val="00F1248A"/>
    <w:rsid w:val="00F12B45"/>
    <w:rsid w:val="00F1326A"/>
    <w:rsid w:val="00F13464"/>
    <w:rsid w:val="00F139BE"/>
    <w:rsid w:val="00F1425E"/>
    <w:rsid w:val="00F14268"/>
    <w:rsid w:val="00F148A8"/>
    <w:rsid w:val="00F14B92"/>
    <w:rsid w:val="00F1636D"/>
    <w:rsid w:val="00F16370"/>
    <w:rsid w:val="00F16923"/>
    <w:rsid w:val="00F17571"/>
    <w:rsid w:val="00F179D4"/>
    <w:rsid w:val="00F17C25"/>
    <w:rsid w:val="00F17C82"/>
    <w:rsid w:val="00F17D0D"/>
    <w:rsid w:val="00F201F5"/>
    <w:rsid w:val="00F20737"/>
    <w:rsid w:val="00F2073B"/>
    <w:rsid w:val="00F212A5"/>
    <w:rsid w:val="00F212CE"/>
    <w:rsid w:val="00F21943"/>
    <w:rsid w:val="00F21951"/>
    <w:rsid w:val="00F21CB1"/>
    <w:rsid w:val="00F21FFB"/>
    <w:rsid w:val="00F229ED"/>
    <w:rsid w:val="00F22A23"/>
    <w:rsid w:val="00F22FAB"/>
    <w:rsid w:val="00F236B5"/>
    <w:rsid w:val="00F2396F"/>
    <w:rsid w:val="00F23E2F"/>
    <w:rsid w:val="00F23E3E"/>
    <w:rsid w:val="00F240B2"/>
    <w:rsid w:val="00F244DD"/>
    <w:rsid w:val="00F24656"/>
    <w:rsid w:val="00F24776"/>
    <w:rsid w:val="00F256F2"/>
    <w:rsid w:val="00F25A32"/>
    <w:rsid w:val="00F25C2A"/>
    <w:rsid w:val="00F265CE"/>
    <w:rsid w:val="00F268D3"/>
    <w:rsid w:val="00F26AAB"/>
    <w:rsid w:val="00F26B50"/>
    <w:rsid w:val="00F26D71"/>
    <w:rsid w:val="00F27333"/>
    <w:rsid w:val="00F27E18"/>
    <w:rsid w:val="00F27FBB"/>
    <w:rsid w:val="00F3000D"/>
    <w:rsid w:val="00F30CA9"/>
    <w:rsid w:val="00F30CB4"/>
    <w:rsid w:val="00F312D8"/>
    <w:rsid w:val="00F31CDB"/>
    <w:rsid w:val="00F31DBC"/>
    <w:rsid w:val="00F323E7"/>
    <w:rsid w:val="00F327C8"/>
    <w:rsid w:val="00F329F9"/>
    <w:rsid w:val="00F32A7E"/>
    <w:rsid w:val="00F32CBB"/>
    <w:rsid w:val="00F32D2F"/>
    <w:rsid w:val="00F32E6D"/>
    <w:rsid w:val="00F32F8E"/>
    <w:rsid w:val="00F3320A"/>
    <w:rsid w:val="00F33269"/>
    <w:rsid w:val="00F33556"/>
    <w:rsid w:val="00F336E8"/>
    <w:rsid w:val="00F33C56"/>
    <w:rsid w:val="00F34771"/>
    <w:rsid w:val="00F347C7"/>
    <w:rsid w:val="00F347DB"/>
    <w:rsid w:val="00F34848"/>
    <w:rsid w:val="00F348DF"/>
    <w:rsid w:val="00F34985"/>
    <w:rsid w:val="00F34A8E"/>
    <w:rsid w:val="00F34D71"/>
    <w:rsid w:val="00F3517B"/>
    <w:rsid w:val="00F35254"/>
    <w:rsid w:val="00F3538E"/>
    <w:rsid w:val="00F35BF9"/>
    <w:rsid w:val="00F3647B"/>
    <w:rsid w:val="00F36922"/>
    <w:rsid w:val="00F3711B"/>
    <w:rsid w:val="00F37A04"/>
    <w:rsid w:val="00F37A4E"/>
    <w:rsid w:val="00F37D0A"/>
    <w:rsid w:val="00F4026B"/>
    <w:rsid w:val="00F40494"/>
    <w:rsid w:val="00F40A29"/>
    <w:rsid w:val="00F40BEA"/>
    <w:rsid w:val="00F4165F"/>
    <w:rsid w:val="00F41725"/>
    <w:rsid w:val="00F4187E"/>
    <w:rsid w:val="00F418A3"/>
    <w:rsid w:val="00F41C61"/>
    <w:rsid w:val="00F41CD0"/>
    <w:rsid w:val="00F41E23"/>
    <w:rsid w:val="00F41E4D"/>
    <w:rsid w:val="00F42BED"/>
    <w:rsid w:val="00F42D46"/>
    <w:rsid w:val="00F42E04"/>
    <w:rsid w:val="00F430C2"/>
    <w:rsid w:val="00F4368B"/>
    <w:rsid w:val="00F43935"/>
    <w:rsid w:val="00F43B64"/>
    <w:rsid w:val="00F442C9"/>
    <w:rsid w:val="00F4496C"/>
    <w:rsid w:val="00F44F3A"/>
    <w:rsid w:val="00F4505C"/>
    <w:rsid w:val="00F45892"/>
    <w:rsid w:val="00F45899"/>
    <w:rsid w:val="00F4606B"/>
    <w:rsid w:val="00F46295"/>
    <w:rsid w:val="00F46327"/>
    <w:rsid w:val="00F4659C"/>
    <w:rsid w:val="00F46676"/>
    <w:rsid w:val="00F46AA0"/>
    <w:rsid w:val="00F46C38"/>
    <w:rsid w:val="00F47CC7"/>
    <w:rsid w:val="00F47D18"/>
    <w:rsid w:val="00F47D6C"/>
    <w:rsid w:val="00F50237"/>
    <w:rsid w:val="00F50456"/>
    <w:rsid w:val="00F50E9F"/>
    <w:rsid w:val="00F51A57"/>
    <w:rsid w:val="00F51D8C"/>
    <w:rsid w:val="00F51F10"/>
    <w:rsid w:val="00F51F6A"/>
    <w:rsid w:val="00F51F89"/>
    <w:rsid w:val="00F5224A"/>
    <w:rsid w:val="00F5258D"/>
    <w:rsid w:val="00F529A5"/>
    <w:rsid w:val="00F52AE9"/>
    <w:rsid w:val="00F52DA6"/>
    <w:rsid w:val="00F52E17"/>
    <w:rsid w:val="00F52FB7"/>
    <w:rsid w:val="00F5310D"/>
    <w:rsid w:val="00F53262"/>
    <w:rsid w:val="00F5346B"/>
    <w:rsid w:val="00F53BE5"/>
    <w:rsid w:val="00F54A2B"/>
    <w:rsid w:val="00F54B23"/>
    <w:rsid w:val="00F54C57"/>
    <w:rsid w:val="00F54D10"/>
    <w:rsid w:val="00F54D99"/>
    <w:rsid w:val="00F55249"/>
    <w:rsid w:val="00F5573A"/>
    <w:rsid w:val="00F55A64"/>
    <w:rsid w:val="00F56B64"/>
    <w:rsid w:val="00F5703D"/>
    <w:rsid w:val="00F57068"/>
    <w:rsid w:val="00F5740F"/>
    <w:rsid w:val="00F57579"/>
    <w:rsid w:val="00F575F2"/>
    <w:rsid w:val="00F57995"/>
    <w:rsid w:val="00F6015D"/>
    <w:rsid w:val="00F609FF"/>
    <w:rsid w:val="00F60C04"/>
    <w:rsid w:val="00F60ECA"/>
    <w:rsid w:val="00F60F00"/>
    <w:rsid w:val="00F614C0"/>
    <w:rsid w:val="00F61527"/>
    <w:rsid w:val="00F61610"/>
    <w:rsid w:val="00F61782"/>
    <w:rsid w:val="00F61F33"/>
    <w:rsid w:val="00F6207F"/>
    <w:rsid w:val="00F6208D"/>
    <w:rsid w:val="00F62145"/>
    <w:rsid w:val="00F62E4E"/>
    <w:rsid w:val="00F63224"/>
    <w:rsid w:val="00F632AF"/>
    <w:rsid w:val="00F634A6"/>
    <w:rsid w:val="00F63B17"/>
    <w:rsid w:val="00F657D6"/>
    <w:rsid w:val="00F65B33"/>
    <w:rsid w:val="00F65DE0"/>
    <w:rsid w:val="00F65ED7"/>
    <w:rsid w:val="00F6604E"/>
    <w:rsid w:val="00F66562"/>
    <w:rsid w:val="00F66827"/>
    <w:rsid w:val="00F66AE1"/>
    <w:rsid w:val="00F6733A"/>
    <w:rsid w:val="00F67439"/>
    <w:rsid w:val="00F674A3"/>
    <w:rsid w:val="00F6753C"/>
    <w:rsid w:val="00F67B6C"/>
    <w:rsid w:val="00F67C28"/>
    <w:rsid w:val="00F67EA0"/>
    <w:rsid w:val="00F7047C"/>
    <w:rsid w:val="00F70C8D"/>
    <w:rsid w:val="00F70DD9"/>
    <w:rsid w:val="00F712A0"/>
    <w:rsid w:val="00F71692"/>
    <w:rsid w:val="00F71B36"/>
    <w:rsid w:val="00F7258C"/>
    <w:rsid w:val="00F7263A"/>
    <w:rsid w:val="00F737E8"/>
    <w:rsid w:val="00F73988"/>
    <w:rsid w:val="00F74F4D"/>
    <w:rsid w:val="00F752AD"/>
    <w:rsid w:val="00F753B2"/>
    <w:rsid w:val="00F75970"/>
    <w:rsid w:val="00F75D56"/>
    <w:rsid w:val="00F765DE"/>
    <w:rsid w:val="00F766F3"/>
    <w:rsid w:val="00F76769"/>
    <w:rsid w:val="00F76CE2"/>
    <w:rsid w:val="00F771D2"/>
    <w:rsid w:val="00F772CD"/>
    <w:rsid w:val="00F777C7"/>
    <w:rsid w:val="00F77A8E"/>
    <w:rsid w:val="00F8005B"/>
    <w:rsid w:val="00F80703"/>
    <w:rsid w:val="00F80AE2"/>
    <w:rsid w:val="00F81507"/>
    <w:rsid w:val="00F815C0"/>
    <w:rsid w:val="00F81AB0"/>
    <w:rsid w:val="00F8210A"/>
    <w:rsid w:val="00F82685"/>
    <w:rsid w:val="00F8270E"/>
    <w:rsid w:val="00F8271F"/>
    <w:rsid w:val="00F828FF"/>
    <w:rsid w:val="00F82CB7"/>
    <w:rsid w:val="00F82F1E"/>
    <w:rsid w:val="00F83848"/>
    <w:rsid w:val="00F83998"/>
    <w:rsid w:val="00F839DE"/>
    <w:rsid w:val="00F83A03"/>
    <w:rsid w:val="00F83C09"/>
    <w:rsid w:val="00F83DCA"/>
    <w:rsid w:val="00F83EED"/>
    <w:rsid w:val="00F84355"/>
    <w:rsid w:val="00F84563"/>
    <w:rsid w:val="00F84AD2"/>
    <w:rsid w:val="00F84B0B"/>
    <w:rsid w:val="00F85680"/>
    <w:rsid w:val="00F864E4"/>
    <w:rsid w:val="00F86573"/>
    <w:rsid w:val="00F865B9"/>
    <w:rsid w:val="00F86871"/>
    <w:rsid w:val="00F86970"/>
    <w:rsid w:val="00F86B1D"/>
    <w:rsid w:val="00F86D54"/>
    <w:rsid w:val="00F87336"/>
    <w:rsid w:val="00F87640"/>
    <w:rsid w:val="00F8785B"/>
    <w:rsid w:val="00F87AED"/>
    <w:rsid w:val="00F90784"/>
    <w:rsid w:val="00F9104B"/>
    <w:rsid w:val="00F91155"/>
    <w:rsid w:val="00F911D7"/>
    <w:rsid w:val="00F91422"/>
    <w:rsid w:val="00F91940"/>
    <w:rsid w:val="00F91EBC"/>
    <w:rsid w:val="00F92096"/>
    <w:rsid w:val="00F928CC"/>
    <w:rsid w:val="00F92B36"/>
    <w:rsid w:val="00F935A9"/>
    <w:rsid w:val="00F937A8"/>
    <w:rsid w:val="00F93B2F"/>
    <w:rsid w:val="00F93DFD"/>
    <w:rsid w:val="00F94B9B"/>
    <w:rsid w:val="00F94F07"/>
    <w:rsid w:val="00F95090"/>
    <w:rsid w:val="00F95F10"/>
    <w:rsid w:val="00F96390"/>
    <w:rsid w:val="00F96F22"/>
    <w:rsid w:val="00F97311"/>
    <w:rsid w:val="00F975E9"/>
    <w:rsid w:val="00F977AF"/>
    <w:rsid w:val="00F97822"/>
    <w:rsid w:val="00F97E4C"/>
    <w:rsid w:val="00FA03D6"/>
    <w:rsid w:val="00FA079C"/>
    <w:rsid w:val="00FA0BDB"/>
    <w:rsid w:val="00FA0D88"/>
    <w:rsid w:val="00FA1B7D"/>
    <w:rsid w:val="00FA1F63"/>
    <w:rsid w:val="00FA2153"/>
    <w:rsid w:val="00FA2664"/>
    <w:rsid w:val="00FA2845"/>
    <w:rsid w:val="00FA2862"/>
    <w:rsid w:val="00FA321B"/>
    <w:rsid w:val="00FA32EC"/>
    <w:rsid w:val="00FA331A"/>
    <w:rsid w:val="00FA3AF5"/>
    <w:rsid w:val="00FA3B65"/>
    <w:rsid w:val="00FA3C94"/>
    <w:rsid w:val="00FA40C1"/>
    <w:rsid w:val="00FA40FE"/>
    <w:rsid w:val="00FA4758"/>
    <w:rsid w:val="00FA53D8"/>
    <w:rsid w:val="00FA61CF"/>
    <w:rsid w:val="00FA6B54"/>
    <w:rsid w:val="00FA6B68"/>
    <w:rsid w:val="00FA7A83"/>
    <w:rsid w:val="00FB0060"/>
    <w:rsid w:val="00FB006F"/>
    <w:rsid w:val="00FB00E5"/>
    <w:rsid w:val="00FB016A"/>
    <w:rsid w:val="00FB0DB9"/>
    <w:rsid w:val="00FB0DEF"/>
    <w:rsid w:val="00FB0E80"/>
    <w:rsid w:val="00FB17BF"/>
    <w:rsid w:val="00FB17DA"/>
    <w:rsid w:val="00FB189E"/>
    <w:rsid w:val="00FB2F3E"/>
    <w:rsid w:val="00FB3A5B"/>
    <w:rsid w:val="00FB3A6F"/>
    <w:rsid w:val="00FB3C87"/>
    <w:rsid w:val="00FB3EA3"/>
    <w:rsid w:val="00FB40C3"/>
    <w:rsid w:val="00FB4304"/>
    <w:rsid w:val="00FB4385"/>
    <w:rsid w:val="00FB4478"/>
    <w:rsid w:val="00FB518A"/>
    <w:rsid w:val="00FB51C0"/>
    <w:rsid w:val="00FB5429"/>
    <w:rsid w:val="00FB699D"/>
    <w:rsid w:val="00FB6A2F"/>
    <w:rsid w:val="00FB6CBC"/>
    <w:rsid w:val="00FB73C5"/>
    <w:rsid w:val="00FB7EC7"/>
    <w:rsid w:val="00FC03E8"/>
    <w:rsid w:val="00FC07B9"/>
    <w:rsid w:val="00FC0860"/>
    <w:rsid w:val="00FC08FD"/>
    <w:rsid w:val="00FC121C"/>
    <w:rsid w:val="00FC1D44"/>
    <w:rsid w:val="00FC20D4"/>
    <w:rsid w:val="00FC2931"/>
    <w:rsid w:val="00FC328A"/>
    <w:rsid w:val="00FC3B03"/>
    <w:rsid w:val="00FC3CB6"/>
    <w:rsid w:val="00FC3E45"/>
    <w:rsid w:val="00FC3FCD"/>
    <w:rsid w:val="00FC4226"/>
    <w:rsid w:val="00FC443F"/>
    <w:rsid w:val="00FC4581"/>
    <w:rsid w:val="00FC476E"/>
    <w:rsid w:val="00FC4D8D"/>
    <w:rsid w:val="00FC4E21"/>
    <w:rsid w:val="00FC540F"/>
    <w:rsid w:val="00FC5464"/>
    <w:rsid w:val="00FC5773"/>
    <w:rsid w:val="00FC5F6D"/>
    <w:rsid w:val="00FC688F"/>
    <w:rsid w:val="00FC71BA"/>
    <w:rsid w:val="00FC7BD2"/>
    <w:rsid w:val="00FC7D25"/>
    <w:rsid w:val="00FD0107"/>
    <w:rsid w:val="00FD0B09"/>
    <w:rsid w:val="00FD14E8"/>
    <w:rsid w:val="00FD167B"/>
    <w:rsid w:val="00FD1D61"/>
    <w:rsid w:val="00FD1EFC"/>
    <w:rsid w:val="00FD211E"/>
    <w:rsid w:val="00FD2797"/>
    <w:rsid w:val="00FD2C2F"/>
    <w:rsid w:val="00FD2C88"/>
    <w:rsid w:val="00FD2DBA"/>
    <w:rsid w:val="00FD3A83"/>
    <w:rsid w:val="00FD3AAD"/>
    <w:rsid w:val="00FD3B31"/>
    <w:rsid w:val="00FD3EA2"/>
    <w:rsid w:val="00FD4126"/>
    <w:rsid w:val="00FD4593"/>
    <w:rsid w:val="00FD54D6"/>
    <w:rsid w:val="00FD564B"/>
    <w:rsid w:val="00FD58BD"/>
    <w:rsid w:val="00FD5BF2"/>
    <w:rsid w:val="00FD602F"/>
    <w:rsid w:val="00FD66A9"/>
    <w:rsid w:val="00FD67F6"/>
    <w:rsid w:val="00FD6A85"/>
    <w:rsid w:val="00FD7148"/>
    <w:rsid w:val="00FD7975"/>
    <w:rsid w:val="00FD7A7D"/>
    <w:rsid w:val="00FD7AC3"/>
    <w:rsid w:val="00FD7C9A"/>
    <w:rsid w:val="00FE0150"/>
    <w:rsid w:val="00FE0165"/>
    <w:rsid w:val="00FE02F1"/>
    <w:rsid w:val="00FE0500"/>
    <w:rsid w:val="00FE06F1"/>
    <w:rsid w:val="00FE1823"/>
    <w:rsid w:val="00FE1DF5"/>
    <w:rsid w:val="00FE2091"/>
    <w:rsid w:val="00FE22A7"/>
    <w:rsid w:val="00FE2490"/>
    <w:rsid w:val="00FE24F1"/>
    <w:rsid w:val="00FE2A2F"/>
    <w:rsid w:val="00FE2AAE"/>
    <w:rsid w:val="00FE2E96"/>
    <w:rsid w:val="00FE369B"/>
    <w:rsid w:val="00FE395C"/>
    <w:rsid w:val="00FE3DFF"/>
    <w:rsid w:val="00FE4661"/>
    <w:rsid w:val="00FE487A"/>
    <w:rsid w:val="00FE48C7"/>
    <w:rsid w:val="00FE4BCD"/>
    <w:rsid w:val="00FE4E39"/>
    <w:rsid w:val="00FE4EC1"/>
    <w:rsid w:val="00FE5132"/>
    <w:rsid w:val="00FE5C2F"/>
    <w:rsid w:val="00FE5F74"/>
    <w:rsid w:val="00FE6337"/>
    <w:rsid w:val="00FE66D9"/>
    <w:rsid w:val="00FE6B22"/>
    <w:rsid w:val="00FE6F62"/>
    <w:rsid w:val="00FE7072"/>
    <w:rsid w:val="00FE71E0"/>
    <w:rsid w:val="00FE7D15"/>
    <w:rsid w:val="00FE7D18"/>
    <w:rsid w:val="00FF01B1"/>
    <w:rsid w:val="00FF0569"/>
    <w:rsid w:val="00FF08EC"/>
    <w:rsid w:val="00FF0E44"/>
    <w:rsid w:val="00FF1004"/>
    <w:rsid w:val="00FF1219"/>
    <w:rsid w:val="00FF17C3"/>
    <w:rsid w:val="00FF188E"/>
    <w:rsid w:val="00FF18A1"/>
    <w:rsid w:val="00FF1AF8"/>
    <w:rsid w:val="00FF206E"/>
    <w:rsid w:val="00FF28B5"/>
    <w:rsid w:val="00FF2EA4"/>
    <w:rsid w:val="00FF34BF"/>
    <w:rsid w:val="00FF34F6"/>
    <w:rsid w:val="00FF36E3"/>
    <w:rsid w:val="00FF373B"/>
    <w:rsid w:val="00FF3AF5"/>
    <w:rsid w:val="00FF3B54"/>
    <w:rsid w:val="00FF3C69"/>
    <w:rsid w:val="00FF3D79"/>
    <w:rsid w:val="00FF3E79"/>
    <w:rsid w:val="00FF4B57"/>
    <w:rsid w:val="00FF59C9"/>
    <w:rsid w:val="00FF5A32"/>
    <w:rsid w:val="00FF5C4C"/>
    <w:rsid w:val="00FF5E8C"/>
    <w:rsid w:val="00FF64CA"/>
    <w:rsid w:val="00FF6D31"/>
    <w:rsid w:val="00FF6E0A"/>
    <w:rsid w:val="00FF6E0C"/>
    <w:rsid w:val="00FF7071"/>
    <w:rsid w:val="00FF7657"/>
    <w:rsid w:val="00FF7913"/>
    <w:rsid w:val="00FF7EBC"/>
    <w:rsid w:val="00FF7FA7"/>
    <w:rsid w:val="0D0A2F13"/>
    <w:rsid w:val="23AD57CA"/>
    <w:rsid w:val="504B14FA"/>
    <w:rsid w:val="58DACE57"/>
    <w:rsid w:val="7697FD89"/>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554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uiPriority="2" w:qFormat="1"/>
    <w:lsdException w:name="heading 4" w:uiPriority="3"/>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C34EF"/>
    <w:pPr>
      <w:spacing w:after="240" w:line="240" w:lineRule="atLeast"/>
    </w:pPr>
    <w:rPr>
      <w:rFonts w:ascii="Arial" w:hAnsi="Arial"/>
      <w:sz w:val="20"/>
    </w:rPr>
  </w:style>
  <w:style w:type="paragraph" w:styleId="Heading1">
    <w:name w:val="heading 1"/>
    <w:aliases w:val="RIS 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374186"/>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link w:val="Heading4Char"/>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aliases w:val="List Bullet 1"/>
    <w:basedOn w:val="Normal"/>
    <w:link w:val="ListBulletChar"/>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qForma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23"/>
    <w:qFormat/>
    <w:rsid w:val="00D61243"/>
    <w:pPr>
      <w:spacing w:after="0"/>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rsid w:val="00EE7F79"/>
    <w:rPr>
      <w:sz w:val="16"/>
      <w:szCs w:val="16"/>
    </w:rPr>
  </w:style>
  <w:style w:type="paragraph" w:styleId="CommentText">
    <w:name w:val="annotation text"/>
    <w:basedOn w:val="Normal"/>
    <w:link w:val="CommentTextChar"/>
    <w:uiPriority w:val="99"/>
    <w:qFormat/>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aliases w:val="RIS 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374186"/>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pPr>
      <w:ind w:left="360" w:hanging="360"/>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ulletLevel1">
    <w:name w:val="ACMA Bullet Level 1"/>
    <w:rsid w:val="005C34EF"/>
    <w:pPr>
      <w:numPr>
        <w:numId w:val="10"/>
      </w:numPr>
      <w:tabs>
        <w:tab w:val="num" w:pos="-31680"/>
      </w:tabs>
      <w:spacing w:after="120"/>
    </w:pPr>
    <w:rPr>
      <w:szCs w:val="20"/>
      <w:lang w:eastAsia="en-US"/>
    </w:rPr>
  </w:style>
  <w:style w:type="paragraph" w:customStyle="1" w:styleId="Protectivemarking">
    <w:name w:val="Protective marking"/>
    <w:basedOn w:val="ACMABulletLevel1"/>
    <w:uiPriority w:val="99"/>
    <w:qFormat/>
    <w:rsid w:val="005C34EF"/>
    <w:pPr>
      <w:numPr>
        <w:numId w:val="0"/>
      </w:numPr>
      <w:tabs>
        <w:tab w:val="left" w:pos="720"/>
      </w:tabs>
      <w:spacing w:after="0"/>
      <w:jc w:val="center"/>
    </w:pPr>
    <w:rPr>
      <w:rFonts w:ascii="Arial" w:hAnsi="Arial" w:cs="Arial"/>
      <w:b/>
      <w:bCs/>
      <w:color w:val="FF0000"/>
      <w:sz w:val="32"/>
      <w:szCs w:val="24"/>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23"/>
    <w:qFormat/>
    <w:rsid w:val="007B0932"/>
    <w:rPr>
      <w:rFonts w:ascii="Arial" w:hAnsi="Arial"/>
      <w:sz w:val="16"/>
      <w:szCs w:val="16"/>
    </w:rPr>
  </w:style>
  <w:style w:type="character" w:customStyle="1" w:styleId="ListBulletChar">
    <w:name w:val="List Bullet Char"/>
    <w:aliases w:val="List Bullet 1 Char"/>
    <w:basedOn w:val="DefaultParagraphFont"/>
    <w:link w:val="ListBullet"/>
    <w:rsid w:val="000C0D21"/>
    <w:rPr>
      <w:rFonts w:ascii="Arial" w:hAnsi="Arial"/>
      <w:sz w:val="20"/>
    </w:rPr>
  </w:style>
  <w:style w:type="paragraph" w:customStyle="1" w:styleId="ACMASpaceaftertable">
    <w:name w:val="ACMA_Space after table"/>
    <w:basedOn w:val="Normal"/>
    <w:qFormat/>
    <w:rsid w:val="000C0D21"/>
    <w:rPr>
      <w:rFonts w:cs="Arial"/>
    </w:rPr>
  </w:style>
  <w:style w:type="paragraph" w:customStyle="1" w:styleId="TableHeading0">
    <w:name w:val="Table Heading"/>
    <w:basedOn w:val="Normal"/>
    <w:qFormat/>
    <w:rsid w:val="000C0D21"/>
    <w:pPr>
      <w:spacing w:after="0"/>
    </w:pPr>
    <w:rPr>
      <w:b/>
    </w:rPr>
  </w:style>
  <w:style w:type="paragraph" w:styleId="ListParagraph">
    <w:name w:val="List Paragraph"/>
    <w:aliases w:val="List Paragraph1,Recommendation"/>
    <w:basedOn w:val="Normal"/>
    <w:link w:val="ListParagraphChar"/>
    <w:uiPriority w:val="34"/>
    <w:qFormat/>
    <w:rsid w:val="00C3099F"/>
    <w:pPr>
      <w:ind w:left="720"/>
      <w:contextualSpacing/>
    </w:pPr>
  </w:style>
  <w:style w:type="paragraph" w:customStyle="1" w:styleId="ACMABodyText">
    <w:name w:val="ACMA Body Text"/>
    <w:link w:val="ACMABodyTextChar"/>
    <w:rsid w:val="003B25A6"/>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locked/>
    <w:rsid w:val="003B25A6"/>
    <w:rPr>
      <w:snapToGrid w:val="0"/>
      <w:szCs w:val="20"/>
      <w:lang w:eastAsia="en-US"/>
    </w:rPr>
  </w:style>
  <w:style w:type="paragraph" w:customStyle="1" w:styleId="ACMANormalTabbed">
    <w:name w:val="ACMA_NormalTabbed"/>
    <w:basedOn w:val="Normal"/>
    <w:qFormat/>
    <w:rsid w:val="004A1C84"/>
    <w:pPr>
      <w:tabs>
        <w:tab w:val="left" w:pos="1134"/>
      </w:tabs>
    </w:pPr>
  </w:style>
  <w:style w:type="character" w:styleId="Mention">
    <w:name w:val="Mention"/>
    <w:basedOn w:val="DefaultParagraphFont"/>
    <w:uiPriority w:val="99"/>
    <w:unhideWhenUsed/>
    <w:rsid w:val="000A21D6"/>
    <w:rPr>
      <w:color w:val="2B579A"/>
      <w:shd w:val="clear" w:color="auto" w:fill="E1DFDD"/>
    </w:rPr>
  </w:style>
  <w:style w:type="paragraph" w:styleId="Revision">
    <w:name w:val="Revision"/>
    <w:hidden/>
    <w:semiHidden/>
    <w:rsid w:val="00A62D1A"/>
    <w:rPr>
      <w:rFonts w:ascii="Arial" w:hAnsi="Arial"/>
      <w:sz w:val="20"/>
    </w:rPr>
  </w:style>
  <w:style w:type="character" w:customStyle="1" w:styleId="ListParagraphChar">
    <w:name w:val="List Paragraph Char"/>
    <w:aliases w:val="List Paragraph1 Char,Recommendation Char"/>
    <w:basedOn w:val="DefaultParagraphFont"/>
    <w:link w:val="ListParagraph"/>
    <w:uiPriority w:val="34"/>
    <w:rsid w:val="00F1636D"/>
    <w:rPr>
      <w:rFonts w:ascii="Arial" w:hAnsi="Arial"/>
      <w:sz w:val="20"/>
    </w:rPr>
  </w:style>
  <w:style w:type="character" w:customStyle="1" w:styleId="normaltextrun">
    <w:name w:val="normaltextrun"/>
    <w:basedOn w:val="DefaultParagraphFont"/>
    <w:rsid w:val="00654CC2"/>
  </w:style>
  <w:style w:type="character" w:customStyle="1" w:styleId="eop">
    <w:name w:val="eop"/>
    <w:basedOn w:val="DefaultParagraphFont"/>
    <w:rsid w:val="00654CC2"/>
  </w:style>
  <w:style w:type="character" w:customStyle="1" w:styleId="scxw71022229">
    <w:name w:val="scxw71022229"/>
    <w:basedOn w:val="DefaultParagraphFont"/>
    <w:rsid w:val="00654CC2"/>
  </w:style>
  <w:style w:type="character" w:styleId="IntenseReference">
    <w:name w:val="Intense Reference"/>
    <w:basedOn w:val="DefaultParagraphFont"/>
    <w:rsid w:val="00B83B2B"/>
    <w:rPr>
      <w:b/>
      <w:bCs/>
      <w:smallCaps/>
      <w:color w:val="4F81BD" w:themeColor="accent1"/>
      <w:spacing w:val="5"/>
    </w:rPr>
  </w:style>
  <w:style w:type="paragraph" w:customStyle="1" w:styleId="Default">
    <w:name w:val="Default"/>
    <w:rsid w:val="00220DA2"/>
    <w:pPr>
      <w:autoSpaceDE w:val="0"/>
      <w:autoSpaceDN w:val="0"/>
      <w:adjustRightInd w:val="0"/>
    </w:pPr>
    <w:rPr>
      <w:rFonts w:ascii="Arial" w:hAnsi="Arial" w:cs="Arial"/>
      <w:color w:val="000000"/>
    </w:rPr>
  </w:style>
  <w:style w:type="character" w:customStyle="1" w:styleId="Heading4Char">
    <w:name w:val="Heading 4 Char"/>
    <w:basedOn w:val="DefaultParagraphFont"/>
    <w:link w:val="Heading4"/>
    <w:uiPriority w:val="3"/>
    <w:rsid w:val="000B5A6D"/>
    <w:rPr>
      <w:rFonts w:ascii="Arial" w:hAnsi="Arial" w:cs="Arial"/>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4616">
      <w:bodyDiv w:val="1"/>
      <w:marLeft w:val="0"/>
      <w:marRight w:val="0"/>
      <w:marTop w:val="0"/>
      <w:marBottom w:val="0"/>
      <w:divBdr>
        <w:top w:val="none" w:sz="0" w:space="0" w:color="auto"/>
        <w:left w:val="none" w:sz="0" w:space="0" w:color="auto"/>
        <w:bottom w:val="none" w:sz="0" w:space="0" w:color="auto"/>
        <w:right w:val="none" w:sz="0" w:space="0" w:color="auto"/>
      </w:divBdr>
    </w:div>
    <w:div w:id="94205910">
      <w:bodyDiv w:val="1"/>
      <w:marLeft w:val="0"/>
      <w:marRight w:val="0"/>
      <w:marTop w:val="0"/>
      <w:marBottom w:val="0"/>
      <w:divBdr>
        <w:top w:val="none" w:sz="0" w:space="0" w:color="auto"/>
        <w:left w:val="none" w:sz="0" w:space="0" w:color="auto"/>
        <w:bottom w:val="none" w:sz="0" w:space="0" w:color="auto"/>
        <w:right w:val="none" w:sz="0" w:space="0" w:color="auto"/>
      </w:divBdr>
    </w:div>
    <w:div w:id="99952149">
      <w:bodyDiv w:val="1"/>
      <w:marLeft w:val="0"/>
      <w:marRight w:val="0"/>
      <w:marTop w:val="0"/>
      <w:marBottom w:val="0"/>
      <w:divBdr>
        <w:top w:val="none" w:sz="0" w:space="0" w:color="auto"/>
        <w:left w:val="none" w:sz="0" w:space="0" w:color="auto"/>
        <w:bottom w:val="none" w:sz="0" w:space="0" w:color="auto"/>
        <w:right w:val="none" w:sz="0" w:space="0" w:color="auto"/>
      </w:divBdr>
    </w:div>
    <w:div w:id="208301560">
      <w:bodyDiv w:val="1"/>
      <w:marLeft w:val="0"/>
      <w:marRight w:val="0"/>
      <w:marTop w:val="0"/>
      <w:marBottom w:val="0"/>
      <w:divBdr>
        <w:top w:val="none" w:sz="0" w:space="0" w:color="auto"/>
        <w:left w:val="none" w:sz="0" w:space="0" w:color="auto"/>
        <w:bottom w:val="none" w:sz="0" w:space="0" w:color="auto"/>
        <w:right w:val="none" w:sz="0" w:space="0" w:color="auto"/>
      </w:divBdr>
    </w:div>
    <w:div w:id="248539335">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10989878">
      <w:bodyDiv w:val="1"/>
      <w:marLeft w:val="0"/>
      <w:marRight w:val="0"/>
      <w:marTop w:val="0"/>
      <w:marBottom w:val="0"/>
      <w:divBdr>
        <w:top w:val="none" w:sz="0" w:space="0" w:color="auto"/>
        <w:left w:val="none" w:sz="0" w:space="0" w:color="auto"/>
        <w:bottom w:val="none" w:sz="0" w:space="0" w:color="auto"/>
        <w:right w:val="none" w:sz="0" w:space="0" w:color="auto"/>
      </w:divBdr>
    </w:div>
    <w:div w:id="317423547">
      <w:bodyDiv w:val="1"/>
      <w:marLeft w:val="0"/>
      <w:marRight w:val="0"/>
      <w:marTop w:val="0"/>
      <w:marBottom w:val="0"/>
      <w:divBdr>
        <w:top w:val="none" w:sz="0" w:space="0" w:color="auto"/>
        <w:left w:val="none" w:sz="0" w:space="0" w:color="auto"/>
        <w:bottom w:val="none" w:sz="0" w:space="0" w:color="auto"/>
        <w:right w:val="none" w:sz="0" w:space="0" w:color="auto"/>
      </w:divBdr>
    </w:div>
    <w:div w:id="321785350">
      <w:bodyDiv w:val="1"/>
      <w:marLeft w:val="0"/>
      <w:marRight w:val="0"/>
      <w:marTop w:val="0"/>
      <w:marBottom w:val="0"/>
      <w:divBdr>
        <w:top w:val="none" w:sz="0" w:space="0" w:color="auto"/>
        <w:left w:val="none" w:sz="0" w:space="0" w:color="auto"/>
        <w:bottom w:val="none" w:sz="0" w:space="0" w:color="auto"/>
        <w:right w:val="none" w:sz="0" w:space="0" w:color="auto"/>
      </w:divBdr>
    </w:div>
    <w:div w:id="349449172">
      <w:bodyDiv w:val="1"/>
      <w:marLeft w:val="0"/>
      <w:marRight w:val="0"/>
      <w:marTop w:val="0"/>
      <w:marBottom w:val="0"/>
      <w:divBdr>
        <w:top w:val="none" w:sz="0" w:space="0" w:color="auto"/>
        <w:left w:val="none" w:sz="0" w:space="0" w:color="auto"/>
        <w:bottom w:val="none" w:sz="0" w:space="0" w:color="auto"/>
        <w:right w:val="none" w:sz="0" w:space="0" w:color="auto"/>
      </w:divBdr>
    </w:div>
    <w:div w:id="384569754">
      <w:bodyDiv w:val="1"/>
      <w:marLeft w:val="0"/>
      <w:marRight w:val="0"/>
      <w:marTop w:val="0"/>
      <w:marBottom w:val="0"/>
      <w:divBdr>
        <w:top w:val="none" w:sz="0" w:space="0" w:color="auto"/>
        <w:left w:val="none" w:sz="0" w:space="0" w:color="auto"/>
        <w:bottom w:val="none" w:sz="0" w:space="0" w:color="auto"/>
        <w:right w:val="none" w:sz="0" w:space="0" w:color="auto"/>
      </w:divBdr>
    </w:div>
    <w:div w:id="388303161">
      <w:bodyDiv w:val="1"/>
      <w:marLeft w:val="0"/>
      <w:marRight w:val="0"/>
      <w:marTop w:val="0"/>
      <w:marBottom w:val="0"/>
      <w:divBdr>
        <w:top w:val="none" w:sz="0" w:space="0" w:color="auto"/>
        <w:left w:val="none" w:sz="0" w:space="0" w:color="auto"/>
        <w:bottom w:val="none" w:sz="0" w:space="0" w:color="auto"/>
        <w:right w:val="none" w:sz="0" w:space="0" w:color="auto"/>
      </w:divBdr>
    </w:div>
    <w:div w:id="473525495">
      <w:bodyDiv w:val="1"/>
      <w:marLeft w:val="0"/>
      <w:marRight w:val="0"/>
      <w:marTop w:val="0"/>
      <w:marBottom w:val="0"/>
      <w:divBdr>
        <w:top w:val="none" w:sz="0" w:space="0" w:color="auto"/>
        <w:left w:val="none" w:sz="0" w:space="0" w:color="auto"/>
        <w:bottom w:val="none" w:sz="0" w:space="0" w:color="auto"/>
        <w:right w:val="none" w:sz="0" w:space="0" w:color="auto"/>
      </w:divBdr>
    </w:div>
    <w:div w:id="523717563">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12177071">
      <w:bodyDiv w:val="1"/>
      <w:marLeft w:val="0"/>
      <w:marRight w:val="0"/>
      <w:marTop w:val="0"/>
      <w:marBottom w:val="0"/>
      <w:divBdr>
        <w:top w:val="none" w:sz="0" w:space="0" w:color="auto"/>
        <w:left w:val="none" w:sz="0" w:space="0" w:color="auto"/>
        <w:bottom w:val="none" w:sz="0" w:space="0" w:color="auto"/>
        <w:right w:val="none" w:sz="0" w:space="0" w:color="auto"/>
      </w:divBdr>
    </w:div>
    <w:div w:id="616986441">
      <w:bodyDiv w:val="1"/>
      <w:marLeft w:val="0"/>
      <w:marRight w:val="0"/>
      <w:marTop w:val="0"/>
      <w:marBottom w:val="0"/>
      <w:divBdr>
        <w:top w:val="none" w:sz="0" w:space="0" w:color="auto"/>
        <w:left w:val="none" w:sz="0" w:space="0" w:color="auto"/>
        <w:bottom w:val="none" w:sz="0" w:space="0" w:color="auto"/>
        <w:right w:val="none" w:sz="0" w:space="0" w:color="auto"/>
      </w:divBdr>
    </w:div>
    <w:div w:id="668483812">
      <w:bodyDiv w:val="1"/>
      <w:marLeft w:val="0"/>
      <w:marRight w:val="0"/>
      <w:marTop w:val="0"/>
      <w:marBottom w:val="0"/>
      <w:divBdr>
        <w:top w:val="none" w:sz="0" w:space="0" w:color="auto"/>
        <w:left w:val="none" w:sz="0" w:space="0" w:color="auto"/>
        <w:bottom w:val="none" w:sz="0" w:space="0" w:color="auto"/>
        <w:right w:val="none" w:sz="0" w:space="0" w:color="auto"/>
      </w:divBdr>
    </w:div>
    <w:div w:id="690381377">
      <w:bodyDiv w:val="1"/>
      <w:marLeft w:val="0"/>
      <w:marRight w:val="0"/>
      <w:marTop w:val="0"/>
      <w:marBottom w:val="0"/>
      <w:divBdr>
        <w:top w:val="none" w:sz="0" w:space="0" w:color="auto"/>
        <w:left w:val="none" w:sz="0" w:space="0" w:color="auto"/>
        <w:bottom w:val="none" w:sz="0" w:space="0" w:color="auto"/>
        <w:right w:val="none" w:sz="0" w:space="0" w:color="auto"/>
      </w:divBdr>
    </w:div>
    <w:div w:id="738790694">
      <w:bodyDiv w:val="1"/>
      <w:marLeft w:val="0"/>
      <w:marRight w:val="0"/>
      <w:marTop w:val="0"/>
      <w:marBottom w:val="0"/>
      <w:divBdr>
        <w:top w:val="none" w:sz="0" w:space="0" w:color="auto"/>
        <w:left w:val="none" w:sz="0" w:space="0" w:color="auto"/>
        <w:bottom w:val="none" w:sz="0" w:space="0" w:color="auto"/>
        <w:right w:val="none" w:sz="0" w:space="0" w:color="auto"/>
      </w:divBdr>
    </w:div>
    <w:div w:id="847796888">
      <w:bodyDiv w:val="1"/>
      <w:marLeft w:val="0"/>
      <w:marRight w:val="0"/>
      <w:marTop w:val="0"/>
      <w:marBottom w:val="0"/>
      <w:divBdr>
        <w:top w:val="none" w:sz="0" w:space="0" w:color="auto"/>
        <w:left w:val="none" w:sz="0" w:space="0" w:color="auto"/>
        <w:bottom w:val="none" w:sz="0" w:space="0" w:color="auto"/>
        <w:right w:val="none" w:sz="0" w:space="0" w:color="auto"/>
      </w:divBdr>
    </w:div>
    <w:div w:id="856038643">
      <w:bodyDiv w:val="1"/>
      <w:marLeft w:val="0"/>
      <w:marRight w:val="0"/>
      <w:marTop w:val="0"/>
      <w:marBottom w:val="0"/>
      <w:divBdr>
        <w:top w:val="none" w:sz="0" w:space="0" w:color="auto"/>
        <w:left w:val="none" w:sz="0" w:space="0" w:color="auto"/>
        <w:bottom w:val="none" w:sz="0" w:space="0" w:color="auto"/>
        <w:right w:val="none" w:sz="0" w:space="0" w:color="auto"/>
      </w:divBdr>
    </w:div>
    <w:div w:id="883981787">
      <w:bodyDiv w:val="1"/>
      <w:marLeft w:val="0"/>
      <w:marRight w:val="0"/>
      <w:marTop w:val="0"/>
      <w:marBottom w:val="0"/>
      <w:divBdr>
        <w:top w:val="none" w:sz="0" w:space="0" w:color="auto"/>
        <w:left w:val="none" w:sz="0" w:space="0" w:color="auto"/>
        <w:bottom w:val="none" w:sz="0" w:space="0" w:color="auto"/>
        <w:right w:val="none" w:sz="0" w:space="0" w:color="auto"/>
      </w:divBdr>
    </w:div>
    <w:div w:id="939491167">
      <w:bodyDiv w:val="1"/>
      <w:marLeft w:val="0"/>
      <w:marRight w:val="0"/>
      <w:marTop w:val="0"/>
      <w:marBottom w:val="0"/>
      <w:divBdr>
        <w:top w:val="none" w:sz="0" w:space="0" w:color="auto"/>
        <w:left w:val="none" w:sz="0" w:space="0" w:color="auto"/>
        <w:bottom w:val="none" w:sz="0" w:space="0" w:color="auto"/>
        <w:right w:val="none" w:sz="0" w:space="0" w:color="auto"/>
      </w:divBdr>
    </w:div>
    <w:div w:id="944772709">
      <w:bodyDiv w:val="1"/>
      <w:marLeft w:val="0"/>
      <w:marRight w:val="0"/>
      <w:marTop w:val="0"/>
      <w:marBottom w:val="0"/>
      <w:divBdr>
        <w:top w:val="none" w:sz="0" w:space="0" w:color="auto"/>
        <w:left w:val="none" w:sz="0" w:space="0" w:color="auto"/>
        <w:bottom w:val="none" w:sz="0" w:space="0" w:color="auto"/>
        <w:right w:val="none" w:sz="0" w:space="0" w:color="auto"/>
      </w:divBdr>
    </w:div>
    <w:div w:id="1031372552">
      <w:bodyDiv w:val="1"/>
      <w:marLeft w:val="0"/>
      <w:marRight w:val="0"/>
      <w:marTop w:val="0"/>
      <w:marBottom w:val="0"/>
      <w:divBdr>
        <w:top w:val="none" w:sz="0" w:space="0" w:color="auto"/>
        <w:left w:val="none" w:sz="0" w:space="0" w:color="auto"/>
        <w:bottom w:val="none" w:sz="0" w:space="0" w:color="auto"/>
        <w:right w:val="none" w:sz="0" w:space="0" w:color="auto"/>
      </w:divBdr>
    </w:div>
    <w:div w:id="1059400285">
      <w:bodyDiv w:val="1"/>
      <w:marLeft w:val="0"/>
      <w:marRight w:val="0"/>
      <w:marTop w:val="0"/>
      <w:marBottom w:val="0"/>
      <w:divBdr>
        <w:top w:val="none" w:sz="0" w:space="0" w:color="auto"/>
        <w:left w:val="none" w:sz="0" w:space="0" w:color="auto"/>
        <w:bottom w:val="none" w:sz="0" w:space="0" w:color="auto"/>
        <w:right w:val="none" w:sz="0" w:space="0" w:color="auto"/>
      </w:divBdr>
    </w:div>
    <w:div w:id="1135367845">
      <w:bodyDiv w:val="1"/>
      <w:marLeft w:val="0"/>
      <w:marRight w:val="0"/>
      <w:marTop w:val="0"/>
      <w:marBottom w:val="0"/>
      <w:divBdr>
        <w:top w:val="none" w:sz="0" w:space="0" w:color="auto"/>
        <w:left w:val="none" w:sz="0" w:space="0" w:color="auto"/>
        <w:bottom w:val="none" w:sz="0" w:space="0" w:color="auto"/>
        <w:right w:val="none" w:sz="0" w:space="0" w:color="auto"/>
      </w:divBdr>
    </w:div>
    <w:div w:id="1298225167">
      <w:bodyDiv w:val="1"/>
      <w:marLeft w:val="0"/>
      <w:marRight w:val="0"/>
      <w:marTop w:val="0"/>
      <w:marBottom w:val="0"/>
      <w:divBdr>
        <w:top w:val="none" w:sz="0" w:space="0" w:color="auto"/>
        <w:left w:val="none" w:sz="0" w:space="0" w:color="auto"/>
        <w:bottom w:val="none" w:sz="0" w:space="0" w:color="auto"/>
        <w:right w:val="none" w:sz="0" w:space="0" w:color="auto"/>
      </w:divBdr>
    </w:div>
    <w:div w:id="1351877519">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83155244">
      <w:bodyDiv w:val="1"/>
      <w:marLeft w:val="0"/>
      <w:marRight w:val="0"/>
      <w:marTop w:val="0"/>
      <w:marBottom w:val="0"/>
      <w:divBdr>
        <w:top w:val="none" w:sz="0" w:space="0" w:color="auto"/>
        <w:left w:val="none" w:sz="0" w:space="0" w:color="auto"/>
        <w:bottom w:val="none" w:sz="0" w:space="0" w:color="auto"/>
        <w:right w:val="none" w:sz="0" w:space="0" w:color="auto"/>
      </w:divBdr>
    </w:div>
    <w:div w:id="1520316936">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53409346">
      <w:bodyDiv w:val="1"/>
      <w:marLeft w:val="0"/>
      <w:marRight w:val="0"/>
      <w:marTop w:val="0"/>
      <w:marBottom w:val="0"/>
      <w:divBdr>
        <w:top w:val="none" w:sz="0" w:space="0" w:color="auto"/>
        <w:left w:val="none" w:sz="0" w:space="0" w:color="auto"/>
        <w:bottom w:val="none" w:sz="0" w:space="0" w:color="auto"/>
        <w:right w:val="none" w:sz="0" w:space="0" w:color="auto"/>
      </w:divBdr>
    </w:div>
    <w:div w:id="1751536059">
      <w:bodyDiv w:val="1"/>
      <w:marLeft w:val="0"/>
      <w:marRight w:val="0"/>
      <w:marTop w:val="0"/>
      <w:marBottom w:val="0"/>
      <w:divBdr>
        <w:top w:val="none" w:sz="0" w:space="0" w:color="auto"/>
        <w:left w:val="none" w:sz="0" w:space="0" w:color="auto"/>
        <w:bottom w:val="none" w:sz="0" w:space="0" w:color="auto"/>
        <w:right w:val="none" w:sz="0" w:space="0" w:color="auto"/>
      </w:divBdr>
    </w:div>
    <w:div w:id="1799765144">
      <w:bodyDiv w:val="1"/>
      <w:marLeft w:val="0"/>
      <w:marRight w:val="0"/>
      <w:marTop w:val="0"/>
      <w:marBottom w:val="0"/>
      <w:divBdr>
        <w:top w:val="none" w:sz="0" w:space="0" w:color="auto"/>
        <w:left w:val="none" w:sz="0" w:space="0" w:color="auto"/>
        <w:bottom w:val="none" w:sz="0" w:space="0" w:color="auto"/>
        <w:right w:val="none" w:sz="0" w:space="0" w:color="auto"/>
      </w:divBdr>
    </w:div>
    <w:div w:id="188844485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74161771">
      <w:bodyDiv w:val="1"/>
      <w:marLeft w:val="0"/>
      <w:marRight w:val="0"/>
      <w:marTop w:val="0"/>
      <w:marBottom w:val="0"/>
      <w:divBdr>
        <w:top w:val="none" w:sz="0" w:space="0" w:color="auto"/>
        <w:left w:val="none" w:sz="0" w:space="0" w:color="auto"/>
        <w:bottom w:val="none" w:sz="0" w:space="0" w:color="auto"/>
        <w:right w:val="none" w:sz="0" w:space="0" w:color="auto"/>
      </w:divBdr>
    </w:div>
    <w:div w:id="210167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ma.gov.au/consultations/2022-05/review-15-ghz-band-consultation-162022" TargetMode="External"/><Relationship Id="rId21" Type="http://schemas.openxmlformats.org/officeDocument/2006/relationships/header" Target="header6.xml"/><Relationship Id="rId42" Type="http://schemas.openxmlformats.org/officeDocument/2006/relationships/hyperlink" Target="https://www.acma.gov.au/business-operating-procedures-spectrum" TargetMode="External"/><Relationship Id="rId47" Type="http://schemas.openxmlformats.org/officeDocument/2006/relationships/hyperlink" Target="https://www.acma.gov.au/international-radiocommunications-activities" TargetMode="External"/><Relationship Id="rId63" Type="http://schemas.openxmlformats.org/officeDocument/2006/relationships/hyperlink" Target="https://www.legislation.gov.au/Series/F2015L01486" TargetMode="External"/><Relationship Id="rId68" Type="http://schemas.openxmlformats.org/officeDocument/2006/relationships/hyperlink" Target="https://www.acma.gov.au/consultations/2023-08/review-15-ghz-band-extended-mss-l-band-options-paper" TargetMode="External"/><Relationship Id="rId16" Type="http://schemas.openxmlformats.org/officeDocument/2006/relationships/hyperlink" Target="mailto:info@acma.gov.au" TargetMode="Externa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s://www.acma.gov.au/consultations/2022-05/review-15-ghz-band-consultation-162022" TargetMode="External"/><Relationship Id="rId37" Type="http://schemas.openxmlformats.org/officeDocument/2006/relationships/hyperlink" Target="https://www.legislation.gov.au/Details/C2021C00551" TargetMode="External"/><Relationship Id="rId40" Type="http://schemas.openxmlformats.org/officeDocument/2006/relationships/hyperlink" Target="https://www.legislation.gov.au/Details/F2021C00361" TargetMode="External"/><Relationship Id="rId45" Type="http://schemas.openxmlformats.org/officeDocument/2006/relationships/hyperlink" Target="https://www.legislation.gov.au/Series/F2015L01438" TargetMode="External"/><Relationship Id="rId53" Type="http://schemas.openxmlformats.org/officeDocument/2006/relationships/hyperlink" Target="https://www.acma.gov.au/publications/2020-08/guide/submission-and-processing-applications-space-and-space-receive-apparatus-licences" TargetMode="External"/><Relationship Id="rId58" Type="http://schemas.openxmlformats.org/officeDocument/2006/relationships/hyperlink" Target="https://www.acma.gov.au/publications/2020-08/guide/submission-and-processing-applications-space-and-space-receive-apparatus-licences" TargetMode="External"/><Relationship Id="rId66" Type="http://schemas.openxmlformats.org/officeDocument/2006/relationships/hyperlink" Target="https://www.acma.gov.au/publications/2020-08/guide/submission-and-processing-applications-space-and-space-receive-apparatus-licences" TargetMode="External"/><Relationship Id="rId74"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hyperlink" Target="https://www.acma.gov.au/publications/2020-08/guide/submission-and-processing-applications-space-and-space-receive-apparatus-licences" TargetMode="External"/><Relationship Id="rId19" Type="http://schemas.openxmlformats.org/officeDocument/2006/relationships/footer" Target="footer3.xml"/><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hyperlink" Target="https://www.acma.gov.au/consultations/2023-08/review-15-ghz-band-extended-mss-l-band-options-paper" TargetMode="External"/><Relationship Id="rId30" Type="http://schemas.openxmlformats.org/officeDocument/2006/relationships/hyperlink" Target="https://www.acma.gov.au/publications/2020-08/guide/submission-and-processing-applications-space-and-space-receive-apparatus-licences" TargetMode="External"/><Relationship Id="rId35" Type="http://schemas.openxmlformats.org/officeDocument/2006/relationships/hyperlink" Target="https://www.infrastructure.gov.au/department/media/publications/australian-communications-and-media-authority-statement-expectations" TargetMode="External"/><Relationship Id="rId43" Type="http://schemas.openxmlformats.org/officeDocument/2006/relationships/hyperlink" Target="https://www.legislation.gov.au/Details/F2022C00699" TargetMode="External"/><Relationship Id="rId48" Type="http://schemas.openxmlformats.org/officeDocument/2006/relationships/hyperlink" Target="mailto:irs@acma.gov.au" TargetMode="External"/><Relationship Id="rId56" Type="http://schemas.openxmlformats.org/officeDocument/2006/relationships/hyperlink" Target="https://www.legislation.gov.au/Series/F2023L00286" TargetMode="External"/><Relationship Id="rId64" Type="http://schemas.openxmlformats.org/officeDocument/2006/relationships/hyperlink" Target="https://www.legislation.gov.au/Details/F2023C00524" TargetMode="External"/><Relationship Id="rId69" Type="http://schemas.openxmlformats.org/officeDocument/2006/relationships/hyperlink" Target="https://www.acma.gov.au/consultations/2021-11/exploring-future-use-19-ghz-band-consultation-402021"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legislation.gov.au/Series/F2015L01486" TargetMode="External"/><Relationship Id="rId72"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s://www.acma.gov.au/consultations/2023-08/review-15-ghz-band-extended-mss-l-band-options-paper" TargetMode="External"/><Relationship Id="rId38" Type="http://schemas.openxmlformats.org/officeDocument/2006/relationships/hyperlink" Target="https://www.acma.gov.au/fees-apparatus-licences" TargetMode="External"/><Relationship Id="rId46" Type="http://schemas.openxmlformats.org/officeDocument/2006/relationships/hyperlink" Target="https://www.acma.gov.au/publications/2023-10/five-year-spectrum-outlook-2023-28" TargetMode="External"/><Relationship Id="rId59" Type="http://schemas.openxmlformats.org/officeDocument/2006/relationships/hyperlink" Target="https://www.acma.gov.au/five-year-spectrum-outlook" TargetMode="External"/><Relationship Id="rId67" Type="http://schemas.openxmlformats.org/officeDocument/2006/relationships/hyperlink" Target="https://www.legislation.gov.au/Series/F2021L00617" TargetMode="External"/><Relationship Id="rId20" Type="http://schemas.openxmlformats.org/officeDocument/2006/relationships/footer" Target="footer4.xml"/><Relationship Id="rId41" Type="http://schemas.openxmlformats.org/officeDocument/2006/relationships/hyperlink" Target="https://www.legislation.gov.au/Details/F2022C00589" TargetMode="External"/><Relationship Id="rId54" Type="http://schemas.openxmlformats.org/officeDocument/2006/relationships/hyperlink" Target="https://www.legislation.gov.au/Series/F2015L01486" TargetMode="External"/><Relationship Id="rId62" Type="http://schemas.openxmlformats.org/officeDocument/2006/relationships/hyperlink" Target="https://www.legislation.gov.au/Details/F2015L01271" TargetMode="External"/><Relationship Id="rId70" Type="http://schemas.openxmlformats.org/officeDocument/2006/relationships/hyperlink" Target="https://www.acma.gov.au/consultations/2022-05/review-15-ghz-band-consultation-162022" TargetMode="External"/><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footer" Target="footer5.xml"/><Relationship Id="rId28" Type="http://schemas.openxmlformats.org/officeDocument/2006/relationships/hyperlink" Target="https://www.legislation.gov.au/Series/F2015L01438" TargetMode="External"/><Relationship Id="rId36" Type="http://schemas.openxmlformats.org/officeDocument/2006/relationships/hyperlink" Target="https://www.acma.gov.au/publications/2023-03/plan/acma-statement-intent" TargetMode="External"/><Relationship Id="rId49" Type="http://schemas.openxmlformats.org/officeDocument/2006/relationships/hyperlink" Target="mailto:wrc@communications.gov.au" TargetMode="External"/><Relationship Id="rId57" Type="http://schemas.openxmlformats.org/officeDocument/2006/relationships/hyperlink" Target="https://www.acma.gov.au/node/1507" TargetMode="External"/><Relationship Id="rId10" Type="http://schemas.openxmlformats.org/officeDocument/2006/relationships/footer" Target="footer1.xml"/><Relationship Id="rId31" Type="http://schemas.openxmlformats.org/officeDocument/2006/relationships/hyperlink" Target="https://www.legislation.gov.au/Details/F2021L00617" TargetMode="External"/><Relationship Id="rId44" Type="http://schemas.openxmlformats.org/officeDocument/2006/relationships/hyperlink" Target="https://www.acma.gov.au/object-and-scope-radiocommunications-act-1992" TargetMode="External"/><Relationship Id="rId52" Type="http://schemas.openxmlformats.org/officeDocument/2006/relationships/hyperlink" Target="https://www.acma.gov.au/consultations/2023-08/review-15-ghz-band-extended-mss-l-band-options-paper" TargetMode="External"/><Relationship Id="rId60" Type="http://schemas.openxmlformats.org/officeDocument/2006/relationships/hyperlink" Target="https://www.legislation.gov.au/Series/F2015L01486" TargetMode="External"/><Relationship Id="rId65" Type="http://schemas.openxmlformats.org/officeDocument/2006/relationships/hyperlink" Target="https://www.acma.gov.au/consultations/2022-05/review-15-ghz-band-consultation-162022" TargetMode="External"/><Relationship Id="rId73" Type="http://schemas.openxmlformats.org/officeDocument/2006/relationships/header" Target="header8.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i.creativecommons.org/l/by/3.0/88x31.png" TargetMode="External"/><Relationship Id="rId18" Type="http://schemas.openxmlformats.org/officeDocument/2006/relationships/header" Target="header5.xml"/><Relationship Id="rId39" Type="http://schemas.openxmlformats.org/officeDocument/2006/relationships/hyperlink" Target="https://www.acma.gov.au/publications/2020-02/guide/area-wide-licensing-acma-approach-introducing-area-wide-licences" TargetMode="External"/><Relationship Id="rId34" Type="http://schemas.openxmlformats.org/officeDocument/2006/relationships/hyperlink" Target="https://www.legislation.gov.au/Details/C2019C00262" TargetMode="External"/><Relationship Id="rId50" Type="http://schemas.openxmlformats.org/officeDocument/2006/relationships/hyperlink" Target="https://www.legislation.gov.au/Series/F2015L01438" TargetMode="External"/><Relationship Id="rId55" Type="http://schemas.openxmlformats.org/officeDocument/2006/relationships/hyperlink" Target="https://www.acma.gov.au/publications/2020-08/guide/submission-and-processing-applications-space-and-space-receive-apparatus-licences" TargetMode="External"/><Relationship Id="rId76"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image" Target="media/image5.png"/><Relationship Id="rId2" Type="http://schemas.openxmlformats.org/officeDocument/2006/relationships/numbering" Target="numbering.xml"/><Relationship Id="rId29"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inister.infrastructure.gov.au/rowland/media-release/new-satellite-working-group-charts-way-forward-telco-industry" TargetMode="External"/><Relationship Id="rId2" Type="http://schemas.openxmlformats.org/officeDocument/2006/relationships/hyperlink" Target="https://www.infrastructure.gov.au/sites/default/files/documents/rtr2021-submission-no-613-telstra-public.pdf" TargetMode="External"/><Relationship Id="rId1" Type="http://schemas.openxmlformats.org/officeDocument/2006/relationships/hyperlink" Target="https://www.acma.gov.au/publications/2023-07/plan/corporate-plan-2023-24" TargetMode="External"/><Relationship Id="rId5" Type="http://schemas.openxmlformats.org/officeDocument/2006/relationships/hyperlink" Target="https://www.acma.gov.au/procedure-earth-and-earth-receive-licensing-and-registering-earth-stations" TargetMode="External"/><Relationship Id="rId4" Type="http://schemas.openxmlformats.org/officeDocument/2006/relationships/hyperlink" Target="https://www.acma.gov.au/procedures-space-and-space-receive-licens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A989-5C4A-4385-8AA8-9B897F0D87F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32</Pages>
  <Words>10189</Words>
  <Characters>56350</Characters>
  <Application>Microsoft Office Word</Application>
  <DocSecurity>0</DocSecurity>
  <Lines>1198</Lines>
  <Paragraphs>599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Industry feedback and ACMA considerations</vt:lpstr>
      <vt:lpstr>    Planning decision</vt:lpstr>
      <vt:lpstr>    Next steps</vt:lpstr>
      <vt:lpstr>Introduction</vt:lpstr>
      <vt:lpstr>    Legislative and policy environment</vt:lpstr>
      <vt:lpstr>        Regional connectivity and satellite communications</vt:lpstr>
      <vt:lpstr>    Licensing arrangements</vt:lpstr>
      <vt:lpstr>        Licensing of space-based communication systems</vt:lpstr>
      <vt:lpstr>    Spectrum planning outcomes development</vt:lpstr>
      <vt:lpstr>    Issues not within the scope of this paper </vt:lpstr>
      <vt:lpstr>        Apparatus licence tax arrangements </vt:lpstr>
      <vt:lpstr>        Engagement in international activities </vt:lpstr>
      <vt:lpstr>The process to date</vt:lpstr>
      <vt:lpstr>    Overall approach to replanning the band</vt:lpstr>
      <vt:lpstr>        The May 2022 paper</vt:lpstr>
      <vt:lpstr>        Options paper</vt:lpstr>
      <vt:lpstr>    Discussion of responses</vt:lpstr>
      <vt:lpstr>Summary and response to options paper issues</vt:lpstr>
      <vt:lpstr>    Issues for comment </vt:lpstr>
      <vt:lpstr>    Reply to comment</vt:lpstr>
      <vt:lpstr>Planning outcomes</vt:lpstr>
      <vt:lpstr>    Planning decisions</vt:lpstr>
      <vt:lpstr>    Coexistence considerations</vt:lpstr>
      <vt:lpstr>        1518–1525 MHz and adjacent bands</vt:lpstr>
      <vt:lpstr>        1668–1675 MHz and adjacent bands</vt:lpstr>
      <vt:lpstr>    Licensing arrangements for MSS </vt:lpstr>
      <vt:lpstr>Next steps</vt:lpstr>
      <vt:lpstr>Glossary</vt:lpstr>
      <vt:lpstr>Appendix A: List of respondents</vt:lpstr>
      <vt:lpstr>Appendix B: Summary of 1.5 GHz band arrangements </vt:lpstr>
    </vt:vector>
  </TitlesOfParts>
  <Manager/>
  <Company/>
  <LinksUpToDate>false</LinksUpToDate>
  <CharactersWithSpaces>65940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2023-12-18T05:24:00Z</dcterms:created>
  <dcterms:modified xsi:type="dcterms:W3CDTF">2023-12-18T05:25:00Z</dcterms:modified>
  <cp:category/>
</cp:coreProperties>
</file>