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8FA8" w14:textId="26CA5436" w:rsidR="00F06E14" w:rsidRPr="00A51D1A" w:rsidRDefault="00F52412" w:rsidP="00A51D1A">
      <w:pPr>
        <w:pStyle w:val="ACMAReportTitle"/>
      </w:pPr>
      <w:r>
        <w:t>B</w:t>
      </w:r>
      <w:r w:rsidR="00232AAB" w:rsidRPr="00232AAB">
        <w:t>usiness operating procedure</w:t>
      </w:r>
    </w:p>
    <w:p w14:paraId="3708118C" w14:textId="77777777" w:rsidR="00F06E14" w:rsidRDefault="00232AAB" w:rsidP="00F06E14">
      <w:pPr>
        <w:pStyle w:val="ACMAReportSubTitle"/>
      </w:pPr>
      <w:r w:rsidRPr="00232AAB">
        <w:t>Submission and processing of applications for space and space receive apparatus licences</w:t>
      </w:r>
    </w:p>
    <w:p w14:paraId="4B9608D1" w14:textId="5EC4C4E4" w:rsidR="00F06E14" w:rsidRDefault="000B3577" w:rsidP="00D47AEB">
      <w:pPr>
        <w:pStyle w:val="ACMAReportDate"/>
        <w:spacing w:after="720"/>
      </w:pPr>
      <w:r>
        <w:t xml:space="preserve"> </w:t>
      </w:r>
      <w:r w:rsidR="00A4587A">
        <w:t xml:space="preserve">December </w:t>
      </w:r>
      <w:r>
        <w:t>202</w:t>
      </w:r>
      <w:r w:rsidR="00A4587A">
        <w:t>3</w:t>
      </w:r>
    </w:p>
    <w:p w14:paraId="55DD156A" w14:textId="77777777" w:rsidR="00C97736" w:rsidRPr="000D76E0" w:rsidRDefault="00C97736" w:rsidP="0041071D">
      <w:pPr>
        <w:rPr>
          <w:rFonts w:cs="Arial"/>
        </w:rPr>
      </w:pPr>
    </w:p>
    <w:p w14:paraId="1D8B5508" w14:textId="77777777" w:rsidR="00C97736" w:rsidRPr="000D76E0" w:rsidRDefault="00C97736" w:rsidP="0041071D">
      <w:pPr>
        <w:rPr>
          <w:rFonts w:cs="Arial"/>
        </w:rPr>
        <w:sectPr w:rsidR="00C97736" w:rsidRPr="000D76E0" w:rsidSect="004F556E">
          <w:headerReference w:type="default" r:id="rId8"/>
          <w:footerReference w:type="default" r:id="rId9"/>
          <w:headerReference w:type="first" r:id="rId10"/>
          <w:pgSz w:w="11906" w:h="16838" w:code="9"/>
          <w:pgMar w:top="3924" w:right="1797" w:bottom="1440" w:left="1134" w:header="709" w:footer="454" w:gutter="0"/>
          <w:cols w:space="708"/>
          <w:docGrid w:linePitch="360"/>
        </w:sectPr>
      </w:pPr>
    </w:p>
    <w:p w14:paraId="0549DF5D" w14:textId="77777777" w:rsidR="0005011A" w:rsidRPr="00F44F3A" w:rsidRDefault="0005011A" w:rsidP="00FC07B9">
      <w:pPr>
        <w:pStyle w:val="ACMACorporateAddressHeader"/>
      </w:pPr>
      <w:r w:rsidRPr="00F44F3A">
        <w:lastRenderedPageBreak/>
        <w:t>Canberra</w:t>
      </w:r>
    </w:p>
    <w:p w14:paraId="7E0AA2E3"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7917CFD4" w14:textId="77777777" w:rsidR="0005011A" w:rsidRPr="00FC07B9" w:rsidRDefault="0005011A" w:rsidP="00FC07B9">
      <w:pPr>
        <w:pStyle w:val="ACMACorporateAddresses"/>
      </w:pPr>
      <w:r w:rsidRPr="00FC07B9">
        <w:t>PO Box 78</w:t>
      </w:r>
      <w:r w:rsidRPr="00FC07B9">
        <w:br/>
        <w:t>Belconnen ACT 2616</w:t>
      </w:r>
    </w:p>
    <w:p w14:paraId="218CF17A"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71899BB" w14:textId="77777777" w:rsidR="0005011A" w:rsidRPr="00F44F3A" w:rsidRDefault="0005011A" w:rsidP="00FC07B9">
      <w:pPr>
        <w:pStyle w:val="ACMACorporateAddressHeader"/>
      </w:pPr>
      <w:r w:rsidRPr="00F44F3A">
        <w:t>Melbourne</w:t>
      </w:r>
    </w:p>
    <w:p w14:paraId="45CE6E8E"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1B740C57"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4E0A1569" w14:textId="7964FCD8" w:rsidR="0005011A" w:rsidRPr="00F44F3A" w:rsidRDefault="0005011A" w:rsidP="00D37C1D">
      <w:pPr>
        <w:pStyle w:val="ACMACorporateAddresses"/>
        <w:tabs>
          <w:tab w:val="left" w:pos="2040"/>
        </w:tabs>
      </w:pPr>
      <w:r w:rsidRPr="00F44F3A">
        <w:t>T</w:t>
      </w:r>
      <w:r w:rsidR="00140318" w:rsidRPr="00F44F3A">
        <w:tab/>
      </w:r>
      <w:r w:rsidRPr="00F44F3A">
        <w:t>+61 3 9963 6800</w:t>
      </w:r>
      <w:r w:rsidR="00D37C1D">
        <w:tab/>
      </w:r>
      <w:r w:rsidRPr="00F44F3A">
        <w:br/>
        <w:t>F</w:t>
      </w:r>
      <w:r w:rsidR="00140318" w:rsidRPr="00F44F3A">
        <w:tab/>
      </w:r>
      <w:r w:rsidRPr="00F44F3A">
        <w:t>+61 3 9963 6899</w:t>
      </w:r>
    </w:p>
    <w:p w14:paraId="73E432A3" w14:textId="77777777" w:rsidR="0005011A" w:rsidRPr="00F44F3A" w:rsidRDefault="0005011A" w:rsidP="00FC07B9">
      <w:pPr>
        <w:pStyle w:val="ACMACorporateAddressHeader"/>
      </w:pPr>
      <w:r w:rsidRPr="00F44F3A">
        <w:t>Sydney</w:t>
      </w:r>
    </w:p>
    <w:p w14:paraId="14777AB9"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46ABC713"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470102C3" w14:textId="77777777" w:rsidR="0005011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060795EE" w14:textId="77777777" w:rsidR="00140318" w:rsidRPr="006D46E5" w:rsidRDefault="00140318" w:rsidP="00EB6EBA">
      <w:pPr>
        <w:pStyle w:val="ACMACopyrightHeader"/>
        <w:spacing w:before="360"/>
      </w:pPr>
      <w:r w:rsidRPr="00140318">
        <w:t>Copyright notice</w:t>
      </w:r>
    </w:p>
    <w:p w14:paraId="6C0F74BE" w14:textId="77777777" w:rsidR="00140318" w:rsidRPr="006D46E5" w:rsidRDefault="00623FF9" w:rsidP="00623FF9">
      <w:pPr>
        <w:pStyle w:val="ACMACClogo"/>
      </w:pPr>
      <w:r w:rsidRPr="00623FF9">
        <w:rPr>
          <w:noProof/>
        </w:rPr>
        <w:drawing>
          <wp:inline distT="0" distB="0" distL="0" distR="0" wp14:anchorId="2BDDB82A" wp14:editId="73EEF766">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2E6BFA77" w14:textId="290D566F" w:rsidR="006160F3" w:rsidRDefault="00F20C11" w:rsidP="006160F3">
      <w:pPr>
        <w:pStyle w:val="ACMACorporateAddresses"/>
        <w:rPr>
          <w:rStyle w:val="Hyperlink"/>
        </w:rPr>
      </w:pPr>
      <w:hyperlink r:id="rId13" w:history="1">
        <w:r w:rsidR="006160F3">
          <w:rPr>
            <w:rStyle w:val="Hyperlink"/>
          </w:rPr>
          <w:t>https://creativecommons.org/licenses/by/4.0/</w:t>
        </w:r>
      </w:hyperlink>
    </w:p>
    <w:p w14:paraId="7F74663E" w14:textId="77777777" w:rsidR="006160F3" w:rsidRDefault="006160F3" w:rsidP="006160F3">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2F836684" w14:textId="37988AF3" w:rsidR="006160F3" w:rsidRDefault="006160F3" w:rsidP="006160F3">
      <w:pPr>
        <w:pStyle w:val="ACMACorporateAddresses"/>
      </w:pPr>
      <w:r>
        <w:t>We request attribution as © Commonwealth of Australia (Australian Communications and Media Authority) 20</w:t>
      </w:r>
      <w:r w:rsidR="009B4A77">
        <w:t>20</w:t>
      </w:r>
      <w:r>
        <w:t>.</w:t>
      </w:r>
    </w:p>
    <w:p w14:paraId="5F009185" w14:textId="77777777" w:rsidR="006160F3" w:rsidRDefault="006160F3" w:rsidP="006160F3">
      <w:pPr>
        <w:pStyle w:val="ACMACorporateAddresses"/>
      </w:pPr>
      <w:r>
        <w:t>All other rights are reserved.</w:t>
      </w:r>
    </w:p>
    <w:p w14:paraId="33DB84AB" w14:textId="77777777" w:rsidR="006160F3" w:rsidRDefault="006160F3" w:rsidP="006160F3">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77D5670" w14:textId="77777777" w:rsidR="006160F3" w:rsidRDefault="006160F3" w:rsidP="006160F3">
      <w:pPr>
        <w:pStyle w:val="ACMACorporateAddresses"/>
      </w:pPr>
      <w:r>
        <w:t>Written enquiries may be sent to:</w:t>
      </w:r>
    </w:p>
    <w:p w14:paraId="3A6533E8" w14:textId="7FB9A2C8" w:rsidR="00D16FE3" w:rsidRDefault="006160F3" w:rsidP="00D16FE3">
      <w:pPr>
        <w:pStyle w:val="ACMACorporateAddresses"/>
        <w:rPr>
          <w:rStyle w:val="Hyperlink"/>
        </w:rPr>
      </w:pPr>
      <w:r>
        <w:t>Manager, Editorial Services</w:t>
      </w:r>
      <w:r>
        <w:br/>
        <w:t>PO Box 13112</w:t>
      </w:r>
      <w:r>
        <w:br/>
        <w:t>Law Courts</w:t>
      </w:r>
      <w:r>
        <w:br/>
        <w:t>Melbourne VIC 8010</w:t>
      </w:r>
      <w:r>
        <w:br/>
        <w:t xml:space="preserve">Email: </w:t>
      </w:r>
      <w:hyperlink r:id="rId14" w:history="1">
        <w:r>
          <w:rPr>
            <w:rStyle w:val="Hyperlink"/>
          </w:rPr>
          <w:t>info@acma.gov.au</w:t>
        </w:r>
      </w:hyperlink>
    </w:p>
    <w:p w14:paraId="3A79B52A" w14:textId="52C44D65" w:rsidR="00762825" w:rsidRDefault="00762825">
      <w:pPr>
        <w:spacing w:after="0" w:line="240" w:lineRule="auto"/>
        <w:rPr>
          <w:rStyle w:val="Hyperlink"/>
          <w:sz w:val="13"/>
        </w:rPr>
      </w:pPr>
      <w:r>
        <w:rPr>
          <w:rStyle w:val="Hyperlink"/>
        </w:rPr>
        <w:br w:type="page"/>
      </w:r>
    </w:p>
    <w:p w14:paraId="0B165D0D" w14:textId="77777777" w:rsidR="00762825" w:rsidRPr="004117A4" w:rsidRDefault="00762825" w:rsidP="00762825">
      <w:pPr>
        <w:spacing w:after="60"/>
        <w:rPr>
          <w:rFonts w:cs="Arial"/>
          <w:b/>
          <w:bCs/>
          <w:szCs w:val="20"/>
        </w:rPr>
      </w:pPr>
      <w:r w:rsidRPr="004117A4">
        <w:rPr>
          <w:rFonts w:cs="Arial"/>
          <w:b/>
          <w:bCs/>
          <w:szCs w:val="20"/>
        </w:rPr>
        <w:lastRenderedPageBreak/>
        <w:t>Amendment history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701"/>
        <w:gridCol w:w="6520"/>
      </w:tblGrid>
      <w:tr w:rsidR="00762825" w:rsidRPr="00700A9F" w14:paraId="3089B4CC" w14:textId="77777777" w:rsidTr="00640062">
        <w:trPr>
          <w:trHeight w:val="139"/>
        </w:trPr>
        <w:tc>
          <w:tcPr>
            <w:tcW w:w="846" w:type="dxa"/>
            <w:shd w:val="clear" w:color="auto" w:fill="595959" w:themeFill="text1" w:themeFillTint="A6"/>
            <w:tcMar>
              <w:top w:w="28" w:type="dxa"/>
              <w:left w:w="108" w:type="dxa"/>
              <w:bottom w:w="28" w:type="dxa"/>
              <w:right w:w="108" w:type="dxa"/>
            </w:tcMar>
            <w:vAlign w:val="center"/>
            <w:hideMark/>
          </w:tcPr>
          <w:p w14:paraId="73FC6B4D" w14:textId="77777777" w:rsidR="00762825" w:rsidRPr="006F5848" w:rsidRDefault="00762825" w:rsidP="00640062">
            <w:pPr>
              <w:spacing w:after="0"/>
              <w:rPr>
                <w:rFonts w:eastAsiaTheme="minorHAnsi" w:cs="Arial"/>
                <w:b/>
                <w:bCs/>
                <w:color w:val="FFFFFF" w:themeColor="background1"/>
                <w:sz w:val="16"/>
                <w:szCs w:val="16"/>
              </w:rPr>
            </w:pPr>
            <w:r w:rsidRPr="006F5848">
              <w:rPr>
                <w:rFonts w:cs="Arial"/>
                <w:b/>
                <w:bCs/>
                <w:color w:val="FFFFFF" w:themeColor="background1"/>
                <w:sz w:val="16"/>
                <w:szCs w:val="16"/>
              </w:rPr>
              <w:t>Version</w:t>
            </w:r>
          </w:p>
        </w:tc>
        <w:tc>
          <w:tcPr>
            <w:tcW w:w="1701" w:type="dxa"/>
            <w:shd w:val="clear" w:color="auto" w:fill="595959" w:themeFill="text1" w:themeFillTint="A6"/>
            <w:tcMar>
              <w:top w:w="28" w:type="dxa"/>
              <w:left w:w="108" w:type="dxa"/>
              <w:bottom w:w="28" w:type="dxa"/>
              <w:right w:w="108" w:type="dxa"/>
            </w:tcMar>
            <w:vAlign w:val="center"/>
            <w:hideMark/>
          </w:tcPr>
          <w:p w14:paraId="35AD4FED" w14:textId="77777777" w:rsidR="00762825" w:rsidRPr="006F5848" w:rsidRDefault="00762825" w:rsidP="00640062">
            <w:pPr>
              <w:spacing w:after="0"/>
              <w:rPr>
                <w:rFonts w:eastAsiaTheme="minorHAnsi" w:cs="Arial"/>
                <w:b/>
                <w:bCs/>
                <w:color w:val="FFFFFF" w:themeColor="background1"/>
                <w:sz w:val="16"/>
                <w:szCs w:val="16"/>
              </w:rPr>
            </w:pPr>
            <w:r w:rsidRPr="006F5848">
              <w:rPr>
                <w:rFonts w:cs="Arial"/>
                <w:b/>
                <w:bCs/>
                <w:color w:val="FFFFFF" w:themeColor="background1"/>
                <w:sz w:val="16"/>
                <w:szCs w:val="16"/>
              </w:rPr>
              <w:t>Date of effect</w:t>
            </w:r>
          </w:p>
        </w:tc>
        <w:tc>
          <w:tcPr>
            <w:tcW w:w="6520" w:type="dxa"/>
            <w:shd w:val="clear" w:color="auto" w:fill="595959" w:themeFill="text1" w:themeFillTint="A6"/>
            <w:tcMar>
              <w:top w:w="28" w:type="dxa"/>
              <w:left w:w="108" w:type="dxa"/>
              <w:bottom w:w="28" w:type="dxa"/>
              <w:right w:w="108" w:type="dxa"/>
            </w:tcMar>
            <w:vAlign w:val="center"/>
            <w:hideMark/>
          </w:tcPr>
          <w:p w14:paraId="54E000C0" w14:textId="77777777" w:rsidR="00762825" w:rsidRPr="006F5848" w:rsidRDefault="00762825" w:rsidP="00640062">
            <w:pPr>
              <w:spacing w:after="0"/>
              <w:rPr>
                <w:rFonts w:eastAsiaTheme="minorHAnsi" w:cs="Arial"/>
                <w:b/>
                <w:bCs/>
                <w:color w:val="FFFFFF" w:themeColor="background1"/>
                <w:sz w:val="16"/>
                <w:szCs w:val="16"/>
              </w:rPr>
            </w:pPr>
            <w:r w:rsidRPr="006F5848">
              <w:rPr>
                <w:rFonts w:cs="Arial"/>
                <w:b/>
                <w:bCs/>
                <w:color w:val="FFFFFF" w:themeColor="background1"/>
                <w:sz w:val="16"/>
                <w:szCs w:val="16"/>
              </w:rPr>
              <w:t>Comments</w:t>
            </w:r>
          </w:p>
        </w:tc>
      </w:tr>
      <w:tr w:rsidR="00762825" w:rsidRPr="007C4502" w14:paraId="5A136F79" w14:textId="77777777" w:rsidTr="00640062">
        <w:trPr>
          <w:trHeight w:val="129"/>
        </w:trPr>
        <w:tc>
          <w:tcPr>
            <w:tcW w:w="846" w:type="dxa"/>
            <w:tcMar>
              <w:top w:w="28" w:type="dxa"/>
              <w:left w:w="108" w:type="dxa"/>
              <w:bottom w:w="28" w:type="dxa"/>
              <w:right w:w="108" w:type="dxa"/>
            </w:tcMar>
            <w:vAlign w:val="center"/>
            <w:hideMark/>
          </w:tcPr>
          <w:p w14:paraId="2DE9B0EE" w14:textId="77777777" w:rsidR="00762825" w:rsidRPr="00693C2A" w:rsidRDefault="00762825" w:rsidP="00640062">
            <w:pPr>
              <w:spacing w:after="0"/>
              <w:rPr>
                <w:rFonts w:eastAsiaTheme="minorHAnsi" w:cs="Arial"/>
                <w:sz w:val="16"/>
                <w:szCs w:val="16"/>
              </w:rPr>
            </w:pPr>
            <w:r w:rsidRPr="00693C2A">
              <w:rPr>
                <w:rFonts w:cs="Arial"/>
                <w:sz w:val="16"/>
                <w:szCs w:val="16"/>
              </w:rPr>
              <w:t>1.0</w:t>
            </w:r>
          </w:p>
        </w:tc>
        <w:tc>
          <w:tcPr>
            <w:tcW w:w="1701" w:type="dxa"/>
            <w:tcMar>
              <w:top w:w="28" w:type="dxa"/>
              <w:left w:w="108" w:type="dxa"/>
              <w:bottom w:w="28" w:type="dxa"/>
              <w:right w:w="108" w:type="dxa"/>
            </w:tcMar>
            <w:vAlign w:val="center"/>
          </w:tcPr>
          <w:p w14:paraId="7935647D" w14:textId="77777777" w:rsidR="00762825" w:rsidRPr="00693C2A" w:rsidRDefault="00762825" w:rsidP="00640062">
            <w:pPr>
              <w:spacing w:after="0"/>
              <w:rPr>
                <w:rFonts w:eastAsiaTheme="minorHAnsi" w:cs="Arial"/>
                <w:sz w:val="16"/>
                <w:szCs w:val="16"/>
              </w:rPr>
            </w:pPr>
            <w:r>
              <w:rPr>
                <w:rFonts w:eastAsiaTheme="minorHAnsi" w:cs="Arial"/>
                <w:sz w:val="16"/>
                <w:szCs w:val="16"/>
              </w:rPr>
              <w:t>19</w:t>
            </w:r>
            <w:r w:rsidRPr="00693C2A">
              <w:rPr>
                <w:rFonts w:eastAsiaTheme="minorHAnsi" w:cs="Arial"/>
                <w:sz w:val="16"/>
                <w:szCs w:val="16"/>
              </w:rPr>
              <w:t xml:space="preserve"> </w:t>
            </w:r>
            <w:r>
              <w:rPr>
                <w:rFonts w:eastAsiaTheme="minorHAnsi" w:cs="Arial"/>
                <w:sz w:val="16"/>
                <w:szCs w:val="16"/>
              </w:rPr>
              <w:t>December</w:t>
            </w:r>
            <w:r w:rsidRPr="00693C2A">
              <w:rPr>
                <w:rFonts w:eastAsiaTheme="minorHAnsi" w:cs="Arial"/>
                <w:sz w:val="16"/>
                <w:szCs w:val="16"/>
              </w:rPr>
              <w:t xml:space="preserve"> 2017</w:t>
            </w:r>
          </w:p>
        </w:tc>
        <w:tc>
          <w:tcPr>
            <w:tcW w:w="6520" w:type="dxa"/>
            <w:tcMar>
              <w:top w:w="28" w:type="dxa"/>
              <w:left w:w="108" w:type="dxa"/>
              <w:bottom w:w="28" w:type="dxa"/>
              <w:right w:w="108" w:type="dxa"/>
            </w:tcMar>
            <w:vAlign w:val="center"/>
            <w:hideMark/>
          </w:tcPr>
          <w:p w14:paraId="105CFAEF" w14:textId="77777777" w:rsidR="00762825" w:rsidRPr="00693C2A" w:rsidRDefault="00762825" w:rsidP="00640062">
            <w:pPr>
              <w:spacing w:after="0"/>
              <w:rPr>
                <w:rFonts w:eastAsiaTheme="minorHAnsi" w:cs="Arial"/>
                <w:sz w:val="16"/>
                <w:szCs w:val="16"/>
              </w:rPr>
            </w:pPr>
            <w:r>
              <w:rPr>
                <w:rFonts w:cs="Arial"/>
                <w:sz w:val="16"/>
                <w:szCs w:val="16"/>
              </w:rPr>
              <w:t xml:space="preserve">Initial release. </w:t>
            </w:r>
          </w:p>
        </w:tc>
      </w:tr>
      <w:tr w:rsidR="00762825" w:rsidRPr="007C4502" w14:paraId="4D116A8B" w14:textId="77777777" w:rsidTr="00640062">
        <w:trPr>
          <w:trHeight w:val="129"/>
        </w:trPr>
        <w:tc>
          <w:tcPr>
            <w:tcW w:w="846" w:type="dxa"/>
            <w:tcMar>
              <w:top w:w="28" w:type="dxa"/>
              <w:left w:w="108" w:type="dxa"/>
              <w:bottom w:w="28" w:type="dxa"/>
              <w:right w:w="108" w:type="dxa"/>
            </w:tcMar>
            <w:vAlign w:val="center"/>
          </w:tcPr>
          <w:p w14:paraId="36A86E31" w14:textId="77777777" w:rsidR="00762825" w:rsidRPr="00693C2A" w:rsidRDefault="00762825" w:rsidP="00640062">
            <w:pPr>
              <w:spacing w:after="0"/>
              <w:rPr>
                <w:rFonts w:cs="Arial"/>
                <w:sz w:val="16"/>
                <w:szCs w:val="16"/>
              </w:rPr>
            </w:pPr>
            <w:r>
              <w:rPr>
                <w:rFonts w:cs="Arial"/>
                <w:sz w:val="16"/>
                <w:szCs w:val="16"/>
              </w:rPr>
              <w:t>1.1</w:t>
            </w:r>
          </w:p>
        </w:tc>
        <w:tc>
          <w:tcPr>
            <w:tcW w:w="1701" w:type="dxa"/>
            <w:tcMar>
              <w:top w:w="28" w:type="dxa"/>
              <w:left w:w="108" w:type="dxa"/>
              <w:bottom w:w="28" w:type="dxa"/>
              <w:right w:w="108" w:type="dxa"/>
            </w:tcMar>
            <w:vAlign w:val="center"/>
          </w:tcPr>
          <w:p w14:paraId="76982397" w14:textId="77777777" w:rsidR="00762825" w:rsidRDefault="00762825" w:rsidP="00640062">
            <w:pPr>
              <w:spacing w:after="0"/>
              <w:rPr>
                <w:rFonts w:eastAsiaTheme="minorHAnsi" w:cs="Arial"/>
                <w:sz w:val="16"/>
                <w:szCs w:val="16"/>
              </w:rPr>
            </w:pPr>
            <w:r w:rsidRPr="006F5848">
              <w:rPr>
                <w:rFonts w:eastAsiaTheme="minorHAnsi" w:cs="Arial"/>
                <w:sz w:val="16"/>
                <w:szCs w:val="16"/>
              </w:rPr>
              <w:t>26 July 2019</w:t>
            </w:r>
          </w:p>
        </w:tc>
        <w:tc>
          <w:tcPr>
            <w:tcW w:w="6520" w:type="dxa"/>
            <w:tcMar>
              <w:top w:w="28" w:type="dxa"/>
              <w:left w:w="108" w:type="dxa"/>
              <w:bottom w:w="28" w:type="dxa"/>
              <w:right w:w="108" w:type="dxa"/>
            </w:tcMar>
            <w:vAlign w:val="center"/>
          </w:tcPr>
          <w:p w14:paraId="459A573C" w14:textId="37678F14" w:rsidR="00762825" w:rsidRDefault="00762825" w:rsidP="00640062">
            <w:pPr>
              <w:spacing w:after="0"/>
              <w:rPr>
                <w:rFonts w:cs="Arial"/>
                <w:sz w:val="16"/>
                <w:szCs w:val="16"/>
              </w:rPr>
            </w:pPr>
            <w:r>
              <w:rPr>
                <w:rFonts w:cs="Arial"/>
                <w:sz w:val="16"/>
                <w:szCs w:val="16"/>
              </w:rPr>
              <w:t xml:space="preserve">Updated to include Appendix E: Earth stations in motion (ESIM) </w:t>
            </w:r>
            <w:r w:rsidRPr="004154DA">
              <w:rPr>
                <w:rFonts w:cs="Arial"/>
                <w:sz w:val="16"/>
                <w:szCs w:val="16"/>
              </w:rPr>
              <w:t>communicating with space stations in the fixed-satellite service (both GSO and NGSO) in the frequency ranges 11.7</w:t>
            </w:r>
            <w:r>
              <w:rPr>
                <w:rFonts w:cs="Arial"/>
                <w:sz w:val="16"/>
                <w:szCs w:val="16"/>
              </w:rPr>
              <w:t>–</w:t>
            </w:r>
            <w:r w:rsidRPr="004154DA">
              <w:rPr>
                <w:rFonts w:cs="Arial"/>
                <w:sz w:val="16"/>
                <w:szCs w:val="16"/>
              </w:rPr>
              <w:t>12.75 GHz (space-to-Earth) and 14</w:t>
            </w:r>
            <w:r>
              <w:rPr>
                <w:rFonts w:cs="Arial"/>
                <w:sz w:val="16"/>
                <w:szCs w:val="16"/>
              </w:rPr>
              <w:t>–</w:t>
            </w:r>
            <w:r w:rsidRPr="004154DA">
              <w:rPr>
                <w:rFonts w:cs="Arial"/>
                <w:sz w:val="16"/>
                <w:szCs w:val="16"/>
              </w:rPr>
              <w:t>14.5 GHz (Earth-to-space).</w:t>
            </w:r>
            <w:r>
              <w:rPr>
                <w:rFonts w:cs="Arial"/>
                <w:sz w:val="16"/>
                <w:szCs w:val="16"/>
              </w:rPr>
              <w:t xml:space="preserve"> Refer </w:t>
            </w:r>
            <w:hyperlink r:id="rId15" w:history="1">
              <w:r w:rsidRPr="00923CCC">
                <w:rPr>
                  <w:rStyle w:val="Hyperlink"/>
                  <w:rFonts w:cs="Arial"/>
                  <w:sz w:val="16"/>
                  <w:szCs w:val="16"/>
                </w:rPr>
                <w:t>IFC 6/2019</w:t>
              </w:r>
            </w:hyperlink>
            <w:r>
              <w:rPr>
                <w:rFonts w:cs="Arial"/>
                <w:sz w:val="16"/>
                <w:szCs w:val="16"/>
              </w:rPr>
              <w:t>.</w:t>
            </w:r>
          </w:p>
        </w:tc>
      </w:tr>
      <w:tr w:rsidR="00762825" w:rsidRPr="007C4502" w14:paraId="32B79EEC" w14:textId="77777777" w:rsidTr="00640062">
        <w:trPr>
          <w:trHeight w:val="129"/>
        </w:trPr>
        <w:tc>
          <w:tcPr>
            <w:tcW w:w="846" w:type="dxa"/>
            <w:tcMar>
              <w:top w:w="28" w:type="dxa"/>
              <w:left w:w="108" w:type="dxa"/>
              <w:bottom w:w="28" w:type="dxa"/>
              <w:right w:w="108" w:type="dxa"/>
            </w:tcMar>
            <w:vAlign w:val="center"/>
          </w:tcPr>
          <w:p w14:paraId="303136DB" w14:textId="77777777" w:rsidR="00762825" w:rsidRDefault="00762825" w:rsidP="00640062">
            <w:pPr>
              <w:spacing w:after="0"/>
              <w:rPr>
                <w:rFonts w:cs="Arial"/>
                <w:sz w:val="16"/>
                <w:szCs w:val="16"/>
              </w:rPr>
            </w:pPr>
            <w:r>
              <w:rPr>
                <w:rFonts w:cs="Arial"/>
                <w:sz w:val="16"/>
                <w:szCs w:val="16"/>
              </w:rPr>
              <w:t>2.0</w:t>
            </w:r>
          </w:p>
        </w:tc>
        <w:tc>
          <w:tcPr>
            <w:tcW w:w="1701" w:type="dxa"/>
            <w:tcMar>
              <w:top w:w="28" w:type="dxa"/>
              <w:left w:w="108" w:type="dxa"/>
              <w:bottom w:w="28" w:type="dxa"/>
              <w:right w:w="108" w:type="dxa"/>
            </w:tcMar>
            <w:vAlign w:val="center"/>
          </w:tcPr>
          <w:p w14:paraId="6B1239A9" w14:textId="77777777" w:rsidR="00762825" w:rsidRDefault="00762825" w:rsidP="00640062">
            <w:pPr>
              <w:spacing w:after="0"/>
              <w:rPr>
                <w:rFonts w:eastAsiaTheme="minorHAnsi" w:cs="Arial"/>
                <w:sz w:val="16"/>
                <w:szCs w:val="16"/>
              </w:rPr>
            </w:pPr>
            <w:r>
              <w:rPr>
                <w:rFonts w:eastAsiaTheme="minorHAnsi" w:cs="Arial"/>
                <w:sz w:val="16"/>
                <w:szCs w:val="16"/>
              </w:rPr>
              <w:t xml:space="preserve">December 2019 </w:t>
            </w:r>
          </w:p>
        </w:tc>
        <w:tc>
          <w:tcPr>
            <w:tcW w:w="6520" w:type="dxa"/>
            <w:tcMar>
              <w:top w:w="28" w:type="dxa"/>
              <w:left w:w="108" w:type="dxa"/>
              <w:bottom w:w="28" w:type="dxa"/>
              <w:right w:w="108" w:type="dxa"/>
            </w:tcMar>
            <w:vAlign w:val="center"/>
          </w:tcPr>
          <w:p w14:paraId="353AFAE3" w14:textId="354A957F" w:rsidR="00762825" w:rsidRDefault="00762825" w:rsidP="00640062">
            <w:pPr>
              <w:spacing w:after="0"/>
              <w:rPr>
                <w:rFonts w:cs="Arial"/>
                <w:sz w:val="16"/>
                <w:szCs w:val="16"/>
              </w:rPr>
            </w:pPr>
            <w:r>
              <w:rPr>
                <w:rFonts w:cs="Arial"/>
                <w:sz w:val="16"/>
                <w:szCs w:val="16"/>
              </w:rPr>
              <w:t xml:space="preserve">Draft for Industry consultation with proposed updates to include </w:t>
            </w:r>
            <w:r w:rsidRPr="00BF581E">
              <w:rPr>
                <w:rFonts w:cs="Arial"/>
                <w:sz w:val="16"/>
                <w:szCs w:val="16"/>
              </w:rPr>
              <w:t>changes to licensing procedures, which were previously considered for the specific case of Ku band ESIM, for more general application</w:t>
            </w:r>
            <w:r w:rsidR="009341FD" w:rsidRPr="009341FD">
              <w:rPr>
                <w:rFonts w:cs="Arial"/>
                <w:sz w:val="16"/>
                <w:szCs w:val="16"/>
              </w:rPr>
              <w:t xml:space="preserve">. Refer </w:t>
            </w:r>
            <w:hyperlink r:id="rId16" w:history="1">
              <w:r w:rsidR="009341FD" w:rsidRPr="00573DE5">
                <w:rPr>
                  <w:rStyle w:val="Hyperlink"/>
                  <w:rFonts w:cs="Arial"/>
                  <w:sz w:val="16"/>
                  <w:szCs w:val="16"/>
                </w:rPr>
                <w:t>IFC 38/2019</w:t>
              </w:r>
            </w:hyperlink>
            <w:r w:rsidR="009341FD">
              <w:rPr>
                <w:rFonts w:cs="Arial"/>
                <w:sz w:val="16"/>
                <w:szCs w:val="16"/>
              </w:rPr>
              <w:t xml:space="preserve"> - </w:t>
            </w:r>
            <w:r w:rsidR="009341FD" w:rsidRPr="009341FD">
              <w:rPr>
                <w:rFonts w:cs="Arial"/>
                <w:sz w:val="16"/>
                <w:szCs w:val="16"/>
              </w:rPr>
              <w:t>Review of space licensing procedures.</w:t>
            </w:r>
          </w:p>
        </w:tc>
      </w:tr>
      <w:tr w:rsidR="00762825" w:rsidRPr="007C4502" w14:paraId="6F3772C5" w14:textId="77777777" w:rsidTr="00640062">
        <w:trPr>
          <w:trHeight w:val="129"/>
        </w:trPr>
        <w:tc>
          <w:tcPr>
            <w:tcW w:w="846" w:type="dxa"/>
            <w:tcMar>
              <w:top w:w="28" w:type="dxa"/>
              <w:left w:w="108" w:type="dxa"/>
              <w:bottom w:w="28" w:type="dxa"/>
              <w:right w:w="108" w:type="dxa"/>
            </w:tcMar>
            <w:vAlign w:val="center"/>
          </w:tcPr>
          <w:p w14:paraId="49589003" w14:textId="77777777" w:rsidR="00762825" w:rsidRDefault="00762825" w:rsidP="00640062">
            <w:pPr>
              <w:spacing w:after="0"/>
              <w:rPr>
                <w:rFonts w:cs="Arial"/>
                <w:sz w:val="16"/>
                <w:szCs w:val="16"/>
              </w:rPr>
            </w:pPr>
            <w:r>
              <w:rPr>
                <w:rFonts w:cs="Arial"/>
                <w:sz w:val="16"/>
                <w:szCs w:val="16"/>
              </w:rPr>
              <w:t>2.1</w:t>
            </w:r>
          </w:p>
        </w:tc>
        <w:tc>
          <w:tcPr>
            <w:tcW w:w="1701" w:type="dxa"/>
            <w:tcMar>
              <w:top w:w="28" w:type="dxa"/>
              <w:left w:w="108" w:type="dxa"/>
              <w:bottom w:w="28" w:type="dxa"/>
              <w:right w:w="108" w:type="dxa"/>
            </w:tcMar>
            <w:vAlign w:val="center"/>
          </w:tcPr>
          <w:p w14:paraId="6599997B" w14:textId="77777777" w:rsidR="00762825" w:rsidRPr="006F5848" w:rsidRDefault="00762825" w:rsidP="00640062">
            <w:pPr>
              <w:spacing w:after="0"/>
              <w:rPr>
                <w:rFonts w:eastAsiaTheme="minorHAnsi" w:cs="Arial"/>
                <w:sz w:val="16"/>
                <w:szCs w:val="16"/>
              </w:rPr>
            </w:pPr>
            <w:r>
              <w:rPr>
                <w:rFonts w:eastAsiaTheme="minorHAnsi" w:cs="Arial"/>
                <w:sz w:val="16"/>
                <w:szCs w:val="16"/>
              </w:rPr>
              <w:t>August 2020</w:t>
            </w:r>
          </w:p>
        </w:tc>
        <w:tc>
          <w:tcPr>
            <w:tcW w:w="6520" w:type="dxa"/>
            <w:tcMar>
              <w:top w:w="28" w:type="dxa"/>
              <w:left w:w="108" w:type="dxa"/>
              <w:bottom w:w="28" w:type="dxa"/>
              <w:right w:w="108" w:type="dxa"/>
            </w:tcMar>
            <w:vAlign w:val="center"/>
          </w:tcPr>
          <w:p w14:paraId="50A1EE15" w14:textId="424A332D" w:rsidR="00762825" w:rsidRDefault="00762825" w:rsidP="00640062">
            <w:pPr>
              <w:spacing w:after="0"/>
              <w:rPr>
                <w:rFonts w:cs="Arial"/>
                <w:sz w:val="16"/>
                <w:szCs w:val="16"/>
              </w:rPr>
            </w:pPr>
            <w:r>
              <w:rPr>
                <w:rFonts w:cs="Arial"/>
                <w:sz w:val="16"/>
                <w:szCs w:val="16"/>
              </w:rPr>
              <w:t xml:space="preserve">Finalisation of IFC 38/2019 and updates to reflect outcome of </w:t>
            </w:r>
            <w:hyperlink r:id="rId17" w:history="1">
              <w:r w:rsidRPr="00BB4650">
                <w:rPr>
                  <w:rStyle w:val="Hyperlink"/>
                  <w:rFonts w:cs="Arial"/>
                  <w:sz w:val="16"/>
                  <w:szCs w:val="16"/>
                </w:rPr>
                <w:t>IFC 40/2019</w:t>
              </w:r>
            </w:hyperlink>
            <w:r>
              <w:rPr>
                <w:rFonts w:cs="Arial"/>
                <w:sz w:val="16"/>
                <w:szCs w:val="16"/>
              </w:rPr>
              <w:t xml:space="preserve"> by extending Ku ESIM to 10.7 to 11.7 GHz</w:t>
            </w:r>
            <w:r w:rsidR="005D51D7">
              <w:rPr>
                <w:rFonts w:cs="Arial"/>
                <w:sz w:val="16"/>
                <w:szCs w:val="16"/>
              </w:rPr>
              <w:t>,</w:t>
            </w:r>
            <w:r>
              <w:rPr>
                <w:rFonts w:cs="Arial"/>
                <w:sz w:val="16"/>
                <w:szCs w:val="16"/>
              </w:rPr>
              <w:t xml:space="preserve"> and include advice</w:t>
            </w:r>
            <w:r w:rsidR="00B0462A">
              <w:rPr>
                <w:rFonts w:cs="Arial"/>
                <w:sz w:val="16"/>
                <w:szCs w:val="16"/>
              </w:rPr>
              <w:t xml:space="preserve"> that</w:t>
            </w:r>
            <w:r>
              <w:rPr>
                <w:rFonts w:cs="Arial"/>
                <w:sz w:val="16"/>
                <w:szCs w:val="16"/>
              </w:rPr>
              <w:t xml:space="preserve"> </w:t>
            </w:r>
            <w:r w:rsidRPr="00BB4650">
              <w:rPr>
                <w:rFonts w:cs="Arial"/>
                <w:sz w:val="16"/>
                <w:szCs w:val="16"/>
              </w:rPr>
              <w:t>the operation of earth station receivers is authorised on the no protection from interference caused by a point to point station in the frequency bands 10.7</w:t>
            </w:r>
            <w:r w:rsidR="00FC7655">
              <w:rPr>
                <w:rFonts w:cs="Arial"/>
                <w:sz w:val="16"/>
                <w:szCs w:val="16"/>
              </w:rPr>
              <w:t>–</w:t>
            </w:r>
            <w:r w:rsidRPr="00BB4650">
              <w:rPr>
                <w:rFonts w:cs="Arial"/>
                <w:sz w:val="16"/>
                <w:szCs w:val="16"/>
              </w:rPr>
              <w:t>11.7 GHz, 18.2</w:t>
            </w:r>
            <w:r w:rsidR="00FC7655">
              <w:rPr>
                <w:rFonts w:cs="Arial"/>
                <w:sz w:val="16"/>
                <w:szCs w:val="16"/>
              </w:rPr>
              <w:t>–</w:t>
            </w:r>
            <w:r w:rsidRPr="00BB4650">
              <w:rPr>
                <w:rFonts w:cs="Arial"/>
                <w:sz w:val="16"/>
                <w:szCs w:val="16"/>
              </w:rPr>
              <w:t>11.8 G</w:t>
            </w:r>
            <w:r>
              <w:rPr>
                <w:rFonts w:cs="Arial"/>
                <w:sz w:val="16"/>
                <w:szCs w:val="16"/>
              </w:rPr>
              <w:t>H</w:t>
            </w:r>
            <w:r w:rsidRPr="00BB4650">
              <w:rPr>
                <w:rFonts w:cs="Arial"/>
                <w:sz w:val="16"/>
                <w:szCs w:val="16"/>
              </w:rPr>
              <w:t>z and 19.3</w:t>
            </w:r>
            <w:r w:rsidR="00FC7655">
              <w:rPr>
                <w:rFonts w:cs="Arial"/>
                <w:sz w:val="16"/>
                <w:szCs w:val="16"/>
              </w:rPr>
              <w:t>–</w:t>
            </w:r>
            <w:r w:rsidRPr="00BB4650">
              <w:rPr>
                <w:rFonts w:cs="Arial"/>
                <w:sz w:val="16"/>
                <w:szCs w:val="16"/>
              </w:rPr>
              <w:t>19.7 GHz</w:t>
            </w:r>
            <w:r w:rsidR="00FC7655">
              <w:rPr>
                <w:rFonts w:cs="Arial"/>
                <w:sz w:val="16"/>
                <w:szCs w:val="16"/>
              </w:rPr>
              <w:t>.</w:t>
            </w:r>
            <w:r w:rsidRPr="00BB4650" w:rsidDel="009B4A77">
              <w:rPr>
                <w:rFonts w:cs="Arial"/>
                <w:sz w:val="16"/>
                <w:szCs w:val="16"/>
              </w:rPr>
              <w:t xml:space="preserve"> </w:t>
            </w:r>
          </w:p>
        </w:tc>
      </w:tr>
      <w:tr w:rsidR="00AE0EA9" w:rsidRPr="007C4502" w14:paraId="4302FF74" w14:textId="77777777" w:rsidTr="00640062">
        <w:trPr>
          <w:trHeight w:val="129"/>
        </w:trPr>
        <w:tc>
          <w:tcPr>
            <w:tcW w:w="846" w:type="dxa"/>
            <w:tcMar>
              <w:top w:w="28" w:type="dxa"/>
              <w:left w:w="108" w:type="dxa"/>
              <w:bottom w:w="28" w:type="dxa"/>
              <w:right w:w="108" w:type="dxa"/>
            </w:tcMar>
            <w:vAlign w:val="center"/>
          </w:tcPr>
          <w:p w14:paraId="213ED9DF" w14:textId="70721B55" w:rsidR="00AE0EA9" w:rsidRDefault="00AE0EA9" w:rsidP="00640062">
            <w:pPr>
              <w:spacing w:after="0"/>
              <w:rPr>
                <w:rFonts w:cs="Arial"/>
                <w:sz w:val="16"/>
                <w:szCs w:val="16"/>
              </w:rPr>
            </w:pPr>
            <w:r>
              <w:rPr>
                <w:rFonts w:cs="Arial"/>
                <w:sz w:val="16"/>
                <w:szCs w:val="16"/>
              </w:rPr>
              <w:t>2.2</w:t>
            </w:r>
          </w:p>
        </w:tc>
        <w:tc>
          <w:tcPr>
            <w:tcW w:w="1701" w:type="dxa"/>
            <w:tcMar>
              <w:top w:w="28" w:type="dxa"/>
              <w:left w:w="108" w:type="dxa"/>
              <w:bottom w:w="28" w:type="dxa"/>
              <w:right w:w="108" w:type="dxa"/>
            </w:tcMar>
            <w:vAlign w:val="center"/>
          </w:tcPr>
          <w:p w14:paraId="03390A7F" w14:textId="0A9A5D36" w:rsidR="00AE0EA9" w:rsidRDefault="00121685" w:rsidP="00640062">
            <w:pPr>
              <w:spacing w:after="0"/>
              <w:rPr>
                <w:rFonts w:eastAsiaTheme="minorHAnsi" w:cs="Arial"/>
                <w:sz w:val="16"/>
                <w:szCs w:val="16"/>
              </w:rPr>
            </w:pPr>
            <w:r>
              <w:rPr>
                <w:rFonts w:eastAsiaTheme="minorHAnsi" w:cs="Arial"/>
                <w:sz w:val="16"/>
                <w:szCs w:val="16"/>
              </w:rPr>
              <w:t>September</w:t>
            </w:r>
            <w:r w:rsidR="00F61E16">
              <w:rPr>
                <w:rFonts w:eastAsiaTheme="minorHAnsi" w:cs="Arial"/>
                <w:sz w:val="16"/>
                <w:szCs w:val="16"/>
              </w:rPr>
              <w:t xml:space="preserve"> 2021 </w:t>
            </w:r>
          </w:p>
        </w:tc>
        <w:tc>
          <w:tcPr>
            <w:tcW w:w="6520" w:type="dxa"/>
            <w:tcMar>
              <w:top w:w="28" w:type="dxa"/>
              <w:left w:w="108" w:type="dxa"/>
              <w:bottom w:w="28" w:type="dxa"/>
              <w:right w:w="108" w:type="dxa"/>
            </w:tcMar>
            <w:vAlign w:val="center"/>
          </w:tcPr>
          <w:p w14:paraId="3E544C61" w14:textId="30909785" w:rsidR="00AE0EA9" w:rsidRDefault="008465CF" w:rsidP="00640062">
            <w:pPr>
              <w:spacing w:after="0"/>
              <w:rPr>
                <w:rFonts w:cs="Arial"/>
                <w:sz w:val="16"/>
                <w:szCs w:val="16"/>
              </w:rPr>
            </w:pPr>
            <w:r>
              <w:rPr>
                <w:rFonts w:cs="Arial"/>
                <w:sz w:val="16"/>
                <w:szCs w:val="16"/>
              </w:rPr>
              <w:t xml:space="preserve">Draft for industry </w:t>
            </w:r>
            <w:r w:rsidR="006101CA">
              <w:rPr>
                <w:rFonts w:cs="Arial"/>
                <w:sz w:val="16"/>
                <w:szCs w:val="16"/>
              </w:rPr>
              <w:t>consultation</w:t>
            </w:r>
            <w:r w:rsidR="007E3D4B">
              <w:rPr>
                <w:rFonts w:cs="Arial"/>
                <w:sz w:val="16"/>
                <w:szCs w:val="16"/>
              </w:rPr>
              <w:t>: P</w:t>
            </w:r>
            <w:r w:rsidR="009F7BF5">
              <w:rPr>
                <w:rFonts w:cs="Arial"/>
                <w:sz w:val="16"/>
                <w:szCs w:val="16"/>
              </w:rPr>
              <w:t xml:space="preserve">roposed update </w:t>
            </w:r>
            <w:r w:rsidR="0095316D">
              <w:rPr>
                <w:rFonts w:cs="Arial"/>
                <w:sz w:val="16"/>
                <w:szCs w:val="16"/>
              </w:rPr>
              <w:t xml:space="preserve">considering WRC-19 Resolution 169 </w:t>
            </w:r>
            <w:r w:rsidR="00F15746">
              <w:rPr>
                <w:rFonts w:cs="Arial"/>
                <w:sz w:val="16"/>
                <w:szCs w:val="16"/>
              </w:rPr>
              <w:t xml:space="preserve">ESIM </w:t>
            </w:r>
            <w:r w:rsidR="0095316D">
              <w:rPr>
                <w:rFonts w:cs="Arial"/>
                <w:sz w:val="16"/>
                <w:szCs w:val="16"/>
              </w:rPr>
              <w:t>outcomes</w:t>
            </w:r>
            <w:r w:rsidR="00D54A85">
              <w:rPr>
                <w:rFonts w:cs="Arial"/>
                <w:sz w:val="16"/>
                <w:szCs w:val="16"/>
              </w:rPr>
              <w:t xml:space="preserve">, additional information/explanatory material and </w:t>
            </w:r>
            <w:r w:rsidR="00F15746">
              <w:rPr>
                <w:rFonts w:cs="Arial"/>
                <w:sz w:val="16"/>
                <w:szCs w:val="16"/>
              </w:rPr>
              <w:t>l</w:t>
            </w:r>
            <w:r w:rsidR="00D54A85">
              <w:rPr>
                <w:rFonts w:cs="Arial"/>
                <w:sz w:val="16"/>
                <w:szCs w:val="16"/>
              </w:rPr>
              <w:t>etter of the assurance updated with text for when “</w:t>
            </w:r>
            <w:r w:rsidR="00D54A85" w:rsidRPr="00593215">
              <w:rPr>
                <w:rFonts w:cs="Arial"/>
                <w:sz w:val="16"/>
                <w:szCs w:val="16"/>
              </w:rPr>
              <w:t>Recorded in MIFR under 11.41</w:t>
            </w:r>
            <w:r w:rsidR="00D54A85">
              <w:rPr>
                <w:rFonts w:cs="Arial"/>
                <w:sz w:val="16"/>
                <w:szCs w:val="16"/>
              </w:rPr>
              <w:t>”</w:t>
            </w:r>
            <w:r w:rsidR="00CB6486">
              <w:rPr>
                <w:rFonts w:cs="Arial"/>
                <w:sz w:val="16"/>
                <w:szCs w:val="16"/>
              </w:rPr>
              <w:t xml:space="preserve">. </w:t>
            </w:r>
            <w:r w:rsidR="009E3B9A">
              <w:rPr>
                <w:rFonts w:cs="Arial"/>
                <w:sz w:val="16"/>
                <w:szCs w:val="16"/>
              </w:rPr>
              <w:t xml:space="preserve">Refer </w:t>
            </w:r>
            <w:r w:rsidR="006C56F3" w:rsidRPr="0009485A">
              <w:rPr>
                <w:sz w:val="16"/>
                <w:szCs w:val="16"/>
              </w:rPr>
              <w:t xml:space="preserve">Updating regulatory requirements for earth stations in motion - </w:t>
            </w:r>
            <w:hyperlink r:id="rId18" w:history="1">
              <w:r w:rsidR="006C56F3" w:rsidRPr="0009485A">
                <w:rPr>
                  <w:rStyle w:val="Hyperlink"/>
                  <w:rFonts w:cs="Arial"/>
                  <w:sz w:val="16"/>
                  <w:szCs w:val="16"/>
                </w:rPr>
                <w:t>consultation IFC 33/2021</w:t>
              </w:r>
            </w:hyperlink>
            <w:r w:rsidR="009E3B9A">
              <w:rPr>
                <w:rFonts w:cs="Arial"/>
                <w:sz w:val="16"/>
                <w:szCs w:val="16"/>
              </w:rPr>
              <w:t>.</w:t>
            </w:r>
          </w:p>
        </w:tc>
      </w:tr>
      <w:tr w:rsidR="00596B88" w:rsidRPr="007C4502" w14:paraId="411E2357" w14:textId="77777777" w:rsidTr="00640062">
        <w:trPr>
          <w:trHeight w:val="129"/>
        </w:trPr>
        <w:tc>
          <w:tcPr>
            <w:tcW w:w="846" w:type="dxa"/>
            <w:tcMar>
              <w:top w:w="28" w:type="dxa"/>
              <w:left w:w="108" w:type="dxa"/>
              <w:bottom w:w="28" w:type="dxa"/>
              <w:right w:w="108" w:type="dxa"/>
            </w:tcMar>
            <w:vAlign w:val="center"/>
          </w:tcPr>
          <w:p w14:paraId="3F3E8B67" w14:textId="7DDF2EDE" w:rsidR="00596B88" w:rsidRDefault="0095775C" w:rsidP="00640062">
            <w:pPr>
              <w:spacing w:after="0"/>
              <w:rPr>
                <w:rFonts w:cs="Arial"/>
                <w:sz w:val="16"/>
                <w:szCs w:val="16"/>
              </w:rPr>
            </w:pPr>
            <w:r>
              <w:rPr>
                <w:rFonts w:cs="Arial"/>
                <w:sz w:val="16"/>
                <w:szCs w:val="16"/>
              </w:rPr>
              <w:t>3</w:t>
            </w:r>
          </w:p>
        </w:tc>
        <w:tc>
          <w:tcPr>
            <w:tcW w:w="1701" w:type="dxa"/>
            <w:tcMar>
              <w:top w:w="28" w:type="dxa"/>
              <w:left w:w="108" w:type="dxa"/>
              <w:bottom w:w="28" w:type="dxa"/>
              <w:right w:w="108" w:type="dxa"/>
            </w:tcMar>
            <w:vAlign w:val="center"/>
          </w:tcPr>
          <w:p w14:paraId="5D76B4A0" w14:textId="3F2EC842" w:rsidR="00596B88" w:rsidRDefault="00537588" w:rsidP="00640062">
            <w:pPr>
              <w:spacing w:after="0"/>
              <w:rPr>
                <w:rFonts w:eastAsiaTheme="minorHAnsi" w:cs="Arial"/>
                <w:sz w:val="16"/>
                <w:szCs w:val="16"/>
              </w:rPr>
            </w:pPr>
            <w:r w:rsidRPr="00D85E64">
              <w:rPr>
                <w:rFonts w:eastAsiaTheme="minorHAnsi" w:cs="Arial"/>
                <w:sz w:val="16"/>
                <w:szCs w:val="16"/>
              </w:rPr>
              <w:t xml:space="preserve">August </w:t>
            </w:r>
            <w:r w:rsidR="00596B88" w:rsidRPr="00D85E64">
              <w:rPr>
                <w:rFonts w:eastAsiaTheme="minorHAnsi" w:cs="Arial"/>
                <w:sz w:val="16"/>
                <w:szCs w:val="16"/>
              </w:rPr>
              <w:t>2022</w:t>
            </w:r>
          </w:p>
        </w:tc>
        <w:tc>
          <w:tcPr>
            <w:tcW w:w="6520" w:type="dxa"/>
            <w:tcMar>
              <w:top w:w="28" w:type="dxa"/>
              <w:left w:w="108" w:type="dxa"/>
              <w:bottom w:w="28" w:type="dxa"/>
              <w:right w:w="108" w:type="dxa"/>
            </w:tcMar>
            <w:vAlign w:val="center"/>
          </w:tcPr>
          <w:p w14:paraId="27F32445" w14:textId="3FABC3A1" w:rsidR="007C4950" w:rsidRPr="00260A8E" w:rsidRDefault="00486E11" w:rsidP="00B307F7">
            <w:pPr>
              <w:spacing w:after="0"/>
              <w:rPr>
                <w:sz w:val="16"/>
                <w:szCs w:val="16"/>
              </w:rPr>
            </w:pPr>
            <w:r w:rsidRPr="00486E11">
              <w:rPr>
                <w:rFonts w:cs="Arial"/>
                <w:sz w:val="16"/>
                <w:szCs w:val="16"/>
              </w:rPr>
              <w:t>Finalisation of IFC 33/2021</w:t>
            </w:r>
            <w:r w:rsidR="00204550">
              <w:rPr>
                <w:rFonts w:cs="Arial"/>
                <w:sz w:val="16"/>
                <w:szCs w:val="16"/>
              </w:rPr>
              <w:t xml:space="preserve"> and updates to reflect outcome </w:t>
            </w:r>
            <w:r w:rsidR="0095775C">
              <w:rPr>
                <w:rFonts w:cs="Arial"/>
                <w:sz w:val="16"/>
                <w:szCs w:val="16"/>
              </w:rPr>
              <w:t xml:space="preserve">of consultation on </w:t>
            </w:r>
            <w:r w:rsidR="0095775C" w:rsidRPr="0095775C">
              <w:rPr>
                <w:rFonts w:cs="Arial"/>
                <w:sz w:val="16"/>
                <w:szCs w:val="16"/>
              </w:rPr>
              <w:t xml:space="preserve">Proposed licensing arrangements for 2 GHz narrowband mobile-satellite services and 28 GHz fixed-satellite services - consultation </w:t>
            </w:r>
            <w:hyperlink r:id="rId19">
              <w:r w:rsidR="0095775C" w:rsidRPr="6CAC7D17">
                <w:rPr>
                  <w:rStyle w:val="Hyperlink"/>
                  <w:rFonts w:cs="Arial"/>
                  <w:sz w:val="16"/>
                  <w:szCs w:val="16"/>
                </w:rPr>
                <w:t>46/2021</w:t>
              </w:r>
            </w:hyperlink>
            <w:r w:rsidR="00A10B78">
              <w:rPr>
                <w:rStyle w:val="Hyperlink"/>
                <w:rFonts w:cs="Arial"/>
                <w:sz w:val="16"/>
                <w:szCs w:val="16"/>
              </w:rPr>
              <w:t xml:space="preserve">. </w:t>
            </w:r>
            <w:r w:rsidR="008B5456" w:rsidRPr="00260A8E">
              <w:rPr>
                <w:sz w:val="16"/>
                <w:szCs w:val="16"/>
              </w:rPr>
              <w:t>Additions</w:t>
            </w:r>
            <w:r w:rsidR="007C4950" w:rsidRPr="00260A8E">
              <w:rPr>
                <w:sz w:val="16"/>
                <w:szCs w:val="16"/>
              </w:rPr>
              <w:t>:</w:t>
            </w:r>
          </w:p>
          <w:p w14:paraId="6664920A" w14:textId="6EB46945" w:rsidR="003921BA" w:rsidRPr="00260A8E" w:rsidRDefault="007C4950" w:rsidP="007C4950">
            <w:pPr>
              <w:pStyle w:val="ListParagraph"/>
              <w:numPr>
                <w:ilvl w:val="0"/>
                <w:numId w:val="41"/>
              </w:numPr>
              <w:rPr>
                <w:sz w:val="16"/>
                <w:szCs w:val="16"/>
              </w:rPr>
            </w:pPr>
            <w:r w:rsidRPr="00260A8E">
              <w:rPr>
                <w:sz w:val="16"/>
                <w:szCs w:val="16"/>
              </w:rPr>
              <w:t>consequential</w:t>
            </w:r>
            <w:r w:rsidR="000B683F" w:rsidRPr="00260A8E">
              <w:rPr>
                <w:sz w:val="16"/>
                <w:szCs w:val="16"/>
              </w:rPr>
              <w:t xml:space="preserve"> </w:t>
            </w:r>
            <w:r w:rsidRPr="00260A8E">
              <w:rPr>
                <w:sz w:val="16"/>
                <w:szCs w:val="16"/>
              </w:rPr>
              <w:t xml:space="preserve">changes to section 1 </w:t>
            </w:r>
            <w:r w:rsidR="00537588" w:rsidRPr="00260A8E">
              <w:rPr>
                <w:sz w:val="16"/>
                <w:szCs w:val="16"/>
              </w:rPr>
              <w:t>(</w:t>
            </w:r>
            <w:r w:rsidR="00573F14" w:rsidRPr="00260A8E">
              <w:rPr>
                <w:sz w:val="16"/>
                <w:szCs w:val="16"/>
              </w:rPr>
              <w:t>P</w:t>
            </w:r>
            <w:r w:rsidR="003921BA" w:rsidRPr="00260A8E">
              <w:rPr>
                <w:sz w:val="16"/>
                <w:szCs w:val="16"/>
              </w:rPr>
              <w:t>urpose</w:t>
            </w:r>
            <w:r w:rsidR="00537588" w:rsidRPr="00260A8E">
              <w:rPr>
                <w:sz w:val="16"/>
                <w:szCs w:val="16"/>
              </w:rPr>
              <w:t>)</w:t>
            </w:r>
          </w:p>
          <w:p w14:paraId="6F6CF9F6" w14:textId="4A31B0BC" w:rsidR="00596B88" w:rsidRPr="001A6497" w:rsidRDefault="00B307F7" w:rsidP="007C4950">
            <w:pPr>
              <w:pStyle w:val="ListParagraph"/>
              <w:numPr>
                <w:ilvl w:val="0"/>
                <w:numId w:val="41"/>
              </w:numPr>
              <w:rPr>
                <w:rFonts w:cs="Arial"/>
                <w:sz w:val="16"/>
                <w:szCs w:val="16"/>
              </w:rPr>
            </w:pPr>
            <w:r w:rsidRPr="00260A8E">
              <w:rPr>
                <w:sz w:val="16"/>
                <w:szCs w:val="16"/>
              </w:rPr>
              <w:t xml:space="preserve">sections </w:t>
            </w:r>
            <w:r w:rsidR="003921BA" w:rsidRPr="00260A8E">
              <w:rPr>
                <w:sz w:val="16"/>
                <w:szCs w:val="16"/>
              </w:rPr>
              <w:t xml:space="preserve">for 2 </w:t>
            </w:r>
            <w:r w:rsidR="00260A8E">
              <w:rPr>
                <w:sz w:val="16"/>
                <w:szCs w:val="16"/>
              </w:rPr>
              <w:t>&amp;</w:t>
            </w:r>
            <w:r w:rsidR="003921BA" w:rsidRPr="00260A8E">
              <w:rPr>
                <w:sz w:val="16"/>
                <w:szCs w:val="16"/>
              </w:rPr>
              <w:t xml:space="preserve"> 28 GHz</w:t>
            </w:r>
            <w:r w:rsidR="00885154" w:rsidRPr="00260A8E">
              <w:rPr>
                <w:sz w:val="16"/>
                <w:szCs w:val="16"/>
              </w:rPr>
              <w:t xml:space="preserve">, </w:t>
            </w:r>
            <w:r w:rsidRPr="00260A8E">
              <w:rPr>
                <w:sz w:val="16"/>
                <w:szCs w:val="16"/>
              </w:rPr>
              <w:t>3.5</w:t>
            </w:r>
            <w:r w:rsidR="00EC01A5" w:rsidRPr="00260A8E">
              <w:rPr>
                <w:sz w:val="16"/>
                <w:szCs w:val="16"/>
              </w:rPr>
              <w:t xml:space="preserve"> </w:t>
            </w:r>
            <w:r w:rsidR="006E28AF" w:rsidRPr="00260A8E">
              <w:rPr>
                <w:sz w:val="16"/>
                <w:szCs w:val="16"/>
              </w:rPr>
              <w:t>(</w:t>
            </w:r>
            <w:r w:rsidRPr="00260A8E">
              <w:rPr>
                <w:sz w:val="16"/>
                <w:szCs w:val="16"/>
              </w:rPr>
              <w:t>Earth station transmitters in 27.5 to 29.5 GHz band</w:t>
            </w:r>
            <w:r w:rsidR="0079246D">
              <w:rPr>
                <w:sz w:val="16"/>
                <w:szCs w:val="16"/>
              </w:rPr>
              <w:t>)</w:t>
            </w:r>
            <w:r w:rsidRPr="00260A8E">
              <w:rPr>
                <w:sz w:val="16"/>
                <w:szCs w:val="16"/>
              </w:rPr>
              <w:t>, section 3.5.9</w:t>
            </w:r>
            <w:r w:rsidR="006E28AF" w:rsidRPr="00260A8E">
              <w:rPr>
                <w:sz w:val="16"/>
                <w:szCs w:val="16"/>
              </w:rPr>
              <w:t xml:space="preserve"> (</w:t>
            </w:r>
            <w:r w:rsidRPr="00260A8E">
              <w:rPr>
                <w:sz w:val="16"/>
                <w:szCs w:val="16"/>
              </w:rPr>
              <w:t>2 GHz Narrowband MSS</w:t>
            </w:r>
            <w:r w:rsidR="006E28AF" w:rsidRPr="00260A8E">
              <w:rPr>
                <w:sz w:val="16"/>
                <w:szCs w:val="16"/>
              </w:rPr>
              <w:t>)</w:t>
            </w:r>
            <w:r w:rsidRPr="00260A8E">
              <w:rPr>
                <w:sz w:val="16"/>
                <w:szCs w:val="16"/>
              </w:rPr>
              <w:t xml:space="preserve">, and </w:t>
            </w:r>
            <w:r w:rsidR="00822EC3" w:rsidRPr="00260A8E">
              <w:rPr>
                <w:sz w:val="16"/>
                <w:szCs w:val="16"/>
              </w:rPr>
              <w:t>sup</w:t>
            </w:r>
            <w:r w:rsidR="00041930" w:rsidRPr="00260A8E">
              <w:rPr>
                <w:sz w:val="16"/>
                <w:szCs w:val="16"/>
              </w:rPr>
              <w:t xml:space="preserve">porting </w:t>
            </w:r>
            <w:r w:rsidR="00A931A4" w:rsidRPr="00260A8E">
              <w:rPr>
                <w:sz w:val="16"/>
                <w:szCs w:val="16"/>
              </w:rPr>
              <w:t>a</w:t>
            </w:r>
            <w:r w:rsidR="00BD0580" w:rsidRPr="00260A8E">
              <w:rPr>
                <w:sz w:val="16"/>
                <w:szCs w:val="16"/>
              </w:rPr>
              <w:t>ppendices</w:t>
            </w:r>
            <w:r w:rsidR="008B5456" w:rsidRPr="00260A8E">
              <w:rPr>
                <w:sz w:val="16"/>
                <w:szCs w:val="16"/>
              </w:rPr>
              <w:t xml:space="preserve"> G</w:t>
            </w:r>
            <w:r w:rsidR="005C085C">
              <w:rPr>
                <w:sz w:val="16"/>
                <w:szCs w:val="16"/>
              </w:rPr>
              <w:t xml:space="preserve"> and </w:t>
            </w:r>
            <w:r w:rsidR="008B5456" w:rsidRPr="00260A8E">
              <w:rPr>
                <w:sz w:val="16"/>
                <w:szCs w:val="16"/>
              </w:rPr>
              <w:t>H</w:t>
            </w:r>
          </w:p>
          <w:p w14:paraId="4DBA9F14" w14:textId="513624E1" w:rsidR="001A6497" w:rsidRPr="00260A8E" w:rsidRDefault="001A6497" w:rsidP="007C4950">
            <w:pPr>
              <w:pStyle w:val="ListParagraph"/>
              <w:numPr>
                <w:ilvl w:val="0"/>
                <w:numId w:val="41"/>
              </w:numPr>
              <w:rPr>
                <w:rStyle w:val="Hyperlink"/>
                <w:rFonts w:cs="Arial"/>
                <w:color w:val="auto"/>
                <w:sz w:val="16"/>
                <w:szCs w:val="16"/>
                <w:u w:val="none"/>
              </w:rPr>
            </w:pPr>
            <w:r w:rsidRPr="00C11055">
              <w:rPr>
                <w:rFonts w:cs="Arial"/>
                <w:sz w:val="16"/>
                <w:szCs w:val="16"/>
              </w:rPr>
              <w:t xml:space="preserve">Clarified </w:t>
            </w:r>
            <w:r>
              <w:rPr>
                <w:rFonts w:cs="Arial"/>
                <w:sz w:val="16"/>
                <w:szCs w:val="16"/>
              </w:rPr>
              <w:t xml:space="preserve">that Appendix C provides examples of </w:t>
            </w:r>
            <w:r w:rsidRPr="006533E3">
              <w:rPr>
                <w:rFonts w:cs="Arial"/>
                <w:sz w:val="16"/>
                <w:szCs w:val="16"/>
              </w:rPr>
              <w:t>Information required for regulatory assessment</w:t>
            </w:r>
            <w:r>
              <w:rPr>
                <w:rFonts w:cs="Arial"/>
                <w:sz w:val="16"/>
                <w:szCs w:val="16"/>
              </w:rPr>
              <w:t xml:space="preserve"> and is not a mandatory list</w:t>
            </w:r>
          </w:p>
          <w:p w14:paraId="2DFC3F89" w14:textId="20E5C961" w:rsidR="002E4B9C" w:rsidRPr="008B2CE2" w:rsidRDefault="00A56562" w:rsidP="008B2CE2">
            <w:pPr>
              <w:pStyle w:val="ListParagraph"/>
              <w:numPr>
                <w:ilvl w:val="0"/>
                <w:numId w:val="41"/>
              </w:numPr>
              <w:rPr>
                <w:rFonts w:cs="Arial"/>
                <w:sz w:val="16"/>
                <w:szCs w:val="16"/>
              </w:rPr>
            </w:pPr>
            <w:r>
              <w:rPr>
                <w:rFonts w:cs="Arial"/>
                <w:sz w:val="16"/>
                <w:szCs w:val="16"/>
              </w:rPr>
              <w:t>Additional background information in Appendix</w:t>
            </w:r>
            <w:r w:rsidR="008235BC">
              <w:rPr>
                <w:rFonts w:cs="Arial"/>
                <w:sz w:val="16"/>
                <w:szCs w:val="16"/>
              </w:rPr>
              <w:t xml:space="preserve"> E (</w:t>
            </w:r>
            <w:r w:rsidR="008235BC" w:rsidRPr="008235BC">
              <w:rPr>
                <w:rFonts w:cs="Arial"/>
                <w:sz w:val="16"/>
                <w:szCs w:val="16"/>
              </w:rPr>
              <w:t>Earth stations in motion communicating with space stations in the fixed-satellite service (both GSO and NGSO) in the frequency ranges 10.7–12.75 GHz (space-to-Earth) and 14-14.5 GHz (Earth-to-space</w:t>
            </w:r>
            <w:r w:rsidR="008235BC">
              <w:rPr>
                <w:rFonts w:cs="Arial"/>
                <w:sz w:val="16"/>
                <w:szCs w:val="16"/>
              </w:rPr>
              <w:t xml:space="preserve">)) </w:t>
            </w:r>
            <w:r>
              <w:rPr>
                <w:rFonts w:cs="Arial"/>
                <w:sz w:val="16"/>
                <w:szCs w:val="16"/>
              </w:rPr>
              <w:t>on h</w:t>
            </w:r>
            <w:r w:rsidR="00F53B24">
              <w:rPr>
                <w:rFonts w:cs="Arial"/>
                <w:sz w:val="16"/>
                <w:szCs w:val="16"/>
              </w:rPr>
              <w:t>o</w:t>
            </w:r>
            <w:r>
              <w:rPr>
                <w:rFonts w:cs="Arial"/>
                <w:sz w:val="16"/>
                <w:szCs w:val="16"/>
              </w:rPr>
              <w:t xml:space="preserve">w Australian regulatory </w:t>
            </w:r>
            <w:r w:rsidR="00F53B24">
              <w:rPr>
                <w:rFonts w:cs="Arial"/>
                <w:sz w:val="16"/>
                <w:szCs w:val="16"/>
              </w:rPr>
              <w:t xml:space="preserve">arrangements </w:t>
            </w:r>
            <w:r>
              <w:rPr>
                <w:rFonts w:cs="Arial"/>
                <w:sz w:val="16"/>
                <w:szCs w:val="16"/>
              </w:rPr>
              <w:t>support ESIM</w:t>
            </w:r>
            <w:r w:rsidR="001F25FD">
              <w:rPr>
                <w:rFonts w:cs="Arial"/>
                <w:sz w:val="16"/>
                <w:szCs w:val="16"/>
              </w:rPr>
              <w:t xml:space="preserve"> </w:t>
            </w:r>
            <w:r w:rsidR="00933FDB">
              <w:rPr>
                <w:rFonts w:cs="Arial"/>
                <w:sz w:val="16"/>
                <w:szCs w:val="16"/>
              </w:rPr>
              <w:t xml:space="preserve">with reference </w:t>
            </w:r>
            <w:r w:rsidR="005C085C">
              <w:rPr>
                <w:rFonts w:cs="Arial"/>
                <w:sz w:val="16"/>
                <w:szCs w:val="16"/>
              </w:rPr>
              <w:t xml:space="preserve">to </w:t>
            </w:r>
            <w:r w:rsidR="001F25FD" w:rsidRPr="001F25FD">
              <w:rPr>
                <w:rFonts w:cs="Arial"/>
                <w:sz w:val="16"/>
                <w:szCs w:val="16"/>
              </w:rPr>
              <w:t>Australian Radiofrequency Spectrum Plan section 10(9)</w:t>
            </w:r>
          </w:p>
        </w:tc>
      </w:tr>
      <w:tr w:rsidR="00A4587A" w:rsidRPr="007C4502" w14:paraId="293794A7" w14:textId="77777777" w:rsidTr="00640062">
        <w:trPr>
          <w:trHeight w:val="129"/>
        </w:trPr>
        <w:tc>
          <w:tcPr>
            <w:tcW w:w="846" w:type="dxa"/>
            <w:tcMar>
              <w:top w:w="28" w:type="dxa"/>
              <w:left w:w="108" w:type="dxa"/>
              <w:bottom w:w="28" w:type="dxa"/>
              <w:right w:w="108" w:type="dxa"/>
            </w:tcMar>
            <w:vAlign w:val="center"/>
          </w:tcPr>
          <w:p w14:paraId="03BB867B" w14:textId="7911EBE2" w:rsidR="00A4587A" w:rsidRDefault="00A4587A" w:rsidP="00A4587A">
            <w:pPr>
              <w:spacing w:after="0"/>
              <w:rPr>
                <w:rFonts w:cs="Arial"/>
                <w:sz w:val="16"/>
                <w:szCs w:val="16"/>
              </w:rPr>
            </w:pPr>
            <w:r>
              <w:rPr>
                <w:rFonts w:cs="Arial"/>
                <w:sz w:val="16"/>
                <w:szCs w:val="16"/>
              </w:rPr>
              <w:t>4</w:t>
            </w:r>
          </w:p>
        </w:tc>
        <w:tc>
          <w:tcPr>
            <w:tcW w:w="1701" w:type="dxa"/>
            <w:tcMar>
              <w:top w:w="28" w:type="dxa"/>
              <w:left w:w="108" w:type="dxa"/>
              <w:bottom w:w="28" w:type="dxa"/>
              <w:right w:w="108" w:type="dxa"/>
            </w:tcMar>
            <w:vAlign w:val="center"/>
          </w:tcPr>
          <w:p w14:paraId="4C22DAB9" w14:textId="3F9340E7" w:rsidR="00A4587A" w:rsidRPr="00D85E64" w:rsidRDefault="00A4587A" w:rsidP="00A4587A">
            <w:pPr>
              <w:spacing w:after="0"/>
              <w:rPr>
                <w:rFonts w:eastAsiaTheme="minorHAnsi" w:cs="Arial"/>
                <w:sz w:val="16"/>
                <w:szCs w:val="16"/>
              </w:rPr>
            </w:pPr>
            <w:r>
              <w:rPr>
                <w:rFonts w:eastAsiaTheme="minorHAnsi" w:cs="Arial"/>
                <w:sz w:val="16"/>
                <w:szCs w:val="16"/>
              </w:rPr>
              <w:t>December 2023</w:t>
            </w:r>
          </w:p>
        </w:tc>
        <w:tc>
          <w:tcPr>
            <w:tcW w:w="6520" w:type="dxa"/>
            <w:tcMar>
              <w:top w:w="28" w:type="dxa"/>
              <w:left w:w="108" w:type="dxa"/>
              <w:bottom w:w="28" w:type="dxa"/>
              <w:right w:w="108" w:type="dxa"/>
            </w:tcMar>
            <w:vAlign w:val="center"/>
          </w:tcPr>
          <w:p w14:paraId="651AFFBD" w14:textId="1811BB27" w:rsidR="00A4587A" w:rsidRDefault="00A4587A" w:rsidP="00A4587A">
            <w:pPr>
              <w:pStyle w:val="FootnoteText"/>
              <w:rPr>
                <w:rFonts w:cs="Arial"/>
              </w:rPr>
            </w:pPr>
            <w:r>
              <w:rPr>
                <w:rFonts w:cs="Arial"/>
              </w:rPr>
              <w:t xml:space="preserve">Updates to implement </w:t>
            </w:r>
            <w:r>
              <w:t xml:space="preserve">outcomes of the </w:t>
            </w:r>
            <w:r w:rsidRPr="00357559">
              <w:t>1.5 GHz band</w:t>
            </w:r>
            <w:r>
              <w:t xml:space="preserve"> review</w:t>
            </w:r>
            <w:r w:rsidRPr="00357559">
              <w:t xml:space="preserve">: </w:t>
            </w:r>
            <w:hyperlink r:id="rId20" w:history="1">
              <w:r w:rsidRPr="00357559">
                <w:rPr>
                  <w:rStyle w:val="Hyperlink"/>
                  <w:rFonts w:cs="Arial"/>
                  <w:szCs w:val="20"/>
                </w:rPr>
                <w:t>Extended MSS L-band options paper</w:t>
              </w:r>
            </w:hyperlink>
            <w:r>
              <w:t xml:space="preserve"> </w:t>
            </w:r>
            <w:r>
              <w:rPr>
                <w:rFonts w:cs="Arial"/>
              </w:rPr>
              <w:t>in new section 3.5.10.</w:t>
            </w:r>
          </w:p>
          <w:p w14:paraId="702DD454" w14:textId="7B57B3D6" w:rsidR="00A4587A" w:rsidRPr="00A4587A" w:rsidRDefault="00A4587A" w:rsidP="00A4587A">
            <w:pPr>
              <w:spacing w:after="0"/>
              <w:rPr>
                <w:rFonts w:cs="Arial"/>
                <w:sz w:val="16"/>
                <w:szCs w:val="16"/>
              </w:rPr>
            </w:pPr>
            <w:r w:rsidRPr="009C7DD1">
              <w:rPr>
                <w:rFonts w:cs="Arial"/>
                <w:sz w:val="16"/>
                <w:szCs w:val="16"/>
              </w:rPr>
              <w:t>Updates to section 3.5.</w:t>
            </w:r>
            <w:r w:rsidR="00821EF1">
              <w:rPr>
                <w:rFonts w:cs="Arial"/>
                <w:sz w:val="16"/>
                <w:szCs w:val="16"/>
              </w:rPr>
              <w:t>6</w:t>
            </w:r>
            <w:r w:rsidRPr="009C7DD1">
              <w:rPr>
                <w:rFonts w:cs="Arial"/>
                <w:sz w:val="16"/>
                <w:szCs w:val="16"/>
              </w:rPr>
              <w:t xml:space="preserve"> on </w:t>
            </w:r>
            <w:r w:rsidR="009C7DD1">
              <w:rPr>
                <w:rFonts w:cs="Arial"/>
                <w:sz w:val="16"/>
                <w:szCs w:val="16"/>
              </w:rPr>
              <w:t>pro</w:t>
            </w:r>
            <w:r w:rsidRPr="009C7DD1">
              <w:rPr>
                <w:rFonts w:cs="Arial"/>
                <w:sz w:val="16"/>
                <w:szCs w:val="16"/>
              </w:rPr>
              <w:t xml:space="preserve">tection for the Australian Radio Quiet Zone Western Australia to refer to remade </w:t>
            </w:r>
            <w:hyperlink r:id="rId21" w:history="1">
              <w:r w:rsidRPr="009C7DD1">
                <w:rPr>
                  <w:rStyle w:val="Hyperlink"/>
                  <w:rFonts w:cs="Arial"/>
                  <w:sz w:val="16"/>
                  <w:szCs w:val="16"/>
                </w:rPr>
                <w:t>Radiocommunications (Australian Radio Quiet Zone Western Australia) Frequency Band Plan 2023</w:t>
              </w:r>
            </w:hyperlink>
            <w:r w:rsidRPr="009C7DD1">
              <w:rPr>
                <w:rFonts w:cs="Arial"/>
                <w:sz w:val="16"/>
                <w:szCs w:val="16"/>
              </w:rPr>
              <w:t xml:space="preserve"> (see ACMA consultation </w:t>
            </w:r>
            <w:hyperlink r:id="rId22" w:history="1">
              <w:r w:rsidRPr="009C7DD1">
                <w:rPr>
                  <w:rStyle w:val="Hyperlink"/>
                  <w:rFonts w:cs="Arial"/>
                  <w:sz w:val="16"/>
                  <w:szCs w:val="16"/>
                </w:rPr>
                <w:t>Prop</w:t>
              </w:r>
              <w:r w:rsidRPr="009C7DD1">
                <w:rPr>
                  <w:rStyle w:val="Hyperlink"/>
                  <w:rFonts w:cs="Arial"/>
                  <w:sz w:val="16"/>
                  <w:szCs w:val="16"/>
                </w:rPr>
                <w:t>o</w:t>
              </w:r>
              <w:r w:rsidRPr="009C7DD1">
                <w:rPr>
                  <w:rStyle w:val="Hyperlink"/>
                  <w:rFonts w:cs="Arial"/>
                  <w:sz w:val="16"/>
                  <w:szCs w:val="16"/>
                </w:rPr>
                <w:t>sal to remake the Australian Radio Quiet Zone Western Australia Band Plan</w:t>
              </w:r>
            </w:hyperlink>
            <w:r w:rsidRPr="009C7DD1">
              <w:rPr>
                <w:rFonts w:cs="Arial"/>
                <w:sz w:val="16"/>
                <w:szCs w:val="16"/>
              </w:rPr>
              <w:t>)</w:t>
            </w:r>
            <w:r w:rsidR="009C7DD1">
              <w:rPr>
                <w:rFonts w:cs="Arial"/>
                <w:sz w:val="16"/>
                <w:szCs w:val="16"/>
              </w:rPr>
              <w:t>.</w:t>
            </w:r>
          </w:p>
        </w:tc>
      </w:tr>
    </w:tbl>
    <w:p w14:paraId="7E037B42" w14:textId="77777777" w:rsidR="00B75D19" w:rsidRPr="00B75D19" w:rsidRDefault="00B75D19" w:rsidP="00D16FE3">
      <w:pPr>
        <w:pStyle w:val="ACMACorporateAddresses"/>
        <w:rPr>
          <w:rStyle w:val="Hyperlink"/>
          <w:color w:val="auto"/>
          <w:sz w:val="20"/>
          <w:u w:val="none"/>
        </w:rPr>
      </w:pPr>
    </w:p>
    <w:p w14:paraId="1DB35576" w14:textId="77777777" w:rsidR="00B75D19" w:rsidRPr="00B75D19" w:rsidRDefault="00B75D19" w:rsidP="00D16FE3">
      <w:pPr>
        <w:pStyle w:val="ACMACorporateAddresses"/>
        <w:rPr>
          <w:rStyle w:val="Hyperlink"/>
          <w:color w:val="auto"/>
          <w:sz w:val="20"/>
          <w:u w:val="none"/>
        </w:rPr>
      </w:pPr>
    </w:p>
    <w:p w14:paraId="1B88E9C5" w14:textId="77777777" w:rsidR="00B75D19" w:rsidRPr="00B75D19" w:rsidRDefault="00B75D19" w:rsidP="00D16FE3">
      <w:pPr>
        <w:pStyle w:val="ACMACorporateAddresses"/>
        <w:rPr>
          <w:rStyle w:val="Hyperlink"/>
          <w:color w:val="auto"/>
          <w:sz w:val="20"/>
          <w:u w:val="none"/>
        </w:rPr>
      </w:pPr>
    </w:p>
    <w:p w14:paraId="05EF3985" w14:textId="77777777" w:rsidR="00B75D19" w:rsidRPr="00B75D19" w:rsidRDefault="00B75D19" w:rsidP="00B75D19">
      <w:pPr>
        <w:rPr>
          <w:rStyle w:val="Hyperlink"/>
          <w:color w:val="auto"/>
          <w:u w:val="none"/>
        </w:rPr>
      </w:pPr>
    </w:p>
    <w:p w14:paraId="074F505E" w14:textId="77777777" w:rsidR="00762825" w:rsidRDefault="00762825" w:rsidP="00D16FE3">
      <w:pPr>
        <w:pStyle w:val="ACMACorporateAddresses"/>
        <w:rPr>
          <w:rStyle w:val="Hyperlink"/>
        </w:rPr>
      </w:pPr>
    </w:p>
    <w:p w14:paraId="57850EDE" w14:textId="77777777" w:rsidR="00D16FE3" w:rsidRPr="00D16FE3" w:rsidRDefault="00D16FE3" w:rsidP="00D16FE3">
      <w:pPr>
        <w:pStyle w:val="ACMACorporateAddresses"/>
        <w:sectPr w:rsidR="00D16FE3" w:rsidRPr="00D16FE3" w:rsidSect="006F5848">
          <w:headerReference w:type="even" r:id="rId23"/>
          <w:headerReference w:type="default" r:id="rId24"/>
          <w:footerReference w:type="even" r:id="rId25"/>
          <w:footerReference w:type="default" r:id="rId26"/>
          <w:headerReference w:type="first" r:id="rId27"/>
          <w:pgSz w:w="11906" w:h="16838" w:code="9"/>
          <w:pgMar w:top="3544" w:right="1797" w:bottom="697" w:left="1134" w:header="709" w:footer="119" w:gutter="0"/>
          <w:cols w:space="708"/>
          <w:docGrid w:linePitch="360"/>
        </w:sectPr>
      </w:pPr>
    </w:p>
    <w:p w14:paraId="2914D0A3" w14:textId="3F48B17A" w:rsidR="00F20C11" w:rsidRDefault="007A6CC0">
      <w:pPr>
        <w:pStyle w:val="TOC1"/>
        <w:tabs>
          <w:tab w:val="left" w:pos="885"/>
        </w:tabs>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\t "ACMA_ExecSummaryHeading,1" </w:instrText>
      </w:r>
      <w:r>
        <w:rPr>
          <w:rFonts w:cs="Arial"/>
          <w:b w:val="0"/>
        </w:rPr>
        <w:fldChar w:fldCharType="separate"/>
      </w:r>
      <w:r w:rsidR="00F20C11">
        <w:t>1</w:t>
      </w:r>
      <w:r w:rsidR="00F20C11">
        <w:rPr>
          <w:rFonts w:asciiTheme="minorHAnsi" w:eastAsiaTheme="minorEastAsia" w:hAnsiTheme="minorHAnsi" w:cstheme="minorBidi"/>
          <w:b w:val="0"/>
          <w:spacing w:val="0"/>
          <w:sz w:val="22"/>
          <w:szCs w:val="22"/>
        </w:rPr>
        <w:tab/>
      </w:r>
      <w:r w:rsidR="00F20C11">
        <w:t>Purpose</w:t>
      </w:r>
      <w:r w:rsidR="00F20C11">
        <w:tab/>
      </w:r>
      <w:r w:rsidR="00F20C11">
        <w:fldChar w:fldCharType="begin"/>
      </w:r>
      <w:r w:rsidR="00F20C11">
        <w:instrText xml:space="preserve"> PAGEREF _Toc153797976 \h </w:instrText>
      </w:r>
      <w:r w:rsidR="00F20C11">
        <w:fldChar w:fldCharType="separate"/>
      </w:r>
      <w:r w:rsidR="00F20C11">
        <w:t>1</w:t>
      </w:r>
      <w:r w:rsidR="00F20C11">
        <w:fldChar w:fldCharType="end"/>
      </w:r>
    </w:p>
    <w:p w14:paraId="1E94C419" w14:textId="3161EF30" w:rsidR="00F20C11" w:rsidRDefault="00F20C11">
      <w:pPr>
        <w:pStyle w:val="TOC1"/>
        <w:tabs>
          <w:tab w:val="left" w:pos="885"/>
        </w:tabs>
        <w:rPr>
          <w:rFonts w:asciiTheme="minorHAnsi" w:eastAsiaTheme="minorEastAsia" w:hAnsiTheme="minorHAnsi" w:cstheme="minorBidi"/>
          <w:b w:val="0"/>
          <w:spacing w:val="0"/>
          <w:sz w:val="22"/>
          <w:szCs w:val="22"/>
        </w:rPr>
      </w:pPr>
      <w:r>
        <w:t>2</w:t>
      </w:r>
      <w:r>
        <w:rPr>
          <w:rFonts w:asciiTheme="minorHAnsi" w:eastAsiaTheme="minorEastAsia" w:hAnsiTheme="minorHAnsi" w:cstheme="minorBidi"/>
          <w:b w:val="0"/>
          <w:spacing w:val="0"/>
          <w:sz w:val="22"/>
          <w:szCs w:val="22"/>
        </w:rPr>
        <w:tab/>
      </w:r>
      <w:r>
        <w:t>Background</w:t>
      </w:r>
      <w:r>
        <w:tab/>
      </w:r>
      <w:r>
        <w:fldChar w:fldCharType="begin"/>
      </w:r>
      <w:r>
        <w:instrText xml:space="preserve"> PAGEREF _Toc153797977 \h </w:instrText>
      </w:r>
      <w:r>
        <w:fldChar w:fldCharType="separate"/>
      </w:r>
      <w:r>
        <w:t>2</w:t>
      </w:r>
      <w:r>
        <w:fldChar w:fldCharType="end"/>
      </w:r>
    </w:p>
    <w:p w14:paraId="4C33C67A" w14:textId="41F3C118" w:rsidR="00F20C11" w:rsidRDefault="00F20C11">
      <w:pPr>
        <w:pStyle w:val="TOC1"/>
        <w:tabs>
          <w:tab w:val="left" w:pos="885"/>
        </w:tabs>
        <w:rPr>
          <w:rFonts w:asciiTheme="minorHAnsi" w:eastAsiaTheme="minorEastAsia" w:hAnsiTheme="minorHAnsi" w:cstheme="minorBidi"/>
          <w:b w:val="0"/>
          <w:spacing w:val="0"/>
          <w:sz w:val="22"/>
          <w:szCs w:val="22"/>
        </w:rPr>
      </w:pPr>
      <w:r>
        <w:t>3</w:t>
      </w:r>
      <w:r>
        <w:rPr>
          <w:rFonts w:asciiTheme="minorHAnsi" w:eastAsiaTheme="minorEastAsia" w:hAnsiTheme="minorHAnsi" w:cstheme="minorBidi"/>
          <w:b w:val="0"/>
          <w:spacing w:val="0"/>
          <w:sz w:val="22"/>
          <w:szCs w:val="22"/>
        </w:rPr>
        <w:tab/>
      </w:r>
      <w:r>
        <w:t>Regulatory considerations</w:t>
      </w:r>
      <w:r>
        <w:tab/>
      </w:r>
      <w:r>
        <w:fldChar w:fldCharType="begin"/>
      </w:r>
      <w:r>
        <w:instrText xml:space="preserve"> PAGEREF _Toc153797978 \h </w:instrText>
      </w:r>
      <w:r>
        <w:fldChar w:fldCharType="separate"/>
      </w:r>
      <w:r>
        <w:t>3</w:t>
      </w:r>
      <w:r>
        <w:fldChar w:fldCharType="end"/>
      </w:r>
    </w:p>
    <w:p w14:paraId="79521686" w14:textId="775D436F" w:rsidR="00F20C11" w:rsidRDefault="00F20C11">
      <w:pPr>
        <w:pStyle w:val="TOC2"/>
        <w:rPr>
          <w:rFonts w:asciiTheme="minorHAnsi" w:eastAsiaTheme="minorEastAsia" w:hAnsiTheme="minorHAnsi" w:cstheme="minorBidi"/>
          <w:spacing w:val="0"/>
          <w:sz w:val="22"/>
          <w:szCs w:val="22"/>
        </w:rPr>
      </w:pPr>
      <w:r>
        <w:t>3.1</w:t>
      </w:r>
      <w:r>
        <w:rPr>
          <w:rFonts w:asciiTheme="minorHAnsi" w:eastAsiaTheme="minorEastAsia" w:hAnsiTheme="minorHAnsi" w:cstheme="minorBidi"/>
          <w:spacing w:val="0"/>
          <w:sz w:val="22"/>
          <w:szCs w:val="22"/>
        </w:rPr>
        <w:tab/>
      </w:r>
      <w:r>
        <w:t>Australian space regulations</w:t>
      </w:r>
      <w:r>
        <w:tab/>
      </w:r>
      <w:r>
        <w:fldChar w:fldCharType="begin"/>
      </w:r>
      <w:r>
        <w:instrText xml:space="preserve"> PAGEREF _Toc153797979 \h </w:instrText>
      </w:r>
      <w:r>
        <w:fldChar w:fldCharType="separate"/>
      </w:r>
      <w:r>
        <w:t>3</w:t>
      </w:r>
      <w:r>
        <w:fldChar w:fldCharType="end"/>
      </w:r>
    </w:p>
    <w:p w14:paraId="5D371B92" w14:textId="17E35B2E" w:rsidR="00F20C11" w:rsidRDefault="00F20C11">
      <w:pPr>
        <w:pStyle w:val="TOC2"/>
        <w:rPr>
          <w:rFonts w:asciiTheme="minorHAnsi" w:eastAsiaTheme="minorEastAsia" w:hAnsiTheme="minorHAnsi" w:cstheme="minorBidi"/>
          <w:spacing w:val="0"/>
          <w:sz w:val="22"/>
          <w:szCs w:val="22"/>
        </w:rPr>
      </w:pPr>
      <w:r>
        <w:t>3.2</w:t>
      </w:r>
      <w:r>
        <w:rPr>
          <w:rFonts w:asciiTheme="minorHAnsi" w:eastAsiaTheme="minorEastAsia" w:hAnsiTheme="minorHAnsi" w:cstheme="minorBidi"/>
          <w:spacing w:val="0"/>
          <w:sz w:val="22"/>
          <w:szCs w:val="22"/>
        </w:rPr>
        <w:tab/>
      </w:r>
      <w:r>
        <w:t>Determining the ITU regulatory status</w:t>
      </w:r>
      <w:r>
        <w:tab/>
      </w:r>
      <w:r>
        <w:fldChar w:fldCharType="begin"/>
      </w:r>
      <w:r>
        <w:instrText xml:space="preserve"> PAGEREF _Toc153797980 \h </w:instrText>
      </w:r>
      <w:r>
        <w:fldChar w:fldCharType="separate"/>
      </w:r>
      <w:r>
        <w:t>3</w:t>
      </w:r>
      <w:r>
        <w:fldChar w:fldCharType="end"/>
      </w:r>
    </w:p>
    <w:p w14:paraId="2629AAD9" w14:textId="1C7BE6BB" w:rsidR="00F20C11" w:rsidRDefault="00F20C11">
      <w:pPr>
        <w:pStyle w:val="TOC3"/>
        <w:tabs>
          <w:tab w:val="left" w:pos="885"/>
        </w:tabs>
        <w:rPr>
          <w:rFonts w:asciiTheme="minorHAnsi" w:eastAsiaTheme="minorEastAsia" w:hAnsiTheme="minorHAnsi" w:cstheme="minorBidi"/>
        </w:rPr>
      </w:pPr>
      <w:r>
        <w:t>3.2.1</w:t>
      </w:r>
      <w:r>
        <w:rPr>
          <w:rFonts w:asciiTheme="minorHAnsi" w:eastAsiaTheme="minorEastAsia" w:hAnsiTheme="minorHAnsi" w:cstheme="minorBidi"/>
        </w:rPr>
        <w:tab/>
      </w:r>
      <w:r>
        <w:t>Recorded in the MIFR with favourable finding</w:t>
      </w:r>
      <w:r>
        <w:tab/>
      </w:r>
      <w:r>
        <w:fldChar w:fldCharType="begin"/>
      </w:r>
      <w:r>
        <w:instrText xml:space="preserve"> PAGEREF _Toc153797981 \h </w:instrText>
      </w:r>
      <w:r>
        <w:fldChar w:fldCharType="separate"/>
      </w:r>
      <w:r>
        <w:t>4</w:t>
      </w:r>
      <w:r>
        <w:fldChar w:fldCharType="end"/>
      </w:r>
    </w:p>
    <w:p w14:paraId="278C1582" w14:textId="09ACB010" w:rsidR="00F20C11" w:rsidRDefault="00F20C11">
      <w:pPr>
        <w:pStyle w:val="TOC3"/>
        <w:tabs>
          <w:tab w:val="left" w:pos="885"/>
        </w:tabs>
        <w:rPr>
          <w:rFonts w:asciiTheme="minorHAnsi" w:eastAsiaTheme="minorEastAsia" w:hAnsiTheme="minorHAnsi" w:cstheme="minorBidi"/>
        </w:rPr>
      </w:pPr>
      <w:r>
        <w:t>3.2.2</w:t>
      </w:r>
      <w:r>
        <w:rPr>
          <w:rFonts w:asciiTheme="minorHAnsi" w:eastAsiaTheme="minorEastAsia" w:hAnsiTheme="minorHAnsi" w:cstheme="minorBidi"/>
        </w:rPr>
        <w:tab/>
      </w:r>
      <w:r>
        <w:t>Recorded in the MIFR and 11.41</w:t>
      </w:r>
      <w:r>
        <w:tab/>
      </w:r>
      <w:r>
        <w:fldChar w:fldCharType="begin"/>
      </w:r>
      <w:r>
        <w:instrText xml:space="preserve"> PAGEREF _Toc153797982 \h </w:instrText>
      </w:r>
      <w:r>
        <w:fldChar w:fldCharType="separate"/>
      </w:r>
      <w:r>
        <w:t>4</w:t>
      </w:r>
      <w:r>
        <w:fldChar w:fldCharType="end"/>
      </w:r>
    </w:p>
    <w:p w14:paraId="4421EB6D" w14:textId="5DD68C99" w:rsidR="00F20C11" w:rsidRDefault="00F20C11">
      <w:pPr>
        <w:pStyle w:val="TOC3"/>
        <w:tabs>
          <w:tab w:val="left" w:pos="885"/>
        </w:tabs>
        <w:rPr>
          <w:rFonts w:asciiTheme="minorHAnsi" w:eastAsiaTheme="minorEastAsia" w:hAnsiTheme="minorHAnsi" w:cstheme="minorBidi"/>
        </w:rPr>
      </w:pPr>
      <w:r>
        <w:t>3.2.3</w:t>
      </w:r>
      <w:r>
        <w:rPr>
          <w:rFonts w:asciiTheme="minorHAnsi" w:eastAsiaTheme="minorEastAsia" w:hAnsiTheme="minorHAnsi" w:cstheme="minorBidi"/>
        </w:rPr>
        <w:tab/>
      </w:r>
      <w:r>
        <w:t>Not recorded in the MIFR</w:t>
      </w:r>
      <w:r>
        <w:tab/>
      </w:r>
      <w:r>
        <w:fldChar w:fldCharType="begin"/>
      </w:r>
      <w:r>
        <w:instrText xml:space="preserve"> PAGEREF _Toc153797983 \h </w:instrText>
      </w:r>
      <w:r>
        <w:fldChar w:fldCharType="separate"/>
      </w:r>
      <w:r>
        <w:t>4</w:t>
      </w:r>
      <w:r>
        <w:fldChar w:fldCharType="end"/>
      </w:r>
    </w:p>
    <w:p w14:paraId="64518E36" w14:textId="627BA0C2" w:rsidR="00F20C11" w:rsidRDefault="00F20C11">
      <w:pPr>
        <w:pStyle w:val="TOC2"/>
        <w:rPr>
          <w:rFonts w:asciiTheme="minorHAnsi" w:eastAsiaTheme="minorEastAsia" w:hAnsiTheme="minorHAnsi" w:cstheme="minorBidi"/>
          <w:spacing w:val="0"/>
          <w:sz w:val="22"/>
          <w:szCs w:val="22"/>
        </w:rPr>
      </w:pPr>
      <w:r>
        <w:t>3.3</w:t>
      </w:r>
      <w:r>
        <w:rPr>
          <w:rFonts w:asciiTheme="minorHAnsi" w:eastAsiaTheme="minorEastAsia" w:hAnsiTheme="minorHAnsi" w:cstheme="minorBidi"/>
          <w:spacing w:val="0"/>
          <w:sz w:val="22"/>
          <w:szCs w:val="22"/>
        </w:rPr>
        <w:tab/>
      </w:r>
      <w:r>
        <w:t>Checking consistency with ITU registration details of the satellite network and proposed use</w:t>
      </w:r>
      <w:r>
        <w:tab/>
      </w:r>
      <w:r>
        <w:fldChar w:fldCharType="begin"/>
      </w:r>
      <w:r>
        <w:instrText xml:space="preserve"> PAGEREF _Toc153797984 \h </w:instrText>
      </w:r>
      <w:r>
        <w:fldChar w:fldCharType="separate"/>
      </w:r>
      <w:r>
        <w:t>4</w:t>
      </w:r>
      <w:r>
        <w:fldChar w:fldCharType="end"/>
      </w:r>
    </w:p>
    <w:p w14:paraId="27C990C0" w14:textId="79B680D0" w:rsidR="00F20C11" w:rsidRDefault="00F20C11">
      <w:pPr>
        <w:pStyle w:val="TOC2"/>
        <w:rPr>
          <w:rFonts w:asciiTheme="minorHAnsi" w:eastAsiaTheme="minorEastAsia" w:hAnsiTheme="minorHAnsi" w:cstheme="minorBidi"/>
          <w:spacing w:val="0"/>
          <w:sz w:val="22"/>
          <w:szCs w:val="22"/>
        </w:rPr>
      </w:pPr>
      <w:r>
        <w:t>3.4</w:t>
      </w:r>
      <w:r>
        <w:rPr>
          <w:rFonts w:asciiTheme="minorHAnsi" w:eastAsiaTheme="minorEastAsia" w:hAnsiTheme="minorHAnsi" w:cstheme="minorBidi"/>
          <w:spacing w:val="0"/>
          <w:sz w:val="22"/>
          <w:szCs w:val="22"/>
        </w:rPr>
        <w:tab/>
      </w:r>
      <w:r>
        <w:t>Information required for regulatory assessment</w:t>
      </w:r>
      <w:r>
        <w:tab/>
      </w:r>
      <w:r>
        <w:fldChar w:fldCharType="begin"/>
      </w:r>
      <w:r>
        <w:instrText xml:space="preserve"> PAGEREF _Toc153797985 \h </w:instrText>
      </w:r>
      <w:r>
        <w:fldChar w:fldCharType="separate"/>
      </w:r>
      <w:r>
        <w:t>5</w:t>
      </w:r>
      <w:r>
        <w:fldChar w:fldCharType="end"/>
      </w:r>
    </w:p>
    <w:p w14:paraId="7AC2D523" w14:textId="5F43292C" w:rsidR="00F20C11" w:rsidRDefault="00F20C11">
      <w:pPr>
        <w:pStyle w:val="TOC2"/>
        <w:rPr>
          <w:rFonts w:asciiTheme="minorHAnsi" w:eastAsiaTheme="minorEastAsia" w:hAnsiTheme="minorHAnsi" w:cstheme="minorBidi"/>
          <w:spacing w:val="0"/>
          <w:sz w:val="22"/>
          <w:szCs w:val="22"/>
        </w:rPr>
      </w:pPr>
      <w:r>
        <w:t>3.5</w:t>
      </w:r>
      <w:r>
        <w:rPr>
          <w:rFonts w:asciiTheme="minorHAnsi" w:eastAsiaTheme="minorEastAsia" w:hAnsiTheme="minorHAnsi" w:cstheme="minorBidi"/>
          <w:spacing w:val="0"/>
          <w:sz w:val="22"/>
          <w:szCs w:val="22"/>
        </w:rPr>
        <w:tab/>
      </w:r>
      <w:r>
        <w:t>Interference management requirements</w:t>
      </w:r>
      <w:r>
        <w:tab/>
      </w:r>
      <w:r>
        <w:fldChar w:fldCharType="begin"/>
      </w:r>
      <w:r>
        <w:instrText xml:space="preserve"> PAGEREF _Toc153797986 \h </w:instrText>
      </w:r>
      <w:r>
        <w:fldChar w:fldCharType="separate"/>
      </w:r>
      <w:r>
        <w:t>5</w:t>
      </w:r>
      <w:r>
        <w:fldChar w:fldCharType="end"/>
      </w:r>
    </w:p>
    <w:p w14:paraId="1F77932F" w14:textId="56C1ECE4" w:rsidR="00F20C11" w:rsidRDefault="00F20C11">
      <w:pPr>
        <w:pStyle w:val="TOC3"/>
        <w:tabs>
          <w:tab w:val="left" w:pos="885"/>
        </w:tabs>
        <w:rPr>
          <w:rFonts w:asciiTheme="minorHAnsi" w:eastAsiaTheme="minorEastAsia" w:hAnsiTheme="minorHAnsi" w:cstheme="minorBidi"/>
        </w:rPr>
      </w:pPr>
      <w:r>
        <w:t>3.5.1</w:t>
      </w:r>
      <w:r>
        <w:rPr>
          <w:rFonts w:asciiTheme="minorHAnsi" w:eastAsiaTheme="minorEastAsia" w:hAnsiTheme="minorHAnsi" w:cstheme="minorBidi"/>
        </w:rPr>
        <w:tab/>
      </w:r>
      <w:r>
        <w:t>Interference management and due diligence</w:t>
      </w:r>
      <w:r>
        <w:tab/>
      </w:r>
      <w:r>
        <w:fldChar w:fldCharType="begin"/>
      </w:r>
      <w:r>
        <w:instrText xml:space="preserve"> PAGEREF _Toc153797987 \h </w:instrText>
      </w:r>
      <w:r>
        <w:fldChar w:fldCharType="separate"/>
      </w:r>
      <w:r>
        <w:t>5</w:t>
      </w:r>
      <w:r>
        <w:fldChar w:fldCharType="end"/>
      </w:r>
    </w:p>
    <w:p w14:paraId="4956221A" w14:textId="37C34FCF" w:rsidR="00F20C11" w:rsidRDefault="00F20C11">
      <w:pPr>
        <w:pStyle w:val="TOC3"/>
        <w:tabs>
          <w:tab w:val="left" w:pos="885"/>
        </w:tabs>
        <w:rPr>
          <w:rFonts w:asciiTheme="minorHAnsi" w:eastAsiaTheme="minorEastAsia" w:hAnsiTheme="minorHAnsi" w:cstheme="minorBidi"/>
        </w:rPr>
      </w:pPr>
      <w:r>
        <w:t>3.5.2</w:t>
      </w:r>
      <w:r>
        <w:rPr>
          <w:rFonts w:asciiTheme="minorHAnsi" w:eastAsiaTheme="minorEastAsia" w:hAnsiTheme="minorHAnsi" w:cstheme="minorBidi"/>
        </w:rPr>
        <w:tab/>
      </w:r>
      <w:r>
        <w:t>Interference point of contact</w:t>
      </w:r>
      <w:r>
        <w:tab/>
      </w:r>
      <w:r>
        <w:fldChar w:fldCharType="begin"/>
      </w:r>
      <w:r>
        <w:instrText xml:space="preserve"> PAGEREF _Toc153797988 \h </w:instrText>
      </w:r>
      <w:r>
        <w:fldChar w:fldCharType="separate"/>
      </w:r>
      <w:r>
        <w:t>6</w:t>
      </w:r>
      <w:r>
        <w:fldChar w:fldCharType="end"/>
      </w:r>
    </w:p>
    <w:p w14:paraId="086729D9" w14:textId="246DB009" w:rsidR="00F20C11" w:rsidRDefault="00F20C11">
      <w:pPr>
        <w:pStyle w:val="TOC3"/>
        <w:tabs>
          <w:tab w:val="left" w:pos="885"/>
        </w:tabs>
        <w:rPr>
          <w:rFonts w:asciiTheme="minorHAnsi" w:eastAsiaTheme="minorEastAsia" w:hAnsiTheme="minorHAnsi" w:cstheme="minorBidi"/>
        </w:rPr>
      </w:pPr>
      <w:r>
        <w:t>3.5.3</w:t>
      </w:r>
      <w:r>
        <w:rPr>
          <w:rFonts w:asciiTheme="minorHAnsi" w:eastAsiaTheme="minorEastAsia" w:hAnsiTheme="minorHAnsi" w:cstheme="minorBidi"/>
        </w:rPr>
        <w:tab/>
      </w:r>
      <w:r>
        <w:t>Earth station interference management</w:t>
      </w:r>
      <w:r>
        <w:tab/>
      </w:r>
      <w:r>
        <w:fldChar w:fldCharType="begin"/>
      </w:r>
      <w:r>
        <w:instrText xml:space="preserve"> PAGEREF _Toc153797989 \h </w:instrText>
      </w:r>
      <w:r>
        <w:fldChar w:fldCharType="separate"/>
      </w:r>
      <w:r>
        <w:t>6</w:t>
      </w:r>
      <w:r>
        <w:fldChar w:fldCharType="end"/>
      </w:r>
    </w:p>
    <w:p w14:paraId="78BD1A9B" w14:textId="74E6E95C" w:rsidR="00F20C11" w:rsidRDefault="00F20C11">
      <w:pPr>
        <w:pStyle w:val="TOC3"/>
        <w:tabs>
          <w:tab w:val="left" w:pos="885"/>
        </w:tabs>
        <w:rPr>
          <w:rFonts w:asciiTheme="minorHAnsi" w:eastAsiaTheme="minorEastAsia" w:hAnsiTheme="minorHAnsi" w:cstheme="minorBidi"/>
        </w:rPr>
      </w:pPr>
      <w:r>
        <w:t>3.5.4</w:t>
      </w:r>
      <w:r>
        <w:rPr>
          <w:rFonts w:asciiTheme="minorHAnsi" w:eastAsiaTheme="minorEastAsia" w:hAnsiTheme="minorHAnsi" w:cstheme="minorBidi"/>
        </w:rPr>
        <w:tab/>
      </w:r>
      <w:r>
        <w:t>ITU requirements for NGSO/GSO/BSS</w:t>
      </w:r>
      <w:r>
        <w:tab/>
      </w:r>
      <w:r>
        <w:fldChar w:fldCharType="begin"/>
      </w:r>
      <w:r>
        <w:instrText xml:space="preserve"> PAGEREF _Toc153797990 \h </w:instrText>
      </w:r>
      <w:r>
        <w:fldChar w:fldCharType="separate"/>
      </w:r>
      <w:r>
        <w:t>6</w:t>
      </w:r>
      <w:r>
        <w:fldChar w:fldCharType="end"/>
      </w:r>
    </w:p>
    <w:p w14:paraId="09B2B608" w14:textId="295414AC" w:rsidR="00F20C11" w:rsidRDefault="00F20C11">
      <w:pPr>
        <w:pStyle w:val="TOC3"/>
        <w:tabs>
          <w:tab w:val="left" w:pos="885"/>
        </w:tabs>
        <w:rPr>
          <w:rFonts w:asciiTheme="minorHAnsi" w:eastAsiaTheme="minorEastAsia" w:hAnsiTheme="minorHAnsi" w:cstheme="minorBidi"/>
        </w:rPr>
      </w:pPr>
      <w:r>
        <w:t>3.5.5</w:t>
      </w:r>
      <w:r>
        <w:rPr>
          <w:rFonts w:asciiTheme="minorHAnsi" w:eastAsiaTheme="minorEastAsia" w:hAnsiTheme="minorHAnsi" w:cstheme="minorBidi"/>
        </w:rPr>
        <w:tab/>
      </w:r>
      <w:r>
        <w:t>Very large earth stations</w:t>
      </w:r>
      <w:r>
        <w:tab/>
      </w:r>
      <w:r>
        <w:fldChar w:fldCharType="begin"/>
      </w:r>
      <w:r>
        <w:instrText xml:space="preserve"> PAGEREF _Toc153797991 \h </w:instrText>
      </w:r>
      <w:r>
        <w:fldChar w:fldCharType="separate"/>
      </w:r>
      <w:r>
        <w:t>6</w:t>
      </w:r>
      <w:r>
        <w:fldChar w:fldCharType="end"/>
      </w:r>
    </w:p>
    <w:p w14:paraId="27FDFEFD" w14:textId="02D8F190" w:rsidR="00F20C11" w:rsidRDefault="00F20C11">
      <w:pPr>
        <w:pStyle w:val="TOC3"/>
        <w:tabs>
          <w:tab w:val="left" w:pos="885"/>
        </w:tabs>
        <w:rPr>
          <w:rFonts w:asciiTheme="minorHAnsi" w:eastAsiaTheme="minorEastAsia" w:hAnsiTheme="minorHAnsi" w:cstheme="minorBidi"/>
        </w:rPr>
      </w:pPr>
      <w:r>
        <w:t>3.5.6</w:t>
      </w:r>
      <w:r>
        <w:rPr>
          <w:rFonts w:asciiTheme="minorHAnsi" w:eastAsiaTheme="minorEastAsia" w:hAnsiTheme="minorHAnsi" w:cstheme="minorBidi"/>
        </w:rPr>
        <w:tab/>
      </w:r>
      <w:r>
        <w:t>Protection for the Australian Radio Quiet Zone Western Australia</w:t>
      </w:r>
      <w:r>
        <w:tab/>
      </w:r>
      <w:r>
        <w:fldChar w:fldCharType="begin"/>
      </w:r>
      <w:r>
        <w:instrText xml:space="preserve"> PAGEREF _Toc153797992 \h </w:instrText>
      </w:r>
      <w:r>
        <w:fldChar w:fldCharType="separate"/>
      </w:r>
      <w:r>
        <w:t>6</w:t>
      </w:r>
      <w:r>
        <w:fldChar w:fldCharType="end"/>
      </w:r>
    </w:p>
    <w:p w14:paraId="562BFE95" w14:textId="31501619" w:rsidR="00F20C11" w:rsidRDefault="00F20C11">
      <w:pPr>
        <w:pStyle w:val="TOC3"/>
        <w:tabs>
          <w:tab w:val="left" w:pos="885"/>
        </w:tabs>
        <w:rPr>
          <w:rFonts w:asciiTheme="minorHAnsi" w:eastAsiaTheme="minorEastAsia" w:hAnsiTheme="minorHAnsi" w:cstheme="minorBidi"/>
        </w:rPr>
      </w:pPr>
      <w:r>
        <w:t>3.5.7</w:t>
      </w:r>
      <w:r>
        <w:rPr>
          <w:rFonts w:asciiTheme="minorHAnsi" w:eastAsiaTheme="minorEastAsia" w:hAnsiTheme="minorHAnsi" w:cstheme="minorBidi"/>
        </w:rPr>
        <w:tab/>
      </w:r>
      <w:r>
        <w:t>Earth station receivers and 11/18 GHz point to point fixed link transmitters</w:t>
      </w:r>
      <w:r>
        <w:tab/>
      </w:r>
      <w:r>
        <w:fldChar w:fldCharType="begin"/>
      </w:r>
      <w:r>
        <w:instrText xml:space="preserve"> PAGEREF _Toc153797993 \h </w:instrText>
      </w:r>
      <w:r>
        <w:fldChar w:fldCharType="separate"/>
      </w:r>
      <w:r>
        <w:t>7</w:t>
      </w:r>
      <w:r>
        <w:fldChar w:fldCharType="end"/>
      </w:r>
    </w:p>
    <w:p w14:paraId="70D28FB0" w14:textId="03B4C267" w:rsidR="00F20C11" w:rsidRDefault="00F20C11">
      <w:pPr>
        <w:pStyle w:val="TOC3"/>
        <w:tabs>
          <w:tab w:val="left" w:pos="885"/>
        </w:tabs>
        <w:rPr>
          <w:rFonts w:asciiTheme="minorHAnsi" w:eastAsiaTheme="minorEastAsia" w:hAnsiTheme="minorHAnsi" w:cstheme="minorBidi"/>
        </w:rPr>
      </w:pPr>
      <w:r w:rsidRPr="009E38B8">
        <w:rPr>
          <w:color w:val="000000"/>
        </w:rPr>
        <w:t>3.5.8</w:t>
      </w:r>
      <w:r>
        <w:rPr>
          <w:rFonts w:asciiTheme="minorHAnsi" w:eastAsiaTheme="minorEastAsia" w:hAnsiTheme="minorHAnsi" w:cstheme="minorBidi"/>
        </w:rPr>
        <w:tab/>
      </w:r>
      <w:r w:rsidRPr="009E38B8">
        <w:rPr>
          <w:color w:val="000000"/>
          <w:shd w:val="clear" w:color="auto" w:fill="FFFFFF"/>
        </w:rPr>
        <w:t>Earth station transmitters in 27.5 to 29.5 GHz band</w:t>
      </w:r>
      <w:r>
        <w:tab/>
      </w:r>
      <w:r>
        <w:fldChar w:fldCharType="begin"/>
      </w:r>
      <w:r>
        <w:instrText xml:space="preserve"> PAGEREF _Toc153797994 \h </w:instrText>
      </w:r>
      <w:r>
        <w:fldChar w:fldCharType="separate"/>
      </w:r>
      <w:r>
        <w:t>7</w:t>
      </w:r>
      <w:r>
        <w:fldChar w:fldCharType="end"/>
      </w:r>
    </w:p>
    <w:p w14:paraId="58DF52EA" w14:textId="773AA3CB" w:rsidR="00F20C11" w:rsidRDefault="00F20C11">
      <w:pPr>
        <w:pStyle w:val="TOC3"/>
        <w:tabs>
          <w:tab w:val="left" w:pos="885"/>
        </w:tabs>
        <w:rPr>
          <w:rFonts w:asciiTheme="minorHAnsi" w:eastAsiaTheme="minorEastAsia" w:hAnsiTheme="minorHAnsi" w:cstheme="minorBidi"/>
        </w:rPr>
      </w:pPr>
      <w:r>
        <w:t>3.5.9</w:t>
      </w:r>
      <w:r>
        <w:rPr>
          <w:rFonts w:asciiTheme="minorHAnsi" w:eastAsiaTheme="minorEastAsia" w:hAnsiTheme="minorHAnsi" w:cstheme="minorBidi"/>
        </w:rPr>
        <w:tab/>
      </w:r>
      <w:r>
        <w:t>2 GHz Narrowband MSS</w:t>
      </w:r>
      <w:r>
        <w:tab/>
      </w:r>
      <w:r>
        <w:fldChar w:fldCharType="begin"/>
      </w:r>
      <w:r>
        <w:instrText xml:space="preserve"> PAGEREF _Toc153797995 \h </w:instrText>
      </w:r>
      <w:r>
        <w:fldChar w:fldCharType="separate"/>
      </w:r>
      <w:r>
        <w:t>7</w:t>
      </w:r>
      <w:r>
        <w:fldChar w:fldCharType="end"/>
      </w:r>
    </w:p>
    <w:p w14:paraId="0A7CBE24" w14:textId="2A96BE40" w:rsidR="00F20C11" w:rsidRDefault="00F20C11">
      <w:pPr>
        <w:pStyle w:val="TOC3"/>
        <w:tabs>
          <w:tab w:val="left" w:pos="885"/>
        </w:tabs>
        <w:rPr>
          <w:rFonts w:asciiTheme="minorHAnsi" w:eastAsiaTheme="minorEastAsia" w:hAnsiTheme="minorHAnsi" w:cstheme="minorBidi"/>
        </w:rPr>
      </w:pPr>
      <w:r>
        <w:t>3.5.10</w:t>
      </w:r>
      <w:r>
        <w:rPr>
          <w:rFonts w:asciiTheme="minorHAnsi" w:eastAsiaTheme="minorEastAsia" w:hAnsiTheme="minorHAnsi" w:cstheme="minorBidi"/>
        </w:rPr>
        <w:tab/>
      </w:r>
      <w:r>
        <w:t>Extended L-band MSS</w:t>
      </w:r>
      <w:r>
        <w:tab/>
      </w:r>
      <w:r>
        <w:fldChar w:fldCharType="begin"/>
      </w:r>
      <w:r>
        <w:instrText xml:space="preserve"> PAGEREF _Toc153797996 \h </w:instrText>
      </w:r>
      <w:r>
        <w:fldChar w:fldCharType="separate"/>
      </w:r>
      <w:r>
        <w:t>8</w:t>
      </w:r>
      <w:r>
        <w:fldChar w:fldCharType="end"/>
      </w:r>
    </w:p>
    <w:p w14:paraId="6E972A77" w14:textId="157837B3" w:rsidR="00F20C11" w:rsidRDefault="00F20C11">
      <w:pPr>
        <w:pStyle w:val="TOC1"/>
        <w:tabs>
          <w:tab w:val="left" w:pos="885"/>
        </w:tabs>
        <w:rPr>
          <w:rFonts w:asciiTheme="minorHAnsi" w:eastAsiaTheme="minorEastAsia" w:hAnsiTheme="minorHAnsi" w:cstheme="minorBidi"/>
          <w:b w:val="0"/>
          <w:spacing w:val="0"/>
          <w:sz w:val="22"/>
          <w:szCs w:val="22"/>
        </w:rPr>
      </w:pPr>
      <w:r>
        <w:t>4</w:t>
      </w:r>
      <w:r>
        <w:rPr>
          <w:rFonts w:asciiTheme="minorHAnsi" w:eastAsiaTheme="minorEastAsia" w:hAnsiTheme="minorHAnsi" w:cstheme="minorBidi"/>
          <w:b w:val="0"/>
          <w:spacing w:val="0"/>
          <w:sz w:val="22"/>
          <w:szCs w:val="22"/>
        </w:rPr>
        <w:tab/>
      </w:r>
      <w:r>
        <w:t>Consultation with relevant government organisations</w:t>
      </w:r>
      <w:r>
        <w:tab/>
      </w:r>
      <w:r>
        <w:fldChar w:fldCharType="begin"/>
      </w:r>
      <w:r>
        <w:instrText xml:space="preserve"> PAGEREF _Toc153797997 \h </w:instrText>
      </w:r>
      <w:r>
        <w:fldChar w:fldCharType="separate"/>
      </w:r>
      <w:r>
        <w:t>9</w:t>
      </w:r>
      <w:r>
        <w:fldChar w:fldCharType="end"/>
      </w:r>
    </w:p>
    <w:p w14:paraId="38450AB2" w14:textId="50A98BE6" w:rsidR="00F20C11" w:rsidRDefault="00F20C11">
      <w:pPr>
        <w:pStyle w:val="TOC1"/>
        <w:tabs>
          <w:tab w:val="left" w:pos="885"/>
        </w:tabs>
        <w:rPr>
          <w:rFonts w:asciiTheme="minorHAnsi" w:eastAsiaTheme="minorEastAsia" w:hAnsiTheme="minorHAnsi" w:cstheme="minorBidi"/>
          <w:b w:val="0"/>
          <w:spacing w:val="0"/>
          <w:sz w:val="22"/>
          <w:szCs w:val="22"/>
        </w:rPr>
      </w:pPr>
      <w:r>
        <w:t>5</w:t>
      </w:r>
      <w:r>
        <w:rPr>
          <w:rFonts w:asciiTheme="minorHAnsi" w:eastAsiaTheme="minorEastAsia" w:hAnsiTheme="minorHAnsi" w:cstheme="minorBidi"/>
          <w:b w:val="0"/>
          <w:spacing w:val="0"/>
          <w:sz w:val="22"/>
          <w:szCs w:val="22"/>
        </w:rPr>
        <w:tab/>
      </w:r>
      <w:r>
        <w:t>Licensing arrangements for space stations</w:t>
      </w:r>
      <w:r>
        <w:tab/>
      </w:r>
      <w:r>
        <w:fldChar w:fldCharType="begin"/>
      </w:r>
      <w:r>
        <w:instrText xml:space="preserve"> PAGEREF _Toc153797998 \h </w:instrText>
      </w:r>
      <w:r>
        <w:fldChar w:fldCharType="separate"/>
      </w:r>
      <w:r>
        <w:t>9</w:t>
      </w:r>
      <w:r>
        <w:fldChar w:fldCharType="end"/>
      </w:r>
    </w:p>
    <w:p w14:paraId="4BB8250E" w14:textId="478B3ACE" w:rsidR="00F20C11" w:rsidRDefault="00F20C11">
      <w:pPr>
        <w:pStyle w:val="TOC2"/>
        <w:rPr>
          <w:rFonts w:asciiTheme="minorHAnsi" w:eastAsiaTheme="minorEastAsia" w:hAnsiTheme="minorHAnsi" w:cstheme="minorBidi"/>
          <w:spacing w:val="0"/>
          <w:sz w:val="22"/>
          <w:szCs w:val="22"/>
        </w:rPr>
      </w:pPr>
      <w:r>
        <w:t>5.1 Space Objects Determinations</w:t>
      </w:r>
      <w:r>
        <w:tab/>
      </w:r>
      <w:r>
        <w:fldChar w:fldCharType="begin"/>
      </w:r>
      <w:r>
        <w:instrText xml:space="preserve"> PAGEREF _Toc153797999 \h </w:instrText>
      </w:r>
      <w:r>
        <w:fldChar w:fldCharType="separate"/>
      </w:r>
      <w:r>
        <w:t>10</w:t>
      </w:r>
      <w:r>
        <w:fldChar w:fldCharType="end"/>
      </w:r>
    </w:p>
    <w:p w14:paraId="7272747B" w14:textId="1B30F6CB" w:rsidR="00F20C11" w:rsidRDefault="00F20C11">
      <w:pPr>
        <w:pStyle w:val="TOC1"/>
        <w:tabs>
          <w:tab w:val="left" w:pos="885"/>
        </w:tabs>
        <w:rPr>
          <w:rFonts w:asciiTheme="minorHAnsi" w:eastAsiaTheme="minorEastAsia" w:hAnsiTheme="minorHAnsi" w:cstheme="minorBidi"/>
          <w:b w:val="0"/>
          <w:spacing w:val="0"/>
          <w:sz w:val="22"/>
          <w:szCs w:val="22"/>
        </w:rPr>
      </w:pPr>
      <w:r>
        <w:t>6</w:t>
      </w:r>
      <w:r>
        <w:rPr>
          <w:rFonts w:asciiTheme="minorHAnsi" w:eastAsiaTheme="minorEastAsia" w:hAnsiTheme="minorHAnsi" w:cstheme="minorBidi"/>
          <w:b w:val="0"/>
          <w:spacing w:val="0"/>
          <w:sz w:val="22"/>
          <w:szCs w:val="22"/>
        </w:rPr>
        <w:tab/>
      </w:r>
      <w:r>
        <w:t>Special licence conditions and advisory notes</w:t>
      </w:r>
      <w:r>
        <w:tab/>
      </w:r>
      <w:r>
        <w:fldChar w:fldCharType="begin"/>
      </w:r>
      <w:r>
        <w:instrText xml:space="preserve"> PAGEREF _Toc153798000 \h </w:instrText>
      </w:r>
      <w:r>
        <w:fldChar w:fldCharType="separate"/>
      </w:r>
      <w:r>
        <w:t>11</w:t>
      </w:r>
      <w:r>
        <w:fldChar w:fldCharType="end"/>
      </w:r>
    </w:p>
    <w:p w14:paraId="2BEB9031" w14:textId="3DDED9FB" w:rsidR="00F20C11" w:rsidRDefault="00F20C11">
      <w:pPr>
        <w:pStyle w:val="TOC1"/>
        <w:tabs>
          <w:tab w:val="left" w:pos="885"/>
        </w:tabs>
        <w:rPr>
          <w:rFonts w:asciiTheme="minorHAnsi" w:eastAsiaTheme="minorEastAsia" w:hAnsiTheme="minorHAnsi" w:cstheme="minorBidi"/>
          <w:b w:val="0"/>
          <w:spacing w:val="0"/>
          <w:sz w:val="22"/>
          <w:szCs w:val="22"/>
        </w:rPr>
      </w:pPr>
      <w:r>
        <w:t>7</w:t>
      </w:r>
      <w:r>
        <w:rPr>
          <w:rFonts w:asciiTheme="minorHAnsi" w:eastAsiaTheme="minorEastAsia" w:hAnsiTheme="minorHAnsi" w:cstheme="minorBidi"/>
          <w:b w:val="0"/>
          <w:spacing w:val="0"/>
          <w:sz w:val="22"/>
          <w:szCs w:val="22"/>
        </w:rPr>
        <w:tab/>
      </w:r>
      <w:r>
        <w:t>Further information</w:t>
      </w:r>
      <w:r>
        <w:tab/>
      </w:r>
      <w:r>
        <w:fldChar w:fldCharType="begin"/>
      </w:r>
      <w:r>
        <w:instrText xml:space="preserve"> PAGEREF _Toc153798001 \h </w:instrText>
      </w:r>
      <w:r>
        <w:fldChar w:fldCharType="separate"/>
      </w:r>
      <w:r>
        <w:t>12</w:t>
      </w:r>
      <w:r>
        <w:fldChar w:fldCharType="end"/>
      </w:r>
    </w:p>
    <w:p w14:paraId="070764DF" w14:textId="0BF9E825" w:rsidR="00F20C11" w:rsidRDefault="00F20C11">
      <w:pPr>
        <w:pStyle w:val="TOC1"/>
        <w:tabs>
          <w:tab w:val="left" w:pos="1760"/>
        </w:tabs>
        <w:rPr>
          <w:rFonts w:asciiTheme="minorHAnsi" w:eastAsiaTheme="minorEastAsia" w:hAnsiTheme="minorHAnsi" w:cstheme="minorBidi"/>
          <w:b w:val="0"/>
          <w:spacing w:val="0"/>
          <w:sz w:val="22"/>
          <w:szCs w:val="22"/>
        </w:rPr>
      </w:pPr>
      <w:r w:rsidRPr="009E38B8">
        <w:t>Appendix A:</w:t>
      </w:r>
      <w:r>
        <w:rPr>
          <w:rFonts w:asciiTheme="minorHAnsi" w:eastAsiaTheme="minorEastAsia" w:hAnsiTheme="minorHAnsi" w:cstheme="minorBidi"/>
          <w:b w:val="0"/>
          <w:spacing w:val="0"/>
          <w:sz w:val="22"/>
          <w:szCs w:val="22"/>
        </w:rPr>
        <w:tab/>
      </w:r>
      <w:r w:rsidRPr="009E38B8">
        <w:t>Recorded in the MIFR</w:t>
      </w:r>
      <w:r>
        <w:tab/>
      </w:r>
      <w:r>
        <w:fldChar w:fldCharType="begin"/>
      </w:r>
      <w:r>
        <w:instrText xml:space="preserve"> PAGEREF _Toc153798002 \h </w:instrText>
      </w:r>
      <w:r>
        <w:fldChar w:fldCharType="separate"/>
      </w:r>
      <w:r>
        <w:t>13</w:t>
      </w:r>
      <w:r>
        <w:fldChar w:fldCharType="end"/>
      </w:r>
    </w:p>
    <w:p w14:paraId="41B573E9" w14:textId="21D1060B" w:rsidR="00F20C11" w:rsidRDefault="00F20C11">
      <w:pPr>
        <w:pStyle w:val="TOC2"/>
        <w:rPr>
          <w:rFonts w:asciiTheme="minorHAnsi" w:eastAsiaTheme="minorEastAsia" w:hAnsiTheme="minorHAnsi" w:cstheme="minorBidi"/>
          <w:spacing w:val="0"/>
          <w:sz w:val="22"/>
          <w:szCs w:val="22"/>
        </w:rPr>
      </w:pPr>
      <w:r>
        <w:t>A.1</w:t>
      </w:r>
      <w:r>
        <w:rPr>
          <w:rFonts w:asciiTheme="minorHAnsi" w:eastAsiaTheme="minorEastAsia" w:hAnsiTheme="minorHAnsi" w:cstheme="minorBidi"/>
          <w:spacing w:val="0"/>
          <w:sz w:val="22"/>
          <w:szCs w:val="22"/>
        </w:rPr>
        <w:tab/>
      </w:r>
      <w:r>
        <w:t>Special Conditions</w:t>
      </w:r>
      <w:r>
        <w:tab/>
      </w:r>
      <w:r>
        <w:fldChar w:fldCharType="begin"/>
      </w:r>
      <w:r>
        <w:instrText xml:space="preserve"> PAGEREF _Toc153798003 \h </w:instrText>
      </w:r>
      <w:r>
        <w:fldChar w:fldCharType="separate"/>
      </w:r>
      <w:r>
        <w:t>13</w:t>
      </w:r>
      <w:r>
        <w:fldChar w:fldCharType="end"/>
      </w:r>
    </w:p>
    <w:p w14:paraId="692C949F" w14:textId="36202530" w:rsidR="00F20C11" w:rsidRDefault="00F20C11">
      <w:pPr>
        <w:pStyle w:val="TOC2"/>
        <w:rPr>
          <w:rFonts w:asciiTheme="minorHAnsi" w:eastAsiaTheme="minorEastAsia" w:hAnsiTheme="minorHAnsi" w:cstheme="minorBidi"/>
          <w:spacing w:val="0"/>
          <w:sz w:val="22"/>
          <w:szCs w:val="22"/>
        </w:rPr>
      </w:pPr>
      <w:r>
        <w:t>A.2</w:t>
      </w:r>
      <w:r>
        <w:rPr>
          <w:rFonts w:asciiTheme="minorHAnsi" w:eastAsiaTheme="minorEastAsia" w:hAnsiTheme="minorHAnsi" w:cstheme="minorBidi"/>
          <w:spacing w:val="0"/>
          <w:sz w:val="22"/>
          <w:szCs w:val="22"/>
        </w:rPr>
        <w:tab/>
      </w:r>
      <w:r>
        <w:t>Advisory Notes</w:t>
      </w:r>
      <w:r>
        <w:tab/>
      </w:r>
      <w:r>
        <w:fldChar w:fldCharType="begin"/>
      </w:r>
      <w:r>
        <w:instrText xml:space="preserve"> PAGEREF _Toc153798004 \h </w:instrText>
      </w:r>
      <w:r>
        <w:fldChar w:fldCharType="separate"/>
      </w:r>
      <w:r>
        <w:t>13</w:t>
      </w:r>
      <w:r>
        <w:fldChar w:fldCharType="end"/>
      </w:r>
    </w:p>
    <w:p w14:paraId="6E4E95F0" w14:textId="3AF96093" w:rsidR="00F20C11" w:rsidRDefault="00F20C11">
      <w:pPr>
        <w:pStyle w:val="TOC1"/>
        <w:tabs>
          <w:tab w:val="left" w:pos="1760"/>
        </w:tabs>
        <w:rPr>
          <w:rFonts w:asciiTheme="minorHAnsi" w:eastAsiaTheme="minorEastAsia" w:hAnsiTheme="minorHAnsi" w:cstheme="minorBidi"/>
          <w:b w:val="0"/>
          <w:spacing w:val="0"/>
          <w:sz w:val="22"/>
          <w:szCs w:val="22"/>
        </w:rPr>
      </w:pPr>
      <w:r w:rsidRPr="009E38B8">
        <w:t>Appendix B:</w:t>
      </w:r>
      <w:r>
        <w:rPr>
          <w:rFonts w:asciiTheme="minorHAnsi" w:eastAsiaTheme="minorEastAsia" w:hAnsiTheme="minorHAnsi" w:cstheme="minorBidi"/>
          <w:b w:val="0"/>
          <w:spacing w:val="0"/>
          <w:sz w:val="22"/>
          <w:szCs w:val="22"/>
        </w:rPr>
        <w:tab/>
      </w:r>
      <w:r w:rsidRPr="009E38B8">
        <w:t>Not recorded in the MIFR</w:t>
      </w:r>
      <w:r>
        <w:tab/>
      </w:r>
      <w:r>
        <w:fldChar w:fldCharType="begin"/>
      </w:r>
      <w:r>
        <w:instrText xml:space="preserve"> PAGEREF _Toc153798005 \h </w:instrText>
      </w:r>
      <w:r>
        <w:fldChar w:fldCharType="separate"/>
      </w:r>
      <w:r>
        <w:t>15</w:t>
      </w:r>
      <w:r>
        <w:fldChar w:fldCharType="end"/>
      </w:r>
    </w:p>
    <w:p w14:paraId="57DB13E5" w14:textId="55DF1843" w:rsidR="00F20C11" w:rsidRDefault="00F20C11">
      <w:pPr>
        <w:pStyle w:val="TOC2"/>
        <w:rPr>
          <w:rFonts w:asciiTheme="minorHAnsi" w:eastAsiaTheme="minorEastAsia" w:hAnsiTheme="minorHAnsi" w:cstheme="minorBidi"/>
          <w:spacing w:val="0"/>
          <w:sz w:val="22"/>
          <w:szCs w:val="22"/>
        </w:rPr>
      </w:pPr>
      <w:r>
        <w:t>B.1</w:t>
      </w:r>
      <w:r>
        <w:rPr>
          <w:rFonts w:asciiTheme="minorHAnsi" w:eastAsiaTheme="minorEastAsia" w:hAnsiTheme="minorHAnsi" w:cstheme="minorBidi"/>
          <w:spacing w:val="0"/>
          <w:sz w:val="22"/>
          <w:szCs w:val="22"/>
        </w:rPr>
        <w:tab/>
      </w:r>
      <w:r>
        <w:t>Special Conditions</w:t>
      </w:r>
      <w:r>
        <w:tab/>
      </w:r>
      <w:r>
        <w:fldChar w:fldCharType="begin"/>
      </w:r>
      <w:r>
        <w:instrText xml:space="preserve"> PAGEREF _Toc153798006 \h </w:instrText>
      </w:r>
      <w:r>
        <w:fldChar w:fldCharType="separate"/>
      </w:r>
      <w:r>
        <w:t>15</w:t>
      </w:r>
      <w:r>
        <w:fldChar w:fldCharType="end"/>
      </w:r>
    </w:p>
    <w:p w14:paraId="0A970DD7" w14:textId="2CB69889" w:rsidR="00F20C11" w:rsidRDefault="00F20C11">
      <w:pPr>
        <w:pStyle w:val="TOC2"/>
        <w:rPr>
          <w:rFonts w:asciiTheme="minorHAnsi" w:eastAsiaTheme="minorEastAsia" w:hAnsiTheme="minorHAnsi" w:cstheme="minorBidi"/>
          <w:spacing w:val="0"/>
          <w:sz w:val="22"/>
          <w:szCs w:val="22"/>
        </w:rPr>
      </w:pPr>
      <w:r>
        <w:t>B.2</w:t>
      </w:r>
      <w:r>
        <w:rPr>
          <w:rFonts w:asciiTheme="minorHAnsi" w:eastAsiaTheme="minorEastAsia" w:hAnsiTheme="minorHAnsi" w:cstheme="minorBidi"/>
          <w:spacing w:val="0"/>
          <w:sz w:val="22"/>
          <w:szCs w:val="22"/>
        </w:rPr>
        <w:tab/>
      </w:r>
      <w:r>
        <w:t>Advisory Notes</w:t>
      </w:r>
      <w:r>
        <w:tab/>
      </w:r>
      <w:r>
        <w:fldChar w:fldCharType="begin"/>
      </w:r>
      <w:r>
        <w:instrText xml:space="preserve"> PAGEREF _Toc153798007 \h </w:instrText>
      </w:r>
      <w:r>
        <w:fldChar w:fldCharType="separate"/>
      </w:r>
      <w:r>
        <w:t>16</w:t>
      </w:r>
      <w:r>
        <w:fldChar w:fldCharType="end"/>
      </w:r>
    </w:p>
    <w:p w14:paraId="5FFA95D2" w14:textId="211C4B33" w:rsidR="00F20C11" w:rsidRDefault="00F20C11">
      <w:pPr>
        <w:pStyle w:val="TOC1"/>
        <w:tabs>
          <w:tab w:val="left" w:pos="1760"/>
        </w:tabs>
        <w:rPr>
          <w:rFonts w:asciiTheme="minorHAnsi" w:eastAsiaTheme="minorEastAsia" w:hAnsiTheme="minorHAnsi" w:cstheme="minorBidi"/>
          <w:b w:val="0"/>
          <w:spacing w:val="0"/>
          <w:sz w:val="22"/>
          <w:szCs w:val="22"/>
        </w:rPr>
      </w:pPr>
      <w:r w:rsidRPr="009E38B8">
        <w:t>Appendix C:</w:t>
      </w:r>
      <w:r>
        <w:rPr>
          <w:rFonts w:asciiTheme="minorHAnsi" w:eastAsiaTheme="minorEastAsia" w:hAnsiTheme="minorHAnsi" w:cstheme="minorBidi"/>
          <w:b w:val="0"/>
          <w:spacing w:val="0"/>
          <w:sz w:val="22"/>
          <w:szCs w:val="22"/>
        </w:rPr>
        <w:tab/>
      </w:r>
      <w:r w:rsidRPr="009E38B8">
        <w:t>Examples - Information required for regulatory assessment</w:t>
      </w:r>
      <w:r>
        <w:tab/>
      </w:r>
      <w:r>
        <w:fldChar w:fldCharType="begin"/>
      </w:r>
      <w:r>
        <w:instrText xml:space="preserve"> PAGEREF _Toc153798008 \h </w:instrText>
      </w:r>
      <w:r>
        <w:fldChar w:fldCharType="separate"/>
      </w:r>
      <w:r>
        <w:t>17</w:t>
      </w:r>
      <w:r>
        <w:fldChar w:fldCharType="end"/>
      </w:r>
    </w:p>
    <w:p w14:paraId="2B527348" w14:textId="0FB27DB6" w:rsidR="00F20C11" w:rsidRDefault="00F20C11">
      <w:pPr>
        <w:pStyle w:val="TOC1"/>
        <w:tabs>
          <w:tab w:val="left" w:pos="1760"/>
        </w:tabs>
        <w:rPr>
          <w:rFonts w:asciiTheme="minorHAnsi" w:eastAsiaTheme="minorEastAsia" w:hAnsiTheme="minorHAnsi" w:cstheme="minorBidi"/>
          <w:b w:val="0"/>
          <w:spacing w:val="0"/>
          <w:sz w:val="22"/>
          <w:szCs w:val="22"/>
        </w:rPr>
      </w:pPr>
      <w:r w:rsidRPr="009E38B8">
        <w:t>Appendix D:</w:t>
      </w:r>
      <w:r>
        <w:rPr>
          <w:rFonts w:asciiTheme="minorHAnsi" w:eastAsiaTheme="minorEastAsia" w:hAnsiTheme="minorHAnsi" w:cstheme="minorBidi"/>
          <w:b w:val="0"/>
          <w:spacing w:val="0"/>
          <w:sz w:val="22"/>
          <w:szCs w:val="22"/>
        </w:rPr>
        <w:tab/>
      </w:r>
      <w:r w:rsidRPr="009E38B8">
        <w:t>Letter of assurance pro forma</w:t>
      </w:r>
      <w:r>
        <w:tab/>
      </w:r>
      <w:r>
        <w:fldChar w:fldCharType="begin"/>
      </w:r>
      <w:r>
        <w:instrText xml:space="preserve"> PAGEREF _Toc153798009 \h </w:instrText>
      </w:r>
      <w:r>
        <w:fldChar w:fldCharType="separate"/>
      </w:r>
      <w:r>
        <w:t>18</w:t>
      </w:r>
      <w:r>
        <w:fldChar w:fldCharType="end"/>
      </w:r>
    </w:p>
    <w:p w14:paraId="151D4A68" w14:textId="5D8D456A" w:rsidR="00F20C11" w:rsidRDefault="00F20C11">
      <w:pPr>
        <w:pStyle w:val="TOC1"/>
        <w:tabs>
          <w:tab w:val="left" w:pos="1760"/>
        </w:tabs>
        <w:rPr>
          <w:rFonts w:asciiTheme="minorHAnsi" w:eastAsiaTheme="minorEastAsia" w:hAnsiTheme="minorHAnsi" w:cstheme="minorBidi"/>
          <w:b w:val="0"/>
          <w:spacing w:val="0"/>
          <w:sz w:val="22"/>
          <w:szCs w:val="22"/>
        </w:rPr>
      </w:pPr>
      <w:r w:rsidRPr="009E38B8">
        <w:t>Appendix E:</w:t>
      </w:r>
      <w:r>
        <w:rPr>
          <w:rFonts w:asciiTheme="minorHAnsi" w:eastAsiaTheme="minorEastAsia" w:hAnsiTheme="minorHAnsi" w:cstheme="minorBidi"/>
          <w:b w:val="0"/>
          <w:spacing w:val="0"/>
          <w:sz w:val="22"/>
          <w:szCs w:val="22"/>
        </w:rPr>
        <w:tab/>
      </w:r>
      <w:r w:rsidRPr="009E38B8">
        <w:t>Earth stations in motion communicating with space stations in the fixed-satellite service (both GSO and NGSO) in the frequency ranges 10.7–12.75 GHz (space-to-Earth) and 14-14.5 GHz (Earth-to-space)</w:t>
      </w:r>
      <w:r>
        <w:tab/>
      </w:r>
      <w:r>
        <w:fldChar w:fldCharType="begin"/>
      </w:r>
      <w:r>
        <w:instrText xml:space="preserve"> PAGEREF _Toc153798010 \h </w:instrText>
      </w:r>
      <w:r>
        <w:fldChar w:fldCharType="separate"/>
      </w:r>
      <w:r>
        <w:t>19</w:t>
      </w:r>
      <w:r>
        <w:fldChar w:fldCharType="end"/>
      </w:r>
    </w:p>
    <w:p w14:paraId="1FBC2291" w14:textId="70CE43A7" w:rsidR="00F20C11" w:rsidRDefault="00F20C11">
      <w:pPr>
        <w:pStyle w:val="TOC2"/>
        <w:rPr>
          <w:rFonts w:asciiTheme="minorHAnsi" w:eastAsiaTheme="minorEastAsia" w:hAnsiTheme="minorHAnsi" w:cstheme="minorBidi"/>
          <w:spacing w:val="0"/>
          <w:sz w:val="22"/>
          <w:szCs w:val="22"/>
        </w:rPr>
      </w:pPr>
      <w:r>
        <w:t>E.1</w:t>
      </w:r>
      <w:r>
        <w:rPr>
          <w:rFonts w:asciiTheme="minorHAnsi" w:eastAsiaTheme="minorEastAsia" w:hAnsiTheme="minorHAnsi" w:cstheme="minorBidi"/>
          <w:spacing w:val="0"/>
          <w:sz w:val="22"/>
          <w:szCs w:val="22"/>
        </w:rPr>
        <w:tab/>
      </w:r>
      <w:r>
        <w:t>Summary of additional special conditions and advisory notes applicable to Ku band ESIM</w:t>
      </w:r>
      <w:r>
        <w:tab/>
      </w:r>
      <w:r>
        <w:fldChar w:fldCharType="begin"/>
      </w:r>
      <w:r>
        <w:instrText xml:space="preserve"> PAGEREF _Toc153798011 \h </w:instrText>
      </w:r>
      <w:r>
        <w:fldChar w:fldCharType="separate"/>
      </w:r>
      <w:r>
        <w:t>20</w:t>
      </w:r>
      <w:r>
        <w:fldChar w:fldCharType="end"/>
      </w:r>
    </w:p>
    <w:p w14:paraId="0F86E3A7" w14:textId="176B0505" w:rsidR="00F20C11" w:rsidRDefault="00F20C11">
      <w:pPr>
        <w:pStyle w:val="TOC1"/>
        <w:tabs>
          <w:tab w:val="left" w:pos="1760"/>
        </w:tabs>
        <w:rPr>
          <w:rFonts w:asciiTheme="minorHAnsi" w:eastAsiaTheme="minorEastAsia" w:hAnsiTheme="minorHAnsi" w:cstheme="minorBidi"/>
          <w:b w:val="0"/>
          <w:spacing w:val="0"/>
          <w:sz w:val="22"/>
          <w:szCs w:val="22"/>
        </w:rPr>
      </w:pPr>
      <w:r w:rsidRPr="009E38B8">
        <w:t>Appendix F:</w:t>
      </w:r>
      <w:r>
        <w:rPr>
          <w:rFonts w:asciiTheme="minorHAnsi" w:eastAsiaTheme="minorEastAsia" w:hAnsiTheme="minorHAnsi" w:cstheme="minorBidi"/>
          <w:b w:val="0"/>
          <w:spacing w:val="0"/>
          <w:sz w:val="22"/>
          <w:szCs w:val="22"/>
        </w:rPr>
        <w:tab/>
      </w:r>
      <w:r w:rsidRPr="009E38B8">
        <w:t>Earth stations in motion communicating with geostationary space stations in the fixed-satellite service in the frequency ranges 17.7–19.7 GHz (space-to-Earth) and 27.5-29.5 GHz (Earth-to-space)</w:t>
      </w:r>
      <w:r>
        <w:tab/>
      </w:r>
      <w:r>
        <w:fldChar w:fldCharType="begin"/>
      </w:r>
      <w:r>
        <w:instrText xml:space="preserve"> PAGEREF _Toc153798012 \h </w:instrText>
      </w:r>
      <w:r>
        <w:fldChar w:fldCharType="separate"/>
      </w:r>
      <w:r>
        <w:t>22</w:t>
      </w:r>
      <w:r>
        <w:fldChar w:fldCharType="end"/>
      </w:r>
    </w:p>
    <w:p w14:paraId="44D84261" w14:textId="4262579D" w:rsidR="00F20C11" w:rsidRDefault="00F20C11">
      <w:pPr>
        <w:pStyle w:val="TOC2"/>
        <w:rPr>
          <w:rFonts w:asciiTheme="minorHAnsi" w:eastAsiaTheme="minorEastAsia" w:hAnsiTheme="minorHAnsi" w:cstheme="minorBidi"/>
          <w:spacing w:val="0"/>
          <w:sz w:val="22"/>
          <w:szCs w:val="22"/>
        </w:rPr>
      </w:pPr>
      <w:r>
        <w:t>F.1</w:t>
      </w:r>
      <w:r>
        <w:rPr>
          <w:rFonts w:asciiTheme="minorHAnsi" w:eastAsiaTheme="minorEastAsia" w:hAnsiTheme="minorHAnsi" w:cstheme="minorBidi"/>
          <w:spacing w:val="0"/>
          <w:sz w:val="22"/>
          <w:szCs w:val="22"/>
        </w:rPr>
        <w:tab/>
      </w:r>
      <w:r>
        <w:t>Compliance with ITU Resolution 169 (WRC-19)</w:t>
      </w:r>
      <w:r>
        <w:tab/>
      </w:r>
      <w:r>
        <w:fldChar w:fldCharType="begin"/>
      </w:r>
      <w:r>
        <w:instrText xml:space="preserve"> PAGEREF _Toc153798013 \h </w:instrText>
      </w:r>
      <w:r>
        <w:fldChar w:fldCharType="separate"/>
      </w:r>
      <w:r>
        <w:t>22</w:t>
      </w:r>
      <w:r>
        <w:fldChar w:fldCharType="end"/>
      </w:r>
    </w:p>
    <w:p w14:paraId="37774C5F" w14:textId="0CC061CC" w:rsidR="00F20C11" w:rsidRDefault="00F20C11">
      <w:pPr>
        <w:pStyle w:val="TOC2"/>
        <w:rPr>
          <w:rFonts w:asciiTheme="minorHAnsi" w:eastAsiaTheme="minorEastAsia" w:hAnsiTheme="minorHAnsi" w:cstheme="minorBidi"/>
          <w:spacing w:val="0"/>
          <w:sz w:val="22"/>
          <w:szCs w:val="22"/>
        </w:rPr>
      </w:pPr>
      <w:r>
        <w:t>F.2</w:t>
      </w:r>
      <w:r>
        <w:rPr>
          <w:rFonts w:asciiTheme="minorHAnsi" w:eastAsiaTheme="minorEastAsia" w:hAnsiTheme="minorHAnsi" w:cstheme="minorBidi"/>
          <w:spacing w:val="0"/>
          <w:sz w:val="22"/>
          <w:szCs w:val="22"/>
        </w:rPr>
        <w:tab/>
      </w:r>
      <w:r>
        <w:t>Interference management requirements</w:t>
      </w:r>
      <w:r>
        <w:tab/>
      </w:r>
      <w:r>
        <w:fldChar w:fldCharType="begin"/>
      </w:r>
      <w:r>
        <w:instrText xml:space="preserve"> PAGEREF _Toc153798014 \h </w:instrText>
      </w:r>
      <w:r>
        <w:fldChar w:fldCharType="separate"/>
      </w:r>
      <w:r>
        <w:t>23</w:t>
      </w:r>
      <w:r>
        <w:fldChar w:fldCharType="end"/>
      </w:r>
    </w:p>
    <w:p w14:paraId="76B996C6" w14:textId="0BF0F7D8" w:rsidR="00F20C11" w:rsidRDefault="00F20C11">
      <w:pPr>
        <w:pStyle w:val="TOC2"/>
        <w:rPr>
          <w:rFonts w:asciiTheme="minorHAnsi" w:eastAsiaTheme="minorEastAsia" w:hAnsiTheme="minorHAnsi" w:cstheme="minorBidi"/>
          <w:spacing w:val="0"/>
          <w:sz w:val="22"/>
          <w:szCs w:val="22"/>
        </w:rPr>
      </w:pPr>
      <w:r>
        <w:t>F.3</w:t>
      </w:r>
      <w:r>
        <w:rPr>
          <w:rFonts w:asciiTheme="minorHAnsi" w:eastAsiaTheme="minorEastAsia" w:hAnsiTheme="minorHAnsi" w:cstheme="minorBidi"/>
          <w:spacing w:val="0"/>
          <w:sz w:val="22"/>
          <w:szCs w:val="22"/>
        </w:rPr>
        <w:tab/>
      </w:r>
      <w:r>
        <w:t>Summary of additional special conditions and advisory notes applicable to Ka band ESIMs</w:t>
      </w:r>
      <w:r>
        <w:tab/>
      </w:r>
      <w:r>
        <w:fldChar w:fldCharType="begin"/>
      </w:r>
      <w:r>
        <w:instrText xml:space="preserve"> PAGEREF _Toc153798015 \h </w:instrText>
      </w:r>
      <w:r>
        <w:fldChar w:fldCharType="separate"/>
      </w:r>
      <w:r>
        <w:t>23</w:t>
      </w:r>
      <w:r>
        <w:fldChar w:fldCharType="end"/>
      </w:r>
    </w:p>
    <w:p w14:paraId="48DA27F5" w14:textId="44C7F5C8" w:rsidR="00F20C11" w:rsidRDefault="00F20C11">
      <w:pPr>
        <w:pStyle w:val="TOC1"/>
        <w:tabs>
          <w:tab w:val="left" w:pos="1760"/>
        </w:tabs>
        <w:rPr>
          <w:rFonts w:asciiTheme="minorHAnsi" w:eastAsiaTheme="minorEastAsia" w:hAnsiTheme="minorHAnsi" w:cstheme="minorBidi"/>
          <w:b w:val="0"/>
          <w:spacing w:val="0"/>
          <w:sz w:val="22"/>
          <w:szCs w:val="22"/>
        </w:rPr>
      </w:pPr>
      <w:r w:rsidRPr="009E38B8">
        <w:t>Appendix G:</w:t>
      </w:r>
      <w:r>
        <w:rPr>
          <w:rFonts w:asciiTheme="minorHAnsi" w:eastAsiaTheme="minorEastAsia" w:hAnsiTheme="minorHAnsi" w:cstheme="minorBidi"/>
          <w:b w:val="0"/>
          <w:spacing w:val="0"/>
          <w:sz w:val="22"/>
          <w:szCs w:val="22"/>
        </w:rPr>
        <w:tab/>
      </w:r>
      <w:r w:rsidRPr="009E38B8">
        <w:t>Additional conditions for space receive licences in frequency bands 27.5-29.5 GHz (Earth-to-space)</w:t>
      </w:r>
      <w:r>
        <w:tab/>
      </w:r>
      <w:r>
        <w:fldChar w:fldCharType="begin"/>
      </w:r>
      <w:r>
        <w:instrText xml:space="preserve"> PAGEREF _Toc153798016 \h </w:instrText>
      </w:r>
      <w:r>
        <w:fldChar w:fldCharType="separate"/>
      </w:r>
      <w:r>
        <w:t>25</w:t>
      </w:r>
      <w:r>
        <w:fldChar w:fldCharType="end"/>
      </w:r>
    </w:p>
    <w:p w14:paraId="743BCFEC" w14:textId="1F0FD9FD" w:rsidR="00F20C11" w:rsidRDefault="00F20C11">
      <w:pPr>
        <w:pStyle w:val="TOC2"/>
        <w:rPr>
          <w:rFonts w:asciiTheme="minorHAnsi" w:eastAsiaTheme="minorEastAsia" w:hAnsiTheme="minorHAnsi" w:cstheme="minorBidi"/>
          <w:spacing w:val="0"/>
          <w:sz w:val="22"/>
          <w:szCs w:val="22"/>
        </w:rPr>
      </w:pPr>
      <w:r>
        <w:t>G.1</w:t>
      </w:r>
      <w:r>
        <w:rPr>
          <w:rFonts w:asciiTheme="minorHAnsi" w:eastAsiaTheme="minorEastAsia" w:hAnsiTheme="minorHAnsi" w:cstheme="minorBidi"/>
          <w:spacing w:val="0"/>
          <w:sz w:val="22"/>
          <w:szCs w:val="22"/>
        </w:rPr>
        <w:tab/>
      </w:r>
      <w:r w:rsidRPr="009E38B8">
        <w:rPr>
          <w:shd w:val="clear" w:color="auto" w:fill="FFFFFF"/>
        </w:rPr>
        <w:t>Protection of 28 GHz grandfathered point-to-point fixed links (until 1 September 2026)</w:t>
      </w:r>
      <w:r>
        <w:tab/>
      </w:r>
      <w:r>
        <w:fldChar w:fldCharType="begin"/>
      </w:r>
      <w:r>
        <w:instrText xml:space="preserve"> PAGEREF _Toc153798017 \h </w:instrText>
      </w:r>
      <w:r>
        <w:fldChar w:fldCharType="separate"/>
      </w:r>
      <w:r>
        <w:t>25</w:t>
      </w:r>
      <w:r>
        <w:fldChar w:fldCharType="end"/>
      </w:r>
    </w:p>
    <w:p w14:paraId="35A47C7B" w14:textId="3A03179A" w:rsidR="00F20C11" w:rsidRDefault="00F20C11">
      <w:pPr>
        <w:pStyle w:val="TOC2"/>
        <w:rPr>
          <w:rFonts w:asciiTheme="minorHAnsi" w:eastAsiaTheme="minorEastAsia" w:hAnsiTheme="minorHAnsi" w:cstheme="minorBidi"/>
          <w:spacing w:val="0"/>
          <w:sz w:val="22"/>
          <w:szCs w:val="22"/>
        </w:rPr>
      </w:pPr>
      <w:r>
        <w:t>G.2</w:t>
      </w:r>
      <w:r>
        <w:rPr>
          <w:rFonts w:asciiTheme="minorHAnsi" w:eastAsiaTheme="minorEastAsia" w:hAnsiTheme="minorHAnsi" w:cstheme="minorBidi"/>
          <w:spacing w:val="0"/>
          <w:sz w:val="22"/>
          <w:szCs w:val="22"/>
        </w:rPr>
        <w:tab/>
      </w:r>
      <w:r>
        <w:t>CSO Class Licence conditions</w:t>
      </w:r>
      <w:r>
        <w:tab/>
      </w:r>
      <w:r>
        <w:fldChar w:fldCharType="begin"/>
      </w:r>
      <w:r>
        <w:instrText xml:space="preserve"> PAGEREF _Toc153798018 \h </w:instrText>
      </w:r>
      <w:r>
        <w:fldChar w:fldCharType="separate"/>
      </w:r>
      <w:r>
        <w:t>26</w:t>
      </w:r>
      <w:r>
        <w:fldChar w:fldCharType="end"/>
      </w:r>
    </w:p>
    <w:p w14:paraId="02485C52" w14:textId="6EE5A2C5" w:rsidR="00F20C11" w:rsidRDefault="00F20C11">
      <w:pPr>
        <w:pStyle w:val="TOC2"/>
        <w:rPr>
          <w:rFonts w:asciiTheme="minorHAnsi" w:eastAsiaTheme="minorEastAsia" w:hAnsiTheme="minorHAnsi" w:cstheme="minorBidi"/>
          <w:spacing w:val="0"/>
          <w:sz w:val="22"/>
          <w:szCs w:val="22"/>
        </w:rPr>
      </w:pPr>
      <w:r>
        <w:t>G.3</w:t>
      </w:r>
      <w:r>
        <w:rPr>
          <w:rFonts w:asciiTheme="minorHAnsi" w:eastAsiaTheme="minorEastAsia" w:hAnsiTheme="minorHAnsi" w:cstheme="minorBidi"/>
          <w:spacing w:val="0"/>
          <w:sz w:val="22"/>
          <w:szCs w:val="22"/>
        </w:rPr>
        <w:tab/>
      </w:r>
      <w:r>
        <w:t>Special conditions and advisory notes (space receive)</w:t>
      </w:r>
      <w:r>
        <w:tab/>
      </w:r>
      <w:r>
        <w:fldChar w:fldCharType="begin"/>
      </w:r>
      <w:r>
        <w:instrText xml:space="preserve"> PAGEREF _Toc153798019 \h </w:instrText>
      </w:r>
      <w:r>
        <w:fldChar w:fldCharType="separate"/>
      </w:r>
      <w:r>
        <w:t>27</w:t>
      </w:r>
      <w:r>
        <w:fldChar w:fldCharType="end"/>
      </w:r>
    </w:p>
    <w:p w14:paraId="2D0A5CE7" w14:textId="27A9FF37" w:rsidR="00F20C11" w:rsidRDefault="00F20C11">
      <w:pPr>
        <w:pStyle w:val="TOC1"/>
        <w:tabs>
          <w:tab w:val="left" w:pos="1760"/>
        </w:tabs>
        <w:rPr>
          <w:rFonts w:asciiTheme="minorHAnsi" w:eastAsiaTheme="minorEastAsia" w:hAnsiTheme="minorHAnsi" w:cstheme="minorBidi"/>
          <w:b w:val="0"/>
          <w:spacing w:val="0"/>
          <w:sz w:val="22"/>
          <w:szCs w:val="22"/>
        </w:rPr>
      </w:pPr>
      <w:r w:rsidRPr="009E38B8">
        <w:t>Appendix H:</w:t>
      </w:r>
      <w:r>
        <w:rPr>
          <w:rFonts w:asciiTheme="minorHAnsi" w:eastAsiaTheme="minorEastAsia" w:hAnsiTheme="minorHAnsi" w:cstheme="minorBidi"/>
          <w:b w:val="0"/>
          <w:spacing w:val="0"/>
          <w:sz w:val="22"/>
          <w:szCs w:val="22"/>
        </w:rPr>
        <w:tab/>
      </w:r>
      <w:r w:rsidRPr="009E38B8">
        <w:t>Additional requirements for space receive and space licences in frequency bands 2005-2010 MHz (Earth-to-space) and 2195-2200 MHz (space-to-Earth)</w:t>
      </w:r>
      <w:r>
        <w:tab/>
      </w:r>
      <w:r>
        <w:fldChar w:fldCharType="begin"/>
      </w:r>
      <w:r>
        <w:instrText xml:space="preserve"> PAGEREF _Toc153798020 \h </w:instrText>
      </w:r>
      <w:r>
        <w:fldChar w:fldCharType="separate"/>
      </w:r>
      <w:r>
        <w:t>29</w:t>
      </w:r>
      <w:r>
        <w:fldChar w:fldCharType="end"/>
      </w:r>
    </w:p>
    <w:p w14:paraId="019ADCB8" w14:textId="2D418F23" w:rsidR="00F20C11" w:rsidRDefault="00F20C11">
      <w:pPr>
        <w:pStyle w:val="TOC2"/>
        <w:rPr>
          <w:rFonts w:asciiTheme="minorHAnsi" w:eastAsiaTheme="minorEastAsia" w:hAnsiTheme="minorHAnsi" w:cstheme="minorBidi"/>
          <w:spacing w:val="0"/>
          <w:sz w:val="22"/>
          <w:szCs w:val="22"/>
        </w:rPr>
      </w:pPr>
      <w:r>
        <w:t>H.1</w:t>
      </w:r>
      <w:r>
        <w:rPr>
          <w:rFonts w:asciiTheme="minorHAnsi" w:eastAsiaTheme="minorEastAsia" w:hAnsiTheme="minorHAnsi" w:cstheme="minorBidi"/>
          <w:spacing w:val="0"/>
          <w:sz w:val="22"/>
          <w:szCs w:val="22"/>
        </w:rPr>
        <w:tab/>
      </w:r>
      <w:r>
        <w:t>Assessment procedures</w:t>
      </w:r>
      <w:r>
        <w:tab/>
      </w:r>
      <w:r>
        <w:fldChar w:fldCharType="begin"/>
      </w:r>
      <w:r>
        <w:instrText xml:space="preserve"> PAGEREF _Toc153798021 \h </w:instrText>
      </w:r>
      <w:r>
        <w:fldChar w:fldCharType="separate"/>
      </w:r>
      <w:r>
        <w:t>30</w:t>
      </w:r>
      <w:r>
        <w:fldChar w:fldCharType="end"/>
      </w:r>
    </w:p>
    <w:p w14:paraId="2D123E4F" w14:textId="1BCEF30E" w:rsidR="00F20C11" w:rsidRDefault="00F20C11">
      <w:pPr>
        <w:pStyle w:val="TOC3"/>
        <w:tabs>
          <w:tab w:val="left" w:pos="885"/>
        </w:tabs>
        <w:rPr>
          <w:rFonts w:asciiTheme="minorHAnsi" w:eastAsiaTheme="minorEastAsia" w:hAnsiTheme="minorHAnsi" w:cstheme="minorBidi"/>
        </w:rPr>
      </w:pPr>
      <w:r>
        <w:t>H.1.1</w:t>
      </w:r>
      <w:r>
        <w:rPr>
          <w:rFonts w:asciiTheme="minorHAnsi" w:eastAsiaTheme="minorEastAsia" w:hAnsiTheme="minorHAnsi" w:cstheme="minorBidi"/>
        </w:rPr>
        <w:tab/>
      </w:r>
      <w:r>
        <w:t>Compliance with conditions of CSO class licence</w:t>
      </w:r>
      <w:r>
        <w:tab/>
      </w:r>
      <w:r>
        <w:fldChar w:fldCharType="begin"/>
      </w:r>
      <w:r>
        <w:instrText xml:space="preserve"> PAGEREF _Toc153798022 \h </w:instrText>
      </w:r>
      <w:r>
        <w:fldChar w:fldCharType="separate"/>
      </w:r>
      <w:r>
        <w:t>30</w:t>
      </w:r>
      <w:r>
        <w:fldChar w:fldCharType="end"/>
      </w:r>
    </w:p>
    <w:p w14:paraId="2FED30C5" w14:textId="3B7A5868" w:rsidR="00F20C11" w:rsidRDefault="00F20C11">
      <w:pPr>
        <w:pStyle w:val="TOC3"/>
        <w:tabs>
          <w:tab w:val="left" w:pos="885"/>
        </w:tabs>
        <w:rPr>
          <w:rFonts w:asciiTheme="minorHAnsi" w:eastAsiaTheme="minorEastAsia" w:hAnsiTheme="minorHAnsi" w:cstheme="minorBidi"/>
        </w:rPr>
      </w:pPr>
      <w:r>
        <w:t>H.1.2</w:t>
      </w:r>
      <w:r>
        <w:rPr>
          <w:rFonts w:asciiTheme="minorHAnsi" w:eastAsiaTheme="minorEastAsia" w:hAnsiTheme="minorHAnsi" w:cstheme="minorBidi"/>
        </w:rPr>
        <w:tab/>
      </w:r>
      <w:r>
        <w:t>Requirements in metropolitan areas</w:t>
      </w:r>
      <w:r>
        <w:tab/>
      </w:r>
      <w:r>
        <w:fldChar w:fldCharType="begin"/>
      </w:r>
      <w:r>
        <w:instrText xml:space="preserve"> PAGEREF _Toc153798023 \h </w:instrText>
      </w:r>
      <w:r>
        <w:fldChar w:fldCharType="separate"/>
      </w:r>
      <w:r>
        <w:t>31</w:t>
      </w:r>
      <w:r>
        <w:fldChar w:fldCharType="end"/>
      </w:r>
    </w:p>
    <w:p w14:paraId="3974D344" w14:textId="6FDA7B71" w:rsidR="00F20C11" w:rsidRDefault="00F20C11">
      <w:pPr>
        <w:pStyle w:val="TOC3"/>
        <w:tabs>
          <w:tab w:val="left" w:pos="885"/>
        </w:tabs>
        <w:rPr>
          <w:rFonts w:asciiTheme="minorHAnsi" w:eastAsiaTheme="minorEastAsia" w:hAnsiTheme="minorHAnsi" w:cstheme="minorBidi"/>
        </w:rPr>
      </w:pPr>
      <w:r>
        <w:t>H.1.3</w:t>
      </w:r>
      <w:r>
        <w:rPr>
          <w:rFonts w:asciiTheme="minorHAnsi" w:eastAsiaTheme="minorEastAsia" w:hAnsiTheme="minorHAnsi" w:cstheme="minorBidi"/>
        </w:rPr>
        <w:tab/>
      </w:r>
      <w:r>
        <w:t>Requirements outside metropolitan areas</w:t>
      </w:r>
      <w:r>
        <w:tab/>
      </w:r>
      <w:r>
        <w:fldChar w:fldCharType="begin"/>
      </w:r>
      <w:r>
        <w:instrText xml:space="preserve"> PAGEREF _Toc153798024 \h </w:instrText>
      </w:r>
      <w:r>
        <w:fldChar w:fldCharType="separate"/>
      </w:r>
      <w:r>
        <w:t>31</w:t>
      </w:r>
      <w:r>
        <w:fldChar w:fldCharType="end"/>
      </w:r>
    </w:p>
    <w:p w14:paraId="51D9A3CB" w14:textId="58A24466" w:rsidR="00F20C11" w:rsidRDefault="00F20C11">
      <w:pPr>
        <w:pStyle w:val="TOC3"/>
        <w:tabs>
          <w:tab w:val="left" w:pos="885"/>
        </w:tabs>
        <w:rPr>
          <w:rFonts w:asciiTheme="minorHAnsi" w:eastAsiaTheme="minorEastAsia" w:hAnsiTheme="minorHAnsi" w:cstheme="minorBidi"/>
        </w:rPr>
      </w:pPr>
      <w:r>
        <w:t>H.1.4</w:t>
      </w:r>
      <w:r>
        <w:rPr>
          <w:rFonts w:asciiTheme="minorHAnsi" w:eastAsiaTheme="minorEastAsia" w:hAnsiTheme="minorHAnsi" w:cstheme="minorBidi"/>
        </w:rPr>
        <w:tab/>
      </w:r>
      <w:r>
        <w:t>Self-coordination between licensees</w:t>
      </w:r>
      <w:r>
        <w:tab/>
      </w:r>
      <w:r>
        <w:fldChar w:fldCharType="begin"/>
      </w:r>
      <w:r>
        <w:instrText xml:space="preserve"> PAGEREF _Toc153798025 \h </w:instrText>
      </w:r>
      <w:r>
        <w:fldChar w:fldCharType="separate"/>
      </w:r>
      <w:r>
        <w:t>31</w:t>
      </w:r>
      <w:r>
        <w:fldChar w:fldCharType="end"/>
      </w:r>
    </w:p>
    <w:p w14:paraId="256D7ADD" w14:textId="0DB40AC9" w:rsidR="00F20C11" w:rsidRDefault="00F20C11">
      <w:pPr>
        <w:pStyle w:val="TOC3"/>
        <w:tabs>
          <w:tab w:val="left" w:pos="885"/>
        </w:tabs>
        <w:rPr>
          <w:rFonts w:asciiTheme="minorHAnsi" w:eastAsiaTheme="minorEastAsia" w:hAnsiTheme="minorHAnsi" w:cstheme="minorBidi"/>
        </w:rPr>
      </w:pPr>
      <w:r>
        <w:t>H.1.5</w:t>
      </w:r>
      <w:r>
        <w:rPr>
          <w:rFonts w:asciiTheme="minorHAnsi" w:eastAsiaTheme="minorEastAsia" w:hAnsiTheme="minorHAnsi" w:cstheme="minorBidi"/>
        </w:rPr>
        <w:tab/>
      </w:r>
      <w:r>
        <w:t>ITU satellite coordination framework</w:t>
      </w:r>
      <w:r>
        <w:tab/>
      </w:r>
      <w:r>
        <w:fldChar w:fldCharType="begin"/>
      </w:r>
      <w:r>
        <w:instrText xml:space="preserve"> PAGEREF _Toc153798026 \h </w:instrText>
      </w:r>
      <w:r>
        <w:fldChar w:fldCharType="separate"/>
      </w:r>
      <w:r>
        <w:t>32</w:t>
      </w:r>
      <w:r>
        <w:fldChar w:fldCharType="end"/>
      </w:r>
    </w:p>
    <w:p w14:paraId="740F3B23" w14:textId="152CD205" w:rsidR="00F20C11" w:rsidRDefault="00F20C11">
      <w:pPr>
        <w:pStyle w:val="TOC2"/>
        <w:rPr>
          <w:rFonts w:asciiTheme="minorHAnsi" w:eastAsiaTheme="minorEastAsia" w:hAnsiTheme="minorHAnsi" w:cstheme="minorBidi"/>
          <w:spacing w:val="0"/>
          <w:sz w:val="22"/>
          <w:szCs w:val="22"/>
        </w:rPr>
      </w:pPr>
      <w:r>
        <w:t>H.2</w:t>
      </w:r>
      <w:r>
        <w:rPr>
          <w:rFonts w:asciiTheme="minorHAnsi" w:eastAsiaTheme="minorEastAsia" w:hAnsiTheme="minorHAnsi" w:cstheme="minorBidi"/>
          <w:spacing w:val="0"/>
          <w:sz w:val="22"/>
          <w:szCs w:val="22"/>
        </w:rPr>
        <w:tab/>
      </w:r>
      <w:r>
        <w:t>Special conditions and advisory notes (space receive)</w:t>
      </w:r>
      <w:r>
        <w:tab/>
      </w:r>
      <w:r>
        <w:fldChar w:fldCharType="begin"/>
      </w:r>
      <w:r>
        <w:instrText xml:space="preserve"> PAGEREF _Toc153798027 \h </w:instrText>
      </w:r>
      <w:r>
        <w:fldChar w:fldCharType="separate"/>
      </w:r>
      <w:r>
        <w:t>32</w:t>
      </w:r>
      <w:r>
        <w:fldChar w:fldCharType="end"/>
      </w:r>
    </w:p>
    <w:p w14:paraId="075C992A" w14:textId="381DDAFB" w:rsidR="00F20C11" w:rsidRDefault="00F20C11">
      <w:pPr>
        <w:pStyle w:val="TOC2"/>
        <w:rPr>
          <w:rFonts w:asciiTheme="minorHAnsi" w:eastAsiaTheme="minorEastAsia" w:hAnsiTheme="minorHAnsi" w:cstheme="minorBidi"/>
          <w:spacing w:val="0"/>
          <w:sz w:val="22"/>
          <w:szCs w:val="22"/>
        </w:rPr>
      </w:pPr>
      <w:r>
        <w:t>H.3</w:t>
      </w:r>
      <w:r>
        <w:rPr>
          <w:rFonts w:asciiTheme="minorHAnsi" w:eastAsiaTheme="minorEastAsia" w:hAnsiTheme="minorHAnsi" w:cstheme="minorBidi"/>
          <w:spacing w:val="0"/>
          <w:sz w:val="22"/>
          <w:szCs w:val="22"/>
        </w:rPr>
        <w:tab/>
      </w:r>
      <w:r>
        <w:t>Special conditions and advisory notes (space)</w:t>
      </w:r>
      <w:r>
        <w:tab/>
      </w:r>
      <w:r>
        <w:fldChar w:fldCharType="begin"/>
      </w:r>
      <w:r>
        <w:instrText xml:space="preserve"> PAGEREF _Toc153798028 \h </w:instrText>
      </w:r>
      <w:r>
        <w:fldChar w:fldCharType="separate"/>
      </w:r>
      <w:r>
        <w:t>33</w:t>
      </w:r>
      <w:r>
        <w:fldChar w:fldCharType="end"/>
      </w:r>
    </w:p>
    <w:p w14:paraId="066CA605" w14:textId="49217E96" w:rsidR="00F20C11" w:rsidRDefault="00F20C11">
      <w:pPr>
        <w:pStyle w:val="TOC2"/>
        <w:rPr>
          <w:rFonts w:asciiTheme="minorHAnsi" w:eastAsiaTheme="minorEastAsia" w:hAnsiTheme="minorHAnsi" w:cstheme="minorBidi"/>
          <w:spacing w:val="0"/>
          <w:sz w:val="22"/>
          <w:szCs w:val="22"/>
        </w:rPr>
      </w:pPr>
      <w:r>
        <w:t>H.4</w:t>
      </w:r>
      <w:r>
        <w:rPr>
          <w:rFonts w:asciiTheme="minorHAnsi" w:eastAsiaTheme="minorEastAsia" w:hAnsiTheme="minorHAnsi" w:cstheme="minorBidi"/>
          <w:spacing w:val="0"/>
          <w:sz w:val="22"/>
          <w:szCs w:val="22"/>
        </w:rPr>
        <w:tab/>
      </w:r>
      <w:r>
        <w:t>TOB receive sites</w:t>
      </w:r>
      <w:r>
        <w:tab/>
      </w:r>
      <w:r>
        <w:fldChar w:fldCharType="begin"/>
      </w:r>
      <w:r>
        <w:instrText xml:space="preserve"> PAGEREF _Toc153798029 \h </w:instrText>
      </w:r>
      <w:r>
        <w:fldChar w:fldCharType="separate"/>
      </w:r>
      <w:r>
        <w:t>33</w:t>
      </w:r>
      <w:r>
        <w:fldChar w:fldCharType="end"/>
      </w:r>
    </w:p>
    <w:p w14:paraId="26C5F500" w14:textId="1129C56B" w:rsidR="00F15746" w:rsidRDefault="007A6CC0" w:rsidP="00232AAB">
      <w:pPr>
        <w:rPr>
          <w:rFonts w:cs="Arial"/>
          <w:b/>
          <w:noProof/>
          <w:spacing w:val="-14"/>
          <w:sz w:val="28"/>
        </w:rPr>
        <w:sectPr w:rsidR="00F15746" w:rsidSect="00C77380">
          <w:headerReference w:type="even" r:id="rId28"/>
          <w:headerReference w:type="default" r:id="rId29"/>
          <w:footerReference w:type="even" r:id="rId30"/>
          <w:footerReference w:type="default" r:id="rId31"/>
          <w:headerReference w:type="first" r:id="rId32"/>
          <w:footerReference w:type="first" r:id="rId33"/>
          <w:pgSz w:w="11906" w:h="16838" w:code="9"/>
          <w:pgMar w:top="1945" w:right="3101" w:bottom="1134" w:left="1134" w:header="709" w:footer="119" w:gutter="0"/>
          <w:pgNumType w:start="1"/>
          <w:cols w:space="708"/>
          <w:docGrid w:linePitch="360"/>
        </w:sectPr>
      </w:pPr>
      <w:r>
        <w:rPr>
          <w:rFonts w:cs="Arial"/>
          <w:b/>
          <w:noProof/>
          <w:spacing w:val="-14"/>
          <w:sz w:val="28"/>
        </w:rPr>
        <w:fldChar w:fldCharType="end"/>
      </w:r>
    </w:p>
    <w:p w14:paraId="02F7C0D3" w14:textId="5B306F9E" w:rsidR="00232AAB" w:rsidRPr="004117A4" w:rsidRDefault="00232AAB" w:rsidP="00232AAB">
      <w:pPr>
        <w:rPr>
          <w:b/>
        </w:rPr>
      </w:pPr>
      <w:bookmarkStart w:id="0" w:name="_Toc392147072"/>
      <w:r w:rsidRPr="004117A4">
        <w:rPr>
          <w:b/>
        </w:rPr>
        <w:t xml:space="preserve">Applicants or accredited persons must read the </w:t>
      </w:r>
      <w:hyperlink r:id="rId34" w:history="1">
        <w:r w:rsidRPr="008710B6">
          <w:rPr>
            <w:b/>
            <w:color w:val="0000FF"/>
            <w:u w:val="single"/>
          </w:rPr>
          <w:t>Disclaimer</w:t>
        </w:r>
      </w:hyperlink>
      <w:r w:rsidRPr="004117A4">
        <w:rPr>
          <w:b/>
        </w:rPr>
        <w:t xml:space="preserve"> in conjunction with the procedures set out below.</w:t>
      </w:r>
    </w:p>
    <w:p w14:paraId="75AD041D" w14:textId="77777777" w:rsidR="00232AAB" w:rsidRPr="00AD5166" w:rsidRDefault="00232AAB" w:rsidP="00A7063A">
      <w:pPr>
        <w:pStyle w:val="Heading1"/>
      </w:pPr>
      <w:bookmarkStart w:id="1" w:name="_Toc482603577"/>
      <w:bookmarkStart w:id="2" w:name="_Toc483400674"/>
      <w:bookmarkStart w:id="3" w:name="_Ref488394461"/>
      <w:bookmarkStart w:id="4" w:name="_Toc490122655"/>
      <w:bookmarkStart w:id="5" w:name="_Toc14956802"/>
      <w:bookmarkStart w:id="6" w:name="_Toc153797976"/>
      <w:r w:rsidRPr="00AD5166">
        <w:t>Purpose</w:t>
      </w:r>
      <w:bookmarkEnd w:id="1"/>
      <w:bookmarkEnd w:id="2"/>
      <w:bookmarkEnd w:id="3"/>
      <w:bookmarkEnd w:id="4"/>
      <w:bookmarkEnd w:id="5"/>
      <w:bookmarkEnd w:id="6"/>
    </w:p>
    <w:bookmarkEnd w:id="0"/>
    <w:p w14:paraId="36EED1F0" w14:textId="6609F095" w:rsidR="00047901" w:rsidRDefault="00232AAB" w:rsidP="00047901">
      <w:r w:rsidRPr="00615474">
        <w:t xml:space="preserve">This business operating procedure (BOP) outlines the </w:t>
      </w:r>
      <w:r>
        <w:t xml:space="preserve">procedures to be followed when seeking </w:t>
      </w:r>
      <w:r w:rsidRPr="00615474">
        <w:t xml:space="preserve">the issue of </w:t>
      </w:r>
      <w:r w:rsidRPr="0016686E">
        <w:rPr>
          <w:i/>
        </w:rPr>
        <w:t>space</w:t>
      </w:r>
      <w:r>
        <w:t xml:space="preserve"> </w:t>
      </w:r>
      <w:r w:rsidR="00B76E85">
        <w:t>or</w:t>
      </w:r>
      <w:r w:rsidR="007B2486">
        <w:t xml:space="preserve"> </w:t>
      </w:r>
      <w:r w:rsidRPr="0016686E">
        <w:rPr>
          <w:i/>
        </w:rPr>
        <w:t>space receive</w:t>
      </w:r>
      <w:r>
        <w:t xml:space="preserve"> apparatus</w:t>
      </w:r>
      <w:r w:rsidRPr="00615474">
        <w:t xml:space="preserve"> licences</w:t>
      </w:r>
      <w:r>
        <w:t xml:space="preserve"> authorising operation of frequency ranges listed in the</w:t>
      </w:r>
      <w:r w:rsidR="00047901">
        <w:t xml:space="preserve"> </w:t>
      </w:r>
      <w:hyperlink r:id="rId35" w:history="1">
        <w:r w:rsidR="00047901" w:rsidRPr="00A403A4">
          <w:rPr>
            <w:rStyle w:val="Hyperlink"/>
            <w:rFonts w:cs="Arial"/>
          </w:rPr>
          <w:t>Radiocommunications (Communication with Space Object) Class Licence 2015</w:t>
        </w:r>
      </w:hyperlink>
      <w:r w:rsidR="00FF4143">
        <w:rPr>
          <w:rStyle w:val="Hyperlink"/>
          <w:rFonts w:cs="Arial"/>
        </w:rPr>
        <w:t xml:space="preserve"> (the CSO Class Licence)</w:t>
      </w:r>
      <w:r w:rsidR="00047901" w:rsidRPr="00615474">
        <w:t>.</w:t>
      </w:r>
    </w:p>
    <w:p w14:paraId="32623415" w14:textId="338472B2" w:rsidR="00FC01A5" w:rsidRDefault="00232AAB" w:rsidP="00232AAB">
      <w:r w:rsidRPr="005A311F">
        <w:t>The procedures outlined in this BOP cover the assessment of the space</w:t>
      </w:r>
      <w:r w:rsidR="008710B6">
        <w:t>-</w:t>
      </w:r>
      <w:r w:rsidRPr="005A311F">
        <w:t>related</w:t>
      </w:r>
      <w:r w:rsidR="00104E4C">
        <w:rPr>
          <w:rStyle w:val="FootnoteReference"/>
        </w:rPr>
        <w:footnoteReference w:id="2"/>
      </w:r>
      <w:r w:rsidRPr="005A311F">
        <w:t xml:space="preserve"> aspect of the licence application process only. The </w:t>
      </w:r>
      <w:r>
        <w:t xml:space="preserve">accredited person </w:t>
      </w:r>
      <w:r w:rsidR="00037D9A">
        <w:t xml:space="preserve">(AP) </w:t>
      </w:r>
      <w:r w:rsidRPr="005A311F">
        <w:t>or applicant must provide the response from this process with the subsequent apparatus licence application. The ACMA will only issue an apparatus licence where the space</w:t>
      </w:r>
      <w:r w:rsidR="008710B6">
        <w:t>-</w:t>
      </w:r>
      <w:r w:rsidRPr="005A311F">
        <w:t>related assessment supports the application.</w:t>
      </w:r>
    </w:p>
    <w:p w14:paraId="2F19C235" w14:textId="10A42565" w:rsidR="00F61E16" w:rsidRDefault="002E30BB" w:rsidP="006D7766">
      <w:r>
        <w:t xml:space="preserve">The </w:t>
      </w:r>
      <w:r w:rsidR="00744FB8">
        <w:t xml:space="preserve">CSO </w:t>
      </w:r>
      <w:r>
        <w:t xml:space="preserve">Class </w:t>
      </w:r>
      <w:r w:rsidR="00FF4143">
        <w:t>L</w:t>
      </w:r>
      <w:r>
        <w:t>icence is regularly updated following a public consultation process. Any changes</w:t>
      </w:r>
      <w:r w:rsidR="00331520">
        <w:t xml:space="preserve"> to the </w:t>
      </w:r>
      <w:r w:rsidR="00FF4143">
        <w:t xml:space="preserve">CSO </w:t>
      </w:r>
      <w:r w:rsidR="00331520">
        <w:t xml:space="preserve">Class </w:t>
      </w:r>
      <w:r w:rsidR="00744FB8">
        <w:t>L</w:t>
      </w:r>
      <w:r w:rsidR="00331520">
        <w:t>icence</w:t>
      </w:r>
      <w:r>
        <w:t xml:space="preserve"> </w:t>
      </w:r>
      <w:r w:rsidR="003F44D6">
        <w:t>includ</w:t>
      </w:r>
      <w:r>
        <w:t>ing</w:t>
      </w:r>
      <w:r w:rsidR="003F44D6">
        <w:t xml:space="preserve"> additional frequency ranges </w:t>
      </w:r>
      <w:r>
        <w:t>or</w:t>
      </w:r>
      <w:r w:rsidR="003F44D6">
        <w:t xml:space="preserve"> amended conditions</w:t>
      </w:r>
      <w:r w:rsidR="00B96BF7">
        <w:t xml:space="preserve"> will </w:t>
      </w:r>
      <w:r>
        <w:t xml:space="preserve">be considered in future </w:t>
      </w:r>
      <w:r w:rsidR="00B96BF7">
        <w:t>updates to this BOP</w:t>
      </w:r>
      <w:r>
        <w:t>.</w:t>
      </w:r>
    </w:p>
    <w:p w14:paraId="3F051E0C" w14:textId="77777777" w:rsidR="00616075" w:rsidRPr="008E7F28" w:rsidRDefault="00616075" w:rsidP="005824D3">
      <w:pPr>
        <w:spacing w:after="0"/>
        <w:rPr>
          <w:b/>
          <w:bCs/>
        </w:rPr>
      </w:pPr>
      <w:r w:rsidRPr="008E7F28">
        <w:rPr>
          <w:b/>
          <w:bCs/>
        </w:rPr>
        <w:t>Other space/space receive BOPS</w:t>
      </w:r>
    </w:p>
    <w:p w14:paraId="425E7E69" w14:textId="4BF60A41" w:rsidR="00616075" w:rsidRDefault="00616075" w:rsidP="006F6DA6">
      <w:pPr>
        <w:spacing w:after="0"/>
        <w:rPr>
          <w:rFonts w:cs="Arial"/>
        </w:rPr>
      </w:pPr>
      <w:r>
        <w:t xml:space="preserve">Note that this BOP does not cover the issuing of a </w:t>
      </w:r>
      <w:r w:rsidRPr="00EB0E7F">
        <w:rPr>
          <w:i/>
        </w:rPr>
        <w:t>space</w:t>
      </w:r>
      <w:r>
        <w:t xml:space="preserve"> or </w:t>
      </w:r>
      <w:r w:rsidRPr="00EB0E7F">
        <w:rPr>
          <w:i/>
        </w:rPr>
        <w:t>space</w:t>
      </w:r>
      <w:r>
        <w:t xml:space="preserve"> </w:t>
      </w:r>
      <w:r w:rsidRPr="009B0639">
        <w:rPr>
          <w:i/>
        </w:rPr>
        <w:t>receive</w:t>
      </w:r>
      <w:r>
        <w:t xml:space="preserve"> licence in all cases. Differen</w:t>
      </w:r>
      <w:r w:rsidR="006F6DA6">
        <w:t xml:space="preserve">t </w:t>
      </w:r>
      <w:r>
        <w:t>procedures apply for the scenarios listed below and t</w:t>
      </w:r>
      <w:r w:rsidRPr="00570962">
        <w:t>he relevant BOP</w:t>
      </w:r>
      <w:r>
        <w:t>s</w:t>
      </w:r>
      <w:r w:rsidRPr="00570962">
        <w:t xml:space="preserve"> </w:t>
      </w:r>
      <w:r>
        <w:t xml:space="preserve">on the </w:t>
      </w:r>
      <w:hyperlink r:id="rId36" w:history="1">
        <w:r w:rsidRPr="00803879">
          <w:rPr>
            <w:rStyle w:val="Hyperlink"/>
            <w:rFonts w:cs="Segoe UI"/>
            <w:lang w:val="en"/>
          </w:rPr>
          <w:t>procedures</w:t>
        </w:r>
      </w:hyperlink>
      <w:r>
        <w:rPr>
          <w:rFonts w:cs="Segoe UI"/>
          <w:color w:val="353D3D"/>
          <w:lang w:val="en"/>
        </w:rPr>
        <w:t xml:space="preserve"> </w:t>
      </w:r>
      <w:r w:rsidRPr="002D16C0">
        <w:rPr>
          <w:rFonts w:cs="Arial"/>
        </w:rPr>
        <w:t>for space and space receive licensing</w:t>
      </w:r>
      <w:r w:rsidRPr="0095316D">
        <w:rPr>
          <w:rFonts w:cs="Arial"/>
        </w:rPr>
        <w:t xml:space="preserve"> section of the ACMA website</w:t>
      </w:r>
      <w:r>
        <w:rPr>
          <w:rFonts w:cs="Arial"/>
        </w:rPr>
        <w:t xml:space="preserve"> should be referred to for:</w:t>
      </w:r>
    </w:p>
    <w:p w14:paraId="3E2469FF" w14:textId="77777777" w:rsidR="00616075" w:rsidRDefault="00616075" w:rsidP="00866124">
      <w:pPr>
        <w:pStyle w:val="ListParagraph"/>
        <w:numPr>
          <w:ilvl w:val="0"/>
          <w:numId w:val="28"/>
        </w:numPr>
        <w:spacing w:after="240"/>
        <w:rPr>
          <w:rFonts w:cs="Arial"/>
        </w:rPr>
      </w:pPr>
      <w:r w:rsidRPr="008E7F28">
        <w:rPr>
          <w:rFonts w:cs="Arial"/>
          <w:b/>
          <w:bCs/>
        </w:rPr>
        <w:t>Ka NGSO ESIM</w:t>
      </w:r>
      <w:r>
        <w:rPr>
          <w:rFonts w:cs="Arial"/>
          <w:b/>
          <w:bCs/>
        </w:rPr>
        <w:t>:</w:t>
      </w:r>
      <w:r>
        <w:rPr>
          <w:rFonts w:cs="Arial"/>
        </w:rPr>
        <w:t xml:space="preserve"> </w:t>
      </w:r>
      <w:r w:rsidRPr="008E7F28">
        <w:rPr>
          <w:rFonts w:cs="Arial"/>
        </w:rPr>
        <w:t xml:space="preserve">Interim arrangements for the submission and processing of applications for space and space receive apparatus licences authorising the use of earth stations in motion in the fixed-satellite service communicating </w:t>
      </w:r>
      <w:r>
        <w:rPr>
          <w:rFonts w:cs="Arial"/>
        </w:rPr>
        <w:t xml:space="preserve">with </w:t>
      </w:r>
      <w:r w:rsidRPr="008E7F28">
        <w:rPr>
          <w:rFonts w:cs="Arial"/>
        </w:rPr>
        <w:t>non-geostationary space stations in the frequency ranges</w:t>
      </w:r>
      <w:r>
        <w:rPr>
          <w:rFonts w:cs="Arial"/>
        </w:rPr>
        <w:t xml:space="preserve"> </w:t>
      </w:r>
      <w:r w:rsidRPr="008E7F28">
        <w:rPr>
          <w:rFonts w:cs="Arial"/>
        </w:rPr>
        <w:t>17.7–18.6 GHz, 18.8–19.3 GHz, 19.7–20.2 GHz,</w:t>
      </w:r>
      <w:r>
        <w:rPr>
          <w:rFonts w:cs="Arial"/>
        </w:rPr>
        <w:t xml:space="preserve"> </w:t>
      </w:r>
      <w:r w:rsidRPr="008E7F28">
        <w:rPr>
          <w:rFonts w:cs="Arial"/>
        </w:rPr>
        <w:t>28.5–29.1 GHz and 29.5–30 GHz</w:t>
      </w:r>
    </w:p>
    <w:p w14:paraId="16032C0A" w14:textId="77777777" w:rsidR="00616075" w:rsidRDefault="00616075" w:rsidP="00866124">
      <w:pPr>
        <w:pStyle w:val="ListParagraph"/>
        <w:numPr>
          <w:ilvl w:val="0"/>
          <w:numId w:val="28"/>
        </w:numPr>
        <w:spacing w:after="240"/>
      </w:pPr>
      <w:r w:rsidRPr="008E7F28">
        <w:rPr>
          <w:b/>
          <w:bCs/>
        </w:rPr>
        <w:t>Ka ESIM GSO (19.7-20.2 GHz, 29.5-30 GHz):</w:t>
      </w:r>
      <w:r>
        <w:t xml:space="preserve">  Procedures to be followed when seeking the issue of space or space receive licences </w:t>
      </w:r>
      <w:r w:rsidRPr="008E7F28">
        <w:rPr>
          <w:rFonts w:cs="Arial"/>
        </w:rPr>
        <w:t xml:space="preserve">authorising the use of earth stations in motion (ESIMs) communicating with </w:t>
      </w:r>
      <w:r>
        <w:t>geostationary space stations in the fixed-satellite service in the frequency bands 19.7–20.2 GHz and 29.5–30.0 GHz.</w:t>
      </w:r>
    </w:p>
    <w:p w14:paraId="12BD2B4A" w14:textId="77777777" w:rsidR="00616075" w:rsidRPr="008E7F28" w:rsidRDefault="00616075" w:rsidP="005824D3">
      <w:pPr>
        <w:spacing w:after="0"/>
        <w:rPr>
          <w:b/>
          <w:bCs/>
        </w:rPr>
      </w:pPr>
      <w:r w:rsidRPr="008E7F28">
        <w:rPr>
          <w:b/>
          <w:bCs/>
        </w:rPr>
        <w:t>Additional requirements</w:t>
      </w:r>
    </w:p>
    <w:p w14:paraId="7E327D70" w14:textId="77777777" w:rsidR="00616075" w:rsidRDefault="00616075" w:rsidP="006F6DA6">
      <w:pPr>
        <w:spacing w:after="0"/>
      </w:pPr>
      <w:r>
        <w:t>In additional to the general procedures of this BOP, there are specific requirements for:</w:t>
      </w:r>
    </w:p>
    <w:p w14:paraId="72031D6F" w14:textId="77777777" w:rsidR="00616075" w:rsidRDefault="00616075" w:rsidP="00866124">
      <w:pPr>
        <w:pStyle w:val="ListParagraph"/>
        <w:numPr>
          <w:ilvl w:val="0"/>
          <w:numId w:val="29"/>
        </w:numPr>
        <w:spacing w:after="240"/>
      </w:pPr>
      <w:r w:rsidRPr="008E7F28">
        <w:rPr>
          <w:b/>
          <w:bCs/>
        </w:rPr>
        <w:t xml:space="preserve">Ku ESIM GSO/NGSO (10.7–12.75 GHz, 14–14.5 GHz):  </w:t>
      </w:r>
      <w:r>
        <w:t xml:space="preserve">Additional information on requirements for </w:t>
      </w:r>
      <w:r w:rsidRPr="00EB6EBA">
        <w:t xml:space="preserve">ESIM communicating with space stations in the fixed-satellite service (both </w:t>
      </w:r>
      <w:r>
        <w:t>geostationary orbit (GSO)</w:t>
      </w:r>
      <w:r w:rsidRPr="00EB6EBA">
        <w:t xml:space="preserve"> and </w:t>
      </w:r>
      <w:r>
        <w:t>non-geostationary orbit (</w:t>
      </w:r>
      <w:r w:rsidRPr="00EB6EBA">
        <w:t>NGSO)</w:t>
      </w:r>
      <w:r>
        <w:t>)</w:t>
      </w:r>
      <w:r w:rsidRPr="00EB6EBA">
        <w:t xml:space="preserve"> in the frequency ranges 1</w:t>
      </w:r>
      <w:r>
        <w:t>0</w:t>
      </w:r>
      <w:r w:rsidRPr="00EB6EBA">
        <w:t>.7</w:t>
      </w:r>
      <w:r>
        <w:t>–</w:t>
      </w:r>
      <w:r w:rsidRPr="00EB6EBA">
        <w:t>12.75 GHz (space-to-</w:t>
      </w:r>
      <w:r>
        <w:t>E</w:t>
      </w:r>
      <w:r w:rsidRPr="00EB6EBA">
        <w:t>arth) and 14</w:t>
      </w:r>
      <w:r>
        <w:t>–</w:t>
      </w:r>
      <w:r w:rsidRPr="00EB6EBA">
        <w:t>14.5 GHz (</w:t>
      </w:r>
      <w:r>
        <w:t>E</w:t>
      </w:r>
      <w:r w:rsidRPr="00EB6EBA">
        <w:t>arth-to-space)</w:t>
      </w:r>
      <w:r>
        <w:t xml:space="preserve"> is provided in Appendix E. That appendix should be read in conjunction with the requirements of this BOP.</w:t>
      </w:r>
    </w:p>
    <w:p w14:paraId="7C8D0CF4" w14:textId="77777777" w:rsidR="00616075" w:rsidRDefault="00616075" w:rsidP="00866124">
      <w:pPr>
        <w:pStyle w:val="ListParagraph"/>
        <w:numPr>
          <w:ilvl w:val="0"/>
          <w:numId w:val="29"/>
        </w:numPr>
        <w:spacing w:after="240"/>
      </w:pPr>
      <w:r w:rsidRPr="008E7F28">
        <w:rPr>
          <w:b/>
          <w:bCs/>
        </w:rPr>
        <w:t>Ka ESIM GSO (17.7-19.7 GHz, 27.5--29.5 GHz</w:t>
      </w:r>
      <w:r w:rsidRPr="00FF08FC">
        <w:t>)</w:t>
      </w:r>
      <w:r>
        <w:t>: Additional information on requirements for ESIM communicating with geostationary space stations in the fixed satellite service in the frequency ranges 17.7-19.7 GHz (space-to-Earth) and 27.5-29.5 GHz (Earth-to-space) is provided in Appendix F. That appendix should be read in conjunction with the requirements of this BOP.</w:t>
      </w:r>
    </w:p>
    <w:p w14:paraId="4A36E08E" w14:textId="29E0ED73" w:rsidR="00616075" w:rsidRPr="00816373" w:rsidRDefault="00616075" w:rsidP="00866124">
      <w:pPr>
        <w:pStyle w:val="ListParagraph"/>
        <w:numPr>
          <w:ilvl w:val="0"/>
          <w:numId w:val="29"/>
        </w:numPr>
        <w:spacing w:after="240"/>
      </w:pPr>
      <w:r w:rsidRPr="008E7F28">
        <w:rPr>
          <w:b/>
          <w:bCs/>
        </w:rPr>
        <w:t>S band narrowband MSS (2005-2009 MHz, 2195-2200 MHz):</w:t>
      </w:r>
      <w:r>
        <w:t xml:space="preserve"> Additional information on requirements for narrowband mobile-satellite service (MSS) in the bands 2005-2009 MHz (Earth-to-space) and 2195-2200 MHz (space-to-Earth) is provided in Appendix </w:t>
      </w:r>
      <w:r w:rsidR="00340B6B">
        <w:t>H</w:t>
      </w:r>
      <w:r>
        <w:t>.</w:t>
      </w:r>
    </w:p>
    <w:p w14:paraId="06FEE761" w14:textId="77777777" w:rsidR="006D7766" w:rsidRDefault="006D7766" w:rsidP="002D16C0">
      <w:pPr>
        <w:pStyle w:val="BodySubHeader"/>
        <w:keepNext/>
      </w:pPr>
      <w:r>
        <w:t xml:space="preserve">Applications outside of current policy </w:t>
      </w:r>
    </w:p>
    <w:p w14:paraId="7BFF3652" w14:textId="42EC9410" w:rsidR="006D7766" w:rsidRPr="00872DFF" w:rsidRDefault="00C83054" w:rsidP="002D16C0">
      <w:pPr>
        <w:keepNext/>
      </w:pPr>
      <w:r>
        <w:t>T</w:t>
      </w:r>
      <w:r w:rsidR="006D7766">
        <w:t>he procedures in this BOP are reflective of the status of satellite networks associated with typical licence applications and cover the majority of licensing scenarios only. Cases outside those outlined will be treated on a case-by-case basis.</w:t>
      </w:r>
    </w:p>
    <w:p w14:paraId="2D254860" w14:textId="77777777" w:rsidR="00232AAB" w:rsidRPr="006D46E5" w:rsidRDefault="00232AAB" w:rsidP="00A7063A">
      <w:pPr>
        <w:pStyle w:val="Heading1"/>
      </w:pPr>
      <w:bookmarkStart w:id="7" w:name="_Toc392147073"/>
      <w:bookmarkStart w:id="8" w:name="_Toc478115627"/>
      <w:bookmarkStart w:id="9" w:name="_Toc478115877"/>
      <w:bookmarkStart w:id="10" w:name="_Toc483400675"/>
      <w:bookmarkStart w:id="11" w:name="_Toc490122656"/>
      <w:bookmarkStart w:id="12" w:name="_Toc14956803"/>
      <w:bookmarkStart w:id="13" w:name="_Toc153797977"/>
      <w:r w:rsidRPr="00113829">
        <w:t>Background</w:t>
      </w:r>
      <w:bookmarkEnd w:id="7"/>
      <w:bookmarkEnd w:id="8"/>
      <w:bookmarkEnd w:id="9"/>
      <w:bookmarkEnd w:id="10"/>
      <w:bookmarkEnd w:id="11"/>
      <w:bookmarkEnd w:id="12"/>
      <w:bookmarkEnd w:id="13"/>
    </w:p>
    <w:p w14:paraId="172FA8A3" w14:textId="57D83DF0" w:rsidR="00A86AF2" w:rsidRPr="00474D77" w:rsidRDefault="00232AAB" w:rsidP="00A86AF2">
      <w:pPr>
        <w:rPr>
          <w:rFonts w:cs="Arial"/>
          <w:szCs w:val="20"/>
        </w:rPr>
      </w:pPr>
      <w:r w:rsidRPr="00615474">
        <w:t xml:space="preserve">In considering </w:t>
      </w:r>
      <w:r w:rsidR="00A86AF2" w:rsidRPr="00474D77">
        <w:rPr>
          <w:rFonts w:cs="Arial"/>
          <w:szCs w:val="20"/>
        </w:rPr>
        <w:t xml:space="preserve">licence applications under the </w:t>
      </w:r>
      <w:hyperlink r:id="rId37" w:history="1">
        <w:r w:rsidR="00A86AF2" w:rsidRPr="00474D77">
          <w:rPr>
            <w:rStyle w:val="Hyperlink"/>
            <w:rFonts w:cs="Arial"/>
            <w:szCs w:val="20"/>
          </w:rPr>
          <w:t>Radiocommunications Act 1992</w:t>
        </w:r>
      </w:hyperlink>
      <w:r w:rsidR="00A86AF2">
        <w:rPr>
          <w:rStyle w:val="Hyperlink"/>
          <w:rFonts w:cs="Arial"/>
          <w:szCs w:val="20"/>
        </w:rPr>
        <w:t xml:space="preserve"> </w:t>
      </w:r>
      <w:r w:rsidRPr="00615474">
        <w:t xml:space="preserve">the ACMA is required to consider a range of matters. </w:t>
      </w:r>
      <w:r w:rsidR="00A86AF2" w:rsidRPr="00474D77">
        <w:rPr>
          <w:rFonts w:cs="Arial"/>
          <w:szCs w:val="20"/>
        </w:rPr>
        <w:t>Under section 100 (4) of the Act:</w:t>
      </w:r>
    </w:p>
    <w:p w14:paraId="1A652792" w14:textId="77777777" w:rsidR="00A86AF2" w:rsidRPr="00816373" w:rsidRDefault="00A86AF2" w:rsidP="00ED66D5">
      <w:pPr>
        <w:ind w:left="709"/>
        <w:rPr>
          <w:rFonts w:cs="Arial"/>
          <w:i/>
          <w:iCs/>
          <w:szCs w:val="20"/>
        </w:rPr>
      </w:pPr>
      <w:r w:rsidRPr="00816373">
        <w:rPr>
          <w:rFonts w:cs="Arial"/>
          <w:i/>
          <w:iCs/>
          <w:szCs w:val="20"/>
        </w:rPr>
        <w:t>In deciding whether to issue an apparatus licence, the ACMA must have regard to:</w:t>
      </w:r>
    </w:p>
    <w:p w14:paraId="35ABC1EA" w14:textId="0F0CFA02" w:rsidR="00A86AF2" w:rsidRPr="00816373" w:rsidRDefault="00A86AF2" w:rsidP="00C0799E">
      <w:pPr>
        <w:ind w:left="1276" w:hanging="425"/>
        <w:rPr>
          <w:rFonts w:cs="Arial"/>
          <w:i/>
          <w:iCs/>
          <w:szCs w:val="20"/>
        </w:rPr>
      </w:pPr>
      <w:r w:rsidRPr="00816373">
        <w:rPr>
          <w:rFonts w:cs="Arial"/>
          <w:i/>
          <w:iCs/>
          <w:szCs w:val="20"/>
        </w:rPr>
        <w:t>(a) all matters that it considers relevant; and</w:t>
      </w:r>
    </w:p>
    <w:p w14:paraId="193AF87D" w14:textId="00969C70" w:rsidR="00A86AF2" w:rsidRPr="00816373" w:rsidRDefault="00A86AF2" w:rsidP="00C0799E">
      <w:pPr>
        <w:ind w:left="1276" w:hanging="425"/>
        <w:rPr>
          <w:rFonts w:cs="Arial"/>
          <w:i/>
          <w:iCs/>
          <w:szCs w:val="20"/>
        </w:rPr>
      </w:pPr>
      <w:r w:rsidRPr="00816373">
        <w:rPr>
          <w:rFonts w:cs="Arial"/>
          <w:i/>
          <w:iCs/>
          <w:szCs w:val="20"/>
        </w:rPr>
        <w:t>(b) without limiting paragraph</w:t>
      </w:r>
      <w:r w:rsidR="00DA2F33" w:rsidRPr="00816373">
        <w:rPr>
          <w:rFonts w:cs="Arial"/>
          <w:i/>
          <w:iCs/>
          <w:szCs w:val="20"/>
        </w:rPr>
        <w:t xml:space="preserve"> </w:t>
      </w:r>
      <w:r w:rsidRPr="00816373">
        <w:rPr>
          <w:rFonts w:cs="Arial"/>
          <w:i/>
          <w:iCs/>
          <w:szCs w:val="20"/>
        </w:rPr>
        <w:t>(a), the effect on radiocommunications of the proposed operation of the radiocommunications devices that would be authorised under the licence.</w:t>
      </w:r>
    </w:p>
    <w:p w14:paraId="62215CF0" w14:textId="2FEDEC93" w:rsidR="00DA2F33" w:rsidRPr="00474D77" w:rsidRDefault="00DA2F33" w:rsidP="00DA2F33">
      <w:pPr>
        <w:rPr>
          <w:rFonts w:cs="Arial"/>
          <w:szCs w:val="20"/>
        </w:rPr>
      </w:pPr>
      <w:r w:rsidRPr="00474D77">
        <w:rPr>
          <w:rFonts w:cs="Arial"/>
          <w:szCs w:val="20"/>
        </w:rPr>
        <w:t xml:space="preserve">The procedures outlined in this document record the typical satellite regulatory matters considered by the ACMA when </w:t>
      </w:r>
      <w:r>
        <w:rPr>
          <w:rFonts w:cs="Arial"/>
          <w:szCs w:val="20"/>
        </w:rPr>
        <w:t>deciding</w:t>
      </w:r>
      <w:r w:rsidRPr="00474D77">
        <w:rPr>
          <w:rFonts w:cs="Arial"/>
          <w:szCs w:val="20"/>
        </w:rPr>
        <w:t xml:space="preserve"> whether to issue a </w:t>
      </w:r>
      <w:r w:rsidRPr="00474D77">
        <w:rPr>
          <w:rFonts w:cs="Arial"/>
          <w:i/>
          <w:szCs w:val="20"/>
        </w:rPr>
        <w:t>space</w:t>
      </w:r>
      <w:r w:rsidRPr="00474D77">
        <w:rPr>
          <w:rFonts w:cs="Arial"/>
          <w:szCs w:val="20"/>
        </w:rPr>
        <w:t xml:space="preserve"> or </w:t>
      </w:r>
      <w:r w:rsidRPr="00474D77">
        <w:rPr>
          <w:rFonts w:cs="Arial"/>
          <w:i/>
          <w:szCs w:val="20"/>
        </w:rPr>
        <w:t>space receive</w:t>
      </w:r>
      <w:r w:rsidRPr="00474D77">
        <w:rPr>
          <w:rFonts w:cs="Arial"/>
          <w:szCs w:val="20"/>
        </w:rPr>
        <w:t xml:space="preserve"> apparatus licence. Depending on the specific of an application the ACMA might be required to consider additional matters and request additional information or seek the views of Australia</w:t>
      </w:r>
      <w:r w:rsidR="007752D5">
        <w:rPr>
          <w:rFonts w:cs="Arial"/>
          <w:szCs w:val="20"/>
        </w:rPr>
        <w:t>n</w:t>
      </w:r>
      <w:r w:rsidRPr="00474D77">
        <w:rPr>
          <w:rFonts w:cs="Arial"/>
          <w:szCs w:val="20"/>
        </w:rPr>
        <w:t xml:space="preserve"> satellite operators (satellite operators on whose behalf the ACMA has submitted a satellite filing to the ITU). </w:t>
      </w:r>
    </w:p>
    <w:p w14:paraId="650ACC53" w14:textId="23F2EFB6" w:rsidR="008346C1" w:rsidRDefault="00EB78A0" w:rsidP="00872DFF">
      <w:pPr>
        <w:spacing w:after="80"/>
        <w:rPr>
          <w:szCs w:val="20"/>
        </w:rPr>
      </w:pPr>
      <w:r>
        <w:rPr>
          <w:rFonts w:cs="Arial"/>
        </w:rPr>
        <w:t>We</w:t>
      </w:r>
      <w:r w:rsidR="008346C1">
        <w:rPr>
          <w:szCs w:val="20"/>
        </w:rPr>
        <w:t xml:space="preserve"> encourage cooperation and coordination between satellite </w:t>
      </w:r>
      <w:r w:rsidR="00A831D2">
        <w:rPr>
          <w:szCs w:val="20"/>
        </w:rPr>
        <w:t xml:space="preserve">operators </w:t>
      </w:r>
      <w:r w:rsidR="008346C1">
        <w:rPr>
          <w:szCs w:val="20"/>
        </w:rPr>
        <w:t>to achieve mutual benefit, without the burden and delays of additional prescriptive regulation. In line with this approach, it is our view that coordination matters between foreign-filed satellite networks are the responsibility of the filing administration</w:t>
      </w:r>
      <w:r w:rsidR="001F142F">
        <w:rPr>
          <w:szCs w:val="20"/>
        </w:rPr>
        <w:t>s</w:t>
      </w:r>
      <w:r w:rsidR="008346C1">
        <w:rPr>
          <w:szCs w:val="20"/>
        </w:rPr>
        <w:t xml:space="preserve"> and satellite operators. Accordingly, Australia’s, and the ACMA’s role is limited to the domestic licensing of these systems</w:t>
      </w:r>
      <w:r w:rsidR="00B27A63">
        <w:rPr>
          <w:szCs w:val="20"/>
        </w:rPr>
        <w:t>.</w:t>
      </w:r>
    </w:p>
    <w:p w14:paraId="0A5666BE" w14:textId="0B44AF6E" w:rsidR="00232AAB" w:rsidRPr="00615474" w:rsidRDefault="009D2BA0" w:rsidP="00872DFF">
      <w:pPr>
        <w:spacing w:after="80"/>
      </w:pPr>
      <w:r>
        <w:t>Typically,</w:t>
      </w:r>
      <w:r w:rsidR="00232AAB" w:rsidRPr="00615474">
        <w:t xml:space="preserve"> the assessment process may require:</w:t>
      </w:r>
    </w:p>
    <w:p w14:paraId="2FB02EA9" w14:textId="02A4507C" w:rsidR="00232AAB" w:rsidRDefault="00505361" w:rsidP="00866124">
      <w:pPr>
        <w:pStyle w:val="ListBullet"/>
        <w:numPr>
          <w:ilvl w:val="0"/>
          <w:numId w:val="21"/>
        </w:numPr>
        <w:ind w:left="426"/>
      </w:pPr>
      <w:r>
        <w:t>c</w:t>
      </w:r>
      <w:r w:rsidR="00232AAB">
        <w:t>onsideration of consistency with current regulatory arrangements</w:t>
      </w:r>
      <w:r w:rsidR="00232AAB" w:rsidRPr="00DD4280">
        <w:t xml:space="preserve">, </w:t>
      </w:r>
      <w:r w:rsidR="00232AAB">
        <w:t>including</w:t>
      </w:r>
      <w:r>
        <w:t>:</w:t>
      </w:r>
    </w:p>
    <w:p w14:paraId="14FAE69C" w14:textId="1585B355" w:rsidR="00232AAB" w:rsidRDefault="00232AAB" w:rsidP="00866124">
      <w:pPr>
        <w:pStyle w:val="ListBullet2"/>
        <w:numPr>
          <w:ilvl w:val="0"/>
          <w:numId w:val="21"/>
        </w:numPr>
      </w:pPr>
      <w:r>
        <w:t xml:space="preserve">Australian space regulations related to </w:t>
      </w:r>
      <w:r w:rsidRPr="00EB0E7F">
        <w:rPr>
          <w:i/>
        </w:rPr>
        <w:t>space</w:t>
      </w:r>
      <w:r>
        <w:t xml:space="preserve"> and </w:t>
      </w:r>
      <w:r w:rsidRPr="00EB0E7F">
        <w:rPr>
          <w:i/>
        </w:rPr>
        <w:t>space receive</w:t>
      </w:r>
      <w:r>
        <w:t xml:space="preserve"> licences</w:t>
      </w:r>
    </w:p>
    <w:p w14:paraId="786DA0A5" w14:textId="126F992F" w:rsidR="00232AAB" w:rsidRDefault="00232AAB" w:rsidP="00866124">
      <w:pPr>
        <w:pStyle w:val="ListBullet2"/>
        <w:numPr>
          <w:ilvl w:val="0"/>
          <w:numId w:val="21"/>
        </w:numPr>
      </w:pPr>
      <w:r w:rsidRPr="00615474">
        <w:t xml:space="preserve">the international </w:t>
      </w:r>
      <w:r>
        <w:t>(ITU) regulatory status</w:t>
      </w:r>
      <w:r w:rsidRPr="00796E0D">
        <w:t xml:space="preserve"> </w:t>
      </w:r>
      <w:r>
        <w:t xml:space="preserve">of </w:t>
      </w:r>
      <w:r w:rsidRPr="00615474">
        <w:t xml:space="preserve">the </w:t>
      </w:r>
      <w:r>
        <w:t xml:space="preserve">subject </w:t>
      </w:r>
      <w:r w:rsidRPr="00615474">
        <w:t>satellite network</w:t>
      </w:r>
    </w:p>
    <w:p w14:paraId="20B8E011" w14:textId="5A53CE72" w:rsidR="00232AAB" w:rsidRPr="00615474" w:rsidRDefault="00232AAB" w:rsidP="00866124">
      <w:pPr>
        <w:pStyle w:val="ListBullet2"/>
        <w:numPr>
          <w:ilvl w:val="0"/>
          <w:numId w:val="21"/>
        </w:numPr>
      </w:pPr>
      <w:r>
        <w:t xml:space="preserve">the international (ITU) registration details </w:t>
      </w:r>
      <w:r w:rsidRPr="00615474">
        <w:t xml:space="preserve">of the </w:t>
      </w:r>
      <w:r>
        <w:t xml:space="preserve">subject </w:t>
      </w:r>
      <w:r w:rsidRPr="00615474">
        <w:t>satellite network</w:t>
      </w:r>
    </w:p>
    <w:p w14:paraId="6F78A50B" w14:textId="66B1797C" w:rsidR="00232AAB" w:rsidRPr="00615474" w:rsidRDefault="00232AAB" w:rsidP="00866124">
      <w:pPr>
        <w:pStyle w:val="ListBullet"/>
        <w:numPr>
          <w:ilvl w:val="0"/>
          <w:numId w:val="21"/>
        </w:numPr>
        <w:ind w:left="426"/>
      </w:pPr>
      <w:r w:rsidRPr="00615474">
        <w:t>relevant government organisations to be consulted in relation to the application</w:t>
      </w:r>
    </w:p>
    <w:p w14:paraId="02609208" w14:textId="5A59B61D" w:rsidR="00232AAB" w:rsidRPr="00615474" w:rsidRDefault="00232AAB" w:rsidP="00866124">
      <w:pPr>
        <w:pStyle w:val="ListBullet"/>
        <w:numPr>
          <w:ilvl w:val="0"/>
          <w:numId w:val="21"/>
        </w:numPr>
        <w:ind w:left="426"/>
      </w:pPr>
      <w:r w:rsidRPr="00615474">
        <w:t xml:space="preserve">the licence type(s), necessary to authorise operation of the </w:t>
      </w:r>
      <w:r>
        <w:t>space station</w:t>
      </w:r>
      <w:r w:rsidRPr="00615474">
        <w:t>, to be determined</w:t>
      </w:r>
    </w:p>
    <w:p w14:paraId="4DCEFA46" w14:textId="0E6EF5A8" w:rsidR="00232AAB" w:rsidRPr="00615474" w:rsidRDefault="00232AAB" w:rsidP="00866124">
      <w:pPr>
        <w:pStyle w:val="ListBulletLast"/>
        <w:numPr>
          <w:ilvl w:val="0"/>
          <w:numId w:val="21"/>
        </w:numPr>
        <w:ind w:left="426"/>
      </w:pPr>
      <w:r w:rsidRPr="00615474">
        <w:t>appropriate special condition(s) and/or advisory note(s) to be applied to the licence.</w:t>
      </w:r>
    </w:p>
    <w:p w14:paraId="18642035" w14:textId="66CB6117" w:rsidR="00232AAB" w:rsidRDefault="00232AAB" w:rsidP="00232AAB">
      <w:r w:rsidRPr="00615474">
        <w:t xml:space="preserve">This </w:t>
      </w:r>
      <w:r>
        <w:t>BOP</w:t>
      </w:r>
      <w:r w:rsidRPr="00615474">
        <w:t xml:space="preserve"> provides an overview of the processes associated with each of the</w:t>
      </w:r>
      <w:r w:rsidR="00505361">
        <w:t>se</w:t>
      </w:r>
      <w:r w:rsidRPr="00615474">
        <w:t xml:space="preserve"> steps.</w:t>
      </w:r>
    </w:p>
    <w:p w14:paraId="73B9C034" w14:textId="0897EFC5" w:rsidR="00177F36" w:rsidRDefault="00232AAB" w:rsidP="00232AAB">
      <w:pPr>
        <w:rPr>
          <w:rFonts w:cs="Arial"/>
          <w:lang w:val="en"/>
        </w:rPr>
      </w:pPr>
      <w:r>
        <w:t xml:space="preserve">Additional information on the arrangements for </w:t>
      </w:r>
      <w:r w:rsidRPr="00831E60">
        <w:rPr>
          <w:i/>
        </w:rPr>
        <w:t>space</w:t>
      </w:r>
      <w:r>
        <w:t xml:space="preserve"> and </w:t>
      </w:r>
      <w:r w:rsidRPr="00831E60">
        <w:rPr>
          <w:i/>
        </w:rPr>
        <w:t>space receive</w:t>
      </w:r>
      <w:r>
        <w:t xml:space="preserve"> licences can be found </w:t>
      </w:r>
      <w:r>
        <w:rPr>
          <w:rFonts w:cs="Arial"/>
        </w:rPr>
        <w:t xml:space="preserve">from the </w:t>
      </w:r>
      <w:hyperlink r:id="rId38" w:history="1">
        <w:r w:rsidR="006616BE" w:rsidRPr="00BF5D66">
          <w:rPr>
            <w:rStyle w:val="Hyperlink"/>
          </w:rPr>
          <w:t>Apparatus licences</w:t>
        </w:r>
      </w:hyperlink>
      <w:r w:rsidR="006616BE">
        <w:rPr>
          <w:rFonts w:cs="Arial"/>
          <w:lang w:val="en"/>
        </w:rPr>
        <w:t xml:space="preserve"> </w:t>
      </w:r>
      <w:r>
        <w:rPr>
          <w:rFonts w:cs="Arial"/>
          <w:lang w:val="en"/>
        </w:rPr>
        <w:t xml:space="preserve">area on the ACMA website. </w:t>
      </w:r>
    </w:p>
    <w:p w14:paraId="7CABCC3A" w14:textId="5798CFEE" w:rsidR="003701D4" w:rsidRDefault="00DA2F33" w:rsidP="00232AAB">
      <w:pPr>
        <w:rPr>
          <w:rFonts w:cs="Arial"/>
        </w:rPr>
      </w:pPr>
      <w:r w:rsidRPr="00474D77">
        <w:rPr>
          <w:rFonts w:cs="Arial"/>
          <w:szCs w:val="20"/>
        </w:rPr>
        <w:t xml:space="preserve">Where consideration of additional matters or consultation with Australian satellite operators is required the ACMA will </w:t>
      </w:r>
      <w:r>
        <w:rPr>
          <w:rFonts w:cs="Arial"/>
          <w:szCs w:val="20"/>
        </w:rPr>
        <w:t xml:space="preserve">first </w:t>
      </w:r>
      <w:r w:rsidRPr="00474D77">
        <w:rPr>
          <w:rFonts w:cs="Arial"/>
          <w:szCs w:val="20"/>
        </w:rPr>
        <w:t>consult with accredited person (AP) or applicant</w:t>
      </w:r>
      <w:r>
        <w:rPr>
          <w:rFonts w:cs="Arial"/>
          <w:szCs w:val="20"/>
        </w:rPr>
        <w:t>.</w:t>
      </w:r>
      <w:r w:rsidR="00817AEC">
        <w:rPr>
          <w:rFonts w:cs="Arial"/>
          <w:szCs w:val="20"/>
        </w:rPr>
        <w:t xml:space="preserve"> </w:t>
      </w:r>
    </w:p>
    <w:p w14:paraId="76965093" w14:textId="77777777" w:rsidR="00872DFF" w:rsidRPr="00872DFF" w:rsidRDefault="00872DFF" w:rsidP="00A7063A">
      <w:pPr>
        <w:pStyle w:val="Heading1"/>
      </w:pPr>
      <w:bookmarkStart w:id="14" w:name="_Toc482603579"/>
      <w:bookmarkStart w:id="15" w:name="_Toc483400676"/>
      <w:bookmarkStart w:id="16" w:name="_Toc490122657"/>
      <w:bookmarkStart w:id="17" w:name="_Toc14956804"/>
      <w:bookmarkStart w:id="18" w:name="_Toc433122125"/>
      <w:bookmarkStart w:id="19" w:name="_Toc153797978"/>
      <w:r w:rsidRPr="00872DFF">
        <w:t>Regulatory considerations</w:t>
      </w:r>
      <w:bookmarkEnd w:id="14"/>
      <w:bookmarkEnd w:id="15"/>
      <w:bookmarkEnd w:id="16"/>
      <w:bookmarkEnd w:id="17"/>
      <w:bookmarkEnd w:id="19"/>
    </w:p>
    <w:p w14:paraId="4B19F624" w14:textId="69157FB4" w:rsidR="006616BE" w:rsidRDefault="006616BE" w:rsidP="006616BE">
      <w:pPr>
        <w:rPr>
          <w:rStyle w:val="Hyperlink"/>
          <w:rFonts w:cs="Arial"/>
          <w:szCs w:val="20"/>
        </w:rPr>
      </w:pPr>
      <w:r>
        <w:t xml:space="preserve">As with all radiocommunications services, frequency assigning and licensing needs to be consistent with current regulatory arrangements. At a high level, this means consistency with requirements as specified in the </w:t>
      </w:r>
      <w:hyperlink r:id="rId39" w:history="1">
        <w:r w:rsidRPr="00B905E8">
          <w:rPr>
            <w:rStyle w:val="Hyperlink"/>
            <w:i/>
          </w:rPr>
          <w:t>Radiocommunications Act 1992</w:t>
        </w:r>
      </w:hyperlink>
      <w:r>
        <w:t xml:space="preserve">, the </w:t>
      </w:r>
      <w:hyperlink r:id="rId40" w:history="1">
        <w:r w:rsidRPr="00F41BB6">
          <w:rPr>
            <w:color w:val="0000FF"/>
            <w:u w:val="single"/>
          </w:rPr>
          <w:t>Australian Radiofrequency Spectrum Plan</w:t>
        </w:r>
      </w:hyperlink>
      <w:r w:rsidRPr="0080247B">
        <w:t xml:space="preserve"> </w:t>
      </w:r>
      <w:r>
        <w:t>(the Spectrum Plan)</w:t>
      </w:r>
      <w:r w:rsidRPr="0080247B">
        <w:t xml:space="preserve">, frequency </w:t>
      </w:r>
      <w:hyperlink r:id="rId41" w:history="1">
        <w:r w:rsidRPr="007F02B9">
          <w:rPr>
            <w:rStyle w:val="Hyperlink"/>
          </w:rPr>
          <w:t>band plans</w:t>
        </w:r>
      </w:hyperlink>
      <w:r w:rsidRPr="0080247B">
        <w:t xml:space="preserve"> (both legislative and administrative) and </w:t>
      </w:r>
      <w:hyperlink r:id="rId42" w:history="1">
        <w:r w:rsidRPr="0026136B">
          <w:rPr>
            <w:rStyle w:val="Hyperlink"/>
            <w:rFonts w:cs="Arial"/>
            <w:szCs w:val="20"/>
          </w:rPr>
          <w:t>spectrum embargo</w:t>
        </w:r>
        <w:r>
          <w:rPr>
            <w:rStyle w:val="Hyperlink"/>
            <w:rFonts w:cs="Arial"/>
            <w:szCs w:val="20"/>
          </w:rPr>
          <w:t>e</w:t>
        </w:r>
        <w:r w:rsidRPr="0026136B">
          <w:rPr>
            <w:rStyle w:val="Hyperlink"/>
            <w:rFonts w:cs="Arial"/>
            <w:szCs w:val="20"/>
          </w:rPr>
          <w:t>s</w:t>
        </w:r>
      </w:hyperlink>
      <w:r w:rsidRPr="004B06F4">
        <w:rPr>
          <w:rStyle w:val="Hyperlink"/>
          <w:rFonts w:cs="Arial"/>
          <w:color w:val="auto"/>
          <w:szCs w:val="20"/>
          <w:u w:val="none"/>
        </w:rPr>
        <w:t>.</w:t>
      </w:r>
    </w:p>
    <w:p w14:paraId="6C5325C7" w14:textId="0FCFC16F" w:rsidR="00872DFF" w:rsidRDefault="00872DFF" w:rsidP="00872DFF">
      <w:r>
        <w:t>For the licensing of space</w:t>
      </w:r>
      <w:r w:rsidR="00F14B44">
        <w:t>-</w:t>
      </w:r>
      <w:r>
        <w:t>based communication systems (in this case</w:t>
      </w:r>
      <w:r w:rsidR="00505361">
        <w:t>,</w:t>
      </w:r>
      <w:r>
        <w:t xml:space="preserve"> </w:t>
      </w:r>
      <w:r w:rsidRPr="000C46CB">
        <w:rPr>
          <w:i/>
        </w:rPr>
        <w:t>space</w:t>
      </w:r>
      <w:r>
        <w:t xml:space="preserve"> and </w:t>
      </w:r>
      <w:r w:rsidRPr="000C46CB">
        <w:rPr>
          <w:i/>
        </w:rPr>
        <w:t>space receive</w:t>
      </w:r>
      <w:r>
        <w:t xml:space="preserve"> apparatus licence</w:t>
      </w:r>
      <w:r w:rsidR="00505361">
        <w:t>s</w:t>
      </w:r>
      <w:r>
        <w:t xml:space="preserve">), there is an additional requirement to check for consistency with Australian space regulations related to </w:t>
      </w:r>
      <w:r w:rsidRPr="009B0639">
        <w:rPr>
          <w:i/>
        </w:rPr>
        <w:t>space</w:t>
      </w:r>
      <w:r>
        <w:t xml:space="preserve"> and </w:t>
      </w:r>
      <w:r w:rsidRPr="009B0639">
        <w:rPr>
          <w:i/>
        </w:rPr>
        <w:t>space receive</w:t>
      </w:r>
      <w:r>
        <w:t xml:space="preserve"> licences, and </w:t>
      </w:r>
      <w:r w:rsidRPr="00615474">
        <w:t xml:space="preserve">the international </w:t>
      </w:r>
      <w:r>
        <w:t xml:space="preserve">(ITU) </w:t>
      </w:r>
      <w:r w:rsidRPr="00615474">
        <w:t>regulatory status</w:t>
      </w:r>
      <w:r>
        <w:t xml:space="preserve"> and </w:t>
      </w:r>
      <w:r w:rsidRPr="00615474">
        <w:t xml:space="preserve">the international </w:t>
      </w:r>
      <w:r>
        <w:t xml:space="preserve">(ITU) registration details of </w:t>
      </w:r>
      <w:r w:rsidRPr="00615474">
        <w:t xml:space="preserve">the </w:t>
      </w:r>
      <w:r>
        <w:t xml:space="preserve">subject </w:t>
      </w:r>
      <w:r w:rsidRPr="00615474">
        <w:t>satellite network</w:t>
      </w:r>
      <w:r>
        <w:t>.</w:t>
      </w:r>
      <w:r w:rsidRPr="00831E60">
        <w:t xml:space="preserve"> </w:t>
      </w:r>
      <w:r>
        <w:t>This assessment is undertaken by the ACMA’s satellite coordination area</w:t>
      </w:r>
      <w:r w:rsidDel="00831E60">
        <w:t xml:space="preserve"> </w:t>
      </w:r>
      <w:r>
        <w:t xml:space="preserve">using information provided by the applicant or </w:t>
      </w:r>
      <w:r w:rsidR="00037D9A">
        <w:t>AP</w:t>
      </w:r>
      <w:r>
        <w:t xml:space="preserve">. </w:t>
      </w:r>
    </w:p>
    <w:p w14:paraId="4CDD3C4D" w14:textId="2ED5862B" w:rsidR="00872DFF" w:rsidRPr="00872DFF" w:rsidRDefault="00872DFF" w:rsidP="00872DFF">
      <w:r>
        <w:t xml:space="preserve">Further information on the assessment of the matters is below. </w:t>
      </w:r>
      <w:r w:rsidR="00505361">
        <w:t xml:space="preserve">This information </w:t>
      </w:r>
      <w:r>
        <w:t>should be checked b</w:t>
      </w:r>
      <w:r w:rsidRPr="00045193">
        <w:t xml:space="preserve">efore undertaking the procedures </w:t>
      </w:r>
      <w:r>
        <w:t>in other sections</w:t>
      </w:r>
      <w:r w:rsidRPr="00045193">
        <w:t xml:space="preserve">, as licences </w:t>
      </w:r>
      <w:r>
        <w:t>might be unable to be</w:t>
      </w:r>
      <w:r w:rsidRPr="00045193">
        <w:t xml:space="preserve"> issued </w:t>
      </w:r>
      <w:r>
        <w:t>if these requirements are not met.</w:t>
      </w:r>
    </w:p>
    <w:p w14:paraId="5E5F3D4C" w14:textId="1BE327DD" w:rsidR="00872DFF" w:rsidRDefault="00872DFF" w:rsidP="00A7063A">
      <w:pPr>
        <w:pStyle w:val="Heading2"/>
      </w:pPr>
      <w:bookmarkStart w:id="20" w:name="_Toc483400677"/>
      <w:bookmarkStart w:id="21" w:name="_Toc490122658"/>
      <w:bookmarkStart w:id="22" w:name="_Toc14956805"/>
      <w:bookmarkStart w:id="23" w:name="_Toc392147074"/>
      <w:bookmarkStart w:id="24" w:name="_Toc478115628"/>
      <w:bookmarkStart w:id="25" w:name="_Toc478115878"/>
      <w:bookmarkStart w:id="26" w:name="_Toc153797979"/>
      <w:r>
        <w:t>Australian space regulations</w:t>
      </w:r>
      <w:bookmarkEnd w:id="20"/>
      <w:bookmarkEnd w:id="21"/>
      <w:bookmarkEnd w:id="22"/>
      <w:bookmarkEnd w:id="26"/>
    </w:p>
    <w:p w14:paraId="06BF78F6" w14:textId="6EE6FD1F" w:rsidR="00872DFF" w:rsidRDefault="00872DFF" w:rsidP="00872DFF">
      <w:pPr>
        <w:spacing w:after="80"/>
      </w:pPr>
      <w:r>
        <w:rPr>
          <w:rFonts w:cs="Arial"/>
          <w:lang w:val="en"/>
        </w:rPr>
        <w:t>In</w:t>
      </w:r>
      <w:r w:rsidRPr="00045193">
        <w:t xml:space="preserve"> order to issue a </w:t>
      </w:r>
      <w:r w:rsidRPr="00831E60">
        <w:rPr>
          <w:i/>
        </w:rPr>
        <w:t>space</w:t>
      </w:r>
      <w:r>
        <w:t xml:space="preserve"> or a </w:t>
      </w:r>
      <w:r w:rsidRPr="00831E60">
        <w:rPr>
          <w:i/>
        </w:rPr>
        <w:t>space receive</w:t>
      </w:r>
      <w:r>
        <w:t xml:space="preserve"> licence, the following requirements shall be met:</w:t>
      </w:r>
    </w:p>
    <w:p w14:paraId="7A901B81" w14:textId="5088E8AD" w:rsidR="00872DFF" w:rsidRPr="00F41BB6" w:rsidRDefault="00872DFF" w:rsidP="00866124">
      <w:pPr>
        <w:pStyle w:val="ListBullet"/>
        <w:numPr>
          <w:ilvl w:val="0"/>
          <w:numId w:val="22"/>
        </w:numPr>
      </w:pPr>
      <w:r>
        <w:t xml:space="preserve">the </w:t>
      </w:r>
      <w:r w:rsidRPr="00BF3C2C">
        <w:t xml:space="preserve">related </w:t>
      </w:r>
      <w:r>
        <w:t>space object</w:t>
      </w:r>
      <w:r w:rsidRPr="00BF3C2C">
        <w:t xml:space="preserve"> (</w:t>
      </w:r>
      <w:r>
        <w:t>that is the space station) must be</w:t>
      </w:r>
      <w:r w:rsidR="00505361">
        <w:t>:</w:t>
      </w:r>
    </w:p>
    <w:p w14:paraId="057C0F2A" w14:textId="78D10F54" w:rsidR="00872DFF" w:rsidRDefault="00872DFF" w:rsidP="00866124">
      <w:pPr>
        <w:pStyle w:val="ListBullet2"/>
        <w:numPr>
          <w:ilvl w:val="0"/>
          <w:numId w:val="22"/>
        </w:numPr>
        <w:ind w:left="709"/>
      </w:pPr>
      <w:r>
        <w:t xml:space="preserve">an Australian space object listed in the </w:t>
      </w:r>
      <w:hyperlink r:id="rId43" w:history="1">
        <w:r w:rsidRPr="00045193">
          <w:rPr>
            <w:rStyle w:val="Hyperlink"/>
          </w:rPr>
          <w:t>Radiocommunications (Australian Space Objects) Determination 2014</w:t>
        </w:r>
      </w:hyperlink>
      <w:r>
        <w:t xml:space="preserve"> </w:t>
      </w:r>
    </w:p>
    <w:p w14:paraId="035E75EF" w14:textId="0745FBC9" w:rsidR="00872DFF" w:rsidRDefault="00872DFF" w:rsidP="00866124">
      <w:pPr>
        <w:pStyle w:val="ListBullet2"/>
        <w:numPr>
          <w:ilvl w:val="0"/>
          <w:numId w:val="22"/>
        </w:numPr>
        <w:ind w:left="709"/>
      </w:pPr>
      <w:r>
        <w:t xml:space="preserve">a space object that is </w:t>
      </w:r>
      <w:r w:rsidRPr="00BF3C2C">
        <w:t>owned</w:t>
      </w:r>
      <w:r>
        <w:t xml:space="preserve">, </w:t>
      </w:r>
      <w:r w:rsidRPr="00BF3C2C">
        <w:t xml:space="preserve">controlled </w:t>
      </w:r>
      <w:r>
        <w:t xml:space="preserve">or </w:t>
      </w:r>
      <w:r w:rsidRPr="00BF3C2C">
        <w:t>operated</w:t>
      </w:r>
      <w:r>
        <w:t xml:space="preserve"> </w:t>
      </w:r>
      <w:r w:rsidRPr="00BF3C2C">
        <w:t xml:space="preserve">by </w:t>
      </w:r>
      <w:r>
        <w:t xml:space="preserve">a company/entity </w:t>
      </w:r>
      <w:r w:rsidRPr="00BF3C2C">
        <w:t xml:space="preserve">listed in </w:t>
      </w:r>
      <w:r w:rsidRPr="00045193">
        <w:t xml:space="preserve">the </w:t>
      </w:r>
      <w:hyperlink r:id="rId44" w:history="1">
        <w:r w:rsidRPr="00045193">
          <w:rPr>
            <w:rStyle w:val="Hyperlink"/>
          </w:rPr>
          <w:t>Radiocommunications (Foreign Space Objects) Determination 2014</w:t>
        </w:r>
      </w:hyperlink>
    </w:p>
    <w:p w14:paraId="59DF03BA" w14:textId="3E54D7C3" w:rsidR="00872DFF" w:rsidRDefault="00872DFF" w:rsidP="00866124">
      <w:pPr>
        <w:pStyle w:val="ListBullet"/>
        <w:numPr>
          <w:ilvl w:val="0"/>
          <w:numId w:val="22"/>
        </w:numPr>
      </w:pPr>
      <w:r>
        <w:t xml:space="preserve">the </w:t>
      </w:r>
      <w:r w:rsidRPr="0045162A">
        <w:t>frequency range of operation</w:t>
      </w:r>
      <w:r>
        <w:t xml:space="preserve"> </w:t>
      </w:r>
      <w:r w:rsidRPr="0045162A">
        <w:t xml:space="preserve">must be listed in </w:t>
      </w:r>
      <w:r>
        <w:t>the</w:t>
      </w:r>
      <w:r w:rsidR="00FF4143">
        <w:t xml:space="preserve"> CSO </w:t>
      </w:r>
      <w:r w:rsidRPr="0025773D">
        <w:rPr>
          <w:rFonts w:cs="Arial"/>
        </w:rPr>
        <w:t>Class Licence</w:t>
      </w:r>
      <w:r>
        <w:t xml:space="preserve"> which authorises the operation of the associated earth stations</w:t>
      </w:r>
    </w:p>
    <w:p w14:paraId="5B9ECF5C" w14:textId="77777777" w:rsidR="00872DFF" w:rsidRDefault="00872DFF" w:rsidP="00866124">
      <w:pPr>
        <w:pStyle w:val="ListBulletLast"/>
        <w:numPr>
          <w:ilvl w:val="0"/>
          <w:numId w:val="22"/>
        </w:numPr>
      </w:pPr>
      <w:r>
        <w:t>the service provided by the space station in the subject frequency range must be consistent with the Spectrum Plan.</w:t>
      </w:r>
      <w:r>
        <w:rPr>
          <w:rStyle w:val="FootnoteReference"/>
        </w:rPr>
        <w:footnoteReference w:id="3"/>
      </w:r>
    </w:p>
    <w:p w14:paraId="7685DFA0" w14:textId="2D3A1D7D" w:rsidR="00872DFF" w:rsidRPr="00C55421" w:rsidRDefault="00872DFF" w:rsidP="00872DFF">
      <w:r>
        <w:t>These requirements need be met b</w:t>
      </w:r>
      <w:r w:rsidRPr="00045193">
        <w:t>efore undertaking the</w:t>
      </w:r>
      <w:r>
        <w:t xml:space="preserve"> other procedures that follow</w:t>
      </w:r>
      <w:r w:rsidRPr="00045193">
        <w:t xml:space="preserve">, </w:t>
      </w:r>
      <w:r>
        <w:t xml:space="preserve">otherwise </w:t>
      </w:r>
      <w:r w:rsidRPr="00045193">
        <w:t xml:space="preserve">licences </w:t>
      </w:r>
      <w:r>
        <w:t xml:space="preserve">are unlikely to </w:t>
      </w:r>
      <w:r w:rsidRPr="00045193">
        <w:t>be issued</w:t>
      </w:r>
      <w:r>
        <w:t>.</w:t>
      </w:r>
    </w:p>
    <w:p w14:paraId="08E0E9DA" w14:textId="77777777" w:rsidR="00872DFF" w:rsidRDefault="00872DFF" w:rsidP="00A7063A">
      <w:pPr>
        <w:pStyle w:val="Heading2"/>
      </w:pPr>
      <w:bookmarkStart w:id="27" w:name="_Toc490122659"/>
      <w:bookmarkStart w:id="28" w:name="_Toc14956806"/>
      <w:bookmarkStart w:id="29" w:name="_Toc483400678"/>
      <w:bookmarkStart w:id="30" w:name="_Toc153797980"/>
      <w:r w:rsidRPr="00F04448">
        <w:t>Determining</w:t>
      </w:r>
      <w:r>
        <w:t xml:space="preserve"> </w:t>
      </w:r>
      <w:r w:rsidRPr="00A7063A">
        <w:t>the</w:t>
      </w:r>
      <w:r>
        <w:t xml:space="preserve"> ITU</w:t>
      </w:r>
      <w:r w:rsidRPr="00615474">
        <w:t xml:space="preserve"> regulatory status</w:t>
      </w:r>
      <w:bookmarkEnd w:id="27"/>
      <w:bookmarkEnd w:id="28"/>
      <w:bookmarkEnd w:id="30"/>
      <w:r w:rsidRPr="00615474">
        <w:t xml:space="preserve"> </w:t>
      </w:r>
      <w:bookmarkEnd w:id="23"/>
      <w:bookmarkEnd w:id="24"/>
      <w:bookmarkEnd w:id="25"/>
      <w:bookmarkEnd w:id="29"/>
    </w:p>
    <w:p w14:paraId="0FADCC21" w14:textId="0806D938" w:rsidR="00872DFF" w:rsidRDefault="00872DFF" w:rsidP="00872DFF">
      <w:r>
        <w:t>It is necessary to ascertain the ITU</w:t>
      </w:r>
      <w:r w:rsidRPr="00615474">
        <w:t xml:space="preserve"> regulatory status of the satellite network that the proposed </w:t>
      </w:r>
      <w:r>
        <w:t>space</w:t>
      </w:r>
      <w:r w:rsidRPr="00615474">
        <w:t xml:space="preserve"> station</w:t>
      </w:r>
      <w:r>
        <w:t xml:space="preserve"> is part of.</w:t>
      </w:r>
    </w:p>
    <w:p w14:paraId="6261808A" w14:textId="71503A9D" w:rsidR="00872DFF" w:rsidRPr="00DD4280" w:rsidRDefault="00872DFF" w:rsidP="00872DFF">
      <w:r>
        <w:t xml:space="preserve">Information about the ITU </w:t>
      </w:r>
      <w:r w:rsidRPr="00DD4280">
        <w:t xml:space="preserve">regulatory status of a satellite </w:t>
      </w:r>
      <w:r>
        <w:t>network</w:t>
      </w:r>
      <w:r w:rsidRPr="00DD4280">
        <w:t xml:space="preserve"> </w:t>
      </w:r>
      <w:r>
        <w:t>can be found</w:t>
      </w:r>
      <w:r w:rsidRPr="00DD4280">
        <w:t xml:space="preserve"> by checking the ITU’s Master International Frequency Register (MIFR).</w:t>
      </w:r>
      <w:r>
        <w:t xml:space="preserve"> </w:t>
      </w:r>
      <w:r w:rsidR="00592F0B">
        <w:t>Knowledge of a</w:t>
      </w:r>
      <w:r w:rsidR="00343C52" w:rsidRPr="00343C52">
        <w:t xml:space="preserve"> network</w:t>
      </w:r>
      <w:r w:rsidR="00592F0B">
        <w:t>’</w:t>
      </w:r>
      <w:r w:rsidR="00343C52" w:rsidRPr="00343C52">
        <w:t>s progress</w:t>
      </w:r>
      <w:r w:rsidR="00592F0B">
        <w:t xml:space="preserve"> with the </w:t>
      </w:r>
      <w:r w:rsidR="00343C52" w:rsidRPr="00343C52">
        <w:t xml:space="preserve">ITU coordination process will be used to inform the ACMA’s decision-making. </w:t>
      </w:r>
      <w:r>
        <w:t xml:space="preserve">The results of these checks are used in part to determine </w:t>
      </w:r>
      <w:r w:rsidRPr="00615474">
        <w:t>appropriate special condition(s) and/or advisory note(s) to be applied to the licence</w:t>
      </w:r>
      <w:r>
        <w:t>.</w:t>
      </w:r>
    </w:p>
    <w:p w14:paraId="518D0F77" w14:textId="77777777" w:rsidR="00872DFF" w:rsidRPr="00615474" w:rsidRDefault="00872DFF" w:rsidP="00122FB0">
      <w:pPr>
        <w:pStyle w:val="Heading3"/>
      </w:pPr>
      <w:bookmarkStart w:id="31" w:name="_Toc482603581"/>
      <w:bookmarkStart w:id="32" w:name="_Toc483400679"/>
      <w:bookmarkStart w:id="33" w:name="_Toc490122660"/>
      <w:bookmarkStart w:id="34" w:name="_Toc14956807"/>
      <w:bookmarkStart w:id="35" w:name="_Toc153797981"/>
      <w:r>
        <w:t>Recorded in the MIFR with favourable finding</w:t>
      </w:r>
      <w:bookmarkEnd w:id="31"/>
      <w:bookmarkEnd w:id="32"/>
      <w:bookmarkEnd w:id="33"/>
      <w:bookmarkEnd w:id="34"/>
      <w:bookmarkEnd w:id="35"/>
      <w:r>
        <w:t xml:space="preserve"> </w:t>
      </w:r>
    </w:p>
    <w:p w14:paraId="5FBB0171" w14:textId="2EBAD5A2" w:rsidR="00872DFF" w:rsidRDefault="00872DFF" w:rsidP="00872DFF">
      <w:r w:rsidRPr="00615474">
        <w:t xml:space="preserve">If a satellite </w:t>
      </w:r>
      <w:r>
        <w:t xml:space="preserve">network </w:t>
      </w:r>
      <w:r w:rsidRPr="00615474">
        <w:t>is recorded in the ITU’s MIFR with a favourable finding</w:t>
      </w:r>
      <w:r w:rsidR="00F20C11">
        <w:t>,</w:t>
      </w:r>
      <w:r w:rsidR="00A91199">
        <w:rPr>
          <w:rStyle w:val="FootnoteReference"/>
        </w:rPr>
        <w:footnoteReference w:id="4"/>
      </w:r>
      <w:r w:rsidRPr="00615474">
        <w:t xml:space="preserve"> then</w:t>
      </w:r>
      <w:r w:rsidR="00221164">
        <w:t xml:space="preserve"> it is more likely that</w:t>
      </w:r>
      <w:r w:rsidRPr="00615474">
        <w:t xml:space="preserve"> the</w:t>
      </w:r>
      <w:r>
        <w:t xml:space="preserve"> risk of interference </w:t>
      </w:r>
      <w:r w:rsidR="00221164">
        <w:t>in Australia from the proposed service to existing licensed services is lower than for networks yet to be recorded in the ITU’s MIFR</w:t>
      </w:r>
      <w:r>
        <w:t>. S</w:t>
      </w:r>
      <w:r w:rsidRPr="00615474">
        <w:t xml:space="preserve">pecial conditions and advisory notes that are specific to the situation </w:t>
      </w:r>
      <w:r>
        <w:t xml:space="preserve">must </w:t>
      </w:r>
      <w:r w:rsidRPr="00615474">
        <w:t xml:space="preserve">be applied to the apparatus licence (refer to </w:t>
      </w:r>
      <w:r w:rsidR="00505361">
        <w:t>S</w:t>
      </w:r>
      <w:r>
        <w:t xml:space="preserve">ection </w:t>
      </w:r>
      <w:r>
        <w:fldChar w:fldCharType="begin"/>
      </w:r>
      <w:r>
        <w:instrText xml:space="preserve"> REF _Ref488394499 \r \h </w:instrText>
      </w:r>
      <w:r>
        <w:fldChar w:fldCharType="separate"/>
      </w:r>
      <w:r w:rsidR="0082411F">
        <w:t>6</w:t>
      </w:r>
      <w:r>
        <w:fldChar w:fldCharType="end"/>
      </w:r>
      <w:r w:rsidRPr="00615474">
        <w:t>)</w:t>
      </w:r>
      <w:r>
        <w:t>.</w:t>
      </w:r>
    </w:p>
    <w:p w14:paraId="73383F9B" w14:textId="77777777" w:rsidR="00343C52" w:rsidRPr="009A7CBD" w:rsidRDefault="00343C52" w:rsidP="00220C30">
      <w:pPr>
        <w:pStyle w:val="Heading3"/>
      </w:pPr>
      <w:bookmarkStart w:id="36" w:name="_Toc153797982"/>
      <w:r w:rsidRPr="006E2EDC">
        <w:t xml:space="preserve">Recorded in the </w:t>
      </w:r>
      <w:r>
        <w:t>MIFR</w:t>
      </w:r>
      <w:r w:rsidRPr="006E2EDC">
        <w:t xml:space="preserve"> and </w:t>
      </w:r>
      <w:r w:rsidRPr="00BF3C5E">
        <w:t>11</w:t>
      </w:r>
      <w:r w:rsidRPr="006E2EDC">
        <w:t>.41</w:t>
      </w:r>
      <w:bookmarkEnd w:id="36"/>
    </w:p>
    <w:p w14:paraId="4FED0276" w14:textId="744CBC04" w:rsidR="00343C52" w:rsidRDefault="00343C52" w:rsidP="00343C52">
      <w:r>
        <w:t>I</w:t>
      </w:r>
      <w:r w:rsidRPr="007C7B85">
        <w:t xml:space="preserve">f </w:t>
      </w:r>
      <w:r>
        <w:t>a</w:t>
      </w:r>
      <w:r w:rsidRPr="007C7B85">
        <w:t xml:space="preserve"> </w:t>
      </w:r>
      <w:r>
        <w:t xml:space="preserve">satellite system is recorded under ITU RR No. </w:t>
      </w:r>
      <w:r w:rsidRPr="00607A02">
        <w:rPr>
          <w:b/>
        </w:rPr>
        <w:t>11.41</w:t>
      </w:r>
      <w:r w:rsidRPr="007C7B85">
        <w:t xml:space="preserve"> in the MIFR </w:t>
      </w:r>
      <w:r>
        <w:t>with an un</w:t>
      </w:r>
      <w:r w:rsidRPr="007C7B85">
        <w:t xml:space="preserve">favourable finding </w:t>
      </w:r>
      <w:r>
        <w:t xml:space="preserve">against a licensed </w:t>
      </w:r>
      <w:r w:rsidRPr="007C7B85">
        <w:t>satellite network operating in Australia,</w:t>
      </w:r>
      <w:r w:rsidRPr="003703DF">
        <w:t xml:space="preserve"> </w:t>
      </w:r>
      <w:r w:rsidRPr="007C7B85">
        <w:t>the ACMA will require additional information that explains why the risk of interference should be consider</w:t>
      </w:r>
      <w:r>
        <w:t>ed</w:t>
      </w:r>
      <w:r w:rsidRPr="007C7B85">
        <w:t xml:space="preserve"> low</w:t>
      </w:r>
      <w:r>
        <w:t>,</w:t>
      </w:r>
      <w:r w:rsidRPr="003703DF">
        <w:t xml:space="preserve"> as well as </w:t>
      </w:r>
      <w:r w:rsidRPr="007C7B85">
        <w:t xml:space="preserve">a </w:t>
      </w:r>
      <w:r w:rsidR="00592F0B">
        <w:t>letter of assurance (</w:t>
      </w:r>
      <w:r w:rsidRPr="007C7B85">
        <w:t>LOA</w:t>
      </w:r>
      <w:r w:rsidR="00592F0B">
        <w:t>)</w:t>
      </w:r>
      <w:r w:rsidRPr="007C7B85">
        <w:t>.</w:t>
      </w:r>
      <w:r>
        <w:t xml:space="preserve"> </w:t>
      </w:r>
    </w:p>
    <w:p w14:paraId="48C594E6" w14:textId="5B76C76B" w:rsidR="000F3612" w:rsidRPr="000F3612" w:rsidRDefault="00343C52" w:rsidP="006616BE">
      <w:r>
        <w:t>In the case where an unfavourable finding</w:t>
      </w:r>
      <w:r w:rsidRPr="006E2EDC">
        <w:t xml:space="preserve"> </w:t>
      </w:r>
      <w:r>
        <w:t>is against an Australian-filed satellite that is not licensed in Australia, only a LOA is required.</w:t>
      </w:r>
    </w:p>
    <w:p w14:paraId="24333FBE" w14:textId="1708AB98" w:rsidR="00872DFF" w:rsidRPr="00615474" w:rsidRDefault="00872DFF" w:rsidP="00122FB0">
      <w:pPr>
        <w:pStyle w:val="Heading3"/>
      </w:pPr>
      <w:bookmarkStart w:id="37" w:name="_Toc485201796"/>
      <w:bookmarkStart w:id="38" w:name="_Toc490122661"/>
      <w:bookmarkStart w:id="39" w:name="_Toc14956808"/>
      <w:bookmarkStart w:id="40" w:name="_Toc482603583"/>
      <w:bookmarkStart w:id="41" w:name="_Toc483400681"/>
      <w:bookmarkStart w:id="42" w:name="_Toc153797983"/>
      <w:r>
        <w:t xml:space="preserve">Not recorded </w:t>
      </w:r>
      <w:r w:rsidRPr="00122FB0">
        <w:t>in</w:t>
      </w:r>
      <w:r>
        <w:t xml:space="preserve"> the MIFR</w:t>
      </w:r>
      <w:bookmarkEnd w:id="37"/>
      <w:bookmarkEnd w:id="38"/>
      <w:bookmarkEnd w:id="39"/>
      <w:bookmarkEnd w:id="42"/>
    </w:p>
    <w:p w14:paraId="5AF7552B" w14:textId="1A5E01DF" w:rsidR="00872DFF" w:rsidRDefault="00872DFF" w:rsidP="00872DFF">
      <w:r w:rsidRPr="00615474">
        <w:t xml:space="preserve">In the case where a satellite </w:t>
      </w:r>
      <w:r>
        <w:t>network</w:t>
      </w:r>
      <w:r w:rsidRPr="00615474">
        <w:t xml:space="preserve"> is not yet recorded in the MIFR but is progressing throug</w:t>
      </w:r>
      <w:r>
        <w:t xml:space="preserve">h the ITU coordination process, </w:t>
      </w:r>
      <w:r w:rsidRPr="00615474">
        <w:t>the ACMA may seek information</w:t>
      </w:r>
      <w:r>
        <w:t xml:space="preserve"> </w:t>
      </w:r>
      <w:r w:rsidR="00505361">
        <w:rPr>
          <w:rFonts w:cs="Arial"/>
        </w:rPr>
        <w:t>using</w:t>
      </w:r>
      <w:r w:rsidRPr="00AF2C0C">
        <w:rPr>
          <w:rFonts w:cs="Arial"/>
        </w:rPr>
        <w:t xml:space="preserve"> a LOA </w:t>
      </w:r>
      <w:r w:rsidRPr="00615474">
        <w:t xml:space="preserve">about its ITU coordination status from the satellite </w:t>
      </w:r>
      <w:r>
        <w:t>operator</w:t>
      </w:r>
      <w:r w:rsidRPr="00615474">
        <w:t xml:space="preserve"> </w:t>
      </w:r>
      <w:r>
        <w:t xml:space="preserve">(via the applicant or </w:t>
      </w:r>
      <w:r w:rsidR="00037D9A">
        <w:t>AP</w:t>
      </w:r>
      <w:r>
        <w:t xml:space="preserve">) </w:t>
      </w:r>
      <w:r w:rsidRPr="00615474">
        <w:t xml:space="preserve">to ascertain whether or not the proposed </w:t>
      </w:r>
      <w:r>
        <w:t>satellite network</w:t>
      </w:r>
      <w:r w:rsidRPr="00615474">
        <w:t xml:space="preserve"> is like</w:t>
      </w:r>
      <w:r w:rsidR="00A4272F">
        <w:t>ly to be recorded in the MIFR.</w:t>
      </w:r>
    </w:p>
    <w:p w14:paraId="3F973824" w14:textId="237A8A7A" w:rsidR="00872DFF" w:rsidRPr="00122FB0" w:rsidRDefault="00872DFF" w:rsidP="00872DFF">
      <w:pPr>
        <w:rPr>
          <w:rFonts w:cs="Arial"/>
        </w:rPr>
      </w:pPr>
      <w:r>
        <w:rPr>
          <w:rFonts w:cs="Arial"/>
        </w:rPr>
        <w:t xml:space="preserve">The LOA is where </w:t>
      </w:r>
      <w:r w:rsidRPr="00AF2C0C">
        <w:rPr>
          <w:rFonts w:cs="Arial"/>
        </w:rPr>
        <w:t xml:space="preserve">the </w:t>
      </w:r>
      <w:r>
        <w:rPr>
          <w:rFonts w:cs="Arial"/>
        </w:rPr>
        <w:t xml:space="preserve">satellite operator </w:t>
      </w:r>
      <w:r w:rsidRPr="00AF2C0C">
        <w:rPr>
          <w:rFonts w:cs="Arial"/>
        </w:rPr>
        <w:t>advises the ACMA of any ITU publi</w:t>
      </w:r>
      <w:r w:rsidR="00D35053">
        <w:rPr>
          <w:rFonts w:cs="Arial"/>
        </w:rPr>
        <w:t>shed</w:t>
      </w:r>
      <w:r w:rsidRPr="00AF2C0C">
        <w:rPr>
          <w:rFonts w:cs="Arial"/>
        </w:rPr>
        <w:t xml:space="preserve"> references, including coordination request</w:t>
      </w:r>
      <w:r w:rsidR="009B0A8C">
        <w:rPr>
          <w:rFonts w:cs="Arial"/>
        </w:rPr>
        <w:t>s</w:t>
      </w:r>
      <w:r w:rsidRPr="00AF2C0C">
        <w:rPr>
          <w:rFonts w:cs="Arial"/>
        </w:rPr>
        <w:t xml:space="preserve"> and/or notification notices</w:t>
      </w:r>
      <w:r w:rsidR="00505361">
        <w:rPr>
          <w:rFonts w:cs="Arial"/>
        </w:rPr>
        <w:t>,</w:t>
      </w:r>
      <w:r w:rsidRPr="00AF2C0C">
        <w:rPr>
          <w:rFonts w:cs="Arial"/>
        </w:rPr>
        <w:t xml:space="preserve"> and particulars of any unresolved coordination issues. The LOA will also include a statement to the effect that measures will be taken to ensure that the operation of the satellite network in Australia will not cause interference to other satellite networks/systems operating in accordance with the ITU Radio Regulations. Details on the measures to be undertaken to not cause interference </w:t>
      </w:r>
      <w:r>
        <w:rPr>
          <w:rFonts w:cs="Arial"/>
        </w:rPr>
        <w:t>should</w:t>
      </w:r>
      <w:r w:rsidRPr="00AF2C0C">
        <w:rPr>
          <w:rFonts w:cs="Arial"/>
        </w:rPr>
        <w:t xml:space="preserve"> be included in the LOA</w:t>
      </w:r>
      <w:r w:rsidRPr="0090551C">
        <w:rPr>
          <w:rFonts w:cs="Arial"/>
        </w:rPr>
        <w:t xml:space="preserve">. The format of the </w:t>
      </w:r>
      <w:r>
        <w:rPr>
          <w:rFonts w:cs="Arial"/>
        </w:rPr>
        <w:t>LOA</w:t>
      </w:r>
      <w:r w:rsidRPr="0090551C">
        <w:rPr>
          <w:rFonts w:cs="Arial"/>
        </w:rPr>
        <w:t xml:space="preserve"> is at Appendix </w:t>
      </w:r>
      <w:r w:rsidRPr="0094165E">
        <w:rPr>
          <w:rFonts w:cs="Arial"/>
        </w:rPr>
        <w:t>D</w:t>
      </w:r>
      <w:r>
        <w:rPr>
          <w:rFonts w:cs="Arial"/>
        </w:rPr>
        <w:t>.</w:t>
      </w:r>
    </w:p>
    <w:p w14:paraId="0205F0CE" w14:textId="6491B7C6" w:rsidR="00872DFF" w:rsidRDefault="00872DFF" w:rsidP="00872DFF">
      <w:r w:rsidRPr="00615474">
        <w:t>Where the ACMA is assured of a likely successful outcome, the ACMA will progress the</w:t>
      </w:r>
      <w:r>
        <w:t xml:space="preserve"> space</w:t>
      </w:r>
      <w:r w:rsidRPr="00615474">
        <w:t xml:space="preserve"> station licence application. However</w:t>
      </w:r>
      <w:r>
        <w:t>,</w:t>
      </w:r>
      <w:r w:rsidRPr="00615474">
        <w:t xml:space="preserve"> special conditions and advisory notes that are specific to the situation will be applied to the apparatus licence (</w:t>
      </w:r>
      <w:r>
        <w:t xml:space="preserve">refer to </w:t>
      </w:r>
      <w:r w:rsidR="00505361">
        <w:t>S</w:t>
      </w:r>
      <w:r>
        <w:t xml:space="preserve">ection </w:t>
      </w:r>
      <w:r>
        <w:fldChar w:fldCharType="begin"/>
      </w:r>
      <w:r>
        <w:instrText xml:space="preserve"> REF _Ref488394547 \r \h </w:instrText>
      </w:r>
      <w:r>
        <w:fldChar w:fldCharType="separate"/>
      </w:r>
      <w:r w:rsidR="0082411F">
        <w:t>6</w:t>
      </w:r>
      <w:r>
        <w:fldChar w:fldCharType="end"/>
      </w:r>
      <w:r w:rsidRPr="00615474">
        <w:t>).</w:t>
      </w:r>
    </w:p>
    <w:p w14:paraId="325C7B7D" w14:textId="04B19228" w:rsidR="00343C52" w:rsidRDefault="00343C52" w:rsidP="00872DFF">
      <w:r w:rsidRPr="00031F9D">
        <w:t xml:space="preserve">If information on a satellite system is yet to be published or processed by the ITU, the ACMA is unlikely to issue a licence, given the </w:t>
      </w:r>
      <w:r w:rsidR="00383BCB">
        <w:t xml:space="preserve">unknown scope of, or </w:t>
      </w:r>
      <w:r w:rsidRPr="00031F9D">
        <w:t xml:space="preserve">additional risk </w:t>
      </w:r>
      <w:r>
        <w:t>of interference.</w:t>
      </w:r>
    </w:p>
    <w:p w14:paraId="38F3AF95" w14:textId="77777777" w:rsidR="00872DFF" w:rsidRPr="00B8407E" w:rsidRDefault="00872DFF" w:rsidP="00122FB0">
      <w:pPr>
        <w:pStyle w:val="Heading2"/>
      </w:pPr>
      <w:bookmarkStart w:id="43" w:name="_Toc483400682"/>
      <w:bookmarkStart w:id="44" w:name="_Toc490122662"/>
      <w:bookmarkStart w:id="45" w:name="_Toc14956809"/>
      <w:bookmarkStart w:id="46" w:name="_Toc153797984"/>
      <w:bookmarkEnd w:id="40"/>
      <w:bookmarkEnd w:id="41"/>
      <w:r w:rsidRPr="00122FB0">
        <w:t>Checking</w:t>
      </w:r>
      <w:r w:rsidRPr="00B8407E">
        <w:t xml:space="preserve"> consistency with ITU registration details of the satellite </w:t>
      </w:r>
      <w:r>
        <w:t>network</w:t>
      </w:r>
      <w:r w:rsidRPr="00B8407E">
        <w:t xml:space="preserve"> and proposed use</w:t>
      </w:r>
      <w:bookmarkEnd w:id="43"/>
      <w:bookmarkEnd w:id="44"/>
      <w:bookmarkEnd w:id="45"/>
      <w:bookmarkEnd w:id="46"/>
    </w:p>
    <w:p w14:paraId="5C99DC06" w14:textId="2F1F2238" w:rsidR="00872DFF" w:rsidRDefault="00872DFF" w:rsidP="00872DFF">
      <w:r>
        <w:t>Upon determination of the ITU regulatory status of the satellite network, the ACMA needs to further check whether the</w:t>
      </w:r>
      <w:r w:rsidRPr="00C048AE">
        <w:t xml:space="preserve"> </w:t>
      </w:r>
      <w:r>
        <w:t>ITU registration details of the satellite network are consistent with the characteristics of the proposed satellite</w:t>
      </w:r>
      <w:r w:rsidR="004723F7">
        <w:t>-</w:t>
      </w:r>
      <w:r>
        <w:t>based radiocommunications service</w:t>
      </w:r>
      <w:r w:rsidR="00505361">
        <w:t>,</w:t>
      </w:r>
      <w:r>
        <w:t xml:space="preserve"> as specified in the licence application</w:t>
      </w:r>
      <w:r w:rsidR="00505361">
        <w:t>,</w:t>
      </w:r>
      <w:r>
        <w:t xml:space="preserve"> and that the service is consistent with the Spectrum Plan</w:t>
      </w:r>
      <w:r w:rsidR="00A4272F">
        <w:t>.</w:t>
      </w:r>
    </w:p>
    <w:p w14:paraId="159AACEC" w14:textId="0B5D48CE" w:rsidR="00872DFF" w:rsidRDefault="00872DFF" w:rsidP="00122FB0">
      <w:pPr>
        <w:spacing w:after="80"/>
      </w:pPr>
      <w:r>
        <w:t xml:space="preserve">Checking consistency of ITU registration details with the proposed service and the Spectrum Plan may include </w:t>
      </w:r>
      <w:r w:rsidR="00505361">
        <w:t xml:space="preserve">(but is not limited to) </w:t>
      </w:r>
      <w:r>
        <w:t>the following factors:</w:t>
      </w:r>
    </w:p>
    <w:p w14:paraId="69E88BEF" w14:textId="77777777" w:rsidR="00872DFF" w:rsidRDefault="00872DFF" w:rsidP="00866124">
      <w:pPr>
        <w:pStyle w:val="ListBullet"/>
        <w:numPr>
          <w:ilvl w:val="0"/>
          <w:numId w:val="23"/>
        </w:numPr>
      </w:pPr>
      <w:r>
        <w:t>the frequency ranges:</w:t>
      </w:r>
    </w:p>
    <w:p w14:paraId="194D447E" w14:textId="74601C56" w:rsidR="00872DFF" w:rsidRDefault="00505361" w:rsidP="00866124">
      <w:pPr>
        <w:pStyle w:val="ListBullet"/>
        <w:numPr>
          <w:ilvl w:val="0"/>
          <w:numId w:val="23"/>
        </w:numPr>
        <w:ind w:left="709"/>
      </w:pPr>
      <w:r>
        <w:t>t</w:t>
      </w:r>
      <w:r w:rsidR="00872DFF">
        <w:t xml:space="preserve">he frequency ranges of the associated space station must be covered by the frequency ranges of the satellite network </w:t>
      </w:r>
    </w:p>
    <w:p w14:paraId="44494222" w14:textId="7B71557D" w:rsidR="00872DFF" w:rsidRDefault="00872DFF" w:rsidP="00866124">
      <w:pPr>
        <w:pStyle w:val="ListBullet"/>
        <w:numPr>
          <w:ilvl w:val="0"/>
          <w:numId w:val="23"/>
        </w:numPr>
      </w:pPr>
      <w:r>
        <w:t>the class of station</w:t>
      </w:r>
      <w:r w:rsidR="00F15746">
        <w:rPr>
          <w:rStyle w:val="FootnoteReference"/>
        </w:rPr>
        <w:footnoteReference w:id="5"/>
      </w:r>
      <w:r>
        <w:t>:</w:t>
      </w:r>
    </w:p>
    <w:p w14:paraId="497ADA35" w14:textId="7F880621" w:rsidR="00872DFF" w:rsidRDefault="00505361" w:rsidP="00866124">
      <w:pPr>
        <w:pStyle w:val="ListBullet"/>
        <w:numPr>
          <w:ilvl w:val="0"/>
          <w:numId w:val="23"/>
        </w:numPr>
        <w:ind w:left="709"/>
      </w:pPr>
      <w:r>
        <w:t>t</w:t>
      </w:r>
      <w:r w:rsidR="00872DFF">
        <w:t>he service purpose/function of the space station must be consistent with the station class(es) of the satellite network</w:t>
      </w:r>
    </w:p>
    <w:p w14:paraId="09120484" w14:textId="77777777" w:rsidR="00872DFF" w:rsidRDefault="00872DFF" w:rsidP="00866124">
      <w:pPr>
        <w:pStyle w:val="ListBullet"/>
        <w:numPr>
          <w:ilvl w:val="0"/>
          <w:numId w:val="23"/>
        </w:numPr>
      </w:pPr>
      <w:r>
        <w:t>the service area:</w:t>
      </w:r>
    </w:p>
    <w:p w14:paraId="1343E697" w14:textId="20FC7DEE" w:rsidR="00872DFF" w:rsidRDefault="00505361" w:rsidP="00866124">
      <w:pPr>
        <w:pStyle w:val="ListBullet"/>
        <w:numPr>
          <w:ilvl w:val="0"/>
          <w:numId w:val="23"/>
        </w:numPr>
        <w:ind w:left="709"/>
      </w:pPr>
      <w:r>
        <w:t>t</w:t>
      </w:r>
      <w:r w:rsidR="00872DFF">
        <w:t>he proposed geographic area covered by the associated space station must be within the service area of the satellite network</w:t>
      </w:r>
    </w:p>
    <w:p w14:paraId="2EF1EFE5" w14:textId="77777777" w:rsidR="00872DFF" w:rsidRDefault="00872DFF" w:rsidP="00866124">
      <w:pPr>
        <w:pStyle w:val="ListBullet"/>
        <w:keepNext/>
        <w:numPr>
          <w:ilvl w:val="0"/>
          <w:numId w:val="23"/>
        </w:numPr>
      </w:pPr>
      <w:r>
        <w:t>the technical characteristics of the space station:</w:t>
      </w:r>
    </w:p>
    <w:p w14:paraId="440BE0D2" w14:textId="4BB31E2F" w:rsidR="00872DFF" w:rsidRDefault="00505361" w:rsidP="00866124">
      <w:pPr>
        <w:pStyle w:val="ListBullet"/>
        <w:keepNext/>
        <w:numPr>
          <w:ilvl w:val="0"/>
          <w:numId w:val="23"/>
        </w:numPr>
        <w:spacing w:after="0"/>
        <w:ind w:left="709"/>
      </w:pPr>
      <w:r>
        <w:t>t</w:t>
      </w:r>
      <w:r w:rsidR="00872DFF">
        <w:t>he technical characteristics of the space station must be within the envelope of the associated space station of the satellite network.</w:t>
      </w:r>
    </w:p>
    <w:p w14:paraId="3199CBF7" w14:textId="7623CD19" w:rsidR="004A4735" w:rsidRPr="00D07963" w:rsidRDefault="008E09E7" w:rsidP="00866124">
      <w:pPr>
        <w:pStyle w:val="ListBullet"/>
        <w:keepNext/>
        <w:numPr>
          <w:ilvl w:val="0"/>
          <w:numId w:val="23"/>
        </w:numPr>
        <w:spacing w:after="240"/>
      </w:pPr>
      <w:r w:rsidRPr="008E09E7">
        <w:t>power flux-density (</w:t>
      </w:r>
      <w:proofErr w:type="spellStart"/>
      <w:r w:rsidRPr="008E09E7">
        <w:t>pf</w:t>
      </w:r>
      <w:r>
        <w:t>d</w:t>
      </w:r>
      <w:proofErr w:type="spellEnd"/>
      <w:r>
        <w:t xml:space="preserve">) and </w:t>
      </w:r>
      <w:r w:rsidRPr="008E09E7">
        <w:t>equivalent power flux-density (</w:t>
      </w:r>
      <w:proofErr w:type="spellStart"/>
      <w:r w:rsidRPr="008E09E7">
        <w:t>epfd</w:t>
      </w:r>
      <w:proofErr w:type="spellEnd"/>
      <w:r w:rsidRPr="008E09E7">
        <w:t>)</w:t>
      </w:r>
      <w:r>
        <w:t xml:space="preserve"> requirements as applicable. For example,</w:t>
      </w:r>
      <w:r w:rsidR="004A4735">
        <w:t xml:space="preserve"> the ITU’s </w:t>
      </w:r>
      <w:proofErr w:type="spellStart"/>
      <w:r w:rsidR="009D2BA0">
        <w:t>epfd</w:t>
      </w:r>
      <w:proofErr w:type="spellEnd"/>
      <w:r w:rsidR="004A4735">
        <w:t xml:space="preserve"> </w:t>
      </w:r>
      <w:r>
        <w:t>examination</w:t>
      </w:r>
      <w:r w:rsidR="004A4735">
        <w:t xml:space="preserve"> results for NGSO satellite networks</w:t>
      </w:r>
      <w:r w:rsidR="004A4735" w:rsidRPr="009D2BA0">
        <w:rPr>
          <w:vertAlign w:val="superscript"/>
        </w:rPr>
        <w:footnoteReference w:id="6"/>
      </w:r>
      <w:r w:rsidR="004A4735">
        <w:t>.</w:t>
      </w:r>
    </w:p>
    <w:p w14:paraId="16BCC3F7" w14:textId="6FB0F598" w:rsidR="00872DFF" w:rsidRDefault="001D6653" w:rsidP="00122FB0">
      <w:pPr>
        <w:pStyle w:val="Heading2"/>
      </w:pPr>
      <w:bookmarkStart w:id="47" w:name="_Toc483400683"/>
      <w:bookmarkStart w:id="48" w:name="_Toc490122663"/>
      <w:bookmarkStart w:id="49" w:name="_Toc14956810"/>
      <w:bookmarkStart w:id="50" w:name="_Toc153797985"/>
      <w:r>
        <w:t>I</w:t>
      </w:r>
      <w:r w:rsidR="00872DFF" w:rsidRPr="00122FB0">
        <w:t>nformation</w:t>
      </w:r>
      <w:r w:rsidR="00872DFF">
        <w:t xml:space="preserve"> required for regulatory assessment</w:t>
      </w:r>
      <w:bookmarkEnd w:id="47"/>
      <w:bookmarkEnd w:id="48"/>
      <w:bookmarkEnd w:id="49"/>
      <w:bookmarkEnd w:id="50"/>
    </w:p>
    <w:p w14:paraId="109437C4" w14:textId="60A42BC8" w:rsidR="00872DFF" w:rsidRPr="005A311F" w:rsidRDefault="00EF64EC" w:rsidP="00872DFF">
      <w:r>
        <w:t>T</w:t>
      </w:r>
      <w:r w:rsidR="00872DFF" w:rsidRPr="005A311F">
        <w:t xml:space="preserve">o assess the </w:t>
      </w:r>
      <w:r w:rsidR="00872DFF" w:rsidRPr="004723F7">
        <w:t>proposed satellite</w:t>
      </w:r>
      <w:r w:rsidR="004723F7" w:rsidRPr="004117A4">
        <w:t>-</w:t>
      </w:r>
      <w:r w:rsidR="00872DFF" w:rsidRPr="004723F7">
        <w:t>based radiocommunications service</w:t>
      </w:r>
      <w:r w:rsidR="00872DFF" w:rsidRPr="005A311F">
        <w:t xml:space="preserve"> against the above requirements for the ITU regulatory status and ITU registration details of the </w:t>
      </w:r>
      <w:r w:rsidR="00E51A1E">
        <w:t>host</w:t>
      </w:r>
      <w:r w:rsidR="00E51A1E" w:rsidRPr="005A311F">
        <w:t xml:space="preserve"> </w:t>
      </w:r>
      <w:r w:rsidR="00872DFF" w:rsidRPr="005A311F">
        <w:t xml:space="preserve">satellite network, the licence applicant or </w:t>
      </w:r>
      <w:r w:rsidR="00037D9A">
        <w:t>AP</w:t>
      </w:r>
      <w:r w:rsidR="00872DFF" w:rsidRPr="005A311F">
        <w:t xml:space="preserve"> may submit completed </w:t>
      </w:r>
      <w:r w:rsidR="00872DFF" w:rsidRPr="005A311F">
        <w:rPr>
          <w:i/>
        </w:rPr>
        <w:t>space</w:t>
      </w:r>
      <w:r w:rsidR="00872DFF" w:rsidRPr="005A311F">
        <w:t xml:space="preserve"> and/or </w:t>
      </w:r>
      <w:r w:rsidR="00872DFF" w:rsidRPr="005A311F">
        <w:rPr>
          <w:i/>
        </w:rPr>
        <w:t>space receive</w:t>
      </w:r>
      <w:r w:rsidR="00872DFF" w:rsidRPr="005A311F">
        <w:t xml:space="preserve"> licence application form(s) (</w:t>
      </w:r>
      <w:r w:rsidR="00872DFF" w:rsidRPr="00CF660C">
        <w:t>depending on the type of licence being sought</w:t>
      </w:r>
      <w:r w:rsidR="00F53F40">
        <w:t xml:space="preserve"> – see</w:t>
      </w:r>
      <w:r w:rsidR="00CF660C">
        <w:t xml:space="preserve"> Section </w:t>
      </w:r>
      <w:r w:rsidR="00CF660C">
        <w:fldChar w:fldCharType="begin"/>
      </w:r>
      <w:r w:rsidR="00CF660C">
        <w:instrText xml:space="preserve"> REF _Ref501087814 \n \h </w:instrText>
      </w:r>
      <w:r w:rsidR="00CF660C">
        <w:fldChar w:fldCharType="separate"/>
      </w:r>
      <w:r w:rsidR="0082411F">
        <w:t>5</w:t>
      </w:r>
      <w:r w:rsidR="00CF660C">
        <w:fldChar w:fldCharType="end"/>
      </w:r>
      <w:r w:rsidR="00872DFF" w:rsidRPr="00CF660C">
        <w:rPr>
          <w:rStyle w:val="Hyperlink"/>
          <w:color w:val="auto"/>
          <w:u w:val="none"/>
        </w:rPr>
        <w:t>)</w:t>
      </w:r>
      <w:r w:rsidR="00872DFF" w:rsidRPr="005A311F">
        <w:rPr>
          <w:rStyle w:val="FootnoteReference"/>
        </w:rPr>
        <w:footnoteReference w:id="7"/>
      </w:r>
      <w:r w:rsidR="00872DFF" w:rsidRPr="005A311F">
        <w:t>, or alternatively</w:t>
      </w:r>
      <w:r w:rsidR="00505361">
        <w:t>,</w:t>
      </w:r>
      <w:r w:rsidR="00872DFF" w:rsidRPr="005A311F">
        <w:t xml:space="preserve"> provide the information as listed at Appendix C in a summary table format to </w:t>
      </w:r>
      <w:hyperlink r:id="rId45" w:history="1">
        <w:r w:rsidR="00872DFF" w:rsidRPr="005A311F">
          <w:rPr>
            <w:rStyle w:val="Hyperlink"/>
          </w:rPr>
          <w:t>satellite.coordination@acma.gov.au</w:t>
        </w:r>
      </w:hyperlink>
      <w:r w:rsidR="00872DFF" w:rsidRPr="005A311F">
        <w:t>.</w:t>
      </w:r>
    </w:p>
    <w:p w14:paraId="32353C76" w14:textId="7E4CAEAD" w:rsidR="00872DFF" w:rsidRDefault="00183935" w:rsidP="00872DFF">
      <w:r>
        <w:t>D</w:t>
      </w:r>
      <w:r w:rsidR="00872DFF" w:rsidRPr="005A311F">
        <w:t>epending</w:t>
      </w:r>
      <w:r w:rsidR="00ED66D5">
        <w:t xml:space="preserve"> on</w:t>
      </w:r>
      <w:r w:rsidR="00872DFF" w:rsidRPr="005A311F">
        <w:t xml:space="preserve"> the specifics of certain licence applications, the ACMA may seek further information from the applicant or </w:t>
      </w:r>
      <w:r w:rsidR="00037D9A">
        <w:t>AP</w:t>
      </w:r>
      <w:r w:rsidR="00872DFF" w:rsidRPr="005A311F">
        <w:t xml:space="preserve"> to assist with the assessment. </w:t>
      </w:r>
      <w:r w:rsidR="00505361">
        <w:t>For</w:t>
      </w:r>
      <w:r w:rsidR="00872DFF" w:rsidRPr="005A311F">
        <w:t xml:space="preserve"> example, further information may include maximum equivalent </w:t>
      </w:r>
      <w:proofErr w:type="spellStart"/>
      <w:r w:rsidR="00872DFF" w:rsidRPr="005A311F">
        <w:t>isotropically</w:t>
      </w:r>
      <w:proofErr w:type="spellEnd"/>
      <w:r w:rsidR="00872DFF" w:rsidRPr="005A311F">
        <w:t xml:space="preserve"> radiated power (</w:t>
      </w:r>
      <w:proofErr w:type="spellStart"/>
      <w:r w:rsidR="00872DFF" w:rsidRPr="005A311F">
        <w:t>e.i.r.p</w:t>
      </w:r>
      <w:proofErr w:type="spellEnd"/>
      <w:r w:rsidR="00872DFF" w:rsidRPr="005A311F">
        <w:t>.) or equivalent power flux-density (</w:t>
      </w:r>
      <w:proofErr w:type="spellStart"/>
      <w:r w:rsidR="00872DFF" w:rsidRPr="005A311F">
        <w:t>epfd</w:t>
      </w:r>
      <w:proofErr w:type="spellEnd"/>
      <w:r w:rsidR="00872DFF" w:rsidRPr="005A311F">
        <w:t>) of the space station.</w:t>
      </w:r>
    </w:p>
    <w:p w14:paraId="0AA89FA0" w14:textId="48385E9F" w:rsidR="003578A3" w:rsidRDefault="005916C2" w:rsidP="003578A3">
      <w:pPr>
        <w:pStyle w:val="Heading2"/>
      </w:pPr>
      <w:bookmarkStart w:id="51" w:name="_Toc153797986"/>
      <w:r>
        <w:t>Interference management requirements</w:t>
      </w:r>
      <w:bookmarkEnd w:id="51"/>
      <w:r w:rsidR="003578A3" w:rsidRPr="00700163">
        <w:t xml:space="preserve"> </w:t>
      </w:r>
    </w:p>
    <w:p w14:paraId="72CE7717" w14:textId="7A8A8275" w:rsidR="000F3612" w:rsidRDefault="000F3612" w:rsidP="000F3612">
      <w:bookmarkStart w:id="52" w:name="_Hlk24710353"/>
      <w:bookmarkStart w:id="53" w:name="_Hlk24021606"/>
      <w:r>
        <w:t xml:space="preserve">Information on how that applicant has assessed the risk and likelihood of interference to and from existing services licensed in </w:t>
      </w:r>
      <w:r w:rsidRPr="00B75003">
        <w:t>Australia</w:t>
      </w:r>
      <w:r w:rsidR="00C23697" w:rsidRPr="00B75003">
        <w:t>, both space-based and terrestrial,</w:t>
      </w:r>
      <w:r w:rsidRPr="00B75003">
        <w:t xml:space="preserve"> and what process the applicant will use to manage interference should it occur will be used to inform the ACMA’s decision-making. The results of these checks are used in part to determine appropriate special condition(s) and/or advisory note(s) to be applied to the licence.  Information required in this regard is outlined below.</w:t>
      </w:r>
    </w:p>
    <w:p w14:paraId="18FEEDFB" w14:textId="77777777" w:rsidR="00183935" w:rsidRDefault="00183935" w:rsidP="00183935">
      <w:pPr>
        <w:pStyle w:val="Heading3"/>
      </w:pPr>
      <w:bookmarkStart w:id="54" w:name="_Toc153797987"/>
      <w:bookmarkEnd w:id="52"/>
      <w:bookmarkEnd w:id="53"/>
      <w:r>
        <w:t>Interference management and due diligence</w:t>
      </w:r>
      <w:bookmarkEnd w:id="54"/>
      <w:r>
        <w:t xml:space="preserve"> </w:t>
      </w:r>
    </w:p>
    <w:p w14:paraId="06FC6DD2" w14:textId="2ADE0FE0" w:rsidR="00183935" w:rsidRPr="00F47255" w:rsidRDefault="00183935" w:rsidP="00183935">
      <w:pPr>
        <w:spacing w:after="80"/>
      </w:pPr>
      <w:r>
        <w:t xml:space="preserve">The applicant is required to demonstrate their own due diligence and undertake an engineering assessment that considers the risk and likelihood of interference to and from existing services in Australia. A summary of how such an assessment has been made is to be provided to the ACMA as part of the licence </w:t>
      </w:r>
      <w:r w:rsidRPr="00F47255">
        <w:t>application. An indicative list of information that could be provided is as follows</w:t>
      </w:r>
      <w:r>
        <w:t>:</w:t>
      </w:r>
      <w:r w:rsidRPr="00F47255">
        <w:rPr>
          <w:rStyle w:val="FootnoteReference"/>
        </w:rPr>
        <w:footnoteReference w:id="8"/>
      </w:r>
    </w:p>
    <w:p w14:paraId="1D0DD2E4" w14:textId="77777777" w:rsidR="00183935" w:rsidRPr="00F47255" w:rsidRDefault="00183935" w:rsidP="00866124">
      <w:pPr>
        <w:pStyle w:val="ListBullet"/>
        <w:numPr>
          <w:ilvl w:val="0"/>
          <w:numId w:val="24"/>
        </w:numPr>
      </w:pPr>
      <w:r w:rsidRPr="00F47255">
        <w:t>a statement of various coordination agreements reached</w:t>
      </w:r>
    </w:p>
    <w:p w14:paraId="7AFFD466" w14:textId="1ED16430" w:rsidR="00183935" w:rsidRDefault="00183935" w:rsidP="00866124">
      <w:pPr>
        <w:pStyle w:val="ListBullet"/>
        <w:numPr>
          <w:ilvl w:val="0"/>
          <w:numId w:val="24"/>
        </w:numPr>
      </w:pPr>
      <w:r>
        <w:t>compliance with relevant FCC or ECC requirements</w:t>
      </w:r>
    </w:p>
    <w:p w14:paraId="438435E1" w14:textId="77777777" w:rsidR="00183935" w:rsidRDefault="00183935" w:rsidP="00866124">
      <w:pPr>
        <w:pStyle w:val="ListBulletLast"/>
        <w:numPr>
          <w:ilvl w:val="0"/>
          <w:numId w:val="24"/>
        </w:numPr>
      </w:pPr>
      <w:r>
        <w:t>engineering assessments undertaken.</w:t>
      </w:r>
    </w:p>
    <w:p w14:paraId="3D85668C" w14:textId="77777777" w:rsidR="003578A3" w:rsidRDefault="003578A3" w:rsidP="003578A3">
      <w:pPr>
        <w:pStyle w:val="Heading3"/>
      </w:pPr>
      <w:bookmarkStart w:id="55" w:name="_Toc153797988"/>
      <w:r>
        <w:t>Interference point of contact</w:t>
      </w:r>
      <w:bookmarkEnd w:id="55"/>
    </w:p>
    <w:p w14:paraId="41BBD091" w14:textId="22479674" w:rsidR="003578A3" w:rsidRDefault="003578A3" w:rsidP="003578A3">
      <w:pPr>
        <w:keepNext/>
      </w:pPr>
      <w:r>
        <w:t xml:space="preserve">The applicant is </w:t>
      </w:r>
      <w:r w:rsidRPr="00374CA0">
        <w:rPr>
          <w:bCs/>
        </w:rPr>
        <w:t>required</w:t>
      </w:r>
      <w:r>
        <w:t xml:space="preserve"> to provide </w:t>
      </w:r>
      <w:r w:rsidRPr="008A199C">
        <w:t xml:space="preserve">a point of contact </w:t>
      </w:r>
      <w:r>
        <w:t>that can assist</w:t>
      </w:r>
      <w:r w:rsidRPr="008A199C">
        <w:t xml:space="preserve"> in addressing any suspected cases of interference </w:t>
      </w:r>
      <w:r>
        <w:t>and cease transmission if directed by the ACMA</w:t>
      </w:r>
      <w:r w:rsidRPr="008A199C">
        <w:t>.</w:t>
      </w:r>
      <w:r w:rsidR="00E96047">
        <w:t xml:space="preserve"> </w:t>
      </w:r>
      <w:bookmarkStart w:id="56" w:name="_Hlk39054795"/>
      <w:r w:rsidR="00E96047">
        <w:t xml:space="preserve">The details of the point of contact must be kept up to date. </w:t>
      </w:r>
    </w:p>
    <w:p w14:paraId="4213D713" w14:textId="77777777" w:rsidR="00183935" w:rsidRDefault="00183935" w:rsidP="00183935">
      <w:pPr>
        <w:pStyle w:val="Heading3"/>
      </w:pPr>
      <w:bookmarkStart w:id="57" w:name="_Toc153797989"/>
      <w:bookmarkEnd w:id="56"/>
      <w:r>
        <w:t>Earth station interference management</w:t>
      </w:r>
      <w:bookmarkEnd w:id="57"/>
      <w:r>
        <w:t xml:space="preserve"> </w:t>
      </w:r>
    </w:p>
    <w:p w14:paraId="0E2EC1AE" w14:textId="2413D646" w:rsidR="00183935" w:rsidRDefault="00183935" w:rsidP="00183935">
      <w:r>
        <w:t xml:space="preserve">The applicant is required to demonstrate that appropriate interference management measures are in place for all </w:t>
      </w:r>
      <w:r w:rsidRPr="00D677DF">
        <w:t>ubiquitous</w:t>
      </w:r>
      <w:r>
        <w:t xml:space="preserve"> earth stations to be authorised (both fixed and </w:t>
      </w:r>
      <w:r w:rsidR="000F3612">
        <w:t>mobile</w:t>
      </w:r>
      <w:r>
        <w:t xml:space="preserve">).  </w:t>
      </w:r>
    </w:p>
    <w:p w14:paraId="32C8F885" w14:textId="77777777" w:rsidR="00183935" w:rsidRDefault="00183935" w:rsidP="00183935">
      <w:pPr>
        <w:pStyle w:val="Heading3"/>
      </w:pPr>
      <w:bookmarkStart w:id="58" w:name="_Toc153797990"/>
      <w:r>
        <w:t>ITU requirements for NGSO/GSO/BSS</w:t>
      </w:r>
      <w:bookmarkEnd w:id="58"/>
    </w:p>
    <w:p w14:paraId="62F2C4A8" w14:textId="0FE097BB" w:rsidR="00183935" w:rsidRDefault="00183935" w:rsidP="00183935">
      <w:r>
        <w:t xml:space="preserve">The applicant is required to demonstrate that ITU requirements for NGSO/GSO/BSS coordination have been (or are able to be) met </w:t>
      </w:r>
      <w:r w:rsidR="006A7FD9">
        <w:t xml:space="preserve">as detailed in the table of frequency allocation footnotes as applicable to the frequency in the licence application. </w:t>
      </w:r>
    </w:p>
    <w:p w14:paraId="166F3FAB" w14:textId="77777777" w:rsidR="00183935" w:rsidRDefault="00183935" w:rsidP="00183935">
      <w:pPr>
        <w:pStyle w:val="Heading3"/>
      </w:pPr>
      <w:bookmarkStart w:id="59" w:name="_Toc153797991"/>
      <w:r>
        <w:t>V</w:t>
      </w:r>
      <w:r w:rsidRPr="008B67B4">
        <w:t>ery large earth stations</w:t>
      </w:r>
      <w:bookmarkEnd w:id="59"/>
    </w:p>
    <w:p w14:paraId="44EA4668" w14:textId="33418D44" w:rsidR="00183935" w:rsidRDefault="00073675" w:rsidP="00183935">
      <w:r w:rsidRPr="006A7FD9">
        <w:t>For licensing applications for NGSO satellite networks, the</w:t>
      </w:r>
      <w:r>
        <w:t xml:space="preserve"> applicant is</w:t>
      </w:r>
      <w:r w:rsidR="00183935" w:rsidRPr="00E71729">
        <w:t xml:space="preserve"> required to demonstrate c</w:t>
      </w:r>
      <w:r w:rsidR="00183935" w:rsidRPr="00E71729">
        <w:rPr>
          <w:bCs/>
        </w:rPr>
        <w:t xml:space="preserve">ompatibility </w:t>
      </w:r>
      <w:r w:rsidR="00183935" w:rsidRPr="008B67B4">
        <w:rPr>
          <w:bCs/>
        </w:rPr>
        <w:t>with very large earth stations</w:t>
      </w:r>
      <w:r w:rsidR="00183935" w:rsidRPr="00052021">
        <w:t xml:space="preserve"> notified under No. </w:t>
      </w:r>
      <w:r w:rsidR="00183935" w:rsidRPr="00DC26C0">
        <w:rPr>
          <w:b/>
        </w:rPr>
        <w:t xml:space="preserve">9.7B </w:t>
      </w:r>
      <w:r w:rsidR="00183935" w:rsidRPr="00052021">
        <w:t xml:space="preserve">and No. </w:t>
      </w:r>
      <w:r w:rsidR="00183935" w:rsidRPr="00DC26C0">
        <w:rPr>
          <w:b/>
        </w:rPr>
        <w:t>9.7A</w:t>
      </w:r>
      <w:r w:rsidR="00183935" w:rsidRPr="000927C1">
        <w:rPr>
          <w:rStyle w:val="FootnoteReference"/>
          <w:bCs/>
        </w:rPr>
        <w:footnoteReference w:id="9"/>
      </w:r>
      <w:r w:rsidR="00183935" w:rsidRPr="00052021">
        <w:t xml:space="preserve">. </w:t>
      </w:r>
      <w:r w:rsidR="00183935">
        <w:t xml:space="preserve"> ACMA would normally consult with the organisation that notified these earth stations as part of the assessment requirements. </w:t>
      </w:r>
    </w:p>
    <w:p w14:paraId="45E37CEF" w14:textId="031202EB" w:rsidR="00183935" w:rsidRPr="00700163" w:rsidRDefault="00183935" w:rsidP="003578A3">
      <w:pPr>
        <w:pStyle w:val="Heading3"/>
      </w:pPr>
      <w:bookmarkStart w:id="60" w:name="_Toc153797992"/>
      <w:r w:rsidRPr="00700163">
        <w:t xml:space="preserve">Protection for the </w:t>
      </w:r>
      <w:r w:rsidR="00A4587A">
        <w:t>Australian</w:t>
      </w:r>
      <w:r w:rsidRPr="00700163">
        <w:t xml:space="preserve"> Radio Quiet Zone</w:t>
      </w:r>
      <w:r w:rsidR="00A4587A">
        <w:t xml:space="preserve"> Western Australia</w:t>
      </w:r>
      <w:bookmarkEnd w:id="60"/>
      <w:r w:rsidRPr="00700163">
        <w:t xml:space="preserve"> </w:t>
      </w:r>
    </w:p>
    <w:p w14:paraId="433CA5E1" w14:textId="1B9E1331" w:rsidR="00183935" w:rsidRDefault="00183935" w:rsidP="00183935">
      <w:pPr>
        <w:keepNext/>
        <w:keepLines/>
        <w:autoSpaceDE w:val="0"/>
        <w:autoSpaceDN w:val="0"/>
        <w:adjustRightInd w:val="0"/>
        <w:spacing w:after="0" w:line="240" w:lineRule="auto"/>
      </w:pPr>
      <w:r>
        <w:t xml:space="preserve">The </w:t>
      </w:r>
      <w:hyperlink r:id="rId46" w:history="1">
        <w:r w:rsidR="00A4587A" w:rsidRPr="00EF58F9">
          <w:rPr>
            <w:rStyle w:val="Hyperlink"/>
          </w:rPr>
          <w:t>Radiocommunic</w:t>
        </w:r>
        <w:r w:rsidR="00A4587A" w:rsidRPr="00EF58F9">
          <w:rPr>
            <w:rStyle w:val="Hyperlink"/>
          </w:rPr>
          <w:t>a</w:t>
        </w:r>
        <w:r w:rsidR="00A4587A" w:rsidRPr="00EF58F9">
          <w:rPr>
            <w:rStyle w:val="Hyperlink"/>
          </w:rPr>
          <w:t>tions (Australian Radio Quiet Zone Western Australia) Frequency Band Plan 2023</w:t>
        </w:r>
      </w:hyperlink>
      <w:r w:rsidR="00A4587A">
        <w:t xml:space="preserve"> </w:t>
      </w:r>
      <w:r>
        <w:t>(</w:t>
      </w:r>
      <w:r w:rsidR="00EF58F9">
        <w:t xml:space="preserve">the </w:t>
      </w:r>
      <w:r>
        <w:t xml:space="preserve">band plan) establishes a radio quiet zone (RQZ) in the </w:t>
      </w:r>
      <w:r w:rsidR="00EF58F9">
        <w:t>m</w:t>
      </w:r>
      <w:r>
        <w:t>id-</w:t>
      </w:r>
      <w:r w:rsidR="00EF58F9">
        <w:t>w</w:t>
      </w:r>
      <w:r>
        <w:t>est region of Western Australia</w:t>
      </w:r>
      <w:r w:rsidR="00EF58F9">
        <w:t xml:space="preserve">. It </w:t>
      </w:r>
      <w:r>
        <w:t>facilitates the development and use of new radioastronomy technologies at that site by maintaining its ‘radio-quietness’. The band plan specifies the geographic zone affected.</w:t>
      </w:r>
    </w:p>
    <w:p w14:paraId="08B48667" w14:textId="77777777" w:rsidR="00183935" w:rsidRDefault="00183935" w:rsidP="00183935">
      <w:pPr>
        <w:autoSpaceDE w:val="0"/>
        <w:autoSpaceDN w:val="0"/>
        <w:adjustRightInd w:val="0"/>
        <w:spacing w:after="0" w:line="240" w:lineRule="auto"/>
      </w:pPr>
    </w:p>
    <w:p w14:paraId="1094D2D8" w14:textId="4B4BAAE9" w:rsidR="00183935" w:rsidRDefault="00592F0B" w:rsidP="00183935">
      <w:pPr>
        <w:autoSpaceDE w:val="0"/>
        <w:autoSpaceDN w:val="0"/>
        <w:adjustRightInd w:val="0"/>
        <w:spacing w:after="0" w:line="240" w:lineRule="auto"/>
      </w:pPr>
      <w:r>
        <w:t>The band</w:t>
      </w:r>
      <w:r w:rsidR="00183935">
        <w:t xml:space="preserve"> </w:t>
      </w:r>
      <w:r w:rsidR="009A7CC2">
        <w:t>plan</w:t>
      </w:r>
      <w:r w:rsidR="00183935">
        <w:t xml:space="preserve"> permits use of the frequency range 70 MHz to 25.25 GHz in the RQZ for radioastronomy purposes. It also provides that additional services which operate in the inner zone of the RQZ are to be taken to be secondary services to radioastronomy services. Secondary services are required to not cause harmful interference to radioastronomy services and cannot claim protection from harmful interference from radioastronomy services.</w:t>
      </w:r>
    </w:p>
    <w:p w14:paraId="38696F80" w14:textId="77777777" w:rsidR="00183935" w:rsidRDefault="00183935" w:rsidP="00183935">
      <w:pPr>
        <w:autoSpaceDE w:val="0"/>
        <w:autoSpaceDN w:val="0"/>
        <w:adjustRightInd w:val="0"/>
        <w:spacing w:after="0" w:line="240" w:lineRule="auto"/>
      </w:pPr>
    </w:p>
    <w:p w14:paraId="3FE762D5" w14:textId="510EEBCC" w:rsidR="00183935" w:rsidRDefault="00183935" w:rsidP="00183935">
      <w:r>
        <w:rPr>
          <w:rFonts w:cs="Arial"/>
          <w:color w:val="000000"/>
          <w:szCs w:val="20"/>
          <w:shd w:val="clear" w:color="auto" w:fill="FFFFFF"/>
        </w:rPr>
        <w:t xml:space="preserve">RALI MS32 </w:t>
      </w:r>
      <w:hyperlink r:id="rId47" w:history="1">
        <w:r w:rsidRPr="005916C2">
          <w:rPr>
            <w:rStyle w:val="Hyperlink"/>
            <w:rFonts w:cs="Arial"/>
            <w:i/>
            <w:iCs/>
            <w:szCs w:val="20"/>
            <w:shd w:val="clear" w:color="auto" w:fill="FFFFFF"/>
          </w:rPr>
          <w:t>Coordination of apparatus licensed services within the Australian Radio Quiet Zone Western Australia</w:t>
        </w:r>
      </w:hyperlink>
      <w:r>
        <w:rPr>
          <w:rFonts w:cs="Arial"/>
          <w:color w:val="000000"/>
          <w:szCs w:val="20"/>
          <w:shd w:val="clear" w:color="auto" w:fill="FFFFFF"/>
        </w:rPr>
        <w:t xml:space="preserve"> provides a framework for </w:t>
      </w:r>
      <w:r>
        <w:rPr>
          <w:color w:val="000000"/>
        </w:rPr>
        <w:t xml:space="preserve">the interference protection of radioastronomy activities sited within 50 km of the centre of the RQZ. </w:t>
      </w:r>
      <w:r>
        <w:t>A potential frequency assignment falls within the scope of this RALI if the assignment is for an apparatus-licensed transmitter of a coordinated terrestrial service station or earth station, and its frequency and geographical location is within the RQZ.</w:t>
      </w:r>
    </w:p>
    <w:p w14:paraId="2845CE0F" w14:textId="1B07EF18" w:rsidR="00183935" w:rsidRDefault="00183935" w:rsidP="00872DFF">
      <w:pPr>
        <w:rPr>
          <w:rFonts w:cs="Arial"/>
          <w:color w:val="000000"/>
          <w:szCs w:val="20"/>
          <w:shd w:val="clear" w:color="auto" w:fill="FFFFFF"/>
        </w:rPr>
      </w:pPr>
      <w:r>
        <w:t>While s</w:t>
      </w:r>
      <w:r w:rsidRPr="00952D24">
        <w:rPr>
          <w:rFonts w:cs="Arial"/>
          <w:color w:val="000000"/>
          <w:szCs w:val="20"/>
          <w:shd w:val="clear" w:color="auto" w:fill="FFFFFF"/>
        </w:rPr>
        <w:t xml:space="preserve">pace and space receive licensees </w:t>
      </w:r>
      <w:r>
        <w:rPr>
          <w:rFonts w:cs="Arial"/>
          <w:color w:val="000000"/>
          <w:szCs w:val="20"/>
          <w:shd w:val="clear" w:color="auto" w:fill="FFFFFF"/>
        </w:rPr>
        <w:t>are not subject to RALI MS32</w:t>
      </w:r>
      <w:r>
        <w:t>, s</w:t>
      </w:r>
      <w:r w:rsidRPr="00952D24">
        <w:rPr>
          <w:rFonts w:cs="Arial"/>
          <w:color w:val="000000"/>
          <w:szCs w:val="20"/>
          <w:shd w:val="clear" w:color="auto" w:fill="FFFFFF"/>
        </w:rPr>
        <w:t>pace and space receive licensees are subject to the requirements of</w:t>
      </w:r>
      <w:r>
        <w:rPr>
          <w:rFonts w:cs="Arial"/>
          <w:color w:val="000000"/>
          <w:szCs w:val="20"/>
          <w:shd w:val="clear" w:color="auto" w:fill="FFFFFF"/>
        </w:rPr>
        <w:t xml:space="preserve"> the relevant</w:t>
      </w:r>
      <w:r w:rsidRPr="00952D24">
        <w:rPr>
          <w:rFonts w:cs="Arial"/>
          <w:color w:val="000000"/>
          <w:szCs w:val="20"/>
          <w:shd w:val="clear" w:color="auto" w:fill="FFFFFF"/>
        </w:rPr>
        <w:t xml:space="preserve"> </w:t>
      </w:r>
      <w:r>
        <w:t>band plan</w:t>
      </w:r>
      <w:r w:rsidRPr="00952D24">
        <w:rPr>
          <w:rFonts w:cs="Arial"/>
          <w:color w:val="000000"/>
          <w:szCs w:val="20"/>
          <w:shd w:val="clear" w:color="auto" w:fill="FFFFFF"/>
        </w:rPr>
        <w:t xml:space="preserve">, and as such are responsible for ensuring that their end-user earth station terminals do not cause harmful interference to radioastronomy services in the RQZ. To increase the visibility of this obligation and make it explicit to licensees, </w:t>
      </w:r>
      <w:r>
        <w:rPr>
          <w:rFonts w:cs="Arial"/>
          <w:color w:val="000000"/>
          <w:szCs w:val="20"/>
          <w:shd w:val="clear" w:color="auto" w:fill="FFFFFF"/>
        </w:rPr>
        <w:t xml:space="preserve">Special Condition </w:t>
      </w:r>
      <w:r>
        <w:t>RQZ1</w:t>
      </w:r>
      <w:r>
        <w:rPr>
          <w:rFonts w:cs="Arial"/>
          <w:color w:val="000000"/>
          <w:szCs w:val="20"/>
          <w:shd w:val="clear" w:color="auto" w:fill="FFFFFF"/>
        </w:rPr>
        <w:t xml:space="preserve"> will be applied to space receive licences. Contact details for </w:t>
      </w:r>
      <w:r w:rsidRPr="001D5E77">
        <w:rPr>
          <w:rFonts w:cs="Arial"/>
          <w:color w:val="000000"/>
          <w:szCs w:val="20"/>
          <w:shd w:val="clear" w:color="auto" w:fill="FFFFFF"/>
        </w:rPr>
        <w:t>the entity responsible for operating the Murchison Radioastronomy Observatory</w:t>
      </w:r>
      <w:r>
        <w:rPr>
          <w:rFonts w:cs="Arial"/>
          <w:color w:val="000000"/>
          <w:szCs w:val="20"/>
          <w:shd w:val="clear" w:color="auto" w:fill="FFFFFF"/>
        </w:rPr>
        <w:t xml:space="preserve"> are contained in RALI MS32.</w:t>
      </w:r>
    </w:p>
    <w:p w14:paraId="5599260C" w14:textId="494D0B25" w:rsidR="00D22F94" w:rsidRDefault="00D22F94" w:rsidP="00D22F94">
      <w:pPr>
        <w:pStyle w:val="Heading3"/>
      </w:pPr>
      <w:bookmarkStart w:id="61" w:name="_Toc153797993"/>
      <w:r>
        <w:t>Earth station receivers and 11/18 GHz point to point fixed link transmitters</w:t>
      </w:r>
      <w:bookmarkEnd w:id="61"/>
      <w:r>
        <w:t xml:space="preserve">  </w:t>
      </w:r>
    </w:p>
    <w:p w14:paraId="5DB90716" w14:textId="4833F44B" w:rsidR="00561543" w:rsidRDefault="00D22F94" w:rsidP="00872DFF">
      <w:pPr>
        <w:rPr>
          <w:rFonts w:cs="Arial"/>
          <w:color w:val="000000"/>
          <w:szCs w:val="20"/>
          <w:shd w:val="clear" w:color="auto" w:fill="FFFFFF"/>
        </w:rPr>
      </w:pPr>
      <w:r w:rsidRPr="00D22F94">
        <w:rPr>
          <w:rFonts w:cs="Arial"/>
          <w:color w:val="000000"/>
          <w:szCs w:val="20"/>
          <w:shd w:val="clear" w:color="auto" w:fill="FFFFFF"/>
        </w:rPr>
        <w:t>Under the Communications with Space Objects Class Licence</w:t>
      </w:r>
      <w:r w:rsidR="00652D3D">
        <w:rPr>
          <w:rFonts w:cs="Arial"/>
          <w:color w:val="000000"/>
          <w:szCs w:val="20"/>
          <w:shd w:val="clear" w:color="auto" w:fill="FFFFFF"/>
        </w:rPr>
        <w:t>,</w:t>
      </w:r>
      <w:r w:rsidRPr="00D22F94">
        <w:rPr>
          <w:rFonts w:cs="Arial"/>
          <w:color w:val="000000"/>
          <w:szCs w:val="20"/>
          <w:shd w:val="clear" w:color="auto" w:fill="FFFFFF"/>
        </w:rPr>
        <w:t xml:space="preserve"> the operation of earth station receivers is authorised on the </w:t>
      </w:r>
      <w:r w:rsidR="00670D71">
        <w:rPr>
          <w:rFonts w:cs="Arial"/>
          <w:color w:val="000000"/>
          <w:szCs w:val="20"/>
          <w:shd w:val="clear" w:color="auto" w:fill="FFFFFF"/>
        </w:rPr>
        <w:t xml:space="preserve">basis </w:t>
      </w:r>
      <w:r w:rsidR="00652D3D">
        <w:rPr>
          <w:rFonts w:cs="Arial"/>
          <w:color w:val="000000"/>
          <w:szCs w:val="20"/>
          <w:shd w:val="clear" w:color="auto" w:fill="FFFFFF"/>
        </w:rPr>
        <w:t xml:space="preserve">of </w:t>
      </w:r>
      <w:r w:rsidRPr="00D22F94">
        <w:rPr>
          <w:rFonts w:cs="Arial"/>
          <w:color w:val="000000"/>
          <w:szCs w:val="20"/>
          <w:shd w:val="clear" w:color="auto" w:fill="FFFFFF"/>
        </w:rPr>
        <w:t xml:space="preserve">no protection </w:t>
      </w:r>
      <w:r w:rsidR="00652D3D">
        <w:rPr>
          <w:rFonts w:cs="Arial"/>
          <w:color w:val="000000"/>
          <w:szCs w:val="20"/>
          <w:shd w:val="clear" w:color="auto" w:fill="FFFFFF"/>
        </w:rPr>
        <w:t xml:space="preserve">is afforded </w:t>
      </w:r>
      <w:r w:rsidRPr="00D22F94">
        <w:rPr>
          <w:rFonts w:cs="Arial"/>
          <w:color w:val="000000"/>
          <w:szCs w:val="20"/>
          <w:shd w:val="clear" w:color="auto" w:fill="FFFFFF"/>
        </w:rPr>
        <w:t xml:space="preserve">from interference caused by a </w:t>
      </w:r>
      <w:r w:rsidR="00D268A0" w:rsidRPr="00D22F94">
        <w:rPr>
          <w:rFonts w:cs="Arial"/>
          <w:color w:val="000000"/>
          <w:szCs w:val="20"/>
          <w:shd w:val="clear" w:color="auto" w:fill="FFFFFF"/>
        </w:rPr>
        <w:t>point-to-point</w:t>
      </w:r>
      <w:r w:rsidRPr="00D22F94">
        <w:rPr>
          <w:rFonts w:cs="Arial"/>
          <w:color w:val="000000"/>
          <w:szCs w:val="20"/>
          <w:shd w:val="clear" w:color="auto" w:fill="FFFFFF"/>
        </w:rPr>
        <w:t xml:space="preserve"> station in the frequency bands 10.7-11.7 GHz, 18.2-1</w:t>
      </w:r>
      <w:r w:rsidR="00B75003">
        <w:rPr>
          <w:rFonts w:cs="Arial"/>
          <w:color w:val="000000"/>
          <w:szCs w:val="20"/>
          <w:shd w:val="clear" w:color="auto" w:fill="FFFFFF"/>
        </w:rPr>
        <w:t>8</w:t>
      </w:r>
      <w:r w:rsidRPr="00D22F94">
        <w:rPr>
          <w:rFonts w:cs="Arial"/>
          <w:color w:val="000000"/>
          <w:szCs w:val="20"/>
          <w:shd w:val="clear" w:color="auto" w:fill="FFFFFF"/>
        </w:rPr>
        <w:t>.8 G</w:t>
      </w:r>
      <w:r w:rsidR="00561543">
        <w:rPr>
          <w:rFonts w:cs="Arial"/>
          <w:color w:val="000000"/>
          <w:szCs w:val="20"/>
          <w:shd w:val="clear" w:color="auto" w:fill="FFFFFF"/>
        </w:rPr>
        <w:t>H</w:t>
      </w:r>
      <w:r w:rsidRPr="00D22F94">
        <w:rPr>
          <w:rFonts w:cs="Arial"/>
          <w:color w:val="000000"/>
          <w:szCs w:val="20"/>
          <w:shd w:val="clear" w:color="auto" w:fill="FFFFFF"/>
        </w:rPr>
        <w:t>z and 19.3-19.7 GHz.</w:t>
      </w:r>
    </w:p>
    <w:p w14:paraId="1A6C29E9" w14:textId="206AEDE6" w:rsidR="00D22F94" w:rsidRDefault="00561543" w:rsidP="00872DFF">
      <w:pPr>
        <w:rPr>
          <w:rFonts w:cs="Arial"/>
          <w:color w:val="000000"/>
          <w:szCs w:val="20"/>
          <w:shd w:val="clear" w:color="auto" w:fill="FFFFFF"/>
        </w:rPr>
      </w:pPr>
      <w:r>
        <w:rPr>
          <w:rFonts w:cs="Arial"/>
          <w:color w:val="000000"/>
          <w:szCs w:val="20"/>
          <w:shd w:val="clear" w:color="auto" w:fill="FFFFFF"/>
        </w:rPr>
        <w:t>W</w:t>
      </w:r>
      <w:r w:rsidR="00D22F94" w:rsidRPr="00D22F94">
        <w:rPr>
          <w:rFonts w:cs="Arial"/>
          <w:color w:val="000000"/>
          <w:szCs w:val="20"/>
          <w:shd w:val="clear" w:color="auto" w:fill="FFFFFF"/>
        </w:rPr>
        <w:t xml:space="preserve">ritten confirmation from the applicant </w:t>
      </w:r>
      <w:r>
        <w:rPr>
          <w:rFonts w:cs="Arial"/>
          <w:color w:val="000000"/>
          <w:szCs w:val="20"/>
          <w:shd w:val="clear" w:color="auto" w:fill="FFFFFF"/>
        </w:rPr>
        <w:t xml:space="preserve">for space apparatus licences in those bands is required stating </w:t>
      </w:r>
      <w:r w:rsidR="00D22F94" w:rsidRPr="00D22F94">
        <w:rPr>
          <w:rFonts w:cs="Arial"/>
          <w:color w:val="000000"/>
          <w:szCs w:val="20"/>
          <w:shd w:val="clear" w:color="auto" w:fill="FFFFFF"/>
        </w:rPr>
        <w:t>that they accept that operation of earth station receivers would be on the basis that no protection is afforded from interference — from either current or future fixed links, and that operation is not to constrain the future growth of fixed services in this band nor would they be considered in future replanning processes for fixed services.</w:t>
      </w:r>
    </w:p>
    <w:p w14:paraId="41355484" w14:textId="4A17BD76" w:rsidR="00293755" w:rsidRDefault="00293755">
      <w:pPr>
        <w:pStyle w:val="Heading3"/>
        <w:rPr>
          <w:color w:val="000000"/>
          <w:szCs w:val="20"/>
          <w:shd w:val="clear" w:color="auto" w:fill="FFFFFF"/>
        </w:rPr>
      </w:pPr>
      <w:bookmarkStart w:id="62" w:name="_Hlk109310083"/>
      <w:bookmarkStart w:id="63" w:name="_Toc153797994"/>
      <w:r>
        <w:rPr>
          <w:color w:val="000000"/>
          <w:szCs w:val="20"/>
          <w:shd w:val="clear" w:color="auto" w:fill="FFFFFF"/>
        </w:rPr>
        <w:t>Earth station transmitters in 27.5 to 2</w:t>
      </w:r>
      <w:r w:rsidR="00DE250A">
        <w:rPr>
          <w:color w:val="000000"/>
          <w:szCs w:val="20"/>
          <w:shd w:val="clear" w:color="auto" w:fill="FFFFFF"/>
        </w:rPr>
        <w:t>9.5</w:t>
      </w:r>
      <w:r w:rsidR="0089141B">
        <w:rPr>
          <w:color w:val="000000"/>
          <w:szCs w:val="20"/>
          <w:shd w:val="clear" w:color="auto" w:fill="FFFFFF"/>
        </w:rPr>
        <w:t xml:space="preserve"> </w:t>
      </w:r>
      <w:r>
        <w:rPr>
          <w:color w:val="000000"/>
          <w:szCs w:val="20"/>
          <w:shd w:val="clear" w:color="auto" w:fill="FFFFFF"/>
        </w:rPr>
        <w:t>GHz band</w:t>
      </w:r>
      <w:bookmarkEnd w:id="63"/>
    </w:p>
    <w:p w14:paraId="7D1F94B0" w14:textId="77777777" w:rsidR="004F7637" w:rsidRDefault="004F7637" w:rsidP="004F7637">
      <w:pPr>
        <w:rPr>
          <w:shd w:val="clear" w:color="auto" w:fill="FFFFFF"/>
        </w:rPr>
      </w:pPr>
      <w:r w:rsidRPr="00327856">
        <w:rPr>
          <w:rFonts w:cs="Arial"/>
        </w:rPr>
        <w:t xml:space="preserve">Under the </w:t>
      </w:r>
      <w:hyperlink r:id="rId48" w:history="1">
        <w:r w:rsidRPr="00327856">
          <w:rPr>
            <w:rStyle w:val="Hyperlink"/>
            <w:rFonts w:cs="Arial"/>
          </w:rPr>
          <w:t>CSO Class Licence</w:t>
        </w:r>
      </w:hyperlink>
      <w:r w:rsidRPr="00327856">
        <w:rPr>
          <w:rFonts w:cs="Arial"/>
        </w:rPr>
        <w:t xml:space="preserve"> there are restrictions on the operation of earth station transmitters in the frequency range 27.5-29.5 GHz to achieve existence with terrestrial services. </w:t>
      </w:r>
      <w:r w:rsidRPr="00327856">
        <w:rPr>
          <w:rFonts w:cs="Arial"/>
          <w:color w:val="000000"/>
          <w:szCs w:val="20"/>
          <w:shd w:val="clear" w:color="auto" w:fill="FFFFFF"/>
        </w:rPr>
        <w:t xml:space="preserve">Written confirmation </w:t>
      </w:r>
      <w:r w:rsidRPr="00327856">
        <w:rPr>
          <w:shd w:val="clear" w:color="auto" w:fill="FFFFFF"/>
        </w:rPr>
        <w:t xml:space="preserve">is required from the applicant stating that operation of earth station transmitters in the frequency range 27.5-29.5 GHz bands will comply with </w:t>
      </w:r>
      <w:hyperlink r:id="rId49" w:history="1">
        <w:r w:rsidRPr="00327856">
          <w:rPr>
            <w:rStyle w:val="Hyperlink"/>
            <w:rFonts w:cs="Arial"/>
            <w:szCs w:val="20"/>
            <w:shd w:val="clear" w:color="auto" w:fill="FFFFFF"/>
          </w:rPr>
          <w:t>CSO Class Licence</w:t>
        </w:r>
      </w:hyperlink>
      <w:r w:rsidRPr="00327856">
        <w:rPr>
          <w:shd w:val="clear" w:color="auto" w:fill="FFFFFF"/>
        </w:rPr>
        <w:t xml:space="preserve"> requirements</w:t>
      </w:r>
      <w:r>
        <w:rPr>
          <w:shd w:val="clear" w:color="auto" w:fill="FFFFFF"/>
        </w:rPr>
        <w:t>.</w:t>
      </w:r>
    </w:p>
    <w:p w14:paraId="3F9827A9" w14:textId="24230778" w:rsidR="004F7637" w:rsidRPr="00327856" w:rsidRDefault="004F7637" w:rsidP="004F7637">
      <w:pPr>
        <w:rPr>
          <w:shd w:val="clear" w:color="auto" w:fill="FFFFFF"/>
        </w:rPr>
      </w:pPr>
      <w:r w:rsidRPr="00327856">
        <w:rPr>
          <w:shd w:val="clear" w:color="auto" w:fill="FFFFFF"/>
        </w:rPr>
        <w:t xml:space="preserve">Appendix </w:t>
      </w:r>
      <w:r w:rsidR="0061018E">
        <w:rPr>
          <w:shd w:val="clear" w:color="auto" w:fill="FFFFFF"/>
        </w:rPr>
        <w:t>G</w:t>
      </w:r>
      <w:r w:rsidRPr="00327856">
        <w:rPr>
          <w:shd w:val="clear" w:color="auto" w:fill="FFFFFF"/>
        </w:rPr>
        <w:t xml:space="preserve"> lists the relevant conditions of the CSO Class Licence and additional conditions to the applied to space receive licence in the frequency 27.5-29.5 GHz.</w:t>
      </w:r>
    </w:p>
    <w:p w14:paraId="4B3664D2" w14:textId="77777777" w:rsidR="004F7637" w:rsidRDefault="004F7637" w:rsidP="004F7637">
      <w:pPr>
        <w:pStyle w:val="Paragraph"/>
        <w:rPr>
          <w:shd w:val="clear" w:color="auto" w:fill="FFFFFF"/>
        </w:rPr>
      </w:pPr>
      <w:r w:rsidRPr="00295CB7">
        <w:rPr>
          <w:shd w:val="clear" w:color="auto" w:fill="FFFFFF"/>
        </w:rPr>
        <w:t xml:space="preserve">Under RALI FX 3 as of 23 September 22019 </w:t>
      </w:r>
      <w:r w:rsidRPr="00295CB7">
        <w:t xml:space="preserve">no new assignments made be made point-to-point fixed link in the  </w:t>
      </w:r>
      <w:hyperlink r:id="rId50" w:history="1">
        <w:r w:rsidRPr="00295CB7">
          <w:rPr>
            <w:rStyle w:val="Hyperlink"/>
          </w:rPr>
          <w:t>28 GHz band (25.7-29.5 GHz</w:t>
        </w:r>
      </w:hyperlink>
      <w:r w:rsidRPr="00295CB7">
        <w:t>).</w:t>
      </w:r>
      <w:r>
        <w:t xml:space="preserve"> </w:t>
      </w:r>
      <w:r w:rsidRPr="00295CB7">
        <w:t xml:space="preserve">Existing assignments in the bands 28.1 - 28.5 and 29.1-29.5 have been grandfather and are afforded protection until </w:t>
      </w:r>
      <w:r>
        <w:t>23</w:t>
      </w:r>
      <w:r w:rsidRPr="00295CB7">
        <w:t xml:space="preserve"> September 2026. </w:t>
      </w:r>
      <w:r w:rsidRPr="00295CB7">
        <w:rPr>
          <w:color w:val="000000"/>
          <w:szCs w:val="20"/>
          <w:shd w:val="clear" w:color="auto" w:fill="FFFFFF"/>
        </w:rPr>
        <w:t xml:space="preserve">Written confirmation </w:t>
      </w:r>
      <w:r w:rsidRPr="00295CB7">
        <w:rPr>
          <w:shd w:val="clear" w:color="auto" w:fill="FFFFFF"/>
        </w:rPr>
        <w:t xml:space="preserve">is required from the applicant stating that operation of earth station transmitters will meet these requirements.  </w:t>
      </w:r>
    </w:p>
    <w:p w14:paraId="00C6B1BF" w14:textId="13D400E9" w:rsidR="004F7637" w:rsidRPr="00295CB7" w:rsidRDefault="004F7637" w:rsidP="004F7637">
      <w:pPr>
        <w:pStyle w:val="Paragraph"/>
        <w:rPr>
          <w:szCs w:val="20"/>
        </w:rPr>
      </w:pPr>
      <w:r w:rsidRPr="00295CB7">
        <w:rPr>
          <w:szCs w:val="20"/>
        </w:rPr>
        <w:t xml:space="preserve">Appendix </w:t>
      </w:r>
      <w:r w:rsidR="0061018E">
        <w:rPr>
          <w:szCs w:val="20"/>
        </w:rPr>
        <w:t>G</w:t>
      </w:r>
      <w:r w:rsidRPr="00295CB7">
        <w:rPr>
          <w:szCs w:val="20"/>
        </w:rPr>
        <w:t xml:space="preserve"> provides guidance on how to assess the interference potential from ubiquitous FSS earth stations transmitters into grandfathered point-to-point fixed links.</w:t>
      </w:r>
    </w:p>
    <w:p w14:paraId="2E967A55" w14:textId="5AA4609E" w:rsidR="004F7637" w:rsidRDefault="004F7637" w:rsidP="00D760EE">
      <w:pPr>
        <w:rPr>
          <w:rFonts w:cs="Arial"/>
          <w:color w:val="000000"/>
          <w:szCs w:val="20"/>
          <w:shd w:val="clear" w:color="auto" w:fill="FFFFFF"/>
        </w:rPr>
      </w:pPr>
      <w:r>
        <w:t xml:space="preserve">Appendix F should also be referred to </w:t>
      </w:r>
      <w:r w:rsidR="006B1A83">
        <w:t xml:space="preserve">for </w:t>
      </w:r>
      <w:r>
        <w:t>requirements for ESIM communicating with geostationary space stations in the fixed satellite service in the frequency ranges 17.7-19.7 GHz (space-to-Earth) and 27.5-29.5 GHz (Earth-to-space).</w:t>
      </w:r>
    </w:p>
    <w:p w14:paraId="6ED513E6" w14:textId="74F0F94B" w:rsidR="00596B88" w:rsidRDefault="00596B88" w:rsidP="00596B88">
      <w:pPr>
        <w:pStyle w:val="Heading3"/>
      </w:pPr>
      <w:bookmarkStart w:id="64" w:name="_Toc153797995"/>
      <w:bookmarkEnd w:id="62"/>
      <w:r>
        <w:t>2 GHz Narrowband MSS</w:t>
      </w:r>
      <w:bookmarkEnd w:id="64"/>
    </w:p>
    <w:p w14:paraId="64ACCE30" w14:textId="344139C3" w:rsidR="00EB3159" w:rsidRDefault="00EB3159" w:rsidP="00EB3159">
      <w:pPr>
        <w:spacing w:after="0" w:line="240" w:lineRule="auto"/>
        <w:textAlignment w:val="baseline"/>
        <w:rPr>
          <w:rFonts w:cs="Arial"/>
          <w:szCs w:val="20"/>
        </w:rPr>
      </w:pPr>
      <w:bookmarkStart w:id="65" w:name="_Hlk109067504"/>
      <w:r>
        <w:rPr>
          <w:rFonts w:cs="Arial"/>
          <w:szCs w:val="20"/>
        </w:rPr>
        <w:t xml:space="preserve">MSS services in the 2005-2009/2195-2200 MHz bands are supported on the basis that coexistence between satellite systems is a matter for industry to self-manage within Australia. </w:t>
      </w:r>
    </w:p>
    <w:p w14:paraId="546EF655" w14:textId="77777777" w:rsidR="00EB3159" w:rsidRDefault="00EB3159" w:rsidP="00EB3159">
      <w:pPr>
        <w:spacing w:after="0" w:line="240" w:lineRule="auto"/>
        <w:textAlignment w:val="baseline"/>
        <w:rPr>
          <w:rFonts w:cs="Arial"/>
          <w:szCs w:val="20"/>
        </w:rPr>
      </w:pPr>
    </w:p>
    <w:p w14:paraId="3FECEE20" w14:textId="1B671E78" w:rsidR="00EB3159" w:rsidRDefault="00EB3159" w:rsidP="00EB3159">
      <w:pPr>
        <w:spacing w:after="0" w:line="240" w:lineRule="auto"/>
        <w:textAlignment w:val="baseline"/>
        <w:rPr>
          <w:rFonts w:cs="Arial"/>
          <w:szCs w:val="20"/>
        </w:rPr>
      </w:pPr>
      <w:r>
        <w:rPr>
          <w:rFonts w:cs="Arial"/>
          <w:szCs w:val="20"/>
        </w:rPr>
        <w:t>Irrespective of arrangements within Australia, licensees are require</w:t>
      </w:r>
      <w:r w:rsidR="00B264DB">
        <w:rPr>
          <w:rFonts w:cs="Arial"/>
          <w:szCs w:val="20"/>
        </w:rPr>
        <w:t>d</w:t>
      </w:r>
      <w:r>
        <w:rPr>
          <w:rFonts w:cs="Arial"/>
          <w:szCs w:val="20"/>
        </w:rPr>
        <w:t xml:space="preserve"> to ensure that the impact of their operations on services outside of Australia in accordance with the ITU satellite coordination framework.  This includes operating in accordance with any agreement between operators/administrations reached as part of the ITU process.</w:t>
      </w:r>
    </w:p>
    <w:bookmarkEnd w:id="65"/>
    <w:p w14:paraId="7F7813E5" w14:textId="77777777" w:rsidR="00EB3159" w:rsidRDefault="00EB3159" w:rsidP="00EB3159">
      <w:pPr>
        <w:spacing w:after="0" w:line="240" w:lineRule="auto"/>
        <w:textAlignment w:val="baseline"/>
        <w:rPr>
          <w:rFonts w:cs="Arial"/>
          <w:szCs w:val="20"/>
        </w:rPr>
      </w:pPr>
    </w:p>
    <w:p w14:paraId="3CA022F7" w14:textId="0476866D" w:rsidR="00EB3159" w:rsidRDefault="00EB3159" w:rsidP="00EB3159">
      <w:pPr>
        <w:spacing w:after="0" w:line="240" w:lineRule="auto"/>
        <w:textAlignment w:val="baseline"/>
        <w:rPr>
          <w:rFonts w:cs="Arial"/>
          <w:szCs w:val="20"/>
        </w:rPr>
      </w:pPr>
      <w:r>
        <w:rPr>
          <w:rFonts w:cs="Arial"/>
          <w:szCs w:val="20"/>
        </w:rPr>
        <w:t xml:space="preserve">Prospective licensees in the bands 2005-2009/2195-2200 MHz should be aware that if they are obligated under ITU satellite coordination framework to protect services outside of Australia (for example due to ITU filling priority) this may the impact the viability (ability to operate) a MSS service in Australia in the 2005-2009/2195-2200 </w:t>
      </w:r>
      <w:proofErr w:type="spellStart"/>
      <w:r>
        <w:rPr>
          <w:rFonts w:cs="Arial"/>
          <w:szCs w:val="20"/>
        </w:rPr>
        <w:t>MHz.</w:t>
      </w:r>
      <w:proofErr w:type="spellEnd"/>
      <w:r>
        <w:rPr>
          <w:rFonts w:cs="Arial"/>
          <w:szCs w:val="20"/>
        </w:rPr>
        <w:t xml:space="preserve"> For example</w:t>
      </w:r>
      <w:r w:rsidR="00C75DC9">
        <w:rPr>
          <w:rFonts w:cs="Arial"/>
          <w:szCs w:val="20"/>
        </w:rPr>
        <w:t>, it may be necessary to</w:t>
      </w:r>
      <w:r>
        <w:rPr>
          <w:rFonts w:cs="Arial"/>
          <w:szCs w:val="20"/>
        </w:rPr>
        <w:t xml:space="preserve"> restrict the areas within Australia in which they may operate or operate at reduced power.</w:t>
      </w:r>
    </w:p>
    <w:p w14:paraId="666A316C" w14:textId="77777777" w:rsidR="00EB3159" w:rsidRDefault="00EB3159" w:rsidP="00EB3159">
      <w:pPr>
        <w:spacing w:after="0" w:line="240" w:lineRule="auto"/>
        <w:textAlignment w:val="baseline"/>
        <w:rPr>
          <w:rFonts w:cs="Arial"/>
          <w:szCs w:val="20"/>
        </w:rPr>
      </w:pPr>
    </w:p>
    <w:p w14:paraId="12F6F852" w14:textId="77777777" w:rsidR="00EB3159" w:rsidRDefault="00EB3159" w:rsidP="00EB3159">
      <w:pPr>
        <w:spacing w:after="0" w:line="240" w:lineRule="auto"/>
        <w:textAlignment w:val="baseline"/>
        <w:rPr>
          <w:rFonts w:cs="Arial"/>
          <w:szCs w:val="20"/>
        </w:rPr>
      </w:pPr>
      <w:r>
        <w:rPr>
          <w:rFonts w:cs="Arial"/>
          <w:szCs w:val="20"/>
        </w:rPr>
        <w:t>Services provided by prospective licensees may also be susceptible to interference from services operating outside of Australia that are operated in accordance with the ITU framework.</w:t>
      </w:r>
    </w:p>
    <w:p w14:paraId="27A10D79" w14:textId="77777777" w:rsidR="00EB3159" w:rsidRDefault="00EB3159" w:rsidP="00EB3159">
      <w:pPr>
        <w:spacing w:after="0" w:line="240" w:lineRule="auto"/>
        <w:textAlignment w:val="baseline"/>
        <w:rPr>
          <w:rFonts w:cs="Arial"/>
          <w:szCs w:val="20"/>
        </w:rPr>
      </w:pPr>
    </w:p>
    <w:p w14:paraId="688EB0D3" w14:textId="77777777" w:rsidR="00EB3159" w:rsidRDefault="00EB3159" w:rsidP="00EB3159">
      <w:pPr>
        <w:spacing w:after="0" w:line="240" w:lineRule="auto"/>
        <w:textAlignment w:val="baseline"/>
        <w:rPr>
          <w:rFonts w:cs="Arial"/>
          <w:szCs w:val="20"/>
        </w:rPr>
      </w:pPr>
      <w:r>
        <w:rPr>
          <w:rFonts w:cs="Arial"/>
          <w:szCs w:val="20"/>
        </w:rPr>
        <w:t>Prospective applicants should be aware that in the case of interference between non-Australian satellite systems (systems not filed by Australia to the ITU), it is considered a matter for the relevant administrations to resolve.</w:t>
      </w:r>
    </w:p>
    <w:p w14:paraId="45226EA3" w14:textId="77777777" w:rsidR="00EB3159" w:rsidRDefault="00EB3159" w:rsidP="00EB3159">
      <w:pPr>
        <w:spacing w:after="0" w:line="240" w:lineRule="auto"/>
        <w:textAlignment w:val="baseline"/>
        <w:rPr>
          <w:rFonts w:cs="Arial"/>
          <w:szCs w:val="20"/>
        </w:rPr>
      </w:pPr>
    </w:p>
    <w:p w14:paraId="54FB30D7" w14:textId="47DF0585" w:rsidR="00EB3159" w:rsidRDefault="00EB3159" w:rsidP="00EB3159">
      <w:pPr>
        <w:spacing w:after="0" w:line="240" w:lineRule="auto"/>
        <w:textAlignment w:val="baseline"/>
        <w:rPr>
          <w:rFonts w:cs="Arial"/>
          <w:szCs w:val="20"/>
        </w:rPr>
      </w:pPr>
      <w:r>
        <w:rPr>
          <w:rFonts w:cs="Arial"/>
          <w:szCs w:val="20"/>
        </w:rPr>
        <w:t>In addition to the general requirement</w:t>
      </w:r>
      <w:r w:rsidR="00DE6BE7">
        <w:rPr>
          <w:rFonts w:cs="Arial"/>
          <w:szCs w:val="20"/>
        </w:rPr>
        <w:t>s</w:t>
      </w:r>
      <w:r>
        <w:rPr>
          <w:rFonts w:cs="Arial"/>
          <w:szCs w:val="20"/>
        </w:rPr>
        <w:t xml:space="preserve"> of this BOP, Appendix </w:t>
      </w:r>
      <w:r w:rsidR="0061018E">
        <w:rPr>
          <w:rFonts w:cs="Arial"/>
          <w:szCs w:val="20"/>
        </w:rPr>
        <w:t>H</w:t>
      </w:r>
      <w:r>
        <w:rPr>
          <w:rFonts w:cs="Arial"/>
          <w:szCs w:val="20"/>
        </w:rPr>
        <w:t xml:space="preserve"> specifies </w:t>
      </w:r>
      <w:r w:rsidRPr="0087220C">
        <w:rPr>
          <w:rFonts w:cs="Arial"/>
          <w:szCs w:val="20"/>
        </w:rPr>
        <w:t xml:space="preserve">assessment procedure </w:t>
      </w:r>
      <w:r>
        <w:rPr>
          <w:rFonts w:cs="Arial"/>
          <w:szCs w:val="20"/>
        </w:rPr>
        <w:t xml:space="preserve">and information the ACMA expects to be provided when considering regulatory aspects of application for </w:t>
      </w:r>
      <w:r w:rsidRPr="00816373">
        <w:rPr>
          <w:rFonts w:cs="Arial"/>
          <w:i/>
          <w:iCs/>
          <w:szCs w:val="20"/>
        </w:rPr>
        <w:t>space receive licences</w:t>
      </w:r>
      <w:r>
        <w:rPr>
          <w:rFonts w:cs="Arial"/>
          <w:szCs w:val="20"/>
        </w:rPr>
        <w:t xml:space="preserve"> </w:t>
      </w:r>
      <w:r w:rsidRPr="0087220C">
        <w:rPr>
          <w:rFonts w:cs="Arial"/>
          <w:szCs w:val="20"/>
        </w:rPr>
        <w:t xml:space="preserve">and </w:t>
      </w:r>
      <w:r w:rsidRPr="00816373">
        <w:rPr>
          <w:rFonts w:cs="Arial"/>
          <w:i/>
          <w:iCs/>
          <w:szCs w:val="20"/>
        </w:rPr>
        <w:t>space licences</w:t>
      </w:r>
      <w:r>
        <w:rPr>
          <w:rFonts w:cs="Arial"/>
          <w:szCs w:val="20"/>
        </w:rPr>
        <w:t xml:space="preserve"> in the 2005-2010 MHz and 2195-2200 MHz bands. In summary, the main requirements are to:</w:t>
      </w:r>
    </w:p>
    <w:p w14:paraId="438D88D7" w14:textId="3A5BC453" w:rsidR="00EB3159" w:rsidRDefault="00EB3159" w:rsidP="00866124">
      <w:pPr>
        <w:pStyle w:val="ListParagraph"/>
        <w:numPr>
          <w:ilvl w:val="0"/>
          <w:numId w:val="30"/>
        </w:numPr>
        <w:spacing w:line="240" w:lineRule="auto"/>
        <w:textAlignment w:val="baseline"/>
        <w:rPr>
          <w:rFonts w:cs="Arial"/>
          <w:szCs w:val="20"/>
        </w:rPr>
      </w:pPr>
      <w:r>
        <w:rPr>
          <w:rFonts w:cs="Arial"/>
          <w:szCs w:val="20"/>
        </w:rPr>
        <w:t xml:space="preserve">provide evidence that any operations will be in accordance with the conditions </w:t>
      </w:r>
      <w:r w:rsidR="00A40040">
        <w:rPr>
          <w:rFonts w:cs="Arial"/>
          <w:szCs w:val="20"/>
        </w:rPr>
        <w:t>of the</w:t>
      </w:r>
      <w:r>
        <w:rPr>
          <w:rFonts w:cs="Arial"/>
          <w:szCs w:val="20"/>
        </w:rPr>
        <w:t xml:space="preserve"> CSO Class Licence</w:t>
      </w:r>
    </w:p>
    <w:p w14:paraId="27C766B1" w14:textId="77777777" w:rsidR="00EB3159" w:rsidRDefault="00EB3159" w:rsidP="00866124">
      <w:pPr>
        <w:pStyle w:val="ListParagraph"/>
        <w:numPr>
          <w:ilvl w:val="0"/>
          <w:numId w:val="30"/>
        </w:numPr>
        <w:spacing w:line="240" w:lineRule="auto"/>
        <w:textAlignment w:val="baseline"/>
        <w:rPr>
          <w:rFonts w:cs="Arial"/>
          <w:szCs w:val="20"/>
        </w:rPr>
      </w:pPr>
      <w:r w:rsidRPr="009747E2">
        <w:rPr>
          <w:rFonts w:cs="Arial"/>
          <w:szCs w:val="20"/>
        </w:rPr>
        <w:t xml:space="preserve">ensure protection of TOB services </w:t>
      </w:r>
      <w:r>
        <w:rPr>
          <w:rFonts w:cs="Arial"/>
          <w:szCs w:val="20"/>
        </w:rPr>
        <w:t>during the t</w:t>
      </w:r>
      <w:r w:rsidRPr="009747E2">
        <w:rPr>
          <w:rFonts w:cs="Arial"/>
          <w:szCs w:val="20"/>
        </w:rPr>
        <w:t xml:space="preserve">ransition </w:t>
      </w:r>
      <w:r>
        <w:rPr>
          <w:rFonts w:cs="Arial"/>
          <w:szCs w:val="20"/>
        </w:rPr>
        <w:t xml:space="preserve">of TOB services </w:t>
      </w:r>
      <w:r w:rsidRPr="009747E2">
        <w:rPr>
          <w:rFonts w:cs="Arial"/>
          <w:szCs w:val="20"/>
        </w:rPr>
        <w:t>out of the 2 GHz band in accordance with the Radiocommunications (</w:t>
      </w:r>
      <w:hyperlink r:id="rId51" w:history="1">
        <w:r w:rsidRPr="00293967">
          <w:rPr>
            <w:rStyle w:val="Hyperlink"/>
            <w:rFonts w:cs="Arial"/>
            <w:szCs w:val="20"/>
          </w:rPr>
          <w:t>Mobile-Satellite-Service</w:t>
        </w:r>
      </w:hyperlink>
      <w:r w:rsidRPr="009747E2">
        <w:rPr>
          <w:rFonts w:cs="Arial"/>
          <w:szCs w:val="20"/>
        </w:rPr>
        <w:t>) (1980–2010 MHz and 2170–2200 MHz) Frequency Band Plan 2022</w:t>
      </w:r>
    </w:p>
    <w:p w14:paraId="27BB4BD3" w14:textId="7D231213" w:rsidR="00EB3159" w:rsidRDefault="00EB3159" w:rsidP="00866124">
      <w:pPr>
        <w:pStyle w:val="ListParagraph"/>
        <w:numPr>
          <w:ilvl w:val="0"/>
          <w:numId w:val="30"/>
        </w:numPr>
        <w:spacing w:line="240" w:lineRule="auto"/>
        <w:textAlignment w:val="baseline"/>
        <w:rPr>
          <w:rFonts w:cs="Arial"/>
          <w:szCs w:val="20"/>
        </w:rPr>
      </w:pPr>
      <w:r w:rsidRPr="009747E2">
        <w:rPr>
          <w:rFonts w:cs="Arial"/>
          <w:szCs w:val="20"/>
        </w:rPr>
        <w:t>provide ongoing protection of adjacent band TOB services in the 2010-2110 MHz band</w:t>
      </w:r>
      <w:r>
        <w:rPr>
          <w:rFonts w:cs="Arial"/>
          <w:szCs w:val="20"/>
        </w:rPr>
        <w:t xml:space="preserve">. A key restriction (refer </w:t>
      </w:r>
      <w:r w:rsidR="004B49A0">
        <w:rPr>
          <w:rFonts w:cs="Arial"/>
          <w:szCs w:val="20"/>
        </w:rPr>
        <w:t>S</w:t>
      </w:r>
      <w:r>
        <w:rPr>
          <w:rFonts w:cs="Arial"/>
          <w:szCs w:val="20"/>
        </w:rPr>
        <w:t xml:space="preserve">pectrum </w:t>
      </w:r>
      <w:r w:rsidR="004B49A0">
        <w:rPr>
          <w:rFonts w:cs="Arial"/>
          <w:szCs w:val="20"/>
        </w:rPr>
        <w:t>E</w:t>
      </w:r>
      <w:r>
        <w:rPr>
          <w:rFonts w:cs="Arial"/>
          <w:szCs w:val="20"/>
        </w:rPr>
        <w:t>mbargo 23) being the ACMA not issuing space receive licences in 2009-2010 MHz)</w:t>
      </w:r>
    </w:p>
    <w:p w14:paraId="2BC5CDD4" w14:textId="77777777" w:rsidR="00596B88" w:rsidRDefault="00596B88" w:rsidP="00186BB1">
      <w:pPr>
        <w:spacing w:after="0"/>
        <w:rPr>
          <w:rFonts w:cs="Arial"/>
          <w:color w:val="000000"/>
          <w:szCs w:val="20"/>
          <w:shd w:val="clear" w:color="auto" w:fill="FFFFFF"/>
        </w:rPr>
      </w:pPr>
    </w:p>
    <w:p w14:paraId="74F616CE" w14:textId="1EFFBEFD" w:rsidR="00002B2B" w:rsidRDefault="0015309A" w:rsidP="00872DFF">
      <w:pPr>
        <w:rPr>
          <w:rFonts w:cs="Arial"/>
          <w:color w:val="000000"/>
          <w:szCs w:val="20"/>
          <w:shd w:val="clear" w:color="auto" w:fill="FFFFFF"/>
        </w:rPr>
      </w:pPr>
      <w:r>
        <w:rPr>
          <w:rFonts w:cs="Arial"/>
          <w:color w:val="000000"/>
          <w:szCs w:val="20"/>
          <w:shd w:val="clear" w:color="auto" w:fill="FFFFFF"/>
        </w:rPr>
        <w:t xml:space="preserve">In the period prior to the completion of the transition of TOB services from the narrowband MSS segment (see table in </w:t>
      </w:r>
      <w:r w:rsidR="00227120">
        <w:rPr>
          <w:rFonts w:cs="Arial"/>
          <w:color w:val="000000"/>
          <w:szCs w:val="20"/>
          <w:shd w:val="clear" w:color="auto" w:fill="FFFFFF"/>
        </w:rPr>
        <w:t>Appendix H)</w:t>
      </w:r>
      <w:r>
        <w:rPr>
          <w:rFonts w:cs="Arial"/>
          <w:color w:val="000000"/>
          <w:szCs w:val="20"/>
          <w:shd w:val="clear" w:color="auto" w:fill="FFFFFF"/>
        </w:rPr>
        <w:t>, the ACMA will consider request</w:t>
      </w:r>
      <w:r w:rsidR="004C5CFC">
        <w:rPr>
          <w:rFonts w:cs="Arial"/>
          <w:color w:val="000000"/>
          <w:szCs w:val="20"/>
          <w:shd w:val="clear" w:color="auto" w:fill="FFFFFF"/>
        </w:rPr>
        <w:t>s</w:t>
      </w:r>
      <w:r>
        <w:rPr>
          <w:rFonts w:cs="Arial"/>
          <w:color w:val="000000"/>
          <w:szCs w:val="20"/>
          <w:shd w:val="clear" w:color="auto" w:fill="FFFFFF"/>
        </w:rPr>
        <w:t xml:space="preserve"> to operate </w:t>
      </w:r>
      <w:r w:rsidR="00227120">
        <w:rPr>
          <w:rFonts w:cs="Arial"/>
          <w:color w:val="000000"/>
          <w:szCs w:val="20"/>
          <w:shd w:val="clear" w:color="auto" w:fill="FFFFFF"/>
        </w:rPr>
        <w:t>outside of metrop</w:t>
      </w:r>
      <w:r w:rsidR="00AD12F5">
        <w:rPr>
          <w:rFonts w:cs="Arial"/>
          <w:color w:val="000000"/>
          <w:szCs w:val="20"/>
          <w:shd w:val="clear" w:color="auto" w:fill="FFFFFF"/>
        </w:rPr>
        <w:t>olitan</w:t>
      </w:r>
      <w:r w:rsidR="00227120">
        <w:rPr>
          <w:rFonts w:cs="Arial"/>
          <w:color w:val="000000"/>
          <w:szCs w:val="20"/>
          <w:shd w:val="clear" w:color="auto" w:fill="FFFFFF"/>
        </w:rPr>
        <w:t xml:space="preserve"> and designated areas on a </w:t>
      </w:r>
      <w:r w:rsidR="00AD12F5">
        <w:rPr>
          <w:rFonts w:cs="Arial"/>
          <w:color w:val="000000"/>
          <w:szCs w:val="20"/>
          <w:shd w:val="clear" w:color="auto" w:fill="FFFFFF"/>
        </w:rPr>
        <w:t>case-by-case</w:t>
      </w:r>
      <w:r w:rsidR="00227120">
        <w:rPr>
          <w:rFonts w:cs="Arial"/>
          <w:color w:val="000000"/>
          <w:szCs w:val="20"/>
          <w:shd w:val="clear" w:color="auto" w:fill="FFFFFF"/>
        </w:rPr>
        <w:t xml:space="preserve"> basis.</w:t>
      </w:r>
      <w:r w:rsidR="00AD12F5">
        <w:rPr>
          <w:rFonts w:cs="Arial"/>
          <w:color w:val="000000"/>
          <w:szCs w:val="20"/>
          <w:shd w:val="clear" w:color="auto" w:fill="FFFFFF"/>
        </w:rPr>
        <w:t xml:space="preserve"> This is to ensure protection of TOB services during the transition period. </w:t>
      </w:r>
    </w:p>
    <w:p w14:paraId="3502AB39" w14:textId="77DFEFF5" w:rsidR="004400F8" w:rsidRDefault="004400F8" w:rsidP="004400F8">
      <w:pPr>
        <w:pStyle w:val="Heading3"/>
      </w:pPr>
      <w:bookmarkStart w:id="66" w:name="_Toc153797996"/>
      <w:r>
        <w:t>Extended L-band MSS</w:t>
      </w:r>
      <w:bookmarkEnd w:id="66"/>
    </w:p>
    <w:p w14:paraId="46E25FB1" w14:textId="3DD931F2" w:rsidR="004400F8" w:rsidRDefault="004400F8" w:rsidP="00EF58F9">
      <w:pPr>
        <w:pStyle w:val="Paragraphbeforelist"/>
        <w:rPr>
          <w:szCs w:val="20"/>
        </w:rPr>
      </w:pPr>
      <w:r w:rsidRPr="004400F8">
        <w:t>Applications for space and space receive apparatus licences in the extended L-band (1518</w:t>
      </w:r>
      <w:r w:rsidR="00EF58F9">
        <w:t>–</w:t>
      </w:r>
      <w:r w:rsidRPr="004400F8">
        <w:t>1525 MHz and 1668</w:t>
      </w:r>
      <w:r w:rsidR="00EF58F9">
        <w:t>–</w:t>
      </w:r>
      <w:r w:rsidRPr="004400F8">
        <w:t>1675 MHz) should be considered in accordance with the requirements of this BOP</w:t>
      </w:r>
      <w:r w:rsidR="00EF58F9">
        <w:t>,</w:t>
      </w:r>
      <w:r w:rsidRPr="004400F8">
        <w:t xml:space="preserve"> with consideration of the following additional matters:</w:t>
      </w:r>
      <w:r>
        <w:rPr>
          <w:rStyle w:val="FootnoteReference"/>
        </w:rPr>
        <w:footnoteReference w:id="10"/>
      </w:r>
      <w:r w:rsidRPr="004400F8">
        <w:t xml:space="preserve"> </w:t>
      </w:r>
    </w:p>
    <w:p w14:paraId="7B58AA6F" w14:textId="0A5A2B0D" w:rsidR="004400F8" w:rsidRDefault="004400F8" w:rsidP="00EF58F9">
      <w:pPr>
        <w:pStyle w:val="ListParagraph"/>
        <w:numPr>
          <w:ilvl w:val="0"/>
          <w:numId w:val="30"/>
        </w:numPr>
        <w:spacing w:after="60" w:line="240" w:lineRule="auto"/>
        <w:ind w:left="357" w:hanging="357"/>
        <w:textAlignment w:val="baseline"/>
      </w:pPr>
      <w:r w:rsidRPr="004400F8">
        <w:t>That beyond ensuring the proposed operation is in accordance with ITU requirements</w:t>
      </w:r>
      <w:r w:rsidR="00EF58F9">
        <w:t>,</w:t>
      </w:r>
      <w:r>
        <w:rPr>
          <w:rStyle w:val="FootnoteReference"/>
        </w:rPr>
        <w:footnoteReference w:id="11"/>
      </w:r>
      <w:r w:rsidRPr="004400F8">
        <w:t xml:space="preserve"> no further assessment of compatibility between satellite systems is undertaken. Our view is that in this band, the ITU satellite coordination process is sufficient to resolve any compatibility matters.</w:t>
      </w:r>
    </w:p>
    <w:p w14:paraId="041862F4" w14:textId="77777777" w:rsidR="004400F8" w:rsidRDefault="004400F8" w:rsidP="00EF58F9">
      <w:pPr>
        <w:pStyle w:val="ListParagraph"/>
        <w:numPr>
          <w:ilvl w:val="0"/>
          <w:numId w:val="30"/>
        </w:numPr>
        <w:spacing w:before="60" w:line="240" w:lineRule="auto"/>
        <w:ind w:left="357" w:hanging="357"/>
        <w:contextualSpacing w:val="0"/>
        <w:textAlignment w:val="baseline"/>
      </w:pPr>
      <w:r w:rsidRPr="004400F8">
        <w:t xml:space="preserve">As part of the next stage of the 1.5 GHz band review, we will take into account the potential effect of MSS earth station receivers in the 1518–1525 MHz and adjacent bands when considering any change in arrangements. </w:t>
      </w:r>
    </w:p>
    <w:p w14:paraId="6490EDD6" w14:textId="77777777" w:rsidR="004400F8" w:rsidRDefault="004400F8" w:rsidP="004400F8">
      <w:pPr>
        <w:pStyle w:val="ListParagraph"/>
        <w:numPr>
          <w:ilvl w:val="0"/>
          <w:numId w:val="30"/>
        </w:numPr>
        <w:spacing w:line="240" w:lineRule="auto"/>
        <w:textAlignment w:val="baseline"/>
      </w:pPr>
      <w:r w:rsidRPr="004400F8">
        <w:t xml:space="preserve">That to better enable coexistence of MSS with other adjacent-band services, including possible WBB services, it is likely additional regulatory measures will also need to be applied to any MSS use in the L-band. The actual regulatory measures required to enable coexistence will depend on the outcomes of the next stage of the 1.5 GHz band review and the subsequent changes to planning arrangements. As part of the review the ACMA intends to consult on MSS receiver performance requirements including a date for the implementation of (or assumption for interference management purposes) better performing MSS earth station receivers, including more stringent blocking levels. </w:t>
      </w:r>
    </w:p>
    <w:p w14:paraId="31BC041B" w14:textId="669F1316" w:rsidR="004400F8" w:rsidRDefault="004400F8" w:rsidP="004400F8">
      <w:pPr>
        <w:pStyle w:val="ListParagraph"/>
        <w:numPr>
          <w:ilvl w:val="0"/>
          <w:numId w:val="30"/>
        </w:numPr>
        <w:spacing w:line="240" w:lineRule="auto"/>
        <w:textAlignment w:val="baseline"/>
      </w:pPr>
      <w:r w:rsidRPr="004400F8">
        <w:t>To provide visibility of the next stage of the 1.5 GHz band review the following advisory note (user defined) is to be included on all space receive licences.</w:t>
      </w:r>
    </w:p>
    <w:p w14:paraId="7FAC1478" w14:textId="77777777" w:rsidR="004400F8" w:rsidRPr="004400F8" w:rsidRDefault="004400F8" w:rsidP="002C7DA4">
      <w:pPr>
        <w:pStyle w:val="ListParagraph"/>
        <w:spacing w:line="240" w:lineRule="auto"/>
        <w:ind w:left="360"/>
        <w:textAlignment w:val="baseline"/>
      </w:pPr>
    </w:p>
    <w:p w14:paraId="544E9FDD" w14:textId="1357CC51" w:rsidR="004400F8" w:rsidRPr="002C7DA4" w:rsidRDefault="004400F8" w:rsidP="002C7DA4">
      <w:pPr>
        <w:ind w:left="852"/>
        <w:rPr>
          <w:color w:val="000000"/>
          <w:sz w:val="18"/>
          <w:szCs w:val="18"/>
          <w:shd w:val="clear" w:color="auto" w:fill="FFFFFF"/>
        </w:rPr>
      </w:pPr>
      <w:r w:rsidRPr="002C7DA4">
        <w:rPr>
          <w:sz w:val="18"/>
          <w:szCs w:val="18"/>
        </w:rPr>
        <w:t>As part of the next stage of the 1.5 GHz band review the ACMA intends to consult on MSS receiver performance requirements including a date for the implementation of (or assumption for interference management purposes) better performing MSS earth station receivers, including more stringent blocking levels.</w:t>
      </w:r>
    </w:p>
    <w:p w14:paraId="3F5D4D4A" w14:textId="49E5AA98" w:rsidR="00872DFF" w:rsidRPr="00615474" w:rsidRDefault="00872DFF" w:rsidP="00122FB0">
      <w:pPr>
        <w:pStyle w:val="Heading1"/>
      </w:pPr>
      <w:bookmarkStart w:id="67" w:name="_Toc392147075"/>
      <w:bookmarkStart w:id="68" w:name="_Toc478115629"/>
      <w:bookmarkStart w:id="69" w:name="_Toc478115879"/>
      <w:bookmarkStart w:id="70" w:name="_Toc483400684"/>
      <w:bookmarkStart w:id="71" w:name="_Toc490122664"/>
      <w:bookmarkStart w:id="72" w:name="_Toc14956811"/>
      <w:bookmarkStart w:id="73" w:name="_Toc153797997"/>
      <w:r w:rsidRPr="00122FB0">
        <w:t>Consultation</w:t>
      </w:r>
      <w:r w:rsidRPr="00615474">
        <w:t xml:space="preserve"> with relevant </w:t>
      </w:r>
      <w:r w:rsidR="00505361">
        <w:t>g</w:t>
      </w:r>
      <w:r w:rsidRPr="00615474">
        <w:t>overnment organisations</w:t>
      </w:r>
      <w:bookmarkEnd w:id="67"/>
      <w:bookmarkEnd w:id="68"/>
      <w:bookmarkEnd w:id="69"/>
      <w:bookmarkEnd w:id="70"/>
      <w:bookmarkEnd w:id="71"/>
      <w:bookmarkEnd w:id="72"/>
      <w:bookmarkEnd w:id="73"/>
    </w:p>
    <w:p w14:paraId="796AE23A" w14:textId="0ACE63D0" w:rsidR="00872DFF" w:rsidRPr="00615474" w:rsidRDefault="00872DFF" w:rsidP="00122FB0">
      <w:pPr>
        <w:spacing w:after="80"/>
      </w:pPr>
      <w:r w:rsidRPr="00615474">
        <w:t>Due to possible security issues associated with foreign ownership of aspects of space communications, some applications may be subject to wider government consultation. In general, the ACMA will consult with relevant organisations in the following situations:</w:t>
      </w:r>
    </w:p>
    <w:p w14:paraId="1475BCD1" w14:textId="2AD7C6D4" w:rsidR="00872DFF" w:rsidRPr="00615474" w:rsidRDefault="00872DFF" w:rsidP="00866124">
      <w:pPr>
        <w:pStyle w:val="ListBullet"/>
        <w:numPr>
          <w:ilvl w:val="0"/>
          <w:numId w:val="31"/>
        </w:numPr>
      </w:pPr>
      <w:r w:rsidRPr="00615474">
        <w:t>new missions by existing ground stations that support (or suggest support) of foreign space systems, including the launch or early orbit phases</w:t>
      </w:r>
    </w:p>
    <w:p w14:paraId="03D94737" w14:textId="3665E794" w:rsidR="00872DFF" w:rsidRPr="00615474" w:rsidRDefault="00872DFF" w:rsidP="00866124">
      <w:pPr>
        <w:pStyle w:val="ListBullet"/>
        <w:numPr>
          <w:ilvl w:val="0"/>
          <w:numId w:val="31"/>
        </w:numPr>
      </w:pPr>
      <w:r w:rsidRPr="00615474">
        <w:t>new foreign</w:t>
      </w:r>
      <w:r w:rsidR="009742F2">
        <w:t>-</w:t>
      </w:r>
      <w:r w:rsidRPr="00615474">
        <w:t>owned, or partly</w:t>
      </w:r>
      <w:r w:rsidR="009742F2">
        <w:t xml:space="preserve"> </w:t>
      </w:r>
      <w:r w:rsidRPr="00615474">
        <w:t>foreign</w:t>
      </w:r>
      <w:r w:rsidR="009742F2">
        <w:t>-</w:t>
      </w:r>
      <w:r w:rsidRPr="00615474">
        <w:t>owned, earth stations and space support equipment</w:t>
      </w:r>
      <w:r w:rsidRPr="00615474">
        <w:rPr>
          <w:vertAlign w:val="superscript"/>
        </w:rPr>
        <w:footnoteReference w:id="12"/>
      </w:r>
    </w:p>
    <w:p w14:paraId="75FF409D" w14:textId="1056A0A3" w:rsidR="00872DFF" w:rsidRDefault="00872DFF" w:rsidP="00866124">
      <w:pPr>
        <w:pStyle w:val="ListBulletLast"/>
        <w:numPr>
          <w:ilvl w:val="0"/>
          <w:numId w:val="31"/>
        </w:numPr>
      </w:pPr>
      <w:r w:rsidRPr="00615474">
        <w:t>new Australian</w:t>
      </w:r>
      <w:r w:rsidR="00505361">
        <w:t>-</w:t>
      </w:r>
      <w:r w:rsidRPr="00615474">
        <w:t>owned earth stations that will provide support to foreign space systems</w:t>
      </w:r>
      <w:r w:rsidR="00505361">
        <w:t>,</w:t>
      </w:r>
      <w:r w:rsidRPr="00615474">
        <w:t xml:space="preserve"> including launch or early orbit phases, except where the foreign space system is used solely for commercial communications (for example</w:t>
      </w:r>
      <w:r w:rsidR="00505361">
        <w:t>,</w:t>
      </w:r>
      <w:r w:rsidRPr="00615474">
        <w:t xml:space="preserve"> television broadcasting).</w:t>
      </w:r>
    </w:p>
    <w:p w14:paraId="6DC4C1E1" w14:textId="7E71E50A" w:rsidR="00112FBD" w:rsidRPr="00A170A4" w:rsidRDefault="00872DFF" w:rsidP="00872DFF">
      <w:r>
        <w:t xml:space="preserve">The applicants or </w:t>
      </w:r>
      <w:r w:rsidR="00037D9A">
        <w:t>AP</w:t>
      </w:r>
      <w:r>
        <w:t xml:space="preserve"> should note that additional time may be required to process applications that are subject to wider government consultation.</w:t>
      </w:r>
    </w:p>
    <w:p w14:paraId="0A026A16" w14:textId="77777777" w:rsidR="00872DFF" w:rsidRPr="00F41BB6" w:rsidRDefault="00872DFF" w:rsidP="00872DFF">
      <w:pPr>
        <w:pStyle w:val="Heading1"/>
        <w:ind w:left="435" w:hanging="435"/>
      </w:pPr>
      <w:bookmarkStart w:id="74" w:name="_Toc392147077"/>
      <w:bookmarkStart w:id="75" w:name="_Toc478115631"/>
      <w:bookmarkStart w:id="76" w:name="_Toc478115881"/>
      <w:bookmarkStart w:id="77" w:name="_Toc480354431"/>
      <w:bookmarkStart w:id="78" w:name="_Toc483400686"/>
      <w:bookmarkStart w:id="79" w:name="_Ref488394443"/>
      <w:bookmarkStart w:id="80" w:name="_Toc490122665"/>
      <w:bookmarkStart w:id="81" w:name="_Ref501087814"/>
      <w:bookmarkStart w:id="82" w:name="_Toc14956812"/>
      <w:bookmarkStart w:id="83" w:name="_Toc153797998"/>
      <w:r w:rsidRPr="00F41BB6">
        <w:t xml:space="preserve">Licensing arrangements for </w:t>
      </w:r>
      <w:r>
        <w:t xml:space="preserve">space </w:t>
      </w:r>
      <w:r w:rsidRPr="00F41BB6">
        <w:t>stations</w:t>
      </w:r>
      <w:bookmarkEnd w:id="74"/>
      <w:bookmarkEnd w:id="75"/>
      <w:bookmarkEnd w:id="76"/>
      <w:bookmarkEnd w:id="77"/>
      <w:bookmarkEnd w:id="78"/>
      <w:bookmarkEnd w:id="79"/>
      <w:bookmarkEnd w:id="80"/>
      <w:bookmarkEnd w:id="81"/>
      <w:bookmarkEnd w:id="82"/>
      <w:bookmarkEnd w:id="83"/>
    </w:p>
    <w:p w14:paraId="24ED5766" w14:textId="77777777" w:rsidR="006A7FD9" w:rsidRDefault="006A7FD9" w:rsidP="006A7FD9">
      <w:pPr>
        <w:pStyle w:val="Paragraph"/>
      </w:pPr>
      <w:r w:rsidRPr="00BE081A">
        <w:t>A</w:t>
      </w:r>
      <w:r>
        <w:t>s for all other types of radiocommunications, a</w:t>
      </w:r>
      <w:r w:rsidRPr="00BE081A">
        <w:t xml:space="preserve"> space-based radiocommunications </w:t>
      </w:r>
      <w:r>
        <w:t>system</w:t>
      </w:r>
      <w:r w:rsidRPr="00BE081A">
        <w:t xml:space="preserve"> </w:t>
      </w:r>
      <w:r>
        <w:t>may not</w:t>
      </w:r>
      <w:r w:rsidRPr="00BE081A">
        <w:t xml:space="preserve"> be operated in Australia without a licence.</w:t>
      </w:r>
      <w:r>
        <w:t xml:space="preserve"> In general, there are two broad options for licensing of space systems in Australia.</w:t>
      </w:r>
    </w:p>
    <w:p w14:paraId="403E9CC7" w14:textId="77777777" w:rsidR="006A7FD9" w:rsidRDefault="006A7FD9" w:rsidP="006A7FD9">
      <w:pPr>
        <w:pStyle w:val="Paragraph"/>
      </w:pPr>
      <w:r>
        <w:t>The first option requires o</w:t>
      </w:r>
      <w:r w:rsidRPr="0079655E">
        <w:t xml:space="preserve">perators </w:t>
      </w:r>
      <w:r>
        <w:t xml:space="preserve">to obtain apparatus </w:t>
      </w:r>
      <w:r w:rsidRPr="0079655E">
        <w:t>licence</w:t>
      </w:r>
      <w:r>
        <w:t>s</w:t>
      </w:r>
      <w:r w:rsidRPr="0079655E">
        <w:t xml:space="preserve"> </w:t>
      </w:r>
      <w:r>
        <w:t xml:space="preserve">for </w:t>
      </w:r>
      <w:r w:rsidRPr="0079655E">
        <w:t>each of their earth stations individually</w:t>
      </w:r>
      <w:r>
        <w:t xml:space="preserve">: </w:t>
      </w:r>
      <w:r w:rsidRPr="0079655E">
        <w:t xml:space="preserve">an </w:t>
      </w:r>
      <w:r w:rsidRPr="00FC330F">
        <w:rPr>
          <w:i/>
        </w:rPr>
        <w:t>earth licence</w:t>
      </w:r>
      <w:r w:rsidRPr="0079655E">
        <w:t xml:space="preserve"> for the uplink and an </w:t>
      </w:r>
      <w:r w:rsidRPr="00FC330F">
        <w:rPr>
          <w:i/>
        </w:rPr>
        <w:t>earth receive licence</w:t>
      </w:r>
      <w:r w:rsidRPr="0079655E">
        <w:t xml:space="preserve"> for the downlink.</w:t>
      </w:r>
      <w:r>
        <w:t xml:space="preserve"> Under this approach, a licence is not required for the space stations aboard a satellite. </w:t>
      </w:r>
    </w:p>
    <w:p w14:paraId="3D114507" w14:textId="77777777" w:rsidR="006A7FD9" w:rsidRDefault="006A7FD9" w:rsidP="006A7FD9">
      <w:pPr>
        <w:pStyle w:val="Paragraph"/>
      </w:pPr>
      <w:r>
        <w:t xml:space="preserve">The second option involves a combination of apparatus and class licences. In certain bands specified in the </w:t>
      </w:r>
      <w:r>
        <w:rPr>
          <w:rFonts w:eastAsiaTheme="minorHAnsi"/>
          <w:szCs w:val="20"/>
        </w:rPr>
        <w:t xml:space="preserve">Communication with </w:t>
      </w:r>
      <w:r w:rsidRPr="007F306B">
        <w:t>Space Object Class Licence</w:t>
      </w:r>
      <w:r>
        <w:t xml:space="preserve">, it requires operators to obtain a licence for the space stations aboard a satellite with a </w:t>
      </w:r>
      <w:r w:rsidRPr="00FC330F">
        <w:rPr>
          <w:i/>
        </w:rPr>
        <w:t>space licence</w:t>
      </w:r>
      <w:r w:rsidRPr="00D7793A">
        <w:rPr>
          <w:iCs/>
        </w:rPr>
        <w:t xml:space="preserve"> </w:t>
      </w:r>
      <w:r>
        <w:t xml:space="preserve">for the downlink and a </w:t>
      </w:r>
      <w:r w:rsidRPr="00FC330F">
        <w:rPr>
          <w:i/>
        </w:rPr>
        <w:t>space receive licence</w:t>
      </w:r>
      <w:r>
        <w:t xml:space="preserve"> for the uplink. Earth stations in the network are then automatically authorised collectively under </w:t>
      </w:r>
      <w:bookmarkStart w:id="84" w:name="_Hlk347270"/>
      <w:r>
        <w:t>the</w:t>
      </w:r>
      <w:bookmarkEnd w:id="84"/>
      <w:r>
        <w:t xml:space="preserve"> Communication with </w:t>
      </w:r>
      <w:r w:rsidRPr="007F306B">
        <w:t>Space Object Class Licence</w:t>
      </w:r>
      <w:r>
        <w:t>. This</w:t>
      </w:r>
      <w:r w:rsidRPr="009E3086">
        <w:t xml:space="preserve"> approach is typically used </w:t>
      </w:r>
      <w:r>
        <w:t>for</w:t>
      </w:r>
      <w:r w:rsidRPr="009E3086">
        <w:t xml:space="preserve"> satellite systems with numerous or ubiquitous earth stations. </w:t>
      </w:r>
      <w:r>
        <w:t>It</w:t>
      </w:r>
      <w:r w:rsidRPr="009E3086">
        <w:t xml:space="preserve"> provides an efficient means of licensing a large number of earth stations, avoiding the need to obtain a licence for every earth station in a satellite system.</w:t>
      </w:r>
      <w:r>
        <w:t xml:space="preserve"> </w:t>
      </w:r>
    </w:p>
    <w:p w14:paraId="5A91E300" w14:textId="77777777" w:rsidR="006A7FD9" w:rsidRPr="006A57F8" w:rsidRDefault="006A7FD9" w:rsidP="006A7FD9">
      <w:pPr>
        <w:pStyle w:val="Paragraph"/>
      </w:pPr>
      <w:r>
        <w:t xml:space="preserve">A key requirement irrespective of which approach to licensing is used is that the satellite system must normally be filed with the International Telecommunication Union (ITU) by the ACMA or equivalent national administration of an ITU member state.  </w:t>
      </w:r>
    </w:p>
    <w:p w14:paraId="06789B51" w14:textId="69EED3DC" w:rsidR="00872DFF" w:rsidRDefault="006A7FD9" w:rsidP="00872DFF">
      <w:r>
        <w:t xml:space="preserve">If an operator wishes to licence a satellite system under the second option, the controlling business entity must first be included in either the </w:t>
      </w:r>
      <w:hyperlink r:id="rId52" w:history="1">
        <w:r w:rsidRPr="00957B3E">
          <w:rPr>
            <w:rStyle w:val="Hyperlink"/>
          </w:rPr>
          <w:t>Radiocommunications (Australian Space Objects) Determination 2014</w:t>
        </w:r>
      </w:hyperlink>
      <w:r w:rsidRPr="00D7793A">
        <w:t xml:space="preserve"> </w:t>
      </w:r>
      <w:r w:rsidR="002451E4">
        <w:t xml:space="preserve">(Australian Space Objects Determination) </w:t>
      </w:r>
      <w:r>
        <w:t xml:space="preserve">or the </w:t>
      </w:r>
      <w:hyperlink r:id="rId53" w:history="1">
        <w:r w:rsidRPr="008A23B2">
          <w:rPr>
            <w:rStyle w:val="Hyperlink"/>
            <w:rFonts w:eastAsiaTheme="minorHAnsi" w:cs="Arial"/>
            <w:szCs w:val="20"/>
          </w:rPr>
          <w:t>Radiocommunications (Foreign Space Objects) Determination 2014</w:t>
        </w:r>
      </w:hyperlink>
      <w:r w:rsidR="00587F11">
        <w:t xml:space="preserve"> (Foreign Space Objects Determination).</w:t>
      </w:r>
      <w:r>
        <w:t xml:space="preserve"> </w:t>
      </w:r>
      <w:r w:rsidR="00872DFF" w:rsidRPr="00F41BB6">
        <w:t xml:space="preserve">In the context of </w:t>
      </w:r>
      <w:r w:rsidR="00872DFF">
        <w:t xml:space="preserve">space </w:t>
      </w:r>
      <w:r w:rsidR="00872DFF" w:rsidRPr="00F41BB6">
        <w:t xml:space="preserve">station operation, the </w:t>
      </w:r>
      <w:r w:rsidR="00872DFF">
        <w:rPr>
          <w:i/>
        </w:rPr>
        <w:t>s</w:t>
      </w:r>
      <w:r w:rsidR="00872DFF" w:rsidRPr="00A170A4">
        <w:rPr>
          <w:i/>
        </w:rPr>
        <w:t>pace</w:t>
      </w:r>
      <w:r w:rsidR="00872DFF">
        <w:t xml:space="preserve"> </w:t>
      </w:r>
      <w:r w:rsidR="00872DFF" w:rsidRPr="00F41BB6">
        <w:t xml:space="preserve">and </w:t>
      </w:r>
      <w:r w:rsidR="00872DFF">
        <w:rPr>
          <w:i/>
        </w:rPr>
        <w:t>s</w:t>
      </w:r>
      <w:r w:rsidR="00872DFF" w:rsidRPr="00A170A4">
        <w:rPr>
          <w:i/>
        </w:rPr>
        <w:t xml:space="preserve">pace </w:t>
      </w:r>
      <w:r w:rsidR="00872DFF">
        <w:rPr>
          <w:i/>
        </w:rPr>
        <w:t>r</w:t>
      </w:r>
      <w:r w:rsidR="00872DFF" w:rsidRPr="00A170A4">
        <w:rPr>
          <w:i/>
        </w:rPr>
        <w:t>eceive</w:t>
      </w:r>
      <w:r w:rsidR="00872DFF" w:rsidRPr="00F41BB6">
        <w:t xml:space="preserve"> licence types may be used to authorise</w:t>
      </w:r>
      <w:r w:rsidR="00872DFF">
        <w:t xml:space="preserve"> the transmission (downlink, </w:t>
      </w:r>
      <w:r w:rsidR="00505361">
        <w:t>that is,</w:t>
      </w:r>
      <w:r w:rsidR="00872DFF">
        <w:t xml:space="preserve"> space-to-</w:t>
      </w:r>
      <w:r w:rsidR="00112FBD">
        <w:t>e</w:t>
      </w:r>
      <w:r w:rsidR="00872DFF">
        <w:t xml:space="preserve">arth direction) and the reception (uplink, </w:t>
      </w:r>
      <w:r w:rsidR="00505361">
        <w:t xml:space="preserve">that is, </w:t>
      </w:r>
      <w:r w:rsidR="00112FBD">
        <w:t>e</w:t>
      </w:r>
      <w:r w:rsidR="00872DFF">
        <w:t>arth-to-space direction) of space stations.</w:t>
      </w:r>
    </w:p>
    <w:p w14:paraId="0E7FD0DB" w14:textId="7A116D7C" w:rsidR="005D305A" w:rsidRDefault="00094684" w:rsidP="00094684">
      <w:pPr>
        <w:pStyle w:val="Heading2"/>
        <w:numPr>
          <w:ilvl w:val="0"/>
          <w:numId w:val="0"/>
        </w:numPr>
        <w:ind w:left="142"/>
      </w:pPr>
      <w:bookmarkStart w:id="85" w:name="_Toc153797999"/>
      <w:r>
        <w:t xml:space="preserve">5.1 </w:t>
      </w:r>
      <w:r w:rsidR="005D305A">
        <w:t>Space Objects Determinations</w:t>
      </w:r>
      <w:bookmarkEnd w:id="85"/>
    </w:p>
    <w:p w14:paraId="14599BBE" w14:textId="77777777" w:rsidR="00E4111C" w:rsidRDefault="00E4111C" w:rsidP="00E4111C">
      <w:pPr>
        <w:rPr>
          <w:rFonts w:eastAsiaTheme="minorHAnsi" w:cs="Arial"/>
          <w:szCs w:val="20"/>
        </w:rPr>
      </w:pPr>
      <w:r>
        <w:rPr>
          <w:rFonts w:eastAsiaTheme="minorHAnsi" w:cs="Arial"/>
          <w:szCs w:val="20"/>
        </w:rPr>
        <w:t>The Foreign Space Objects Determination and the Australian Space Objects Determination are legislative instruments made by the ACMA that extends application of the Radiocommunications Act to:</w:t>
      </w:r>
    </w:p>
    <w:p w14:paraId="0C0583FA" w14:textId="6127C8C9" w:rsidR="00E4111C" w:rsidRDefault="00E4111C" w:rsidP="00866124">
      <w:pPr>
        <w:pStyle w:val="ListBullet"/>
        <w:numPr>
          <w:ilvl w:val="0"/>
          <w:numId w:val="26"/>
        </w:numPr>
        <w:rPr>
          <w:rFonts w:eastAsiaTheme="minorHAnsi" w:cs="Arial"/>
          <w:szCs w:val="20"/>
        </w:rPr>
      </w:pPr>
      <w:r>
        <w:rPr>
          <w:rFonts w:eastAsiaTheme="minorHAnsi" w:cs="Arial"/>
          <w:szCs w:val="20"/>
        </w:rPr>
        <w:t xml:space="preserve">In the </w:t>
      </w:r>
      <w:r w:rsidRPr="00D070F5">
        <w:t>case</w:t>
      </w:r>
      <w:r>
        <w:rPr>
          <w:rFonts w:eastAsiaTheme="minorHAnsi" w:cs="Arial"/>
          <w:szCs w:val="20"/>
        </w:rPr>
        <w:t xml:space="preserve"> of the Foreign Space Objects Determination, space objects owned, controlled or operated by foreign business entities listed in the determination</w:t>
      </w:r>
      <w:r w:rsidR="00587F11">
        <w:rPr>
          <w:rFonts w:eastAsiaTheme="minorHAnsi" w:cs="Arial"/>
          <w:szCs w:val="20"/>
        </w:rPr>
        <w:t>; and,</w:t>
      </w:r>
      <w:r>
        <w:rPr>
          <w:rFonts w:eastAsiaTheme="minorHAnsi" w:cs="Arial"/>
          <w:szCs w:val="20"/>
        </w:rPr>
        <w:t xml:space="preserve"> </w:t>
      </w:r>
    </w:p>
    <w:p w14:paraId="30D14D2A" w14:textId="4B795F59" w:rsidR="00E4111C" w:rsidRDefault="00587F11" w:rsidP="00866124">
      <w:pPr>
        <w:pStyle w:val="ListBulletLast"/>
        <w:numPr>
          <w:ilvl w:val="0"/>
          <w:numId w:val="26"/>
        </w:numPr>
        <w:rPr>
          <w:rFonts w:eastAsiaTheme="minorHAnsi"/>
          <w:szCs w:val="20"/>
        </w:rPr>
      </w:pPr>
      <w:r>
        <w:rPr>
          <w:rFonts w:eastAsiaTheme="minorHAnsi"/>
          <w:szCs w:val="20"/>
        </w:rPr>
        <w:t xml:space="preserve">In </w:t>
      </w:r>
      <w:r w:rsidRPr="00D070F5">
        <w:t>the</w:t>
      </w:r>
      <w:r>
        <w:rPr>
          <w:rFonts w:eastAsiaTheme="minorHAnsi"/>
          <w:szCs w:val="20"/>
        </w:rPr>
        <w:t xml:space="preserve"> case of the Australian Space Objects Determination, </w:t>
      </w:r>
      <w:r>
        <w:rPr>
          <w:szCs w:val="20"/>
        </w:rPr>
        <w:t>Australian space objects listed in the Determination. The ACMA considers Australian space objects to be those associated with satellite operators who have successfully applied to the ACMA seeking to achieve access to frequencies through the International Telecommunication Union (ITU) process</w:t>
      </w:r>
    </w:p>
    <w:p w14:paraId="0898E127" w14:textId="4AA4D6CD" w:rsidR="00E4111C" w:rsidRPr="0013458E" w:rsidRDefault="00E4111C" w:rsidP="00E4111C">
      <w:r>
        <w:rPr>
          <w:rFonts w:eastAsiaTheme="minorHAnsi" w:cs="Arial"/>
          <w:szCs w:val="20"/>
        </w:rPr>
        <w:t>This has the effect of requiring radiocommunication between these space objects and earth stations inside Australia to be authorised by a licence issued by the ACMA.</w:t>
      </w:r>
      <w:r w:rsidRPr="0013458E">
        <w:t xml:space="preserve"> </w:t>
      </w:r>
    </w:p>
    <w:p w14:paraId="073AB675" w14:textId="0E2B14C7" w:rsidR="00587F11" w:rsidRDefault="00587F11" w:rsidP="00587F11">
      <w:pPr>
        <w:spacing w:after="160" w:line="256" w:lineRule="auto"/>
        <w:rPr>
          <w:rFonts w:eastAsiaTheme="minorHAnsi" w:cs="Arial"/>
          <w:szCs w:val="20"/>
        </w:rPr>
      </w:pPr>
      <w:r>
        <w:rPr>
          <w:rFonts w:eastAsiaTheme="minorHAnsi" w:cs="Arial"/>
          <w:szCs w:val="20"/>
        </w:rPr>
        <w:t>A</w:t>
      </w:r>
      <w:r w:rsidRPr="00E7618E">
        <w:rPr>
          <w:rFonts w:eastAsiaTheme="minorHAnsi" w:cs="Arial"/>
          <w:szCs w:val="20"/>
        </w:rPr>
        <w:t xml:space="preserve"> satellite operator must first be included in </w:t>
      </w:r>
      <w:r>
        <w:rPr>
          <w:rFonts w:eastAsiaTheme="minorHAnsi" w:cs="Arial"/>
          <w:szCs w:val="20"/>
        </w:rPr>
        <w:t>either Section 4 of the Australian Space Objects Determination</w:t>
      </w:r>
      <w:r w:rsidRPr="00E7618E">
        <w:rPr>
          <w:rFonts w:eastAsiaTheme="minorHAnsi" w:cs="Arial"/>
          <w:szCs w:val="20"/>
        </w:rPr>
        <w:t xml:space="preserve"> </w:t>
      </w:r>
      <w:r>
        <w:rPr>
          <w:rFonts w:eastAsiaTheme="minorHAnsi" w:cs="Arial"/>
          <w:szCs w:val="20"/>
        </w:rPr>
        <w:t>or Schedule 1 of the Foreign Space Objects Determination</w:t>
      </w:r>
      <w:r w:rsidRPr="00E7618E">
        <w:rPr>
          <w:rFonts w:eastAsiaTheme="minorHAnsi" w:cs="Arial"/>
          <w:szCs w:val="20"/>
        </w:rPr>
        <w:t xml:space="preserve"> before a satellite network can be licensed to operate in specific shared satellite radiofrequency bands listed in the </w:t>
      </w:r>
      <w:r>
        <w:rPr>
          <w:rFonts w:eastAsiaTheme="minorHAnsi" w:cs="Arial"/>
          <w:szCs w:val="20"/>
        </w:rPr>
        <w:t xml:space="preserve">Communications with </w:t>
      </w:r>
      <w:r w:rsidRPr="00E7618E">
        <w:rPr>
          <w:rFonts w:eastAsiaTheme="minorHAnsi" w:cs="Arial"/>
          <w:szCs w:val="20"/>
        </w:rPr>
        <w:t>Space Object Class Licence</w:t>
      </w:r>
      <w:r>
        <w:rPr>
          <w:rFonts w:eastAsiaTheme="minorHAnsi" w:cs="Arial"/>
          <w:szCs w:val="20"/>
        </w:rPr>
        <w:t>.</w:t>
      </w:r>
    </w:p>
    <w:p w14:paraId="30DD1A44" w14:textId="3780D413" w:rsidR="00E4111C" w:rsidRPr="00130540" w:rsidRDefault="00E4111C" w:rsidP="00E4111C">
      <w:pPr>
        <w:spacing w:after="160" w:line="256" w:lineRule="auto"/>
        <w:rPr>
          <w:rFonts w:eastAsiaTheme="minorHAnsi" w:cs="Arial"/>
          <w:szCs w:val="20"/>
        </w:rPr>
      </w:pPr>
      <w:r>
        <w:rPr>
          <w:rFonts w:eastAsiaTheme="minorHAnsi" w:cs="Arial"/>
          <w:szCs w:val="20"/>
        </w:rPr>
        <w:t xml:space="preserve">Inclusion of an entity in </w:t>
      </w:r>
      <w:r w:rsidR="00587F11">
        <w:rPr>
          <w:rFonts w:eastAsiaTheme="minorHAnsi" w:cs="Arial"/>
          <w:szCs w:val="20"/>
        </w:rPr>
        <w:t xml:space="preserve">either </w:t>
      </w:r>
      <w:r>
        <w:rPr>
          <w:rFonts w:eastAsiaTheme="minorHAnsi" w:cs="Arial"/>
          <w:szCs w:val="20"/>
        </w:rPr>
        <w:t xml:space="preserve">the </w:t>
      </w:r>
      <w:r w:rsidR="00587F11">
        <w:rPr>
          <w:rFonts w:eastAsiaTheme="minorHAnsi" w:cs="Arial"/>
          <w:szCs w:val="20"/>
        </w:rPr>
        <w:t xml:space="preserve">Australian Space Objects Determination or the </w:t>
      </w:r>
      <w:r>
        <w:rPr>
          <w:rFonts w:eastAsiaTheme="minorHAnsi" w:cs="Arial"/>
          <w:szCs w:val="20"/>
        </w:rPr>
        <w:t xml:space="preserve">Foreign Space Objects Determination does not confer a right on that entity to obtain a licence nor operate in frequency bands identified in </w:t>
      </w:r>
      <w:r w:rsidR="002A3DB9">
        <w:rPr>
          <w:rFonts w:eastAsiaTheme="minorHAnsi" w:cs="Arial"/>
          <w:szCs w:val="20"/>
        </w:rPr>
        <w:t>CSO Class Licence</w:t>
      </w:r>
      <w:r>
        <w:rPr>
          <w:rFonts w:eastAsiaTheme="minorHAnsi" w:cs="Arial"/>
          <w:szCs w:val="20"/>
        </w:rPr>
        <w:t>. Rather, it is a necessary prerequisite that must be in place before a space</w:t>
      </w:r>
      <w:r w:rsidR="00587F11">
        <w:rPr>
          <w:rFonts w:eastAsiaTheme="minorHAnsi" w:cs="Arial"/>
          <w:szCs w:val="20"/>
        </w:rPr>
        <w:t xml:space="preserve"> or space receive</w:t>
      </w:r>
      <w:r>
        <w:rPr>
          <w:rFonts w:eastAsiaTheme="minorHAnsi" w:cs="Arial"/>
          <w:szCs w:val="20"/>
        </w:rPr>
        <w:t xml:space="preserve"> apparatus licence can be issued.</w:t>
      </w:r>
    </w:p>
    <w:p w14:paraId="2D457A25" w14:textId="75ABB16D" w:rsidR="00E4111C" w:rsidRDefault="00E4111C" w:rsidP="00E4111C">
      <w:pPr>
        <w:rPr>
          <w:rFonts w:cs="Arial"/>
        </w:rPr>
      </w:pPr>
      <w:r w:rsidRPr="00431926">
        <w:rPr>
          <w:rFonts w:cs="Arial"/>
        </w:rPr>
        <w:t xml:space="preserve">Before varying </w:t>
      </w:r>
      <w:r w:rsidR="00587F11">
        <w:rPr>
          <w:rFonts w:cs="Arial"/>
        </w:rPr>
        <w:t>either</w:t>
      </w:r>
      <w:r w:rsidRPr="00431926">
        <w:rPr>
          <w:rFonts w:cs="Arial"/>
        </w:rPr>
        <w:t xml:space="preserve"> Determination, the ACMA must undertake </w:t>
      </w:r>
      <w:r>
        <w:rPr>
          <w:rFonts w:cs="Arial"/>
        </w:rPr>
        <w:t xml:space="preserve">consultation in accordance with the requirements of the </w:t>
      </w:r>
      <w:r>
        <w:rPr>
          <w:rFonts w:cs="Arial"/>
          <w:i/>
          <w:iCs/>
        </w:rPr>
        <w:t>Legislation Act 2003</w:t>
      </w:r>
      <w:r>
        <w:rPr>
          <w:rFonts w:cs="Arial"/>
        </w:rPr>
        <w:t>.</w:t>
      </w:r>
    </w:p>
    <w:p w14:paraId="4B6EE6B1" w14:textId="451F3F3B" w:rsidR="00587F11" w:rsidRDefault="00587F11" w:rsidP="00587F11">
      <w:pPr>
        <w:rPr>
          <w:rFonts w:ascii="Calibri" w:hAnsi="Calibri"/>
        </w:rPr>
      </w:pPr>
      <w:r>
        <w:t xml:space="preserve">By being included in the </w:t>
      </w:r>
      <w:r w:rsidR="005D305A">
        <w:rPr>
          <w:rFonts w:eastAsiaTheme="minorHAnsi" w:cs="Arial"/>
          <w:szCs w:val="20"/>
        </w:rPr>
        <w:t>Foreign Space Objects Determination</w:t>
      </w:r>
      <w:r>
        <w:t xml:space="preserve">, the relevant company is agreeing to be bound by Australian spectrum management regulations, however these generally only come into effect if a licence is issued.  </w:t>
      </w:r>
    </w:p>
    <w:p w14:paraId="203D57CB" w14:textId="40921AF3" w:rsidR="00587F11" w:rsidRDefault="005D305A" w:rsidP="00587F11">
      <w:r>
        <w:t>T</w:t>
      </w:r>
      <w:r w:rsidR="00587F11">
        <w:t xml:space="preserve">he following information </w:t>
      </w:r>
      <w:r>
        <w:t xml:space="preserve">is required as part of any application </w:t>
      </w:r>
      <w:r w:rsidR="00587F11">
        <w:t xml:space="preserve">for inclusion in the </w:t>
      </w:r>
      <w:r>
        <w:rPr>
          <w:rFonts w:eastAsiaTheme="minorHAnsi" w:cs="Arial"/>
          <w:szCs w:val="20"/>
        </w:rPr>
        <w:t xml:space="preserve">Foreign Space Objects Determination and the Australian Space Objects Determination </w:t>
      </w:r>
      <w:r w:rsidR="00587F11">
        <w:t>as indicated below.</w:t>
      </w:r>
    </w:p>
    <w:p w14:paraId="64E2F5AD" w14:textId="77777777" w:rsidR="00587F11" w:rsidRDefault="00587F11" w:rsidP="00866124">
      <w:pPr>
        <w:pStyle w:val="ListParagraph"/>
        <w:numPr>
          <w:ilvl w:val="0"/>
          <w:numId w:val="15"/>
        </w:numPr>
        <w:spacing w:after="60" w:line="252" w:lineRule="auto"/>
        <w:ind w:left="284"/>
        <w:contextualSpacing w:val="0"/>
      </w:pPr>
      <w:r>
        <w:t>Timeframe information regarding deployment of the satellite and terrestrial components and timeframe for lodgement of licensing applications to the ACMA.</w:t>
      </w:r>
    </w:p>
    <w:p w14:paraId="71F7D9D1" w14:textId="77777777" w:rsidR="00587F11" w:rsidRDefault="00587F11" w:rsidP="00866124">
      <w:pPr>
        <w:pStyle w:val="ListParagraph"/>
        <w:numPr>
          <w:ilvl w:val="0"/>
          <w:numId w:val="15"/>
        </w:numPr>
        <w:spacing w:after="60" w:line="252" w:lineRule="auto"/>
        <w:ind w:left="284" w:hanging="357"/>
        <w:contextualSpacing w:val="0"/>
        <w:rPr>
          <w:rFonts w:eastAsiaTheme="minorHAnsi"/>
        </w:rPr>
      </w:pPr>
      <w:r>
        <w:t>General information on the service to be delivered, potential customers, etc.</w:t>
      </w:r>
    </w:p>
    <w:p w14:paraId="4C6C1D50" w14:textId="57F52AA3" w:rsidR="00587F11" w:rsidRDefault="005D305A" w:rsidP="00866124">
      <w:pPr>
        <w:pStyle w:val="ListParagraph"/>
        <w:numPr>
          <w:ilvl w:val="0"/>
          <w:numId w:val="15"/>
        </w:numPr>
        <w:spacing w:after="60" w:line="252" w:lineRule="auto"/>
        <w:ind w:left="284"/>
        <w:contextualSpacing w:val="0"/>
      </w:pPr>
      <w:r>
        <w:t>In the case of the Foreign Space Objects Determination, i</w:t>
      </w:r>
      <w:r w:rsidR="00587F11">
        <w:t>nformation explaining why inclusion of the relevant entity in the Determination is in the Australian interest.</w:t>
      </w:r>
    </w:p>
    <w:p w14:paraId="6AAD5F99" w14:textId="5313A065" w:rsidR="00587F11" w:rsidRDefault="00587F11" w:rsidP="00866124">
      <w:pPr>
        <w:pStyle w:val="ListParagraph"/>
        <w:numPr>
          <w:ilvl w:val="0"/>
          <w:numId w:val="15"/>
        </w:numPr>
        <w:spacing w:after="60" w:line="252" w:lineRule="auto"/>
        <w:ind w:left="284" w:hanging="357"/>
        <w:contextualSpacing w:val="0"/>
      </w:pPr>
      <w:r>
        <w:t xml:space="preserve">The correct name of the company to be included in the Determination (in the same format as others listed in </w:t>
      </w:r>
      <w:r w:rsidR="005D305A">
        <w:t>the Determinations</w:t>
      </w:r>
      <w:r>
        <w:t>)</w:t>
      </w:r>
    </w:p>
    <w:p w14:paraId="1839731C" w14:textId="6454B684" w:rsidR="00587F11" w:rsidRDefault="00587F11" w:rsidP="00866124">
      <w:pPr>
        <w:pStyle w:val="ListParagraph"/>
        <w:numPr>
          <w:ilvl w:val="0"/>
          <w:numId w:val="15"/>
        </w:numPr>
        <w:spacing w:after="60" w:line="252" w:lineRule="auto"/>
        <w:ind w:left="284" w:hanging="357"/>
        <w:contextualSpacing w:val="0"/>
      </w:pPr>
      <w:r>
        <w:t>Evidence that there is an authorisation/agreement/request from this company  to request the modification of the Determination or contractual agreement between both companies indicating that such request is necessary.</w:t>
      </w:r>
    </w:p>
    <w:p w14:paraId="6F01BCAE" w14:textId="3899CF73" w:rsidR="00587F11" w:rsidRDefault="00587F11" w:rsidP="00866124">
      <w:pPr>
        <w:pStyle w:val="ListParagraph"/>
        <w:numPr>
          <w:ilvl w:val="0"/>
          <w:numId w:val="15"/>
        </w:numPr>
        <w:spacing w:after="60" w:line="252" w:lineRule="auto"/>
        <w:ind w:left="284" w:hanging="357"/>
        <w:contextualSpacing w:val="0"/>
      </w:pPr>
      <w:r>
        <w:t>Information that demonstrates the proposed inclusion would meet the classifications in the determination.</w:t>
      </w:r>
      <w:r w:rsidR="00D070F5">
        <w:t xml:space="preserve"> </w:t>
      </w:r>
      <w:r>
        <w:t>For example,</w:t>
      </w:r>
      <w:r w:rsidR="005D305A">
        <w:t xml:space="preserve"> in the case of the Foreign Space Objects Determination,</w:t>
      </w:r>
      <w:r>
        <w:t xml:space="preserve"> information confirming</w:t>
      </w:r>
      <w:r w:rsidR="00D070F5">
        <w:t xml:space="preserve"> </w:t>
      </w:r>
      <w:r>
        <w:t>eligibility</w:t>
      </w:r>
      <w:r w:rsidR="00D070F5">
        <w:t xml:space="preserve"> </w:t>
      </w:r>
      <w:r>
        <w:t xml:space="preserve">to be listed in Schedule 1, being </w:t>
      </w:r>
      <w:r>
        <w:rPr>
          <w:i/>
          <w:iCs/>
        </w:rPr>
        <w:t>owners, controllers or operators of foreign space objects operating in frequency range mentioned in class licence</w:t>
      </w:r>
      <w:r>
        <w:t>. This could include a record of incorporation in the relevant foreign jurisdiction.</w:t>
      </w:r>
    </w:p>
    <w:p w14:paraId="30B0524D" w14:textId="77777777" w:rsidR="00587F11" w:rsidRDefault="00587F11" w:rsidP="00866124">
      <w:pPr>
        <w:pStyle w:val="ListParagraph"/>
        <w:numPr>
          <w:ilvl w:val="0"/>
          <w:numId w:val="15"/>
        </w:numPr>
        <w:spacing w:after="60" w:line="252" w:lineRule="auto"/>
        <w:ind w:left="284" w:hanging="357"/>
        <w:contextualSpacing w:val="0"/>
      </w:pPr>
      <w:r>
        <w:t>Evidence that the person making the request is authorised to do so.</w:t>
      </w:r>
    </w:p>
    <w:p w14:paraId="77522DCF" w14:textId="69E181D2" w:rsidR="00587F11" w:rsidRDefault="005D305A" w:rsidP="00866124">
      <w:pPr>
        <w:pStyle w:val="ListParagraph"/>
        <w:numPr>
          <w:ilvl w:val="0"/>
          <w:numId w:val="15"/>
        </w:numPr>
        <w:spacing w:after="60" w:line="252" w:lineRule="auto"/>
        <w:ind w:left="284" w:hanging="357"/>
        <w:contextualSpacing w:val="0"/>
      </w:pPr>
      <w:r>
        <w:t>In the case of the Foreign Space Objects Determination, i</w:t>
      </w:r>
      <w:r w:rsidR="00587F11">
        <w:t>nformation on the ITU satellite filing, which administration it was filed by, and evidence that company listed controls the company that has the filings and has the ability to cease providing transmissions to Australia if requested to by the ACMA.</w:t>
      </w:r>
    </w:p>
    <w:p w14:paraId="56C28C18" w14:textId="0A429024" w:rsidR="00587F11" w:rsidRDefault="00587F11" w:rsidP="00E4111C">
      <w:r>
        <w:t xml:space="preserve">The decision to update the Determination is a matter for the </w:t>
      </w:r>
      <w:hyperlink r:id="rId54" w:history="1">
        <w:r w:rsidR="00B75003" w:rsidRPr="00B75003">
          <w:rPr>
            <w:rStyle w:val="Hyperlink"/>
          </w:rPr>
          <w:t>Authority</w:t>
        </w:r>
      </w:hyperlink>
      <w:r w:rsidR="00B75003">
        <w:t xml:space="preserve"> of the ACMA</w:t>
      </w:r>
      <w:r w:rsidR="00652D3D">
        <w:t xml:space="preserve">. </w:t>
      </w:r>
      <w:r>
        <w:t>Accordingly, the information supplied needs to be of standard that would satisfy</w:t>
      </w:r>
      <w:r w:rsidR="00D070F5">
        <w:t xml:space="preserve"> </w:t>
      </w:r>
      <w:r>
        <w:t>a legal due diligence check.</w:t>
      </w:r>
      <w:r w:rsidR="005D305A" w:rsidRPr="005D305A">
        <w:t xml:space="preserve"> The ACMA typically updates the Determination</w:t>
      </w:r>
      <w:r w:rsidR="005D305A">
        <w:t>s</w:t>
      </w:r>
      <w:r w:rsidR="005D305A" w:rsidRPr="005D305A">
        <w:t xml:space="preserve"> approximately once per year, preferably combining a number of requests in a single update</w:t>
      </w:r>
      <w:r w:rsidR="005D305A">
        <w:t>.</w:t>
      </w:r>
    </w:p>
    <w:p w14:paraId="176EC07A" w14:textId="77777777" w:rsidR="00D06765" w:rsidRPr="00C23697" w:rsidRDefault="00D06765" w:rsidP="00E4111C"/>
    <w:p w14:paraId="5BEB2A3F" w14:textId="4226D851" w:rsidR="00872DFF" w:rsidRPr="00F41BB6" w:rsidRDefault="00872DFF" w:rsidP="00D070F5">
      <w:pPr>
        <w:pStyle w:val="Heading1"/>
        <w:keepLines/>
        <w:ind w:left="435" w:hanging="435"/>
      </w:pPr>
      <w:bookmarkStart w:id="86" w:name="_Toc392147078"/>
      <w:bookmarkStart w:id="87" w:name="_Toc478115632"/>
      <w:bookmarkStart w:id="88" w:name="_Toc478115882"/>
      <w:bookmarkStart w:id="89" w:name="_Toc480354432"/>
      <w:bookmarkStart w:id="90" w:name="_Toc483400687"/>
      <w:bookmarkStart w:id="91" w:name="_Ref488394499"/>
      <w:bookmarkStart w:id="92" w:name="_Ref488394547"/>
      <w:bookmarkStart w:id="93" w:name="_Toc490122666"/>
      <w:bookmarkStart w:id="94" w:name="_Toc14956813"/>
      <w:bookmarkStart w:id="95" w:name="_Toc153798000"/>
      <w:r w:rsidRPr="00F41BB6">
        <w:t xml:space="preserve">Special </w:t>
      </w:r>
      <w:r>
        <w:t>l</w:t>
      </w:r>
      <w:r w:rsidRPr="00F41BB6">
        <w:t xml:space="preserve">icence conditions and </w:t>
      </w:r>
      <w:r>
        <w:t>a</w:t>
      </w:r>
      <w:r w:rsidRPr="00F41BB6">
        <w:t xml:space="preserve">dvisory </w:t>
      </w:r>
      <w:bookmarkEnd w:id="86"/>
      <w:bookmarkEnd w:id="87"/>
      <w:bookmarkEnd w:id="88"/>
      <w:bookmarkEnd w:id="89"/>
      <w:bookmarkEnd w:id="90"/>
      <w:bookmarkEnd w:id="91"/>
      <w:bookmarkEnd w:id="92"/>
      <w:r>
        <w:t>n</w:t>
      </w:r>
      <w:r w:rsidRPr="00F41BB6">
        <w:t>otes</w:t>
      </w:r>
      <w:bookmarkEnd w:id="93"/>
      <w:bookmarkEnd w:id="94"/>
      <w:bookmarkEnd w:id="95"/>
    </w:p>
    <w:p w14:paraId="62BDD7E7" w14:textId="36A07A2A" w:rsidR="00872DFF" w:rsidRPr="00113829" w:rsidRDefault="00872DFF" w:rsidP="00D070F5">
      <w:pPr>
        <w:keepLines/>
      </w:pPr>
      <w:r w:rsidRPr="00F41BB6">
        <w:rPr>
          <w:rFonts w:cs="Arial"/>
          <w:szCs w:val="20"/>
        </w:rPr>
        <w:t xml:space="preserve">The </w:t>
      </w:r>
      <w:hyperlink r:id="rId55" w:history="1">
        <w:r w:rsidRPr="00632B88">
          <w:rPr>
            <w:rStyle w:val="Hyperlink"/>
          </w:rPr>
          <w:t>Radiocommunications Licence Conditions (Apparatus Licence) Determination 2015</w:t>
        </w:r>
      </w:hyperlink>
      <w:r w:rsidRPr="00B61B01" w:rsidDel="00B61B01">
        <w:t xml:space="preserve"> </w:t>
      </w:r>
      <w:r w:rsidRPr="00F41BB6">
        <w:rPr>
          <w:rFonts w:cs="Arial"/>
          <w:szCs w:val="20"/>
        </w:rPr>
        <w:t>(LCD</w:t>
      </w:r>
      <w:r w:rsidRPr="00113829">
        <w:t xml:space="preserve">) specifies general conditions of operation that are common to most apparatus licence types. Additional conditions not in the LCD </w:t>
      </w:r>
      <w:r>
        <w:t>may</w:t>
      </w:r>
      <w:r w:rsidRPr="00113829">
        <w:t xml:space="preserve"> be included on individual apparatus licences to address issues specific to an assigned service. These conditions are printed on the licence under the heading 'Special Conditions'.</w:t>
      </w:r>
    </w:p>
    <w:p w14:paraId="205EFCB1" w14:textId="6370A564" w:rsidR="00872DFF" w:rsidRPr="00113829" w:rsidRDefault="00872DFF" w:rsidP="00872DFF">
      <w:r w:rsidRPr="00113829">
        <w:t>In addition, ‘Advisory Notes’ may also be included on licences to inform licensees of matters relevant to a particular service. Unlike licence conditions, advisory notes do not impose a legal obligation on the licensee.</w:t>
      </w:r>
    </w:p>
    <w:p w14:paraId="5C4BF4C3" w14:textId="3B9BFA71" w:rsidR="00872DFF" w:rsidRDefault="00FF6154" w:rsidP="00872DFF">
      <w:r>
        <w:t xml:space="preserve">Appendixes </w:t>
      </w:r>
      <w:r w:rsidR="00872DFF">
        <w:t>A and B</w:t>
      </w:r>
      <w:r w:rsidR="00872DFF" w:rsidRPr="00113829">
        <w:t xml:space="preserve"> detail the special conditions and advisory notes </w:t>
      </w:r>
      <w:r w:rsidR="00872DFF">
        <w:t xml:space="preserve">that are </w:t>
      </w:r>
      <w:r w:rsidR="00872DFF" w:rsidRPr="00113829">
        <w:t xml:space="preserve">to be included on </w:t>
      </w:r>
      <w:r w:rsidR="00872DFF">
        <w:rPr>
          <w:i/>
        </w:rPr>
        <w:t>s</w:t>
      </w:r>
      <w:r w:rsidR="00872DFF" w:rsidRPr="00A170A4">
        <w:rPr>
          <w:i/>
        </w:rPr>
        <w:t>pace</w:t>
      </w:r>
      <w:r w:rsidR="00872DFF">
        <w:t xml:space="preserve"> and </w:t>
      </w:r>
      <w:r w:rsidR="00872DFF">
        <w:rPr>
          <w:i/>
        </w:rPr>
        <w:t>s</w:t>
      </w:r>
      <w:r w:rsidR="00872DFF" w:rsidRPr="00A170A4">
        <w:rPr>
          <w:i/>
        </w:rPr>
        <w:t>pace receive</w:t>
      </w:r>
      <w:r w:rsidR="00872DFF">
        <w:t xml:space="preserve"> </w:t>
      </w:r>
      <w:r w:rsidR="00872DFF" w:rsidRPr="00113829">
        <w:t xml:space="preserve">apparatus licences. Where a special condition or advisory </w:t>
      </w:r>
      <w:r w:rsidR="00872DFF">
        <w:t xml:space="preserve">note </w:t>
      </w:r>
      <w:r w:rsidR="00872DFF" w:rsidRPr="00113829">
        <w:t>is not pre-defined</w:t>
      </w:r>
      <w:r w:rsidR="00872DFF">
        <w:t>,</w:t>
      </w:r>
      <w:r w:rsidR="00872DFF" w:rsidRPr="00113829">
        <w:t xml:space="preserve"> the ACMA </w:t>
      </w:r>
      <w:r w:rsidR="00872DFF">
        <w:t>will develop and include</w:t>
      </w:r>
      <w:r w:rsidR="00872DFF" w:rsidRPr="00113829">
        <w:t xml:space="preserve"> appropriate condition</w:t>
      </w:r>
      <w:r>
        <w:t>s</w:t>
      </w:r>
      <w:r w:rsidR="00872DFF" w:rsidRPr="00113829">
        <w:t xml:space="preserve"> or advisory note</w:t>
      </w:r>
      <w:r>
        <w:t>s</w:t>
      </w:r>
      <w:r w:rsidR="00872DFF" w:rsidRPr="00113829">
        <w:t xml:space="preserve"> on the licence.</w:t>
      </w:r>
    </w:p>
    <w:p w14:paraId="70E28964" w14:textId="6F253690" w:rsidR="00F00E88" w:rsidRPr="00327856" w:rsidRDefault="00B81B6C" w:rsidP="00F00E88">
      <w:pPr>
        <w:rPr>
          <w:shd w:val="clear" w:color="auto" w:fill="FFFFFF"/>
        </w:rPr>
      </w:pPr>
      <w:r>
        <w:t>In addition to the requirements outlined in the main body and other appendices of this document</w:t>
      </w:r>
      <w:r w:rsidR="00816373">
        <w:t>,</w:t>
      </w:r>
      <w:r>
        <w:t xml:space="preserve"> </w:t>
      </w:r>
      <w:r w:rsidR="00A9407B">
        <w:t>Appendi</w:t>
      </w:r>
      <w:r w:rsidR="002C1D44">
        <w:t>ces</w:t>
      </w:r>
      <w:r w:rsidR="00A9407B">
        <w:t xml:space="preserve"> E</w:t>
      </w:r>
      <w:r w:rsidR="005A5798">
        <w:t xml:space="preserve"> and </w:t>
      </w:r>
      <w:r w:rsidR="007E4DAC">
        <w:t>F detail</w:t>
      </w:r>
      <w:r w:rsidR="00EB6E88">
        <w:t xml:space="preserve"> special conditions and advisory notes </w:t>
      </w:r>
      <w:r w:rsidR="009B3518">
        <w:t>for Ku and Ka ESIM</w:t>
      </w:r>
      <w:r w:rsidR="007836FD">
        <w:t>,</w:t>
      </w:r>
      <w:r w:rsidR="00D82ED7">
        <w:t xml:space="preserve"> respectively</w:t>
      </w:r>
      <w:r w:rsidR="009B3518">
        <w:t>.</w:t>
      </w:r>
      <w:r w:rsidR="00064BA0">
        <w:t xml:space="preserve"> </w:t>
      </w:r>
      <w:r w:rsidR="00F00E88" w:rsidRPr="00327856">
        <w:rPr>
          <w:shd w:val="clear" w:color="auto" w:fill="FFFFFF"/>
        </w:rPr>
        <w:t>Appendix H lists the relevant conditions of the CSO Class Licence and additional conditions to the applied to space receive licence in the frequency 27.5-29.5 GHz.</w:t>
      </w:r>
    </w:p>
    <w:p w14:paraId="117FEFD7" w14:textId="0FAA5E85" w:rsidR="00816373" w:rsidRDefault="0028633E" w:rsidP="00816373">
      <w:r>
        <w:t xml:space="preserve">Appendix G </w:t>
      </w:r>
      <w:r w:rsidR="00995749">
        <w:t xml:space="preserve">details requirements </w:t>
      </w:r>
      <w:r w:rsidR="00FD0227">
        <w:t>for 2</w:t>
      </w:r>
      <w:r w:rsidR="002C7DA4">
        <w:t xml:space="preserve"> </w:t>
      </w:r>
      <w:r w:rsidR="00FD0227">
        <w:t>GHz narrowband</w:t>
      </w:r>
      <w:r w:rsidR="00816373">
        <w:t xml:space="preserve"> MSS</w:t>
      </w:r>
      <w:r w:rsidR="00FD0227">
        <w:t>.</w:t>
      </w:r>
    </w:p>
    <w:p w14:paraId="53FFA594" w14:textId="77777777" w:rsidR="00816373" w:rsidRDefault="00816373" w:rsidP="00872DFF"/>
    <w:p w14:paraId="68F9BFF8" w14:textId="77777777" w:rsidR="00872DFF" w:rsidRPr="00F41BB6" w:rsidRDefault="00872DFF" w:rsidP="00872DFF">
      <w:pPr>
        <w:pStyle w:val="Heading1"/>
        <w:ind w:left="435" w:hanging="435"/>
      </w:pPr>
      <w:bookmarkStart w:id="96" w:name="_Toc392147079"/>
      <w:bookmarkStart w:id="97" w:name="_Toc478115636"/>
      <w:bookmarkStart w:id="98" w:name="_Toc478115884"/>
      <w:bookmarkStart w:id="99" w:name="_Toc480354433"/>
      <w:bookmarkStart w:id="100" w:name="_Toc483400688"/>
      <w:bookmarkStart w:id="101" w:name="_Toc490122667"/>
      <w:bookmarkStart w:id="102" w:name="_Toc14956814"/>
      <w:bookmarkStart w:id="103" w:name="_Toc153798001"/>
      <w:r w:rsidRPr="00F41BB6">
        <w:t>Further information</w:t>
      </w:r>
      <w:bookmarkEnd w:id="96"/>
      <w:bookmarkEnd w:id="97"/>
      <w:bookmarkEnd w:id="98"/>
      <w:bookmarkEnd w:id="99"/>
      <w:bookmarkEnd w:id="100"/>
      <w:bookmarkEnd w:id="101"/>
      <w:bookmarkEnd w:id="102"/>
      <w:bookmarkEnd w:id="103"/>
    </w:p>
    <w:p w14:paraId="7F5AC681" w14:textId="457B62DE" w:rsidR="00872DFF" w:rsidRPr="00360BE8" w:rsidRDefault="00872DFF" w:rsidP="00872DFF">
      <w:r w:rsidRPr="00F41BB6">
        <w:t>Please contact the</w:t>
      </w:r>
      <w:r>
        <w:t xml:space="preserve"> ACMA’s Customer Service Centre </w:t>
      </w:r>
      <w:r w:rsidRPr="003F44ED">
        <w:t>at</w:t>
      </w:r>
      <w:r>
        <w:t xml:space="preserve"> </w:t>
      </w:r>
      <w:hyperlink r:id="rId56" w:history="1">
        <w:r w:rsidRPr="00C832AA">
          <w:rPr>
            <w:rStyle w:val="Hyperlink"/>
          </w:rPr>
          <w:t>info@acma.gov.au</w:t>
        </w:r>
      </w:hyperlink>
      <w:r w:rsidRPr="00EB0E7F">
        <w:rPr>
          <w:rStyle w:val="Hyperlink"/>
        </w:rPr>
        <w:t>.</w:t>
      </w:r>
    </w:p>
    <w:p w14:paraId="587E447D" w14:textId="6057D8D0" w:rsidR="00872DFF" w:rsidRPr="00122FB0" w:rsidRDefault="00872DFF" w:rsidP="00122FB0">
      <w:pPr>
        <w:pStyle w:val="AppL1"/>
        <w:pageBreakBefore/>
        <w:rPr>
          <w:b/>
        </w:rPr>
      </w:pPr>
      <w:bookmarkStart w:id="104" w:name="_Toc482623788"/>
      <w:bookmarkStart w:id="105" w:name="_Toc482623789"/>
      <w:bookmarkStart w:id="106" w:name="_Toc482623790"/>
      <w:bookmarkStart w:id="107" w:name="_Toc482623791"/>
      <w:bookmarkStart w:id="108" w:name="_Toc482623792"/>
      <w:bookmarkStart w:id="109" w:name="_Toc482623793"/>
      <w:bookmarkStart w:id="110" w:name="_Toc482623794"/>
      <w:bookmarkStart w:id="111" w:name="_Toc482623795"/>
      <w:bookmarkStart w:id="112" w:name="_Toc482623796"/>
      <w:bookmarkStart w:id="113" w:name="_Toc482623797"/>
      <w:bookmarkStart w:id="114" w:name="_Toc482623798"/>
      <w:bookmarkStart w:id="115" w:name="_Toc482623799"/>
      <w:bookmarkStart w:id="116" w:name="_Toc482623800"/>
      <w:bookmarkStart w:id="117" w:name="_Toc482623801"/>
      <w:bookmarkStart w:id="118" w:name="_Toc482623802"/>
      <w:bookmarkStart w:id="119" w:name="_Toc482623803"/>
      <w:bookmarkStart w:id="120" w:name="_Toc482623804"/>
      <w:bookmarkStart w:id="121" w:name="_Toc482623805"/>
      <w:bookmarkStart w:id="122" w:name="_Toc482623806"/>
      <w:bookmarkStart w:id="123" w:name="_Toc482623807"/>
      <w:bookmarkStart w:id="124" w:name="_Toc482623808"/>
      <w:bookmarkStart w:id="125" w:name="_Toc482623809"/>
      <w:bookmarkStart w:id="126" w:name="_Toc482623810"/>
      <w:bookmarkStart w:id="127" w:name="_Toc482623811"/>
      <w:bookmarkStart w:id="128" w:name="_Toc482623812"/>
      <w:bookmarkStart w:id="129" w:name="_Toc482623813"/>
      <w:bookmarkStart w:id="130" w:name="_Toc482623814"/>
      <w:bookmarkStart w:id="131" w:name="_Toc482623815"/>
      <w:bookmarkStart w:id="132" w:name="_Toc482623816"/>
      <w:bookmarkStart w:id="133" w:name="_Toc482623817"/>
      <w:bookmarkStart w:id="134" w:name="_Toc482623818"/>
      <w:bookmarkStart w:id="135" w:name="_Toc482623819"/>
      <w:bookmarkStart w:id="136" w:name="_Toc482623820"/>
      <w:bookmarkStart w:id="137" w:name="_Toc482623821"/>
      <w:bookmarkStart w:id="138" w:name="_Toc482623822"/>
      <w:bookmarkStart w:id="139" w:name="_Toc482623823"/>
      <w:bookmarkStart w:id="140" w:name="_Toc482623824"/>
      <w:bookmarkStart w:id="141" w:name="_Toc482623825"/>
      <w:bookmarkStart w:id="142" w:name="_Toc482623826"/>
      <w:bookmarkStart w:id="143" w:name="_Toc482623827"/>
      <w:bookmarkStart w:id="144" w:name="_Toc482623828"/>
      <w:bookmarkStart w:id="145" w:name="_Toc482623829"/>
      <w:bookmarkStart w:id="146" w:name="_Toc482623830"/>
      <w:bookmarkStart w:id="147" w:name="_Toc482623831"/>
      <w:bookmarkStart w:id="148" w:name="_Toc482623832"/>
      <w:bookmarkStart w:id="149" w:name="_Toc482623833"/>
      <w:bookmarkStart w:id="150" w:name="_Toc482623834"/>
      <w:bookmarkStart w:id="151" w:name="_Toc482623835"/>
      <w:bookmarkStart w:id="152" w:name="_Toc482623836"/>
      <w:bookmarkStart w:id="153" w:name="_Toc482623837"/>
      <w:bookmarkStart w:id="154" w:name="_Toc482623838"/>
      <w:bookmarkStart w:id="155" w:name="_Toc482623839"/>
      <w:bookmarkStart w:id="156" w:name="_Toc482623840"/>
      <w:bookmarkStart w:id="157" w:name="_Toc482623841"/>
      <w:bookmarkStart w:id="158" w:name="_Toc482623842"/>
      <w:bookmarkStart w:id="159" w:name="_Toc482623843"/>
      <w:bookmarkStart w:id="160" w:name="_Toc482623844"/>
      <w:bookmarkStart w:id="161" w:name="_Toc482623845"/>
      <w:bookmarkStart w:id="162" w:name="_Toc482623846"/>
      <w:bookmarkStart w:id="163" w:name="_Toc482623847"/>
      <w:bookmarkStart w:id="164" w:name="_Toc482623848"/>
      <w:bookmarkStart w:id="165" w:name="_Toc482623849"/>
      <w:bookmarkStart w:id="166" w:name="_Toc482623850"/>
      <w:bookmarkStart w:id="167" w:name="_Toc482623851"/>
      <w:bookmarkStart w:id="168" w:name="_Toc482623852"/>
      <w:bookmarkStart w:id="169" w:name="_Toc482623853"/>
      <w:bookmarkStart w:id="170" w:name="_Toc482623854"/>
      <w:bookmarkStart w:id="171" w:name="_Toc482623855"/>
      <w:bookmarkStart w:id="172" w:name="_Toc482623856"/>
      <w:bookmarkStart w:id="173" w:name="_Toc482623857"/>
      <w:bookmarkStart w:id="174" w:name="_Toc482623858"/>
      <w:bookmarkStart w:id="175" w:name="_Toc482623859"/>
      <w:bookmarkStart w:id="176" w:name="_Toc482623860"/>
      <w:bookmarkStart w:id="177" w:name="_Toc482623861"/>
      <w:bookmarkStart w:id="178" w:name="_Toc482623862"/>
      <w:bookmarkStart w:id="179" w:name="_Toc482623863"/>
      <w:bookmarkStart w:id="180" w:name="_Toc482623864"/>
      <w:bookmarkStart w:id="181" w:name="_Toc482623865"/>
      <w:bookmarkStart w:id="182" w:name="_Toc482623866"/>
      <w:bookmarkStart w:id="183" w:name="_Toc482623867"/>
      <w:bookmarkStart w:id="184" w:name="_Toc482623868"/>
      <w:bookmarkStart w:id="185" w:name="_Toc482623869"/>
      <w:bookmarkStart w:id="186" w:name="_Toc482623870"/>
      <w:bookmarkStart w:id="187" w:name="_Toc482623871"/>
      <w:bookmarkStart w:id="188" w:name="_Toc482623872"/>
      <w:bookmarkStart w:id="189" w:name="_Toc482623873"/>
      <w:bookmarkStart w:id="190" w:name="_Toc482623874"/>
      <w:bookmarkStart w:id="191" w:name="_Toc482623875"/>
      <w:bookmarkStart w:id="192" w:name="_Toc482623876"/>
      <w:bookmarkStart w:id="193" w:name="_Toc482623877"/>
      <w:bookmarkStart w:id="194" w:name="_Toc482623878"/>
      <w:bookmarkStart w:id="195" w:name="_Toc482623879"/>
      <w:bookmarkStart w:id="196" w:name="_Toc482623880"/>
      <w:bookmarkStart w:id="197" w:name="_Toc482623881"/>
      <w:bookmarkStart w:id="198" w:name="_Toc482623882"/>
      <w:bookmarkStart w:id="199" w:name="_Toc482623883"/>
      <w:bookmarkStart w:id="200" w:name="_Toc482623884"/>
      <w:bookmarkStart w:id="201" w:name="_Toc482623885"/>
      <w:bookmarkStart w:id="202" w:name="_Toc482623886"/>
      <w:bookmarkStart w:id="203" w:name="_Toc483400689"/>
      <w:bookmarkStart w:id="204" w:name="_Toc490122668"/>
      <w:bookmarkStart w:id="205" w:name="_Toc14956815"/>
      <w:bookmarkStart w:id="206" w:name="_Toc15379800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122FB0">
        <w:rPr>
          <w:b/>
        </w:rPr>
        <w:t>Recorded in the MIFR</w:t>
      </w:r>
      <w:bookmarkEnd w:id="203"/>
      <w:bookmarkEnd w:id="204"/>
      <w:bookmarkEnd w:id="205"/>
      <w:bookmarkEnd w:id="206"/>
    </w:p>
    <w:p w14:paraId="63439AB7" w14:textId="6EF722E6" w:rsidR="00872DFF" w:rsidRPr="00100EDC" w:rsidRDefault="00872DFF" w:rsidP="00872DFF">
      <w:pPr>
        <w:spacing w:line="240" w:lineRule="auto"/>
        <w:rPr>
          <w:rFonts w:cs="Arial"/>
          <w:szCs w:val="20"/>
        </w:rPr>
      </w:pPr>
      <w:r w:rsidRPr="00100EDC">
        <w:rPr>
          <w:rFonts w:cs="Arial"/>
          <w:szCs w:val="20"/>
        </w:rPr>
        <w:t>Where the satellite network has been successfully coordinated and is recorded (notified) in the MIFR</w:t>
      </w:r>
      <w:r>
        <w:rPr>
          <w:rFonts w:cs="Arial"/>
          <w:szCs w:val="20"/>
        </w:rPr>
        <w:t xml:space="preserve"> with </w:t>
      </w:r>
      <w:r w:rsidR="00032434">
        <w:rPr>
          <w:rFonts w:cs="Arial"/>
          <w:szCs w:val="20"/>
        </w:rPr>
        <w:t xml:space="preserve">a </w:t>
      </w:r>
      <w:r>
        <w:rPr>
          <w:rFonts w:cs="Arial"/>
          <w:szCs w:val="20"/>
        </w:rPr>
        <w:t>favourable finding</w:t>
      </w:r>
      <w:r w:rsidR="006E5091">
        <w:rPr>
          <w:rFonts w:cs="Arial"/>
          <w:szCs w:val="20"/>
        </w:rPr>
        <w:t xml:space="preserve"> or </w:t>
      </w:r>
      <w:r w:rsidR="006E5091" w:rsidRPr="006E5091">
        <w:rPr>
          <w:rFonts w:cs="Arial"/>
          <w:szCs w:val="20"/>
        </w:rPr>
        <w:t>is recorded under ITU RR No. 11.41 in the MIFR with an unfavourable finding against a licensed satellite network operating in Australia</w:t>
      </w:r>
      <w:r w:rsidRPr="00100EDC">
        <w:rPr>
          <w:rFonts w:cs="Arial"/>
          <w:szCs w:val="20"/>
        </w:rPr>
        <w:t>:</w:t>
      </w:r>
    </w:p>
    <w:p w14:paraId="3374017C" w14:textId="1A38FFC9" w:rsidR="00872DFF" w:rsidRPr="00122FB0" w:rsidRDefault="00872DFF" w:rsidP="00122FB0">
      <w:pPr>
        <w:pStyle w:val="AppL2"/>
        <w:spacing w:after="240"/>
      </w:pPr>
      <w:bookmarkStart w:id="207" w:name="_Toc480354445"/>
      <w:bookmarkStart w:id="208" w:name="_Toc480354740"/>
      <w:bookmarkStart w:id="209" w:name="_Toc483400690"/>
      <w:bookmarkStart w:id="210" w:name="_Toc483406754"/>
      <w:bookmarkStart w:id="211" w:name="_Toc486318170"/>
      <w:bookmarkStart w:id="212" w:name="_Toc486318903"/>
      <w:bookmarkStart w:id="213" w:name="_Toc486319153"/>
      <w:bookmarkStart w:id="214" w:name="_Toc490122669"/>
      <w:bookmarkStart w:id="215" w:name="_Toc12974865"/>
      <w:bookmarkStart w:id="216" w:name="_Toc14956816"/>
      <w:bookmarkStart w:id="217" w:name="_Toc153798003"/>
      <w:r w:rsidRPr="00A170A4">
        <w:t>S</w:t>
      </w:r>
      <w:r>
        <w:t>pecial</w:t>
      </w:r>
      <w:r w:rsidRPr="00A170A4">
        <w:t xml:space="preserve"> C</w:t>
      </w:r>
      <w:r>
        <w:t>onditions</w:t>
      </w:r>
      <w:bookmarkEnd w:id="207"/>
      <w:bookmarkEnd w:id="208"/>
      <w:bookmarkEnd w:id="209"/>
      <w:bookmarkEnd w:id="210"/>
      <w:bookmarkEnd w:id="211"/>
      <w:bookmarkEnd w:id="212"/>
      <w:bookmarkEnd w:id="213"/>
      <w:bookmarkEnd w:id="214"/>
      <w:bookmarkEnd w:id="215"/>
      <w:bookmarkEnd w:id="216"/>
      <w:bookmarkEnd w:id="217"/>
    </w:p>
    <w:p w14:paraId="0469CE10" w14:textId="6603019D" w:rsidR="00872DFF" w:rsidRPr="00126E2C" w:rsidRDefault="00183935" w:rsidP="00872DFF">
      <w:pPr>
        <w:autoSpaceDE w:val="0"/>
        <w:autoSpaceDN w:val="0"/>
        <w:adjustRightInd w:val="0"/>
        <w:spacing w:line="240" w:lineRule="auto"/>
        <w:rPr>
          <w:rFonts w:cs="Arial"/>
          <w:b/>
          <w:szCs w:val="20"/>
        </w:rPr>
      </w:pPr>
      <w:r>
        <w:rPr>
          <w:rFonts w:cs="Arial"/>
          <w:b/>
          <w:szCs w:val="20"/>
        </w:rPr>
        <w:t>Pre</w:t>
      </w:r>
      <w:r w:rsidR="00872DFF" w:rsidRPr="00126E2C">
        <w:rPr>
          <w:rFonts w:cs="Arial"/>
          <w:b/>
          <w:szCs w:val="20"/>
        </w:rPr>
        <w:t>-defined</w:t>
      </w:r>
      <w:r>
        <w:rPr>
          <w:rFonts w:cs="Arial"/>
          <w:b/>
          <w:szCs w:val="20"/>
        </w:rPr>
        <w:t xml:space="preserve"> (SB)</w:t>
      </w:r>
    </w:p>
    <w:p w14:paraId="3EB974FE" w14:textId="77777777" w:rsidR="003B42CA" w:rsidRPr="003B42CA" w:rsidRDefault="00872DFF" w:rsidP="00866124">
      <w:pPr>
        <w:pStyle w:val="ListParagraph"/>
        <w:numPr>
          <w:ilvl w:val="0"/>
          <w:numId w:val="9"/>
        </w:numPr>
        <w:spacing w:after="240" w:line="240" w:lineRule="auto"/>
      </w:pPr>
      <w:r w:rsidRPr="00A170A4">
        <w:rPr>
          <w:rFonts w:cs="Arial"/>
          <w:szCs w:val="20"/>
        </w:rPr>
        <w:t xml:space="preserve">Operation of this space station </w:t>
      </w:r>
      <w:r>
        <w:rPr>
          <w:rFonts w:cs="Arial"/>
          <w:szCs w:val="20"/>
        </w:rPr>
        <w:t xml:space="preserve">and associated earth stations </w:t>
      </w:r>
      <w:r w:rsidRPr="00A170A4">
        <w:rPr>
          <w:rFonts w:cs="Arial"/>
          <w:szCs w:val="20"/>
        </w:rPr>
        <w:t>must be in accordance with frequency assignments recorded in the Master International Frequency Register (MIFR) of the International Telecommunication Union</w:t>
      </w:r>
      <w:r w:rsidR="003B42CA">
        <w:rPr>
          <w:rFonts w:cs="Arial"/>
          <w:szCs w:val="20"/>
        </w:rPr>
        <w:t xml:space="preserve">. </w:t>
      </w:r>
    </w:p>
    <w:p w14:paraId="25B4FBD2" w14:textId="42795086" w:rsidR="006D0162" w:rsidRDefault="0034732C" w:rsidP="008F0B75">
      <w:pPr>
        <w:spacing w:line="240" w:lineRule="auto"/>
        <w:rPr>
          <w:rFonts w:cs="Arial"/>
          <w:szCs w:val="20"/>
        </w:rPr>
      </w:pPr>
      <w:r>
        <w:rPr>
          <w:rFonts w:cs="Arial"/>
          <w:szCs w:val="20"/>
        </w:rPr>
        <w:t>[Note</w:t>
      </w:r>
      <w:r w:rsidR="003B42CA">
        <w:rPr>
          <w:rFonts w:cs="Arial"/>
          <w:szCs w:val="20"/>
        </w:rPr>
        <w:t xml:space="preserve">: </w:t>
      </w:r>
      <w:bookmarkStart w:id="218" w:name="_Hlk78808168"/>
      <w:r w:rsidR="00AF6BD4">
        <w:rPr>
          <w:rFonts w:cs="Arial"/>
          <w:szCs w:val="20"/>
        </w:rPr>
        <w:t>Operation in accordance with frequency assignments recorded in the MFIR includes the operation in accordance with any A</w:t>
      </w:r>
      <w:r w:rsidR="00D441A5">
        <w:rPr>
          <w:rFonts w:cs="Arial"/>
          <w:szCs w:val="20"/>
        </w:rPr>
        <w:t>dministration agreements reached as a result of an ITU frequency coordination process]</w:t>
      </w:r>
      <w:r w:rsidR="00076F51">
        <w:rPr>
          <w:rFonts w:cs="Arial"/>
          <w:szCs w:val="20"/>
        </w:rPr>
        <w:t>.</w:t>
      </w:r>
      <w:r w:rsidR="00D441A5">
        <w:rPr>
          <w:rFonts w:cs="Arial"/>
          <w:szCs w:val="20"/>
        </w:rPr>
        <w:t xml:space="preserve"> </w:t>
      </w:r>
    </w:p>
    <w:bookmarkEnd w:id="218"/>
    <w:p w14:paraId="339484F9" w14:textId="73F049D1" w:rsidR="0042066D" w:rsidRPr="00126E2C" w:rsidRDefault="0042066D" w:rsidP="0042066D">
      <w:pPr>
        <w:autoSpaceDE w:val="0"/>
        <w:autoSpaceDN w:val="0"/>
        <w:adjustRightInd w:val="0"/>
        <w:spacing w:line="240" w:lineRule="auto"/>
        <w:rPr>
          <w:rFonts w:cs="Arial"/>
          <w:b/>
          <w:szCs w:val="20"/>
        </w:rPr>
      </w:pPr>
      <w:r>
        <w:rPr>
          <w:rFonts w:cs="Arial"/>
          <w:b/>
          <w:szCs w:val="20"/>
        </w:rPr>
        <w:t>Pre</w:t>
      </w:r>
      <w:r w:rsidRPr="00126E2C">
        <w:rPr>
          <w:rFonts w:cs="Arial"/>
          <w:b/>
          <w:szCs w:val="20"/>
        </w:rPr>
        <w:t>-defined</w:t>
      </w:r>
      <w:r>
        <w:rPr>
          <w:rFonts w:cs="Arial"/>
          <w:b/>
          <w:szCs w:val="20"/>
        </w:rPr>
        <w:t xml:space="preserve"> (</w:t>
      </w:r>
      <w:r w:rsidR="003E5006">
        <w:rPr>
          <w:rFonts w:cs="Arial"/>
          <w:b/>
          <w:szCs w:val="20"/>
        </w:rPr>
        <w:t>EQ</w:t>
      </w:r>
      <w:r>
        <w:rPr>
          <w:rFonts w:cs="Arial"/>
          <w:b/>
          <w:szCs w:val="20"/>
        </w:rPr>
        <w:t>)</w:t>
      </w:r>
    </w:p>
    <w:p w14:paraId="63BE215E" w14:textId="5E4015EB" w:rsidR="0042066D" w:rsidRPr="0042066D" w:rsidRDefault="0042066D" w:rsidP="00866124">
      <w:pPr>
        <w:pStyle w:val="ListParagraph"/>
        <w:numPr>
          <w:ilvl w:val="0"/>
          <w:numId w:val="9"/>
        </w:numPr>
        <w:spacing w:after="240" w:line="240" w:lineRule="auto"/>
      </w:pPr>
      <w:r>
        <w:t>The licensee shall advise the ACMA of changes to the point of contact provided for the purpose of tracing any suspected cases of interference</w:t>
      </w:r>
      <w:r w:rsidRPr="00A170A4">
        <w:rPr>
          <w:rFonts w:cs="Arial"/>
          <w:szCs w:val="20"/>
        </w:rPr>
        <w:t>.</w:t>
      </w:r>
    </w:p>
    <w:p w14:paraId="1012F5FB" w14:textId="19A43D45" w:rsidR="0042066D" w:rsidRPr="00126E2C" w:rsidRDefault="0042066D" w:rsidP="0042066D">
      <w:pPr>
        <w:autoSpaceDE w:val="0"/>
        <w:autoSpaceDN w:val="0"/>
        <w:adjustRightInd w:val="0"/>
        <w:spacing w:line="240" w:lineRule="auto"/>
        <w:rPr>
          <w:rFonts w:cs="Arial"/>
          <w:b/>
          <w:szCs w:val="20"/>
        </w:rPr>
      </w:pPr>
      <w:r>
        <w:rPr>
          <w:rFonts w:cs="Arial"/>
          <w:b/>
          <w:szCs w:val="20"/>
        </w:rPr>
        <w:t>Pre</w:t>
      </w:r>
      <w:r w:rsidRPr="00126E2C">
        <w:rPr>
          <w:rFonts w:cs="Arial"/>
          <w:b/>
          <w:szCs w:val="20"/>
        </w:rPr>
        <w:t>-defined</w:t>
      </w:r>
      <w:r>
        <w:rPr>
          <w:rFonts w:cs="Arial"/>
          <w:b/>
          <w:szCs w:val="20"/>
        </w:rPr>
        <w:t xml:space="preserve"> (RQZ1)</w:t>
      </w:r>
      <w:r w:rsidR="00387697">
        <w:rPr>
          <w:rFonts w:cs="Arial"/>
          <w:b/>
          <w:szCs w:val="20"/>
        </w:rPr>
        <w:t xml:space="preserve"> applicable to Space Receive licence only</w:t>
      </w:r>
    </w:p>
    <w:p w14:paraId="1BF5A336" w14:textId="76840CD9" w:rsidR="0042066D" w:rsidRDefault="0042066D" w:rsidP="00866124">
      <w:pPr>
        <w:pStyle w:val="ListParagraph"/>
        <w:numPr>
          <w:ilvl w:val="0"/>
          <w:numId w:val="9"/>
        </w:numPr>
        <w:spacing w:after="240" w:line="240" w:lineRule="auto"/>
      </w:pPr>
      <w:bookmarkStart w:id="219" w:name="_Hlk107381517"/>
      <w:r>
        <w:t>E</w:t>
      </w:r>
      <w:r w:rsidRPr="00F344C0">
        <w:t>arth station transmitter</w:t>
      </w:r>
      <w:r>
        <w:t>s</w:t>
      </w:r>
      <w:r w:rsidRPr="00F344C0">
        <w:t xml:space="preserve"> on land </w:t>
      </w:r>
      <w:r>
        <w:t xml:space="preserve">associated with this space station </w:t>
      </w:r>
      <w:r w:rsidRPr="00F344C0">
        <w:t xml:space="preserve">must not be operated within 70 kilometres distance from </w:t>
      </w:r>
      <w:r w:rsidRPr="006C53CE">
        <w:t xml:space="preserve">the </w:t>
      </w:r>
      <w:bookmarkEnd w:id="219"/>
      <w:r w:rsidRPr="006C53CE">
        <w:t>Murchison Radioastronomy Observatory without the approval of the entity responsible for operating the Murchison Radioastronomy Observatory.</w:t>
      </w:r>
    </w:p>
    <w:p w14:paraId="7F1FE7D0" w14:textId="7E4FE51B" w:rsidR="006E5091" w:rsidRDefault="006E5091" w:rsidP="006E5091">
      <w:pPr>
        <w:spacing w:line="240" w:lineRule="auto"/>
        <w:rPr>
          <w:rFonts w:cs="Arial"/>
          <w:b/>
          <w:bCs/>
          <w:szCs w:val="20"/>
        </w:rPr>
      </w:pPr>
      <w:r w:rsidRPr="0042066D">
        <w:rPr>
          <w:rFonts w:cs="Arial"/>
          <w:b/>
          <w:bCs/>
          <w:szCs w:val="20"/>
        </w:rPr>
        <w:t>Pre-defined</w:t>
      </w:r>
      <w:r>
        <w:rPr>
          <w:rFonts w:cs="Arial"/>
          <w:b/>
          <w:bCs/>
          <w:szCs w:val="20"/>
        </w:rPr>
        <w:t xml:space="preserve"> (EM)</w:t>
      </w:r>
      <w:r w:rsidRPr="0042066D">
        <w:rPr>
          <w:rFonts w:cs="Arial"/>
          <w:b/>
          <w:bCs/>
          <w:szCs w:val="20"/>
        </w:rPr>
        <w:t xml:space="preserve"> (</w:t>
      </w:r>
      <w:r>
        <w:rPr>
          <w:rFonts w:cs="Arial"/>
          <w:b/>
          <w:bCs/>
          <w:szCs w:val="20"/>
        </w:rPr>
        <w:t>in MIFR with 11.4</w:t>
      </w:r>
      <w:r w:rsidR="00547012">
        <w:rPr>
          <w:rFonts w:cs="Arial"/>
          <w:b/>
          <w:bCs/>
          <w:szCs w:val="20"/>
        </w:rPr>
        <w:t>1</w:t>
      </w:r>
      <w:r w:rsidRPr="0042066D">
        <w:rPr>
          <w:rFonts w:cs="Arial"/>
          <w:b/>
          <w:bCs/>
          <w:szCs w:val="20"/>
        </w:rPr>
        <w:t>)</w:t>
      </w:r>
    </w:p>
    <w:p w14:paraId="138BA2A3" w14:textId="1C5A3504" w:rsidR="006E5091" w:rsidRPr="00F344C0" w:rsidRDefault="006E5091" w:rsidP="00866124">
      <w:pPr>
        <w:pStyle w:val="ListParagraph"/>
        <w:numPr>
          <w:ilvl w:val="0"/>
          <w:numId w:val="9"/>
        </w:numPr>
        <w:spacing w:after="240" w:line="240" w:lineRule="auto"/>
      </w:pPr>
      <w:r>
        <w:t>U</w:t>
      </w:r>
      <w:r w:rsidRPr="00E13601">
        <w:t>po</w:t>
      </w:r>
      <w:r>
        <w:t xml:space="preserve">n receipt of a report of harmful interference under </w:t>
      </w:r>
      <w:r w:rsidRPr="00F41BB6">
        <w:t xml:space="preserve">International Telecommunication Union </w:t>
      </w:r>
      <w:r>
        <w:t xml:space="preserve">Radio Regulation No. </w:t>
      </w:r>
      <w:r w:rsidRPr="000D0934">
        <w:rPr>
          <w:b/>
        </w:rPr>
        <w:t>11.42</w:t>
      </w:r>
      <w:r>
        <w:t xml:space="preserve"> all necessary steps shall be taken to </w:t>
      </w:r>
      <w:r w:rsidRPr="00E13601">
        <w:t xml:space="preserve">immediately eliminate </w:t>
      </w:r>
      <w:r>
        <w:t>the</w:t>
      </w:r>
      <w:r w:rsidRPr="00E13601">
        <w:t xml:space="preserve"> harmful interference</w:t>
      </w:r>
      <w:r>
        <w:t xml:space="preserve"> or cease operation.</w:t>
      </w:r>
    </w:p>
    <w:p w14:paraId="7AFD949E" w14:textId="5F596B4D" w:rsidR="00F60DAA" w:rsidRDefault="00F60DAA" w:rsidP="00497F6B">
      <w:pPr>
        <w:spacing w:line="240" w:lineRule="auto"/>
        <w:rPr>
          <w:rFonts w:cs="Arial"/>
          <w:szCs w:val="20"/>
        </w:rPr>
      </w:pPr>
      <w:r w:rsidRPr="00F60DAA">
        <w:rPr>
          <w:rFonts w:cs="Arial"/>
          <w:szCs w:val="20"/>
        </w:rPr>
        <w:t>[Note:</w:t>
      </w:r>
      <w:r w:rsidRPr="00146BBB">
        <w:t xml:space="preserve"> </w:t>
      </w:r>
      <w:r w:rsidRPr="00F60DAA">
        <w:rPr>
          <w:rFonts w:cs="Arial"/>
          <w:szCs w:val="20"/>
        </w:rPr>
        <w:t>This special</w:t>
      </w:r>
      <w:r>
        <w:rPr>
          <w:rFonts w:cs="Arial"/>
          <w:szCs w:val="20"/>
        </w:rPr>
        <w:t xml:space="preserve"> condition </w:t>
      </w:r>
      <w:r w:rsidR="00497F6B">
        <w:rPr>
          <w:rFonts w:cs="Arial"/>
          <w:szCs w:val="20"/>
        </w:rPr>
        <w:t>is only applicable when the filing has been recorded in the MIFR with unfavourable findings under No. 11.41 against one o</w:t>
      </w:r>
      <w:r w:rsidR="00250A90">
        <w:rPr>
          <w:rFonts w:cs="Arial"/>
          <w:szCs w:val="20"/>
        </w:rPr>
        <w:t>r</w:t>
      </w:r>
      <w:r w:rsidR="00497F6B">
        <w:rPr>
          <w:rFonts w:cs="Arial"/>
          <w:szCs w:val="20"/>
        </w:rPr>
        <w:t xml:space="preserve"> more Administrations</w:t>
      </w:r>
      <w:r w:rsidRPr="00F60DAA">
        <w:rPr>
          <w:rFonts w:cs="Arial"/>
          <w:szCs w:val="20"/>
        </w:rPr>
        <w:t>].</w:t>
      </w:r>
    </w:p>
    <w:p w14:paraId="3290ADAA" w14:textId="020CDB79" w:rsidR="005B47A7" w:rsidRPr="00122FB0" w:rsidRDefault="005B47A7" w:rsidP="005B47A7">
      <w:pPr>
        <w:autoSpaceDE w:val="0"/>
        <w:autoSpaceDN w:val="0"/>
        <w:adjustRightInd w:val="0"/>
        <w:spacing w:line="240" w:lineRule="auto"/>
        <w:rPr>
          <w:rFonts w:cs="Arial"/>
          <w:b/>
          <w:szCs w:val="20"/>
        </w:rPr>
      </w:pPr>
      <w:r w:rsidRPr="00126E2C">
        <w:rPr>
          <w:rFonts w:cs="Arial"/>
          <w:b/>
          <w:szCs w:val="20"/>
        </w:rPr>
        <w:t>User-defined</w:t>
      </w:r>
    </w:p>
    <w:p w14:paraId="73631657" w14:textId="77777777" w:rsidR="005B47A7" w:rsidRPr="00FF6154" w:rsidRDefault="005B47A7" w:rsidP="00866124">
      <w:pPr>
        <w:pStyle w:val="ListParagraph"/>
        <w:numPr>
          <w:ilvl w:val="0"/>
          <w:numId w:val="9"/>
        </w:numPr>
        <w:spacing w:after="240" w:line="240" w:lineRule="auto"/>
        <w:rPr>
          <w:rFonts w:cs="Arial"/>
          <w:szCs w:val="20"/>
        </w:rPr>
      </w:pPr>
      <w:r w:rsidRPr="00A170A4">
        <w:rPr>
          <w:rFonts w:cs="Arial"/>
          <w:szCs w:val="20"/>
        </w:rPr>
        <w:t xml:space="preserve">This licence authorises communications with </w:t>
      </w:r>
      <w:r w:rsidRPr="00A170A4">
        <w:rPr>
          <w:rFonts w:cs="Arial"/>
          <w:i/>
          <w:szCs w:val="20"/>
        </w:rPr>
        <w:t>[</w:t>
      </w:r>
      <w:r>
        <w:rPr>
          <w:rFonts w:cs="Arial"/>
          <w:i/>
          <w:szCs w:val="20"/>
        </w:rPr>
        <w:t>ITU</w:t>
      </w:r>
      <w:r w:rsidRPr="00A170A4">
        <w:rPr>
          <w:rFonts w:cs="Arial"/>
          <w:i/>
          <w:szCs w:val="20"/>
        </w:rPr>
        <w:t xml:space="preserve"> satellite</w:t>
      </w:r>
      <w:r>
        <w:rPr>
          <w:rFonts w:cs="Arial"/>
          <w:i/>
          <w:szCs w:val="20"/>
        </w:rPr>
        <w:t xml:space="preserve"> network name</w:t>
      </w:r>
      <w:r w:rsidRPr="00A170A4">
        <w:rPr>
          <w:rFonts w:cs="Arial"/>
          <w:i/>
          <w:szCs w:val="20"/>
        </w:rPr>
        <w:t>].</w:t>
      </w:r>
    </w:p>
    <w:p w14:paraId="1AAA878A" w14:textId="031F8222" w:rsidR="00130A70" w:rsidRPr="003B42CA" w:rsidRDefault="00130A70" w:rsidP="00130A70">
      <w:pPr>
        <w:spacing w:line="240" w:lineRule="auto"/>
      </w:pPr>
      <w:r>
        <w:rPr>
          <w:rFonts w:cs="Arial"/>
          <w:szCs w:val="20"/>
        </w:rPr>
        <w:t>[Note:</w:t>
      </w:r>
      <w:r w:rsidRPr="00146BBB">
        <w:t xml:space="preserve"> </w:t>
      </w:r>
      <w:r w:rsidRPr="00146BBB">
        <w:rPr>
          <w:rFonts w:cs="Arial"/>
          <w:szCs w:val="20"/>
        </w:rPr>
        <w:t>Operation of this space station and associated earth stations is only authorised if the frequency assignments of the satellite network recorded by the ITU with which communications are authorised by this licence are not cancelled</w:t>
      </w:r>
      <w:r w:rsidR="00D54A85">
        <w:rPr>
          <w:rFonts w:cs="Arial"/>
          <w:szCs w:val="20"/>
        </w:rPr>
        <w:t xml:space="preserve"> or supressed]</w:t>
      </w:r>
      <w:r w:rsidRPr="00146BBB">
        <w:rPr>
          <w:rFonts w:cs="Arial"/>
          <w:szCs w:val="20"/>
        </w:rPr>
        <w:t>.</w:t>
      </w:r>
    </w:p>
    <w:p w14:paraId="2D1BDB00" w14:textId="5CD5D230" w:rsidR="00872DFF" w:rsidRPr="00122FB0" w:rsidRDefault="00872DFF" w:rsidP="00122FB0">
      <w:pPr>
        <w:pStyle w:val="AppL2"/>
        <w:spacing w:after="240"/>
      </w:pPr>
      <w:bookmarkStart w:id="220" w:name="_Toc480354446"/>
      <w:bookmarkStart w:id="221" w:name="_Toc480354741"/>
      <w:bookmarkStart w:id="222" w:name="_Toc483400691"/>
      <w:bookmarkStart w:id="223" w:name="_Toc483406755"/>
      <w:bookmarkStart w:id="224" w:name="_Toc486318171"/>
      <w:bookmarkStart w:id="225" w:name="_Toc486318904"/>
      <w:bookmarkStart w:id="226" w:name="_Toc486319154"/>
      <w:bookmarkStart w:id="227" w:name="_Toc490122670"/>
      <w:bookmarkStart w:id="228" w:name="_Toc12974866"/>
      <w:bookmarkStart w:id="229" w:name="_Toc14956817"/>
      <w:bookmarkStart w:id="230" w:name="_Toc153798004"/>
      <w:r w:rsidRPr="00A170A4">
        <w:t>A</w:t>
      </w:r>
      <w:r>
        <w:t>dvisory</w:t>
      </w:r>
      <w:r w:rsidRPr="00A170A4">
        <w:t xml:space="preserve"> N</w:t>
      </w:r>
      <w:bookmarkEnd w:id="220"/>
      <w:bookmarkEnd w:id="221"/>
      <w:bookmarkEnd w:id="222"/>
      <w:bookmarkEnd w:id="223"/>
      <w:r>
        <w:t>otes</w:t>
      </w:r>
      <w:bookmarkEnd w:id="224"/>
      <w:bookmarkEnd w:id="225"/>
      <w:bookmarkEnd w:id="226"/>
      <w:bookmarkEnd w:id="227"/>
      <w:bookmarkEnd w:id="228"/>
      <w:bookmarkEnd w:id="229"/>
      <w:bookmarkEnd w:id="230"/>
    </w:p>
    <w:p w14:paraId="37231736" w14:textId="08876D41" w:rsidR="00872DFF" w:rsidRPr="00122FB0" w:rsidRDefault="00872DFF" w:rsidP="00872DFF">
      <w:pPr>
        <w:autoSpaceDE w:val="0"/>
        <w:autoSpaceDN w:val="0"/>
        <w:adjustRightInd w:val="0"/>
        <w:spacing w:line="240" w:lineRule="auto"/>
        <w:rPr>
          <w:rFonts w:cs="Arial"/>
          <w:b/>
          <w:szCs w:val="20"/>
        </w:rPr>
      </w:pPr>
      <w:r w:rsidRPr="002912E0">
        <w:rPr>
          <w:rFonts w:cs="Arial"/>
          <w:b/>
          <w:szCs w:val="20"/>
        </w:rPr>
        <w:t>Pre-defined (</w:t>
      </w:r>
      <w:r w:rsidRPr="00A170A4">
        <w:rPr>
          <w:rFonts w:cs="Arial"/>
          <w:b/>
          <w:szCs w:val="20"/>
        </w:rPr>
        <w:t>EI</w:t>
      </w:r>
      <w:r>
        <w:rPr>
          <w:rFonts w:cs="Arial"/>
          <w:b/>
          <w:szCs w:val="20"/>
        </w:rPr>
        <w:t>)</w:t>
      </w:r>
    </w:p>
    <w:p w14:paraId="66281748" w14:textId="71E19E1D" w:rsidR="00872DFF" w:rsidRDefault="00872DFF" w:rsidP="00866124">
      <w:pPr>
        <w:pStyle w:val="ListParagraph"/>
        <w:numPr>
          <w:ilvl w:val="0"/>
          <w:numId w:val="10"/>
        </w:numPr>
        <w:spacing w:after="240" w:line="240" w:lineRule="auto"/>
        <w:contextualSpacing w:val="0"/>
        <w:rPr>
          <w:rFonts w:cs="Arial"/>
          <w:szCs w:val="20"/>
        </w:rPr>
      </w:pPr>
      <w:r w:rsidRPr="00A170A4">
        <w:rPr>
          <w:rFonts w:cs="Arial"/>
          <w:szCs w:val="20"/>
        </w:rPr>
        <w:t xml:space="preserve">The Master International Frequency Register (MIFR) is maintained by the International Telecommunication Union (ITU) in accordance with the Radio Regulations. </w:t>
      </w:r>
    </w:p>
    <w:p w14:paraId="3A96FEDD" w14:textId="77777777" w:rsidR="0042066D" w:rsidRDefault="0042066D" w:rsidP="00ED66D5">
      <w:pPr>
        <w:keepNext/>
        <w:autoSpaceDE w:val="0"/>
        <w:autoSpaceDN w:val="0"/>
        <w:adjustRightInd w:val="0"/>
        <w:spacing w:line="240" w:lineRule="auto"/>
        <w:rPr>
          <w:rFonts w:cs="Arial"/>
          <w:b/>
          <w:szCs w:val="20"/>
        </w:rPr>
      </w:pPr>
      <w:r w:rsidRPr="00022BA9">
        <w:rPr>
          <w:rFonts w:cs="Arial"/>
          <w:b/>
          <w:szCs w:val="20"/>
        </w:rPr>
        <w:t>Pre-define</w:t>
      </w:r>
      <w:r>
        <w:rPr>
          <w:rFonts w:cs="Arial"/>
          <w:b/>
          <w:szCs w:val="20"/>
        </w:rPr>
        <w:t>d</w:t>
      </w:r>
      <w:r w:rsidRPr="00022BA9">
        <w:rPr>
          <w:rFonts w:cs="Arial"/>
          <w:b/>
          <w:szCs w:val="20"/>
        </w:rPr>
        <w:t xml:space="preserve"> (</w:t>
      </w:r>
      <w:r w:rsidRPr="00A170A4">
        <w:rPr>
          <w:rFonts w:cs="Arial"/>
          <w:b/>
          <w:szCs w:val="20"/>
        </w:rPr>
        <w:t>E</w:t>
      </w:r>
      <w:r>
        <w:rPr>
          <w:rFonts w:cs="Arial"/>
          <w:b/>
          <w:szCs w:val="20"/>
        </w:rPr>
        <w:t>N)</w:t>
      </w:r>
    </w:p>
    <w:p w14:paraId="5A39901C" w14:textId="774027F8" w:rsidR="005809D7" w:rsidRPr="00F107C2" w:rsidRDefault="0042066D" w:rsidP="00866124">
      <w:pPr>
        <w:pStyle w:val="ListParagraph"/>
        <w:keepNext/>
        <w:numPr>
          <w:ilvl w:val="0"/>
          <w:numId w:val="10"/>
        </w:numPr>
        <w:spacing w:after="240" w:line="240" w:lineRule="auto"/>
        <w:contextualSpacing w:val="0"/>
        <w:rPr>
          <w:rFonts w:cs="Arial"/>
          <w:szCs w:val="20"/>
        </w:rPr>
      </w:pPr>
      <w:r w:rsidRPr="00F107C2">
        <w:rPr>
          <w:rFonts w:cs="Arial"/>
          <w:szCs w:val="20"/>
        </w:rPr>
        <w:t>This licence does not authorise operation of earth stations outside of Australia.</w:t>
      </w:r>
    </w:p>
    <w:p w14:paraId="48134800" w14:textId="77777777" w:rsidR="00872DFF" w:rsidRPr="00122FB0" w:rsidRDefault="00872DFF" w:rsidP="00122FB0">
      <w:pPr>
        <w:pStyle w:val="AppL1"/>
        <w:pageBreakBefore/>
        <w:rPr>
          <w:b/>
        </w:rPr>
      </w:pPr>
      <w:bookmarkStart w:id="231" w:name="_Toc483400692"/>
      <w:bookmarkStart w:id="232" w:name="_Toc490122671"/>
      <w:bookmarkStart w:id="233" w:name="_Toc14956818"/>
      <w:bookmarkStart w:id="234" w:name="_Toc153798005"/>
      <w:r w:rsidRPr="00122FB0">
        <w:rPr>
          <w:b/>
        </w:rPr>
        <w:t>Not recorded in the MIFR</w:t>
      </w:r>
      <w:bookmarkEnd w:id="231"/>
      <w:bookmarkEnd w:id="232"/>
      <w:bookmarkEnd w:id="233"/>
      <w:bookmarkEnd w:id="234"/>
    </w:p>
    <w:p w14:paraId="1A8A7F79" w14:textId="119D451D" w:rsidR="00872DFF" w:rsidRDefault="00872DFF" w:rsidP="00872DFF">
      <w:pPr>
        <w:spacing w:line="240" w:lineRule="auto"/>
        <w:rPr>
          <w:rFonts w:cs="Arial"/>
          <w:szCs w:val="20"/>
        </w:rPr>
      </w:pPr>
      <w:r w:rsidRPr="00A170A4">
        <w:rPr>
          <w:rFonts w:cs="Arial"/>
          <w:szCs w:val="20"/>
        </w:rPr>
        <w:t>Where the satellite network is still under coordination and has not as yet been recorded (notified) in the MIFR:</w:t>
      </w:r>
    </w:p>
    <w:p w14:paraId="603EAE31" w14:textId="6CF92058" w:rsidR="00872DFF" w:rsidRPr="00122FB0" w:rsidRDefault="00872DFF" w:rsidP="00122FB0">
      <w:pPr>
        <w:pStyle w:val="AppL2"/>
        <w:spacing w:after="240"/>
      </w:pPr>
      <w:bookmarkStart w:id="235" w:name="_Toc490122672"/>
      <w:bookmarkStart w:id="236" w:name="_Toc480354448"/>
      <w:bookmarkStart w:id="237" w:name="_Toc480354743"/>
      <w:bookmarkStart w:id="238" w:name="_Toc483400693"/>
      <w:bookmarkStart w:id="239" w:name="_Toc483406757"/>
      <w:bookmarkStart w:id="240" w:name="_Toc486318173"/>
      <w:bookmarkStart w:id="241" w:name="_Toc486318906"/>
      <w:bookmarkStart w:id="242" w:name="_Toc486319156"/>
      <w:bookmarkStart w:id="243" w:name="_Toc12974868"/>
      <w:bookmarkStart w:id="244" w:name="_Toc14956819"/>
      <w:bookmarkStart w:id="245" w:name="_Toc153798006"/>
      <w:r w:rsidRPr="00A170A4">
        <w:t>S</w:t>
      </w:r>
      <w:r>
        <w:t>pecial</w:t>
      </w:r>
      <w:r w:rsidRPr="00A170A4">
        <w:t xml:space="preserve"> C</w:t>
      </w:r>
      <w:r>
        <w:t>onditions</w:t>
      </w:r>
      <w:bookmarkEnd w:id="235"/>
      <w:bookmarkEnd w:id="236"/>
      <w:bookmarkEnd w:id="237"/>
      <w:bookmarkEnd w:id="238"/>
      <w:bookmarkEnd w:id="239"/>
      <w:bookmarkEnd w:id="240"/>
      <w:bookmarkEnd w:id="241"/>
      <w:bookmarkEnd w:id="242"/>
      <w:bookmarkEnd w:id="243"/>
      <w:bookmarkEnd w:id="244"/>
      <w:bookmarkEnd w:id="245"/>
    </w:p>
    <w:p w14:paraId="1F1C7A53" w14:textId="16021A47" w:rsidR="00872DFF" w:rsidRPr="00122FB0" w:rsidRDefault="00872DFF" w:rsidP="00872DFF">
      <w:pPr>
        <w:autoSpaceDE w:val="0"/>
        <w:autoSpaceDN w:val="0"/>
        <w:adjustRightInd w:val="0"/>
        <w:spacing w:line="240" w:lineRule="auto"/>
        <w:rPr>
          <w:rFonts w:cs="Arial"/>
          <w:b/>
          <w:szCs w:val="20"/>
        </w:rPr>
      </w:pPr>
      <w:r w:rsidRPr="00022BA9">
        <w:rPr>
          <w:rFonts w:cs="Arial"/>
          <w:b/>
          <w:szCs w:val="20"/>
        </w:rPr>
        <w:t>Pre-defined (</w:t>
      </w:r>
      <w:r w:rsidRPr="00A170A4">
        <w:rPr>
          <w:rFonts w:cs="Arial"/>
          <w:b/>
          <w:szCs w:val="20"/>
        </w:rPr>
        <w:t>EH</w:t>
      </w:r>
      <w:r>
        <w:rPr>
          <w:rFonts w:cs="Arial"/>
          <w:b/>
          <w:szCs w:val="20"/>
        </w:rPr>
        <w:t>)</w:t>
      </w:r>
    </w:p>
    <w:p w14:paraId="7417B875" w14:textId="5BCF8619" w:rsidR="00872DFF" w:rsidRPr="00122FB0" w:rsidRDefault="00872DFF" w:rsidP="00866124">
      <w:pPr>
        <w:pStyle w:val="ListParagraph"/>
        <w:numPr>
          <w:ilvl w:val="0"/>
          <w:numId w:val="11"/>
        </w:numPr>
        <w:spacing w:after="240" w:line="240" w:lineRule="auto"/>
        <w:rPr>
          <w:rFonts w:cs="Arial"/>
          <w:szCs w:val="20"/>
        </w:rPr>
      </w:pPr>
      <w:r w:rsidRPr="00A170A4">
        <w:rPr>
          <w:rFonts w:cs="Arial"/>
          <w:szCs w:val="20"/>
        </w:rPr>
        <w:t>Transmissions must not occur in circumstances that result in harmful interference to stations outside of Australia where these stations are operating in accordance with the Radio Regulations of the International Telecommunication Union except where the transmissions are in accordance with any agreements reached as a result of an ITU international frequency coordination process.</w:t>
      </w:r>
      <w:r w:rsidRPr="00A170A4" w:rsidDel="007113CD">
        <w:rPr>
          <w:rFonts w:cs="Arial"/>
          <w:szCs w:val="20"/>
        </w:rPr>
        <w:t xml:space="preserve"> </w:t>
      </w:r>
    </w:p>
    <w:p w14:paraId="4D0C53D1" w14:textId="10F3D1C4" w:rsidR="00872DFF" w:rsidRPr="00126E2C" w:rsidRDefault="00183935" w:rsidP="00872DFF">
      <w:pPr>
        <w:autoSpaceDE w:val="0"/>
        <w:autoSpaceDN w:val="0"/>
        <w:adjustRightInd w:val="0"/>
        <w:spacing w:line="240" w:lineRule="auto"/>
        <w:rPr>
          <w:rFonts w:cs="Arial"/>
          <w:b/>
          <w:szCs w:val="20"/>
        </w:rPr>
      </w:pPr>
      <w:r>
        <w:rPr>
          <w:rFonts w:cs="Arial"/>
          <w:b/>
          <w:szCs w:val="20"/>
        </w:rPr>
        <w:t>Pre</w:t>
      </w:r>
      <w:r w:rsidR="00872DFF" w:rsidRPr="00126E2C">
        <w:rPr>
          <w:rFonts w:cs="Arial"/>
          <w:b/>
          <w:szCs w:val="20"/>
        </w:rPr>
        <w:t>-defined</w:t>
      </w:r>
      <w:r>
        <w:rPr>
          <w:rFonts w:cs="Arial"/>
          <w:b/>
          <w:szCs w:val="20"/>
        </w:rPr>
        <w:t xml:space="preserve"> (SA)</w:t>
      </w:r>
    </w:p>
    <w:p w14:paraId="37551FF7" w14:textId="0795AEAB" w:rsidR="00872DFF" w:rsidRDefault="00872DFF" w:rsidP="00866124">
      <w:pPr>
        <w:pStyle w:val="ListParagraph"/>
        <w:numPr>
          <w:ilvl w:val="0"/>
          <w:numId w:val="11"/>
        </w:numPr>
        <w:spacing w:after="240" w:line="240" w:lineRule="auto"/>
        <w:rPr>
          <w:rFonts w:cs="Arial"/>
          <w:szCs w:val="20"/>
        </w:rPr>
      </w:pPr>
      <w:r w:rsidRPr="00A170A4">
        <w:rPr>
          <w:rFonts w:cs="Arial"/>
          <w:szCs w:val="20"/>
        </w:rPr>
        <w:t xml:space="preserve">Prior to the frequency assignments being recorded in the Master International Frequency Register (MIFR) of the International Telecommunication Union (ITU), this space station </w:t>
      </w:r>
      <w:r>
        <w:rPr>
          <w:rFonts w:cs="Arial"/>
          <w:szCs w:val="20"/>
        </w:rPr>
        <w:t xml:space="preserve">and associated earth stations </w:t>
      </w:r>
      <w:r w:rsidRPr="00A170A4">
        <w:rPr>
          <w:rFonts w:cs="Arial"/>
          <w:szCs w:val="20"/>
        </w:rPr>
        <w:t>may operate in accordance with the operating parameters published by the ITU in Special Section</w:t>
      </w:r>
      <w:r w:rsidR="00183935">
        <w:rPr>
          <w:rFonts w:cs="Arial"/>
          <w:i/>
          <w:szCs w:val="20"/>
        </w:rPr>
        <w:t xml:space="preserve">s </w:t>
      </w:r>
      <w:r w:rsidRPr="00A170A4">
        <w:rPr>
          <w:rFonts w:cs="Arial"/>
          <w:szCs w:val="20"/>
        </w:rPr>
        <w:t>of International Frequency Information Circular</w:t>
      </w:r>
      <w:r w:rsidR="00183935">
        <w:rPr>
          <w:rFonts w:cs="Arial"/>
          <w:szCs w:val="20"/>
        </w:rPr>
        <w:t>s</w:t>
      </w:r>
      <w:r w:rsidRPr="00A170A4">
        <w:rPr>
          <w:rFonts w:cs="Arial"/>
          <w:szCs w:val="20"/>
        </w:rPr>
        <w:t xml:space="preserve"> and in accordance with any agreements reached as a result of an ITU frequency coordination process.</w:t>
      </w:r>
    </w:p>
    <w:p w14:paraId="4EB11DE8" w14:textId="6F773D1E" w:rsidR="0042066D" w:rsidRPr="00126E2C" w:rsidRDefault="0042066D" w:rsidP="0042066D">
      <w:pPr>
        <w:autoSpaceDE w:val="0"/>
        <w:autoSpaceDN w:val="0"/>
        <w:adjustRightInd w:val="0"/>
        <w:spacing w:line="240" w:lineRule="auto"/>
        <w:rPr>
          <w:rFonts w:cs="Arial"/>
          <w:b/>
          <w:szCs w:val="20"/>
        </w:rPr>
      </w:pPr>
      <w:r>
        <w:rPr>
          <w:rFonts w:cs="Arial"/>
          <w:b/>
          <w:szCs w:val="20"/>
        </w:rPr>
        <w:t>Pre</w:t>
      </w:r>
      <w:r w:rsidRPr="00126E2C">
        <w:rPr>
          <w:rFonts w:cs="Arial"/>
          <w:b/>
          <w:szCs w:val="20"/>
        </w:rPr>
        <w:t>-defined</w:t>
      </w:r>
      <w:r>
        <w:rPr>
          <w:rFonts w:cs="Arial"/>
          <w:b/>
          <w:szCs w:val="20"/>
        </w:rPr>
        <w:t xml:space="preserve"> (</w:t>
      </w:r>
      <w:r w:rsidR="003E5006">
        <w:rPr>
          <w:rFonts w:cs="Arial"/>
          <w:b/>
          <w:szCs w:val="20"/>
        </w:rPr>
        <w:t>EQ</w:t>
      </w:r>
      <w:r>
        <w:rPr>
          <w:rFonts w:cs="Arial"/>
          <w:b/>
          <w:szCs w:val="20"/>
        </w:rPr>
        <w:t>)</w:t>
      </w:r>
    </w:p>
    <w:p w14:paraId="7BD5374D" w14:textId="77777777" w:rsidR="0042066D" w:rsidRPr="0042066D" w:rsidRDefault="0042066D" w:rsidP="00866124">
      <w:pPr>
        <w:pStyle w:val="ListParagraph"/>
        <w:numPr>
          <w:ilvl w:val="0"/>
          <w:numId w:val="11"/>
        </w:numPr>
        <w:spacing w:after="240" w:line="240" w:lineRule="auto"/>
      </w:pPr>
      <w:r>
        <w:t>The licensee shall advise the ACMA of changes to the point of contact provided for the purpose of tracing any suspected cases of interference</w:t>
      </w:r>
      <w:r w:rsidRPr="00A170A4">
        <w:rPr>
          <w:rFonts w:cs="Arial"/>
          <w:szCs w:val="20"/>
        </w:rPr>
        <w:t>.</w:t>
      </w:r>
    </w:p>
    <w:p w14:paraId="3DB78600" w14:textId="0F341C73" w:rsidR="0042066D" w:rsidRPr="00126E2C" w:rsidRDefault="0042066D" w:rsidP="0042066D">
      <w:pPr>
        <w:autoSpaceDE w:val="0"/>
        <w:autoSpaceDN w:val="0"/>
        <w:adjustRightInd w:val="0"/>
        <w:spacing w:line="240" w:lineRule="auto"/>
        <w:rPr>
          <w:rFonts w:cs="Arial"/>
          <w:b/>
          <w:szCs w:val="20"/>
        </w:rPr>
      </w:pPr>
      <w:r>
        <w:rPr>
          <w:rFonts w:cs="Arial"/>
          <w:b/>
          <w:szCs w:val="20"/>
        </w:rPr>
        <w:t>Pre</w:t>
      </w:r>
      <w:r w:rsidRPr="00126E2C">
        <w:rPr>
          <w:rFonts w:cs="Arial"/>
          <w:b/>
          <w:szCs w:val="20"/>
        </w:rPr>
        <w:t>-defined</w:t>
      </w:r>
      <w:r>
        <w:rPr>
          <w:rFonts w:cs="Arial"/>
          <w:b/>
          <w:szCs w:val="20"/>
        </w:rPr>
        <w:t xml:space="preserve"> (RQZ1)</w:t>
      </w:r>
      <w:r w:rsidR="00827C75">
        <w:rPr>
          <w:rFonts w:cs="Arial"/>
          <w:b/>
          <w:szCs w:val="20"/>
        </w:rPr>
        <w:t xml:space="preserve"> applicable to space receive licence only</w:t>
      </w:r>
    </w:p>
    <w:p w14:paraId="010EF573" w14:textId="58FE6CB8" w:rsidR="00756624" w:rsidRDefault="0042066D" w:rsidP="00866124">
      <w:pPr>
        <w:pStyle w:val="ListParagraph"/>
        <w:numPr>
          <w:ilvl w:val="0"/>
          <w:numId w:val="11"/>
        </w:numPr>
        <w:spacing w:after="240" w:line="240" w:lineRule="auto"/>
      </w:pPr>
      <w:r>
        <w:t>E</w:t>
      </w:r>
      <w:r w:rsidRPr="00F344C0">
        <w:t>arth station transmitter</w:t>
      </w:r>
      <w:r>
        <w:t>s</w:t>
      </w:r>
      <w:r w:rsidRPr="00F344C0">
        <w:t xml:space="preserve"> on land </w:t>
      </w:r>
      <w:r>
        <w:t xml:space="preserve">associated with this space station </w:t>
      </w:r>
      <w:r w:rsidRPr="00F344C0">
        <w:t xml:space="preserve">must not be operated within 70 kilometres distance from </w:t>
      </w:r>
      <w:r w:rsidRPr="006C53CE">
        <w:t>the Murchison Radioastronomy Observatory without the approval of the entity responsible for operating the Murchison Radioastronomy Observatory.</w:t>
      </w:r>
    </w:p>
    <w:p w14:paraId="3C532504" w14:textId="3A18A494" w:rsidR="00183935" w:rsidRPr="00126E2C" w:rsidRDefault="00183935" w:rsidP="00183935">
      <w:pPr>
        <w:autoSpaceDE w:val="0"/>
        <w:autoSpaceDN w:val="0"/>
        <w:adjustRightInd w:val="0"/>
        <w:spacing w:line="240" w:lineRule="auto"/>
        <w:rPr>
          <w:rFonts w:cs="Arial"/>
          <w:b/>
          <w:szCs w:val="20"/>
        </w:rPr>
      </w:pPr>
      <w:r>
        <w:rPr>
          <w:rFonts w:cs="Arial"/>
          <w:b/>
          <w:szCs w:val="20"/>
        </w:rPr>
        <w:t>User</w:t>
      </w:r>
      <w:r w:rsidRPr="00126E2C">
        <w:rPr>
          <w:rFonts w:cs="Arial"/>
          <w:b/>
          <w:szCs w:val="20"/>
        </w:rPr>
        <w:t>-defined</w:t>
      </w:r>
    </w:p>
    <w:p w14:paraId="09BE25E6" w14:textId="77777777" w:rsidR="00390DB4" w:rsidRDefault="0042066D" w:rsidP="00866124">
      <w:pPr>
        <w:pStyle w:val="ListParagraph"/>
        <w:numPr>
          <w:ilvl w:val="0"/>
          <w:numId w:val="11"/>
        </w:numPr>
        <w:spacing w:after="240" w:line="240" w:lineRule="auto"/>
        <w:rPr>
          <w:iCs/>
        </w:rPr>
      </w:pPr>
      <w:bookmarkStart w:id="246" w:name="_Hlk108690077"/>
      <w:bookmarkStart w:id="247" w:name="_Hlk23524971"/>
      <w:r w:rsidRPr="0042066D">
        <w:rPr>
          <w:rFonts w:cs="Arial"/>
          <w:szCs w:val="20"/>
        </w:rPr>
        <w:t>This</w:t>
      </w:r>
      <w:r w:rsidRPr="006C53CE">
        <w:t xml:space="preserve"> </w:t>
      </w:r>
      <w:bookmarkEnd w:id="246"/>
      <w:r w:rsidRPr="006C53CE">
        <w:t xml:space="preserve">space station and associated earth stations are authorised to communicate with the </w:t>
      </w:r>
      <w:r w:rsidRPr="00147EF0">
        <w:rPr>
          <w:i/>
        </w:rPr>
        <w:t>[satellite network name]</w:t>
      </w:r>
      <w:r w:rsidRPr="00147EF0">
        <w:t xml:space="preserve"> satellite network as published by the International Teleco</w:t>
      </w:r>
      <w:r w:rsidRPr="00F41BB6">
        <w:t xml:space="preserve">mmunication Union (ITU) in Special Section </w:t>
      </w:r>
      <w:r w:rsidRPr="00700A9F">
        <w:rPr>
          <w:i/>
        </w:rPr>
        <w:t>[ITU reference – take the most recent document number]</w:t>
      </w:r>
      <w:r w:rsidRPr="00F41BB6">
        <w:t xml:space="preserve"> of International Frequency Information Circular </w:t>
      </w:r>
      <w:r w:rsidRPr="00700A9F">
        <w:rPr>
          <w:i/>
        </w:rPr>
        <w:t>[IFIC number]</w:t>
      </w:r>
      <w:r w:rsidRPr="00700A9F">
        <w:rPr>
          <w:iCs/>
        </w:rPr>
        <w:t>.</w:t>
      </w:r>
    </w:p>
    <w:p w14:paraId="2AE7DFED" w14:textId="344993C0" w:rsidR="00F45859" w:rsidRDefault="006C5EF1" w:rsidP="009D2BA0">
      <w:pPr>
        <w:spacing w:line="240" w:lineRule="auto"/>
        <w:ind w:left="284"/>
        <w:rPr>
          <w:rFonts w:cs="Arial"/>
          <w:szCs w:val="20"/>
        </w:rPr>
      </w:pPr>
      <w:r w:rsidRPr="00390DB4">
        <w:rPr>
          <w:iCs/>
        </w:rPr>
        <w:t>[Note: Operation of this space station and associated earth stations is only authorised if the frequenc</w:t>
      </w:r>
      <w:r w:rsidRPr="00006D47">
        <w:rPr>
          <w:iCs/>
        </w:rPr>
        <w:t>y assignments of the satellite network recorded by the ITU with which communications are authorised by this licence are not cancelled</w:t>
      </w:r>
      <w:r w:rsidR="00D54A85">
        <w:rPr>
          <w:iCs/>
        </w:rPr>
        <w:t xml:space="preserve"> </w:t>
      </w:r>
      <w:r w:rsidR="00D54A85">
        <w:rPr>
          <w:rFonts w:cs="Arial"/>
          <w:szCs w:val="20"/>
        </w:rPr>
        <w:t>or supressed]</w:t>
      </w:r>
    </w:p>
    <w:p w14:paraId="598B33D2" w14:textId="77F7168F" w:rsidR="00950558" w:rsidRPr="00006D47" w:rsidRDefault="00950558" w:rsidP="00995749">
      <w:pPr>
        <w:spacing w:line="240" w:lineRule="auto"/>
        <w:rPr>
          <w:iCs/>
        </w:rPr>
      </w:pPr>
    </w:p>
    <w:bookmarkEnd w:id="247"/>
    <w:p w14:paraId="764FD58A" w14:textId="77777777" w:rsidR="0042066D" w:rsidRPr="0042066D" w:rsidRDefault="0042066D" w:rsidP="0042066D">
      <w:pPr>
        <w:spacing w:line="240" w:lineRule="auto"/>
        <w:rPr>
          <w:rFonts w:cs="Arial"/>
          <w:b/>
          <w:bCs/>
          <w:szCs w:val="20"/>
        </w:rPr>
      </w:pPr>
    </w:p>
    <w:p w14:paraId="4BA9EB06" w14:textId="61318EA9" w:rsidR="00872DFF" w:rsidRPr="00122FB0" w:rsidRDefault="00872DFF" w:rsidP="002C20CF">
      <w:pPr>
        <w:pStyle w:val="AppL2"/>
        <w:keepLines/>
        <w:spacing w:after="240"/>
      </w:pPr>
      <w:bookmarkStart w:id="248" w:name="_Toc490122673"/>
      <w:bookmarkStart w:id="249" w:name="_Toc480354449"/>
      <w:bookmarkStart w:id="250" w:name="_Toc480354744"/>
      <w:bookmarkStart w:id="251" w:name="_Toc483400694"/>
      <w:bookmarkStart w:id="252" w:name="_Toc483406758"/>
      <w:bookmarkStart w:id="253" w:name="_Toc486318174"/>
      <w:bookmarkStart w:id="254" w:name="_Toc486318907"/>
      <w:bookmarkStart w:id="255" w:name="_Toc486319157"/>
      <w:bookmarkStart w:id="256" w:name="_Toc12974869"/>
      <w:bookmarkStart w:id="257" w:name="_Toc14956820"/>
      <w:bookmarkStart w:id="258" w:name="_Toc153798007"/>
      <w:r w:rsidRPr="00A170A4">
        <w:t>A</w:t>
      </w:r>
      <w:r>
        <w:t>dvisory</w:t>
      </w:r>
      <w:r w:rsidRPr="00A170A4">
        <w:t xml:space="preserve"> N</w:t>
      </w:r>
      <w:r>
        <w:t>otes</w:t>
      </w:r>
      <w:bookmarkEnd w:id="248"/>
      <w:bookmarkEnd w:id="249"/>
      <w:bookmarkEnd w:id="250"/>
      <w:bookmarkEnd w:id="251"/>
      <w:bookmarkEnd w:id="252"/>
      <w:bookmarkEnd w:id="253"/>
      <w:bookmarkEnd w:id="254"/>
      <w:bookmarkEnd w:id="255"/>
      <w:bookmarkEnd w:id="256"/>
      <w:bookmarkEnd w:id="257"/>
      <w:bookmarkEnd w:id="258"/>
    </w:p>
    <w:p w14:paraId="2A830855" w14:textId="1F099CDF" w:rsidR="00872DFF" w:rsidRPr="00122FB0" w:rsidRDefault="00872DFF" w:rsidP="002C20CF">
      <w:pPr>
        <w:keepNext/>
        <w:keepLines/>
        <w:autoSpaceDE w:val="0"/>
        <w:autoSpaceDN w:val="0"/>
        <w:adjustRightInd w:val="0"/>
        <w:spacing w:line="240" w:lineRule="auto"/>
        <w:rPr>
          <w:rFonts w:cs="Arial"/>
          <w:b/>
          <w:szCs w:val="20"/>
        </w:rPr>
      </w:pPr>
      <w:r w:rsidRPr="00022BA9">
        <w:rPr>
          <w:rFonts w:cs="Arial"/>
          <w:b/>
          <w:szCs w:val="20"/>
        </w:rPr>
        <w:t>Pre-define</w:t>
      </w:r>
      <w:r>
        <w:rPr>
          <w:rFonts w:cs="Arial"/>
          <w:b/>
          <w:szCs w:val="20"/>
        </w:rPr>
        <w:t>d</w:t>
      </w:r>
      <w:r w:rsidRPr="00022BA9">
        <w:rPr>
          <w:rFonts w:cs="Arial"/>
          <w:b/>
          <w:szCs w:val="20"/>
        </w:rPr>
        <w:t xml:space="preserve"> (</w:t>
      </w:r>
      <w:r w:rsidRPr="00A170A4">
        <w:rPr>
          <w:rFonts w:cs="Arial"/>
          <w:b/>
          <w:szCs w:val="20"/>
        </w:rPr>
        <w:t>EI</w:t>
      </w:r>
      <w:r>
        <w:rPr>
          <w:rFonts w:cs="Arial"/>
          <w:b/>
          <w:szCs w:val="20"/>
        </w:rPr>
        <w:t>)</w:t>
      </w:r>
    </w:p>
    <w:p w14:paraId="54E031C2" w14:textId="1B600FE8" w:rsidR="00872DFF" w:rsidRPr="00122FB0" w:rsidRDefault="00872DFF" w:rsidP="00866124">
      <w:pPr>
        <w:pStyle w:val="ListParagraph"/>
        <w:numPr>
          <w:ilvl w:val="0"/>
          <w:numId w:val="12"/>
        </w:numPr>
        <w:spacing w:after="240" w:line="240" w:lineRule="auto"/>
        <w:rPr>
          <w:rFonts w:cs="Arial"/>
          <w:szCs w:val="20"/>
        </w:rPr>
      </w:pPr>
      <w:r w:rsidRPr="00A170A4">
        <w:rPr>
          <w:rFonts w:cs="Arial"/>
          <w:szCs w:val="20"/>
        </w:rPr>
        <w:t xml:space="preserve">The Master International Frequency Register (MIFR) is maintained by the International Telecommunication Union (ITU) in accordance with the Radio Regulations. </w:t>
      </w:r>
    </w:p>
    <w:p w14:paraId="699AA994" w14:textId="746A8E7F" w:rsidR="00872DFF" w:rsidRPr="00122FB0" w:rsidRDefault="00872DFF" w:rsidP="00122FB0">
      <w:pPr>
        <w:autoSpaceDE w:val="0"/>
        <w:autoSpaceDN w:val="0"/>
        <w:adjustRightInd w:val="0"/>
        <w:spacing w:line="240" w:lineRule="auto"/>
        <w:rPr>
          <w:rFonts w:cs="Arial"/>
          <w:b/>
          <w:szCs w:val="20"/>
        </w:rPr>
      </w:pPr>
      <w:r w:rsidRPr="00022BA9">
        <w:rPr>
          <w:rFonts w:cs="Arial"/>
          <w:b/>
          <w:szCs w:val="20"/>
        </w:rPr>
        <w:t>Pre-defined (</w:t>
      </w:r>
      <w:r w:rsidRPr="00A170A4">
        <w:rPr>
          <w:rFonts w:cs="Arial"/>
          <w:b/>
          <w:szCs w:val="20"/>
        </w:rPr>
        <w:t>ED</w:t>
      </w:r>
      <w:r>
        <w:rPr>
          <w:rFonts w:cs="Arial"/>
          <w:b/>
          <w:szCs w:val="20"/>
        </w:rPr>
        <w:t>)</w:t>
      </w:r>
    </w:p>
    <w:p w14:paraId="164F8E4E" w14:textId="52A69E35" w:rsidR="00872DFF" w:rsidRPr="0042066D" w:rsidRDefault="00872DFF" w:rsidP="00866124">
      <w:pPr>
        <w:pStyle w:val="ListParagraph"/>
        <w:numPr>
          <w:ilvl w:val="0"/>
          <w:numId w:val="12"/>
        </w:numPr>
        <w:spacing w:line="240" w:lineRule="auto"/>
      </w:pPr>
      <w:r w:rsidRPr="00A170A4">
        <w:rPr>
          <w:rFonts w:cs="Arial"/>
          <w:szCs w:val="20"/>
        </w:rPr>
        <w:t>Coordination agreements reached as a result of an ITU international frequency coordination process are intended to minimise the potential for harmful interference to radiocommunications stations. A radiocommunications station operated prior to a frequency assignment being recorded in the MIFR cannot necessarily claim protection from harmful interference from radiocommunications stations of other countries.</w:t>
      </w:r>
    </w:p>
    <w:p w14:paraId="5D103091" w14:textId="77777777" w:rsidR="0042066D" w:rsidRPr="0042066D" w:rsidRDefault="0042066D" w:rsidP="0042066D">
      <w:pPr>
        <w:pStyle w:val="ListParagraph"/>
        <w:spacing w:line="240" w:lineRule="auto"/>
        <w:ind w:left="360"/>
      </w:pPr>
    </w:p>
    <w:p w14:paraId="1E2EF728" w14:textId="43FAB7F2" w:rsidR="0042066D" w:rsidRDefault="0042066D" w:rsidP="0042066D">
      <w:pPr>
        <w:autoSpaceDE w:val="0"/>
        <w:autoSpaceDN w:val="0"/>
        <w:adjustRightInd w:val="0"/>
        <w:spacing w:line="240" w:lineRule="auto"/>
        <w:rPr>
          <w:rFonts w:cs="Arial"/>
          <w:b/>
          <w:szCs w:val="20"/>
        </w:rPr>
      </w:pPr>
      <w:r w:rsidRPr="00022BA9">
        <w:rPr>
          <w:rFonts w:cs="Arial"/>
          <w:b/>
          <w:szCs w:val="20"/>
        </w:rPr>
        <w:t>Pre-define</w:t>
      </w:r>
      <w:r>
        <w:rPr>
          <w:rFonts w:cs="Arial"/>
          <w:b/>
          <w:szCs w:val="20"/>
        </w:rPr>
        <w:t>d</w:t>
      </w:r>
      <w:r w:rsidRPr="00022BA9">
        <w:rPr>
          <w:rFonts w:cs="Arial"/>
          <w:b/>
          <w:szCs w:val="20"/>
        </w:rPr>
        <w:t xml:space="preserve"> (</w:t>
      </w:r>
      <w:r w:rsidRPr="00A170A4">
        <w:rPr>
          <w:rFonts w:cs="Arial"/>
          <w:b/>
          <w:szCs w:val="20"/>
        </w:rPr>
        <w:t>E</w:t>
      </w:r>
      <w:r>
        <w:rPr>
          <w:rFonts w:cs="Arial"/>
          <w:b/>
          <w:szCs w:val="20"/>
        </w:rPr>
        <w:t>N)</w:t>
      </w:r>
    </w:p>
    <w:p w14:paraId="6030EF61" w14:textId="505C42AA" w:rsidR="0042066D" w:rsidRDefault="0042066D" w:rsidP="00866124">
      <w:pPr>
        <w:pStyle w:val="ListParagraph"/>
        <w:numPr>
          <w:ilvl w:val="0"/>
          <w:numId w:val="12"/>
        </w:numPr>
        <w:spacing w:line="240" w:lineRule="auto"/>
        <w:rPr>
          <w:rFonts w:cs="Arial"/>
          <w:b/>
          <w:szCs w:val="20"/>
        </w:rPr>
      </w:pPr>
      <w:r w:rsidRPr="0042066D">
        <w:rPr>
          <w:rFonts w:cs="Arial"/>
          <w:szCs w:val="20"/>
        </w:rPr>
        <w:t>This</w:t>
      </w:r>
      <w:r>
        <w:t xml:space="preserve"> licence does not authorise operation of earth stations outside of Australia.</w:t>
      </w:r>
    </w:p>
    <w:p w14:paraId="05130C9F" w14:textId="1310EC2E" w:rsidR="00872DFF" w:rsidRPr="00122FB0" w:rsidRDefault="0037599B" w:rsidP="00122FB0">
      <w:pPr>
        <w:pStyle w:val="AppL1"/>
        <w:pageBreakBefore/>
        <w:rPr>
          <w:b/>
        </w:rPr>
      </w:pPr>
      <w:bookmarkStart w:id="259" w:name="_Toc483400695"/>
      <w:bookmarkStart w:id="260" w:name="_Toc490122674"/>
      <w:bookmarkStart w:id="261" w:name="_Toc14956821"/>
      <w:bookmarkStart w:id="262" w:name="_Toc153798008"/>
      <w:r>
        <w:rPr>
          <w:b/>
        </w:rPr>
        <w:t xml:space="preserve">Examples - </w:t>
      </w:r>
      <w:r w:rsidR="00872DFF" w:rsidRPr="00122FB0">
        <w:rPr>
          <w:b/>
        </w:rPr>
        <w:t>Information required for regulatory assessment</w:t>
      </w:r>
      <w:bookmarkEnd w:id="259"/>
      <w:bookmarkEnd w:id="260"/>
      <w:bookmarkEnd w:id="261"/>
      <w:bookmarkEnd w:id="262"/>
    </w:p>
    <w:p w14:paraId="46D7F1C6" w14:textId="7B78FEA3" w:rsidR="00872DFF" w:rsidRDefault="00B0090C" w:rsidP="00872DFF">
      <w:pPr>
        <w:pStyle w:val="Caption"/>
        <w:keepNext/>
      </w:pPr>
      <w:r>
        <w:t>Example</w:t>
      </w:r>
      <w:r w:rsidR="0037599B">
        <w:t xml:space="preserve">s - </w:t>
      </w:r>
      <w:r w:rsidR="00872DFF">
        <w:t xml:space="preserve">Information required for </w:t>
      </w:r>
      <w:r w:rsidR="00872DFF" w:rsidRPr="00CB392E">
        <w:rPr>
          <w:i/>
        </w:rPr>
        <w:t>space</w:t>
      </w:r>
      <w:r w:rsidR="00872DFF" w:rsidRPr="00221A43">
        <w:rPr>
          <w:iCs/>
        </w:rPr>
        <w:t xml:space="preserve"> and </w:t>
      </w:r>
      <w:r w:rsidR="00872DFF" w:rsidRPr="00CB392E">
        <w:rPr>
          <w:i/>
        </w:rPr>
        <w:t>space receive</w:t>
      </w:r>
      <w:r w:rsidR="00872DFF">
        <w:t xml:space="preserve"> licences</w:t>
      </w:r>
      <w:r w:rsidR="00221A43">
        <w:br/>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397"/>
        <w:gridCol w:w="2700"/>
        <w:gridCol w:w="2980"/>
      </w:tblGrid>
      <w:tr w:rsidR="00221A43" w:rsidRPr="00700A9F" w14:paraId="4C0ED454" w14:textId="77777777" w:rsidTr="006F5848">
        <w:trPr>
          <w:trHeight w:val="264"/>
        </w:trPr>
        <w:tc>
          <w:tcPr>
            <w:tcW w:w="3397" w:type="dxa"/>
            <w:shd w:val="clear" w:color="auto" w:fill="595959" w:themeFill="text1" w:themeFillTint="A6"/>
            <w:noWrap/>
            <w:vAlign w:val="bottom"/>
            <w:hideMark/>
          </w:tcPr>
          <w:p w14:paraId="656313BE" w14:textId="4A207C9C" w:rsidR="00A40933" w:rsidRPr="006F5848" w:rsidRDefault="00A40933" w:rsidP="004117A4">
            <w:pPr>
              <w:spacing w:after="120" w:line="240" w:lineRule="auto"/>
              <w:rPr>
                <w:rFonts w:ascii="Calibri" w:hAnsi="Calibri"/>
                <w:b/>
                <w:bCs/>
                <w:color w:val="FFFFFF" w:themeColor="background1"/>
                <w:sz w:val="22"/>
                <w:szCs w:val="22"/>
              </w:rPr>
            </w:pPr>
            <w:r w:rsidRPr="006F5848">
              <w:rPr>
                <w:rFonts w:ascii="Calibri" w:hAnsi="Calibri"/>
                <w:b/>
                <w:bCs/>
                <w:color w:val="FFFFFF" w:themeColor="background1"/>
                <w:sz w:val="22"/>
                <w:szCs w:val="22"/>
              </w:rPr>
              <w:t> </w:t>
            </w:r>
            <w:r w:rsidR="00221A43" w:rsidRPr="006F5848">
              <w:rPr>
                <w:rFonts w:ascii="Calibri" w:hAnsi="Calibri"/>
                <w:b/>
                <w:bCs/>
                <w:color w:val="FFFFFF" w:themeColor="background1"/>
                <w:sz w:val="22"/>
                <w:szCs w:val="22"/>
              </w:rPr>
              <w:t>Category</w:t>
            </w:r>
          </w:p>
        </w:tc>
        <w:tc>
          <w:tcPr>
            <w:tcW w:w="2700" w:type="dxa"/>
            <w:shd w:val="clear" w:color="auto" w:fill="595959" w:themeFill="text1" w:themeFillTint="A6"/>
            <w:noWrap/>
            <w:vAlign w:val="bottom"/>
            <w:hideMark/>
          </w:tcPr>
          <w:p w14:paraId="09081B22" w14:textId="77777777" w:rsidR="00A40933" w:rsidRPr="006F5848" w:rsidRDefault="00A40933" w:rsidP="004117A4">
            <w:pPr>
              <w:spacing w:after="120" w:line="240" w:lineRule="auto"/>
              <w:rPr>
                <w:rFonts w:ascii="Calibri" w:hAnsi="Calibri"/>
                <w:b/>
                <w:color w:val="FFFFFF" w:themeColor="background1"/>
                <w:sz w:val="22"/>
                <w:szCs w:val="22"/>
              </w:rPr>
            </w:pPr>
            <w:r w:rsidRPr="006F5848">
              <w:rPr>
                <w:rFonts w:ascii="Calibri" w:hAnsi="Calibri"/>
                <w:b/>
                <w:color w:val="FFFFFF" w:themeColor="background1"/>
                <w:sz w:val="22"/>
                <w:szCs w:val="22"/>
              </w:rPr>
              <w:t>Example 1</w:t>
            </w:r>
          </w:p>
        </w:tc>
        <w:tc>
          <w:tcPr>
            <w:tcW w:w="2980" w:type="dxa"/>
            <w:shd w:val="clear" w:color="auto" w:fill="595959" w:themeFill="text1" w:themeFillTint="A6"/>
            <w:noWrap/>
            <w:vAlign w:val="bottom"/>
            <w:hideMark/>
          </w:tcPr>
          <w:p w14:paraId="17059416" w14:textId="77777777" w:rsidR="00A40933" w:rsidRPr="006F5848" w:rsidRDefault="00A40933" w:rsidP="004117A4">
            <w:pPr>
              <w:spacing w:after="120" w:line="240" w:lineRule="auto"/>
              <w:rPr>
                <w:rFonts w:ascii="Calibri" w:hAnsi="Calibri"/>
                <w:b/>
                <w:color w:val="FFFFFF" w:themeColor="background1"/>
                <w:sz w:val="22"/>
                <w:szCs w:val="22"/>
              </w:rPr>
            </w:pPr>
            <w:r w:rsidRPr="006F5848">
              <w:rPr>
                <w:rFonts w:ascii="Calibri" w:hAnsi="Calibri"/>
                <w:b/>
                <w:color w:val="FFFFFF" w:themeColor="background1"/>
                <w:sz w:val="22"/>
                <w:szCs w:val="22"/>
              </w:rPr>
              <w:t>Example 2</w:t>
            </w:r>
          </w:p>
        </w:tc>
      </w:tr>
      <w:tr w:rsidR="00A40933" w:rsidRPr="003F44ED" w14:paraId="7948E1DC" w14:textId="77777777" w:rsidTr="006F5848">
        <w:trPr>
          <w:trHeight w:val="264"/>
        </w:trPr>
        <w:tc>
          <w:tcPr>
            <w:tcW w:w="3397" w:type="dxa"/>
            <w:shd w:val="clear" w:color="auto" w:fill="auto"/>
            <w:vAlign w:val="center"/>
            <w:hideMark/>
          </w:tcPr>
          <w:p w14:paraId="0E26AF7F" w14:textId="458F7756" w:rsidR="00A40933" w:rsidRPr="00EB0E7F" w:rsidRDefault="00A40933" w:rsidP="00122FB0">
            <w:pPr>
              <w:spacing w:after="120" w:line="240" w:lineRule="auto"/>
              <w:rPr>
                <w:rFonts w:cs="Arial"/>
                <w:color w:val="000000"/>
                <w:szCs w:val="20"/>
              </w:rPr>
            </w:pPr>
            <w:r w:rsidRPr="00EB0E7F">
              <w:rPr>
                <w:rFonts w:cs="Arial"/>
                <w:color w:val="000000"/>
                <w:szCs w:val="20"/>
              </w:rPr>
              <w:t>Licence type</w:t>
            </w:r>
          </w:p>
        </w:tc>
        <w:tc>
          <w:tcPr>
            <w:tcW w:w="2700" w:type="dxa"/>
            <w:shd w:val="clear" w:color="auto" w:fill="auto"/>
            <w:noWrap/>
            <w:hideMark/>
          </w:tcPr>
          <w:p w14:paraId="676A356E" w14:textId="77777777" w:rsidR="00A40933" w:rsidRPr="00EB0E7F" w:rsidRDefault="00A40933" w:rsidP="00122FB0">
            <w:pPr>
              <w:spacing w:after="120" w:line="240" w:lineRule="auto"/>
              <w:rPr>
                <w:rFonts w:cs="Arial"/>
                <w:color w:val="000000"/>
                <w:szCs w:val="20"/>
              </w:rPr>
            </w:pPr>
            <w:r w:rsidRPr="00EB0E7F">
              <w:rPr>
                <w:rFonts w:cs="Arial"/>
                <w:color w:val="000000"/>
                <w:szCs w:val="20"/>
              </w:rPr>
              <w:t>Space receive</w:t>
            </w:r>
          </w:p>
        </w:tc>
        <w:tc>
          <w:tcPr>
            <w:tcW w:w="2980" w:type="dxa"/>
            <w:shd w:val="clear" w:color="auto" w:fill="auto"/>
            <w:noWrap/>
            <w:hideMark/>
          </w:tcPr>
          <w:p w14:paraId="7090ACFA" w14:textId="00A52B62" w:rsidR="00A40933" w:rsidRPr="00EB0E7F" w:rsidRDefault="00A40933" w:rsidP="00122FB0">
            <w:pPr>
              <w:spacing w:after="120" w:line="240" w:lineRule="auto"/>
              <w:rPr>
                <w:rFonts w:cs="Arial"/>
                <w:szCs w:val="20"/>
              </w:rPr>
            </w:pPr>
            <w:r w:rsidRPr="00EB0E7F">
              <w:rPr>
                <w:rFonts w:cs="Arial"/>
                <w:szCs w:val="20"/>
              </w:rPr>
              <w:t>Space</w:t>
            </w:r>
          </w:p>
        </w:tc>
      </w:tr>
      <w:tr w:rsidR="00A40933" w:rsidRPr="003F44ED" w14:paraId="54AF6DEB" w14:textId="77777777" w:rsidTr="006F5848">
        <w:trPr>
          <w:trHeight w:val="264"/>
        </w:trPr>
        <w:tc>
          <w:tcPr>
            <w:tcW w:w="3397" w:type="dxa"/>
            <w:shd w:val="clear" w:color="auto" w:fill="auto"/>
            <w:vAlign w:val="center"/>
            <w:hideMark/>
          </w:tcPr>
          <w:p w14:paraId="3609D171" w14:textId="2BE1F83C" w:rsidR="00A40933" w:rsidRPr="00EB0E7F" w:rsidRDefault="00A40933" w:rsidP="00122FB0">
            <w:pPr>
              <w:spacing w:after="120" w:line="240" w:lineRule="auto"/>
              <w:rPr>
                <w:rFonts w:cs="Arial"/>
                <w:color w:val="000000"/>
                <w:szCs w:val="20"/>
              </w:rPr>
            </w:pPr>
            <w:r w:rsidRPr="00EB0E7F">
              <w:rPr>
                <w:rFonts w:cs="Arial"/>
                <w:color w:val="000000"/>
                <w:szCs w:val="20"/>
              </w:rPr>
              <w:t>Licence renewability (ongoing/</w:t>
            </w:r>
            <w:r>
              <w:rPr>
                <w:rFonts w:cs="Arial"/>
                <w:color w:val="000000"/>
                <w:szCs w:val="20"/>
              </w:rPr>
              <w:br/>
            </w:r>
            <w:r w:rsidRPr="00EB0E7F">
              <w:rPr>
                <w:rFonts w:cs="Arial"/>
                <w:color w:val="000000"/>
                <w:szCs w:val="20"/>
              </w:rPr>
              <w:t xml:space="preserve">non-ongoing) and licence period </w:t>
            </w:r>
          </w:p>
        </w:tc>
        <w:tc>
          <w:tcPr>
            <w:tcW w:w="2700" w:type="dxa"/>
            <w:shd w:val="clear" w:color="auto" w:fill="auto"/>
            <w:noWrap/>
            <w:hideMark/>
          </w:tcPr>
          <w:p w14:paraId="796B6343" w14:textId="2EDD91EE" w:rsidR="00A40933" w:rsidRPr="00EB0E7F" w:rsidRDefault="00C678F3" w:rsidP="00122FB0">
            <w:pPr>
              <w:spacing w:after="120" w:line="240" w:lineRule="auto"/>
              <w:rPr>
                <w:rFonts w:cs="Arial"/>
                <w:color w:val="000000"/>
                <w:szCs w:val="20"/>
              </w:rPr>
            </w:pPr>
            <w:r>
              <w:rPr>
                <w:rFonts w:cs="Arial"/>
                <w:color w:val="000000"/>
                <w:szCs w:val="20"/>
              </w:rPr>
              <w:t>Non-renewable</w:t>
            </w:r>
            <w:r w:rsidR="00A40933" w:rsidRPr="00EB0E7F">
              <w:rPr>
                <w:rFonts w:cs="Arial"/>
                <w:color w:val="000000"/>
                <w:szCs w:val="20"/>
              </w:rPr>
              <w:t xml:space="preserve"> (</w:t>
            </w:r>
            <w:r w:rsidR="00246EA3">
              <w:rPr>
                <w:rFonts w:cs="Arial"/>
                <w:color w:val="000000"/>
                <w:szCs w:val="20"/>
              </w:rPr>
              <w:t>12</w:t>
            </w:r>
            <w:r w:rsidR="00A40933" w:rsidRPr="00EB0E7F">
              <w:rPr>
                <w:rFonts w:cs="Arial"/>
                <w:color w:val="000000"/>
                <w:szCs w:val="20"/>
              </w:rPr>
              <w:t xml:space="preserve"> months)</w:t>
            </w:r>
          </w:p>
        </w:tc>
        <w:tc>
          <w:tcPr>
            <w:tcW w:w="2980" w:type="dxa"/>
            <w:shd w:val="clear" w:color="auto" w:fill="auto"/>
            <w:noWrap/>
            <w:hideMark/>
          </w:tcPr>
          <w:p w14:paraId="27CBE8D1" w14:textId="05343234" w:rsidR="00A40933" w:rsidRPr="00EB0E7F" w:rsidRDefault="00C678F3" w:rsidP="00122FB0">
            <w:pPr>
              <w:spacing w:after="120" w:line="240" w:lineRule="auto"/>
              <w:rPr>
                <w:rFonts w:cs="Arial"/>
                <w:szCs w:val="20"/>
              </w:rPr>
            </w:pPr>
            <w:r>
              <w:rPr>
                <w:rFonts w:cs="Arial"/>
                <w:szCs w:val="20"/>
              </w:rPr>
              <w:t>Renewable</w:t>
            </w:r>
            <w:r w:rsidRPr="00EB0E7F">
              <w:rPr>
                <w:rFonts w:cs="Arial"/>
                <w:szCs w:val="20"/>
              </w:rPr>
              <w:t xml:space="preserve"> </w:t>
            </w:r>
            <w:r w:rsidR="00A40933" w:rsidRPr="00EB0E7F">
              <w:rPr>
                <w:rFonts w:cs="Arial"/>
                <w:szCs w:val="20"/>
              </w:rPr>
              <w:t>(initial 1 year)</w:t>
            </w:r>
          </w:p>
        </w:tc>
      </w:tr>
      <w:tr w:rsidR="00A40933" w:rsidRPr="003F44ED" w14:paraId="5627A8B3" w14:textId="77777777" w:rsidTr="006F5848">
        <w:trPr>
          <w:trHeight w:val="264"/>
        </w:trPr>
        <w:tc>
          <w:tcPr>
            <w:tcW w:w="3397" w:type="dxa"/>
            <w:shd w:val="clear" w:color="auto" w:fill="auto"/>
            <w:vAlign w:val="center"/>
          </w:tcPr>
          <w:p w14:paraId="75D5E24A" w14:textId="16FCCF0C" w:rsidR="00A40933" w:rsidRPr="00EB0E7F" w:rsidRDefault="00A40933" w:rsidP="00122FB0">
            <w:pPr>
              <w:spacing w:after="120" w:line="240" w:lineRule="auto"/>
              <w:rPr>
                <w:rFonts w:cs="Arial"/>
                <w:color w:val="000000"/>
                <w:szCs w:val="20"/>
              </w:rPr>
            </w:pPr>
            <w:r w:rsidRPr="00996FEB">
              <w:rPr>
                <w:rFonts w:cs="Arial"/>
                <w:color w:val="000000"/>
                <w:szCs w:val="20"/>
              </w:rPr>
              <w:t>Direction</w:t>
            </w:r>
          </w:p>
        </w:tc>
        <w:tc>
          <w:tcPr>
            <w:tcW w:w="2700" w:type="dxa"/>
            <w:shd w:val="clear" w:color="auto" w:fill="auto"/>
            <w:noWrap/>
            <w:vAlign w:val="bottom"/>
          </w:tcPr>
          <w:p w14:paraId="00E36E80" w14:textId="6702DD22" w:rsidR="00A40933" w:rsidRPr="00EB0E7F" w:rsidRDefault="00A40933" w:rsidP="00122FB0">
            <w:pPr>
              <w:spacing w:after="120" w:line="240" w:lineRule="auto"/>
              <w:rPr>
                <w:rFonts w:cs="Arial"/>
                <w:color w:val="000000"/>
                <w:szCs w:val="20"/>
              </w:rPr>
            </w:pPr>
            <w:r>
              <w:rPr>
                <w:rFonts w:cs="Arial"/>
                <w:color w:val="000000"/>
                <w:szCs w:val="20"/>
              </w:rPr>
              <w:t>Up</w:t>
            </w:r>
            <w:r w:rsidRPr="00996FEB">
              <w:rPr>
                <w:rFonts w:cs="Arial"/>
                <w:color w:val="000000"/>
                <w:szCs w:val="20"/>
              </w:rPr>
              <w:t>link</w:t>
            </w:r>
          </w:p>
        </w:tc>
        <w:tc>
          <w:tcPr>
            <w:tcW w:w="2980" w:type="dxa"/>
            <w:shd w:val="clear" w:color="auto" w:fill="auto"/>
            <w:noWrap/>
            <w:vAlign w:val="bottom"/>
          </w:tcPr>
          <w:p w14:paraId="5EE018E3" w14:textId="73EA4E12" w:rsidR="00A40933" w:rsidRPr="00EB0E7F" w:rsidRDefault="00A40933" w:rsidP="00122FB0">
            <w:pPr>
              <w:spacing w:after="120" w:line="240" w:lineRule="auto"/>
              <w:rPr>
                <w:rFonts w:cs="Arial"/>
                <w:szCs w:val="20"/>
              </w:rPr>
            </w:pPr>
            <w:r w:rsidRPr="00996FEB">
              <w:rPr>
                <w:rFonts w:cs="Arial"/>
                <w:szCs w:val="20"/>
              </w:rPr>
              <w:t>Downlink</w:t>
            </w:r>
          </w:p>
        </w:tc>
      </w:tr>
      <w:tr w:rsidR="00A40933" w:rsidRPr="003F44ED" w14:paraId="2AEF7D3D" w14:textId="77777777" w:rsidTr="006F5848">
        <w:trPr>
          <w:trHeight w:val="361"/>
        </w:trPr>
        <w:tc>
          <w:tcPr>
            <w:tcW w:w="3397" w:type="dxa"/>
            <w:shd w:val="clear" w:color="auto" w:fill="auto"/>
            <w:vAlign w:val="center"/>
            <w:hideMark/>
          </w:tcPr>
          <w:p w14:paraId="1F9B2236" w14:textId="7B9FAA24" w:rsidR="00A40933" w:rsidRPr="00EB0E7F" w:rsidRDefault="00A40933" w:rsidP="00122FB0">
            <w:pPr>
              <w:spacing w:after="120" w:line="240" w:lineRule="auto"/>
              <w:rPr>
                <w:rFonts w:cs="Arial"/>
                <w:color w:val="000000"/>
                <w:szCs w:val="20"/>
              </w:rPr>
            </w:pPr>
            <w:r w:rsidRPr="00EB0E7F">
              <w:rPr>
                <w:rFonts w:cs="Arial"/>
                <w:color w:val="000000"/>
                <w:szCs w:val="20"/>
              </w:rPr>
              <w:t>Frequency lower bound (MHz)</w:t>
            </w:r>
          </w:p>
        </w:tc>
        <w:tc>
          <w:tcPr>
            <w:tcW w:w="2700" w:type="dxa"/>
            <w:shd w:val="clear" w:color="auto" w:fill="auto"/>
            <w:noWrap/>
            <w:hideMark/>
          </w:tcPr>
          <w:p w14:paraId="41C41791" w14:textId="77777777" w:rsidR="00A40933" w:rsidRPr="00EB0E7F" w:rsidRDefault="00A40933" w:rsidP="00122FB0">
            <w:pPr>
              <w:spacing w:after="120" w:line="240" w:lineRule="auto"/>
              <w:rPr>
                <w:rFonts w:cs="Arial"/>
                <w:color w:val="000000"/>
                <w:szCs w:val="20"/>
              </w:rPr>
            </w:pPr>
            <w:r w:rsidRPr="00EB0E7F">
              <w:rPr>
                <w:rFonts w:cs="Arial"/>
                <w:color w:val="000000"/>
                <w:szCs w:val="20"/>
              </w:rPr>
              <w:t>1611</w:t>
            </w:r>
          </w:p>
        </w:tc>
        <w:tc>
          <w:tcPr>
            <w:tcW w:w="2980" w:type="dxa"/>
            <w:shd w:val="clear" w:color="auto" w:fill="auto"/>
            <w:noWrap/>
            <w:hideMark/>
          </w:tcPr>
          <w:p w14:paraId="1AC8F86F" w14:textId="77777777" w:rsidR="00A40933" w:rsidRPr="00EB0E7F" w:rsidRDefault="00A40933" w:rsidP="00122FB0">
            <w:pPr>
              <w:spacing w:after="120" w:line="240" w:lineRule="auto"/>
              <w:rPr>
                <w:rFonts w:cs="Arial"/>
                <w:szCs w:val="20"/>
              </w:rPr>
            </w:pPr>
            <w:r w:rsidRPr="00EB0E7F">
              <w:rPr>
                <w:rFonts w:cs="Arial"/>
                <w:szCs w:val="20"/>
              </w:rPr>
              <w:t>11701</w:t>
            </w:r>
          </w:p>
        </w:tc>
      </w:tr>
      <w:tr w:rsidR="00A40933" w:rsidRPr="003F44ED" w14:paraId="5972A2AD" w14:textId="77777777" w:rsidTr="006F5848">
        <w:trPr>
          <w:trHeight w:val="316"/>
        </w:trPr>
        <w:tc>
          <w:tcPr>
            <w:tcW w:w="3397" w:type="dxa"/>
            <w:shd w:val="clear" w:color="auto" w:fill="auto"/>
            <w:vAlign w:val="center"/>
            <w:hideMark/>
          </w:tcPr>
          <w:p w14:paraId="40A44881" w14:textId="374F1C6B" w:rsidR="00A40933" w:rsidRPr="00EB0E7F" w:rsidRDefault="00A40933" w:rsidP="00122FB0">
            <w:pPr>
              <w:spacing w:after="120" w:line="240" w:lineRule="auto"/>
              <w:rPr>
                <w:rFonts w:cs="Arial"/>
                <w:color w:val="000000"/>
                <w:szCs w:val="20"/>
              </w:rPr>
            </w:pPr>
            <w:r w:rsidRPr="00EB0E7F">
              <w:rPr>
                <w:rFonts w:cs="Arial"/>
                <w:color w:val="000000"/>
                <w:szCs w:val="20"/>
              </w:rPr>
              <w:t>Frequency upper bound (MHz)</w:t>
            </w:r>
          </w:p>
        </w:tc>
        <w:tc>
          <w:tcPr>
            <w:tcW w:w="2700" w:type="dxa"/>
            <w:shd w:val="clear" w:color="auto" w:fill="auto"/>
            <w:noWrap/>
            <w:hideMark/>
          </w:tcPr>
          <w:p w14:paraId="3087BC3A" w14:textId="77777777" w:rsidR="00A40933" w:rsidRPr="00EB0E7F" w:rsidRDefault="00A40933" w:rsidP="00122FB0">
            <w:pPr>
              <w:spacing w:after="120" w:line="240" w:lineRule="auto"/>
              <w:rPr>
                <w:rFonts w:cs="Arial"/>
                <w:color w:val="000000"/>
                <w:szCs w:val="20"/>
              </w:rPr>
            </w:pPr>
            <w:r w:rsidRPr="00EB0E7F">
              <w:rPr>
                <w:rFonts w:cs="Arial"/>
                <w:color w:val="000000"/>
                <w:szCs w:val="20"/>
              </w:rPr>
              <w:t>1612</w:t>
            </w:r>
          </w:p>
        </w:tc>
        <w:tc>
          <w:tcPr>
            <w:tcW w:w="2980" w:type="dxa"/>
            <w:shd w:val="clear" w:color="auto" w:fill="auto"/>
            <w:noWrap/>
            <w:hideMark/>
          </w:tcPr>
          <w:p w14:paraId="352EA4BC" w14:textId="77777777" w:rsidR="00A40933" w:rsidRPr="00EB0E7F" w:rsidRDefault="00A40933" w:rsidP="00122FB0">
            <w:pPr>
              <w:spacing w:after="120" w:line="240" w:lineRule="auto"/>
              <w:rPr>
                <w:rFonts w:cs="Arial"/>
                <w:szCs w:val="20"/>
              </w:rPr>
            </w:pPr>
            <w:r w:rsidRPr="00EB0E7F">
              <w:rPr>
                <w:rFonts w:cs="Arial"/>
                <w:szCs w:val="20"/>
              </w:rPr>
              <w:t>12400</w:t>
            </w:r>
          </w:p>
        </w:tc>
      </w:tr>
      <w:tr w:rsidR="00A40933" w:rsidRPr="003F44ED" w14:paraId="1AF64021" w14:textId="77777777" w:rsidTr="006F5848">
        <w:trPr>
          <w:trHeight w:val="396"/>
        </w:trPr>
        <w:tc>
          <w:tcPr>
            <w:tcW w:w="3397" w:type="dxa"/>
            <w:shd w:val="clear" w:color="auto" w:fill="auto"/>
            <w:vAlign w:val="center"/>
            <w:hideMark/>
          </w:tcPr>
          <w:p w14:paraId="771390E3" w14:textId="7101F9BA" w:rsidR="00A40933" w:rsidRPr="00EB0E7F" w:rsidRDefault="00A40933" w:rsidP="00122FB0">
            <w:pPr>
              <w:spacing w:after="120" w:line="240" w:lineRule="auto"/>
              <w:rPr>
                <w:rFonts w:cs="Arial"/>
                <w:color w:val="000000"/>
                <w:szCs w:val="20"/>
              </w:rPr>
            </w:pPr>
            <w:r w:rsidRPr="00EB0E7F">
              <w:rPr>
                <w:rFonts w:cs="Arial"/>
                <w:color w:val="000000"/>
                <w:szCs w:val="20"/>
              </w:rPr>
              <w:t>Service purpose (communications, TT</w:t>
            </w:r>
            <w:r>
              <w:rPr>
                <w:rFonts w:cs="Arial"/>
                <w:color w:val="000000"/>
                <w:szCs w:val="20"/>
              </w:rPr>
              <w:t>&amp;</w:t>
            </w:r>
            <w:r w:rsidRPr="00EB0E7F">
              <w:rPr>
                <w:rFonts w:cs="Arial"/>
                <w:color w:val="000000"/>
                <w:szCs w:val="20"/>
              </w:rPr>
              <w:t xml:space="preserve">C, broadcasting reception) </w:t>
            </w:r>
          </w:p>
        </w:tc>
        <w:tc>
          <w:tcPr>
            <w:tcW w:w="2700" w:type="dxa"/>
            <w:shd w:val="clear" w:color="auto" w:fill="auto"/>
            <w:noWrap/>
            <w:hideMark/>
          </w:tcPr>
          <w:p w14:paraId="39FFE67C" w14:textId="77777777" w:rsidR="00A40933" w:rsidRPr="00EB0E7F" w:rsidRDefault="00A40933" w:rsidP="00122FB0">
            <w:pPr>
              <w:spacing w:after="120" w:line="240" w:lineRule="auto"/>
              <w:rPr>
                <w:rFonts w:cs="Arial"/>
                <w:color w:val="000000"/>
                <w:szCs w:val="20"/>
              </w:rPr>
            </w:pPr>
            <w:r w:rsidRPr="00EB0E7F">
              <w:rPr>
                <w:rFonts w:cs="Arial"/>
                <w:szCs w:val="20"/>
              </w:rPr>
              <w:t>Communications</w:t>
            </w:r>
          </w:p>
        </w:tc>
        <w:tc>
          <w:tcPr>
            <w:tcW w:w="2980" w:type="dxa"/>
            <w:shd w:val="clear" w:color="auto" w:fill="auto"/>
            <w:noWrap/>
            <w:hideMark/>
          </w:tcPr>
          <w:p w14:paraId="2DFB40EB" w14:textId="77777777" w:rsidR="00A40933" w:rsidRPr="00EB0E7F" w:rsidRDefault="00A40933" w:rsidP="00122FB0">
            <w:pPr>
              <w:spacing w:after="120" w:line="240" w:lineRule="auto"/>
              <w:rPr>
                <w:rFonts w:cs="Arial"/>
                <w:szCs w:val="20"/>
              </w:rPr>
            </w:pPr>
            <w:r w:rsidRPr="00EB0E7F">
              <w:rPr>
                <w:rFonts w:cs="Arial"/>
                <w:szCs w:val="20"/>
              </w:rPr>
              <w:t>Broadcasting reception</w:t>
            </w:r>
          </w:p>
        </w:tc>
      </w:tr>
      <w:tr w:rsidR="00A40933" w:rsidRPr="003F44ED" w14:paraId="12E90064" w14:textId="77777777" w:rsidTr="006F5848">
        <w:trPr>
          <w:trHeight w:val="409"/>
        </w:trPr>
        <w:tc>
          <w:tcPr>
            <w:tcW w:w="3397" w:type="dxa"/>
            <w:shd w:val="clear" w:color="auto" w:fill="auto"/>
            <w:vAlign w:val="center"/>
            <w:hideMark/>
          </w:tcPr>
          <w:p w14:paraId="49C2DF33" w14:textId="73D651FF" w:rsidR="00A40933" w:rsidRPr="00B76E85" w:rsidRDefault="00A40933" w:rsidP="00B76E85">
            <w:r w:rsidRPr="00B76E85">
              <w:t>The rel</w:t>
            </w:r>
            <w:r>
              <w:t>ated ITU satellite network name</w:t>
            </w:r>
            <w:r>
              <w:rPr>
                <w:rStyle w:val="FootnoteReference"/>
              </w:rPr>
              <w:footnoteReference w:id="13"/>
            </w:r>
          </w:p>
        </w:tc>
        <w:tc>
          <w:tcPr>
            <w:tcW w:w="2700" w:type="dxa"/>
            <w:shd w:val="clear" w:color="auto" w:fill="auto"/>
            <w:noWrap/>
            <w:hideMark/>
          </w:tcPr>
          <w:p w14:paraId="12EF9F39" w14:textId="77777777" w:rsidR="00A40933" w:rsidRPr="00EB0E7F" w:rsidRDefault="00A40933" w:rsidP="00122FB0">
            <w:pPr>
              <w:spacing w:after="120" w:line="240" w:lineRule="auto"/>
              <w:rPr>
                <w:rFonts w:cs="Arial"/>
                <w:color w:val="000000"/>
                <w:szCs w:val="20"/>
              </w:rPr>
            </w:pPr>
            <w:r w:rsidRPr="00EB0E7F">
              <w:rPr>
                <w:rFonts w:cs="Arial"/>
                <w:color w:val="000000"/>
                <w:szCs w:val="20"/>
              </w:rPr>
              <w:t>SAT-A</w:t>
            </w:r>
          </w:p>
        </w:tc>
        <w:tc>
          <w:tcPr>
            <w:tcW w:w="2980" w:type="dxa"/>
            <w:shd w:val="clear" w:color="auto" w:fill="auto"/>
            <w:noWrap/>
            <w:hideMark/>
          </w:tcPr>
          <w:p w14:paraId="00DF55BE" w14:textId="77777777" w:rsidR="00A40933" w:rsidRPr="00EB0E7F" w:rsidRDefault="00A40933" w:rsidP="00122FB0">
            <w:pPr>
              <w:spacing w:after="120" w:line="240" w:lineRule="auto"/>
              <w:rPr>
                <w:rFonts w:cs="Arial"/>
                <w:szCs w:val="20"/>
              </w:rPr>
            </w:pPr>
            <w:r w:rsidRPr="00EB0E7F">
              <w:rPr>
                <w:rFonts w:cs="Arial"/>
                <w:szCs w:val="20"/>
              </w:rPr>
              <w:t>SAT-B</w:t>
            </w:r>
          </w:p>
        </w:tc>
      </w:tr>
      <w:tr w:rsidR="00A40933" w:rsidRPr="003F44ED" w14:paraId="70C529E1" w14:textId="77777777" w:rsidTr="006F5848">
        <w:trPr>
          <w:trHeight w:val="594"/>
        </w:trPr>
        <w:tc>
          <w:tcPr>
            <w:tcW w:w="3397" w:type="dxa"/>
            <w:shd w:val="clear" w:color="auto" w:fill="auto"/>
            <w:vAlign w:val="center"/>
            <w:hideMark/>
          </w:tcPr>
          <w:p w14:paraId="0FC0AFCF" w14:textId="0014A68A" w:rsidR="00A40933" w:rsidRPr="00EB0E7F" w:rsidRDefault="00A40933" w:rsidP="00122FB0">
            <w:pPr>
              <w:spacing w:after="120" w:line="240" w:lineRule="auto"/>
              <w:rPr>
                <w:rFonts w:cs="Arial"/>
                <w:color w:val="000000"/>
                <w:szCs w:val="20"/>
              </w:rPr>
            </w:pPr>
            <w:r w:rsidRPr="00EB0E7F">
              <w:rPr>
                <w:rFonts w:cs="Arial"/>
                <w:color w:val="000000"/>
                <w:szCs w:val="20"/>
              </w:rPr>
              <w:t>The orbital longitude of the satellite network</w:t>
            </w:r>
          </w:p>
        </w:tc>
        <w:tc>
          <w:tcPr>
            <w:tcW w:w="2700" w:type="dxa"/>
            <w:shd w:val="clear" w:color="auto" w:fill="auto"/>
            <w:noWrap/>
            <w:hideMark/>
          </w:tcPr>
          <w:p w14:paraId="5C4C18F4" w14:textId="77777777" w:rsidR="00A40933" w:rsidRPr="00EB0E7F" w:rsidRDefault="00A40933" w:rsidP="00122FB0">
            <w:pPr>
              <w:spacing w:after="120" w:line="240" w:lineRule="auto"/>
              <w:rPr>
                <w:rFonts w:cs="Arial"/>
                <w:color w:val="000000"/>
                <w:szCs w:val="20"/>
              </w:rPr>
            </w:pPr>
            <w:r w:rsidRPr="00EB0E7F">
              <w:rPr>
                <w:rFonts w:cs="Arial"/>
                <w:color w:val="000000"/>
                <w:szCs w:val="20"/>
              </w:rPr>
              <w:t>NGSO</w:t>
            </w:r>
          </w:p>
        </w:tc>
        <w:tc>
          <w:tcPr>
            <w:tcW w:w="2980" w:type="dxa"/>
            <w:shd w:val="clear" w:color="auto" w:fill="auto"/>
            <w:noWrap/>
            <w:hideMark/>
          </w:tcPr>
          <w:p w14:paraId="5EB8C0B1" w14:textId="77777777" w:rsidR="00A40933" w:rsidRPr="00EB0E7F" w:rsidRDefault="00A40933" w:rsidP="00122FB0">
            <w:pPr>
              <w:spacing w:after="120" w:line="240" w:lineRule="auto"/>
              <w:rPr>
                <w:rFonts w:cs="Arial"/>
                <w:szCs w:val="20"/>
              </w:rPr>
            </w:pPr>
            <w:r w:rsidRPr="00EB0E7F">
              <w:rPr>
                <w:rFonts w:cs="Arial"/>
                <w:szCs w:val="20"/>
              </w:rPr>
              <w:t>140E</w:t>
            </w:r>
          </w:p>
        </w:tc>
      </w:tr>
      <w:tr w:rsidR="00A40933" w:rsidRPr="003F44ED" w14:paraId="62FCBC5C" w14:textId="77777777" w:rsidTr="006F5848">
        <w:trPr>
          <w:trHeight w:val="594"/>
        </w:trPr>
        <w:tc>
          <w:tcPr>
            <w:tcW w:w="3397" w:type="dxa"/>
            <w:shd w:val="clear" w:color="auto" w:fill="auto"/>
            <w:vAlign w:val="center"/>
            <w:hideMark/>
          </w:tcPr>
          <w:p w14:paraId="56E485F0" w14:textId="3345BC33" w:rsidR="00A40933" w:rsidRPr="00EB0E7F" w:rsidRDefault="00A40933" w:rsidP="00122FB0">
            <w:pPr>
              <w:spacing w:after="120" w:line="240" w:lineRule="auto"/>
              <w:rPr>
                <w:rFonts w:cs="Arial"/>
                <w:color w:val="000000"/>
                <w:szCs w:val="20"/>
              </w:rPr>
            </w:pPr>
            <w:r w:rsidRPr="00EB0E7F">
              <w:rPr>
                <w:rFonts w:cs="Arial"/>
                <w:color w:val="000000"/>
                <w:szCs w:val="20"/>
              </w:rPr>
              <w:t>The service area where associated earth stations operate</w:t>
            </w:r>
            <w:r w:rsidRPr="00EB0E7F">
              <w:rPr>
                <w:rStyle w:val="FootnoteReference"/>
                <w:rFonts w:cs="Arial"/>
                <w:color w:val="000000"/>
                <w:szCs w:val="20"/>
              </w:rPr>
              <w:footnoteReference w:id="14"/>
            </w:r>
            <w:r w:rsidRPr="00EB0E7F">
              <w:rPr>
                <w:rFonts w:cs="Arial"/>
                <w:color w:val="000000"/>
                <w:szCs w:val="20"/>
              </w:rPr>
              <w:t> </w:t>
            </w:r>
          </w:p>
        </w:tc>
        <w:tc>
          <w:tcPr>
            <w:tcW w:w="2700" w:type="dxa"/>
            <w:shd w:val="clear" w:color="auto" w:fill="auto"/>
            <w:noWrap/>
            <w:hideMark/>
          </w:tcPr>
          <w:p w14:paraId="555F660F" w14:textId="77777777" w:rsidR="00A40933" w:rsidRPr="00EB0E7F" w:rsidRDefault="00A40933" w:rsidP="00122FB0">
            <w:pPr>
              <w:spacing w:after="120" w:line="240" w:lineRule="auto"/>
              <w:rPr>
                <w:rFonts w:cs="Arial"/>
                <w:color w:val="000000"/>
                <w:szCs w:val="20"/>
              </w:rPr>
            </w:pPr>
            <w:r w:rsidRPr="00EB0E7F">
              <w:rPr>
                <w:rFonts w:cs="Arial"/>
                <w:color w:val="000000"/>
                <w:szCs w:val="20"/>
              </w:rPr>
              <w:t>NSW</w:t>
            </w:r>
          </w:p>
        </w:tc>
        <w:tc>
          <w:tcPr>
            <w:tcW w:w="2980" w:type="dxa"/>
            <w:shd w:val="clear" w:color="auto" w:fill="auto"/>
            <w:noWrap/>
            <w:hideMark/>
          </w:tcPr>
          <w:p w14:paraId="3C6DFFD7" w14:textId="4DF3B047" w:rsidR="00A40933" w:rsidRPr="00EB0E7F" w:rsidRDefault="00A40933" w:rsidP="00122FB0">
            <w:pPr>
              <w:spacing w:after="120" w:line="240" w:lineRule="auto"/>
              <w:rPr>
                <w:rFonts w:cs="Arial"/>
                <w:szCs w:val="20"/>
              </w:rPr>
            </w:pPr>
            <w:r>
              <w:rPr>
                <w:rFonts w:cs="Arial"/>
                <w:szCs w:val="20"/>
              </w:rPr>
              <w:t>Australia-</w:t>
            </w:r>
            <w:r w:rsidRPr="00EB0E7F">
              <w:rPr>
                <w:rFonts w:cs="Arial"/>
                <w:szCs w:val="20"/>
              </w:rPr>
              <w:t>wide</w:t>
            </w:r>
          </w:p>
        </w:tc>
      </w:tr>
      <w:tr w:rsidR="00A40933" w:rsidRPr="003F44ED" w14:paraId="01E73012" w14:textId="77777777" w:rsidTr="006F5848">
        <w:trPr>
          <w:trHeight w:val="594"/>
        </w:trPr>
        <w:tc>
          <w:tcPr>
            <w:tcW w:w="3397" w:type="dxa"/>
            <w:shd w:val="clear" w:color="auto" w:fill="auto"/>
            <w:vAlign w:val="center"/>
          </w:tcPr>
          <w:p w14:paraId="7F9E3C0E" w14:textId="1551AF9F" w:rsidR="00A40933" w:rsidRPr="00EB0E7F" w:rsidRDefault="00A40933" w:rsidP="00122FB0">
            <w:pPr>
              <w:spacing w:after="120" w:line="240" w:lineRule="auto"/>
              <w:rPr>
                <w:rFonts w:cs="Arial"/>
                <w:color w:val="000000"/>
                <w:szCs w:val="20"/>
              </w:rPr>
            </w:pPr>
            <w:r w:rsidRPr="00EB0E7F">
              <w:rPr>
                <w:rFonts w:cs="Arial"/>
                <w:color w:val="000000"/>
                <w:szCs w:val="20"/>
              </w:rPr>
              <w:t xml:space="preserve">The owner/controller/operator of the related satellite network </w:t>
            </w:r>
          </w:p>
        </w:tc>
        <w:tc>
          <w:tcPr>
            <w:tcW w:w="2700" w:type="dxa"/>
            <w:shd w:val="clear" w:color="auto" w:fill="auto"/>
            <w:noWrap/>
          </w:tcPr>
          <w:p w14:paraId="043BF0BB" w14:textId="77777777" w:rsidR="00A40933" w:rsidRPr="00EB0E7F" w:rsidRDefault="00A40933" w:rsidP="00122FB0">
            <w:pPr>
              <w:spacing w:after="120" w:line="240" w:lineRule="auto"/>
              <w:rPr>
                <w:rFonts w:cs="Arial"/>
                <w:color w:val="000000"/>
                <w:szCs w:val="20"/>
              </w:rPr>
            </w:pPr>
            <w:r w:rsidRPr="00EB0E7F">
              <w:rPr>
                <w:rFonts w:cs="Arial"/>
                <w:color w:val="000000"/>
                <w:szCs w:val="20"/>
              </w:rPr>
              <w:t>Organisation A</w:t>
            </w:r>
          </w:p>
        </w:tc>
        <w:tc>
          <w:tcPr>
            <w:tcW w:w="2980" w:type="dxa"/>
            <w:shd w:val="clear" w:color="auto" w:fill="auto"/>
            <w:noWrap/>
          </w:tcPr>
          <w:p w14:paraId="28272C9C" w14:textId="77777777" w:rsidR="00A40933" w:rsidRPr="00EB0E7F" w:rsidRDefault="00A40933" w:rsidP="00122FB0">
            <w:pPr>
              <w:spacing w:after="120" w:line="240" w:lineRule="auto"/>
              <w:rPr>
                <w:rFonts w:cs="Arial"/>
                <w:szCs w:val="20"/>
              </w:rPr>
            </w:pPr>
            <w:r w:rsidRPr="00EB0E7F">
              <w:rPr>
                <w:rFonts w:cs="Arial"/>
                <w:color w:val="000000"/>
                <w:szCs w:val="20"/>
              </w:rPr>
              <w:t>Organisation B</w:t>
            </w:r>
          </w:p>
        </w:tc>
      </w:tr>
    </w:tbl>
    <w:p w14:paraId="789DC9B8" w14:textId="523EB549" w:rsidR="00872DFF" w:rsidRDefault="00872DFF" w:rsidP="00122FB0">
      <w:pPr>
        <w:spacing w:before="240"/>
        <w:rPr>
          <w:rFonts w:cs="Arial"/>
          <w:szCs w:val="20"/>
        </w:rPr>
      </w:pPr>
      <w:r w:rsidRPr="003F44ED">
        <w:rPr>
          <w:rFonts w:cs="Arial"/>
          <w:szCs w:val="20"/>
        </w:rPr>
        <w:t xml:space="preserve">Note: depending </w:t>
      </w:r>
      <w:r w:rsidR="00AF1896">
        <w:rPr>
          <w:rFonts w:cs="Arial"/>
          <w:szCs w:val="20"/>
        </w:rPr>
        <w:t xml:space="preserve">on </w:t>
      </w:r>
      <w:r w:rsidRPr="003F44ED">
        <w:rPr>
          <w:rFonts w:cs="Arial"/>
          <w:szCs w:val="20"/>
        </w:rPr>
        <w:t>the specifics of certain licence applications, the ACMA may seek further information from the applicant or</w:t>
      </w:r>
      <w:r>
        <w:rPr>
          <w:rFonts w:cs="Arial"/>
          <w:szCs w:val="20"/>
        </w:rPr>
        <w:t xml:space="preserve"> </w:t>
      </w:r>
      <w:r w:rsidR="00037D9A">
        <w:t>AP</w:t>
      </w:r>
      <w:r w:rsidRPr="003F44ED">
        <w:rPr>
          <w:rFonts w:cs="Arial"/>
          <w:szCs w:val="20"/>
        </w:rPr>
        <w:t xml:space="preserve"> to assist with the assessment.</w:t>
      </w:r>
    </w:p>
    <w:p w14:paraId="4ABD8810" w14:textId="3E76A718" w:rsidR="00DD7CD5" w:rsidRDefault="00DD7CD5" w:rsidP="00122FB0">
      <w:pPr>
        <w:spacing w:before="240"/>
      </w:pPr>
      <w:r>
        <w:rPr>
          <w:rFonts w:cs="Arial"/>
          <w:szCs w:val="20"/>
        </w:rPr>
        <w:t xml:space="preserve">Note: the above are </w:t>
      </w:r>
      <w:r w:rsidR="003846A2">
        <w:rPr>
          <w:rFonts w:cs="Arial"/>
          <w:szCs w:val="20"/>
        </w:rPr>
        <w:t xml:space="preserve">only </w:t>
      </w:r>
      <w:r>
        <w:rPr>
          <w:rFonts w:cs="Arial"/>
          <w:szCs w:val="20"/>
        </w:rPr>
        <w:t>examples</w:t>
      </w:r>
      <w:r w:rsidR="0009673D">
        <w:rPr>
          <w:rFonts w:cs="Arial"/>
          <w:szCs w:val="20"/>
        </w:rPr>
        <w:t xml:space="preserve"> indicating </w:t>
      </w:r>
      <w:r w:rsidR="0074726E">
        <w:rPr>
          <w:rFonts w:cs="Arial"/>
          <w:szCs w:val="20"/>
        </w:rPr>
        <w:t xml:space="preserve">the type of </w:t>
      </w:r>
      <w:r w:rsidR="0009673D">
        <w:rPr>
          <w:rFonts w:cs="Arial"/>
          <w:szCs w:val="20"/>
        </w:rPr>
        <w:t>information required</w:t>
      </w:r>
      <w:r w:rsidR="0074726E">
        <w:rPr>
          <w:rFonts w:cs="Arial"/>
          <w:szCs w:val="20"/>
        </w:rPr>
        <w:t xml:space="preserve"> when </w:t>
      </w:r>
      <w:r w:rsidR="003846A2">
        <w:rPr>
          <w:rFonts w:cs="Arial"/>
          <w:szCs w:val="20"/>
        </w:rPr>
        <w:t>applying</w:t>
      </w:r>
      <w:r w:rsidR="00D537FE">
        <w:rPr>
          <w:rFonts w:cs="Arial"/>
          <w:szCs w:val="20"/>
        </w:rPr>
        <w:t xml:space="preserve"> for a </w:t>
      </w:r>
      <w:r w:rsidR="00D537FE" w:rsidRPr="009B1DCA">
        <w:rPr>
          <w:rFonts w:cs="Arial"/>
          <w:i/>
          <w:iCs/>
          <w:szCs w:val="20"/>
        </w:rPr>
        <w:t>space</w:t>
      </w:r>
      <w:r w:rsidR="00D537FE">
        <w:rPr>
          <w:rFonts w:cs="Arial"/>
          <w:szCs w:val="20"/>
        </w:rPr>
        <w:t xml:space="preserve"> or </w:t>
      </w:r>
      <w:r w:rsidR="00D537FE" w:rsidRPr="009B1DCA">
        <w:rPr>
          <w:rFonts w:cs="Arial"/>
          <w:i/>
          <w:iCs/>
          <w:szCs w:val="20"/>
        </w:rPr>
        <w:t>space receive</w:t>
      </w:r>
      <w:r w:rsidR="00D537FE">
        <w:rPr>
          <w:rFonts w:cs="Arial"/>
          <w:szCs w:val="20"/>
        </w:rPr>
        <w:t xml:space="preserve"> licence</w:t>
      </w:r>
      <w:r>
        <w:rPr>
          <w:rFonts w:cs="Arial"/>
          <w:szCs w:val="20"/>
        </w:rPr>
        <w:t>.</w:t>
      </w:r>
    </w:p>
    <w:p w14:paraId="289222C3" w14:textId="77777777" w:rsidR="00872DFF" w:rsidRPr="00122FB0" w:rsidRDefault="00872DFF" w:rsidP="004117A4">
      <w:pPr>
        <w:pStyle w:val="AppL1"/>
        <w:pageBreakBefore/>
        <w:rPr>
          <w:b/>
        </w:rPr>
      </w:pPr>
      <w:bookmarkStart w:id="263" w:name="_Toc490122675"/>
      <w:bookmarkStart w:id="264" w:name="_Toc14956822"/>
      <w:bookmarkStart w:id="265" w:name="_Toc153798009"/>
      <w:r w:rsidRPr="00122FB0">
        <w:rPr>
          <w:b/>
        </w:rPr>
        <w:t>Letter of assurance pro forma</w:t>
      </w:r>
      <w:bookmarkEnd w:id="263"/>
      <w:bookmarkEnd w:id="264"/>
      <w:bookmarkEnd w:id="265"/>
    </w:p>
    <w:p w14:paraId="53D8420C" w14:textId="5AB1A0A7" w:rsidR="00872DFF" w:rsidRPr="00C801C4" w:rsidRDefault="00872DFF" w:rsidP="00872DFF">
      <w:pPr>
        <w:rPr>
          <w:i/>
        </w:rPr>
      </w:pPr>
      <w:bookmarkStart w:id="266" w:name="_Hlk78813699"/>
      <w:r w:rsidRPr="00C801C4">
        <w:rPr>
          <w:i/>
        </w:rPr>
        <w:t xml:space="preserve">This pro forma is to be used when a satellite filing has not been successfully recorded in the </w:t>
      </w:r>
      <w:r>
        <w:rPr>
          <w:i/>
        </w:rPr>
        <w:t>M</w:t>
      </w:r>
      <w:r w:rsidRPr="00C801C4">
        <w:rPr>
          <w:i/>
        </w:rPr>
        <w:t xml:space="preserve">aster </w:t>
      </w:r>
      <w:r>
        <w:rPr>
          <w:i/>
        </w:rPr>
        <w:t>I</w:t>
      </w:r>
      <w:r w:rsidRPr="00C801C4">
        <w:rPr>
          <w:i/>
        </w:rPr>
        <w:t xml:space="preserve">nternational </w:t>
      </w:r>
      <w:r>
        <w:rPr>
          <w:i/>
        </w:rPr>
        <w:t>F</w:t>
      </w:r>
      <w:r w:rsidRPr="00C801C4">
        <w:rPr>
          <w:i/>
        </w:rPr>
        <w:t xml:space="preserve">requency </w:t>
      </w:r>
      <w:r>
        <w:rPr>
          <w:i/>
        </w:rPr>
        <w:t>R</w:t>
      </w:r>
      <w:r w:rsidRPr="00C801C4">
        <w:rPr>
          <w:i/>
        </w:rPr>
        <w:t>egister (MIFR)</w:t>
      </w:r>
      <w:r w:rsidR="003A4BB8">
        <w:rPr>
          <w:i/>
        </w:rPr>
        <w:t xml:space="preserve"> or a satellite filing has been recorded in the MIFR but with unfavourable findings under 11.41</w:t>
      </w:r>
      <w:r w:rsidRPr="00C801C4">
        <w:rPr>
          <w:i/>
        </w:rPr>
        <w:t xml:space="preserve">. </w:t>
      </w:r>
    </w:p>
    <w:bookmarkEnd w:id="266"/>
    <w:p w14:paraId="574E792C" w14:textId="75B75472" w:rsidR="00872DFF" w:rsidRPr="009B0639" w:rsidRDefault="00872DFF" w:rsidP="00872DFF">
      <w:r w:rsidRPr="009B0639">
        <w:t>The application for a licence to communicate with [</w:t>
      </w:r>
      <w:r w:rsidRPr="009B0639">
        <w:rPr>
          <w:i/>
        </w:rPr>
        <w:t>satellite commercial name</w:t>
      </w:r>
      <w:r w:rsidRPr="009B0639">
        <w:t>] in the frequency bands [</w:t>
      </w:r>
      <w:r w:rsidRPr="009B0639">
        <w:rPr>
          <w:i/>
        </w:rPr>
        <w:t>insert frequency bands</w:t>
      </w:r>
      <w:r w:rsidRPr="009B0639">
        <w:t xml:space="preserve">] will use the </w:t>
      </w:r>
      <w:bookmarkStart w:id="267" w:name="OLE_LINK7"/>
      <w:r w:rsidRPr="009B0639">
        <w:t>[</w:t>
      </w:r>
      <w:r w:rsidRPr="009B0639">
        <w:rPr>
          <w:i/>
        </w:rPr>
        <w:t>ITU satellite filing name</w:t>
      </w:r>
      <w:r w:rsidRPr="009B0639">
        <w:t>] satellite filing</w:t>
      </w:r>
      <w:bookmarkEnd w:id="267"/>
      <w:r w:rsidRPr="009B0639">
        <w:t>, for which the International Telecommunication Union (ITU) has published ‘special sections’ such as [</w:t>
      </w:r>
      <w:r w:rsidRPr="009B0639">
        <w:rPr>
          <w:i/>
        </w:rPr>
        <w:t>CR/C xxx in IFIC XXXX (only include one—preferably the CR/C publication)</w:t>
      </w:r>
      <w:r w:rsidRPr="009B0639">
        <w:t>]. This filing has been made by the Administration of [c</w:t>
      </w:r>
      <w:r w:rsidRPr="009B0639">
        <w:rPr>
          <w:i/>
        </w:rPr>
        <w:t>ountry name</w:t>
      </w:r>
      <w:r w:rsidRPr="009B0639">
        <w:t>], and has orbital position/characteristics of [</w:t>
      </w:r>
      <w:r w:rsidRPr="009B0639">
        <w:rPr>
          <w:i/>
        </w:rPr>
        <w:t>XXX E/W</w:t>
      </w:r>
      <w:r w:rsidRPr="009B0639">
        <w:t xml:space="preserve"> (GSO) or contains a constellation of </w:t>
      </w:r>
      <w:r w:rsidRPr="009B0639">
        <w:rPr>
          <w:i/>
        </w:rPr>
        <w:t xml:space="preserve">P </w:t>
      </w:r>
      <w:r w:rsidRPr="009B0639">
        <w:t xml:space="preserve">satellites in </w:t>
      </w:r>
      <w:r w:rsidRPr="009B0639">
        <w:rPr>
          <w:i/>
        </w:rPr>
        <w:t xml:space="preserve">Q </w:t>
      </w:r>
      <w:r w:rsidRPr="009B0639">
        <w:t xml:space="preserve">planes at </w:t>
      </w:r>
      <w:r w:rsidRPr="009B0639">
        <w:rPr>
          <w:i/>
        </w:rPr>
        <w:t xml:space="preserve">R </w:t>
      </w:r>
      <w:r w:rsidRPr="009B0639">
        <w:t xml:space="preserve">inclination and </w:t>
      </w:r>
      <w:r w:rsidRPr="009B0639">
        <w:rPr>
          <w:i/>
        </w:rPr>
        <w:t xml:space="preserve">S </w:t>
      </w:r>
      <w:r w:rsidRPr="009B0639">
        <w:t>altitude (NGSO)].</w:t>
      </w:r>
    </w:p>
    <w:p w14:paraId="788B786E" w14:textId="35F9A1A1" w:rsidR="00872DFF" w:rsidRDefault="00872DFF" w:rsidP="00872DFF">
      <w:pPr>
        <w:spacing w:after="80"/>
      </w:pPr>
      <w:r w:rsidRPr="009B0639">
        <w:t>[</w:t>
      </w:r>
      <w:r w:rsidRPr="009B0639">
        <w:rPr>
          <w:i/>
        </w:rPr>
        <w:t>Satellite operator</w:t>
      </w:r>
      <w:r w:rsidRPr="009B0639">
        <w:t>] provides the following assurances</w:t>
      </w:r>
      <w:r w:rsidRPr="009B0639">
        <w:rPr>
          <w:rStyle w:val="FootnoteReference"/>
          <w:rFonts w:cs="Arial"/>
        </w:rPr>
        <w:footnoteReference w:id="15"/>
      </w:r>
      <w:r w:rsidRPr="009B0639">
        <w:t xml:space="preserve"> to the ACMA to support applications for licences within Australia: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3831"/>
      </w:tblGrid>
      <w:tr w:rsidR="00B43A09" w14:paraId="44C8B9DB" w14:textId="77777777" w:rsidTr="00B43A09">
        <w:tc>
          <w:tcPr>
            <w:tcW w:w="3830" w:type="dxa"/>
          </w:tcPr>
          <w:p w14:paraId="6950BC10" w14:textId="2DB70EA8" w:rsidR="00B43A09" w:rsidRDefault="00B43A09" w:rsidP="00872DFF">
            <w:pPr>
              <w:spacing w:after="80"/>
            </w:pPr>
            <w:r w:rsidRPr="00773F0B">
              <w:rPr>
                <w:i/>
              </w:rPr>
              <w:t>Not recorded in the MIFR</w:t>
            </w:r>
          </w:p>
        </w:tc>
        <w:tc>
          <w:tcPr>
            <w:tcW w:w="3831" w:type="dxa"/>
          </w:tcPr>
          <w:p w14:paraId="594B9CBC" w14:textId="2FBEBDD1" w:rsidR="00B43A09" w:rsidRDefault="00B43A09" w:rsidP="00872DFF">
            <w:pPr>
              <w:spacing w:after="80"/>
            </w:pPr>
            <w:r w:rsidRPr="00773F0B">
              <w:rPr>
                <w:i/>
              </w:rPr>
              <w:t>Recorded in MIFR under 11.41</w:t>
            </w:r>
          </w:p>
        </w:tc>
      </w:tr>
      <w:tr w:rsidR="00B43A09" w14:paraId="43D1532B" w14:textId="77777777" w:rsidTr="00B43A09">
        <w:tc>
          <w:tcPr>
            <w:tcW w:w="3830" w:type="dxa"/>
          </w:tcPr>
          <w:p w14:paraId="5A846698" w14:textId="77777777" w:rsidR="00B43A09" w:rsidRPr="009B0639" w:rsidRDefault="00B43A09" w:rsidP="00B43A09">
            <w:pPr>
              <w:pStyle w:val="ListNumber"/>
            </w:pPr>
            <w:r w:rsidRPr="009B0639">
              <w:t>Coordination with other administrations for the [</w:t>
            </w:r>
            <w:r w:rsidRPr="009B0639">
              <w:rPr>
                <w:i/>
              </w:rPr>
              <w:t>ITU satellite filing name</w:t>
            </w:r>
            <w:r w:rsidRPr="009B0639">
              <w:t>] satellite filing has begun, but has not yet resulted in a ‘favourable finding’ (Part II-s) notification published by the ITU in a fortnightly international frequency information circular (IFIC).</w:t>
            </w:r>
          </w:p>
          <w:p w14:paraId="638ECD10" w14:textId="77777777" w:rsidR="00B43A09" w:rsidRDefault="00B43A09" w:rsidP="00872DFF">
            <w:pPr>
              <w:spacing w:after="80"/>
            </w:pPr>
          </w:p>
        </w:tc>
        <w:tc>
          <w:tcPr>
            <w:tcW w:w="3831" w:type="dxa"/>
          </w:tcPr>
          <w:p w14:paraId="478A6634" w14:textId="023A8EFF" w:rsidR="00B43A09" w:rsidRPr="009B0639" w:rsidRDefault="00B43A09" w:rsidP="00866124">
            <w:pPr>
              <w:pStyle w:val="ListNumber"/>
              <w:numPr>
                <w:ilvl w:val="0"/>
                <w:numId w:val="18"/>
              </w:numPr>
            </w:pPr>
            <w:r w:rsidRPr="009B0639">
              <w:t>Coordination with other administrations for the [</w:t>
            </w:r>
            <w:r w:rsidRPr="00B43A09">
              <w:rPr>
                <w:i/>
              </w:rPr>
              <w:t>ITU satellite filing name</w:t>
            </w:r>
            <w:r w:rsidRPr="009B0639">
              <w:t>] satellite filing has resulted in (Part II-s) notification published by the ITU in fortnightly international frequency information circular</w:t>
            </w:r>
            <w:r w:rsidR="004271DF">
              <w:t>(s)</w:t>
            </w:r>
            <w:r w:rsidRPr="009B0639">
              <w:t xml:space="preserve"> (IFIC)</w:t>
            </w:r>
            <w:r w:rsidR="004271DF">
              <w:t xml:space="preserve"> IFIC-number</w:t>
            </w:r>
            <w:r w:rsidRPr="009B0639">
              <w:t>.</w:t>
            </w:r>
          </w:p>
          <w:p w14:paraId="785DDC17" w14:textId="77777777" w:rsidR="00B43A09" w:rsidRDefault="00B43A09" w:rsidP="00B43A09">
            <w:pPr>
              <w:pStyle w:val="ListNumber"/>
              <w:numPr>
                <w:ilvl w:val="0"/>
                <w:numId w:val="0"/>
              </w:numPr>
              <w:ind w:left="360"/>
            </w:pPr>
          </w:p>
        </w:tc>
      </w:tr>
    </w:tbl>
    <w:p w14:paraId="44BA5B3B" w14:textId="77777777" w:rsidR="00B43A09" w:rsidRPr="009B0639" w:rsidRDefault="00B43A09" w:rsidP="00872DFF">
      <w:pPr>
        <w:spacing w:after="80"/>
      </w:pPr>
    </w:p>
    <w:p w14:paraId="24936FAA" w14:textId="77777777" w:rsidR="004B352E" w:rsidRPr="009B0639" w:rsidRDefault="00872DFF" w:rsidP="004B352E">
      <w:pPr>
        <w:pStyle w:val="ListNumber"/>
      </w:pPr>
      <w:r w:rsidRPr="009B0639">
        <w:t xml:space="preserve">To the best of our knowledge, operation in accordance </w:t>
      </w:r>
      <w:bookmarkEnd w:id="18"/>
      <w:r w:rsidR="004B352E" w:rsidRPr="009B0639">
        <w:t>with the [</w:t>
      </w:r>
      <w:r w:rsidR="004B352E" w:rsidRPr="009B0639">
        <w:rPr>
          <w:i/>
        </w:rPr>
        <w:t>ITU satellite filing name</w:t>
      </w:r>
      <w:r w:rsidR="004B352E" w:rsidRPr="009B0639">
        <w:t>] satellite filing will not cause harmful interference to other satellite networks operating as per the ITU Radio Regulations.</w:t>
      </w:r>
    </w:p>
    <w:p w14:paraId="472F882D" w14:textId="0296F4C7" w:rsidR="004B352E" w:rsidRDefault="004B352E" w:rsidP="004B352E">
      <w:pPr>
        <w:spacing w:before="240"/>
      </w:pPr>
      <w:r>
        <w:t>I</w:t>
      </w:r>
      <w:r w:rsidRPr="009B0639">
        <w:t xml:space="preserve">n the event of any actual case of harmful interference (to other satellite networks operating as per the </w:t>
      </w:r>
      <w:r w:rsidRPr="0045162A">
        <w:t>ITU Radio Regulations), all efforts will be made to immediately address and resolve such interference.</w:t>
      </w:r>
      <w:r w:rsidRPr="00A5404A">
        <w:t xml:space="preserve"> </w:t>
      </w:r>
    </w:p>
    <w:p w14:paraId="7CAF9322" w14:textId="1C588BCD" w:rsidR="00A5404A" w:rsidRDefault="00A5404A" w:rsidP="004B352E"/>
    <w:p w14:paraId="4B460A1B" w14:textId="77777777" w:rsidR="004B352E" w:rsidRDefault="004B352E" w:rsidP="00A5404A">
      <w:pPr>
        <w:spacing w:before="240"/>
      </w:pPr>
    </w:p>
    <w:p w14:paraId="76AC7DE7" w14:textId="2DCBC05A" w:rsidR="00A5404A" w:rsidRPr="00122FB0" w:rsidRDefault="00A5404A" w:rsidP="00A5404A">
      <w:pPr>
        <w:pStyle w:val="AppL1"/>
        <w:pageBreakBefore/>
        <w:rPr>
          <w:b/>
        </w:rPr>
      </w:pPr>
      <w:bookmarkStart w:id="268" w:name="_Toc14956823"/>
      <w:bookmarkStart w:id="269" w:name="_Hlk12877262"/>
      <w:bookmarkStart w:id="270" w:name="_Toc153798010"/>
      <w:r w:rsidRPr="00A5404A">
        <w:rPr>
          <w:b/>
        </w:rPr>
        <w:t>Earth stations in motion communicating with space stations in the fixed-satellite service (both GSO and NGSO) in the frequency ranges 1</w:t>
      </w:r>
      <w:r w:rsidR="009E3023">
        <w:rPr>
          <w:b/>
        </w:rPr>
        <w:t>0</w:t>
      </w:r>
      <w:r w:rsidRPr="00A5404A">
        <w:rPr>
          <w:b/>
        </w:rPr>
        <w:t>.7</w:t>
      </w:r>
      <w:r w:rsidR="00221A43">
        <w:rPr>
          <w:b/>
        </w:rPr>
        <w:t>–</w:t>
      </w:r>
      <w:r w:rsidRPr="00A5404A">
        <w:rPr>
          <w:b/>
        </w:rPr>
        <w:t>12.75 GHz (space-to-Earth) and 14</w:t>
      </w:r>
      <w:r w:rsidR="00221A43">
        <w:rPr>
          <w:b/>
        </w:rPr>
        <w:t>-</w:t>
      </w:r>
      <w:r w:rsidRPr="00A5404A">
        <w:rPr>
          <w:b/>
        </w:rPr>
        <w:t>14.5 GHz (Earth-to-space)</w:t>
      </w:r>
      <w:bookmarkEnd w:id="268"/>
      <w:bookmarkEnd w:id="270"/>
    </w:p>
    <w:p w14:paraId="4A750B46" w14:textId="2E57B702" w:rsidR="00A5404A" w:rsidRDefault="00A5404A" w:rsidP="00A5404A">
      <w:bookmarkStart w:id="271" w:name="_Toc475094512"/>
      <w:bookmarkStart w:id="272" w:name="_Toc486404158"/>
      <w:bookmarkStart w:id="273" w:name="_Toc496185587"/>
      <w:bookmarkEnd w:id="269"/>
      <w:r>
        <w:t xml:space="preserve">This appendix outlines </w:t>
      </w:r>
      <w:r w:rsidR="0042066D">
        <w:t>additional</w:t>
      </w:r>
      <w:r>
        <w:t xml:space="preserve"> procedures to be applied when considering the issue of space or space receive licences </w:t>
      </w:r>
      <w:r>
        <w:rPr>
          <w:rFonts w:cs="Arial"/>
        </w:rPr>
        <w:t xml:space="preserve">authorising the use of </w:t>
      </w:r>
      <w:r w:rsidRPr="00572919">
        <w:t xml:space="preserve">ubiquitous </w:t>
      </w:r>
      <w:r>
        <w:rPr>
          <w:rFonts w:cs="Arial"/>
        </w:rPr>
        <w:t xml:space="preserve">earth stations in motion communicating with </w:t>
      </w:r>
      <w:r>
        <w:t>space stations in the fixed-satellite service (both GSO and NGSO) in the frequency ranges 1</w:t>
      </w:r>
      <w:r w:rsidR="009E3023">
        <w:t>0</w:t>
      </w:r>
      <w:r>
        <w:t>.7</w:t>
      </w:r>
      <w:r w:rsidR="00221A43">
        <w:t>–</w:t>
      </w:r>
      <w:r>
        <w:t>12.75 GHz (space-to-Earth) and 14</w:t>
      </w:r>
      <w:r w:rsidR="00221A43">
        <w:t>–</w:t>
      </w:r>
      <w:r>
        <w:t xml:space="preserve">14.5 GHz </w:t>
      </w:r>
      <w:r w:rsidRPr="00102F03">
        <w:t>(E</w:t>
      </w:r>
      <w:r>
        <w:t>arth-to-space).</w:t>
      </w:r>
    </w:p>
    <w:p w14:paraId="144B0EEF" w14:textId="56609348" w:rsidR="00507501" w:rsidRDefault="00507501" w:rsidP="00A5404A">
      <w:pPr>
        <w:rPr>
          <w:rFonts w:cs="Arial"/>
        </w:rPr>
      </w:pPr>
      <w:r>
        <w:t xml:space="preserve">For background refer ACMA </w:t>
      </w:r>
      <w:r w:rsidR="001D4090">
        <w:t xml:space="preserve">consultation </w:t>
      </w:r>
      <w:r w:rsidR="001D4090" w:rsidRPr="001D4090">
        <w:t>Earth stations in motion in Ku band</w:t>
      </w:r>
      <w:r w:rsidR="001D4090">
        <w:t xml:space="preserve"> – </w:t>
      </w:r>
      <w:hyperlink r:id="rId57" w:history="1">
        <w:r w:rsidR="001D4090" w:rsidRPr="001D4090">
          <w:rPr>
            <w:rStyle w:val="Hyperlink"/>
          </w:rPr>
          <w:t>IFC 6/2019</w:t>
        </w:r>
      </w:hyperlink>
      <w:r>
        <w:t xml:space="preserve"> </w:t>
      </w:r>
    </w:p>
    <w:p w14:paraId="64AB500F" w14:textId="4ED322D7" w:rsidR="00A5404A" w:rsidRDefault="00A5404A" w:rsidP="00A5404A">
      <w:pPr>
        <w:pStyle w:val="BodySubHeader"/>
      </w:pPr>
      <w:bookmarkStart w:id="274" w:name="_Toc3884923"/>
      <w:bookmarkEnd w:id="271"/>
      <w:bookmarkEnd w:id="272"/>
      <w:bookmarkEnd w:id="273"/>
      <w:r>
        <w:t>Modified treatment when c</w:t>
      </w:r>
      <w:r w:rsidRPr="003012EC">
        <w:t>hecking consistency with ITU registration details of the satellite network and proposed use</w:t>
      </w:r>
      <w:bookmarkEnd w:id="274"/>
      <w:r>
        <w:t xml:space="preserve"> </w:t>
      </w:r>
    </w:p>
    <w:p w14:paraId="1B2B4983" w14:textId="7A04CFAA" w:rsidR="00A5404A" w:rsidRDefault="00A5404A" w:rsidP="00A5404A">
      <w:r>
        <w:t xml:space="preserve">When determining the ITU registration details of an FSS filing involving the operation of ESIM, the procedures of </w:t>
      </w:r>
      <w:r w:rsidRPr="00333449">
        <w:rPr>
          <w:i/>
        </w:rPr>
        <w:t>Section 3.3 Checking consistency with ITU registration details of the satellite network and proposed use</w:t>
      </w:r>
      <w:r>
        <w:t xml:space="preserve"> </w:t>
      </w:r>
      <w:r w:rsidR="004B352E">
        <w:t>should be followed</w:t>
      </w:r>
      <w:r w:rsidR="00112FBD">
        <w:t>, along with other considerations</w:t>
      </w:r>
      <w:r w:rsidR="004B352E">
        <w:t xml:space="preserve">. </w:t>
      </w:r>
    </w:p>
    <w:p w14:paraId="66AFD5F1" w14:textId="2E88C553" w:rsidR="00A5404A" w:rsidRPr="0048481D" w:rsidRDefault="00A5404A" w:rsidP="006F5848">
      <w:pPr>
        <w:autoSpaceDE w:val="0"/>
        <w:autoSpaceDN w:val="0"/>
        <w:adjustRightInd w:val="0"/>
        <w:spacing w:after="80" w:line="240" w:lineRule="auto"/>
      </w:pPr>
      <w:r>
        <w:t>The</w:t>
      </w:r>
      <w:r w:rsidR="00D953AE">
        <w:t>se</w:t>
      </w:r>
      <w:r>
        <w:t xml:space="preserve"> </w:t>
      </w:r>
      <w:r w:rsidR="00D953AE">
        <w:t>other</w:t>
      </w:r>
      <w:r>
        <w:t xml:space="preserve"> factors that are particularly relevant for ESIM operation when c</w:t>
      </w:r>
      <w:r w:rsidRPr="003269AB">
        <w:t>hecking</w:t>
      </w:r>
      <w:r w:rsidRPr="0048481D">
        <w:t xml:space="preserve"> consistency of ITU registration details with the proposed service and the Spectrum Plan are the class of </w:t>
      </w:r>
      <w:r w:rsidRPr="003269AB">
        <w:t>station</w:t>
      </w:r>
      <w:r w:rsidRPr="0048481D">
        <w:t xml:space="preserve"> and the service area of the filing</w:t>
      </w:r>
      <w:r w:rsidR="00B42F81">
        <w:t>,</w:t>
      </w:r>
      <w:r w:rsidRPr="0048481D">
        <w:t xml:space="preserve"> </w:t>
      </w:r>
      <w:r w:rsidR="00B42F81">
        <w:t>as detailed below</w:t>
      </w:r>
      <w:r w:rsidRPr="0048481D">
        <w:t>:</w:t>
      </w:r>
    </w:p>
    <w:p w14:paraId="02AF76F7" w14:textId="36C9E79C" w:rsidR="00A5404A" w:rsidRPr="0048481D" w:rsidRDefault="00A5404A" w:rsidP="00866124">
      <w:pPr>
        <w:pStyle w:val="ListBullet"/>
        <w:numPr>
          <w:ilvl w:val="0"/>
          <w:numId w:val="25"/>
        </w:numPr>
      </w:pPr>
      <w:r w:rsidRPr="003269AB">
        <w:t xml:space="preserve">service purpose/function of the space station must be consistent with </w:t>
      </w:r>
      <w:r>
        <w:t>the</w:t>
      </w:r>
      <w:r w:rsidRPr="003269AB">
        <w:t xml:space="preserve"> </w:t>
      </w:r>
      <w:r w:rsidRPr="0048481D">
        <w:t>class(es)</w:t>
      </w:r>
      <w:r>
        <w:t xml:space="preserve"> of station</w:t>
      </w:r>
      <w:r w:rsidRPr="003269AB">
        <w:rPr>
          <w:vertAlign w:val="superscript"/>
        </w:rPr>
        <w:footnoteReference w:id="16"/>
      </w:r>
      <w:r w:rsidRPr="0048481D">
        <w:t xml:space="preserve"> of the satellite network. </w:t>
      </w:r>
      <w:r w:rsidR="0076366E">
        <w:t xml:space="preserve">In the </w:t>
      </w:r>
      <w:r>
        <w:t>ACMA</w:t>
      </w:r>
      <w:r w:rsidR="0076366E">
        <w:t>’s</w:t>
      </w:r>
      <w:r>
        <w:t xml:space="preserve"> experience</w:t>
      </w:r>
      <w:r w:rsidR="0076366E">
        <w:t>,</w:t>
      </w:r>
      <w:r>
        <w:t xml:space="preserve"> ESIM</w:t>
      </w:r>
      <w:r w:rsidR="00C210C2">
        <w:t xml:space="preserve"> do not always meet</w:t>
      </w:r>
      <w:r>
        <w:t xml:space="preserve"> this requirement</w:t>
      </w:r>
      <w:r w:rsidRPr="0048481D">
        <w:t>. There are currently no class of station codes specific to ESIM operation in</w:t>
      </w:r>
      <w:r>
        <w:t xml:space="preserve"> Ku band</w:t>
      </w:r>
      <w:r w:rsidRPr="0048481D">
        <w:t xml:space="preserve">. Further, an analysis of ITU satellite filings for networks currently known to be operating or planning to operate ESIM only </w:t>
      </w:r>
      <w:r w:rsidR="00333A6B">
        <w:t xml:space="preserve">include </w:t>
      </w:r>
      <w:r w:rsidRPr="0048481D">
        <w:t>class of station code EC (Space station in the fixed-satellite service)</w:t>
      </w:r>
      <w:r w:rsidR="00333A6B">
        <w:t>,</w:t>
      </w:r>
      <w:r w:rsidRPr="0048481D">
        <w:t xml:space="preserve"> but no codes indicating mobile operation</w:t>
      </w:r>
      <w:r w:rsidR="00A36274">
        <w:t xml:space="preserve"> in general (</w:t>
      </w:r>
      <w:r w:rsidR="006179D5">
        <w:t>t</w:t>
      </w:r>
      <w:r w:rsidR="00BF5751">
        <w:t>hough t</w:t>
      </w:r>
      <w:r w:rsidR="006179D5">
        <w:t xml:space="preserve">here are codes </w:t>
      </w:r>
      <w:r w:rsidR="00BF5751">
        <w:t xml:space="preserve">for ship earth station, aircraft earth station, </w:t>
      </w:r>
      <w:r w:rsidR="00A81C5B">
        <w:t>aeronautical earth station</w:t>
      </w:r>
      <w:r w:rsidR="00BF5751">
        <w:t>)</w:t>
      </w:r>
      <w:r w:rsidRPr="0048481D">
        <w:t>.</w:t>
      </w:r>
      <w:r w:rsidR="00AE3D29">
        <w:t xml:space="preserve"> How ACMA will assess </w:t>
      </w:r>
      <w:r w:rsidR="008A046B">
        <w:t xml:space="preserve"> station class </w:t>
      </w:r>
      <w:r w:rsidR="00AE3D29">
        <w:t xml:space="preserve">is </w:t>
      </w:r>
      <w:r w:rsidR="00FB6BBC">
        <w:t>o</w:t>
      </w:r>
      <w:r w:rsidR="00063C39">
        <w:t xml:space="preserve">utlined </w:t>
      </w:r>
      <w:r w:rsidR="00FB6BBC">
        <w:t>below for both the downlink and uplink.</w:t>
      </w:r>
    </w:p>
    <w:p w14:paraId="2073913D" w14:textId="6317B1B8" w:rsidR="00A5404A" w:rsidRPr="003269AB" w:rsidRDefault="00A5404A" w:rsidP="00866124">
      <w:pPr>
        <w:pStyle w:val="ListBullet"/>
        <w:numPr>
          <w:ilvl w:val="0"/>
          <w:numId w:val="25"/>
        </w:numPr>
      </w:pPr>
      <w:r w:rsidRPr="0048481D">
        <w:t>proposed geographic area of the licence must be included within</w:t>
      </w:r>
      <w:r w:rsidR="00F80250">
        <w:t xml:space="preserve"> the</w:t>
      </w:r>
      <w:r w:rsidRPr="0048481D">
        <w:t xml:space="preserve"> satellite network filing and that area must include Australia. This requirement is to ensure the operation within Australia has been considered in the ITU satellite coordination process and as a way of ensur</w:t>
      </w:r>
      <w:r w:rsidR="00D953AE">
        <w:t>ing</w:t>
      </w:r>
      <w:r w:rsidRPr="0048481D">
        <w:t xml:space="preserve"> services to Australia are within the operating envelope of the</w:t>
      </w:r>
      <w:r>
        <w:t xml:space="preserve"> network. This requirement is to be maintained for Ku band ESIM.</w:t>
      </w:r>
    </w:p>
    <w:p w14:paraId="0C978AC9" w14:textId="3C2BDB04" w:rsidR="00A5404A" w:rsidRDefault="00A5404A" w:rsidP="00A5404A">
      <w:pPr>
        <w:pStyle w:val="BodySubHeader"/>
      </w:pPr>
      <w:r w:rsidRPr="003703DF">
        <w:t>Downlink (space-to-Earth) 1</w:t>
      </w:r>
      <w:r w:rsidR="009E3023">
        <w:t>0</w:t>
      </w:r>
      <w:r w:rsidRPr="003703DF">
        <w:t>.7</w:t>
      </w:r>
      <w:r>
        <w:t>–</w:t>
      </w:r>
      <w:r w:rsidRPr="003703DF">
        <w:t>12.75 GHz</w:t>
      </w:r>
      <w:r>
        <w:t>:</w:t>
      </w:r>
    </w:p>
    <w:p w14:paraId="20C7D607" w14:textId="77777777" w:rsidR="00006FD5" w:rsidRDefault="00A5404A" w:rsidP="00A5404A">
      <w:r>
        <w:t xml:space="preserve">Applicants should demonstrate that if the licence application was assessed assuming the use of traditional fixed Earth stations, the risk of interference would be low. </w:t>
      </w:r>
    </w:p>
    <w:p w14:paraId="2CB3FF49" w14:textId="20BD7F42" w:rsidR="00A5404A" w:rsidRDefault="00A5404A" w:rsidP="00A5404A">
      <w:r>
        <w:t>Applicants must then demonstrate that use of r</w:t>
      </w:r>
      <w:r w:rsidRPr="00CA69A3">
        <w:t>eceiving</w:t>
      </w:r>
      <w:r>
        <w:t xml:space="preserve"> ESIM is within the operating envelope of the ITU registration details. </w:t>
      </w:r>
      <w:r w:rsidRPr="00CA69A3">
        <w:t>Receiving</w:t>
      </w:r>
      <w:r>
        <w:t xml:space="preserve"> ESIM will be </w:t>
      </w:r>
      <w:r w:rsidRPr="00CA69A3">
        <w:t>supported</w:t>
      </w:r>
      <w:r>
        <w:t xml:space="preserve"> provided the technical characteristics are within the envelope of the ITU registration details. In this case, receiving ESIM operation is supported </w:t>
      </w:r>
      <w:r w:rsidR="00FD5179">
        <w:t>i</w:t>
      </w:r>
      <w:r w:rsidR="0053524D">
        <w:t>n</w:t>
      </w:r>
      <w:r w:rsidR="00FD5179">
        <w:t xml:space="preserve"> Australia </w:t>
      </w:r>
      <w:r w:rsidR="0063324F">
        <w:t xml:space="preserve">under </w:t>
      </w:r>
      <w:hyperlink r:id="rId58" w:history="1">
        <w:r w:rsidR="005E24CA" w:rsidRPr="004B5BB5">
          <w:rPr>
            <w:rStyle w:val="Hyperlink"/>
          </w:rPr>
          <w:t>Australian Radiofrequency Spectrum Plan</w:t>
        </w:r>
      </w:hyperlink>
      <w:r w:rsidR="005E24CA" w:rsidRPr="005E24CA">
        <w:t xml:space="preserve"> </w:t>
      </w:r>
      <w:r w:rsidR="0063324F">
        <w:t>section 10(9) (A frequency band may be used by an earth receive station in a frequency band allocated for the fixed-satellite service (space-to-Earth) where that station is in motion, or in a stationary position at an unspecified point on land, on water or in the air)</w:t>
      </w:r>
      <w:r w:rsidR="005E24CA">
        <w:t xml:space="preserve">. Internationally operation is </w:t>
      </w:r>
      <w:r>
        <w:t xml:space="preserve">under ITU RR No. </w:t>
      </w:r>
      <w:r w:rsidRPr="00D429DC">
        <w:rPr>
          <w:b/>
        </w:rPr>
        <w:t>4.4</w:t>
      </w:r>
      <w:r>
        <w:t xml:space="preserve">. </w:t>
      </w:r>
    </w:p>
    <w:p w14:paraId="10556B30" w14:textId="77777777" w:rsidR="00A5404A" w:rsidRPr="003703DF" w:rsidRDefault="00A5404A" w:rsidP="00A5404A">
      <w:pPr>
        <w:pStyle w:val="BodySubHeader"/>
        <w:keepNext/>
        <w:keepLines/>
      </w:pPr>
      <w:r w:rsidRPr="003703DF">
        <w:t>Uplink (Earth-to-space) 14</w:t>
      </w:r>
      <w:r>
        <w:t>–</w:t>
      </w:r>
      <w:r w:rsidRPr="003703DF">
        <w:t>14.5 GHz</w:t>
      </w:r>
    </w:p>
    <w:p w14:paraId="37FDD7D8" w14:textId="5F9CB4DB" w:rsidR="00A5404A" w:rsidRDefault="00A5404A" w:rsidP="00A5404A">
      <w:pPr>
        <w:keepNext/>
        <w:keepLines/>
      </w:pPr>
      <w:r>
        <w:t xml:space="preserve">ITU registration details should be checked to determine whether they include MSS, earth stations on board vessels </w:t>
      </w:r>
      <w:r w:rsidR="00D65CEC">
        <w:t xml:space="preserve">or </w:t>
      </w:r>
      <w:r>
        <w:t>aircraft earth stations. If so, ESIM can be operated under existing ARSP allocation and footnotes.</w:t>
      </w:r>
      <w:r w:rsidR="005F543A">
        <w:t xml:space="preserve"> </w:t>
      </w:r>
      <w:r w:rsidR="00FF2E82">
        <w:t xml:space="preserve">The </w:t>
      </w:r>
      <w:r w:rsidR="005726D3">
        <w:t>ACMA</w:t>
      </w:r>
      <w:r w:rsidR="00FF2E82">
        <w:t>’s</w:t>
      </w:r>
      <w:r w:rsidR="005726D3">
        <w:t xml:space="preserve"> expectation is that</w:t>
      </w:r>
      <w:r w:rsidR="004E5F4D">
        <w:t xml:space="preserve"> more recent satellite filings </w:t>
      </w:r>
      <w:r w:rsidR="00D02C6E">
        <w:t>should be able to meet these require</w:t>
      </w:r>
      <w:r w:rsidR="00B3546D">
        <w:t>ments.</w:t>
      </w:r>
    </w:p>
    <w:p w14:paraId="204E5748" w14:textId="56110BB7" w:rsidR="00A5404A" w:rsidRDefault="00A5404A" w:rsidP="00A5404A">
      <w:r>
        <w:t xml:space="preserve">Alternatively, applicants should demonstrate that if the licence application was assessed assuming the use of traditional fixed Earth stations, the risk of interference would be low. </w:t>
      </w:r>
      <w:r w:rsidRPr="00E71729">
        <w:t xml:space="preserve">Applicants must then demonstrate that use of </w:t>
      </w:r>
      <w:r w:rsidR="00356E4E" w:rsidRPr="00E71729">
        <w:t>transmitting</w:t>
      </w:r>
      <w:r w:rsidRPr="00E71729">
        <w:t xml:space="preserve"> ESIM is within the operating envelope of the ITU registration details. </w:t>
      </w:r>
      <w:r w:rsidR="00CB67BF" w:rsidRPr="00E71729">
        <w:t>T</w:t>
      </w:r>
      <w:r w:rsidR="00356E4E" w:rsidRPr="00E71729">
        <w:t>ransmitting</w:t>
      </w:r>
      <w:r w:rsidRPr="00E71729">
        <w:t xml:space="preserve"> ESIM will be supported provided the technical characteristics are within the envelope of the ITU registration details. In this case, </w:t>
      </w:r>
      <w:r w:rsidR="00356E4E" w:rsidRPr="00E71729">
        <w:t>transmitting</w:t>
      </w:r>
      <w:r w:rsidRPr="00E71729">
        <w:t xml:space="preserve"> ESIM operation is supported under ITU RR No. </w:t>
      </w:r>
      <w:r w:rsidRPr="00E71729">
        <w:rPr>
          <w:b/>
        </w:rPr>
        <w:t>4.4</w:t>
      </w:r>
      <w:r w:rsidRPr="00E71729">
        <w:t>.</w:t>
      </w:r>
      <w:r>
        <w:t xml:space="preserve"> </w:t>
      </w:r>
    </w:p>
    <w:p w14:paraId="5BECC89C" w14:textId="15A5CA51" w:rsidR="006808C7" w:rsidRDefault="006808C7" w:rsidP="00DA4724">
      <w:pPr>
        <w:pStyle w:val="ListBulletLast"/>
      </w:pPr>
      <w:r>
        <w:t xml:space="preserve">Note that under ITU Rules of Procedure an administration intending to use a frequency assignment to a transmitting station under No. </w:t>
      </w:r>
      <w:r w:rsidRPr="00F94F84">
        <w:rPr>
          <w:b/>
        </w:rPr>
        <w:t>4.4</w:t>
      </w:r>
      <w:r>
        <w:t xml:space="preserve"> has to notify this frequency </w:t>
      </w:r>
      <w:r w:rsidRPr="00B4234C">
        <w:t>assignment</w:t>
      </w:r>
      <w:r>
        <w:t xml:space="preserve"> to the Bureau</w:t>
      </w:r>
      <w:r w:rsidRPr="00B4234C">
        <w:t xml:space="preserve">, pursuant to Article </w:t>
      </w:r>
      <w:r w:rsidRPr="00F94F84">
        <w:rPr>
          <w:b/>
        </w:rPr>
        <w:t>11</w:t>
      </w:r>
      <w:r w:rsidRPr="00B4234C">
        <w:t xml:space="preserve">, if possible prior to bringing it into use. For this </w:t>
      </w:r>
      <w:r>
        <w:t xml:space="preserve">requirement </w:t>
      </w:r>
      <w:r w:rsidRPr="00B4234C">
        <w:t xml:space="preserve">the ACMA considers the </w:t>
      </w:r>
      <w:r>
        <w:t>responsible a</w:t>
      </w:r>
      <w:r w:rsidRPr="00B4234C">
        <w:t xml:space="preserve">dministration </w:t>
      </w:r>
      <w:r w:rsidRPr="00F66C2C">
        <w:t>to be th</w:t>
      </w:r>
      <w:r>
        <w:t xml:space="preserve">at administration </w:t>
      </w:r>
      <w:r w:rsidRPr="00B4234C">
        <w:t xml:space="preserve">that filed the </w:t>
      </w:r>
      <w:r w:rsidRPr="00F66C2C">
        <w:t xml:space="preserve">satellite </w:t>
      </w:r>
      <w:r w:rsidRPr="00B4234C">
        <w:t>network</w:t>
      </w:r>
      <w:r>
        <w:t>.</w:t>
      </w:r>
    </w:p>
    <w:p w14:paraId="78772883" w14:textId="77777777" w:rsidR="00A5404A" w:rsidRDefault="00A5404A" w:rsidP="00A5404A">
      <w:pPr>
        <w:pStyle w:val="BodySubHeader"/>
      </w:pPr>
      <w:r>
        <w:t xml:space="preserve">Interference management and due diligence </w:t>
      </w:r>
    </w:p>
    <w:p w14:paraId="5377C6F7" w14:textId="68F51204" w:rsidR="00A5404A" w:rsidRDefault="0042066D" w:rsidP="005B47A7">
      <w:pPr>
        <w:pStyle w:val="ListBullet"/>
      </w:pPr>
      <w:r>
        <w:t xml:space="preserve">When demonstrating </w:t>
      </w:r>
      <w:r w:rsidR="00A5404A">
        <w:t xml:space="preserve">due diligence and </w:t>
      </w:r>
      <w:r w:rsidR="004B352E">
        <w:t xml:space="preserve">evidence of </w:t>
      </w:r>
      <w:r w:rsidR="00A5404A">
        <w:t xml:space="preserve">an engineering assessment that considers the risk and </w:t>
      </w:r>
      <w:r w:rsidR="00CE5A88">
        <w:t xml:space="preserve">likelihood </w:t>
      </w:r>
      <w:r w:rsidR="00A5404A">
        <w:t>of interference to and from existing services in Australia</w:t>
      </w:r>
      <w:r w:rsidR="004B352E">
        <w:t xml:space="preserve">, the procedures of </w:t>
      </w:r>
      <w:r w:rsidR="004B352E" w:rsidRPr="005B47A7">
        <w:rPr>
          <w:i/>
          <w:iCs/>
        </w:rPr>
        <w:t>Section 3.</w:t>
      </w:r>
      <w:r w:rsidR="0078096D">
        <w:rPr>
          <w:i/>
          <w:iCs/>
        </w:rPr>
        <w:t>5</w:t>
      </w:r>
      <w:r w:rsidR="004B352E" w:rsidRPr="005B47A7">
        <w:rPr>
          <w:i/>
          <w:iCs/>
        </w:rPr>
        <w:t>.1</w:t>
      </w:r>
      <w:r w:rsidR="004B352E" w:rsidRPr="005B47A7">
        <w:rPr>
          <w:i/>
          <w:iCs/>
        </w:rPr>
        <w:tab/>
        <w:t>Interference management and due diligence</w:t>
      </w:r>
      <w:r w:rsidR="004B352E" w:rsidRPr="004B352E">
        <w:t xml:space="preserve"> </w:t>
      </w:r>
      <w:r w:rsidR="004B352E">
        <w:t xml:space="preserve">should be followed. This may include information regarding </w:t>
      </w:r>
      <w:r w:rsidR="00A5404A">
        <w:t>compliance with relevant FCC or ECC requirements including:</w:t>
      </w:r>
    </w:p>
    <w:p w14:paraId="3518C38E" w14:textId="77777777" w:rsidR="00A5404A" w:rsidRPr="00024083" w:rsidRDefault="00A5404A" w:rsidP="00866124">
      <w:pPr>
        <w:pStyle w:val="ListBullet2"/>
        <w:numPr>
          <w:ilvl w:val="0"/>
          <w:numId w:val="27"/>
        </w:numPr>
      </w:pPr>
      <w:r w:rsidRPr="00024083">
        <w:t xml:space="preserve">equivalent </w:t>
      </w:r>
      <w:proofErr w:type="spellStart"/>
      <w:r w:rsidRPr="00024083">
        <w:t>isotropically</w:t>
      </w:r>
      <w:proofErr w:type="spellEnd"/>
      <w:r w:rsidRPr="00024083">
        <w:t xml:space="preserve"> radiated power limits for </w:t>
      </w:r>
      <w:r>
        <w:t>ESIM</w:t>
      </w:r>
    </w:p>
    <w:p w14:paraId="1212DF8D" w14:textId="77777777" w:rsidR="00A5404A" w:rsidRPr="00024083" w:rsidRDefault="00A5404A" w:rsidP="00866124">
      <w:pPr>
        <w:pStyle w:val="ListBullet2"/>
        <w:numPr>
          <w:ilvl w:val="0"/>
          <w:numId w:val="27"/>
        </w:numPr>
      </w:pPr>
      <w:r>
        <w:t>ESIM</w:t>
      </w:r>
      <w:r w:rsidRPr="00024083">
        <w:t xml:space="preserve"> controlled by a </w:t>
      </w:r>
      <w:r>
        <w:t>n</w:t>
      </w:r>
      <w:r w:rsidRPr="00024083">
        <w:t xml:space="preserve">etwork </w:t>
      </w:r>
      <w:r>
        <w:t>c</w:t>
      </w:r>
      <w:r w:rsidRPr="00024083">
        <w:t xml:space="preserve">ontrol </w:t>
      </w:r>
      <w:r>
        <w:t>f</w:t>
      </w:r>
      <w:r w:rsidRPr="00024083">
        <w:t xml:space="preserve">acility </w:t>
      </w:r>
    </w:p>
    <w:p w14:paraId="7916EA34" w14:textId="77777777" w:rsidR="00A5404A" w:rsidRPr="00024083" w:rsidRDefault="00A5404A" w:rsidP="00866124">
      <w:pPr>
        <w:pStyle w:val="ListBullet2"/>
        <w:numPr>
          <w:ilvl w:val="0"/>
          <w:numId w:val="27"/>
        </w:numPr>
      </w:pPr>
      <w:r>
        <w:t>p</w:t>
      </w:r>
      <w:r w:rsidRPr="00024083">
        <w:t>ower flux density restrictions</w:t>
      </w:r>
    </w:p>
    <w:p w14:paraId="7F23BFC1" w14:textId="16E981AE" w:rsidR="00A5404A" w:rsidRDefault="00A5404A" w:rsidP="00866124">
      <w:pPr>
        <w:pStyle w:val="ListBullet2"/>
        <w:numPr>
          <w:ilvl w:val="0"/>
          <w:numId w:val="27"/>
        </w:numPr>
      </w:pPr>
      <w:r>
        <w:t>ESIM</w:t>
      </w:r>
      <w:r w:rsidRPr="00024083">
        <w:t xml:space="preserve"> that use closed-loop tracking of the satellite signal shall employ an algorithm</w:t>
      </w:r>
      <w:r w:rsidRPr="007955E7">
        <w:t xml:space="preserve"> that is resistant to capturing and tracking signals from nearby satellite</w:t>
      </w:r>
      <w:r w:rsidR="00CE5A88">
        <w:t>s</w:t>
      </w:r>
      <w:r>
        <w:t>;</w:t>
      </w:r>
      <w:r w:rsidRPr="007955E7">
        <w:t xml:space="preserve"> earth stations shall immediately cease transmissions when they detect that unintended satellite tracking has </w:t>
      </w:r>
      <w:r w:rsidR="001375D1">
        <w:t>occurred</w:t>
      </w:r>
      <w:r w:rsidR="001375D1" w:rsidRPr="007955E7">
        <w:t xml:space="preserve"> </w:t>
      </w:r>
      <w:r w:rsidRPr="007955E7">
        <w:t xml:space="preserve">or is </w:t>
      </w:r>
      <w:r w:rsidR="001375D1">
        <w:t>imminent</w:t>
      </w:r>
    </w:p>
    <w:p w14:paraId="6AE0A7BB" w14:textId="73875950" w:rsidR="00A5404A" w:rsidRDefault="00A5404A" w:rsidP="00A5404A"/>
    <w:p w14:paraId="478FACA4" w14:textId="75284059" w:rsidR="00A5404A" w:rsidRDefault="00A5404A" w:rsidP="00866124">
      <w:pPr>
        <w:pStyle w:val="AppL2"/>
        <w:spacing w:after="240"/>
      </w:pPr>
      <w:bookmarkStart w:id="275" w:name="_Toc4511971"/>
      <w:bookmarkStart w:id="276" w:name="_Toc12974873"/>
      <w:bookmarkStart w:id="277" w:name="_Toc14956824"/>
      <w:bookmarkStart w:id="278" w:name="_Toc153798011"/>
      <w:r>
        <w:t xml:space="preserve">Summary of </w:t>
      </w:r>
      <w:r w:rsidR="004B352E">
        <w:t xml:space="preserve">additional </w:t>
      </w:r>
      <w:r>
        <w:t>special conditions and advisory notes applicable to Ku band ESIM</w:t>
      </w:r>
      <w:bookmarkEnd w:id="275"/>
      <w:bookmarkEnd w:id="276"/>
      <w:bookmarkEnd w:id="277"/>
      <w:bookmarkEnd w:id="278"/>
    </w:p>
    <w:p w14:paraId="6DDEE538" w14:textId="73B77711" w:rsidR="00A5404A" w:rsidRPr="003703DF" w:rsidRDefault="00A5404A" w:rsidP="00A5404A">
      <w:pPr>
        <w:pStyle w:val="BodySubHeader"/>
      </w:pPr>
      <w:bookmarkStart w:id="279" w:name="_Toc476132711"/>
      <w:bookmarkStart w:id="280" w:name="_Toc475094516"/>
      <w:r w:rsidRPr="003703DF">
        <w:t>Space apparatus licence</w:t>
      </w:r>
      <w:bookmarkEnd w:id="279"/>
      <w:bookmarkEnd w:id="280"/>
      <w:r w:rsidRPr="003703DF">
        <w:t xml:space="preserve"> authorising </w:t>
      </w:r>
      <w:r>
        <w:t>ESIM</w:t>
      </w:r>
      <w:r w:rsidRPr="003703DF">
        <w:t xml:space="preserve"> in 1</w:t>
      </w:r>
      <w:r w:rsidR="009E3023">
        <w:t>0</w:t>
      </w:r>
      <w:r w:rsidRPr="003703DF">
        <w:t>.7</w:t>
      </w:r>
      <w:r w:rsidR="00221A43">
        <w:t>–</w:t>
      </w:r>
      <w:r w:rsidRPr="003703DF">
        <w:t>12.75 GHz</w:t>
      </w:r>
    </w:p>
    <w:p w14:paraId="1B0C86CA" w14:textId="0CB753B9" w:rsidR="00A5404A" w:rsidRDefault="00A5404A" w:rsidP="00A5404A">
      <w:pPr>
        <w:rPr>
          <w:b/>
        </w:rPr>
      </w:pPr>
      <w:r>
        <w:t xml:space="preserve">The following additional special conditions and advisory notes are to be applied to </w:t>
      </w:r>
      <w:r w:rsidRPr="005F61BF">
        <w:rPr>
          <w:i/>
          <w:iCs/>
        </w:rPr>
        <w:t>space licences</w:t>
      </w:r>
      <w:r>
        <w:t xml:space="preserve"> </w:t>
      </w:r>
      <w:r>
        <w:rPr>
          <w:rFonts w:cs="Arial"/>
        </w:rPr>
        <w:t xml:space="preserve">authorising the use of earth stations in motion communicating with </w:t>
      </w:r>
      <w:r w:rsidR="00D953AE">
        <w:t xml:space="preserve">GSO </w:t>
      </w:r>
      <w:r>
        <w:t xml:space="preserve">space stations or </w:t>
      </w:r>
      <w:r w:rsidR="00D953AE">
        <w:t>NGSO</w:t>
      </w:r>
      <w:r>
        <w:t xml:space="preserve"> space systems in the fixed-satellite service in the frequency band 1</w:t>
      </w:r>
      <w:r w:rsidR="009E3023">
        <w:t>0</w:t>
      </w:r>
      <w:r>
        <w:t>.7–12.75 GHz, in line with the procedures outlined above.</w:t>
      </w:r>
    </w:p>
    <w:tbl>
      <w:tblPr>
        <w:tblStyle w:val="TableGrid"/>
        <w:tblW w:w="592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Table 2: Special conditions and advisory notes "/>
        <w:tblDescription w:val="Prior to the frequency assignments being recorded in the MIFR, this this space station and associated earth stations may operate in accordance with the operating parameters published by the ITU in Special Sections of International Frequency Information Circulars and in accordance with any agreements reached as a result of an ITU frequency coordination process.&#10;Transmissions must not occur in circumstances that result in harmful interference to stations outside of Australia, where these stations are operating in accordance with the Radio Regulations of the ITU, except where the transmissions are in accordance with any agreements reached as a result of an ITU international frequency coordination process.&#10;Radiocommunications between space stations and earth stations in motion are authorised by this licence, provided operation is in accordance with provisions of ITU Resolution 156 (WRC-15).&#10;Earth stations in motion authorised by this licence shall remain within the envelope of the coordination agreements of the satellite networks with which this earth station is associated or, in the absence of such agreements, comply with the off-axis e.i.r.p. density levels given in the Annex of ITU Resolution 156 (WRC-15).&#10;Upon receipt of a report of harmful interference with respect to any terrestrial systems operating in the countries listed in ITU Radio Regulations No. 5.542, the earth stations in motion authorised under this licence shall immediately cease transmissions or otherwise reduce the interference to an acceptable level&#10;Radiocommunications between space stations and earth stations in motion authorised under this licence shall be subject to permanent monitoring and control by a NCMC or equivalent facility, and be capable of receiving and acting upon at least ‘enable transmission’ and ‘disable transmission’ commands from the NCMC.&#10;Radiocommunications between space stations and earth stations in motion authorised under this licence shall not be used or relied upon for safety-of-life applications.&#10;No harmful interference shall be caused to radiocommunications stations operating in accordance with ITU Radio Regulations No. 5.542 from earth stations in motion authorised under this licence.&#10;The licensee shall advise the ACMA of changes to the point of contact provided for the purpose of tracing any suspected cases of interference from earth stations in motion.&#10;This space station and associated earth stations are authorised to communicate with space stations of the [satellite network name] satellite network as published by the ITU in Special Section [ITU reference—take the most recent document number] of International Frequency Information Circular [IFIC number].&#10;The MIFR is maintained by the ITU in accordance with the Radio Regulations.&#10;Coordination agreements reached as a result of an ITU international frequency coordination process are intended to minimise the potential for harmful interference to radiocommunications stations. A radiocommunications station operated prior to a frequency assignment being recorded in the MIFR cannot necessarily claim protection from harmful interference from radiocommunications stations of other countries.&#10;"/>
      </w:tblPr>
      <w:tblGrid>
        <w:gridCol w:w="1126"/>
        <w:gridCol w:w="1421"/>
        <w:gridCol w:w="836"/>
        <w:gridCol w:w="13"/>
        <w:gridCol w:w="5666"/>
        <w:gridCol w:w="24"/>
      </w:tblGrid>
      <w:tr w:rsidR="00A5404A" w14:paraId="2D8D69C9" w14:textId="77777777" w:rsidTr="006F5848">
        <w:trPr>
          <w:gridAfter w:val="1"/>
          <w:wAfter w:w="24" w:type="dxa"/>
          <w:cantSplit/>
          <w:tblHeader/>
        </w:trPr>
        <w:tc>
          <w:tcPr>
            <w:tcW w:w="1126" w:type="dxa"/>
            <w:tcBorders>
              <w:top w:val="single" w:sz="2" w:space="0" w:color="auto"/>
              <w:left w:val="single" w:sz="2" w:space="0" w:color="auto"/>
              <w:bottom w:val="single" w:sz="2" w:space="0" w:color="auto"/>
              <w:right w:val="single" w:sz="2" w:space="0" w:color="auto"/>
            </w:tcBorders>
            <w:shd w:val="clear" w:color="auto" w:fill="595959" w:themeFill="text1" w:themeFillTint="A6"/>
            <w:tcMar>
              <w:top w:w="57" w:type="dxa"/>
              <w:left w:w="108" w:type="dxa"/>
              <w:bottom w:w="57" w:type="dxa"/>
              <w:right w:w="108" w:type="dxa"/>
            </w:tcMar>
            <w:hideMark/>
          </w:tcPr>
          <w:p w14:paraId="4A9BA728" w14:textId="77777777" w:rsidR="00A5404A" w:rsidRDefault="00A5404A" w:rsidP="00672BAD">
            <w:pPr>
              <w:pStyle w:val="TableHeading0"/>
              <w:rPr>
                <w:color w:val="FFFFFF" w:themeColor="background1"/>
              </w:rPr>
            </w:pPr>
            <w:r>
              <w:rPr>
                <w:color w:val="FFFFFF" w:themeColor="background1"/>
              </w:rPr>
              <w:t>Category</w:t>
            </w:r>
          </w:p>
        </w:tc>
        <w:tc>
          <w:tcPr>
            <w:tcW w:w="1421" w:type="dxa"/>
            <w:tcBorders>
              <w:top w:val="single" w:sz="2" w:space="0" w:color="auto"/>
              <w:left w:val="single" w:sz="2" w:space="0" w:color="auto"/>
              <w:bottom w:val="single" w:sz="2" w:space="0" w:color="auto"/>
              <w:right w:val="single" w:sz="2" w:space="0" w:color="auto"/>
            </w:tcBorders>
            <w:shd w:val="clear" w:color="auto" w:fill="595959" w:themeFill="text1" w:themeFillTint="A6"/>
            <w:tcMar>
              <w:top w:w="57" w:type="dxa"/>
              <w:left w:w="108" w:type="dxa"/>
              <w:bottom w:w="57" w:type="dxa"/>
              <w:right w:w="108" w:type="dxa"/>
            </w:tcMar>
            <w:hideMark/>
          </w:tcPr>
          <w:p w14:paraId="50689713" w14:textId="77777777" w:rsidR="00A5404A" w:rsidRDefault="00A5404A" w:rsidP="00672BAD">
            <w:pPr>
              <w:pStyle w:val="TableHeading0"/>
              <w:rPr>
                <w:color w:val="FFFFFF" w:themeColor="background1"/>
              </w:rPr>
            </w:pPr>
            <w:r>
              <w:rPr>
                <w:color w:val="FFFFFF" w:themeColor="background1"/>
              </w:rPr>
              <w:t>Type</w:t>
            </w:r>
          </w:p>
        </w:tc>
        <w:tc>
          <w:tcPr>
            <w:tcW w:w="836" w:type="dxa"/>
            <w:tcBorders>
              <w:top w:val="single" w:sz="2" w:space="0" w:color="auto"/>
              <w:left w:val="single" w:sz="2" w:space="0" w:color="auto"/>
              <w:bottom w:val="single" w:sz="2" w:space="0" w:color="auto"/>
              <w:right w:val="single" w:sz="2" w:space="0" w:color="auto"/>
            </w:tcBorders>
            <w:shd w:val="clear" w:color="auto" w:fill="595959" w:themeFill="text1" w:themeFillTint="A6"/>
            <w:tcMar>
              <w:top w:w="57" w:type="dxa"/>
              <w:left w:w="108" w:type="dxa"/>
              <w:bottom w:w="57" w:type="dxa"/>
              <w:right w:w="108" w:type="dxa"/>
            </w:tcMar>
            <w:hideMark/>
          </w:tcPr>
          <w:p w14:paraId="5778A32B" w14:textId="77777777" w:rsidR="00A5404A" w:rsidRDefault="00A5404A" w:rsidP="00672BAD">
            <w:pPr>
              <w:pStyle w:val="TableHeading0"/>
              <w:rPr>
                <w:color w:val="FFFFFF" w:themeColor="background1"/>
              </w:rPr>
            </w:pPr>
            <w:r>
              <w:rPr>
                <w:color w:val="FFFFFF" w:themeColor="background1"/>
              </w:rPr>
              <w:t>Item</w:t>
            </w:r>
          </w:p>
        </w:tc>
        <w:tc>
          <w:tcPr>
            <w:tcW w:w="5679" w:type="dxa"/>
            <w:gridSpan w:val="2"/>
            <w:tcBorders>
              <w:top w:val="single" w:sz="2" w:space="0" w:color="auto"/>
              <w:left w:val="single" w:sz="2" w:space="0" w:color="auto"/>
              <w:bottom w:val="single" w:sz="2" w:space="0" w:color="auto"/>
              <w:right w:val="single" w:sz="2" w:space="0" w:color="auto"/>
            </w:tcBorders>
            <w:shd w:val="clear" w:color="auto" w:fill="595959" w:themeFill="text1" w:themeFillTint="A6"/>
            <w:tcMar>
              <w:top w:w="57" w:type="dxa"/>
              <w:left w:w="108" w:type="dxa"/>
              <w:bottom w:w="57" w:type="dxa"/>
              <w:right w:w="108" w:type="dxa"/>
            </w:tcMar>
            <w:hideMark/>
          </w:tcPr>
          <w:p w14:paraId="4A189EB5" w14:textId="77777777" w:rsidR="00A5404A" w:rsidRDefault="00A5404A" w:rsidP="00672BAD">
            <w:pPr>
              <w:pStyle w:val="TableHeading0"/>
              <w:rPr>
                <w:color w:val="FFFFFF" w:themeColor="background1"/>
              </w:rPr>
            </w:pPr>
            <w:r>
              <w:rPr>
                <w:color w:val="FFFFFF" w:themeColor="background1"/>
              </w:rPr>
              <w:t>Text</w:t>
            </w:r>
          </w:p>
        </w:tc>
      </w:tr>
      <w:tr w:rsidR="00A5404A" w14:paraId="27C2BA5A" w14:textId="77777777" w:rsidTr="00EB6CC9">
        <w:tblPrEx>
          <w:tblCellMar>
            <w:top w:w="28" w:type="dxa"/>
            <w:bottom w:w="28" w:type="dxa"/>
          </w:tblCellMar>
        </w:tblPrEx>
        <w:trPr>
          <w:cantSplit/>
        </w:trPr>
        <w:tc>
          <w:tcPr>
            <w:tcW w:w="1126" w:type="dxa"/>
            <w:tcBorders>
              <w:top w:val="single" w:sz="4" w:space="0" w:color="auto"/>
              <w:left w:val="single" w:sz="4" w:space="0" w:color="auto"/>
              <w:bottom w:val="single" w:sz="4" w:space="0" w:color="auto"/>
              <w:right w:val="single" w:sz="4" w:space="0" w:color="auto"/>
            </w:tcBorders>
          </w:tcPr>
          <w:p w14:paraId="722ED8C3" w14:textId="56BD8E19" w:rsidR="00A5404A" w:rsidRDefault="00A5404A" w:rsidP="00672BAD">
            <w:pPr>
              <w:spacing w:after="0" w:line="240" w:lineRule="auto"/>
              <w:rPr>
                <w:rFonts w:cs="Arial"/>
                <w:szCs w:val="20"/>
              </w:rPr>
            </w:pPr>
            <w:r>
              <w:t xml:space="preserve">Special </w:t>
            </w:r>
            <w:r w:rsidR="00700A9F">
              <w:t>c</w:t>
            </w:r>
            <w:r>
              <w:t>ondition</w:t>
            </w:r>
          </w:p>
        </w:tc>
        <w:tc>
          <w:tcPr>
            <w:tcW w:w="1421" w:type="dxa"/>
            <w:tcBorders>
              <w:top w:val="single" w:sz="4" w:space="0" w:color="auto"/>
              <w:left w:val="single" w:sz="4" w:space="0" w:color="auto"/>
              <w:bottom w:val="single" w:sz="4" w:space="0" w:color="auto"/>
              <w:right w:val="single" w:sz="4" w:space="0" w:color="auto"/>
            </w:tcBorders>
          </w:tcPr>
          <w:p w14:paraId="0A3E9AA4" w14:textId="77777777" w:rsidR="00A5404A" w:rsidRDefault="00A5404A" w:rsidP="00672BAD">
            <w:pPr>
              <w:spacing w:after="0" w:line="240" w:lineRule="auto"/>
              <w:rPr>
                <w:rFonts w:cs="Arial"/>
                <w:szCs w:val="20"/>
              </w:rPr>
            </w:pPr>
            <w:r>
              <w:rPr>
                <w:rFonts w:cs="Arial"/>
                <w:szCs w:val="20"/>
              </w:rPr>
              <w:t>Pre-defined</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14:paraId="1EBF4B57" w14:textId="77777777" w:rsidR="00A5404A" w:rsidRPr="00681E9A" w:rsidRDefault="00A5404A" w:rsidP="00672BAD">
            <w:pPr>
              <w:spacing w:after="0" w:line="240" w:lineRule="auto"/>
              <w:rPr>
                <w:rFonts w:cs="Arial"/>
                <w:szCs w:val="20"/>
              </w:rPr>
            </w:pPr>
            <w:r w:rsidRPr="00681E9A">
              <w:rPr>
                <w:rFonts w:cs="Arial"/>
                <w:szCs w:val="20"/>
              </w:rPr>
              <w:t>ESIM8</w:t>
            </w:r>
          </w:p>
        </w:tc>
        <w:tc>
          <w:tcPr>
            <w:tcW w:w="5690" w:type="dxa"/>
            <w:gridSpan w:val="2"/>
            <w:tcBorders>
              <w:top w:val="single" w:sz="4" w:space="0" w:color="auto"/>
              <w:left w:val="single" w:sz="4" w:space="0" w:color="auto"/>
              <w:bottom w:val="single" w:sz="4" w:space="0" w:color="auto"/>
              <w:right w:val="single" w:sz="4" w:space="0" w:color="auto"/>
            </w:tcBorders>
          </w:tcPr>
          <w:p w14:paraId="2BBA0034" w14:textId="502BC6FC" w:rsidR="00A5404A" w:rsidRDefault="00A5404A" w:rsidP="00F47255">
            <w:pPr>
              <w:spacing w:after="0" w:line="240" w:lineRule="auto"/>
            </w:pPr>
            <w:r>
              <w:t>Earth stations in motion may be operated in association with this licence provided that these earth stations would, if stationary, otherwise be in accordance with the operating parameters published by the ITU in Special Sections of International Frequency Information Circulars and in accordance with any agreements reached as a result of an ITU frequency coordination process.</w:t>
            </w:r>
          </w:p>
          <w:p w14:paraId="19A69C31" w14:textId="77777777" w:rsidR="00A5404A" w:rsidRDefault="00A5404A" w:rsidP="00F47255">
            <w:pPr>
              <w:spacing w:after="0" w:line="240" w:lineRule="auto"/>
              <w:rPr>
                <w:rFonts w:cs="Arial"/>
                <w:szCs w:val="20"/>
              </w:rPr>
            </w:pPr>
          </w:p>
        </w:tc>
      </w:tr>
      <w:tr w:rsidR="00A5404A" w14:paraId="6FF9770E" w14:textId="77777777" w:rsidTr="00EB6CC9">
        <w:tblPrEx>
          <w:tblCellMar>
            <w:top w:w="28" w:type="dxa"/>
            <w:bottom w:w="28" w:type="dxa"/>
          </w:tblCellMar>
        </w:tblPrEx>
        <w:trPr>
          <w:cantSplit/>
        </w:trPr>
        <w:tc>
          <w:tcPr>
            <w:tcW w:w="1126" w:type="dxa"/>
            <w:tcBorders>
              <w:top w:val="single" w:sz="4" w:space="0" w:color="auto"/>
              <w:left w:val="single" w:sz="4" w:space="0" w:color="auto"/>
              <w:bottom w:val="single" w:sz="4" w:space="0" w:color="auto"/>
              <w:right w:val="single" w:sz="4" w:space="0" w:color="auto"/>
            </w:tcBorders>
            <w:hideMark/>
          </w:tcPr>
          <w:p w14:paraId="4B8F04EB" w14:textId="66F31413" w:rsidR="00A5404A" w:rsidRDefault="00A5404A" w:rsidP="00672BAD">
            <w:pPr>
              <w:spacing w:after="0" w:line="240" w:lineRule="auto"/>
              <w:rPr>
                <w:rFonts w:cs="Arial"/>
                <w:szCs w:val="20"/>
              </w:rPr>
            </w:pPr>
            <w:r>
              <w:rPr>
                <w:rFonts w:cs="Arial"/>
                <w:szCs w:val="20"/>
              </w:rPr>
              <w:t xml:space="preserve">Special </w:t>
            </w:r>
            <w:r w:rsidR="00700A9F">
              <w:rPr>
                <w:rFonts w:cs="Arial"/>
                <w:szCs w:val="20"/>
              </w:rPr>
              <w:t>c</w:t>
            </w:r>
            <w:r>
              <w:rPr>
                <w:rFonts w:cs="Arial"/>
                <w:szCs w:val="20"/>
              </w:rPr>
              <w:t>ondition</w:t>
            </w:r>
          </w:p>
        </w:tc>
        <w:tc>
          <w:tcPr>
            <w:tcW w:w="1421" w:type="dxa"/>
            <w:tcBorders>
              <w:top w:val="single" w:sz="4" w:space="0" w:color="auto"/>
              <w:left w:val="single" w:sz="4" w:space="0" w:color="auto"/>
              <w:bottom w:val="single" w:sz="4" w:space="0" w:color="auto"/>
              <w:right w:val="single" w:sz="4" w:space="0" w:color="auto"/>
            </w:tcBorders>
            <w:hideMark/>
          </w:tcPr>
          <w:p w14:paraId="48BC7FD1" w14:textId="77777777" w:rsidR="00A5404A" w:rsidRDefault="00A5404A" w:rsidP="00672BAD">
            <w:pPr>
              <w:spacing w:after="0" w:line="240" w:lineRule="auto"/>
              <w:rPr>
                <w:rFonts w:cs="Arial"/>
                <w:szCs w:val="20"/>
              </w:rPr>
            </w:pPr>
            <w:r>
              <w:rPr>
                <w:rFonts w:cs="Arial"/>
                <w:szCs w:val="20"/>
              </w:rPr>
              <w:t>Pre-defined</w:t>
            </w:r>
          </w:p>
        </w:tc>
        <w:tc>
          <w:tcPr>
            <w:tcW w:w="849" w:type="dxa"/>
            <w:gridSpan w:val="2"/>
            <w:tcBorders>
              <w:top w:val="single" w:sz="4" w:space="0" w:color="auto"/>
              <w:left w:val="single" w:sz="4" w:space="0" w:color="auto"/>
              <w:bottom w:val="single" w:sz="4" w:space="0" w:color="auto"/>
              <w:right w:val="single" w:sz="4" w:space="0" w:color="auto"/>
            </w:tcBorders>
            <w:hideMark/>
          </w:tcPr>
          <w:p w14:paraId="0280439B" w14:textId="77777777" w:rsidR="00A5404A" w:rsidRDefault="00A5404A" w:rsidP="00672BAD">
            <w:pPr>
              <w:spacing w:after="0" w:line="240" w:lineRule="auto"/>
              <w:rPr>
                <w:rFonts w:cs="Arial"/>
                <w:szCs w:val="20"/>
              </w:rPr>
            </w:pPr>
            <w:r>
              <w:rPr>
                <w:rFonts w:cs="Arial"/>
                <w:szCs w:val="20"/>
              </w:rPr>
              <w:t>ESIM5</w:t>
            </w:r>
          </w:p>
        </w:tc>
        <w:tc>
          <w:tcPr>
            <w:tcW w:w="5690" w:type="dxa"/>
            <w:gridSpan w:val="2"/>
            <w:tcBorders>
              <w:top w:val="single" w:sz="4" w:space="0" w:color="auto"/>
              <w:left w:val="single" w:sz="4" w:space="0" w:color="auto"/>
              <w:bottom w:val="single" w:sz="4" w:space="0" w:color="auto"/>
              <w:right w:val="single" w:sz="4" w:space="0" w:color="auto"/>
            </w:tcBorders>
            <w:hideMark/>
          </w:tcPr>
          <w:p w14:paraId="4B19C946" w14:textId="7EA3B7C3" w:rsidR="00A5404A" w:rsidRDefault="00A5404A" w:rsidP="00F47255">
            <w:pPr>
              <w:spacing w:after="0" w:line="240" w:lineRule="auto"/>
              <w:rPr>
                <w:rFonts w:cs="Arial"/>
                <w:szCs w:val="20"/>
              </w:rPr>
            </w:pPr>
            <w:r>
              <w:rPr>
                <w:rFonts w:cs="Arial"/>
                <w:szCs w:val="20"/>
              </w:rPr>
              <w:t>Radiocommunications between space stations and earth stations in motion authorised under this licence shall not be used or relied upon for safety-of-life applications.</w:t>
            </w:r>
          </w:p>
          <w:p w14:paraId="0DAE3A26" w14:textId="7132F624" w:rsidR="00FD300F" w:rsidRDefault="00FD300F" w:rsidP="00F47255">
            <w:pPr>
              <w:spacing w:after="0" w:line="240" w:lineRule="auto"/>
              <w:rPr>
                <w:rFonts w:cs="Arial"/>
                <w:szCs w:val="20"/>
              </w:rPr>
            </w:pPr>
          </w:p>
        </w:tc>
      </w:tr>
    </w:tbl>
    <w:p w14:paraId="1911C8E9" w14:textId="178FD50B" w:rsidR="00A5404A" w:rsidRPr="003703DF" w:rsidRDefault="00A5404A" w:rsidP="002C20CF">
      <w:pPr>
        <w:pStyle w:val="BodySubHeader"/>
        <w:keepNext/>
        <w:keepLines/>
      </w:pPr>
      <w:bookmarkStart w:id="281" w:name="_Toc476132716"/>
      <w:bookmarkStart w:id="282" w:name="_Toc475094521"/>
      <w:r w:rsidRPr="003703DF">
        <w:t>Space receive apparatus licence</w:t>
      </w:r>
      <w:bookmarkEnd w:id="281"/>
      <w:bookmarkEnd w:id="282"/>
      <w:r w:rsidRPr="003703DF">
        <w:t xml:space="preserve"> authorising </w:t>
      </w:r>
      <w:r>
        <w:t>ESIM</w:t>
      </w:r>
      <w:r w:rsidRPr="003703DF">
        <w:t xml:space="preserve"> in 14</w:t>
      </w:r>
      <w:r>
        <w:t>–</w:t>
      </w:r>
      <w:r w:rsidRPr="003703DF">
        <w:t>14.5 GHz</w:t>
      </w:r>
    </w:p>
    <w:p w14:paraId="5A55607E" w14:textId="425773F0" w:rsidR="00A5404A" w:rsidRDefault="00A5404A" w:rsidP="002C20CF">
      <w:pPr>
        <w:keepNext/>
        <w:keepLines/>
        <w:rPr>
          <w:b/>
        </w:rPr>
      </w:pPr>
      <w:r>
        <w:t xml:space="preserve">The following additional special conditions and advisory notes are to be applied to </w:t>
      </w:r>
      <w:r w:rsidRPr="005F61BF">
        <w:rPr>
          <w:i/>
          <w:iCs/>
        </w:rPr>
        <w:t>space receive licences</w:t>
      </w:r>
      <w:r>
        <w:t xml:space="preserve"> </w:t>
      </w:r>
      <w:r>
        <w:rPr>
          <w:rFonts w:cs="Arial"/>
        </w:rPr>
        <w:t xml:space="preserve">authorising the use of earth stations in motion communicating with </w:t>
      </w:r>
      <w:r w:rsidR="00D953AE">
        <w:t xml:space="preserve">GSO </w:t>
      </w:r>
      <w:r>
        <w:t xml:space="preserve">space stations or </w:t>
      </w:r>
      <w:r w:rsidR="00D953AE">
        <w:t>NGSO</w:t>
      </w:r>
      <w:r>
        <w:t xml:space="preserve"> space stations in the fixed-satellite service in the frequency band 14–14.5 GHz, in line with the procedures outlined above.</w:t>
      </w:r>
      <w:r w:rsidRPr="006732F2">
        <w:rPr>
          <w:b/>
        </w:rPr>
        <w:t xml:space="preserve"> </w:t>
      </w:r>
    </w:p>
    <w:tbl>
      <w:tblPr>
        <w:tblStyle w:val="TableGrid"/>
        <w:tblW w:w="591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Table 2: Special conditions and advisory notes "/>
        <w:tblDescription w:val="Prior to the frequency assignments being recorded in the MIFR, this this space station and associated earth stations may operate in accordance with the operating parameters published by the ITU in Special Sections of International Frequency Information Circulars and in accordance with any agreements reached as a result of an ITU frequency coordination process.&#10;Transmissions must not occur in circumstances that result in harmful interference to stations outside of Australia, where these stations are operating in accordance with the Radio Regulations of the ITU, except where the transmissions are in accordance with any agreements reached as a result of an ITU international frequency coordination process.&#10;Radiocommunications between space stations and earth stations in motion are authorised by this licence, provided operation is in accordance with provisions of ITU Resolution 156 (WRC-15).&#10;Earth stations in motion authorised by this licence shall remain within the envelope of the coordination agreements of the satellite networks with which this earth station is associated or, in the absence of such agreements, comply with the off-axis e.i.r.p. density levels given in the Annex of ITU Resolution 156 (WRC-15).&#10;Upon receipt of a report of harmful interference with respect to any terrestrial systems operating in the countries listed in ITU Radio Regulations No. 5.542, the earth stations in motion authorised under this licence shall immediately cease transmissions or otherwise reduce the interference to an acceptable level&#10;Radiocommunications between space stations and earth stations in motion authorised under this licence shall be subject to permanent monitoring and control by a NCMC or equivalent facility, and be capable of receiving and acting upon at least ‘enable transmission’ and ‘disable transmission’ commands from the NCMC.&#10;Radiocommunications between space stations and earth stations in motion authorised under this licence shall not be used or relied upon for safety-of-life applications.&#10;No harmful interference shall be caused to radiocommunications stations operating in accordance with ITU Radio Regulations No. 5.542 from earth stations in motion authorised under this licence.&#10;The licensee shall advise the ACMA of changes to the point of contact provided for the purpose of tracing any suspected cases of interference from earth stations in motion.&#10;This space station and associated earth stations are authorised to communicate with space stations of the [satellite network name] satellite network as published by the ITU in Special Section [ITU reference—take the most recent document number] of International Frequency Information Circular [IFIC number].&#10;The MIFR is maintained by the ITU in accordance with the Radio Regulations.&#10;Coordination agreements reached as a result of an ITU international frequency coordination process are intended to minimise the potential for harmful interference to radiocommunications stations. A radiocommunications station operated prior to a frequency assignment being recorded in the MIFR cannot necessarily claim protection from harmful interference from radiocommunications stations of other countries.&#10;"/>
      </w:tblPr>
      <w:tblGrid>
        <w:gridCol w:w="1127"/>
        <w:gridCol w:w="1422"/>
        <w:gridCol w:w="836"/>
        <w:gridCol w:w="10"/>
        <w:gridCol w:w="5674"/>
      </w:tblGrid>
      <w:tr w:rsidR="00A5404A" w14:paraId="327AA2C6" w14:textId="77777777" w:rsidTr="00672BAD">
        <w:trPr>
          <w:cantSplit/>
          <w:tblHeader/>
        </w:trPr>
        <w:tc>
          <w:tcPr>
            <w:tcW w:w="1127"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57" w:type="dxa"/>
              <w:right w:w="108" w:type="dxa"/>
            </w:tcMar>
            <w:hideMark/>
          </w:tcPr>
          <w:p w14:paraId="1863B76A" w14:textId="77777777" w:rsidR="00A5404A" w:rsidRDefault="00A5404A" w:rsidP="00EB6CC9">
            <w:pPr>
              <w:pStyle w:val="TableHeading0"/>
              <w:keepNext/>
              <w:rPr>
                <w:color w:val="FFFFFF" w:themeColor="background1"/>
              </w:rPr>
            </w:pPr>
            <w:r>
              <w:rPr>
                <w:color w:val="FFFFFF" w:themeColor="background1"/>
              </w:rPr>
              <w:t>Category</w:t>
            </w:r>
          </w:p>
        </w:tc>
        <w:tc>
          <w:tcPr>
            <w:tcW w:w="1422"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57" w:type="dxa"/>
              <w:right w:w="108" w:type="dxa"/>
            </w:tcMar>
            <w:hideMark/>
          </w:tcPr>
          <w:p w14:paraId="448017BA" w14:textId="77777777" w:rsidR="00A5404A" w:rsidRDefault="00A5404A" w:rsidP="00EB6CC9">
            <w:pPr>
              <w:pStyle w:val="TableHeading0"/>
              <w:keepNext/>
              <w:rPr>
                <w:color w:val="FFFFFF" w:themeColor="background1"/>
              </w:rPr>
            </w:pPr>
            <w:r>
              <w:rPr>
                <w:color w:val="FFFFFF" w:themeColor="background1"/>
              </w:rPr>
              <w:t>Type</w:t>
            </w:r>
          </w:p>
        </w:tc>
        <w:tc>
          <w:tcPr>
            <w:tcW w:w="836"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57" w:type="dxa"/>
              <w:right w:w="108" w:type="dxa"/>
            </w:tcMar>
            <w:hideMark/>
          </w:tcPr>
          <w:p w14:paraId="011B1995" w14:textId="77777777" w:rsidR="00A5404A" w:rsidRDefault="00A5404A" w:rsidP="00EB6CC9">
            <w:pPr>
              <w:pStyle w:val="TableHeading0"/>
              <w:keepNext/>
              <w:rPr>
                <w:color w:val="FFFFFF" w:themeColor="background1"/>
              </w:rPr>
            </w:pPr>
            <w:r>
              <w:rPr>
                <w:color w:val="FFFFFF" w:themeColor="background1"/>
              </w:rPr>
              <w:t>Item</w:t>
            </w:r>
          </w:p>
        </w:tc>
        <w:tc>
          <w:tcPr>
            <w:tcW w:w="5684" w:type="dxa"/>
            <w:gridSpan w:val="2"/>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57" w:type="dxa"/>
              <w:right w:w="108" w:type="dxa"/>
            </w:tcMar>
            <w:hideMark/>
          </w:tcPr>
          <w:p w14:paraId="07B128E6" w14:textId="77777777" w:rsidR="00A5404A" w:rsidRDefault="00A5404A" w:rsidP="00EB6CC9">
            <w:pPr>
              <w:pStyle w:val="TableHeading0"/>
              <w:keepNext/>
              <w:rPr>
                <w:color w:val="FFFFFF" w:themeColor="background1"/>
              </w:rPr>
            </w:pPr>
            <w:r>
              <w:rPr>
                <w:color w:val="FFFFFF" w:themeColor="background1"/>
              </w:rPr>
              <w:t>Text</w:t>
            </w:r>
          </w:p>
        </w:tc>
      </w:tr>
      <w:tr w:rsidR="00A5404A" w14:paraId="3F604E97" w14:textId="77777777" w:rsidTr="00672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Ex>
        <w:trPr>
          <w:cantSplit/>
        </w:trPr>
        <w:tc>
          <w:tcPr>
            <w:tcW w:w="1127" w:type="dxa"/>
            <w:tcBorders>
              <w:top w:val="single" w:sz="4" w:space="0" w:color="auto"/>
              <w:left w:val="single" w:sz="4" w:space="0" w:color="auto"/>
              <w:bottom w:val="single" w:sz="4" w:space="0" w:color="auto"/>
              <w:right w:val="single" w:sz="4" w:space="0" w:color="auto"/>
            </w:tcBorders>
          </w:tcPr>
          <w:p w14:paraId="06DACD31" w14:textId="03106771" w:rsidR="00A5404A" w:rsidRDefault="00A5404A" w:rsidP="00672BAD">
            <w:pPr>
              <w:spacing w:after="0" w:line="240" w:lineRule="auto"/>
              <w:rPr>
                <w:rFonts w:cs="Arial"/>
                <w:szCs w:val="20"/>
              </w:rPr>
            </w:pPr>
            <w:r>
              <w:t xml:space="preserve">Special </w:t>
            </w:r>
            <w:r w:rsidR="00700A9F">
              <w:t>c</w:t>
            </w:r>
            <w:r>
              <w:t>ondition</w:t>
            </w:r>
          </w:p>
        </w:tc>
        <w:tc>
          <w:tcPr>
            <w:tcW w:w="1422" w:type="dxa"/>
            <w:tcBorders>
              <w:top w:val="single" w:sz="4" w:space="0" w:color="auto"/>
              <w:left w:val="single" w:sz="4" w:space="0" w:color="auto"/>
              <w:bottom w:val="single" w:sz="4" w:space="0" w:color="auto"/>
              <w:right w:val="single" w:sz="4" w:space="0" w:color="auto"/>
            </w:tcBorders>
          </w:tcPr>
          <w:p w14:paraId="12FE7405" w14:textId="77777777" w:rsidR="00A5404A" w:rsidRDefault="00A5404A" w:rsidP="00672BAD">
            <w:pPr>
              <w:spacing w:after="0" w:line="240" w:lineRule="auto"/>
              <w:rPr>
                <w:rFonts w:cs="Arial"/>
                <w:szCs w:val="20"/>
              </w:rPr>
            </w:pPr>
            <w:r>
              <w:rPr>
                <w:rFonts w:cs="Arial"/>
                <w:szCs w:val="20"/>
              </w:rPr>
              <w:t>Pre-defined</w:t>
            </w:r>
          </w:p>
        </w:tc>
        <w:tc>
          <w:tcPr>
            <w:tcW w:w="846" w:type="dxa"/>
            <w:gridSpan w:val="2"/>
            <w:tcBorders>
              <w:top w:val="single" w:sz="4" w:space="0" w:color="auto"/>
              <w:left w:val="single" w:sz="4" w:space="0" w:color="auto"/>
              <w:bottom w:val="single" w:sz="4" w:space="0" w:color="auto"/>
              <w:right w:val="single" w:sz="4" w:space="0" w:color="auto"/>
            </w:tcBorders>
          </w:tcPr>
          <w:p w14:paraId="46B5A587" w14:textId="77777777" w:rsidR="00A5404A" w:rsidRDefault="00A5404A" w:rsidP="00672BAD">
            <w:pPr>
              <w:spacing w:after="0" w:line="240" w:lineRule="auto"/>
              <w:rPr>
                <w:rFonts w:cs="Arial"/>
                <w:szCs w:val="20"/>
              </w:rPr>
            </w:pPr>
            <w:r w:rsidRPr="00681E9A">
              <w:rPr>
                <w:rFonts w:cs="Arial"/>
                <w:szCs w:val="20"/>
              </w:rPr>
              <w:t>ESIM8</w:t>
            </w:r>
          </w:p>
        </w:tc>
        <w:tc>
          <w:tcPr>
            <w:tcW w:w="5674" w:type="dxa"/>
            <w:tcBorders>
              <w:top w:val="single" w:sz="4" w:space="0" w:color="auto"/>
              <w:left w:val="single" w:sz="4" w:space="0" w:color="auto"/>
              <w:bottom w:val="single" w:sz="4" w:space="0" w:color="auto"/>
              <w:right w:val="single" w:sz="4" w:space="0" w:color="auto"/>
            </w:tcBorders>
          </w:tcPr>
          <w:p w14:paraId="419C1159" w14:textId="01E1F2E9" w:rsidR="00A5404A" w:rsidRDefault="00A5404A" w:rsidP="002F4703">
            <w:pPr>
              <w:spacing w:after="0" w:line="240" w:lineRule="auto"/>
            </w:pPr>
            <w:r>
              <w:t>Earth stations in motion may be operated provided that these earth stations would, if stationary, otherwise be in accordance with the operating parameters published by the ITU in Special Sections of International Frequency Information Circulars and in accordance with any agreements reached as a result of an ITU frequency coordination process.</w:t>
            </w:r>
          </w:p>
          <w:p w14:paraId="1B524CFD" w14:textId="77777777" w:rsidR="00A5404A" w:rsidRDefault="00A5404A" w:rsidP="00F47255">
            <w:pPr>
              <w:spacing w:after="0" w:line="240" w:lineRule="auto"/>
              <w:rPr>
                <w:rFonts w:cs="Arial"/>
                <w:szCs w:val="20"/>
              </w:rPr>
            </w:pPr>
          </w:p>
        </w:tc>
      </w:tr>
      <w:tr w:rsidR="00A5404A" w14:paraId="657FB42B" w14:textId="77777777" w:rsidTr="00672BAD">
        <w:trPr>
          <w:cantSplit/>
        </w:trPr>
        <w:tc>
          <w:tcPr>
            <w:tcW w:w="1127"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14:paraId="455E98C4" w14:textId="383BA173" w:rsidR="00A5404A" w:rsidRDefault="00A5404A" w:rsidP="00672BAD">
            <w:pPr>
              <w:pStyle w:val="TableBody"/>
              <w:spacing w:line="240" w:lineRule="atLeast"/>
            </w:pPr>
            <w:r>
              <w:t xml:space="preserve">Special </w:t>
            </w:r>
            <w:r w:rsidR="00700A9F">
              <w:t>c</w:t>
            </w:r>
            <w:r>
              <w:t>ondition</w:t>
            </w:r>
          </w:p>
        </w:tc>
        <w:tc>
          <w:tcPr>
            <w:tcW w:w="1422"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14:paraId="59176C78" w14:textId="77777777" w:rsidR="00A5404A" w:rsidRDefault="00A5404A" w:rsidP="00672BAD">
            <w:pPr>
              <w:pStyle w:val="TableBody"/>
              <w:spacing w:line="240" w:lineRule="atLeast"/>
            </w:pPr>
            <w:r>
              <w:t xml:space="preserve">Pre-defined </w:t>
            </w:r>
          </w:p>
        </w:tc>
        <w:tc>
          <w:tcPr>
            <w:tcW w:w="836"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14:paraId="72A92C8E" w14:textId="77777777" w:rsidR="00A5404A" w:rsidRDefault="00A5404A" w:rsidP="00672BAD">
            <w:pPr>
              <w:pStyle w:val="TableBody"/>
              <w:spacing w:line="240" w:lineRule="atLeast"/>
            </w:pPr>
            <w:r>
              <w:t>ESIM4</w:t>
            </w:r>
          </w:p>
        </w:tc>
        <w:tc>
          <w:tcPr>
            <w:tcW w:w="5684" w:type="dxa"/>
            <w:gridSpan w:val="2"/>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14:paraId="5F1F322E" w14:textId="0DEEC4C2" w:rsidR="00A5404A" w:rsidRDefault="00A5404A" w:rsidP="002F4703">
            <w:pPr>
              <w:pStyle w:val="TableBody"/>
              <w:spacing w:line="240" w:lineRule="atLeast"/>
            </w:pPr>
            <w:r>
              <w:t xml:space="preserve">Radiocommunications between space stations and earth stations in motion authorised under this licence shall be subject to permanent monitoring and control by a Network Control </w:t>
            </w:r>
            <w:r w:rsidR="003C7DA9">
              <w:t xml:space="preserve">and Monitoring Centre </w:t>
            </w:r>
            <w:r>
              <w:t>(</w:t>
            </w:r>
            <w:r w:rsidR="003C7DA9">
              <w:t>NCMC</w:t>
            </w:r>
            <w:r>
              <w:t xml:space="preserve">) or equivalent facility </w:t>
            </w:r>
            <w:r w:rsidR="008E4004">
              <w:t>and</w:t>
            </w:r>
            <w:r>
              <w:t xml:space="preserve"> be capable of receiving and acting upon at least ‘enable transmission’ and ‘disable transmission’ commands from the NC</w:t>
            </w:r>
            <w:r w:rsidR="003C7DA9">
              <w:t>MC</w:t>
            </w:r>
            <w:r>
              <w:t>.</w:t>
            </w:r>
          </w:p>
          <w:p w14:paraId="4AD4EC72" w14:textId="77777777" w:rsidR="00A5404A" w:rsidRDefault="00A5404A" w:rsidP="00F47255">
            <w:pPr>
              <w:pStyle w:val="TableBody"/>
              <w:spacing w:line="240" w:lineRule="atLeast"/>
            </w:pPr>
          </w:p>
        </w:tc>
      </w:tr>
      <w:tr w:rsidR="00A5404A" w14:paraId="4BD9E3F9" w14:textId="77777777" w:rsidTr="00672BAD">
        <w:trPr>
          <w:cantSplit/>
        </w:trPr>
        <w:tc>
          <w:tcPr>
            <w:tcW w:w="1127"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6F2FBEE5" w14:textId="62AD9443" w:rsidR="00A5404A" w:rsidRDefault="00A5404A" w:rsidP="00672BAD">
            <w:pPr>
              <w:pStyle w:val="TableBody"/>
              <w:spacing w:line="240" w:lineRule="atLeast"/>
            </w:pPr>
            <w:r>
              <w:rPr>
                <w:rFonts w:cs="Arial"/>
                <w:szCs w:val="20"/>
              </w:rPr>
              <w:t xml:space="preserve">Special </w:t>
            </w:r>
            <w:r w:rsidR="00700A9F">
              <w:rPr>
                <w:rFonts w:cs="Arial"/>
                <w:szCs w:val="20"/>
              </w:rPr>
              <w:t>c</w:t>
            </w:r>
            <w:r>
              <w:rPr>
                <w:rFonts w:cs="Arial"/>
                <w:szCs w:val="20"/>
              </w:rPr>
              <w:t>ondition</w:t>
            </w:r>
          </w:p>
        </w:tc>
        <w:tc>
          <w:tcPr>
            <w:tcW w:w="1422"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15BB38E7" w14:textId="77777777" w:rsidR="00A5404A" w:rsidRDefault="00A5404A" w:rsidP="00672BAD">
            <w:pPr>
              <w:pStyle w:val="TableBody"/>
              <w:spacing w:line="240" w:lineRule="atLeast"/>
            </w:pPr>
            <w:r>
              <w:rPr>
                <w:rFonts w:cs="Arial"/>
                <w:szCs w:val="20"/>
              </w:rPr>
              <w:t>Pre-defined</w:t>
            </w:r>
          </w:p>
        </w:tc>
        <w:tc>
          <w:tcPr>
            <w:tcW w:w="836"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4A82A400" w14:textId="77777777" w:rsidR="00A5404A" w:rsidRDefault="00A5404A" w:rsidP="00672BAD">
            <w:pPr>
              <w:pStyle w:val="TableBody"/>
              <w:spacing w:line="240" w:lineRule="atLeast"/>
            </w:pPr>
            <w:r>
              <w:rPr>
                <w:rFonts w:cs="Arial"/>
                <w:szCs w:val="20"/>
              </w:rPr>
              <w:t>ESIM5</w:t>
            </w:r>
          </w:p>
        </w:tc>
        <w:tc>
          <w:tcPr>
            <w:tcW w:w="5684" w:type="dxa"/>
            <w:gridSpan w:val="2"/>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10DA62AE" w14:textId="639781DD" w:rsidR="00A5404A" w:rsidRDefault="00A5404A" w:rsidP="002F4703">
            <w:pPr>
              <w:pStyle w:val="TableBody"/>
              <w:spacing w:line="240" w:lineRule="atLeast"/>
              <w:rPr>
                <w:rFonts w:cs="Arial"/>
                <w:szCs w:val="20"/>
              </w:rPr>
            </w:pPr>
            <w:r>
              <w:rPr>
                <w:rFonts w:cs="Arial"/>
                <w:szCs w:val="20"/>
              </w:rPr>
              <w:t>Radiocommunications between space stations and earth stations in motion authorised under this licence shall not be used or relied upon for safety-of-life applications.</w:t>
            </w:r>
          </w:p>
          <w:p w14:paraId="2508560D" w14:textId="77777777" w:rsidR="00A5404A" w:rsidRDefault="00A5404A" w:rsidP="00F47255">
            <w:pPr>
              <w:pStyle w:val="TableBody"/>
              <w:spacing w:line="240" w:lineRule="atLeast"/>
            </w:pPr>
          </w:p>
        </w:tc>
      </w:tr>
    </w:tbl>
    <w:p w14:paraId="03CEB7E8" w14:textId="77777777" w:rsidR="008F0B75" w:rsidRDefault="008F0B75">
      <w:pPr>
        <w:spacing w:after="0" w:line="240" w:lineRule="auto"/>
        <w:rPr>
          <w:rFonts w:cs="Arial"/>
          <w:b/>
          <w:bCs/>
          <w:szCs w:val="26"/>
        </w:rPr>
      </w:pPr>
      <w:r>
        <w:br w:type="page"/>
      </w:r>
    </w:p>
    <w:p w14:paraId="3D5FCF16" w14:textId="1CC11C8A" w:rsidR="00724062" w:rsidRPr="00122FB0" w:rsidRDefault="00724062" w:rsidP="00724062">
      <w:pPr>
        <w:pStyle w:val="AppL1"/>
        <w:pageBreakBefore/>
        <w:rPr>
          <w:b/>
        </w:rPr>
      </w:pPr>
      <w:bookmarkStart w:id="283" w:name="_Toc153798012"/>
      <w:r w:rsidRPr="00A5404A">
        <w:rPr>
          <w:b/>
        </w:rPr>
        <w:t xml:space="preserve">Earth stations in motion communicating with </w:t>
      </w:r>
      <w:r>
        <w:rPr>
          <w:b/>
        </w:rPr>
        <w:t xml:space="preserve">geostationary </w:t>
      </w:r>
      <w:r w:rsidRPr="00A5404A">
        <w:rPr>
          <w:b/>
        </w:rPr>
        <w:t>space stations in the fixed-satellite service in the frequency ranges 1</w:t>
      </w:r>
      <w:r>
        <w:rPr>
          <w:b/>
        </w:rPr>
        <w:t>7</w:t>
      </w:r>
      <w:r w:rsidRPr="00A5404A">
        <w:rPr>
          <w:b/>
        </w:rPr>
        <w:t>.7</w:t>
      </w:r>
      <w:r>
        <w:rPr>
          <w:b/>
        </w:rPr>
        <w:t>–</w:t>
      </w:r>
      <w:r w:rsidRPr="00A5404A">
        <w:rPr>
          <w:b/>
        </w:rPr>
        <w:t>1</w:t>
      </w:r>
      <w:r>
        <w:rPr>
          <w:b/>
        </w:rPr>
        <w:t>9</w:t>
      </w:r>
      <w:r w:rsidRPr="00A5404A">
        <w:rPr>
          <w:b/>
        </w:rPr>
        <w:t xml:space="preserve">.7 GHz (space-to-Earth) and </w:t>
      </w:r>
      <w:r>
        <w:rPr>
          <w:b/>
        </w:rPr>
        <w:t>2</w:t>
      </w:r>
      <w:r w:rsidR="008A4609">
        <w:rPr>
          <w:b/>
        </w:rPr>
        <w:t>7.5</w:t>
      </w:r>
      <w:r>
        <w:rPr>
          <w:b/>
        </w:rPr>
        <w:t>-29</w:t>
      </w:r>
      <w:r w:rsidRPr="00A5404A">
        <w:rPr>
          <w:b/>
        </w:rPr>
        <w:t>.5 GHz (Earth-to-space)</w:t>
      </w:r>
      <w:bookmarkEnd w:id="283"/>
    </w:p>
    <w:p w14:paraId="6224369A" w14:textId="77777777" w:rsidR="00B05249" w:rsidRDefault="00B05249" w:rsidP="00B05249">
      <w:r>
        <w:t xml:space="preserve">This appendix outlines additional procedures to be applied when considering the issue of </w:t>
      </w:r>
      <w:r w:rsidRPr="007836FD">
        <w:rPr>
          <w:i/>
          <w:iCs/>
        </w:rPr>
        <w:t>space</w:t>
      </w:r>
      <w:r>
        <w:t xml:space="preserve"> or </w:t>
      </w:r>
      <w:r w:rsidRPr="007836FD">
        <w:rPr>
          <w:i/>
          <w:iCs/>
        </w:rPr>
        <w:t>space receive</w:t>
      </w:r>
      <w:r>
        <w:t xml:space="preserve"> licences </w:t>
      </w:r>
      <w:r>
        <w:rPr>
          <w:rFonts w:cs="Arial"/>
        </w:rPr>
        <w:t xml:space="preserve">authorising the use of </w:t>
      </w:r>
      <w:r w:rsidRPr="00572919">
        <w:t xml:space="preserve">ubiquitous </w:t>
      </w:r>
      <w:r>
        <w:rPr>
          <w:rFonts w:cs="Arial"/>
        </w:rPr>
        <w:t xml:space="preserve">earth stations in motion (ESIMs) communicating with geostationary </w:t>
      </w:r>
      <w:r>
        <w:t xml:space="preserve">space stations in the fixed-satellite service in the frequency ranges 17.7–19.7 GHz (space-to-Earth) and </w:t>
      </w:r>
      <w:r w:rsidRPr="00F107C2">
        <w:t>2</w:t>
      </w:r>
      <w:r>
        <w:t xml:space="preserve">7.5–29.5 GHz </w:t>
      </w:r>
      <w:r w:rsidRPr="00102F03">
        <w:t>(E</w:t>
      </w:r>
      <w:r>
        <w:t>arth-to-space) in accordance with ITU Resolution 169  (WRC-19) “Use of the frequency bands 17.7-19.7 GHz and 27.5-29.5 GHz by earth stations  in motion communicating with geostationary space stations in the fixed-satellite service” (</w:t>
      </w:r>
      <w:hyperlink r:id="rId59" w:history="1">
        <w:r>
          <w:rPr>
            <w:rStyle w:val="Hyperlink"/>
          </w:rPr>
          <w:t>Resolution 169 (WRC-19)</w:t>
        </w:r>
      </w:hyperlink>
      <w:r>
        <w:t>)</w:t>
      </w:r>
    </w:p>
    <w:p w14:paraId="224FA962" w14:textId="77777777" w:rsidR="00B05249" w:rsidRDefault="00B05249" w:rsidP="00B05249">
      <w:r>
        <w:t>Note that earth station transmitters in the band 27.5-28.3 GHz also need to meet the requirements of the CSO Class Licence as outlined in Appendix H.</w:t>
      </w:r>
    </w:p>
    <w:p w14:paraId="6521DC9B" w14:textId="77777777" w:rsidR="00B05249" w:rsidRDefault="00B05249" w:rsidP="00866124">
      <w:pPr>
        <w:pStyle w:val="AppL2"/>
        <w:numPr>
          <w:ilvl w:val="1"/>
          <w:numId w:val="32"/>
        </w:numPr>
      </w:pPr>
      <w:bookmarkStart w:id="284" w:name="_Toc153798013"/>
      <w:r w:rsidRPr="003A4F7A">
        <w:t>Compliance with ITU Resolution</w:t>
      </w:r>
      <w:r>
        <w:t xml:space="preserve"> 169 (WRC-19)</w:t>
      </w:r>
      <w:bookmarkEnd w:id="284"/>
    </w:p>
    <w:p w14:paraId="5F191580" w14:textId="77777777" w:rsidR="00B05249" w:rsidRPr="00B54B48" w:rsidRDefault="00B05249" w:rsidP="00B05249">
      <w:pPr>
        <w:rPr>
          <w:rFonts w:cs="Arial"/>
        </w:rPr>
      </w:pPr>
      <w:r>
        <w:t>Applicants should be aware that while Australia has specified (in the CSO Class Licence) different technical requirement to those of Resolution 169, a</w:t>
      </w:r>
      <w:r>
        <w:rPr>
          <w:rFonts w:cs="Arial"/>
        </w:rPr>
        <w:t xml:space="preserve">pplicants will be required to confirm when operating ESIM within Australia, with respect to the impact on other countries, that the operation will be in accordance with the requirements of </w:t>
      </w:r>
      <w:r>
        <w:t xml:space="preserve">Resolution 169 </w:t>
      </w:r>
      <w:r w:rsidRPr="00E43F49">
        <w:rPr>
          <w:rFonts w:cs="Arial"/>
        </w:rPr>
        <w:t>(WRC-19</w:t>
      </w:r>
      <w:r>
        <w:rPr>
          <w:rFonts w:cs="Arial"/>
        </w:rPr>
        <w:t>)</w:t>
      </w:r>
      <w:r>
        <w:rPr>
          <w:rStyle w:val="FootnoteReference"/>
          <w:rFonts w:cs="Arial"/>
        </w:rPr>
        <w:footnoteReference w:id="17"/>
      </w:r>
      <w:r>
        <w:t>.</w:t>
      </w:r>
    </w:p>
    <w:p w14:paraId="605ABE9E" w14:textId="77777777" w:rsidR="00B05249" w:rsidRPr="00E43F49" w:rsidRDefault="00B05249" w:rsidP="00B05249">
      <w:pPr>
        <w:rPr>
          <w:rFonts w:cs="Arial"/>
        </w:rPr>
      </w:pPr>
      <w:r>
        <w:rPr>
          <w:rFonts w:cs="Arial"/>
        </w:rPr>
        <w:t>O</w:t>
      </w:r>
      <w:r w:rsidRPr="00E43F49">
        <w:rPr>
          <w:rFonts w:cs="Arial"/>
        </w:rPr>
        <w:t xml:space="preserve">peration of ESIMs associated with the space station </w:t>
      </w:r>
      <w:r>
        <w:rPr>
          <w:rFonts w:cs="Arial"/>
        </w:rPr>
        <w:t xml:space="preserve">needs to </w:t>
      </w:r>
      <w:r w:rsidRPr="00E43F49">
        <w:rPr>
          <w:rFonts w:cs="Arial"/>
        </w:rPr>
        <w:t>be in accordance with provisions of Resolution 169 (WRC-19)</w:t>
      </w:r>
      <w:r>
        <w:rPr>
          <w:rFonts w:cs="Arial"/>
        </w:rPr>
        <w:t xml:space="preserve"> and the a</w:t>
      </w:r>
      <w:r w:rsidRPr="00E43F49">
        <w:rPr>
          <w:rFonts w:cs="Arial"/>
        </w:rPr>
        <w:t>pplicant needs to provid</w:t>
      </w:r>
      <w:r>
        <w:rPr>
          <w:rFonts w:cs="Arial"/>
        </w:rPr>
        <w:t>e the ACMA with</w:t>
      </w:r>
      <w:r w:rsidRPr="00E43F49">
        <w:rPr>
          <w:rFonts w:cs="Arial"/>
        </w:rPr>
        <w:t xml:space="preserve"> evidence of:</w:t>
      </w:r>
    </w:p>
    <w:p w14:paraId="144F9B8D" w14:textId="77777777" w:rsidR="00B05249" w:rsidRDefault="00B05249" w:rsidP="00866124">
      <w:pPr>
        <w:pStyle w:val="ListParagraph"/>
        <w:numPr>
          <w:ilvl w:val="0"/>
          <w:numId w:val="16"/>
        </w:numPr>
        <w:rPr>
          <w:rFonts w:cs="Arial"/>
        </w:rPr>
      </w:pPr>
      <w:r w:rsidRPr="00E43F49">
        <w:rPr>
          <w:rFonts w:cs="Arial"/>
        </w:rPr>
        <w:t>a commitment that the ESIM operation would be in conformity with the Radio Regulations and Resolution 169 (WRC-19)</w:t>
      </w:r>
      <w:r>
        <w:rPr>
          <w:rFonts w:cs="Arial"/>
        </w:rPr>
        <w:t>.  [Note for operation of ESIM in Australia the technical requirements of the CSO Class Licence apply and not those of the resolution].</w:t>
      </w:r>
    </w:p>
    <w:p w14:paraId="4D0F3621" w14:textId="77777777" w:rsidR="00B05249" w:rsidRDefault="00B05249" w:rsidP="00866124">
      <w:pPr>
        <w:pStyle w:val="ListParagraph"/>
        <w:numPr>
          <w:ilvl w:val="0"/>
          <w:numId w:val="16"/>
        </w:numPr>
        <w:rPr>
          <w:rFonts w:cs="Arial"/>
        </w:rPr>
      </w:pPr>
      <w:r w:rsidRPr="00E43F49">
        <w:rPr>
          <w:rFonts w:cs="Arial"/>
        </w:rPr>
        <w:t xml:space="preserve">a commitment that, upon receiving a report of unacceptable interference, the notifying administration for the GSO FSS network with which the ESIM communicate shall follow the procedures in resolves 5 of Resolution 169 (WRC-19) </w:t>
      </w:r>
    </w:p>
    <w:p w14:paraId="5B9C7BE2" w14:textId="77777777" w:rsidR="00B05249" w:rsidRPr="00E43F49" w:rsidRDefault="00B05249" w:rsidP="00B05249">
      <w:pPr>
        <w:pStyle w:val="ListParagraph"/>
        <w:ind w:left="360"/>
        <w:rPr>
          <w:rFonts w:cs="Arial"/>
        </w:rPr>
      </w:pPr>
    </w:p>
    <w:p w14:paraId="1D497C86" w14:textId="77777777" w:rsidR="00B05249" w:rsidRDefault="00B05249" w:rsidP="00B05249">
      <w:pPr>
        <w:rPr>
          <w:rFonts w:cs="Arial"/>
        </w:rPr>
      </w:pPr>
      <w:r>
        <w:rPr>
          <w:rFonts w:cs="Arial"/>
        </w:rPr>
        <w:t>Resolution 169 (WRC-19) requires the notifying administration of the satellite network with which the ESIMs communicate to notify the ESIMs to the ITU. T</w:t>
      </w:r>
      <w:r w:rsidRPr="00E43F49">
        <w:rPr>
          <w:rFonts w:cs="Arial"/>
        </w:rPr>
        <w:t xml:space="preserve">he ITU </w:t>
      </w:r>
      <w:r w:rsidRPr="001448B3">
        <w:rPr>
          <w:rFonts w:cs="Arial"/>
        </w:rPr>
        <w:t>Circular Letter</w:t>
      </w:r>
      <w:r>
        <w:rPr>
          <w:rFonts w:cs="Arial"/>
        </w:rPr>
        <w:t xml:space="preserve"> </w:t>
      </w:r>
      <w:hyperlink r:id="rId60" w:history="1">
        <w:r w:rsidRPr="001D2A5A">
          <w:rPr>
            <w:rStyle w:val="Hyperlink"/>
            <w:rFonts w:cs="Arial"/>
          </w:rPr>
          <w:t>CR/461</w:t>
        </w:r>
      </w:hyperlink>
      <w:r w:rsidRPr="001448B3">
        <w:rPr>
          <w:rFonts w:cs="Arial"/>
        </w:rPr>
        <w:t xml:space="preserve"> </w:t>
      </w:r>
      <w:r w:rsidRPr="00E43F49">
        <w:rPr>
          <w:rFonts w:cs="Arial"/>
        </w:rPr>
        <w:t>provides information on the notification of</w:t>
      </w:r>
      <w:r>
        <w:rPr>
          <w:rFonts w:cs="Arial"/>
        </w:rPr>
        <w:t xml:space="preserve"> the</w:t>
      </w:r>
      <w:r w:rsidRPr="00E43F49">
        <w:rPr>
          <w:rFonts w:cs="Arial"/>
        </w:rPr>
        <w:t xml:space="preserve"> ESIMs</w:t>
      </w:r>
      <w:r>
        <w:rPr>
          <w:rFonts w:cs="Arial"/>
        </w:rPr>
        <w:t xml:space="preserve"> indicating that the commitments listed above need to be made during the notification of the ESIMs.</w:t>
      </w:r>
    </w:p>
    <w:p w14:paraId="273AD7FB" w14:textId="77777777" w:rsidR="00B05249" w:rsidRDefault="00B05249" w:rsidP="00B05249">
      <w:pPr>
        <w:rPr>
          <w:rFonts w:cs="Arial"/>
        </w:rPr>
      </w:pPr>
      <w:r>
        <w:rPr>
          <w:rFonts w:cs="Arial"/>
        </w:rPr>
        <w:t>Further to requirements l</w:t>
      </w:r>
      <w:r>
        <w:t xml:space="preserve">isted </w:t>
      </w:r>
      <w:r>
        <w:rPr>
          <w:rFonts w:cs="Arial"/>
        </w:rPr>
        <w:t xml:space="preserve">in </w:t>
      </w:r>
      <w:r w:rsidRPr="00816213">
        <w:rPr>
          <w:rFonts w:cs="Arial"/>
          <w:i/>
          <w:iCs/>
        </w:rPr>
        <w:t>3.3</w:t>
      </w:r>
      <w:r>
        <w:rPr>
          <w:rFonts w:cs="Arial"/>
          <w:i/>
          <w:iCs/>
        </w:rPr>
        <w:t xml:space="preserve"> </w:t>
      </w:r>
      <w:r w:rsidRPr="00816213">
        <w:rPr>
          <w:rFonts w:cs="Arial"/>
          <w:i/>
          <w:iCs/>
        </w:rPr>
        <w:t>Checking</w:t>
      </w:r>
      <w:r w:rsidRPr="0094022B">
        <w:rPr>
          <w:rFonts w:cs="Arial"/>
          <w:i/>
          <w:iCs/>
        </w:rPr>
        <w:t xml:space="preserve"> consistency with ITU registration details of the satellite network and proposed use</w:t>
      </w:r>
      <w:r>
        <w:rPr>
          <w:rFonts w:cs="Arial"/>
        </w:rPr>
        <w:t xml:space="preserve"> the ESIMs must be notified to the ITU for the network with which the ESIMs communicate and recorded in the MIFR. </w:t>
      </w:r>
    </w:p>
    <w:p w14:paraId="177C6D9C" w14:textId="77777777" w:rsidR="00B05249" w:rsidRDefault="00B05249" w:rsidP="00B05249">
      <w:pPr>
        <w:rPr>
          <w:rFonts w:cs="Arial"/>
        </w:rPr>
      </w:pPr>
      <w:r>
        <w:rPr>
          <w:rFonts w:cs="Arial"/>
        </w:rPr>
        <w:t xml:space="preserve">The ACMA will generally not issue a space </w:t>
      </w:r>
      <w:r>
        <w:t xml:space="preserve">or space receive licences </w:t>
      </w:r>
      <w:r>
        <w:rPr>
          <w:rFonts w:cs="Arial"/>
        </w:rPr>
        <w:t>authorising ESIMs unless ESIMs were notified with the ITU and recorded in the MIFR.</w:t>
      </w:r>
    </w:p>
    <w:p w14:paraId="1B85C0B5" w14:textId="77777777" w:rsidR="00B05249" w:rsidRPr="009231F7" w:rsidRDefault="00B05249" w:rsidP="00866124">
      <w:pPr>
        <w:pStyle w:val="AppL2"/>
        <w:numPr>
          <w:ilvl w:val="1"/>
          <w:numId w:val="32"/>
        </w:numPr>
      </w:pPr>
      <w:bookmarkStart w:id="285" w:name="_Toc153798014"/>
      <w:r w:rsidRPr="005F61BF">
        <w:t>Interference management requirements</w:t>
      </w:r>
      <w:bookmarkEnd w:id="285"/>
      <w:r w:rsidRPr="005F61BF">
        <w:t xml:space="preserve"> </w:t>
      </w:r>
    </w:p>
    <w:p w14:paraId="753E9AB8" w14:textId="77777777" w:rsidR="00B05249" w:rsidRDefault="00B05249" w:rsidP="00B05249">
      <w:pPr>
        <w:pStyle w:val="ListBullet"/>
        <w:numPr>
          <w:ilvl w:val="0"/>
          <w:numId w:val="1"/>
        </w:numPr>
      </w:pPr>
      <w:r>
        <w:t xml:space="preserve">When demonstrating due diligence and evidence of an engineering assessment that considers the risk and likelihood of interference to and from existing services in Australia, the procedures of </w:t>
      </w:r>
      <w:r w:rsidRPr="005B47A7">
        <w:rPr>
          <w:i/>
          <w:iCs/>
        </w:rPr>
        <w:t>Section 3.</w:t>
      </w:r>
      <w:r>
        <w:rPr>
          <w:i/>
          <w:iCs/>
        </w:rPr>
        <w:t xml:space="preserve">5 </w:t>
      </w:r>
      <w:r w:rsidRPr="005B47A7">
        <w:rPr>
          <w:i/>
          <w:iCs/>
        </w:rPr>
        <w:t xml:space="preserve">Interference management </w:t>
      </w:r>
      <w:r>
        <w:rPr>
          <w:i/>
          <w:iCs/>
        </w:rPr>
        <w:t>requirements</w:t>
      </w:r>
      <w:r w:rsidRPr="004B352E">
        <w:t xml:space="preserve"> </w:t>
      </w:r>
      <w:r>
        <w:t xml:space="preserve">should be followed. This includes requirement for further information regarding compliance with the following requirements [Note in the main having </w:t>
      </w:r>
      <w:r>
        <w:rPr>
          <w:rFonts w:cs="Arial"/>
        </w:rPr>
        <w:t xml:space="preserve">ESIMs notified with the ITU and recorded in the MIFR would meet these requirements] </w:t>
      </w:r>
      <w:r>
        <w:t>:</w:t>
      </w:r>
    </w:p>
    <w:p w14:paraId="7DC2832B" w14:textId="77777777" w:rsidR="00B05249" w:rsidRDefault="00B05249" w:rsidP="00866124">
      <w:pPr>
        <w:pStyle w:val="ListBullet"/>
        <w:numPr>
          <w:ilvl w:val="0"/>
          <w:numId w:val="17"/>
        </w:numPr>
      </w:pPr>
      <w:r>
        <w:t>the ESIM characteristics shall remain within the envelope characteristics of typical earth stations associated with the satellite network with which the ESIM communicate (Resolution 169, resolves 1.1.1).</w:t>
      </w:r>
    </w:p>
    <w:p w14:paraId="2A2F126A" w14:textId="77777777" w:rsidR="00B05249" w:rsidRDefault="00B05249" w:rsidP="00866124">
      <w:pPr>
        <w:pStyle w:val="ListBullet"/>
        <w:numPr>
          <w:ilvl w:val="0"/>
          <w:numId w:val="17"/>
        </w:numPr>
      </w:pPr>
      <w:r>
        <w:t>the use of ESIM shall not cause more interference and shall not claim more protection than for typical earth stations in this GSO FSS network (Resolution 169, resolves 1.1.2).</w:t>
      </w:r>
    </w:p>
    <w:p w14:paraId="6AE247D8" w14:textId="77777777" w:rsidR="00B05249" w:rsidRDefault="00B05249" w:rsidP="00866124">
      <w:pPr>
        <w:pStyle w:val="ListBullet"/>
        <w:numPr>
          <w:ilvl w:val="0"/>
          <w:numId w:val="17"/>
        </w:numPr>
      </w:pPr>
      <w:r>
        <w:t>the operation of ESIM complies with the coordination agreements for the frequency assignments of the typical earth station of this GSO FSS network obtained under the relevant provisions of the Radio Regulations (Resolution 169, resolves 1.1.3)</w:t>
      </w:r>
    </w:p>
    <w:p w14:paraId="05EB136C" w14:textId="77777777" w:rsidR="00B05249" w:rsidRDefault="00B05249" w:rsidP="00866124">
      <w:pPr>
        <w:pStyle w:val="ListBullet"/>
        <w:numPr>
          <w:ilvl w:val="0"/>
          <w:numId w:val="17"/>
        </w:numPr>
      </w:pPr>
      <w:r>
        <w:t>for the operation of ESIM, techniques to maintain pointing accuracy with the associated GSO FSS satellite, without inadvertently tracking adjacent GSO satellites, are employed (Resolution 169, resolves 5.1)</w:t>
      </w:r>
    </w:p>
    <w:p w14:paraId="2654C3B8" w14:textId="77777777" w:rsidR="00B05249" w:rsidRDefault="00B05249" w:rsidP="00866124">
      <w:pPr>
        <w:pStyle w:val="ListBullet"/>
        <w:numPr>
          <w:ilvl w:val="0"/>
          <w:numId w:val="17"/>
        </w:numPr>
      </w:pPr>
      <w:r>
        <w:t xml:space="preserve">ESIM are subject to permanent monitoring and control by a network control and monitoring centre (NCMC) or equivalent facility in order to comply with the provisions in Resolution </w:t>
      </w:r>
      <w:r w:rsidRPr="00E43F49">
        <w:rPr>
          <w:rFonts w:cs="Arial"/>
        </w:rPr>
        <w:t>169 (WRC-19)</w:t>
      </w:r>
      <w:r>
        <w:t>, and are capable of receiving and acting upon at least “enable transmission” and “disable transmission” commands from the NCMC or equivalent facility (Resolution 169, resolves 5.2)</w:t>
      </w:r>
    </w:p>
    <w:p w14:paraId="1CE52723" w14:textId="77777777" w:rsidR="00B05249" w:rsidRDefault="00B05249" w:rsidP="00866124">
      <w:pPr>
        <w:pStyle w:val="ListBullet"/>
        <w:numPr>
          <w:ilvl w:val="0"/>
          <w:numId w:val="17"/>
        </w:numPr>
      </w:pPr>
      <w:r w:rsidRPr="00376316">
        <w:t>ESIM shall not be used or relied upon for safety-of-life applications</w:t>
      </w:r>
      <w:r>
        <w:t xml:space="preserve"> (Resolution 169, resolves 2)</w:t>
      </w:r>
    </w:p>
    <w:p w14:paraId="1E1B3386" w14:textId="77777777" w:rsidR="00B05249" w:rsidRDefault="00B05249" w:rsidP="00B05249">
      <w:pPr>
        <w:pStyle w:val="ListBullet"/>
        <w:numPr>
          <w:ilvl w:val="0"/>
          <w:numId w:val="1"/>
        </w:numPr>
      </w:pPr>
    </w:p>
    <w:p w14:paraId="14944BF0" w14:textId="77777777" w:rsidR="00B05249" w:rsidRPr="005E0FCD" w:rsidRDefault="00B05249" w:rsidP="00866124">
      <w:pPr>
        <w:pStyle w:val="AppL2"/>
        <w:numPr>
          <w:ilvl w:val="1"/>
          <w:numId w:val="32"/>
        </w:numPr>
      </w:pPr>
      <w:bookmarkStart w:id="286" w:name="_Toc153798015"/>
      <w:r w:rsidRPr="005E0FCD">
        <w:t>Summary of additional special conditions and advisory notes applicable to Ka band ESIMs</w:t>
      </w:r>
      <w:bookmarkEnd w:id="286"/>
    </w:p>
    <w:p w14:paraId="1831E8C4" w14:textId="77777777" w:rsidR="00B05249" w:rsidRPr="006D1175" w:rsidRDefault="00B05249" w:rsidP="00B05249">
      <w:r>
        <w:t>The operation of ESIMs is subject to the conditions and notes of th</w:t>
      </w:r>
      <w:r w:rsidRPr="004E6072">
        <w:t xml:space="preserve">e </w:t>
      </w:r>
      <w:hyperlink r:id="rId61" w:history="1">
        <w:r w:rsidRPr="0032629E">
          <w:rPr>
            <w:rStyle w:val="Hyperlink"/>
          </w:rPr>
          <w:t>CSO Class Licence</w:t>
        </w:r>
      </w:hyperlink>
      <w:r>
        <w:rPr>
          <w:rFonts w:cs="Arial"/>
        </w:rPr>
        <w:t>. These include:</w:t>
      </w:r>
    </w:p>
    <w:p w14:paraId="4DBB71FB" w14:textId="77777777" w:rsidR="00B05249" w:rsidRDefault="00B05249" w:rsidP="00866124">
      <w:pPr>
        <w:pStyle w:val="ListBullet"/>
        <w:numPr>
          <w:ilvl w:val="0"/>
          <w:numId w:val="33"/>
        </w:numPr>
      </w:pPr>
      <w:r>
        <w:t xml:space="preserve">that operation of stations under the class licence is authorised </w:t>
      </w:r>
      <w:r w:rsidRPr="008851AF">
        <w:t>only when its operation does not interfere with the operation of a radiocommunications receiver</w:t>
      </w:r>
    </w:p>
    <w:p w14:paraId="2B108EAA" w14:textId="77777777" w:rsidR="00B05249" w:rsidRDefault="00B05249" w:rsidP="00866124">
      <w:pPr>
        <w:pStyle w:val="ListBulletLast"/>
        <w:numPr>
          <w:ilvl w:val="0"/>
          <w:numId w:val="33"/>
        </w:numPr>
      </w:pPr>
      <w:r>
        <w:t>e</w:t>
      </w:r>
      <w:r w:rsidRPr="00063037">
        <w:t>arth</w:t>
      </w:r>
      <w:r>
        <w:t xml:space="preserve"> station receivers authorised by the class licence</w:t>
      </w:r>
      <w:r w:rsidRPr="0013642E">
        <w:t xml:space="preserve"> will not be afforded protection from the interference caused by other radiocommunications services</w:t>
      </w:r>
      <w:r w:rsidRPr="007926A8">
        <w:t>.</w:t>
      </w:r>
    </w:p>
    <w:p w14:paraId="353DD97D" w14:textId="77777777" w:rsidR="00B05249" w:rsidRDefault="00B05249" w:rsidP="00B05249">
      <w:pPr>
        <w:pStyle w:val="ListBullet"/>
        <w:numPr>
          <w:ilvl w:val="0"/>
          <w:numId w:val="1"/>
        </w:numPr>
      </w:pPr>
      <w:r>
        <w:t xml:space="preserve">The following additional special conditions and advisory notes are to be applied to space/ space receive licences </w:t>
      </w:r>
      <w:r>
        <w:rPr>
          <w:rFonts w:cs="Arial"/>
        </w:rPr>
        <w:t xml:space="preserve">authorising the use of ESIMs communicating with geostationary </w:t>
      </w:r>
      <w:r>
        <w:t xml:space="preserve">space stations in the fixed-satellite service in the frequency ranges 17.7–19.7 GHz (space-to-Earth) </w:t>
      </w:r>
      <w:r w:rsidRPr="00722335">
        <w:t xml:space="preserve">and </w:t>
      </w:r>
      <w:r>
        <w:t xml:space="preserve">27.5–29.5 GHz </w:t>
      </w:r>
      <w:r w:rsidRPr="00102F03">
        <w:t>(E</w:t>
      </w:r>
      <w:r>
        <w:t xml:space="preserve">arth-to-space) in line with the procedures outlined above. </w:t>
      </w:r>
    </w:p>
    <w:p w14:paraId="20CD6010" w14:textId="77777777" w:rsidR="00B05249" w:rsidRDefault="00B05249" w:rsidP="00B05249"/>
    <w:tbl>
      <w:tblPr>
        <w:tblStyle w:val="TableGrid"/>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Table 2: Special conditions and advisory notes "/>
        <w:tblDescription w:val="Prior to the frequency assignments being recorded in the MIFR, this this space station and associated earth stations may operate in accordance with the operating parameters published by the ITU in Special Sections of International Frequency Information Circulars and in accordance with any agreements reached as a result of an ITU frequency coordination process.&#10;Transmissions must not occur in circumstances that result in harmful interference to stations outside of Australia, where these stations are operating in accordance with the Radio Regulations of the ITU, except where the transmissions are in accordance with any agreements reached as a result of an ITU international frequency coordination process.&#10;Radiocommunications between space stations and earth stations in motion are authorised by this licence, provided operation is in accordance with provisions of ITU Resolution 156 (WRC-15).&#10;Earth stations in motion authorised by this licence shall remain within the envelope of the coordination agreements of the satellite networks with which this earth station is associated or, in the absence of such agreements, comply with the off-axis e.i.r.p. density levels given in the Annex of ITU Resolution 156 (WRC-15).&#10;Upon receipt of a report of harmful interference with respect to any terrestrial systems operating in the countries listed in ITU Radio Regulations No. 5.542, the earth stations in motion authorised under this licence shall immediately cease transmissions or otherwise reduce the interference to an acceptable level&#10;Radiocommunications between space stations and earth stations in motion authorised under this licence shall be subject to permanent monitoring and control by a NCMC or equivalent facility, and be capable of receiving and acting upon at least ‘enable transmission’ and ‘disable transmission’ commands from the NCMC.&#10;Radiocommunications between space stations and earth stations in motion authorised under this licence shall not be used or relied upon for safety-of-life applications.&#10;No harmful interference shall be caused to radiocommunications stations operating in accordance with ITU Radio Regulations No. 5.542 from earth stations in motion authorised under this licence.&#10;The licensee shall advise the ACMA of changes to the point of contact provided for the purpose of tracing any suspected cases of interference from earth stations in motion.&#10;This space station and associated earth stations are authorised to communicate with space stations of the [satellite network name] satellite network as published by the ITU in Special Section [ITU reference—take the most recent document number] of International Frequency Information Circular [IFIC number].&#10;The MIFR is maintained by the ITU in accordance with the Radio Regulations.&#10;Coordination agreements reached as a result of an ITU international frequency coordination process are intended to minimise the potential for harmful interference to radiocommunications stations. A radiocommunications station operated prior to a frequency assignment being recorded in the MIFR cannot necessarily claim protection from harmful interference from radiocommunications stations of other countries.&#10;"/>
      </w:tblPr>
      <w:tblGrid>
        <w:gridCol w:w="1127"/>
        <w:gridCol w:w="1422"/>
        <w:gridCol w:w="836"/>
        <w:gridCol w:w="5684"/>
      </w:tblGrid>
      <w:tr w:rsidR="00B05249" w14:paraId="1A2D3F47" w14:textId="77777777" w:rsidTr="006F2BBE">
        <w:trPr>
          <w:cantSplit/>
          <w:tblHeader/>
        </w:trPr>
        <w:tc>
          <w:tcPr>
            <w:tcW w:w="1127"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57" w:type="dxa"/>
              <w:right w:w="108" w:type="dxa"/>
            </w:tcMar>
            <w:hideMark/>
          </w:tcPr>
          <w:p w14:paraId="01EAFC84" w14:textId="77777777" w:rsidR="00B05249" w:rsidRDefault="00B05249" w:rsidP="006F2BBE">
            <w:pPr>
              <w:pStyle w:val="TableHeading0"/>
              <w:keepNext/>
              <w:rPr>
                <w:color w:val="FFFFFF" w:themeColor="background1"/>
              </w:rPr>
            </w:pPr>
            <w:r>
              <w:rPr>
                <w:color w:val="FFFFFF" w:themeColor="background1"/>
              </w:rPr>
              <w:t>Category</w:t>
            </w:r>
          </w:p>
        </w:tc>
        <w:tc>
          <w:tcPr>
            <w:tcW w:w="1422"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57" w:type="dxa"/>
              <w:right w:w="108" w:type="dxa"/>
            </w:tcMar>
            <w:hideMark/>
          </w:tcPr>
          <w:p w14:paraId="2EE5F7FF" w14:textId="77777777" w:rsidR="00B05249" w:rsidRDefault="00B05249" w:rsidP="006F2BBE">
            <w:pPr>
              <w:pStyle w:val="TableHeading0"/>
              <w:keepNext/>
              <w:rPr>
                <w:color w:val="FFFFFF" w:themeColor="background1"/>
              </w:rPr>
            </w:pPr>
            <w:r>
              <w:rPr>
                <w:color w:val="FFFFFF" w:themeColor="background1"/>
              </w:rPr>
              <w:t>Type</w:t>
            </w:r>
          </w:p>
        </w:tc>
        <w:tc>
          <w:tcPr>
            <w:tcW w:w="836"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57" w:type="dxa"/>
              <w:right w:w="108" w:type="dxa"/>
            </w:tcMar>
            <w:hideMark/>
          </w:tcPr>
          <w:p w14:paraId="4767B347" w14:textId="77777777" w:rsidR="00B05249" w:rsidRDefault="00B05249" w:rsidP="006F2BBE">
            <w:pPr>
              <w:pStyle w:val="TableHeading0"/>
              <w:keepNext/>
              <w:rPr>
                <w:color w:val="FFFFFF" w:themeColor="background1"/>
              </w:rPr>
            </w:pPr>
            <w:r>
              <w:rPr>
                <w:color w:val="FFFFFF" w:themeColor="background1"/>
              </w:rPr>
              <w:t>Item</w:t>
            </w:r>
          </w:p>
        </w:tc>
        <w:tc>
          <w:tcPr>
            <w:tcW w:w="5684"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57" w:type="dxa"/>
              <w:right w:w="108" w:type="dxa"/>
            </w:tcMar>
            <w:hideMark/>
          </w:tcPr>
          <w:p w14:paraId="705579C4" w14:textId="77777777" w:rsidR="00B05249" w:rsidRDefault="00B05249" w:rsidP="006F2BBE">
            <w:pPr>
              <w:pStyle w:val="TableHeading0"/>
              <w:keepNext/>
              <w:rPr>
                <w:color w:val="FFFFFF" w:themeColor="background1"/>
              </w:rPr>
            </w:pPr>
            <w:r>
              <w:rPr>
                <w:color w:val="FFFFFF" w:themeColor="background1"/>
              </w:rPr>
              <w:t>Text</w:t>
            </w:r>
          </w:p>
        </w:tc>
      </w:tr>
      <w:tr w:rsidR="00B05249" w14:paraId="7C67695D" w14:textId="77777777" w:rsidTr="006F2BBE">
        <w:trPr>
          <w:cantSplit/>
        </w:trPr>
        <w:tc>
          <w:tcPr>
            <w:tcW w:w="1127"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14:paraId="54E14FFF" w14:textId="77777777" w:rsidR="00B05249" w:rsidRDefault="00B05249" w:rsidP="006F2BBE">
            <w:pPr>
              <w:pStyle w:val="TableBody"/>
              <w:spacing w:line="240" w:lineRule="atLeast"/>
            </w:pPr>
            <w:r>
              <w:t>Special condition</w:t>
            </w:r>
          </w:p>
        </w:tc>
        <w:tc>
          <w:tcPr>
            <w:tcW w:w="1422"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14:paraId="62C6D53B" w14:textId="77777777" w:rsidR="00B05249" w:rsidRDefault="00B05249" w:rsidP="006F2BBE">
            <w:pPr>
              <w:pStyle w:val="TableBody"/>
              <w:spacing w:line="240" w:lineRule="atLeast"/>
            </w:pPr>
            <w:r>
              <w:t xml:space="preserve">Pre-defined </w:t>
            </w:r>
          </w:p>
        </w:tc>
        <w:tc>
          <w:tcPr>
            <w:tcW w:w="836"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14:paraId="00EF3259" w14:textId="77777777" w:rsidR="00B05249" w:rsidRDefault="00B05249" w:rsidP="006F2BBE">
            <w:pPr>
              <w:pStyle w:val="TableBody"/>
              <w:spacing w:line="240" w:lineRule="atLeast"/>
            </w:pPr>
            <w:r>
              <w:t>ESIM4</w:t>
            </w:r>
          </w:p>
        </w:tc>
        <w:tc>
          <w:tcPr>
            <w:tcW w:w="5684"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14:paraId="736B21BF" w14:textId="77777777" w:rsidR="00B05249" w:rsidRDefault="00B05249" w:rsidP="006F2BBE">
            <w:pPr>
              <w:pStyle w:val="TableBody"/>
              <w:spacing w:line="240" w:lineRule="atLeast"/>
            </w:pPr>
            <w:r>
              <w:t>Radiocommunications between space stations and earth stations in motion authorised under this licence shall be subject to permanent monitoring and control by a Network Control and Monitoring Centre (NCMC) or equivalent facility and be capable of receiving and acting upon at least ‘enable transmission’ and ‘disable transmission’ commands from the NCMC.</w:t>
            </w:r>
          </w:p>
          <w:p w14:paraId="6FFA9D0A" w14:textId="77777777" w:rsidR="00B05249" w:rsidRDefault="00B05249" w:rsidP="006F2BBE">
            <w:pPr>
              <w:pStyle w:val="TableBody"/>
              <w:spacing w:line="240" w:lineRule="atLeast"/>
            </w:pPr>
          </w:p>
        </w:tc>
      </w:tr>
      <w:tr w:rsidR="00B05249" w14:paraId="7149FE6B" w14:textId="77777777" w:rsidTr="006F2BBE">
        <w:trPr>
          <w:cantSplit/>
        </w:trPr>
        <w:tc>
          <w:tcPr>
            <w:tcW w:w="1127"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264201CF" w14:textId="77777777" w:rsidR="00B05249" w:rsidRDefault="00B05249" w:rsidP="006F2BBE">
            <w:pPr>
              <w:pStyle w:val="TableBody"/>
              <w:spacing w:line="240" w:lineRule="atLeast"/>
            </w:pPr>
            <w:r>
              <w:rPr>
                <w:rFonts w:cs="Arial"/>
                <w:szCs w:val="20"/>
              </w:rPr>
              <w:t>Special condition</w:t>
            </w:r>
          </w:p>
        </w:tc>
        <w:tc>
          <w:tcPr>
            <w:tcW w:w="1422"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4D4C20C4" w14:textId="77777777" w:rsidR="00B05249" w:rsidRDefault="00B05249" w:rsidP="006F2BBE">
            <w:pPr>
              <w:pStyle w:val="TableBody"/>
              <w:spacing w:line="240" w:lineRule="atLeast"/>
            </w:pPr>
            <w:r>
              <w:rPr>
                <w:rFonts w:cs="Arial"/>
                <w:szCs w:val="20"/>
              </w:rPr>
              <w:t>Pre-defined</w:t>
            </w:r>
          </w:p>
        </w:tc>
        <w:tc>
          <w:tcPr>
            <w:tcW w:w="836"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7C91CC60" w14:textId="77777777" w:rsidR="00B05249" w:rsidRDefault="00B05249" w:rsidP="006F2BBE">
            <w:pPr>
              <w:pStyle w:val="TableBody"/>
              <w:spacing w:line="240" w:lineRule="atLeast"/>
            </w:pPr>
            <w:r>
              <w:rPr>
                <w:rFonts w:cs="Arial"/>
                <w:szCs w:val="20"/>
              </w:rPr>
              <w:t>ESIM5</w:t>
            </w:r>
          </w:p>
        </w:tc>
        <w:tc>
          <w:tcPr>
            <w:tcW w:w="5684"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005A8287" w14:textId="77777777" w:rsidR="00B05249" w:rsidRDefault="00B05249" w:rsidP="006F2BBE">
            <w:pPr>
              <w:pStyle w:val="TableBody"/>
              <w:spacing w:line="240" w:lineRule="atLeast"/>
              <w:rPr>
                <w:rFonts w:cs="Arial"/>
                <w:szCs w:val="20"/>
              </w:rPr>
            </w:pPr>
            <w:r>
              <w:rPr>
                <w:rFonts w:cs="Arial"/>
                <w:szCs w:val="20"/>
              </w:rPr>
              <w:t>Radiocommunications between space stations and earth stations in motion authorised under this licence shall not be used or relied upon for safety-of-life applications.</w:t>
            </w:r>
          </w:p>
          <w:p w14:paraId="2B4E2E11" w14:textId="77777777" w:rsidR="00B05249" w:rsidRDefault="00B05249" w:rsidP="006F2BBE">
            <w:pPr>
              <w:pStyle w:val="TableBody"/>
              <w:spacing w:line="240" w:lineRule="atLeast"/>
            </w:pPr>
          </w:p>
        </w:tc>
      </w:tr>
      <w:tr w:rsidR="00B05249" w14:paraId="00676FB8" w14:textId="77777777" w:rsidTr="006F2BBE">
        <w:trPr>
          <w:cantSplit/>
        </w:trPr>
        <w:tc>
          <w:tcPr>
            <w:tcW w:w="1127"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3EB23898" w14:textId="77777777" w:rsidR="00B05249" w:rsidRDefault="00B05249" w:rsidP="006F2BBE">
            <w:pPr>
              <w:pStyle w:val="TableBody"/>
              <w:spacing w:line="240" w:lineRule="atLeast"/>
              <w:rPr>
                <w:rFonts w:cs="Arial"/>
                <w:szCs w:val="20"/>
              </w:rPr>
            </w:pPr>
            <w:r>
              <w:rPr>
                <w:rFonts w:cs="Arial"/>
                <w:szCs w:val="20"/>
              </w:rPr>
              <w:t>Special condition</w:t>
            </w:r>
          </w:p>
        </w:tc>
        <w:tc>
          <w:tcPr>
            <w:tcW w:w="1422"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56320472" w14:textId="77777777" w:rsidR="00B05249" w:rsidRDefault="00B05249" w:rsidP="006F2BBE">
            <w:pPr>
              <w:pStyle w:val="TableBody"/>
              <w:spacing w:line="240" w:lineRule="atLeast"/>
              <w:rPr>
                <w:rFonts w:cs="Arial"/>
                <w:szCs w:val="20"/>
              </w:rPr>
            </w:pPr>
            <w:r w:rsidRPr="00E445AF">
              <w:rPr>
                <w:rFonts w:cs="Arial"/>
                <w:szCs w:val="20"/>
              </w:rPr>
              <w:t>Pre-defined</w:t>
            </w:r>
          </w:p>
        </w:tc>
        <w:tc>
          <w:tcPr>
            <w:tcW w:w="836"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57E17276" w14:textId="77777777" w:rsidR="00B05249" w:rsidRDefault="00B05249" w:rsidP="006F2BBE">
            <w:pPr>
              <w:pStyle w:val="TableBody"/>
              <w:spacing w:line="240" w:lineRule="atLeast"/>
              <w:rPr>
                <w:rFonts w:cs="Arial"/>
                <w:szCs w:val="20"/>
              </w:rPr>
            </w:pPr>
            <w:r>
              <w:rPr>
                <w:rFonts w:cs="Arial"/>
                <w:szCs w:val="20"/>
              </w:rPr>
              <w:t>ESIM7</w:t>
            </w:r>
          </w:p>
        </w:tc>
        <w:tc>
          <w:tcPr>
            <w:tcW w:w="5684"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7EF10C07" w14:textId="77777777" w:rsidR="00B05249" w:rsidRDefault="00B05249" w:rsidP="006F2BBE">
            <w:pPr>
              <w:pStyle w:val="TableBody"/>
              <w:spacing w:line="240" w:lineRule="atLeast"/>
              <w:rPr>
                <w:rFonts w:cs="Arial"/>
                <w:szCs w:val="20"/>
              </w:rPr>
            </w:pPr>
            <w:r w:rsidRPr="001D15D2">
              <w:rPr>
                <w:rFonts w:cs="Arial"/>
                <w:szCs w:val="20"/>
              </w:rPr>
              <w:t>The licensee shall advise the ACMA of changes to the point of contact provided for the purpose of tracing any suspected cases of interference from earth stations in motion.</w:t>
            </w:r>
          </w:p>
        </w:tc>
      </w:tr>
      <w:tr w:rsidR="00B05249" w14:paraId="60CECB01" w14:textId="77777777" w:rsidTr="006F2BBE">
        <w:trPr>
          <w:cantSplit/>
        </w:trPr>
        <w:tc>
          <w:tcPr>
            <w:tcW w:w="1127"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1B358D09" w14:textId="77777777" w:rsidR="00B05249" w:rsidRDefault="00B05249" w:rsidP="006F2BBE">
            <w:pPr>
              <w:pStyle w:val="TableBody"/>
              <w:spacing w:line="240" w:lineRule="atLeast"/>
              <w:rPr>
                <w:rFonts w:cs="Arial"/>
                <w:szCs w:val="20"/>
              </w:rPr>
            </w:pPr>
            <w:r>
              <w:rPr>
                <w:rFonts w:cs="Arial"/>
                <w:szCs w:val="20"/>
              </w:rPr>
              <w:t xml:space="preserve">Advisory note </w:t>
            </w:r>
          </w:p>
        </w:tc>
        <w:tc>
          <w:tcPr>
            <w:tcW w:w="1422"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707045AB" w14:textId="77777777" w:rsidR="00B05249" w:rsidRPr="00E445AF" w:rsidRDefault="00B05249" w:rsidP="006F2BBE">
            <w:pPr>
              <w:pStyle w:val="TableBody"/>
              <w:spacing w:line="240" w:lineRule="atLeast"/>
              <w:rPr>
                <w:rFonts w:cs="Arial"/>
                <w:szCs w:val="20"/>
              </w:rPr>
            </w:pPr>
            <w:r>
              <w:rPr>
                <w:rFonts w:cs="Arial"/>
                <w:szCs w:val="20"/>
              </w:rPr>
              <w:t>User defined</w:t>
            </w:r>
          </w:p>
        </w:tc>
        <w:tc>
          <w:tcPr>
            <w:tcW w:w="836"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1E2DB094" w14:textId="77777777" w:rsidR="00B05249" w:rsidRDefault="00B05249" w:rsidP="006F2BBE">
            <w:pPr>
              <w:pStyle w:val="TableBody"/>
              <w:spacing w:line="240" w:lineRule="atLeast"/>
              <w:rPr>
                <w:rFonts w:cs="Arial"/>
                <w:szCs w:val="20"/>
              </w:rPr>
            </w:pPr>
          </w:p>
        </w:tc>
        <w:tc>
          <w:tcPr>
            <w:tcW w:w="5684"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59DBD031" w14:textId="77777777" w:rsidR="00B05249" w:rsidRPr="001D15D2" w:rsidRDefault="00B05249" w:rsidP="006F2BBE">
            <w:pPr>
              <w:pStyle w:val="TableBody"/>
              <w:spacing w:line="240" w:lineRule="atLeast"/>
              <w:rPr>
                <w:rFonts w:cs="Arial"/>
                <w:szCs w:val="20"/>
              </w:rPr>
            </w:pPr>
            <w:r>
              <w:rPr>
                <w:rFonts w:cs="Arial"/>
                <w:szCs w:val="20"/>
              </w:rPr>
              <w:t xml:space="preserve">Under the provisions </w:t>
            </w:r>
            <w:r w:rsidRPr="001D15D2">
              <w:rPr>
                <w:rFonts w:cs="Arial"/>
                <w:szCs w:val="20"/>
              </w:rPr>
              <w:t xml:space="preserve">of ITU Resolution </w:t>
            </w:r>
            <w:r w:rsidRPr="00BD37C8">
              <w:rPr>
                <w:rFonts w:cs="Arial"/>
                <w:b/>
                <w:szCs w:val="20"/>
              </w:rPr>
              <w:t>1</w:t>
            </w:r>
            <w:r>
              <w:rPr>
                <w:rFonts w:cs="Arial"/>
                <w:b/>
                <w:szCs w:val="20"/>
              </w:rPr>
              <w:t>69</w:t>
            </w:r>
            <w:r w:rsidRPr="00BD37C8">
              <w:rPr>
                <w:rFonts w:cs="Arial"/>
                <w:b/>
                <w:szCs w:val="20"/>
              </w:rPr>
              <w:t xml:space="preserve"> (WRC-1</w:t>
            </w:r>
            <w:r>
              <w:rPr>
                <w:rFonts w:cs="Arial"/>
                <w:b/>
                <w:szCs w:val="20"/>
              </w:rPr>
              <w:t>9</w:t>
            </w:r>
            <w:r w:rsidRPr="00BD37C8">
              <w:rPr>
                <w:rFonts w:cs="Arial"/>
                <w:b/>
                <w:szCs w:val="20"/>
              </w:rPr>
              <w:t>)</w:t>
            </w:r>
            <w:r>
              <w:rPr>
                <w:rFonts w:cs="Arial"/>
                <w:szCs w:val="20"/>
              </w:rPr>
              <w:t xml:space="preserve"> the operation of earth stations in motion in Australia </w:t>
            </w:r>
            <w:r>
              <w:rPr>
                <w:rFonts w:cs="Arial"/>
              </w:rPr>
              <w:t xml:space="preserve">with respect to the impact on other countries is to be in accordance with the requirements of ITU </w:t>
            </w:r>
            <w:r>
              <w:t xml:space="preserve">Resolution 169 </w:t>
            </w:r>
            <w:r w:rsidRPr="00E43F49">
              <w:rPr>
                <w:rFonts w:cs="Arial"/>
              </w:rPr>
              <w:t>(WRC-19</w:t>
            </w:r>
            <w:r>
              <w:rPr>
                <w:rFonts w:cs="Arial"/>
              </w:rPr>
              <w:t>)</w:t>
            </w:r>
            <w:r>
              <w:t>.</w:t>
            </w:r>
          </w:p>
        </w:tc>
      </w:tr>
    </w:tbl>
    <w:p w14:paraId="784ED215" w14:textId="77777777" w:rsidR="00B05249" w:rsidRDefault="00B05249" w:rsidP="00B05249"/>
    <w:p w14:paraId="414FF66E" w14:textId="33AD9FDF" w:rsidR="00B37527" w:rsidRDefault="00B37527">
      <w:pPr>
        <w:spacing w:after="0" w:line="240" w:lineRule="auto"/>
      </w:pPr>
      <w:r>
        <w:br w:type="page"/>
      </w:r>
    </w:p>
    <w:p w14:paraId="38BE0AEA" w14:textId="07D8042F" w:rsidR="00B37527" w:rsidRPr="005F543A" w:rsidRDefault="00B37527" w:rsidP="00866124">
      <w:pPr>
        <w:pStyle w:val="AppL1"/>
        <w:numPr>
          <w:ilvl w:val="0"/>
          <w:numId w:val="32"/>
        </w:numPr>
        <w:rPr>
          <w:b/>
          <w:bCs w:val="0"/>
        </w:rPr>
      </w:pPr>
      <w:bookmarkStart w:id="287" w:name="_Toc153798016"/>
      <w:r w:rsidRPr="005F543A">
        <w:rPr>
          <w:b/>
          <w:bCs w:val="0"/>
        </w:rPr>
        <w:t>Additional conditions for space receive licences in frequency bands 27.5-29.5 GHz (Earth-to-space</w:t>
      </w:r>
      <w:r w:rsidR="00D026D9">
        <w:rPr>
          <w:b/>
          <w:bCs w:val="0"/>
        </w:rPr>
        <w:t>)</w:t>
      </w:r>
      <w:bookmarkEnd w:id="287"/>
    </w:p>
    <w:p w14:paraId="6DB590AA" w14:textId="77777777" w:rsidR="00B37527" w:rsidRPr="00295CB7" w:rsidRDefault="00B37527" w:rsidP="00B37527">
      <w:pPr>
        <w:pStyle w:val="Paragraph"/>
        <w:rPr>
          <w:szCs w:val="20"/>
        </w:rPr>
      </w:pPr>
      <w:r w:rsidRPr="003A3104">
        <w:t>This appendix</w:t>
      </w:r>
      <w:r>
        <w:t xml:space="preserve"> </w:t>
      </w:r>
      <w:r w:rsidRPr="00295CB7">
        <w:rPr>
          <w:szCs w:val="20"/>
        </w:rPr>
        <w:t xml:space="preserve">provides guidance on how to assess the interference potential from ubiquitous FSS earth stations transmitters into </w:t>
      </w:r>
      <w:r>
        <w:rPr>
          <w:szCs w:val="20"/>
        </w:rPr>
        <w:t xml:space="preserve">28 GHz </w:t>
      </w:r>
      <w:r w:rsidRPr="00295CB7">
        <w:rPr>
          <w:szCs w:val="20"/>
        </w:rPr>
        <w:t>grandfathered point-to-point fixed links.</w:t>
      </w:r>
    </w:p>
    <w:p w14:paraId="697BCBE8" w14:textId="77777777" w:rsidR="00B37527" w:rsidRDefault="00B37527" w:rsidP="00B37527">
      <w:r>
        <w:t xml:space="preserve">It </w:t>
      </w:r>
      <w:r w:rsidRPr="003A3104">
        <w:t xml:space="preserve">outlines </w:t>
      </w:r>
      <w:r>
        <w:t xml:space="preserve">additional conditions to </w:t>
      </w:r>
      <w:r w:rsidRPr="003A3104">
        <w:t xml:space="preserve">be applied </w:t>
      </w:r>
      <w:r>
        <w:t>to</w:t>
      </w:r>
      <w:r w:rsidRPr="003A3104">
        <w:t xml:space="preserve"> space receive licences in the frequency ranges</w:t>
      </w:r>
      <w:r>
        <w:t xml:space="preserve"> 27.5-29.5 GHz. Note that ESIM use in this band (for stations communicating with GSO networks) would also need to meet the requirements of Appendix F.</w:t>
      </w:r>
    </w:p>
    <w:p w14:paraId="4D4A70C0" w14:textId="5525EE6B" w:rsidR="00B37527" w:rsidRDefault="00B37527" w:rsidP="00B37527">
      <w:pPr>
        <w:rPr>
          <w:rFonts w:cs="Arial"/>
        </w:rPr>
      </w:pPr>
      <w:r>
        <w:rPr>
          <w:rFonts w:cs="Arial"/>
        </w:rPr>
        <w:t xml:space="preserve">ACMA planning arrangements in the 28 GHz (27.5-29.5 GHz) (illustrated in Figure 1 below) support the operation of </w:t>
      </w:r>
      <w:r>
        <w:t xml:space="preserve">ubiquitous uncoordinated fixed-satellite service (FSS) earth station deployments (referred to as ‘ubiquitous FSS’, with certain restriction to </w:t>
      </w:r>
      <w:r>
        <w:rPr>
          <w:rFonts w:cs="Arial"/>
        </w:rPr>
        <w:t>achieve co-existence with terrestrial services</w:t>
      </w:r>
      <w:r w:rsidR="00716A9D">
        <w:rPr>
          <w:rFonts w:cs="Arial"/>
        </w:rPr>
        <w:t>)</w:t>
      </w:r>
      <w:r>
        <w:rPr>
          <w:rFonts w:cs="Arial"/>
        </w:rPr>
        <w:t xml:space="preserve">. </w:t>
      </w:r>
    </w:p>
    <w:p w14:paraId="3BD45E0D" w14:textId="77777777" w:rsidR="00B37527" w:rsidRDefault="00B37527" w:rsidP="00B37527">
      <w:pPr>
        <w:rPr>
          <w:shd w:val="clear" w:color="auto" w:fill="FFFFFF"/>
        </w:rPr>
      </w:pPr>
      <w:r>
        <w:rPr>
          <w:rFonts w:cs="Arial"/>
        </w:rPr>
        <w:t xml:space="preserve">The restrictions are contained in the </w:t>
      </w:r>
      <w:hyperlink r:id="rId62" w:history="1">
        <w:r w:rsidRPr="001C6047">
          <w:rPr>
            <w:rStyle w:val="Hyperlink"/>
            <w:rFonts w:cs="Arial"/>
          </w:rPr>
          <w:t>CSO Class Licence</w:t>
        </w:r>
      </w:hyperlink>
      <w:r>
        <w:rPr>
          <w:rFonts w:cs="Arial"/>
        </w:rPr>
        <w:t>.  As noted in section 3.5.8 (</w:t>
      </w:r>
      <w:r w:rsidRPr="000516CC">
        <w:rPr>
          <w:rFonts w:cs="Arial"/>
        </w:rPr>
        <w:t>Earth station transmitters in 27.5 to 29.5 GHz band</w:t>
      </w:r>
      <w:r>
        <w:rPr>
          <w:rFonts w:cs="Arial"/>
        </w:rPr>
        <w:t>), w</w:t>
      </w:r>
      <w:r w:rsidRPr="00D22F94">
        <w:rPr>
          <w:rFonts w:cs="Arial"/>
          <w:color w:val="000000"/>
          <w:szCs w:val="20"/>
          <w:shd w:val="clear" w:color="auto" w:fill="FFFFFF"/>
        </w:rPr>
        <w:t xml:space="preserve">ritten confirmation </w:t>
      </w:r>
      <w:r>
        <w:rPr>
          <w:shd w:val="clear" w:color="auto" w:fill="FFFFFF"/>
        </w:rPr>
        <w:t>is required</w:t>
      </w:r>
      <w:r w:rsidRPr="00D22F94">
        <w:rPr>
          <w:shd w:val="clear" w:color="auto" w:fill="FFFFFF"/>
        </w:rPr>
        <w:t xml:space="preserve"> from the applicant </w:t>
      </w:r>
      <w:r>
        <w:rPr>
          <w:shd w:val="clear" w:color="auto" w:fill="FFFFFF"/>
        </w:rPr>
        <w:t xml:space="preserve">stating </w:t>
      </w:r>
      <w:r w:rsidRPr="00D22F94">
        <w:rPr>
          <w:shd w:val="clear" w:color="auto" w:fill="FFFFFF"/>
        </w:rPr>
        <w:t>that operation of earth station</w:t>
      </w:r>
      <w:r>
        <w:rPr>
          <w:shd w:val="clear" w:color="auto" w:fill="FFFFFF"/>
        </w:rPr>
        <w:t xml:space="preserve"> transmitters in the frequency range 27.5-28.3 GHz bands will comply with </w:t>
      </w:r>
      <w:hyperlink r:id="rId63" w:history="1">
        <w:r w:rsidRPr="001C6047">
          <w:rPr>
            <w:rStyle w:val="Hyperlink"/>
            <w:rFonts w:cs="Arial"/>
            <w:szCs w:val="20"/>
            <w:shd w:val="clear" w:color="auto" w:fill="FFFFFF"/>
          </w:rPr>
          <w:t>CSO Class Licence</w:t>
        </w:r>
      </w:hyperlink>
      <w:r>
        <w:rPr>
          <w:shd w:val="clear" w:color="auto" w:fill="FFFFFF"/>
        </w:rPr>
        <w:t xml:space="preserve"> requirements.</w:t>
      </w:r>
    </w:p>
    <w:p w14:paraId="5D28EC91" w14:textId="77777777" w:rsidR="00B37527" w:rsidRPr="00E162C4" w:rsidRDefault="00B37527" w:rsidP="00194E0C">
      <w:pPr>
        <w:pStyle w:val="Figureheading"/>
        <w:numPr>
          <w:ilvl w:val="0"/>
          <w:numId w:val="0"/>
        </w:numPr>
        <w:ind w:left="1021" w:hanging="1021"/>
        <w:rPr>
          <w:noProof/>
        </w:rPr>
      </w:pPr>
      <w:r>
        <w:t>Planned arrangements for the 28 GHz band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3541"/>
        <w:gridCol w:w="4120"/>
      </w:tblGrid>
      <w:tr w:rsidR="001B5C6D" w:rsidRPr="00FC5878" w14:paraId="525293E2" w14:textId="77777777" w:rsidTr="00194E0C">
        <w:tc>
          <w:tcPr>
            <w:tcW w:w="3541" w:type="dxa"/>
            <w:shd w:val="clear" w:color="auto" w:fill="D6E3BC" w:themeFill="accent3" w:themeFillTint="66"/>
          </w:tcPr>
          <w:p w14:paraId="3AD60CD2" w14:textId="77777777" w:rsidR="001B5C6D" w:rsidRPr="00FC5878" w:rsidRDefault="001B5C6D" w:rsidP="00572A02">
            <w:pPr>
              <w:pStyle w:val="ACMAFigureHeader"/>
              <w:numPr>
                <w:ilvl w:val="0"/>
                <w:numId w:val="0"/>
              </w:numPr>
              <w:spacing w:after="0"/>
              <w:jc w:val="center"/>
              <w:rPr>
                <w:b w:val="0"/>
                <w:bCs w:val="0"/>
              </w:rPr>
            </w:pPr>
            <w:r w:rsidRPr="00FC5878">
              <w:rPr>
                <w:b w:val="0"/>
                <w:bCs w:val="0"/>
              </w:rPr>
              <w:t>27.5–28.1 (600 MHz)</w:t>
            </w:r>
          </w:p>
          <w:p w14:paraId="40B6B339" w14:textId="77777777" w:rsidR="001B5C6D" w:rsidRPr="00FC5878" w:rsidRDefault="001B5C6D" w:rsidP="00572A02">
            <w:pPr>
              <w:pStyle w:val="ACMAFigureHeader"/>
              <w:numPr>
                <w:ilvl w:val="0"/>
                <w:numId w:val="0"/>
              </w:numPr>
              <w:spacing w:after="0"/>
              <w:jc w:val="center"/>
              <w:rPr>
                <w:b w:val="0"/>
                <w:bCs w:val="0"/>
              </w:rPr>
            </w:pPr>
            <w:r>
              <w:rPr>
                <w:b w:val="0"/>
                <w:bCs w:val="0"/>
              </w:rPr>
              <w:t>INSIDE</w:t>
            </w:r>
            <w:r w:rsidRPr="00FC5878">
              <w:rPr>
                <w:b w:val="0"/>
                <w:bCs w:val="0"/>
              </w:rPr>
              <w:t xml:space="preserve"> POP. CENTRES</w:t>
            </w:r>
          </w:p>
          <w:p w14:paraId="3C0670DE" w14:textId="77777777" w:rsidR="001B5C6D" w:rsidRPr="00FC5878" w:rsidRDefault="001B5C6D" w:rsidP="00572A02">
            <w:pPr>
              <w:pStyle w:val="ACMAFigureHeader"/>
              <w:numPr>
                <w:ilvl w:val="0"/>
                <w:numId w:val="0"/>
              </w:numPr>
              <w:spacing w:after="0"/>
              <w:jc w:val="center"/>
              <w:rPr>
                <w:b w:val="0"/>
                <w:bCs w:val="0"/>
              </w:rPr>
            </w:pPr>
            <w:r w:rsidRPr="00FC5878">
              <w:rPr>
                <w:b w:val="0"/>
                <w:bCs w:val="0"/>
              </w:rPr>
              <w:t>Primary: F</w:t>
            </w:r>
            <w:r>
              <w:rPr>
                <w:b w:val="0"/>
                <w:bCs w:val="0"/>
              </w:rPr>
              <w:t>WA/FSS gateway</w:t>
            </w:r>
          </w:p>
          <w:p w14:paraId="5E24C259" w14:textId="6E82AE61" w:rsidR="001B5C6D" w:rsidRPr="00FC5878" w:rsidRDefault="001B5C6D" w:rsidP="00572A02">
            <w:pPr>
              <w:pStyle w:val="ACMAFigureHeader"/>
              <w:numPr>
                <w:ilvl w:val="0"/>
                <w:numId w:val="0"/>
              </w:numPr>
              <w:spacing w:after="0"/>
              <w:jc w:val="center"/>
              <w:rPr>
                <w:b w:val="0"/>
                <w:bCs w:val="0"/>
              </w:rPr>
            </w:pPr>
            <w:r w:rsidRPr="00FC5878">
              <w:rPr>
                <w:b w:val="0"/>
                <w:bCs w:val="0"/>
              </w:rPr>
              <w:t xml:space="preserve">Secondary: </w:t>
            </w:r>
            <w:r w:rsidR="00AC3D46">
              <w:rPr>
                <w:b w:val="0"/>
                <w:bCs w:val="0"/>
              </w:rPr>
              <w:t>A-ESIM and M_ESIM only on certain conditions</w:t>
            </w:r>
          </w:p>
        </w:tc>
        <w:tc>
          <w:tcPr>
            <w:tcW w:w="4120" w:type="dxa"/>
            <w:vMerge w:val="restart"/>
            <w:shd w:val="clear" w:color="auto" w:fill="D9D9D9" w:themeFill="background1" w:themeFillShade="D9"/>
            <w:vAlign w:val="center"/>
          </w:tcPr>
          <w:p w14:paraId="4340B808" w14:textId="77777777" w:rsidR="001B5C6D" w:rsidRPr="00FC5878" w:rsidRDefault="001B5C6D" w:rsidP="00572A02">
            <w:pPr>
              <w:pStyle w:val="ACMAFigureHeader"/>
              <w:numPr>
                <w:ilvl w:val="0"/>
                <w:numId w:val="0"/>
              </w:numPr>
              <w:spacing w:after="0"/>
              <w:jc w:val="center"/>
              <w:rPr>
                <w:b w:val="0"/>
                <w:bCs w:val="0"/>
              </w:rPr>
            </w:pPr>
            <w:r w:rsidRPr="00FC5878">
              <w:rPr>
                <w:b w:val="0"/>
                <w:bCs w:val="0"/>
              </w:rPr>
              <w:t>28.1–29.5 GHz (1900 MHz)</w:t>
            </w:r>
          </w:p>
          <w:p w14:paraId="24E0F3BC" w14:textId="77777777" w:rsidR="001B5C6D" w:rsidRPr="00FC5878" w:rsidRDefault="001B5C6D" w:rsidP="00572A02">
            <w:pPr>
              <w:pStyle w:val="ACMAFigureHeader"/>
              <w:numPr>
                <w:ilvl w:val="0"/>
                <w:numId w:val="0"/>
              </w:numPr>
              <w:spacing w:after="0"/>
              <w:jc w:val="center"/>
              <w:rPr>
                <w:b w:val="0"/>
                <w:bCs w:val="0"/>
              </w:rPr>
            </w:pPr>
            <w:r w:rsidRPr="00FC5878">
              <w:rPr>
                <w:b w:val="0"/>
                <w:bCs w:val="0"/>
              </w:rPr>
              <w:t>AUSTRALIA-WIDE</w:t>
            </w:r>
          </w:p>
          <w:p w14:paraId="64F32B31" w14:textId="77777777" w:rsidR="001B5C6D" w:rsidRPr="00FC5878" w:rsidRDefault="001B5C6D" w:rsidP="00572A02">
            <w:pPr>
              <w:pStyle w:val="ACMAFigureHeader"/>
              <w:numPr>
                <w:ilvl w:val="0"/>
                <w:numId w:val="0"/>
              </w:numPr>
              <w:spacing w:after="0"/>
              <w:jc w:val="center"/>
              <w:rPr>
                <w:b w:val="0"/>
                <w:bCs w:val="0"/>
              </w:rPr>
            </w:pPr>
            <w:r w:rsidRPr="00FC5878">
              <w:rPr>
                <w:b w:val="0"/>
                <w:bCs w:val="0"/>
              </w:rPr>
              <w:t>Primary: All FSS</w:t>
            </w:r>
          </w:p>
          <w:p w14:paraId="5FCCE3F8" w14:textId="77777777" w:rsidR="001B5C6D" w:rsidRPr="00FC5878" w:rsidRDefault="001B5C6D" w:rsidP="00572A02">
            <w:pPr>
              <w:pStyle w:val="ACMAFigureHeader"/>
              <w:numPr>
                <w:ilvl w:val="0"/>
                <w:numId w:val="0"/>
              </w:numPr>
              <w:spacing w:after="0"/>
              <w:jc w:val="center"/>
              <w:rPr>
                <w:b w:val="0"/>
                <w:bCs w:val="0"/>
              </w:rPr>
            </w:pPr>
            <w:r w:rsidRPr="00FC5878">
              <w:rPr>
                <w:b w:val="0"/>
                <w:bCs w:val="0"/>
              </w:rPr>
              <w:t>Secondary: FWA</w:t>
            </w:r>
          </w:p>
        </w:tc>
      </w:tr>
      <w:tr w:rsidR="001B5C6D" w:rsidRPr="00FC5878" w14:paraId="25EC2D06" w14:textId="77777777" w:rsidTr="00194E0C">
        <w:tc>
          <w:tcPr>
            <w:tcW w:w="3541" w:type="dxa"/>
            <w:shd w:val="clear" w:color="auto" w:fill="D9D9D9" w:themeFill="background1" w:themeFillShade="D9"/>
          </w:tcPr>
          <w:p w14:paraId="4500296E" w14:textId="77777777" w:rsidR="001B5C6D" w:rsidRPr="00FC5878" w:rsidRDefault="001B5C6D" w:rsidP="00572A02">
            <w:pPr>
              <w:pStyle w:val="ACMAFigureHeader"/>
              <w:numPr>
                <w:ilvl w:val="0"/>
                <w:numId w:val="0"/>
              </w:numPr>
              <w:spacing w:after="0"/>
              <w:jc w:val="center"/>
              <w:rPr>
                <w:b w:val="0"/>
                <w:bCs w:val="0"/>
              </w:rPr>
            </w:pPr>
            <w:r w:rsidRPr="00FC5878">
              <w:rPr>
                <w:b w:val="0"/>
                <w:bCs w:val="0"/>
              </w:rPr>
              <w:t>27.5–28.1 (600 MHz)</w:t>
            </w:r>
          </w:p>
          <w:p w14:paraId="3242431E" w14:textId="77777777" w:rsidR="001B5C6D" w:rsidRPr="00FC5878" w:rsidRDefault="001B5C6D" w:rsidP="00572A02">
            <w:pPr>
              <w:pStyle w:val="ACMAFigureHeader"/>
              <w:numPr>
                <w:ilvl w:val="0"/>
                <w:numId w:val="0"/>
              </w:numPr>
              <w:spacing w:after="0"/>
              <w:jc w:val="center"/>
              <w:rPr>
                <w:b w:val="0"/>
                <w:bCs w:val="0"/>
              </w:rPr>
            </w:pPr>
            <w:r w:rsidRPr="00FC5878">
              <w:rPr>
                <w:b w:val="0"/>
                <w:bCs w:val="0"/>
              </w:rPr>
              <w:t>OUTSIDE POP. CENTRES</w:t>
            </w:r>
          </w:p>
          <w:p w14:paraId="3315ADCA" w14:textId="77777777" w:rsidR="001B5C6D" w:rsidRPr="00FC5878" w:rsidRDefault="001B5C6D" w:rsidP="00572A02">
            <w:pPr>
              <w:pStyle w:val="ACMAFigureHeader"/>
              <w:numPr>
                <w:ilvl w:val="0"/>
                <w:numId w:val="0"/>
              </w:numPr>
              <w:spacing w:after="0"/>
              <w:jc w:val="center"/>
              <w:rPr>
                <w:b w:val="0"/>
                <w:bCs w:val="0"/>
              </w:rPr>
            </w:pPr>
            <w:r w:rsidRPr="00FC5878">
              <w:rPr>
                <w:b w:val="0"/>
                <w:bCs w:val="0"/>
              </w:rPr>
              <w:t>Primary: All FSS</w:t>
            </w:r>
          </w:p>
          <w:p w14:paraId="61B8FAB1" w14:textId="77777777" w:rsidR="001B5C6D" w:rsidRPr="00FC5878" w:rsidRDefault="001B5C6D" w:rsidP="00572A02">
            <w:pPr>
              <w:pStyle w:val="ACMAFigureHeader"/>
              <w:numPr>
                <w:ilvl w:val="0"/>
                <w:numId w:val="0"/>
              </w:numPr>
              <w:spacing w:after="0"/>
              <w:jc w:val="center"/>
              <w:rPr>
                <w:b w:val="0"/>
                <w:bCs w:val="0"/>
              </w:rPr>
            </w:pPr>
            <w:r w:rsidRPr="00FC5878">
              <w:rPr>
                <w:b w:val="0"/>
                <w:bCs w:val="0"/>
              </w:rPr>
              <w:t>Secondary: FWA</w:t>
            </w:r>
          </w:p>
        </w:tc>
        <w:tc>
          <w:tcPr>
            <w:tcW w:w="4120" w:type="dxa"/>
            <w:vMerge/>
            <w:shd w:val="clear" w:color="auto" w:fill="D9D9D9" w:themeFill="background1" w:themeFillShade="D9"/>
          </w:tcPr>
          <w:p w14:paraId="1076501D" w14:textId="77777777" w:rsidR="001B5C6D" w:rsidRPr="00FC5878" w:rsidRDefault="001B5C6D" w:rsidP="00572A02">
            <w:pPr>
              <w:pStyle w:val="ACMAFigureHeader"/>
              <w:numPr>
                <w:ilvl w:val="0"/>
                <w:numId w:val="0"/>
              </w:numPr>
              <w:rPr>
                <w:b w:val="0"/>
                <w:bCs w:val="0"/>
              </w:rPr>
            </w:pPr>
          </w:p>
        </w:tc>
      </w:tr>
    </w:tbl>
    <w:p w14:paraId="010E9000" w14:textId="77777777" w:rsidR="00B37527" w:rsidRDefault="00B37527" w:rsidP="00194E0C">
      <w:pPr>
        <w:pStyle w:val="ACMAFigureHeader"/>
        <w:numPr>
          <w:ilvl w:val="0"/>
          <w:numId w:val="0"/>
        </w:numPr>
        <w:ind w:left="1021" w:hanging="1021"/>
        <w:rPr>
          <w:rFonts w:cs="Arial"/>
        </w:rPr>
      </w:pPr>
    </w:p>
    <w:p w14:paraId="26B707F9" w14:textId="77777777" w:rsidR="00B37527" w:rsidRDefault="00B37527" w:rsidP="00194E0C">
      <w:pPr>
        <w:pStyle w:val="AppL2"/>
        <w:keepNext w:val="0"/>
        <w:numPr>
          <w:ilvl w:val="1"/>
          <w:numId w:val="32"/>
        </w:numPr>
        <w:rPr>
          <w:shd w:val="clear" w:color="auto" w:fill="FFFFFF"/>
        </w:rPr>
      </w:pPr>
      <w:bookmarkStart w:id="288" w:name="_Toc153798017"/>
      <w:r>
        <w:rPr>
          <w:shd w:val="clear" w:color="auto" w:fill="FFFFFF"/>
        </w:rPr>
        <w:t>Pr</w:t>
      </w:r>
      <w:r w:rsidRPr="00453762">
        <w:rPr>
          <w:shd w:val="clear" w:color="auto" w:fill="FFFFFF"/>
        </w:rPr>
        <w:t>otection of 28 GHz grandfathered point-to-point fixed links (until 1 September 202</w:t>
      </w:r>
      <w:r>
        <w:rPr>
          <w:shd w:val="clear" w:color="auto" w:fill="FFFFFF"/>
        </w:rPr>
        <w:t>6)</w:t>
      </w:r>
      <w:bookmarkEnd w:id="288"/>
    </w:p>
    <w:p w14:paraId="56B9A93C" w14:textId="77777777" w:rsidR="00B37527" w:rsidRPr="00595256" w:rsidRDefault="00B37527" w:rsidP="00194E0C">
      <w:pPr>
        <w:pStyle w:val="Paragraph"/>
        <w:rPr>
          <w:szCs w:val="20"/>
        </w:rPr>
      </w:pPr>
      <w:r w:rsidRPr="00595256">
        <w:rPr>
          <w:szCs w:val="20"/>
        </w:rPr>
        <w:t xml:space="preserve">Under RALI FX 3, since 23 September no new assignments </w:t>
      </w:r>
      <w:r>
        <w:rPr>
          <w:szCs w:val="20"/>
        </w:rPr>
        <w:t xml:space="preserve">may </w:t>
      </w:r>
      <w:r w:rsidRPr="00595256">
        <w:rPr>
          <w:szCs w:val="20"/>
        </w:rPr>
        <w:t xml:space="preserve">be made </w:t>
      </w:r>
      <w:r>
        <w:rPr>
          <w:szCs w:val="20"/>
        </w:rPr>
        <w:t xml:space="preserve">for </w:t>
      </w:r>
      <w:r w:rsidRPr="00595256">
        <w:rPr>
          <w:szCs w:val="20"/>
        </w:rPr>
        <w:t xml:space="preserve">point-to-point fixed link in the </w:t>
      </w:r>
      <w:hyperlink r:id="rId64" w:history="1">
        <w:r w:rsidRPr="00595256">
          <w:rPr>
            <w:rStyle w:val="Hyperlink"/>
            <w:szCs w:val="20"/>
          </w:rPr>
          <w:t>28 GHz band  (2</w:t>
        </w:r>
        <w:r>
          <w:rPr>
            <w:rStyle w:val="Hyperlink"/>
            <w:szCs w:val="20"/>
          </w:rPr>
          <w:t>7.5</w:t>
        </w:r>
        <w:r w:rsidRPr="00595256">
          <w:rPr>
            <w:rStyle w:val="Hyperlink"/>
            <w:szCs w:val="20"/>
          </w:rPr>
          <w:t>-29.5 GHz</w:t>
        </w:r>
      </w:hyperlink>
      <w:r w:rsidRPr="00595256">
        <w:rPr>
          <w:szCs w:val="20"/>
        </w:rPr>
        <w:t>).   Existing assignments in the bands 28.1 - 28.5 and 29.1-29.5 have been grandfather</w:t>
      </w:r>
      <w:r>
        <w:rPr>
          <w:szCs w:val="20"/>
        </w:rPr>
        <w:t>ed</w:t>
      </w:r>
      <w:r w:rsidRPr="00595256">
        <w:rPr>
          <w:szCs w:val="20"/>
        </w:rPr>
        <w:t xml:space="preserve"> and are afforded protection until </w:t>
      </w:r>
      <w:r>
        <w:rPr>
          <w:szCs w:val="20"/>
        </w:rPr>
        <w:t>at least 23</w:t>
      </w:r>
      <w:r w:rsidRPr="00595256">
        <w:rPr>
          <w:szCs w:val="20"/>
        </w:rPr>
        <w:t xml:space="preserve"> September 2026</w:t>
      </w:r>
      <w:r>
        <w:rPr>
          <w:szCs w:val="20"/>
        </w:rPr>
        <w:t>.</w:t>
      </w:r>
    </w:p>
    <w:p w14:paraId="2B9E369B" w14:textId="77777777" w:rsidR="00B37527" w:rsidRPr="00595256" w:rsidRDefault="00B37527" w:rsidP="00321F12">
      <w:pPr>
        <w:pStyle w:val="Paragraph"/>
        <w:rPr>
          <w:szCs w:val="20"/>
        </w:rPr>
      </w:pPr>
      <w:r w:rsidRPr="00595256">
        <w:rPr>
          <w:szCs w:val="20"/>
        </w:rPr>
        <w:t xml:space="preserve">There is potential for interference to grandfathered point-to-point </w:t>
      </w:r>
      <w:r>
        <w:rPr>
          <w:szCs w:val="20"/>
        </w:rPr>
        <w:t>fixed link</w:t>
      </w:r>
      <w:r w:rsidRPr="00595256">
        <w:rPr>
          <w:szCs w:val="20"/>
        </w:rPr>
        <w:t xml:space="preserve"> assignments from ubiquitous FSS earth station transmitters. Under the CSO class licence, a station operates on the condition that it does not interfere with other radiocommunications services. This means it is </w:t>
      </w:r>
      <w:r>
        <w:rPr>
          <w:szCs w:val="20"/>
        </w:rPr>
        <w:t>the responsibility of</w:t>
      </w:r>
      <w:r w:rsidRPr="00595256">
        <w:rPr>
          <w:szCs w:val="20"/>
        </w:rPr>
        <w:t xml:space="preserve"> on FSS operators to ensure they do not cause interference to grandfathered point-to-point fixed links.</w:t>
      </w:r>
    </w:p>
    <w:p w14:paraId="6FA1A555" w14:textId="77777777" w:rsidR="00B37527" w:rsidRPr="00595256" w:rsidRDefault="00B37527" w:rsidP="00B37527">
      <w:pPr>
        <w:pStyle w:val="Paragraph"/>
        <w:rPr>
          <w:szCs w:val="20"/>
        </w:rPr>
      </w:pPr>
      <w:r w:rsidRPr="00595256">
        <w:rPr>
          <w:szCs w:val="20"/>
        </w:rPr>
        <w:t xml:space="preserve">The following guidance is provided </w:t>
      </w:r>
      <w:r>
        <w:rPr>
          <w:szCs w:val="20"/>
        </w:rPr>
        <w:t>for</w:t>
      </w:r>
      <w:r w:rsidRPr="00595256">
        <w:rPr>
          <w:szCs w:val="20"/>
        </w:rPr>
        <w:t xml:space="preserve"> prospective licensees </w:t>
      </w:r>
      <w:r>
        <w:rPr>
          <w:szCs w:val="20"/>
        </w:rPr>
        <w:t>to assess</w:t>
      </w:r>
      <w:r w:rsidRPr="00595256">
        <w:rPr>
          <w:szCs w:val="20"/>
        </w:rPr>
        <w:t xml:space="preserve"> the interference potential from ubiquitous FSS earth station transmitters into grandfathered point-to-point fixed links</w:t>
      </w:r>
      <w:r>
        <w:rPr>
          <w:szCs w:val="20"/>
        </w:rPr>
        <w:t xml:space="preserve"> (PTP)</w:t>
      </w:r>
      <w:r w:rsidRPr="00595256">
        <w:rPr>
          <w:szCs w:val="20"/>
        </w:rPr>
        <w:t>.</w:t>
      </w:r>
    </w:p>
    <w:p w14:paraId="2750A398" w14:textId="77777777" w:rsidR="00B37527" w:rsidRPr="00595256" w:rsidRDefault="00B37527" w:rsidP="00B37527">
      <w:pPr>
        <w:pStyle w:val="Paragraphbeforelist"/>
      </w:pPr>
      <w:r w:rsidRPr="00595256">
        <w:t xml:space="preserve">Ubiquitous FSS licensees should use the requirements of RALI FX3 to assess the potential for interference to PTP services. Prospective licensees will be expected to undertake such an assessment before operating. If interference occurs, licensees will be required to provide evidence of the assessment undertaken. This analysis should be undertaken for the following scenarios: </w:t>
      </w:r>
    </w:p>
    <w:p w14:paraId="5BA0BF7B" w14:textId="77777777" w:rsidR="00B37527" w:rsidRPr="00595256" w:rsidRDefault="00B37527" w:rsidP="00866124">
      <w:pPr>
        <w:pStyle w:val="ListNumber"/>
        <w:numPr>
          <w:ilvl w:val="0"/>
          <w:numId w:val="34"/>
        </w:numPr>
        <w:tabs>
          <w:tab w:val="left" w:pos="720"/>
        </w:tabs>
      </w:pPr>
      <w:r w:rsidRPr="00595256">
        <w:t>VSAT operators should consider potential interference to a PTP assignment within 50</w:t>
      </w:r>
      <w:r>
        <w:t xml:space="preserve"> </w:t>
      </w:r>
      <w:r w:rsidRPr="00595256">
        <w:t xml:space="preserve">km. </w:t>
      </w:r>
    </w:p>
    <w:p w14:paraId="40DEB38A" w14:textId="77777777" w:rsidR="00B37527" w:rsidRPr="00595256" w:rsidRDefault="00B37527" w:rsidP="00866124">
      <w:pPr>
        <w:pStyle w:val="Bulletlevel1"/>
        <w:numPr>
          <w:ilvl w:val="0"/>
          <w:numId w:val="34"/>
        </w:numPr>
      </w:pPr>
      <w:r w:rsidRPr="00595256">
        <w:t xml:space="preserve">A-ESIM operators should consider potential interference to a PTP assignment while operating in Australian airspace. </w:t>
      </w:r>
    </w:p>
    <w:p w14:paraId="3A9A9784" w14:textId="77777777" w:rsidR="00B37527" w:rsidRPr="00595256" w:rsidRDefault="00B37527" w:rsidP="00866124">
      <w:pPr>
        <w:pStyle w:val="Bulletlevel1"/>
        <w:numPr>
          <w:ilvl w:val="0"/>
          <w:numId w:val="34"/>
        </w:numPr>
      </w:pPr>
      <w:r w:rsidRPr="00595256">
        <w:t xml:space="preserve">M-ESIM operators should consider potential interference to a PTP assignment when operating within 50 km of the shore. It should be noted, there are 2 coastal areas, around Ballina (NSW) and Hobart (Tas.), where there is high potential for interference to PTP assignments. </w:t>
      </w:r>
    </w:p>
    <w:p w14:paraId="57B36962" w14:textId="77777777" w:rsidR="00B37527" w:rsidRPr="00595256" w:rsidRDefault="00B37527" w:rsidP="00866124">
      <w:pPr>
        <w:pStyle w:val="Bulletlevel1"/>
        <w:numPr>
          <w:ilvl w:val="0"/>
          <w:numId w:val="34"/>
        </w:numPr>
      </w:pPr>
      <w:r w:rsidRPr="00595256">
        <w:t>L-ESIM operators should consider potential interference to a PTP assignment within 60 km.</w:t>
      </w:r>
    </w:p>
    <w:p w14:paraId="18DECAEB" w14:textId="77777777" w:rsidR="00B37527" w:rsidRPr="00595256" w:rsidRDefault="00B37527" w:rsidP="00B37527">
      <w:pPr>
        <w:rPr>
          <w:rFonts w:cs="Arial"/>
          <w:szCs w:val="20"/>
        </w:rPr>
      </w:pPr>
      <w:r w:rsidRPr="00595256">
        <w:rPr>
          <w:rFonts w:cs="Arial"/>
          <w:szCs w:val="20"/>
        </w:rPr>
        <w:t xml:space="preserve">To assess the interreference potential an  interference criterion of -145 </w:t>
      </w:r>
      <w:proofErr w:type="spellStart"/>
      <w:r w:rsidRPr="00595256">
        <w:rPr>
          <w:rFonts w:cs="Arial"/>
          <w:szCs w:val="20"/>
        </w:rPr>
        <w:t>dBW</w:t>
      </w:r>
      <w:proofErr w:type="spellEnd"/>
      <w:r w:rsidRPr="00595256">
        <w:rPr>
          <w:rFonts w:cs="Arial"/>
          <w:szCs w:val="20"/>
        </w:rPr>
        <w:t xml:space="preserve">/MHz  can be used as a simplified (but conservative) alternative to calculating to unwanted ratios as set out in </w:t>
      </w:r>
      <w:r>
        <w:rPr>
          <w:rFonts w:cs="Arial"/>
          <w:szCs w:val="20"/>
        </w:rPr>
        <w:t xml:space="preserve">RALI </w:t>
      </w:r>
      <w:r w:rsidRPr="00595256">
        <w:rPr>
          <w:rFonts w:cs="Arial"/>
          <w:szCs w:val="20"/>
        </w:rPr>
        <w:t xml:space="preserve">FX 3.  In all cases the individual station characteristics as recorded on the </w:t>
      </w:r>
      <w:r w:rsidRPr="00BF5AAF">
        <w:rPr>
          <w:rFonts w:cs="Arial"/>
          <w:szCs w:val="20"/>
        </w:rPr>
        <w:t xml:space="preserve">Register of Radiocommunication Licences </w:t>
      </w:r>
      <w:r w:rsidRPr="00595256">
        <w:rPr>
          <w:rFonts w:cs="Arial"/>
          <w:szCs w:val="20"/>
        </w:rPr>
        <w:t>should</w:t>
      </w:r>
      <w:r>
        <w:rPr>
          <w:rFonts w:cs="Arial"/>
          <w:szCs w:val="20"/>
        </w:rPr>
        <w:t xml:space="preserve"> be</w:t>
      </w:r>
      <w:r w:rsidRPr="00595256">
        <w:rPr>
          <w:rFonts w:cs="Arial"/>
          <w:szCs w:val="20"/>
        </w:rPr>
        <w:t xml:space="preserve"> used. </w:t>
      </w:r>
    </w:p>
    <w:p w14:paraId="361B4594" w14:textId="77777777" w:rsidR="00B37527" w:rsidRDefault="00B37527" w:rsidP="00B37527">
      <w:pPr>
        <w:pStyle w:val="ACMAFigureHeader"/>
        <w:keepNext/>
        <w:numPr>
          <w:ilvl w:val="0"/>
          <w:numId w:val="0"/>
        </w:numPr>
        <w:ind w:left="1021" w:hanging="1021"/>
        <w:rPr>
          <w:rFonts w:cs="Arial"/>
        </w:rPr>
      </w:pPr>
    </w:p>
    <w:p w14:paraId="4F491F0C" w14:textId="77777777" w:rsidR="00B37527" w:rsidRPr="00F41BB6" w:rsidRDefault="00B37527" w:rsidP="00866124">
      <w:pPr>
        <w:pStyle w:val="AppL2"/>
        <w:numPr>
          <w:ilvl w:val="1"/>
          <w:numId w:val="32"/>
        </w:numPr>
      </w:pPr>
      <w:bookmarkStart w:id="289" w:name="_Toc153798018"/>
      <w:r>
        <w:t>CSO Class Licence conditions</w:t>
      </w:r>
      <w:bookmarkEnd w:id="289"/>
    </w:p>
    <w:p w14:paraId="4338F8DC" w14:textId="77777777" w:rsidR="00B37527" w:rsidRDefault="00B37527" w:rsidP="00B37527">
      <w:pPr>
        <w:spacing w:after="0" w:line="240" w:lineRule="auto"/>
        <w:textAlignment w:val="baseline"/>
        <w:rPr>
          <w:rFonts w:cs="Arial"/>
          <w:szCs w:val="20"/>
          <w:highlight w:val="yellow"/>
        </w:rPr>
      </w:pPr>
    </w:p>
    <w:p w14:paraId="7BAFE02B" w14:textId="77777777" w:rsidR="00B37527" w:rsidRPr="006625A0" w:rsidRDefault="00B37527" w:rsidP="00B37527">
      <w:r>
        <w:t xml:space="preserve">Relevant </w:t>
      </w:r>
      <w:r w:rsidRPr="008C3901">
        <w:t xml:space="preserve">CSO Class licence (refer to </w:t>
      </w:r>
      <w:r w:rsidRPr="00D1376B">
        <w:t xml:space="preserve">section </w:t>
      </w:r>
      <w:r w:rsidRPr="006625A0">
        <w:t>8 of the class licence,</w:t>
      </w:r>
      <w:r>
        <w:t>) conditions are:</w:t>
      </w:r>
    </w:p>
    <w:p w14:paraId="2537C011" w14:textId="77777777" w:rsidR="00B37527" w:rsidRPr="00A05842" w:rsidRDefault="00B37527" w:rsidP="00B37527">
      <w:pPr>
        <w:shd w:val="clear" w:color="auto" w:fill="FFFFFF"/>
        <w:spacing w:before="360" w:after="0" w:line="240" w:lineRule="auto"/>
        <w:ind w:left="964" w:hanging="964"/>
        <w:rPr>
          <w:rFonts w:cs="Arial"/>
          <w:b/>
          <w:bCs/>
          <w:color w:val="000000"/>
          <w:sz w:val="24"/>
        </w:rPr>
      </w:pPr>
      <w:r w:rsidRPr="00A05842">
        <w:rPr>
          <w:rFonts w:cs="Arial"/>
          <w:b/>
          <w:bCs/>
          <w:color w:val="000000"/>
          <w:sz w:val="24"/>
        </w:rPr>
        <w:t>8              Interference with other stations</w:t>
      </w:r>
    </w:p>
    <w:p w14:paraId="66D01C1F" w14:textId="77777777" w:rsidR="00B37527" w:rsidRPr="00A05842" w:rsidRDefault="00B37527" w:rsidP="00B37527">
      <w:pPr>
        <w:shd w:val="clear" w:color="auto" w:fill="FFFFFF"/>
        <w:spacing w:before="120" w:after="0" w:line="260" w:lineRule="atLeast"/>
        <w:ind w:left="964" w:hanging="397"/>
        <w:jc w:val="both"/>
        <w:rPr>
          <w:rFonts w:ascii="Times New Roman" w:hAnsi="Times New Roman"/>
          <w:color w:val="000000"/>
          <w:sz w:val="24"/>
        </w:rPr>
      </w:pPr>
      <w:r w:rsidRPr="00A05842">
        <w:rPr>
          <w:rFonts w:ascii="Times New Roman" w:hAnsi="Times New Roman"/>
          <w:color w:val="000000"/>
          <w:sz w:val="24"/>
        </w:rPr>
        <w:t>(1)  This class licence authorises operation of a station only when its operation does not interfere with the operation of a radiocommunications receiver.</w:t>
      </w:r>
    </w:p>
    <w:p w14:paraId="58D3CA32" w14:textId="77777777" w:rsidR="00B37527" w:rsidRPr="00A05842" w:rsidRDefault="00B37527" w:rsidP="00B37527">
      <w:pPr>
        <w:shd w:val="clear" w:color="auto" w:fill="FFFFFF"/>
        <w:spacing w:before="180" w:after="0" w:line="260" w:lineRule="atLeast"/>
        <w:ind w:left="993" w:hanging="567"/>
        <w:rPr>
          <w:rFonts w:ascii="Calibri" w:hAnsi="Calibri" w:cs="Calibri"/>
          <w:color w:val="000000"/>
          <w:sz w:val="22"/>
          <w:szCs w:val="22"/>
        </w:rPr>
      </w:pPr>
      <w:r w:rsidRPr="00A05842">
        <w:rPr>
          <w:rFonts w:ascii="Times New Roman" w:hAnsi="Times New Roman"/>
          <w:color w:val="000000"/>
          <w:sz w:val="24"/>
        </w:rPr>
        <w:t>(1A)  For the purposes of subsection (1), the operation of a station authorised by this class licence is taken to not interfere with the operation of an area-wide receive station that is:</w:t>
      </w:r>
    </w:p>
    <w:p w14:paraId="5000C072" w14:textId="77777777" w:rsidR="00B37527" w:rsidRPr="00A05842" w:rsidRDefault="00B37527" w:rsidP="00B37527">
      <w:pPr>
        <w:shd w:val="clear" w:color="auto" w:fill="FFFFFF"/>
        <w:spacing w:before="40" w:after="0" w:line="260" w:lineRule="atLeast"/>
        <w:ind w:left="1418" w:hanging="425"/>
        <w:rPr>
          <w:rFonts w:ascii="Calibri" w:hAnsi="Calibri" w:cs="Calibri"/>
          <w:color w:val="000000"/>
          <w:sz w:val="22"/>
          <w:szCs w:val="22"/>
        </w:rPr>
      </w:pPr>
      <w:r w:rsidRPr="00A05842">
        <w:rPr>
          <w:rFonts w:ascii="Times New Roman" w:hAnsi="Times New Roman"/>
          <w:color w:val="000000"/>
          <w:sz w:val="24"/>
        </w:rPr>
        <w:t>(a)   operating under an area-wide receive licence in the frequency range of 27.5 to 28.1 GHz that is located outside a 26 GHz band spectrum licence area; or</w:t>
      </w:r>
    </w:p>
    <w:p w14:paraId="47E3BEEA" w14:textId="77777777" w:rsidR="00B37527" w:rsidRPr="00A05842" w:rsidRDefault="00B37527" w:rsidP="00B37527">
      <w:pPr>
        <w:shd w:val="clear" w:color="auto" w:fill="FFFFFF"/>
        <w:spacing w:before="40" w:after="0" w:line="260" w:lineRule="atLeast"/>
        <w:ind w:left="1418" w:hanging="425"/>
        <w:rPr>
          <w:rFonts w:ascii="Calibri" w:hAnsi="Calibri" w:cs="Calibri"/>
          <w:color w:val="000000"/>
          <w:sz w:val="22"/>
          <w:szCs w:val="22"/>
        </w:rPr>
      </w:pPr>
      <w:r w:rsidRPr="00A05842">
        <w:rPr>
          <w:rFonts w:ascii="Times New Roman" w:hAnsi="Times New Roman"/>
          <w:color w:val="000000"/>
          <w:sz w:val="24"/>
        </w:rPr>
        <w:t>(b)   operating under an area-wide receive licence in the frequency range of 28.1 to 29.5 GHz.</w:t>
      </w:r>
    </w:p>
    <w:p w14:paraId="071FE743" w14:textId="77777777" w:rsidR="00B37527" w:rsidRPr="00A05842" w:rsidRDefault="00B37527" w:rsidP="00B37527">
      <w:pPr>
        <w:shd w:val="clear" w:color="auto" w:fill="FFFFFF"/>
        <w:spacing w:before="120" w:after="0" w:line="260" w:lineRule="atLeast"/>
        <w:ind w:left="992" w:hanging="425"/>
        <w:jc w:val="both"/>
        <w:rPr>
          <w:rFonts w:ascii="Times New Roman" w:hAnsi="Times New Roman"/>
          <w:color w:val="000000"/>
          <w:sz w:val="24"/>
        </w:rPr>
      </w:pPr>
      <w:r>
        <w:rPr>
          <w:rFonts w:ascii="Times New Roman" w:hAnsi="Times New Roman"/>
          <w:color w:val="000000"/>
          <w:sz w:val="24"/>
        </w:rPr>
        <w:t>…</w:t>
      </w:r>
    </w:p>
    <w:p w14:paraId="6DF7970E" w14:textId="77777777" w:rsidR="00B37527" w:rsidRPr="00A05842" w:rsidRDefault="00B37527" w:rsidP="00B37527">
      <w:pPr>
        <w:shd w:val="clear" w:color="auto" w:fill="FFFFFF"/>
        <w:spacing w:before="180" w:after="0" w:line="260" w:lineRule="atLeast"/>
        <w:ind w:left="993" w:hanging="426"/>
        <w:rPr>
          <w:rFonts w:ascii="Calibri" w:hAnsi="Calibri" w:cs="Calibri"/>
          <w:color w:val="000000"/>
          <w:sz w:val="22"/>
          <w:szCs w:val="22"/>
        </w:rPr>
      </w:pPr>
      <w:r w:rsidRPr="00A05842">
        <w:rPr>
          <w:rFonts w:ascii="Times New Roman" w:hAnsi="Times New Roman"/>
          <w:color w:val="000000"/>
          <w:sz w:val="24"/>
        </w:rPr>
        <w:t>(6)   This class licence authorises the operation of a station in the frequency range of 27.5 to 28.3 GHz on land only if the radiocommunications transmitter of the station:</w:t>
      </w:r>
    </w:p>
    <w:p w14:paraId="4E6AEA3F" w14:textId="77777777" w:rsidR="00B37527" w:rsidRPr="00A05842" w:rsidRDefault="00B37527" w:rsidP="00B37527">
      <w:pPr>
        <w:shd w:val="clear" w:color="auto" w:fill="FFFFFF"/>
        <w:spacing w:before="40" w:after="0" w:line="260" w:lineRule="atLeast"/>
        <w:ind w:left="1418" w:hanging="425"/>
        <w:rPr>
          <w:rFonts w:ascii="Calibri" w:hAnsi="Calibri" w:cs="Calibri"/>
          <w:color w:val="000000"/>
          <w:sz w:val="22"/>
          <w:szCs w:val="22"/>
        </w:rPr>
      </w:pPr>
      <w:r w:rsidRPr="00A05842">
        <w:rPr>
          <w:rFonts w:ascii="Times New Roman" w:hAnsi="Times New Roman"/>
          <w:color w:val="000000"/>
          <w:sz w:val="24"/>
        </w:rPr>
        <w:t>(a)   is not operated in the frequency range of 27.5 to 28.1 GHz in a 26 GHz band spectrum licence area; and</w:t>
      </w:r>
    </w:p>
    <w:p w14:paraId="76A95DF5" w14:textId="77777777" w:rsidR="00B37527" w:rsidRPr="00A05842" w:rsidRDefault="00B37527" w:rsidP="00B37527">
      <w:pPr>
        <w:shd w:val="clear" w:color="auto" w:fill="FFFFFF"/>
        <w:spacing w:before="40" w:after="0" w:line="260" w:lineRule="atLeast"/>
        <w:ind w:left="1418" w:hanging="425"/>
        <w:rPr>
          <w:rFonts w:ascii="Calibri" w:hAnsi="Calibri" w:cs="Calibri"/>
          <w:color w:val="000000"/>
          <w:sz w:val="22"/>
          <w:szCs w:val="22"/>
        </w:rPr>
      </w:pPr>
      <w:r w:rsidRPr="00A05842">
        <w:rPr>
          <w:rFonts w:ascii="Times New Roman" w:hAnsi="Times New Roman"/>
          <w:color w:val="000000"/>
          <w:sz w:val="24"/>
        </w:rPr>
        <w:t>(b)   when operated in the frequency range of 28.1 to 28.3 GHz in a 26 GHz band spectrum licence area, is not operated within the greater of:</w:t>
      </w:r>
    </w:p>
    <w:p w14:paraId="5A866F7F" w14:textId="77777777" w:rsidR="00B37527" w:rsidRPr="00A05842" w:rsidRDefault="00B37527" w:rsidP="00B37527">
      <w:pPr>
        <w:shd w:val="clear" w:color="auto" w:fill="FFFFFF"/>
        <w:spacing w:before="40" w:after="0" w:line="260" w:lineRule="atLeast"/>
        <w:ind w:left="1843" w:hanging="425"/>
        <w:rPr>
          <w:rFonts w:ascii="Calibri" w:hAnsi="Calibri" w:cs="Calibri"/>
          <w:color w:val="000000"/>
          <w:sz w:val="22"/>
          <w:szCs w:val="22"/>
        </w:rPr>
      </w:pPr>
      <w:r w:rsidRPr="00A05842">
        <w:rPr>
          <w:rFonts w:ascii="Times New Roman" w:hAnsi="Times New Roman"/>
          <w:color w:val="000000"/>
          <w:sz w:val="24"/>
        </w:rPr>
        <w:t>(i)</w:t>
      </w:r>
      <w:r w:rsidRPr="00A05842">
        <w:rPr>
          <w:rFonts w:ascii="Times New Roman" w:hAnsi="Times New Roman"/>
          <w:color w:val="000000"/>
          <w:sz w:val="14"/>
          <w:szCs w:val="14"/>
        </w:rPr>
        <w:t>       </w:t>
      </w:r>
      <w:r w:rsidRPr="00A05842">
        <w:rPr>
          <w:rFonts w:ascii="Times New Roman" w:hAnsi="Times New Roman"/>
          <w:color w:val="000000"/>
          <w:sz w:val="24"/>
        </w:rPr>
        <w:t>50 MHz above 28.1 GHz; or</w:t>
      </w:r>
    </w:p>
    <w:p w14:paraId="72703FC3" w14:textId="77777777" w:rsidR="00B37527" w:rsidRPr="00A05842" w:rsidRDefault="00B37527" w:rsidP="00B37527">
      <w:pPr>
        <w:shd w:val="clear" w:color="auto" w:fill="FFFFFF"/>
        <w:spacing w:before="40" w:after="0" w:line="260" w:lineRule="atLeast"/>
        <w:ind w:left="1843" w:hanging="425"/>
        <w:rPr>
          <w:rFonts w:ascii="Calibri" w:hAnsi="Calibri" w:cs="Calibri"/>
          <w:color w:val="000000"/>
          <w:sz w:val="22"/>
          <w:szCs w:val="22"/>
        </w:rPr>
      </w:pPr>
      <w:r w:rsidRPr="00A05842">
        <w:rPr>
          <w:rFonts w:ascii="Times New Roman" w:hAnsi="Times New Roman"/>
          <w:color w:val="000000"/>
          <w:sz w:val="24"/>
        </w:rPr>
        <w:t>(ii)</w:t>
      </w:r>
      <w:r w:rsidRPr="00A05842">
        <w:rPr>
          <w:rFonts w:ascii="Times New Roman" w:hAnsi="Times New Roman"/>
          <w:color w:val="000000"/>
          <w:sz w:val="14"/>
          <w:szCs w:val="14"/>
        </w:rPr>
        <w:t>     </w:t>
      </w:r>
      <w:r w:rsidRPr="00A05842">
        <w:rPr>
          <w:rFonts w:ascii="Times New Roman" w:hAnsi="Times New Roman"/>
          <w:color w:val="000000"/>
          <w:sz w:val="24"/>
        </w:rPr>
        <w:t>twice the occupied bandwidth of the radiocommunications transmitter above 28.1 GHz; and</w:t>
      </w:r>
    </w:p>
    <w:p w14:paraId="574B19DE" w14:textId="77777777" w:rsidR="00B37527" w:rsidRPr="00A05842" w:rsidRDefault="00B37527" w:rsidP="00B37527">
      <w:pPr>
        <w:shd w:val="clear" w:color="auto" w:fill="FFFFFF"/>
        <w:spacing w:before="40" w:after="0" w:line="260" w:lineRule="atLeast"/>
        <w:ind w:left="1418" w:hanging="425"/>
        <w:rPr>
          <w:rFonts w:ascii="Calibri" w:hAnsi="Calibri" w:cs="Calibri"/>
          <w:color w:val="000000"/>
          <w:sz w:val="22"/>
          <w:szCs w:val="22"/>
        </w:rPr>
      </w:pPr>
      <w:r w:rsidRPr="00A05842">
        <w:rPr>
          <w:rFonts w:ascii="Times New Roman" w:hAnsi="Times New Roman"/>
          <w:color w:val="000000"/>
          <w:sz w:val="24"/>
        </w:rPr>
        <w:t xml:space="preserve">(c)   when operated in the frequency range of 27.5 to 28.1 GHz outside a 26 GHz band spectrum licence area, the emissions of the radiocommunications transmitter do not exceed a maximum EIRP to the horizon of -17.8 </w:t>
      </w:r>
      <w:proofErr w:type="spellStart"/>
      <w:r w:rsidRPr="00A05842">
        <w:rPr>
          <w:rFonts w:ascii="Times New Roman" w:hAnsi="Times New Roman"/>
          <w:color w:val="000000"/>
          <w:sz w:val="24"/>
        </w:rPr>
        <w:t>dBW</w:t>
      </w:r>
      <w:proofErr w:type="spellEnd"/>
      <w:r w:rsidRPr="00A05842">
        <w:rPr>
          <w:rFonts w:ascii="Times New Roman" w:hAnsi="Times New Roman"/>
          <w:color w:val="000000"/>
          <w:sz w:val="24"/>
        </w:rPr>
        <w:t xml:space="preserve"> in a 1 MHz bandwidth within 30 kilometres of a 26 GHz band spectrum licence area; and</w:t>
      </w:r>
    </w:p>
    <w:p w14:paraId="772C4791" w14:textId="77777777" w:rsidR="00B37527" w:rsidRPr="00A05842" w:rsidRDefault="00B37527" w:rsidP="00B37527">
      <w:pPr>
        <w:shd w:val="clear" w:color="auto" w:fill="FFFFFF"/>
        <w:spacing w:before="40" w:after="0" w:line="260" w:lineRule="atLeast"/>
        <w:ind w:left="1418" w:hanging="425"/>
        <w:rPr>
          <w:rFonts w:ascii="Calibri" w:hAnsi="Calibri" w:cs="Calibri"/>
          <w:color w:val="000000"/>
          <w:sz w:val="22"/>
          <w:szCs w:val="22"/>
        </w:rPr>
      </w:pPr>
      <w:r w:rsidRPr="00A05842">
        <w:rPr>
          <w:rFonts w:ascii="Times New Roman" w:hAnsi="Times New Roman"/>
          <w:color w:val="000000"/>
          <w:sz w:val="24"/>
        </w:rPr>
        <w:t>(d)   when operated in the frequency range of 27.5 to 27.7 GHz outside a 26 GHz band spectrum licence area, is not operated within the greater of:</w:t>
      </w:r>
    </w:p>
    <w:p w14:paraId="78C2716B" w14:textId="77777777" w:rsidR="00B37527" w:rsidRPr="00A05842" w:rsidRDefault="00B37527" w:rsidP="00B37527">
      <w:pPr>
        <w:shd w:val="clear" w:color="auto" w:fill="FFFFFF"/>
        <w:spacing w:before="40" w:after="0" w:line="260" w:lineRule="atLeast"/>
        <w:ind w:left="1843" w:hanging="425"/>
        <w:rPr>
          <w:rFonts w:ascii="Calibri" w:hAnsi="Calibri" w:cs="Calibri"/>
          <w:color w:val="000000"/>
          <w:sz w:val="22"/>
          <w:szCs w:val="22"/>
        </w:rPr>
      </w:pPr>
      <w:r w:rsidRPr="00A05842">
        <w:rPr>
          <w:rFonts w:ascii="Times New Roman" w:hAnsi="Times New Roman"/>
          <w:color w:val="000000"/>
          <w:sz w:val="24"/>
        </w:rPr>
        <w:t>(i)</w:t>
      </w:r>
      <w:r w:rsidRPr="00A05842">
        <w:rPr>
          <w:rFonts w:ascii="Times New Roman" w:hAnsi="Times New Roman"/>
          <w:color w:val="000000"/>
          <w:sz w:val="14"/>
          <w:szCs w:val="14"/>
        </w:rPr>
        <w:t>       </w:t>
      </w:r>
      <w:r w:rsidRPr="00A05842">
        <w:rPr>
          <w:rFonts w:ascii="Times New Roman" w:hAnsi="Times New Roman"/>
          <w:color w:val="000000"/>
          <w:sz w:val="24"/>
        </w:rPr>
        <w:t>50 MHz above 27.5 GHz; or</w:t>
      </w:r>
    </w:p>
    <w:p w14:paraId="56861DDD" w14:textId="77777777" w:rsidR="00B37527" w:rsidRPr="00A05842" w:rsidRDefault="00B37527" w:rsidP="00B37527">
      <w:pPr>
        <w:shd w:val="clear" w:color="auto" w:fill="FFFFFF"/>
        <w:spacing w:before="40" w:after="0" w:line="260" w:lineRule="atLeast"/>
        <w:ind w:left="1843" w:hanging="425"/>
        <w:rPr>
          <w:rFonts w:ascii="Calibri" w:hAnsi="Calibri" w:cs="Calibri"/>
          <w:color w:val="000000"/>
          <w:sz w:val="22"/>
          <w:szCs w:val="22"/>
        </w:rPr>
      </w:pPr>
      <w:r w:rsidRPr="00A05842">
        <w:rPr>
          <w:rFonts w:ascii="Times New Roman" w:hAnsi="Times New Roman"/>
          <w:color w:val="000000"/>
          <w:sz w:val="24"/>
        </w:rPr>
        <w:t>(ii)</w:t>
      </w:r>
      <w:r w:rsidRPr="00A05842">
        <w:rPr>
          <w:rFonts w:ascii="Times New Roman" w:hAnsi="Times New Roman"/>
          <w:color w:val="000000"/>
          <w:sz w:val="14"/>
          <w:szCs w:val="14"/>
        </w:rPr>
        <w:t>     </w:t>
      </w:r>
      <w:r w:rsidRPr="00A05842">
        <w:rPr>
          <w:rFonts w:ascii="Times New Roman" w:hAnsi="Times New Roman"/>
          <w:color w:val="000000"/>
          <w:sz w:val="24"/>
        </w:rPr>
        <w:t>twice the occupied bandwidth of the radiocommunications transmitter above 27.5 GHz.</w:t>
      </w:r>
    </w:p>
    <w:p w14:paraId="72349B32" w14:textId="77777777" w:rsidR="00B37527" w:rsidRPr="00A05842" w:rsidRDefault="00B37527" w:rsidP="00B37527">
      <w:pPr>
        <w:shd w:val="clear" w:color="auto" w:fill="FFFFFF"/>
        <w:spacing w:before="180" w:after="0" w:line="260" w:lineRule="atLeast"/>
        <w:ind w:left="993" w:hanging="426"/>
        <w:rPr>
          <w:rFonts w:ascii="Calibri" w:hAnsi="Calibri" w:cs="Calibri"/>
          <w:color w:val="000000"/>
          <w:sz w:val="22"/>
          <w:szCs w:val="22"/>
        </w:rPr>
      </w:pPr>
      <w:r w:rsidRPr="00A05842">
        <w:rPr>
          <w:rFonts w:ascii="Times New Roman" w:hAnsi="Times New Roman"/>
          <w:color w:val="000000"/>
          <w:sz w:val="24"/>
        </w:rPr>
        <w:t>(7)   This class licence authorises the operation of a station in the frequency range of 27.5 to 28.3 GHz on board an aircraft that is in the air only if the radiocommunications transmitter of the station does not exceed the maximum power flux density limits specified in clause 3.1 of Part II: Aeronautical ESIMs of Annex 3 to ITU-R Resolution 169 (WRC-19) for any emissions that fall in the frequency range of 27.5 to 28.1 GHz in a 26 GHz band spectrum licence area.</w:t>
      </w:r>
    </w:p>
    <w:p w14:paraId="6732CD4A" w14:textId="77777777" w:rsidR="00B37527" w:rsidRPr="00A05842" w:rsidRDefault="00B37527" w:rsidP="00B37527">
      <w:pPr>
        <w:shd w:val="clear" w:color="auto" w:fill="FFFFFF"/>
        <w:spacing w:before="180" w:after="0" w:line="260" w:lineRule="atLeast"/>
        <w:ind w:left="993" w:hanging="426"/>
        <w:rPr>
          <w:rFonts w:ascii="Calibri" w:hAnsi="Calibri" w:cs="Calibri"/>
          <w:color w:val="000000"/>
          <w:sz w:val="22"/>
          <w:szCs w:val="22"/>
        </w:rPr>
      </w:pPr>
      <w:r w:rsidRPr="00A05842">
        <w:rPr>
          <w:rFonts w:ascii="Times New Roman" w:hAnsi="Times New Roman"/>
          <w:color w:val="000000"/>
          <w:sz w:val="24"/>
        </w:rPr>
        <w:t>(8)   This class licence authorises the operation of a station in the frequency range of 27.5 to 28.3 GHz on board a ship only if the radiocommunications transmitter of the station does not exceed a power flux density on the shore of -112.2 </w:t>
      </w:r>
      <w:proofErr w:type="spellStart"/>
      <w:r w:rsidRPr="00A05842">
        <w:rPr>
          <w:rFonts w:ascii="Times New Roman" w:hAnsi="Times New Roman"/>
          <w:color w:val="000000"/>
          <w:sz w:val="24"/>
        </w:rPr>
        <w:t>dBW</w:t>
      </w:r>
      <w:proofErr w:type="spellEnd"/>
      <w:r w:rsidRPr="00A05842">
        <w:rPr>
          <w:rFonts w:ascii="Times New Roman" w:hAnsi="Times New Roman"/>
          <w:color w:val="000000"/>
          <w:sz w:val="24"/>
        </w:rPr>
        <w:t xml:space="preserve"> per square metre for each MHz at a height of 30 metres above ground level for any emissions that fall in the frequency range of 27.5 to 28.1 GHz in a 26 GHz band spectrum licence area.</w:t>
      </w:r>
    </w:p>
    <w:p w14:paraId="7F378787" w14:textId="77777777" w:rsidR="00B37527" w:rsidRDefault="00B37527" w:rsidP="00B37527"/>
    <w:p w14:paraId="10573205" w14:textId="77777777" w:rsidR="00B37527" w:rsidRPr="00C62BD4" w:rsidRDefault="00B37527" w:rsidP="00866124">
      <w:pPr>
        <w:pStyle w:val="AppL2"/>
        <w:numPr>
          <w:ilvl w:val="1"/>
          <w:numId w:val="32"/>
        </w:numPr>
      </w:pPr>
      <w:bookmarkStart w:id="290" w:name="_Toc153798019"/>
      <w:r>
        <w:t>Special c</w:t>
      </w:r>
      <w:r w:rsidRPr="006F4970">
        <w:t xml:space="preserve">onditions </w:t>
      </w:r>
      <w:r w:rsidRPr="006F4970" w:rsidDel="00061E79">
        <w:t xml:space="preserve">and advisory notes </w:t>
      </w:r>
      <w:r w:rsidRPr="006F4970">
        <w:t>(space receive)</w:t>
      </w:r>
      <w:bookmarkEnd w:id="290"/>
    </w:p>
    <w:p w14:paraId="7C26938C" w14:textId="77777777" w:rsidR="00B37527" w:rsidRPr="00C62BD4" w:rsidDel="00061E79" w:rsidRDefault="00B37527" w:rsidP="00B37527">
      <w:pPr>
        <w:rPr>
          <w:b/>
          <w:bCs/>
        </w:rPr>
      </w:pPr>
      <w:r w:rsidRPr="00C62BD4" w:rsidDel="00061E79">
        <w:rPr>
          <w:b/>
          <w:bCs/>
        </w:rPr>
        <w:t xml:space="preserve">User defined conditions </w:t>
      </w:r>
    </w:p>
    <w:p w14:paraId="6EF768BA" w14:textId="77777777" w:rsidR="00B37527" w:rsidRDefault="00B37527" w:rsidP="00B37527">
      <w:r>
        <w:t xml:space="preserve">In addition to the special conditions of Appendix A and B (as appropriate- – dependent on status in the MIFR) the following user defined special conditions are by the applied to space receive licences.  </w:t>
      </w:r>
    </w:p>
    <w:p w14:paraId="2479A5FA" w14:textId="77777777" w:rsidR="00B37527" w:rsidRPr="006625A0" w:rsidRDefault="00B37527" w:rsidP="00866124">
      <w:pPr>
        <w:pStyle w:val="ListBullet"/>
        <w:numPr>
          <w:ilvl w:val="0"/>
          <w:numId w:val="19"/>
        </w:numPr>
        <w:tabs>
          <w:tab w:val="num" w:pos="295"/>
        </w:tabs>
        <w:ind w:left="295" w:hanging="295"/>
      </w:pPr>
      <w:r>
        <w:t xml:space="preserve">This space station is authorised </w:t>
      </w:r>
      <w:r w:rsidRPr="006625A0">
        <w:t>to communicate with earth station</w:t>
      </w:r>
      <w:r w:rsidRPr="005F61BF">
        <w:t xml:space="preserve"> transmitters </w:t>
      </w:r>
      <w:r w:rsidRPr="002E2329">
        <w:t xml:space="preserve">provided </w:t>
      </w:r>
      <w:r w:rsidRPr="006625A0">
        <w:t>operation of a station in the frequency range of 27.5 to 28.3 GHz on land:</w:t>
      </w:r>
    </w:p>
    <w:p w14:paraId="69E12BC7" w14:textId="77777777" w:rsidR="00B37527" w:rsidRPr="005F61BF" w:rsidRDefault="00B37527" w:rsidP="00866124">
      <w:pPr>
        <w:pStyle w:val="ListBullet"/>
        <w:numPr>
          <w:ilvl w:val="1"/>
          <w:numId w:val="20"/>
        </w:numPr>
        <w:ind w:left="851"/>
      </w:pPr>
      <w:r w:rsidRPr="005F61BF">
        <w:t>is not operated in the frequency range of 27.5 to 28.1 GHz in a 26 GHz band spectrum licence area</w:t>
      </w:r>
    </w:p>
    <w:p w14:paraId="7E5967D3" w14:textId="77777777" w:rsidR="00B37527" w:rsidRPr="005F61BF" w:rsidRDefault="00B37527" w:rsidP="00866124">
      <w:pPr>
        <w:pStyle w:val="ListBullet"/>
        <w:numPr>
          <w:ilvl w:val="1"/>
          <w:numId w:val="20"/>
        </w:numPr>
        <w:ind w:left="851"/>
      </w:pPr>
      <w:r w:rsidRPr="005F61BF">
        <w:t>when operated in the frequency range of 28.1 to 28.3 GHz in a 26 GHz band spectrum licence area, is not operated within the greater of 50 MHz above 28.1 GHz or twice the occupied bandwidth of the radiocommunications transmitter above 28.1 GHz</w:t>
      </w:r>
    </w:p>
    <w:p w14:paraId="46F1177E" w14:textId="77777777" w:rsidR="00B37527" w:rsidRPr="005F61BF" w:rsidRDefault="00B37527" w:rsidP="00866124">
      <w:pPr>
        <w:pStyle w:val="ListBullet"/>
        <w:numPr>
          <w:ilvl w:val="1"/>
          <w:numId w:val="20"/>
        </w:numPr>
        <w:ind w:left="851"/>
      </w:pPr>
      <w:r w:rsidRPr="005F61BF">
        <w:t xml:space="preserve">when operated in the frequency range of 27.5 to 28.1 GHz outside a 26 GHz band spectrum licence area, the emissions of the radiocommunications transmitter do not exceed a maximum EIRP to the horizon of -17.8 </w:t>
      </w:r>
      <w:proofErr w:type="spellStart"/>
      <w:r w:rsidRPr="005F61BF">
        <w:t>dBW</w:t>
      </w:r>
      <w:proofErr w:type="spellEnd"/>
      <w:r w:rsidRPr="005F61BF">
        <w:t xml:space="preserve"> in a 1 MHz bandwidth within 30 kilometres of a 26 GHz band spectrum licence area</w:t>
      </w:r>
    </w:p>
    <w:p w14:paraId="2A1F10C5" w14:textId="77777777" w:rsidR="00B37527" w:rsidRPr="005F61BF" w:rsidRDefault="00B37527" w:rsidP="00866124">
      <w:pPr>
        <w:pStyle w:val="ListBullet"/>
        <w:numPr>
          <w:ilvl w:val="1"/>
          <w:numId w:val="20"/>
        </w:numPr>
        <w:ind w:left="851"/>
      </w:pPr>
      <w:r w:rsidRPr="005F61BF">
        <w:t>when operated in the frequency range of 27.5 to 27.7 GHz outside a 26 GHz band spectrum licence area, is not operated within the greater of 50 MHz above 27.5 GHz or twice the occupied bandwidth of the radiocommunications transmitter above 27.5 GHz</w:t>
      </w:r>
    </w:p>
    <w:p w14:paraId="04D320CC" w14:textId="77777777" w:rsidR="00B37527" w:rsidRPr="005F61BF" w:rsidRDefault="00B37527" w:rsidP="00866124">
      <w:pPr>
        <w:pStyle w:val="ListBullet"/>
        <w:numPr>
          <w:ilvl w:val="0"/>
          <w:numId w:val="19"/>
        </w:numPr>
        <w:tabs>
          <w:tab w:val="num" w:pos="295"/>
        </w:tabs>
        <w:ind w:left="295" w:hanging="295"/>
        <w:rPr>
          <w:rFonts w:cs="Arial"/>
          <w:szCs w:val="20"/>
        </w:rPr>
      </w:pPr>
      <w:r>
        <w:t xml:space="preserve">This space station is authorised </w:t>
      </w:r>
      <w:r w:rsidRPr="006625A0">
        <w:rPr>
          <w:rFonts w:cs="Arial"/>
          <w:szCs w:val="20"/>
        </w:rPr>
        <w:t>to communicate with e</w:t>
      </w:r>
      <w:r w:rsidRPr="002E2329">
        <w:rPr>
          <w:rFonts w:cs="Arial"/>
          <w:szCs w:val="20"/>
        </w:rPr>
        <w:t xml:space="preserve">arth station transmitters </w:t>
      </w:r>
      <w:r>
        <w:rPr>
          <w:color w:val="000000"/>
          <w:shd w:val="clear" w:color="auto" w:fill="FFFFFF"/>
        </w:rPr>
        <w:t xml:space="preserve">in the frequency range of 27.5 to 28.3 GHz on board an aircraft that is in the air </w:t>
      </w:r>
      <w:r w:rsidRPr="002E2329">
        <w:rPr>
          <w:rFonts w:cs="Arial"/>
          <w:szCs w:val="20"/>
        </w:rPr>
        <w:t>provided</w:t>
      </w:r>
      <w:r>
        <w:rPr>
          <w:rFonts w:cs="Arial"/>
          <w:szCs w:val="20"/>
        </w:rPr>
        <w:t xml:space="preserve"> </w:t>
      </w:r>
      <w:r>
        <w:rPr>
          <w:color w:val="000000"/>
          <w:shd w:val="clear" w:color="auto" w:fill="FFFFFF"/>
        </w:rPr>
        <w:t>that earth station transmission does not exceed the maximum power flux density limits specified in clause 3.1 of Part II: Aeronautical ESIMs of Annex 3 to ITU-R Resolution 169 (WRC-19) for any emissions that fall in the frequency range of 27.5 to 28.1 GHz in a 26 GHz band spectrum licence area</w:t>
      </w:r>
    </w:p>
    <w:p w14:paraId="329DF3AC" w14:textId="77777777" w:rsidR="00B37527" w:rsidRDefault="00B37527" w:rsidP="00866124">
      <w:pPr>
        <w:pStyle w:val="ListBullet"/>
        <w:numPr>
          <w:ilvl w:val="0"/>
          <w:numId w:val="19"/>
        </w:numPr>
        <w:tabs>
          <w:tab w:val="num" w:pos="295"/>
        </w:tabs>
        <w:ind w:left="295" w:hanging="295"/>
        <w:rPr>
          <w:rFonts w:cs="Arial"/>
          <w:szCs w:val="20"/>
        </w:rPr>
      </w:pPr>
      <w:r>
        <w:t xml:space="preserve">This space station is authorised </w:t>
      </w:r>
      <w:r w:rsidRPr="006625A0">
        <w:rPr>
          <w:rFonts w:cs="Arial"/>
          <w:szCs w:val="20"/>
        </w:rPr>
        <w:t>to communicate with e</w:t>
      </w:r>
      <w:r w:rsidRPr="002E2329">
        <w:rPr>
          <w:rFonts w:cs="Arial"/>
          <w:szCs w:val="20"/>
        </w:rPr>
        <w:t xml:space="preserve">arth station transmitters </w:t>
      </w:r>
      <w:r>
        <w:rPr>
          <w:color w:val="000000"/>
          <w:shd w:val="clear" w:color="auto" w:fill="FFFFFF"/>
        </w:rPr>
        <w:t>in the frequency range of 27.5 to 28.3 GHz on board a ship only if the earth station transmission does not exceed a power flux density on the shore of -112.2 </w:t>
      </w:r>
      <w:proofErr w:type="spellStart"/>
      <w:r>
        <w:rPr>
          <w:color w:val="000000"/>
          <w:shd w:val="clear" w:color="auto" w:fill="FFFFFF"/>
        </w:rPr>
        <w:t>dBW</w:t>
      </w:r>
      <w:proofErr w:type="spellEnd"/>
      <w:r>
        <w:rPr>
          <w:color w:val="000000"/>
          <w:shd w:val="clear" w:color="auto" w:fill="FFFFFF"/>
        </w:rPr>
        <w:t xml:space="preserve"> per square metre for each MHz at a height of 30 metres above ground level for any emissions that fall in the frequency range of 27.5 to 28.1 GHz in a 26 GHz band spectrum licence area.</w:t>
      </w:r>
    </w:p>
    <w:p w14:paraId="7099E4D9" w14:textId="77777777" w:rsidR="00B37527" w:rsidRPr="0026705D" w:rsidRDefault="00B37527" w:rsidP="00B37527"/>
    <w:p w14:paraId="5AED5117" w14:textId="77777777" w:rsidR="00B37527" w:rsidRDefault="00B37527" w:rsidP="00B37527"/>
    <w:p w14:paraId="26DAF38C" w14:textId="77777777" w:rsidR="00B37527" w:rsidRPr="00D95299" w:rsidRDefault="00B37527" w:rsidP="00B05249"/>
    <w:p w14:paraId="3DE7BF34" w14:textId="4F5CA2EB" w:rsidR="00871522" w:rsidRPr="00122FB0" w:rsidRDefault="008D47F7" w:rsidP="00871522">
      <w:pPr>
        <w:pStyle w:val="AppL1"/>
        <w:pageBreakBefore/>
        <w:rPr>
          <w:b/>
        </w:rPr>
      </w:pPr>
      <w:bookmarkStart w:id="291" w:name="BKCheck15B_3"/>
      <w:bookmarkStart w:id="292" w:name="_Toc153798020"/>
      <w:bookmarkEnd w:id="291"/>
      <w:r>
        <w:rPr>
          <w:b/>
        </w:rPr>
        <w:t>Additional requirements for</w:t>
      </w:r>
      <w:r w:rsidR="00871522">
        <w:rPr>
          <w:b/>
        </w:rPr>
        <w:t xml:space="preserve"> </w:t>
      </w:r>
      <w:r>
        <w:rPr>
          <w:b/>
        </w:rPr>
        <w:t xml:space="preserve">space receive and space </w:t>
      </w:r>
      <w:r w:rsidR="00871522">
        <w:rPr>
          <w:b/>
        </w:rPr>
        <w:t xml:space="preserve">licences in frequency </w:t>
      </w:r>
      <w:r w:rsidR="00461EAD">
        <w:rPr>
          <w:b/>
        </w:rPr>
        <w:t>bands</w:t>
      </w:r>
      <w:r w:rsidR="00871522">
        <w:rPr>
          <w:b/>
        </w:rPr>
        <w:t xml:space="preserve"> </w:t>
      </w:r>
      <w:r w:rsidR="00407ADE">
        <w:rPr>
          <w:b/>
        </w:rPr>
        <w:t>2005-2010</w:t>
      </w:r>
      <w:r w:rsidR="00871522">
        <w:rPr>
          <w:b/>
        </w:rPr>
        <w:t xml:space="preserve"> MHz (Earth</w:t>
      </w:r>
      <w:r w:rsidR="00566BB0">
        <w:rPr>
          <w:b/>
        </w:rPr>
        <w:t>-to-space</w:t>
      </w:r>
      <w:r w:rsidR="00871522">
        <w:rPr>
          <w:b/>
        </w:rPr>
        <w:t xml:space="preserve">) and </w:t>
      </w:r>
      <w:r w:rsidR="00407ADE">
        <w:rPr>
          <w:b/>
        </w:rPr>
        <w:t>2195-2200</w:t>
      </w:r>
      <w:r w:rsidR="00871522">
        <w:rPr>
          <w:b/>
        </w:rPr>
        <w:t xml:space="preserve"> MHz (space</w:t>
      </w:r>
      <w:r w:rsidR="00566BB0">
        <w:rPr>
          <w:b/>
        </w:rPr>
        <w:t>-to-Earth</w:t>
      </w:r>
      <w:r w:rsidR="00407ADE">
        <w:rPr>
          <w:b/>
        </w:rPr>
        <w:t>)</w:t>
      </w:r>
      <w:bookmarkEnd w:id="292"/>
    </w:p>
    <w:p w14:paraId="408DE9BD" w14:textId="77777777" w:rsidR="00C71AD9" w:rsidRDefault="00C71AD9" w:rsidP="00C71AD9">
      <w:r>
        <w:t xml:space="preserve">This appendix outlines additional procedures to be applied when considering the issue of </w:t>
      </w:r>
      <w:r w:rsidRPr="007836FD">
        <w:rPr>
          <w:i/>
          <w:iCs/>
        </w:rPr>
        <w:t>space</w:t>
      </w:r>
      <w:r>
        <w:t xml:space="preserve"> or </w:t>
      </w:r>
      <w:r w:rsidRPr="007836FD">
        <w:rPr>
          <w:i/>
          <w:iCs/>
        </w:rPr>
        <w:t>space receive</w:t>
      </w:r>
      <w:r>
        <w:t xml:space="preserve"> licences in the frequency ranges 2005-2009 MHz (Earth-to-space) and 2195-2200 MHz (space-to-Earth).  </w:t>
      </w:r>
    </w:p>
    <w:p w14:paraId="1F4CC92F" w14:textId="77777777" w:rsidR="00C71AD9" w:rsidRDefault="00C71AD9" w:rsidP="00C71AD9">
      <w:r>
        <w:t>To support the transition of TOB services from the 2005-2010/2195-2010 MHz the issue of space and space receive licences is restricted as follows:</w:t>
      </w:r>
    </w:p>
    <w:p w14:paraId="5FCEDB87" w14:textId="77777777" w:rsidR="00C71AD9" w:rsidRDefault="00C71AD9" w:rsidP="00866124">
      <w:pPr>
        <w:numPr>
          <w:ilvl w:val="0"/>
          <w:numId w:val="35"/>
        </w:numPr>
        <w:tabs>
          <w:tab w:val="left" w:pos="2269"/>
        </w:tabs>
        <w:spacing w:before="80" w:after="120" w:line="280" w:lineRule="atLeast"/>
        <w:ind w:right="284"/>
        <w:rPr>
          <w:rFonts w:cs="Calibri"/>
        </w:rPr>
      </w:pPr>
      <w:r>
        <w:rPr>
          <w:rFonts w:cs="Calibri"/>
        </w:rPr>
        <w:t>Assignments for space licences in the band 2195-2200 MHz are only allowed areas outside of metropolitan and designated areas as defined in the MSS Band Plan.</w:t>
      </w:r>
    </w:p>
    <w:p w14:paraId="1DC8A083" w14:textId="77777777" w:rsidR="00C71AD9" w:rsidRDefault="00C71AD9" w:rsidP="00866124">
      <w:pPr>
        <w:numPr>
          <w:ilvl w:val="0"/>
          <w:numId w:val="35"/>
        </w:numPr>
        <w:tabs>
          <w:tab w:val="left" w:pos="2269"/>
        </w:tabs>
        <w:spacing w:before="80" w:after="120" w:line="280" w:lineRule="atLeast"/>
        <w:ind w:right="284"/>
      </w:pPr>
      <w:r w:rsidRPr="00E56CA7">
        <w:rPr>
          <w:rFonts w:cs="Calibri"/>
        </w:rPr>
        <w:t xml:space="preserve">Assignments for space receive licences in the band 2005-2009 MHz </w:t>
      </w:r>
      <w:r>
        <w:rPr>
          <w:rFonts w:cs="Calibri"/>
        </w:rPr>
        <w:t xml:space="preserve">are only allowed </w:t>
      </w:r>
      <w:r w:rsidRPr="00E56CA7">
        <w:rPr>
          <w:rFonts w:cs="Calibri"/>
        </w:rPr>
        <w:t xml:space="preserve">in areas outside of metropolitan and designated areas </w:t>
      </w:r>
      <w:r>
        <w:rPr>
          <w:rFonts w:cs="Calibri"/>
        </w:rPr>
        <w:t xml:space="preserve">as defined in the MSS Band Plan subject to meeting the requirements outlined below and </w:t>
      </w:r>
      <w:r w:rsidRPr="00E424FB">
        <w:rPr>
          <w:rFonts w:cs="Calibri"/>
        </w:rPr>
        <w:t xml:space="preserve">case-by-case </w:t>
      </w:r>
      <w:r>
        <w:rPr>
          <w:rFonts w:cs="Calibri"/>
        </w:rPr>
        <w:t>consideration</w:t>
      </w:r>
      <w:r w:rsidRPr="00E424FB">
        <w:rPr>
          <w:rFonts w:cs="Calibri"/>
        </w:rPr>
        <w:t xml:space="preserve"> by the Manager Spectrum </w:t>
      </w:r>
      <w:r>
        <w:rPr>
          <w:rFonts w:cs="Calibri"/>
        </w:rPr>
        <w:t>Planning</w:t>
      </w:r>
      <w:r w:rsidRPr="006F14E4">
        <w:rPr>
          <w:rFonts w:cs="Calibri"/>
        </w:rPr>
        <w:t xml:space="preserve"> Section</w:t>
      </w:r>
      <w:r>
        <w:rPr>
          <w:rFonts w:cs="Calibri"/>
        </w:rPr>
        <w:t xml:space="preserve">. </w:t>
      </w:r>
      <w:r>
        <w:t xml:space="preserve">Note: The ACMA has a policy of not issuing space receive licences in the frequency range 2009-2010 </w:t>
      </w:r>
      <w:proofErr w:type="spellStart"/>
      <w:r>
        <w:t>MHz.</w:t>
      </w:r>
      <w:proofErr w:type="spellEnd"/>
    </w:p>
    <w:p w14:paraId="34C28C98" w14:textId="1E26FAA6" w:rsidR="00C71AD9" w:rsidRDefault="00C71AD9" w:rsidP="00C71AD9">
      <w:r>
        <w:t xml:space="preserve">For background on the restriction described above, refer to spectrum embargo 23 and ACMA decisions on </w:t>
      </w:r>
      <w:r w:rsidRPr="002A3922">
        <w:t xml:space="preserve">licensing arrangements for </w:t>
      </w:r>
      <w:hyperlink r:id="rId65" w:history="1">
        <w:r w:rsidRPr="009A4872">
          <w:rPr>
            <w:rStyle w:val="Hyperlink"/>
          </w:rPr>
          <w:t>2 GHz narrowband mobile-satellite services</w:t>
        </w:r>
      </w:hyperlink>
      <w:r>
        <w:t xml:space="preserve"> (IFC 46/2021). The requirements in this BOP will be revised in accordance with the transition timeline for TOB services as recorded in the IFC 46/2001 response to submission paper. A summary of the timeline is provided in the table below.</w:t>
      </w:r>
    </w:p>
    <w:p w14:paraId="2698763E" w14:textId="77777777" w:rsidR="00C71AD9" w:rsidRDefault="00C71AD9" w:rsidP="00866124">
      <w:pPr>
        <w:pStyle w:val="Tableheading"/>
        <w:numPr>
          <w:ilvl w:val="0"/>
          <w:numId w:val="6"/>
        </w:numPr>
      </w:pPr>
      <w:r w:rsidRPr="009A7CB1">
        <w:t>MSS and TOB transitional arrangements in the 2 GHz band</w:t>
      </w:r>
    </w:p>
    <w:tbl>
      <w:tblPr>
        <w:tblStyle w:val="ACMAtablestyle"/>
        <w:tblW w:w="5548" w:type="pct"/>
        <w:tblCellMar>
          <w:top w:w="113" w:type="dxa"/>
          <w:bottom w:w="113" w:type="dxa"/>
        </w:tblCellMar>
        <w:tblLook w:val="01E0" w:firstRow="1" w:lastRow="1" w:firstColumn="1" w:lastColumn="1" w:noHBand="0" w:noVBand="0"/>
        <w:tblCaption w:val="Table title to go here"/>
        <w:tblDescription w:val="Table description to go here"/>
      </w:tblPr>
      <w:tblGrid>
        <w:gridCol w:w="1442"/>
        <w:gridCol w:w="2168"/>
        <w:gridCol w:w="4891"/>
      </w:tblGrid>
      <w:tr w:rsidR="00C71AD9" w14:paraId="3356E25E" w14:textId="77777777" w:rsidTr="006F2BBE">
        <w:trPr>
          <w:cnfStyle w:val="100000000000" w:firstRow="1" w:lastRow="0" w:firstColumn="0" w:lastColumn="0" w:oddVBand="0" w:evenVBand="0" w:oddHBand="0" w:evenHBand="0" w:firstRowFirstColumn="0" w:firstRowLastColumn="0" w:lastRowFirstColumn="0" w:lastRowLastColumn="0"/>
        </w:trPr>
        <w:tc>
          <w:tcPr>
            <w:tcW w:w="848" w:type="pct"/>
            <w:tcMar>
              <w:top w:w="57" w:type="dxa"/>
              <w:left w:w="108" w:type="dxa"/>
              <w:bottom w:w="57" w:type="dxa"/>
              <w:right w:w="108" w:type="dxa"/>
            </w:tcMar>
            <w:hideMark/>
          </w:tcPr>
          <w:p w14:paraId="41FCE5E4" w14:textId="77777777" w:rsidR="00C71AD9" w:rsidRDefault="00C71AD9" w:rsidP="006F2BBE">
            <w:pPr>
              <w:pStyle w:val="Tableheaderrow"/>
              <w:keepNext/>
              <w:spacing w:line="240" w:lineRule="auto"/>
              <w:rPr>
                <w:rFonts w:cs="Arial"/>
              </w:rPr>
            </w:pPr>
            <w:r>
              <w:rPr>
                <w:rFonts w:cs="Arial"/>
              </w:rPr>
              <w:t>Area</w:t>
            </w:r>
          </w:p>
        </w:tc>
        <w:tc>
          <w:tcPr>
            <w:tcW w:w="1275" w:type="pct"/>
            <w:tcMar>
              <w:top w:w="57" w:type="dxa"/>
              <w:left w:w="108" w:type="dxa"/>
              <w:bottom w:w="57" w:type="dxa"/>
              <w:right w:w="108" w:type="dxa"/>
            </w:tcMar>
            <w:hideMark/>
          </w:tcPr>
          <w:p w14:paraId="1E0C2C9A" w14:textId="77777777" w:rsidR="00C71AD9" w:rsidRDefault="00C71AD9" w:rsidP="006F2BBE">
            <w:pPr>
              <w:pStyle w:val="Tableheaderrow"/>
              <w:keepNext/>
              <w:spacing w:line="240" w:lineRule="auto"/>
              <w:rPr>
                <w:rFonts w:cs="Arial"/>
              </w:rPr>
            </w:pPr>
            <w:r>
              <w:rPr>
                <w:rFonts w:cs="Arial"/>
              </w:rPr>
              <w:t>Service</w:t>
            </w:r>
          </w:p>
        </w:tc>
        <w:tc>
          <w:tcPr>
            <w:tcW w:w="2877" w:type="pct"/>
            <w:tcMar>
              <w:top w:w="57" w:type="dxa"/>
              <w:left w:w="108" w:type="dxa"/>
              <w:bottom w:w="57" w:type="dxa"/>
              <w:right w:w="108" w:type="dxa"/>
            </w:tcMar>
            <w:hideMark/>
          </w:tcPr>
          <w:p w14:paraId="5417E271" w14:textId="77777777" w:rsidR="00C71AD9" w:rsidRDefault="00C71AD9" w:rsidP="006F2BBE">
            <w:pPr>
              <w:pStyle w:val="Tableheaderrow"/>
              <w:keepNext/>
              <w:spacing w:line="240" w:lineRule="auto"/>
              <w:rPr>
                <w:rFonts w:cs="Arial"/>
              </w:rPr>
            </w:pPr>
            <w:r>
              <w:rPr>
                <w:rFonts w:cs="Arial"/>
              </w:rPr>
              <w:t xml:space="preserve">Requirement </w:t>
            </w:r>
          </w:p>
        </w:tc>
      </w:tr>
      <w:tr w:rsidR="00C71AD9" w14:paraId="5397B4BD" w14:textId="77777777" w:rsidTr="006F2BBE">
        <w:trPr>
          <w:cnfStyle w:val="000000100000" w:firstRow="0" w:lastRow="0" w:firstColumn="0" w:lastColumn="0" w:oddVBand="0" w:evenVBand="0" w:oddHBand="1" w:evenHBand="0" w:firstRowFirstColumn="0" w:firstRowLastColumn="0" w:lastRowFirstColumn="0" w:lastRowLastColumn="0"/>
        </w:trPr>
        <w:tc>
          <w:tcPr>
            <w:tcW w:w="848" w:type="pct"/>
            <w:vMerge w:val="restart"/>
            <w:tcBorders>
              <w:top w:val="single" w:sz="4" w:space="0" w:color="auto"/>
              <w:left w:val="single" w:sz="4" w:space="0" w:color="auto"/>
              <w:bottom w:val="single" w:sz="4" w:space="0" w:color="auto"/>
              <w:right w:val="single" w:sz="4" w:space="0" w:color="auto"/>
            </w:tcBorders>
          </w:tcPr>
          <w:p w14:paraId="2736F768" w14:textId="77777777" w:rsidR="00C71AD9" w:rsidRDefault="00C71AD9" w:rsidP="006F2BBE">
            <w:pPr>
              <w:pStyle w:val="TableBody"/>
              <w:keepNext/>
              <w:spacing w:line="220" w:lineRule="atLeast"/>
              <w:rPr>
                <w:rFonts w:cs="Arial"/>
                <w:sz w:val="18"/>
                <w:szCs w:val="18"/>
              </w:rPr>
            </w:pPr>
            <w:r>
              <w:rPr>
                <w:rFonts w:cs="Arial"/>
                <w:color w:val="000000"/>
                <w:sz w:val="18"/>
                <w:szCs w:val="18"/>
              </w:rPr>
              <w:t>Metropolitan areas and designated areas</w:t>
            </w:r>
            <w:r>
              <w:rPr>
                <w:rStyle w:val="FootnoteReference"/>
                <w:color w:val="000000"/>
                <w:sz w:val="18"/>
                <w:szCs w:val="18"/>
              </w:rPr>
              <w:footnoteReference w:id="18"/>
            </w:r>
            <w:r>
              <w:rPr>
                <w:rFonts w:cs="Arial"/>
                <w:color w:val="000000"/>
                <w:sz w:val="18"/>
                <w:szCs w:val="18"/>
              </w:rPr>
              <w:t xml:space="preserve"> </w:t>
            </w:r>
          </w:p>
          <w:p w14:paraId="02BE20A9" w14:textId="77777777" w:rsidR="00C71AD9" w:rsidRDefault="00C71AD9" w:rsidP="006F2BBE">
            <w:pPr>
              <w:pStyle w:val="TableBody"/>
              <w:keepNext/>
              <w:spacing w:line="220" w:lineRule="atLeast"/>
              <w:rPr>
                <w:rFonts w:cs="Arial"/>
                <w:sz w:val="18"/>
                <w:szCs w:val="18"/>
              </w:rPr>
            </w:pPr>
          </w:p>
        </w:tc>
        <w:tc>
          <w:tcPr>
            <w:tcW w:w="1275" w:type="pct"/>
            <w:tcBorders>
              <w:top w:val="single" w:sz="4" w:space="0" w:color="auto"/>
              <w:left w:val="single" w:sz="4" w:space="0" w:color="auto"/>
              <w:bottom w:val="single" w:sz="4" w:space="0" w:color="auto"/>
              <w:right w:val="single" w:sz="4" w:space="0" w:color="auto"/>
            </w:tcBorders>
            <w:hideMark/>
          </w:tcPr>
          <w:p w14:paraId="52F798A2" w14:textId="77777777" w:rsidR="00C71AD9" w:rsidRDefault="00C71AD9" w:rsidP="006F2BBE">
            <w:pPr>
              <w:pStyle w:val="TableBody"/>
              <w:keepNext/>
              <w:spacing w:line="220" w:lineRule="atLeast"/>
              <w:rPr>
                <w:rFonts w:cs="Arial"/>
                <w:sz w:val="18"/>
                <w:szCs w:val="18"/>
              </w:rPr>
            </w:pPr>
            <w:r>
              <w:rPr>
                <w:rFonts w:cs="Arial"/>
                <w:sz w:val="18"/>
                <w:szCs w:val="18"/>
              </w:rPr>
              <w:t>TOB</w:t>
            </w:r>
          </w:p>
        </w:tc>
        <w:tc>
          <w:tcPr>
            <w:tcW w:w="2877" w:type="pct"/>
            <w:tcBorders>
              <w:top w:val="single" w:sz="4" w:space="0" w:color="auto"/>
              <w:left w:val="single" w:sz="4" w:space="0" w:color="auto"/>
              <w:bottom w:val="single" w:sz="4" w:space="0" w:color="auto"/>
              <w:right w:val="single" w:sz="4" w:space="0" w:color="auto"/>
            </w:tcBorders>
            <w:hideMark/>
          </w:tcPr>
          <w:p w14:paraId="7FA76341" w14:textId="77777777" w:rsidR="00C71AD9" w:rsidRDefault="00C71AD9" w:rsidP="006F2BBE">
            <w:pPr>
              <w:pStyle w:val="TableBody"/>
              <w:keepNext/>
              <w:spacing w:line="220" w:lineRule="atLeast"/>
              <w:rPr>
                <w:rFonts w:cs="Arial"/>
                <w:sz w:val="18"/>
                <w:szCs w:val="18"/>
              </w:rPr>
            </w:pPr>
            <w:r>
              <w:rPr>
                <w:rFonts w:cs="Arial"/>
                <w:color w:val="000000"/>
                <w:sz w:val="18"/>
                <w:szCs w:val="18"/>
              </w:rPr>
              <w:t>Operations cease by 28</w:t>
            </w:r>
            <w:r>
              <w:rPr>
                <w:rFonts w:cs="Arial"/>
              </w:rPr>
              <w:t xml:space="preserve"> </w:t>
            </w:r>
            <w:r>
              <w:rPr>
                <w:rFonts w:cs="Arial"/>
                <w:color w:val="000000"/>
                <w:sz w:val="18"/>
                <w:szCs w:val="18"/>
              </w:rPr>
              <w:t>February 2026,</w:t>
            </w:r>
            <w:r>
              <w:rPr>
                <w:rFonts w:cs="Arial"/>
                <w:color w:val="000000"/>
                <w:sz w:val="18"/>
                <w:szCs w:val="18"/>
              </w:rPr>
              <w:br/>
              <w:t>protected from narrowband MSS until then.</w:t>
            </w:r>
          </w:p>
        </w:tc>
      </w:tr>
      <w:tr w:rsidR="00C71AD9" w14:paraId="420E161B" w14:textId="77777777" w:rsidTr="006F2BBE">
        <w:trPr>
          <w:cnfStyle w:val="000000010000" w:firstRow="0" w:lastRow="0" w:firstColumn="0" w:lastColumn="0" w:oddVBand="0" w:evenVBand="0" w:oddHBand="0" w:evenHBand="1" w:firstRowFirstColumn="0" w:firstRowLastColumn="0" w:lastRowFirstColumn="0" w:lastRowLastColumn="0"/>
        </w:trPr>
        <w:tc>
          <w:tcPr>
            <w:tcW w:w="848" w:type="pct"/>
            <w:vMerge/>
            <w:tcBorders>
              <w:top w:val="single" w:sz="4" w:space="0" w:color="auto"/>
              <w:left w:val="single" w:sz="4" w:space="0" w:color="auto"/>
              <w:bottom w:val="single" w:sz="4" w:space="0" w:color="auto"/>
              <w:right w:val="single" w:sz="4" w:space="0" w:color="auto"/>
            </w:tcBorders>
            <w:vAlign w:val="center"/>
            <w:hideMark/>
          </w:tcPr>
          <w:p w14:paraId="7DFDA7E0" w14:textId="77777777" w:rsidR="00C71AD9" w:rsidRDefault="00C71AD9" w:rsidP="006F2BBE">
            <w:pPr>
              <w:spacing w:after="0" w:line="240" w:lineRule="auto"/>
              <w:rPr>
                <w:rFonts w:asciiTheme="minorHAnsi" w:eastAsiaTheme="minorHAnsi" w:hAnsiTheme="minorHAnsi" w:cs="Arial"/>
                <w:sz w:val="18"/>
                <w:szCs w:val="18"/>
                <w:lang w:eastAsia="en-US"/>
              </w:rPr>
            </w:pPr>
          </w:p>
        </w:tc>
        <w:tc>
          <w:tcPr>
            <w:tcW w:w="1275" w:type="pct"/>
            <w:tcBorders>
              <w:top w:val="single" w:sz="4" w:space="0" w:color="auto"/>
              <w:left w:val="single" w:sz="4" w:space="0" w:color="auto"/>
              <w:bottom w:val="single" w:sz="4" w:space="0" w:color="auto"/>
              <w:right w:val="single" w:sz="4" w:space="0" w:color="auto"/>
            </w:tcBorders>
            <w:hideMark/>
          </w:tcPr>
          <w:p w14:paraId="071E27D3" w14:textId="77777777" w:rsidR="00C71AD9" w:rsidRDefault="00C71AD9" w:rsidP="006F2BBE">
            <w:pPr>
              <w:pStyle w:val="TableBody"/>
              <w:keepNext/>
              <w:spacing w:line="220" w:lineRule="atLeast"/>
              <w:rPr>
                <w:rFonts w:cs="Arial"/>
                <w:sz w:val="18"/>
                <w:szCs w:val="18"/>
              </w:rPr>
            </w:pPr>
            <w:r>
              <w:rPr>
                <w:rFonts w:cs="Arial"/>
                <w:sz w:val="18"/>
                <w:szCs w:val="18"/>
              </w:rPr>
              <w:t>Narrowband MSS</w:t>
            </w:r>
          </w:p>
          <w:p w14:paraId="2AEA8F6A" w14:textId="77777777" w:rsidR="00C71AD9" w:rsidRDefault="00C71AD9" w:rsidP="006F2BBE">
            <w:pPr>
              <w:pStyle w:val="TableBody"/>
              <w:keepNext/>
              <w:spacing w:line="220" w:lineRule="atLeast"/>
              <w:rPr>
                <w:rFonts w:cs="Arial"/>
                <w:sz w:val="18"/>
                <w:szCs w:val="18"/>
              </w:rPr>
            </w:pPr>
            <w:r>
              <w:rPr>
                <w:rFonts w:cs="Arial"/>
                <w:sz w:val="18"/>
                <w:szCs w:val="18"/>
              </w:rPr>
              <w:t xml:space="preserve">(2005-2009/2195-2200 MHz) </w:t>
            </w:r>
          </w:p>
        </w:tc>
        <w:tc>
          <w:tcPr>
            <w:tcW w:w="2877" w:type="pct"/>
            <w:tcBorders>
              <w:top w:val="single" w:sz="4" w:space="0" w:color="auto"/>
              <w:left w:val="single" w:sz="4" w:space="0" w:color="auto"/>
              <w:bottom w:val="single" w:sz="4" w:space="0" w:color="auto"/>
              <w:right w:val="single" w:sz="4" w:space="0" w:color="auto"/>
            </w:tcBorders>
            <w:hideMark/>
          </w:tcPr>
          <w:p w14:paraId="038C8D1C" w14:textId="77777777" w:rsidR="00C71AD9" w:rsidRDefault="00C71AD9" w:rsidP="006F2BBE">
            <w:pPr>
              <w:pStyle w:val="TableBody"/>
              <w:keepNext/>
              <w:spacing w:line="220" w:lineRule="atLeast"/>
              <w:rPr>
                <w:rFonts w:cs="Arial"/>
                <w:sz w:val="18"/>
                <w:szCs w:val="18"/>
              </w:rPr>
            </w:pPr>
            <w:r>
              <w:rPr>
                <w:rFonts w:cs="Arial"/>
                <w:color w:val="000000"/>
                <w:sz w:val="18"/>
                <w:szCs w:val="18"/>
              </w:rPr>
              <w:t>Operations not to commence until 1 March 2026.</w:t>
            </w:r>
          </w:p>
        </w:tc>
      </w:tr>
      <w:tr w:rsidR="00C71AD9" w14:paraId="00503629" w14:textId="77777777" w:rsidTr="006F2BBE">
        <w:trPr>
          <w:cnfStyle w:val="000000100000" w:firstRow="0" w:lastRow="0" w:firstColumn="0" w:lastColumn="0" w:oddVBand="0" w:evenVBand="0" w:oddHBand="1" w:evenHBand="0" w:firstRowFirstColumn="0" w:firstRowLastColumn="0" w:lastRowFirstColumn="0" w:lastRowLastColumn="0"/>
        </w:trPr>
        <w:tc>
          <w:tcPr>
            <w:tcW w:w="848" w:type="pct"/>
            <w:vMerge/>
            <w:tcBorders>
              <w:top w:val="single" w:sz="4" w:space="0" w:color="auto"/>
              <w:left w:val="single" w:sz="4" w:space="0" w:color="auto"/>
              <w:bottom w:val="single" w:sz="4" w:space="0" w:color="auto"/>
              <w:right w:val="single" w:sz="4" w:space="0" w:color="auto"/>
            </w:tcBorders>
            <w:vAlign w:val="center"/>
            <w:hideMark/>
          </w:tcPr>
          <w:p w14:paraId="3172E6B9" w14:textId="77777777" w:rsidR="00C71AD9" w:rsidRDefault="00C71AD9" w:rsidP="006F2BBE">
            <w:pPr>
              <w:spacing w:after="0" w:line="240" w:lineRule="auto"/>
              <w:rPr>
                <w:rFonts w:asciiTheme="minorHAnsi" w:eastAsiaTheme="minorHAnsi" w:hAnsiTheme="minorHAnsi" w:cs="Arial"/>
                <w:sz w:val="18"/>
                <w:szCs w:val="18"/>
                <w:lang w:eastAsia="en-US"/>
              </w:rPr>
            </w:pPr>
          </w:p>
        </w:tc>
        <w:tc>
          <w:tcPr>
            <w:tcW w:w="1275" w:type="pct"/>
            <w:tcBorders>
              <w:top w:val="single" w:sz="4" w:space="0" w:color="auto"/>
              <w:left w:val="single" w:sz="4" w:space="0" w:color="auto"/>
              <w:bottom w:val="single" w:sz="4" w:space="0" w:color="auto"/>
              <w:right w:val="single" w:sz="4" w:space="0" w:color="auto"/>
            </w:tcBorders>
            <w:hideMark/>
          </w:tcPr>
          <w:p w14:paraId="200A03AD" w14:textId="77777777" w:rsidR="00C71AD9" w:rsidRDefault="00C71AD9" w:rsidP="006F2BBE">
            <w:pPr>
              <w:pStyle w:val="TableBody"/>
              <w:keepNext/>
              <w:spacing w:line="220" w:lineRule="atLeast"/>
              <w:rPr>
                <w:rFonts w:cs="Arial"/>
                <w:sz w:val="18"/>
                <w:szCs w:val="18"/>
              </w:rPr>
            </w:pPr>
            <w:r>
              <w:rPr>
                <w:rFonts w:cs="Arial"/>
                <w:sz w:val="18"/>
                <w:szCs w:val="18"/>
              </w:rPr>
              <w:t>MSS (2 x 25 MHz)</w:t>
            </w:r>
          </w:p>
        </w:tc>
        <w:tc>
          <w:tcPr>
            <w:tcW w:w="2877" w:type="pct"/>
            <w:tcBorders>
              <w:top w:val="single" w:sz="4" w:space="0" w:color="auto"/>
              <w:left w:val="single" w:sz="4" w:space="0" w:color="auto"/>
              <w:bottom w:val="single" w:sz="4" w:space="0" w:color="auto"/>
              <w:right w:val="single" w:sz="4" w:space="0" w:color="auto"/>
            </w:tcBorders>
            <w:hideMark/>
          </w:tcPr>
          <w:p w14:paraId="3B3BCDBA" w14:textId="77777777" w:rsidR="00C71AD9" w:rsidRDefault="00C71AD9" w:rsidP="006F2BBE">
            <w:pPr>
              <w:pStyle w:val="TableBody"/>
              <w:keepNext/>
              <w:spacing w:line="220" w:lineRule="atLeast"/>
              <w:rPr>
                <w:rFonts w:cs="Arial"/>
                <w:color w:val="000000"/>
                <w:sz w:val="18"/>
                <w:szCs w:val="18"/>
              </w:rPr>
            </w:pPr>
            <w:r>
              <w:rPr>
                <w:rFonts w:cs="Arial"/>
                <w:color w:val="000000"/>
                <w:sz w:val="18"/>
                <w:szCs w:val="18"/>
              </w:rPr>
              <w:t>Licence allocation arrangements to be determined. Operations not to commence until 1 March 2026.</w:t>
            </w:r>
          </w:p>
        </w:tc>
      </w:tr>
      <w:tr w:rsidR="00C71AD9" w14:paraId="51CBF848" w14:textId="77777777" w:rsidTr="006F2BBE">
        <w:trPr>
          <w:cnfStyle w:val="000000010000" w:firstRow="0" w:lastRow="0" w:firstColumn="0" w:lastColumn="0" w:oddVBand="0" w:evenVBand="0" w:oddHBand="0" w:evenHBand="1" w:firstRowFirstColumn="0" w:firstRowLastColumn="0" w:lastRowFirstColumn="0" w:lastRowLastColumn="0"/>
        </w:trPr>
        <w:tc>
          <w:tcPr>
            <w:tcW w:w="848" w:type="pct"/>
            <w:vMerge w:val="restart"/>
            <w:tcBorders>
              <w:top w:val="single" w:sz="4" w:space="0" w:color="auto"/>
              <w:left w:val="single" w:sz="4" w:space="0" w:color="auto"/>
              <w:bottom w:val="single" w:sz="4" w:space="0" w:color="auto"/>
              <w:right w:val="single" w:sz="4" w:space="0" w:color="auto"/>
            </w:tcBorders>
          </w:tcPr>
          <w:p w14:paraId="203A715A" w14:textId="77777777" w:rsidR="00C71AD9" w:rsidRDefault="00C71AD9" w:rsidP="006F2BBE">
            <w:pPr>
              <w:pStyle w:val="TableBody"/>
              <w:spacing w:line="220" w:lineRule="atLeast"/>
              <w:rPr>
                <w:rFonts w:cs="Arial"/>
                <w:sz w:val="18"/>
                <w:szCs w:val="18"/>
              </w:rPr>
            </w:pPr>
            <w:r>
              <w:rPr>
                <w:rFonts w:cs="Arial"/>
                <w:sz w:val="18"/>
                <w:szCs w:val="18"/>
              </w:rPr>
              <w:t xml:space="preserve">Outside metropolitan areas and outside </w:t>
            </w:r>
            <w:r>
              <w:rPr>
                <w:rFonts w:cs="Arial"/>
                <w:color w:val="000000"/>
                <w:sz w:val="18"/>
                <w:szCs w:val="18"/>
              </w:rPr>
              <w:t>designated areas</w:t>
            </w:r>
          </w:p>
          <w:p w14:paraId="7D1B54D9" w14:textId="77777777" w:rsidR="00C71AD9" w:rsidRDefault="00C71AD9" w:rsidP="006F2BBE">
            <w:pPr>
              <w:pStyle w:val="TableBody"/>
              <w:spacing w:line="220" w:lineRule="atLeast"/>
              <w:rPr>
                <w:rFonts w:cs="Arial"/>
                <w:sz w:val="18"/>
                <w:szCs w:val="18"/>
              </w:rPr>
            </w:pPr>
          </w:p>
        </w:tc>
        <w:tc>
          <w:tcPr>
            <w:tcW w:w="1275" w:type="pct"/>
            <w:tcBorders>
              <w:top w:val="single" w:sz="4" w:space="0" w:color="auto"/>
              <w:left w:val="single" w:sz="4" w:space="0" w:color="auto"/>
              <w:bottom w:val="single" w:sz="4" w:space="0" w:color="auto"/>
              <w:right w:val="single" w:sz="4" w:space="0" w:color="auto"/>
            </w:tcBorders>
            <w:hideMark/>
          </w:tcPr>
          <w:p w14:paraId="1C92F82E" w14:textId="77777777" w:rsidR="00C71AD9" w:rsidRDefault="00C71AD9" w:rsidP="006F2BBE">
            <w:pPr>
              <w:pStyle w:val="TableBody"/>
              <w:spacing w:line="220" w:lineRule="atLeast"/>
              <w:rPr>
                <w:rFonts w:cs="Arial"/>
                <w:sz w:val="18"/>
                <w:szCs w:val="18"/>
              </w:rPr>
            </w:pPr>
            <w:r>
              <w:rPr>
                <w:rFonts w:cs="Arial"/>
                <w:sz w:val="18"/>
                <w:szCs w:val="18"/>
              </w:rPr>
              <w:t>TOB</w:t>
            </w:r>
          </w:p>
        </w:tc>
        <w:tc>
          <w:tcPr>
            <w:tcW w:w="2877" w:type="pct"/>
            <w:tcBorders>
              <w:top w:val="single" w:sz="4" w:space="0" w:color="auto"/>
              <w:left w:val="single" w:sz="4" w:space="0" w:color="auto"/>
              <w:bottom w:val="single" w:sz="4" w:space="0" w:color="auto"/>
              <w:right w:val="single" w:sz="4" w:space="0" w:color="auto"/>
            </w:tcBorders>
            <w:hideMark/>
          </w:tcPr>
          <w:p w14:paraId="4D47AD30" w14:textId="77777777" w:rsidR="00C71AD9" w:rsidRDefault="00C71AD9" w:rsidP="006F2BBE">
            <w:pPr>
              <w:pStyle w:val="TableBody"/>
              <w:spacing w:line="220" w:lineRule="atLeast"/>
              <w:rPr>
                <w:rFonts w:cs="Arial"/>
                <w:sz w:val="18"/>
                <w:szCs w:val="18"/>
              </w:rPr>
            </w:pPr>
            <w:r>
              <w:rPr>
                <w:rFonts w:cs="Arial"/>
                <w:sz w:val="18"/>
                <w:szCs w:val="18"/>
              </w:rPr>
              <w:t>Operations cease by 29</w:t>
            </w:r>
            <w:r>
              <w:rPr>
                <w:rFonts w:cs="Arial"/>
              </w:rPr>
              <w:t xml:space="preserve"> </w:t>
            </w:r>
            <w:r>
              <w:rPr>
                <w:rFonts w:cs="Arial"/>
                <w:sz w:val="18"/>
                <w:szCs w:val="18"/>
              </w:rPr>
              <w:t>February 2024, protected from narrowband MSS until then.</w:t>
            </w:r>
          </w:p>
        </w:tc>
      </w:tr>
      <w:tr w:rsidR="00C71AD9" w14:paraId="5DBD6C6B" w14:textId="77777777" w:rsidTr="006F2BBE">
        <w:trPr>
          <w:cnfStyle w:val="000000100000" w:firstRow="0" w:lastRow="0" w:firstColumn="0" w:lastColumn="0" w:oddVBand="0" w:evenVBand="0" w:oddHBand="1" w:evenHBand="0" w:firstRowFirstColumn="0" w:firstRowLastColumn="0" w:lastRowFirstColumn="0" w:lastRowLastColumn="0"/>
        </w:trPr>
        <w:tc>
          <w:tcPr>
            <w:tcW w:w="848" w:type="pct"/>
            <w:vMerge/>
            <w:tcBorders>
              <w:top w:val="single" w:sz="4" w:space="0" w:color="auto"/>
              <w:left w:val="single" w:sz="4" w:space="0" w:color="auto"/>
              <w:bottom w:val="single" w:sz="4" w:space="0" w:color="auto"/>
              <w:right w:val="single" w:sz="4" w:space="0" w:color="auto"/>
            </w:tcBorders>
            <w:vAlign w:val="center"/>
            <w:hideMark/>
          </w:tcPr>
          <w:p w14:paraId="1900C6F0" w14:textId="77777777" w:rsidR="00C71AD9" w:rsidRDefault="00C71AD9" w:rsidP="006F2BBE">
            <w:pPr>
              <w:spacing w:after="0" w:line="240" w:lineRule="auto"/>
              <w:rPr>
                <w:rFonts w:asciiTheme="minorHAnsi" w:eastAsiaTheme="minorHAnsi" w:hAnsiTheme="minorHAnsi" w:cs="Arial"/>
                <w:sz w:val="18"/>
                <w:szCs w:val="18"/>
                <w:lang w:eastAsia="en-US"/>
              </w:rPr>
            </w:pPr>
          </w:p>
        </w:tc>
        <w:tc>
          <w:tcPr>
            <w:tcW w:w="1275" w:type="pct"/>
            <w:tcBorders>
              <w:top w:val="single" w:sz="4" w:space="0" w:color="auto"/>
              <w:left w:val="single" w:sz="4" w:space="0" w:color="auto"/>
              <w:bottom w:val="single" w:sz="4" w:space="0" w:color="auto"/>
              <w:right w:val="single" w:sz="4" w:space="0" w:color="auto"/>
            </w:tcBorders>
            <w:hideMark/>
          </w:tcPr>
          <w:p w14:paraId="4DDCA46D" w14:textId="77777777" w:rsidR="00C71AD9" w:rsidRDefault="00C71AD9" w:rsidP="006F2BBE">
            <w:pPr>
              <w:pStyle w:val="TableBody"/>
              <w:spacing w:line="220" w:lineRule="atLeast"/>
              <w:rPr>
                <w:rFonts w:cs="Arial"/>
                <w:sz w:val="18"/>
                <w:szCs w:val="18"/>
              </w:rPr>
            </w:pPr>
            <w:r>
              <w:rPr>
                <w:rFonts w:cs="Arial"/>
                <w:sz w:val="18"/>
                <w:szCs w:val="18"/>
              </w:rPr>
              <w:t>Narrowband MSS</w:t>
            </w:r>
          </w:p>
          <w:p w14:paraId="249CCF21" w14:textId="77777777" w:rsidR="00C71AD9" w:rsidRPr="00414CCA" w:rsidRDefault="00C71AD9" w:rsidP="006F2BBE">
            <w:pPr>
              <w:pStyle w:val="TableBody"/>
              <w:spacing w:line="220" w:lineRule="atLeast"/>
              <w:rPr>
                <w:rFonts w:cs="Arial"/>
                <w:b/>
                <w:bCs/>
                <w:sz w:val="18"/>
                <w:szCs w:val="18"/>
              </w:rPr>
            </w:pPr>
            <w:r>
              <w:rPr>
                <w:rFonts w:cs="Arial"/>
                <w:sz w:val="18"/>
                <w:szCs w:val="18"/>
              </w:rPr>
              <w:t>(2005-2009/2195-2200 MHz)</w:t>
            </w:r>
          </w:p>
        </w:tc>
        <w:tc>
          <w:tcPr>
            <w:tcW w:w="2877" w:type="pct"/>
            <w:tcBorders>
              <w:top w:val="single" w:sz="4" w:space="0" w:color="auto"/>
              <w:left w:val="single" w:sz="4" w:space="0" w:color="auto"/>
              <w:bottom w:val="single" w:sz="4" w:space="0" w:color="auto"/>
              <w:right w:val="single" w:sz="4" w:space="0" w:color="auto"/>
            </w:tcBorders>
            <w:hideMark/>
          </w:tcPr>
          <w:p w14:paraId="2EC2DD30" w14:textId="77777777" w:rsidR="00C71AD9" w:rsidRDefault="00C71AD9" w:rsidP="006F2BBE">
            <w:pPr>
              <w:pStyle w:val="TableBody"/>
              <w:spacing w:after="120" w:line="220" w:lineRule="atLeast"/>
              <w:rPr>
                <w:rFonts w:cs="Arial"/>
                <w:sz w:val="18"/>
                <w:szCs w:val="18"/>
              </w:rPr>
            </w:pPr>
            <w:r>
              <w:rPr>
                <w:rFonts w:cs="Arial"/>
                <w:sz w:val="18"/>
                <w:szCs w:val="18"/>
              </w:rPr>
              <w:t>Until 29 February 2024, operation is on the basis of no protection afforded from TOB and no interference to TOB.</w:t>
            </w:r>
          </w:p>
          <w:p w14:paraId="04AC36C2" w14:textId="77777777" w:rsidR="00C71AD9" w:rsidRDefault="00C71AD9" w:rsidP="006F2BBE">
            <w:pPr>
              <w:pStyle w:val="TableBody"/>
              <w:spacing w:line="220" w:lineRule="atLeast"/>
              <w:rPr>
                <w:rFonts w:cs="Arial"/>
                <w:sz w:val="18"/>
                <w:szCs w:val="18"/>
              </w:rPr>
            </w:pPr>
            <w:r>
              <w:rPr>
                <w:rFonts w:cs="Arial"/>
                <w:sz w:val="18"/>
                <w:szCs w:val="18"/>
              </w:rPr>
              <w:t>From 1 March 2024 until 28 February 2026, only TOB services in metropolitan areas and designated areas require protection.</w:t>
            </w:r>
          </w:p>
        </w:tc>
      </w:tr>
      <w:tr w:rsidR="00C71AD9" w14:paraId="6674DC86" w14:textId="77777777" w:rsidTr="006F2BBE">
        <w:trPr>
          <w:cnfStyle w:val="000000010000" w:firstRow="0" w:lastRow="0" w:firstColumn="0" w:lastColumn="0" w:oddVBand="0" w:evenVBand="0" w:oddHBand="0" w:evenHBand="1" w:firstRowFirstColumn="0" w:firstRowLastColumn="0" w:lastRowFirstColumn="0" w:lastRowLastColumn="0"/>
        </w:trPr>
        <w:tc>
          <w:tcPr>
            <w:tcW w:w="848" w:type="pct"/>
            <w:vMerge/>
            <w:tcBorders>
              <w:top w:val="single" w:sz="4" w:space="0" w:color="auto"/>
              <w:left w:val="single" w:sz="4" w:space="0" w:color="auto"/>
              <w:bottom w:val="single" w:sz="4" w:space="0" w:color="auto"/>
              <w:right w:val="single" w:sz="4" w:space="0" w:color="auto"/>
            </w:tcBorders>
            <w:vAlign w:val="center"/>
            <w:hideMark/>
          </w:tcPr>
          <w:p w14:paraId="46F52AB3" w14:textId="77777777" w:rsidR="00C71AD9" w:rsidRDefault="00C71AD9" w:rsidP="006F2BBE">
            <w:pPr>
              <w:spacing w:after="0" w:line="240" w:lineRule="auto"/>
              <w:rPr>
                <w:rFonts w:asciiTheme="minorHAnsi" w:eastAsiaTheme="minorHAnsi" w:hAnsiTheme="minorHAnsi" w:cs="Arial"/>
                <w:sz w:val="18"/>
                <w:szCs w:val="18"/>
                <w:lang w:eastAsia="en-US"/>
              </w:rPr>
            </w:pPr>
          </w:p>
        </w:tc>
        <w:tc>
          <w:tcPr>
            <w:tcW w:w="1275" w:type="pct"/>
            <w:tcBorders>
              <w:top w:val="single" w:sz="4" w:space="0" w:color="auto"/>
              <w:left w:val="single" w:sz="4" w:space="0" w:color="auto"/>
              <w:bottom w:val="single" w:sz="4" w:space="0" w:color="auto"/>
              <w:right w:val="single" w:sz="4" w:space="0" w:color="auto"/>
            </w:tcBorders>
            <w:hideMark/>
          </w:tcPr>
          <w:p w14:paraId="4673E919" w14:textId="77777777" w:rsidR="00C71AD9" w:rsidRDefault="00C71AD9" w:rsidP="006F2BBE">
            <w:pPr>
              <w:pStyle w:val="TableBody"/>
              <w:spacing w:line="220" w:lineRule="atLeast"/>
              <w:rPr>
                <w:rFonts w:cs="Arial"/>
                <w:sz w:val="18"/>
                <w:szCs w:val="18"/>
              </w:rPr>
            </w:pPr>
            <w:r>
              <w:rPr>
                <w:rFonts w:cs="Arial"/>
                <w:sz w:val="18"/>
                <w:szCs w:val="18"/>
              </w:rPr>
              <w:t>MSS (2 x 25 MHz)</w:t>
            </w:r>
          </w:p>
        </w:tc>
        <w:tc>
          <w:tcPr>
            <w:tcW w:w="2877" w:type="pct"/>
            <w:tcBorders>
              <w:top w:val="single" w:sz="4" w:space="0" w:color="auto"/>
              <w:left w:val="single" w:sz="4" w:space="0" w:color="auto"/>
              <w:bottom w:val="single" w:sz="4" w:space="0" w:color="auto"/>
              <w:right w:val="single" w:sz="4" w:space="0" w:color="auto"/>
            </w:tcBorders>
            <w:hideMark/>
          </w:tcPr>
          <w:p w14:paraId="67C23647" w14:textId="77777777" w:rsidR="00C71AD9" w:rsidRDefault="00C71AD9" w:rsidP="006F2BBE">
            <w:pPr>
              <w:pStyle w:val="TableBody"/>
              <w:spacing w:after="120" w:line="220" w:lineRule="atLeast"/>
              <w:rPr>
                <w:rFonts w:cs="Arial"/>
                <w:color w:val="000000"/>
                <w:sz w:val="18"/>
                <w:szCs w:val="18"/>
              </w:rPr>
            </w:pPr>
            <w:r>
              <w:rPr>
                <w:rFonts w:cs="Arial"/>
                <w:color w:val="000000"/>
                <w:sz w:val="18"/>
                <w:szCs w:val="18"/>
              </w:rPr>
              <w:t>Licence allocation arrangements to be determined.</w:t>
            </w:r>
          </w:p>
          <w:p w14:paraId="20A9259A" w14:textId="77777777" w:rsidR="00C71AD9" w:rsidRDefault="00C71AD9" w:rsidP="006F2BBE">
            <w:pPr>
              <w:pStyle w:val="TableBody"/>
              <w:spacing w:after="120" w:line="220" w:lineRule="atLeast"/>
              <w:rPr>
                <w:rFonts w:cs="Arial"/>
                <w:sz w:val="18"/>
                <w:szCs w:val="18"/>
              </w:rPr>
            </w:pPr>
            <w:r>
              <w:rPr>
                <w:rFonts w:cs="Arial"/>
                <w:sz w:val="18"/>
                <w:szCs w:val="18"/>
              </w:rPr>
              <w:t>Until 29 February 2024, operation is on the basis of no protection afforded from TOB and no interference to TOB.</w:t>
            </w:r>
          </w:p>
          <w:p w14:paraId="14143653" w14:textId="77777777" w:rsidR="00C71AD9" w:rsidRDefault="00C71AD9" w:rsidP="006F2BBE">
            <w:pPr>
              <w:pStyle w:val="TableBody"/>
              <w:spacing w:line="220" w:lineRule="atLeast"/>
              <w:rPr>
                <w:rFonts w:cs="Arial"/>
                <w:sz w:val="18"/>
                <w:szCs w:val="18"/>
              </w:rPr>
            </w:pPr>
            <w:r>
              <w:rPr>
                <w:rFonts w:cs="Arial"/>
                <w:sz w:val="18"/>
                <w:szCs w:val="18"/>
              </w:rPr>
              <w:t xml:space="preserve">From 1 March 2024 until 28 February 2026, only TOB services in metropolitan areas and </w:t>
            </w:r>
            <w:r>
              <w:rPr>
                <w:rFonts w:cs="Arial"/>
                <w:color w:val="000000"/>
                <w:sz w:val="18"/>
                <w:szCs w:val="18"/>
              </w:rPr>
              <w:t>designated areas require protection.</w:t>
            </w:r>
          </w:p>
        </w:tc>
      </w:tr>
    </w:tbl>
    <w:p w14:paraId="2C3D00BC" w14:textId="77777777" w:rsidR="00C71AD9" w:rsidRDefault="00C71AD9" w:rsidP="00C71AD9"/>
    <w:p w14:paraId="3B51F008" w14:textId="77777777" w:rsidR="00C71AD9" w:rsidRPr="00F41BB6" w:rsidRDefault="00C71AD9" w:rsidP="00C71AD9">
      <w:pPr>
        <w:pStyle w:val="AppL2"/>
      </w:pPr>
      <w:bookmarkStart w:id="293" w:name="_Toc153798021"/>
      <w:r>
        <w:t>Assessment procedures</w:t>
      </w:r>
      <w:bookmarkEnd w:id="293"/>
    </w:p>
    <w:p w14:paraId="51724489" w14:textId="77777777" w:rsidR="00C71AD9" w:rsidRDefault="00C71AD9" w:rsidP="00C71AD9">
      <w:pPr>
        <w:spacing w:after="0" w:line="240" w:lineRule="auto"/>
        <w:textAlignment w:val="baseline"/>
        <w:rPr>
          <w:rFonts w:cs="Arial"/>
          <w:szCs w:val="20"/>
          <w:highlight w:val="yellow"/>
        </w:rPr>
      </w:pPr>
    </w:p>
    <w:p w14:paraId="27BC2F9C" w14:textId="77777777" w:rsidR="00C71AD9" w:rsidRPr="002B4ECF" w:rsidRDefault="00C71AD9" w:rsidP="00C71AD9">
      <w:pPr>
        <w:pStyle w:val="AppL3"/>
      </w:pPr>
      <w:bookmarkStart w:id="294" w:name="_Toc153798022"/>
      <w:r>
        <w:t>Compliance with conditions of CSO class licence</w:t>
      </w:r>
      <w:bookmarkEnd w:id="294"/>
      <w:r>
        <w:t xml:space="preserve"> </w:t>
      </w:r>
    </w:p>
    <w:p w14:paraId="797B4677" w14:textId="77777777" w:rsidR="00C71AD9" w:rsidRDefault="00C71AD9" w:rsidP="00C71AD9">
      <w:pPr>
        <w:pStyle w:val="ListBullet"/>
        <w:spacing w:after="240"/>
      </w:pPr>
      <w:r w:rsidRPr="00871522">
        <w:t xml:space="preserve">All applications for </w:t>
      </w:r>
      <w:r w:rsidRPr="00FF08FC">
        <w:rPr>
          <w:i/>
          <w:iCs/>
        </w:rPr>
        <w:t>space receive licence</w:t>
      </w:r>
      <w:r>
        <w:rPr>
          <w:i/>
          <w:iCs/>
        </w:rPr>
        <w:t>s</w:t>
      </w:r>
      <w:r w:rsidRPr="00FF08FC">
        <w:rPr>
          <w:i/>
          <w:iCs/>
        </w:rPr>
        <w:t>/space licence</w:t>
      </w:r>
      <w:r>
        <w:rPr>
          <w:i/>
          <w:iCs/>
        </w:rPr>
        <w:t>s</w:t>
      </w:r>
      <w:r w:rsidRPr="00871522">
        <w:t xml:space="preserve"> in the </w:t>
      </w:r>
      <w:r>
        <w:t>2005-2010/2195-2200 MHz</w:t>
      </w:r>
      <w:r w:rsidRPr="00871522">
        <w:t xml:space="preserve"> band will need to provide supporting information demonstrating </w:t>
      </w:r>
      <w:r>
        <w:t>how</w:t>
      </w:r>
      <w:r w:rsidRPr="00871522">
        <w:t xml:space="preserve"> they meet the requirements </w:t>
      </w:r>
      <w:r>
        <w:t xml:space="preserve">of the </w:t>
      </w:r>
      <w:r w:rsidRPr="00871522">
        <w:t xml:space="preserve">CSO </w:t>
      </w:r>
      <w:r>
        <w:t>C</w:t>
      </w:r>
      <w:r w:rsidRPr="00871522">
        <w:t>lass licence</w:t>
      </w:r>
      <w:r>
        <w:t xml:space="preserve"> (refer to section 8 of the class licence, extract below):</w:t>
      </w:r>
    </w:p>
    <w:p w14:paraId="094B386C" w14:textId="77777777" w:rsidR="00C71AD9" w:rsidRDefault="00C71AD9" w:rsidP="00C71AD9">
      <w:pPr>
        <w:pStyle w:val="hr"/>
        <w:shd w:val="clear" w:color="auto" w:fill="FFFFFF"/>
        <w:spacing w:before="360" w:beforeAutospacing="0" w:after="0" w:afterAutospacing="0"/>
        <w:ind w:left="964" w:hanging="964"/>
        <w:rPr>
          <w:rFonts w:ascii="Arial" w:hAnsi="Arial" w:cs="Arial"/>
          <w:b/>
          <w:bCs/>
          <w:color w:val="000000"/>
        </w:rPr>
      </w:pPr>
      <w:r>
        <w:rPr>
          <w:rStyle w:val="charsectno"/>
          <w:rFonts w:ascii="Arial" w:hAnsi="Arial" w:cs="Arial"/>
          <w:b/>
          <w:bCs/>
          <w:color w:val="000000"/>
        </w:rPr>
        <w:t>8</w:t>
      </w:r>
      <w:r>
        <w:rPr>
          <w:rFonts w:ascii="Arial" w:hAnsi="Arial" w:cs="Arial"/>
          <w:b/>
          <w:bCs/>
          <w:color w:val="000000"/>
        </w:rPr>
        <w:t>              Interference with other stations</w:t>
      </w:r>
    </w:p>
    <w:p w14:paraId="25C03E02" w14:textId="77777777" w:rsidR="00C71AD9" w:rsidRDefault="00C71AD9" w:rsidP="00C71AD9">
      <w:pPr>
        <w:pStyle w:val="zr1"/>
        <w:shd w:val="clear" w:color="auto" w:fill="FFFFFF"/>
        <w:spacing w:before="120" w:beforeAutospacing="0" w:after="0" w:afterAutospacing="0" w:line="260" w:lineRule="atLeast"/>
        <w:ind w:left="964" w:hanging="397"/>
        <w:jc w:val="both"/>
        <w:rPr>
          <w:color w:val="000000"/>
        </w:rPr>
      </w:pPr>
      <w:r>
        <w:rPr>
          <w:color w:val="000000"/>
        </w:rPr>
        <w:t>(1)  This class licence authorises operation of a station only when its operation does not interfere with the operation of a radiocommunications receiver.</w:t>
      </w:r>
    </w:p>
    <w:p w14:paraId="5B17A419" w14:textId="77777777" w:rsidR="00C71AD9" w:rsidRDefault="00C71AD9" w:rsidP="00C71AD9">
      <w:pPr>
        <w:pStyle w:val="zr1"/>
        <w:shd w:val="clear" w:color="auto" w:fill="FFFFFF"/>
        <w:spacing w:before="120" w:beforeAutospacing="0" w:after="0" w:afterAutospacing="0" w:line="260" w:lineRule="atLeast"/>
        <w:ind w:left="964" w:hanging="397"/>
        <w:jc w:val="both"/>
        <w:rPr>
          <w:color w:val="000000"/>
        </w:rPr>
      </w:pPr>
      <w:r>
        <w:rPr>
          <w:color w:val="000000"/>
        </w:rPr>
        <w:t>…</w:t>
      </w:r>
    </w:p>
    <w:p w14:paraId="34FF36F6" w14:textId="77777777" w:rsidR="00C71AD9" w:rsidRPr="003A5D27" w:rsidRDefault="00C71AD9" w:rsidP="00C71AD9">
      <w:pPr>
        <w:shd w:val="clear" w:color="auto" w:fill="FFFFFF"/>
        <w:spacing w:before="180" w:after="0" w:line="260" w:lineRule="atLeast"/>
        <w:ind w:left="993" w:hanging="426"/>
        <w:rPr>
          <w:rFonts w:ascii="Calibri" w:hAnsi="Calibri" w:cs="Calibri"/>
          <w:color w:val="000000"/>
          <w:sz w:val="22"/>
          <w:szCs w:val="22"/>
        </w:rPr>
      </w:pPr>
      <w:r w:rsidRPr="003A5D27">
        <w:rPr>
          <w:rFonts w:ascii="Times New Roman" w:hAnsi="Times New Roman"/>
          <w:color w:val="000000"/>
          <w:sz w:val="24"/>
        </w:rPr>
        <w:t>(4)   Subject to subsection (5), this class licence authorises the operation of a station in the frequency range of 2005 to 2010 MHz only if:</w:t>
      </w:r>
    </w:p>
    <w:p w14:paraId="3DEC5A14" w14:textId="77777777" w:rsidR="00C71AD9" w:rsidRPr="003A5D27" w:rsidRDefault="00C71AD9" w:rsidP="00C71AD9">
      <w:pPr>
        <w:shd w:val="clear" w:color="auto" w:fill="FFFFFF"/>
        <w:spacing w:before="40" w:after="0" w:line="260" w:lineRule="atLeast"/>
        <w:ind w:left="1418" w:hanging="425"/>
        <w:rPr>
          <w:rFonts w:ascii="Calibri" w:hAnsi="Calibri" w:cs="Calibri"/>
          <w:color w:val="000000"/>
          <w:sz w:val="22"/>
          <w:szCs w:val="22"/>
        </w:rPr>
      </w:pPr>
      <w:r w:rsidRPr="003A5D27">
        <w:rPr>
          <w:rFonts w:ascii="Times New Roman" w:hAnsi="Times New Roman"/>
          <w:color w:val="000000"/>
          <w:sz w:val="24"/>
        </w:rPr>
        <w:t>(a)   the radiocommunications transmitter of the station is not on board an aircraft that is in the air; and</w:t>
      </w:r>
    </w:p>
    <w:p w14:paraId="2F487B85" w14:textId="77777777" w:rsidR="00C71AD9" w:rsidRPr="003A5D27" w:rsidRDefault="00C71AD9" w:rsidP="00C71AD9">
      <w:pPr>
        <w:shd w:val="clear" w:color="auto" w:fill="FFFFFF"/>
        <w:spacing w:before="40" w:after="0" w:line="260" w:lineRule="atLeast"/>
        <w:ind w:left="1418" w:hanging="425"/>
        <w:rPr>
          <w:rFonts w:ascii="Calibri" w:hAnsi="Calibri" w:cs="Calibri"/>
          <w:color w:val="000000"/>
          <w:sz w:val="22"/>
          <w:szCs w:val="22"/>
        </w:rPr>
      </w:pPr>
      <w:r w:rsidRPr="003A5D27">
        <w:rPr>
          <w:rFonts w:ascii="Times New Roman" w:hAnsi="Times New Roman"/>
          <w:color w:val="000000"/>
          <w:sz w:val="24"/>
        </w:rPr>
        <w:t>(b)   the emissions of the radiocommunications transmitter above the frequency 2010 MHz do not exceed an EIRP of -66 </w:t>
      </w:r>
      <w:proofErr w:type="spellStart"/>
      <w:r w:rsidRPr="003A5D27">
        <w:rPr>
          <w:rFonts w:ascii="Times New Roman" w:hAnsi="Times New Roman"/>
          <w:color w:val="000000"/>
          <w:sz w:val="24"/>
        </w:rPr>
        <w:t>dBW</w:t>
      </w:r>
      <w:proofErr w:type="spellEnd"/>
      <w:r w:rsidRPr="003A5D27">
        <w:rPr>
          <w:rFonts w:ascii="Times New Roman" w:hAnsi="Times New Roman"/>
          <w:color w:val="000000"/>
          <w:sz w:val="24"/>
        </w:rPr>
        <w:t xml:space="preserve"> for each </w:t>
      </w:r>
      <w:proofErr w:type="spellStart"/>
      <w:r w:rsidRPr="003A5D27">
        <w:rPr>
          <w:rFonts w:ascii="Times New Roman" w:hAnsi="Times New Roman"/>
          <w:color w:val="000000"/>
          <w:sz w:val="24"/>
        </w:rPr>
        <w:t>MHz.</w:t>
      </w:r>
      <w:proofErr w:type="spellEnd"/>
    </w:p>
    <w:p w14:paraId="0AB77762" w14:textId="77777777" w:rsidR="00C71AD9" w:rsidRPr="003A5D27" w:rsidRDefault="00C71AD9" w:rsidP="00C71AD9">
      <w:pPr>
        <w:shd w:val="clear" w:color="auto" w:fill="FFFFFF"/>
        <w:spacing w:before="180" w:after="0" w:line="260" w:lineRule="atLeast"/>
        <w:ind w:left="993" w:hanging="426"/>
        <w:rPr>
          <w:rFonts w:ascii="Calibri" w:hAnsi="Calibri" w:cs="Calibri"/>
          <w:color w:val="000000"/>
          <w:sz w:val="22"/>
          <w:szCs w:val="22"/>
        </w:rPr>
      </w:pPr>
      <w:r w:rsidRPr="003A5D27">
        <w:rPr>
          <w:rFonts w:ascii="Times New Roman" w:hAnsi="Times New Roman"/>
          <w:color w:val="000000"/>
          <w:sz w:val="24"/>
        </w:rPr>
        <w:t>(5)   This class licence does not authorise the operation of a station in the frequency range of 2005 to 2010 MHz in a metropolitan area unless:</w:t>
      </w:r>
    </w:p>
    <w:p w14:paraId="3B6BAAD1" w14:textId="77777777" w:rsidR="00C71AD9" w:rsidRPr="003A5D27" w:rsidRDefault="00C71AD9" w:rsidP="00C71AD9">
      <w:pPr>
        <w:shd w:val="clear" w:color="auto" w:fill="FFFFFF"/>
        <w:spacing w:before="40" w:after="0" w:line="260" w:lineRule="atLeast"/>
        <w:ind w:left="1418" w:hanging="425"/>
        <w:rPr>
          <w:rFonts w:ascii="Calibri" w:hAnsi="Calibri" w:cs="Calibri"/>
          <w:color w:val="000000"/>
          <w:sz w:val="22"/>
          <w:szCs w:val="22"/>
        </w:rPr>
      </w:pPr>
      <w:r w:rsidRPr="003A5D27">
        <w:rPr>
          <w:rFonts w:ascii="Times New Roman" w:hAnsi="Times New Roman"/>
          <w:color w:val="000000"/>
          <w:sz w:val="24"/>
        </w:rPr>
        <w:t xml:space="preserve">(a)   the emissions of the radiocommunications transmitter of the station do not exceed a maximum EIRP of 0.5 </w:t>
      </w:r>
      <w:proofErr w:type="spellStart"/>
      <w:r w:rsidRPr="003A5D27">
        <w:rPr>
          <w:rFonts w:ascii="Times New Roman" w:hAnsi="Times New Roman"/>
          <w:color w:val="000000"/>
          <w:sz w:val="24"/>
        </w:rPr>
        <w:t>dBW</w:t>
      </w:r>
      <w:proofErr w:type="spellEnd"/>
      <w:r w:rsidRPr="003A5D27">
        <w:rPr>
          <w:rFonts w:ascii="Times New Roman" w:hAnsi="Times New Roman"/>
          <w:color w:val="000000"/>
          <w:sz w:val="24"/>
        </w:rPr>
        <w:t xml:space="preserve"> for each MHz; and</w:t>
      </w:r>
    </w:p>
    <w:p w14:paraId="2C84E0F4" w14:textId="77777777" w:rsidR="00C71AD9" w:rsidRPr="003A5D27" w:rsidRDefault="00C71AD9" w:rsidP="00C71AD9">
      <w:pPr>
        <w:shd w:val="clear" w:color="auto" w:fill="FFFFFF"/>
        <w:spacing w:before="40" w:after="0" w:line="260" w:lineRule="atLeast"/>
        <w:ind w:left="1418" w:hanging="425"/>
        <w:rPr>
          <w:rFonts w:ascii="Calibri" w:hAnsi="Calibri" w:cs="Calibri"/>
          <w:color w:val="000000"/>
          <w:sz w:val="22"/>
          <w:szCs w:val="22"/>
        </w:rPr>
      </w:pPr>
      <w:r w:rsidRPr="003A5D27">
        <w:rPr>
          <w:rFonts w:ascii="Times New Roman" w:hAnsi="Times New Roman"/>
          <w:color w:val="000000"/>
          <w:sz w:val="24"/>
        </w:rPr>
        <w:t>(b)   the maximum duty cycle of the radiocommunications transmitter does not exceed 1% averaged over a 15-minute period; and</w:t>
      </w:r>
    </w:p>
    <w:p w14:paraId="00B6BFFE" w14:textId="77777777" w:rsidR="00C71AD9" w:rsidRPr="003A5D27" w:rsidRDefault="00C71AD9" w:rsidP="00C71AD9">
      <w:pPr>
        <w:shd w:val="clear" w:color="auto" w:fill="FFFFFF"/>
        <w:spacing w:before="40" w:after="0" w:line="260" w:lineRule="atLeast"/>
        <w:ind w:left="1418" w:hanging="425"/>
        <w:rPr>
          <w:rFonts w:ascii="Calibri" w:hAnsi="Calibri" w:cs="Calibri"/>
          <w:color w:val="000000"/>
          <w:sz w:val="22"/>
          <w:szCs w:val="22"/>
        </w:rPr>
      </w:pPr>
      <w:r w:rsidRPr="003A5D27">
        <w:rPr>
          <w:rFonts w:ascii="Times New Roman" w:hAnsi="Times New Roman"/>
          <w:color w:val="000000"/>
          <w:sz w:val="24"/>
        </w:rPr>
        <w:t>(c)   each transmission of the radiocommunications transmitter does not exceed 4 seconds in duration.</w:t>
      </w:r>
    </w:p>
    <w:p w14:paraId="7DF03475" w14:textId="77777777" w:rsidR="00C71AD9" w:rsidRDefault="00C71AD9" w:rsidP="00C71AD9">
      <w:pPr>
        <w:pStyle w:val="ListBullet"/>
        <w:spacing w:after="240"/>
      </w:pPr>
    </w:p>
    <w:p w14:paraId="2B6576E4" w14:textId="77777777" w:rsidR="00C71AD9" w:rsidRDefault="00C71AD9" w:rsidP="00C71AD9">
      <w:pPr>
        <w:pStyle w:val="AppL3"/>
      </w:pPr>
      <w:bookmarkStart w:id="295" w:name="_Toc153798023"/>
      <w:r>
        <w:t>Requirements in metropolitan areas</w:t>
      </w:r>
      <w:bookmarkEnd w:id="295"/>
    </w:p>
    <w:p w14:paraId="6E8ED314" w14:textId="70BF4170" w:rsidR="00C71AD9" w:rsidRDefault="00C71AD9" w:rsidP="00C71AD9">
      <w:pPr>
        <w:pStyle w:val="ListBullet"/>
        <w:spacing w:after="240"/>
      </w:pPr>
      <w:r>
        <w:t xml:space="preserve">(Note: No licences </w:t>
      </w:r>
      <w:r w:rsidR="001025CD">
        <w:t>will be</w:t>
      </w:r>
      <w:r>
        <w:t xml:space="preserve"> issued authorising operations in metropolitan areas until </w:t>
      </w:r>
      <w:r w:rsidR="002C7DA4">
        <w:br/>
      </w:r>
      <w:r>
        <w:t xml:space="preserve">1 March 2026) </w:t>
      </w:r>
    </w:p>
    <w:p w14:paraId="7844A6B1" w14:textId="77777777" w:rsidR="00C71AD9" w:rsidRDefault="00C71AD9" w:rsidP="00C71AD9">
      <w:pPr>
        <w:pStyle w:val="ListBullet"/>
        <w:spacing w:after="240"/>
      </w:pPr>
      <w:r>
        <w:t xml:space="preserve">In addition to compliance with the conditions of the CSO class licence, the restrictions below will apply in metropolitan areas (Note: they do not apply in designated areas). Applicants are to </w:t>
      </w:r>
      <w:r>
        <w:rPr>
          <w:rFonts w:cs="Arial"/>
          <w:szCs w:val="20"/>
        </w:rPr>
        <w:t>provide evidence describing how they will meet the following requirements:</w:t>
      </w:r>
    </w:p>
    <w:p w14:paraId="7CBBBB06" w14:textId="77777777" w:rsidR="00C71AD9" w:rsidRPr="00871522" w:rsidRDefault="00C71AD9" w:rsidP="00866124">
      <w:pPr>
        <w:pStyle w:val="ListBullet"/>
        <w:numPr>
          <w:ilvl w:val="0"/>
          <w:numId w:val="37"/>
        </w:numPr>
      </w:pPr>
      <w:r w:rsidRPr="00871522">
        <w:t xml:space="preserve">The EIRP of transmitting earth stations must not exceed -7 </w:t>
      </w:r>
      <w:proofErr w:type="spellStart"/>
      <w:r w:rsidRPr="00871522">
        <w:t>dBW</w:t>
      </w:r>
      <w:proofErr w:type="spellEnd"/>
      <w:r w:rsidRPr="00871522">
        <w:t>.  </w:t>
      </w:r>
    </w:p>
    <w:p w14:paraId="4902D695" w14:textId="77777777" w:rsidR="00C71AD9" w:rsidRPr="00871522" w:rsidRDefault="00C71AD9" w:rsidP="00866124">
      <w:pPr>
        <w:pStyle w:val="ListBullet"/>
        <w:numPr>
          <w:ilvl w:val="0"/>
          <w:numId w:val="37"/>
        </w:numPr>
      </w:pPr>
      <w:r w:rsidRPr="00871522">
        <w:t>Transmitting earth stations must employ bandwidths of at least 3.75 kHz</w:t>
      </w:r>
      <w:r>
        <w:t xml:space="preserve"> (Note with a CSO class licence </w:t>
      </w:r>
      <w:proofErr w:type="spellStart"/>
      <w:r>
        <w:t>pfd</w:t>
      </w:r>
      <w:proofErr w:type="spellEnd"/>
      <w:r>
        <w:t xml:space="preserve"> limit of 0.5</w:t>
      </w:r>
      <w:r w:rsidRPr="00CD4F26">
        <w:t xml:space="preserve"> </w:t>
      </w:r>
      <w:proofErr w:type="spellStart"/>
      <w:r w:rsidRPr="00CD4F26">
        <w:t>dBW</w:t>
      </w:r>
      <w:proofErr w:type="spellEnd"/>
      <w:r>
        <w:t>/MHz, power will need to be reduced for bandwidths less than 180 kHz)</w:t>
      </w:r>
    </w:p>
    <w:p w14:paraId="0CEEE048" w14:textId="4DCB3CB9" w:rsidR="00C71AD9" w:rsidRDefault="00C71AD9" w:rsidP="00866124">
      <w:pPr>
        <w:pStyle w:val="ListBullet"/>
        <w:numPr>
          <w:ilvl w:val="0"/>
          <w:numId w:val="37"/>
        </w:numPr>
      </w:pPr>
      <w:r w:rsidRPr="00871522">
        <w:t xml:space="preserve">Earth stations may not transmit within 10 km of listed </w:t>
      </w:r>
      <w:r>
        <w:t>television outside broadcast (</w:t>
      </w:r>
      <w:r w:rsidRPr="00871522">
        <w:t>TOB</w:t>
      </w:r>
      <w:r>
        <w:t>)</w:t>
      </w:r>
      <w:r w:rsidRPr="00871522">
        <w:t xml:space="preserve"> </w:t>
      </w:r>
      <w:r w:rsidR="001025CD">
        <w:t>receive stations</w:t>
      </w:r>
      <w:r>
        <w:t xml:space="preserve"> listed in </w:t>
      </w:r>
      <w:r>
        <w:fldChar w:fldCharType="begin"/>
      </w:r>
      <w:r>
        <w:instrText xml:space="preserve"> REF _Ref109219715 \r \h </w:instrText>
      </w:r>
      <w:r>
        <w:fldChar w:fldCharType="separate"/>
      </w:r>
      <w:r w:rsidR="0082411F">
        <w:t>H.4</w:t>
      </w:r>
      <w:r>
        <w:fldChar w:fldCharType="end"/>
      </w:r>
      <w:r>
        <w:t xml:space="preserve"> (TOB receive sites)</w:t>
      </w:r>
    </w:p>
    <w:p w14:paraId="431EEEF1" w14:textId="77777777" w:rsidR="00C71AD9" w:rsidRPr="00871522" w:rsidRDefault="00C71AD9" w:rsidP="00C71AD9">
      <w:pPr>
        <w:pStyle w:val="ListBullet"/>
        <w:ind w:left="295"/>
      </w:pPr>
    </w:p>
    <w:p w14:paraId="14C163A7" w14:textId="77777777" w:rsidR="00C71AD9" w:rsidRPr="00407ADE" w:rsidRDefault="00C71AD9" w:rsidP="00C71AD9">
      <w:pPr>
        <w:pStyle w:val="AppL3"/>
        <w:keepNext w:val="0"/>
      </w:pPr>
      <w:bookmarkStart w:id="296" w:name="_Toc153798024"/>
      <w:r>
        <w:t>Requirements o</w:t>
      </w:r>
      <w:r w:rsidRPr="00407ADE">
        <w:t>utside metropolitan areas</w:t>
      </w:r>
      <w:bookmarkEnd w:id="296"/>
      <w:r w:rsidRPr="00407ADE">
        <w:t>  </w:t>
      </w:r>
    </w:p>
    <w:p w14:paraId="5A18B7D0" w14:textId="77777777" w:rsidR="00C71AD9" w:rsidRDefault="00C71AD9" w:rsidP="00C71AD9">
      <w:pPr>
        <w:pStyle w:val="ListBullet"/>
      </w:pPr>
      <w:r w:rsidRPr="00277EEC">
        <w:t>(</w:t>
      </w:r>
      <w:r>
        <w:t>Note:</w:t>
      </w:r>
      <w:r w:rsidRPr="00277EEC">
        <w:t xml:space="preserve"> </w:t>
      </w:r>
      <w:r>
        <w:t xml:space="preserve">operations in designated areas (which are outside metropolitan areas) are not to commence </w:t>
      </w:r>
      <w:r w:rsidRPr="00277EEC">
        <w:t>until 1 March 2026)</w:t>
      </w:r>
    </w:p>
    <w:p w14:paraId="01507E9B" w14:textId="77777777" w:rsidR="00C71AD9" w:rsidRDefault="00C71AD9" w:rsidP="00C71AD9">
      <w:pPr>
        <w:pStyle w:val="ListBullet"/>
      </w:pPr>
    </w:p>
    <w:p w14:paraId="0815C433" w14:textId="77777777" w:rsidR="00C71AD9" w:rsidRDefault="00C71AD9" w:rsidP="00C71AD9">
      <w:pPr>
        <w:pStyle w:val="ListBullet"/>
        <w:spacing w:after="240"/>
      </w:pPr>
      <w:r>
        <w:t xml:space="preserve">In addition to compliance with the conditions of the CSO class licence, the restrictions below will outside of in metropolitan areas (including designated areas ). Applicants are to </w:t>
      </w:r>
      <w:r>
        <w:rPr>
          <w:rFonts w:cs="Arial"/>
          <w:szCs w:val="20"/>
        </w:rPr>
        <w:t>provide evidence describing how they will meet the following requirements:</w:t>
      </w:r>
    </w:p>
    <w:p w14:paraId="46147B5F" w14:textId="77777777" w:rsidR="00C71AD9" w:rsidRPr="00871522" w:rsidRDefault="00C71AD9" w:rsidP="00866124">
      <w:pPr>
        <w:pStyle w:val="ListBullet"/>
        <w:numPr>
          <w:ilvl w:val="0"/>
          <w:numId w:val="38"/>
        </w:numPr>
      </w:pPr>
      <w:r w:rsidRPr="00871522">
        <w:t xml:space="preserve">The EIRP of transmitting earth stations must not exceed -7 </w:t>
      </w:r>
      <w:proofErr w:type="spellStart"/>
      <w:r w:rsidRPr="00871522">
        <w:t>dBW</w:t>
      </w:r>
      <w:proofErr w:type="spellEnd"/>
      <w:r w:rsidRPr="00871522">
        <w:t>.  </w:t>
      </w:r>
    </w:p>
    <w:p w14:paraId="1ACDBC40" w14:textId="77777777" w:rsidR="00C71AD9" w:rsidRDefault="00C71AD9" w:rsidP="00866124">
      <w:pPr>
        <w:pStyle w:val="ListBullet"/>
        <w:numPr>
          <w:ilvl w:val="0"/>
          <w:numId w:val="38"/>
        </w:numPr>
      </w:pPr>
      <w:r w:rsidRPr="00871522">
        <w:t>Transmitting earth stations must employ bandwidths of at least 3.75 kHz</w:t>
      </w:r>
    </w:p>
    <w:p w14:paraId="61BB9F0B" w14:textId="77777777" w:rsidR="00C71AD9" w:rsidRDefault="00C71AD9" w:rsidP="00866124">
      <w:pPr>
        <w:pStyle w:val="ListBullet"/>
        <w:numPr>
          <w:ilvl w:val="0"/>
          <w:numId w:val="38"/>
        </w:numPr>
      </w:pPr>
      <w:r>
        <w:t xml:space="preserve">Note: The combination of EIRP and minimum bandwidth result in a maximum </w:t>
      </w:r>
      <w:r w:rsidRPr="00871522">
        <w:t>EIRP power spectral densit</w:t>
      </w:r>
      <w:r>
        <w:t xml:space="preserve">y of 17.3 </w:t>
      </w:r>
      <w:proofErr w:type="spellStart"/>
      <w:r>
        <w:t>dBW</w:t>
      </w:r>
      <w:proofErr w:type="spellEnd"/>
      <w:r>
        <w:t>/</w:t>
      </w:r>
      <w:proofErr w:type="spellStart"/>
      <w:r>
        <w:t>MHz</w:t>
      </w:r>
      <w:r w:rsidRPr="00871522">
        <w:t>.</w:t>
      </w:r>
      <w:proofErr w:type="spellEnd"/>
      <w:r w:rsidRPr="00871522">
        <w:t> </w:t>
      </w:r>
    </w:p>
    <w:p w14:paraId="75D140E2" w14:textId="0448EDDE" w:rsidR="00C71AD9" w:rsidRDefault="00C71AD9" w:rsidP="00866124">
      <w:pPr>
        <w:pStyle w:val="ListBullet"/>
        <w:numPr>
          <w:ilvl w:val="0"/>
          <w:numId w:val="38"/>
        </w:numPr>
      </w:pPr>
      <w:r w:rsidRPr="00871522">
        <w:t xml:space="preserve">Earth stations may not transmit within 10 km of listed </w:t>
      </w:r>
      <w:r>
        <w:t>television outside broadcast (</w:t>
      </w:r>
      <w:r w:rsidRPr="00871522">
        <w:t>TOB</w:t>
      </w:r>
      <w:r>
        <w:t>)</w:t>
      </w:r>
      <w:r w:rsidRPr="00871522">
        <w:t xml:space="preserve"> </w:t>
      </w:r>
      <w:r>
        <w:t xml:space="preserve">receive stations listed in </w:t>
      </w:r>
      <w:r>
        <w:fldChar w:fldCharType="begin"/>
      </w:r>
      <w:r>
        <w:instrText xml:space="preserve"> REF _Ref109219715 \r \h </w:instrText>
      </w:r>
      <w:r>
        <w:fldChar w:fldCharType="separate"/>
      </w:r>
      <w:r w:rsidR="0082411F">
        <w:t>H.4</w:t>
      </w:r>
      <w:r>
        <w:fldChar w:fldCharType="end"/>
      </w:r>
      <w:r>
        <w:t xml:space="preserve"> (TOB receive sites)</w:t>
      </w:r>
    </w:p>
    <w:p w14:paraId="77B320C6" w14:textId="77777777" w:rsidR="00C71AD9" w:rsidRPr="00871522" w:rsidRDefault="00C71AD9" w:rsidP="00866124">
      <w:pPr>
        <w:pStyle w:val="ListBullet"/>
        <w:keepNext/>
        <w:numPr>
          <w:ilvl w:val="0"/>
          <w:numId w:val="38"/>
        </w:numPr>
      </w:pPr>
      <w:r w:rsidRPr="00871522">
        <w:t>For EIRP spectral density of 0.5</w:t>
      </w:r>
      <w:r>
        <w:t> </w:t>
      </w:r>
      <w:proofErr w:type="spellStart"/>
      <w:r w:rsidRPr="00871522">
        <w:t>dBW</w:t>
      </w:r>
      <w:proofErr w:type="spellEnd"/>
      <w:r w:rsidRPr="00871522">
        <w:t>/MHz, the duty cycle limit is 10%</w:t>
      </w:r>
      <w:r>
        <w:t>.</w:t>
      </w:r>
    </w:p>
    <w:p w14:paraId="2DFD43BE" w14:textId="77777777" w:rsidR="00C71AD9" w:rsidRPr="00871522" w:rsidRDefault="00C71AD9" w:rsidP="00866124">
      <w:pPr>
        <w:pStyle w:val="ListBullet"/>
        <w:numPr>
          <w:ilvl w:val="0"/>
          <w:numId w:val="38"/>
        </w:numPr>
      </w:pPr>
      <w:r w:rsidRPr="00871522">
        <w:t>For EIRP power spectral densities greater than 0.5</w:t>
      </w:r>
      <w:r>
        <w:t> </w:t>
      </w:r>
      <w:proofErr w:type="spellStart"/>
      <w:r w:rsidRPr="00871522">
        <w:t>dBW</w:t>
      </w:r>
      <w:proofErr w:type="spellEnd"/>
      <w:r w:rsidRPr="00871522">
        <w:t>/MHz</w:t>
      </w:r>
      <w:r>
        <w:t>:</w:t>
      </w:r>
    </w:p>
    <w:p w14:paraId="681C9495" w14:textId="77777777" w:rsidR="00C71AD9" w:rsidRDefault="00C71AD9" w:rsidP="00866124">
      <w:pPr>
        <w:pStyle w:val="ListBullet"/>
        <w:numPr>
          <w:ilvl w:val="0"/>
          <w:numId w:val="39"/>
        </w:numPr>
      </w:pPr>
      <w:r w:rsidRPr="00871522">
        <w:t>for areas within 120</w:t>
      </w:r>
      <w:r>
        <w:t> </w:t>
      </w:r>
      <w:r w:rsidRPr="00871522">
        <w:t xml:space="preserve">km of a high </w:t>
      </w:r>
      <w:r>
        <w:t>gain</w:t>
      </w:r>
      <w:r w:rsidRPr="00871522">
        <w:t xml:space="preserve"> TOB or within </w:t>
      </w:r>
      <w:r>
        <w:t>2</w:t>
      </w:r>
      <w:r w:rsidRPr="00871522">
        <w:t>0</w:t>
      </w:r>
      <w:r>
        <w:t> </w:t>
      </w:r>
      <w:r w:rsidRPr="00871522">
        <w:t>km of a medium-</w:t>
      </w:r>
      <w:r>
        <w:t>gain</w:t>
      </w:r>
      <w:r w:rsidRPr="00871522">
        <w:t xml:space="preserve"> TOB site, the duty cycle may not exceed 1%</w:t>
      </w:r>
      <w:r>
        <w:t xml:space="preserve"> average over a 15-minute period</w:t>
      </w:r>
    </w:p>
    <w:p w14:paraId="2B7CF9B0" w14:textId="77777777" w:rsidR="00C71AD9" w:rsidRDefault="00C71AD9" w:rsidP="00866124">
      <w:pPr>
        <w:pStyle w:val="ListBullet"/>
        <w:numPr>
          <w:ilvl w:val="0"/>
          <w:numId w:val="39"/>
        </w:numPr>
      </w:pPr>
      <w:r w:rsidRPr="00871522">
        <w:t>for other areas, the duty cycle is limited to 10%</w:t>
      </w:r>
      <w:r>
        <w:t xml:space="preserve"> average over a 15 minute period </w:t>
      </w:r>
    </w:p>
    <w:p w14:paraId="74839B71" w14:textId="77777777" w:rsidR="00C71AD9" w:rsidRDefault="00C71AD9" w:rsidP="00C71AD9">
      <w:pPr>
        <w:pStyle w:val="ListBullet"/>
        <w:spacing w:after="240"/>
      </w:pPr>
    </w:p>
    <w:p w14:paraId="77EF3B54" w14:textId="77777777" w:rsidR="00C71AD9" w:rsidRDefault="00C71AD9" w:rsidP="00C71AD9">
      <w:pPr>
        <w:pStyle w:val="AppL3"/>
        <w:keepNext w:val="0"/>
      </w:pPr>
      <w:bookmarkStart w:id="297" w:name="_Toc153798025"/>
      <w:r>
        <w:t>Self-coordination between licensees</w:t>
      </w:r>
      <w:bookmarkEnd w:id="297"/>
      <w:r w:rsidRPr="00407ADE">
        <w:t>  </w:t>
      </w:r>
    </w:p>
    <w:p w14:paraId="2FC3FA55" w14:textId="77777777" w:rsidR="00C71AD9" w:rsidRDefault="00C71AD9" w:rsidP="00C71AD9">
      <w:pPr>
        <w:rPr>
          <w:rFonts w:cs="Arial"/>
          <w:szCs w:val="20"/>
        </w:rPr>
      </w:pPr>
      <w:r w:rsidRPr="009A2CB6">
        <w:rPr>
          <w:rFonts w:cs="Arial"/>
          <w:szCs w:val="20"/>
        </w:rPr>
        <w:t>MSS services in the 2005-2009/2195-2200 MHz band are supported on the basis that coexistence between satellite systems is a matter for industry to self-manage within Australia.</w:t>
      </w:r>
      <w:r>
        <w:rPr>
          <w:rFonts w:cs="Arial"/>
          <w:szCs w:val="20"/>
        </w:rPr>
        <w:t xml:space="preserve"> </w:t>
      </w:r>
    </w:p>
    <w:p w14:paraId="0C674940" w14:textId="27EE1A92" w:rsidR="00C71AD9" w:rsidRDefault="00C71AD9" w:rsidP="00C71AD9">
      <w:pPr>
        <w:rPr>
          <w:rFonts w:cs="Arial"/>
          <w:szCs w:val="20"/>
        </w:rPr>
      </w:pPr>
      <w:r>
        <w:rPr>
          <w:rFonts w:cs="Arial"/>
          <w:szCs w:val="20"/>
        </w:rPr>
        <w:t>Applicants are required to acknowledge this in their application and provi</w:t>
      </w:r>
      <w:r w:rsidR="001025CD">
        <w:rPr>
          <w:rFonts w:cs="Arial"/>
          <w:szCs w:val="20"/>
        </w:rPr>
        <w:t>de</w:t>
      </w:r>
      <w:r>
        <w:rPr>
          <w:rFonts w:cs="Arial"/>
          <w:szCs w:val="20"/>
        </w:rPr>
        <w:t xml:space="preserve"> an e</w:t>
      </w:r>
      <w:r>
        <w:t>xplanation of</w:t>
      </w:r>
      <w:r w:rsidRPr="00936326">
        <w:t xml:space="preserve"> the</w:t>
      </w:r>
      <w:r>
        <w:t xml:space="preserve"> intended</w:t>
      </w:r>
      <w:r w:rsidRPr="00936326">
        <w:t xml:space="preserve"> sharing methodology and approach</w:t>
      </w:r>
      <w:r>
        <w:t xml:space="preserve"> proposed</w:t>
      </w:r>
      <w:r w:rsidR="001025CD">
        <w:t>.</w:t>
      </w:r>
    </w:p>
    <w:p w14:paraId="7171E2D4" w14:textId="77777777" w:rsidR="00C71AD9" w:rsidRDefault="00C71AD9" w:rsidP="00C71AD9">
      <w:r>
        <w:t>To support multiple operators within the band, operators are encouraged to licence only what they need (for example by limiting usage to no more than 1 MHz per operator).  Where that is not possible applicants should explain why and what are the characteristics of their systems that facilities sharing.</w:t>
      </w:r>
    </w:p>
    <w:p w14:paraId="3917E344" w14:textId="77777777" w:rsidR="00C71AD9" w:rsidRDefault="00C71AD9" w:rsidP="00C71AD9">
      <w:pPr>
        <w:rPr>
          <w:rFonts w:cs="Arial"/>
          <w:szCs w:val="20"/>
        </w:rPr>
      </w:pPr>
      <w:r>
        <w:t>To support multiple operators the ACMA suggest assignment be made from the lower band edge with a horizontal loading strategy.</w:t>
      </w:r>
    </w:p>
    <w:p w14:paraId="6476721B" w14:textId="32F25355" w:rsidR="00C71AD9" w:rsidRDefault="00C71AD9" w:rsidP="00C71AD9">
      <w:pPr>
        <w:pStyle w:val="AppL3"/>
        <w:keepNext w:val="0"/>
      </w:pPr>
      <w:bookmarkStart w:id="298" w:name="_Toc153798026"/>
      <w:r>
        <w:t>ITU satellite coordination framework</w:t>
      </w:r>
      <w:bookmarkEnd w:id="298"/>
      <w:r w:rsidRPr="00407ADE">
        <w:t>  </w:t>
      </w:r>
    </w:p>
    <w:p w14:paraId="2F045DCF" w14:textId="32492081" w:rsidR="00C71AD9" w:rsidRDefault="00C71AD9" w:rsidP="00C71AD9">
      <w:pPr>
        <w:spacing w:after="0" w:line="240" w:lineRule="auto"/>
        <w:textAlignment w:val="baseline"/>
        <w:rPr>
          <w:rFonts w:cs="Arial"/>
          <w:szCs w:val="20"/>
        </w:rPr>
      </w:pPr>
      <w:r>
        <w:rPr>
          <w:rFonts w:cs="Arial"/>
          <w:szCs w:val="20"/>
        </w:rPr>
        <w:t>Licensees are required to ensure that the operation of their services within Australian with respect to services outside of Australia is in accordance with the ITU satellite coordination framework.  This includes operating in accordance with any agreement between operators/administrations reached as part of the ITU process.</w:t>
      </w:r>
    </w:p>
    <w:p w14:paraId="558FAC88" w14:textId="77777777" w:rsidR="00C71AD9" w:rsidRDefault="00C71AD9" w:rsidP="00C71AD9">
      <w:pPr>
        <w:spacing w:after="0" w:line="240" w:lineRule="auto"/>
        <w:textAlignment w:val="baseline"/>
        <w:rPr>
          <w:rFonts w:cs="Arial"/>
          <w:szCs w:val="20"/>
        </w:rPr>
      </w:pPr>
    </w:p>
    <w:p w14:paraId="03DAD18D" w14:textId="28258185" w:rsidR="00C71AD9" w:rsidRDefault="00C71AD9" w:rsidP="00C71AD9">
      <w:pPr>
        <w:spacing w:after="0" w:line="240" w:lineRule="auto"/>
        <w:textAlignment w:val="baseline"/>
        <w:rPr>
          <w:rFonts w:cs="Arial"/>
          <w:szCs w:val="20"/>
        </w:rPr>
      </w:pPr>
      <w:r w:rsidRPr="00A86529">
        <w:rPr>
          <w:rFonts w:cs="Arial"/>
          <w:szCs w:val="20"/>
        </w:rPr>
        <w:t>Prospective licensees should be aware that the</w:t>
      </w:r>
      <w:r>
        <w:rPr>
          <w:rFonts w:cs="Arial"/>
          <w:szCs w:val="20"/>
        </w:rPr>
        <w:t xml:space="preserve"> obligation to operate in accordance with </w:t>
      </w:r>
      <w:r w:rsidRPr="00A86529">
        <w:rPr>
          <w:rFonts w:cs="Arial"/>
          <w:szCs w:val="20"/>
        </w:rPr>
        <w:t>ITU satellite coordination framework</w:t>
      </w:r>
      <w:r>
        <w:rPr>
          <w:rFonts w:cs="Arial"/>
          <w:szCs w:val="20"/>
        </w:rPr>
        <w:t xml:space="preserve"> may impact the to</w:t>
      </w:r>
      <w:r w:rsidRPr="00A86529">
        <w:rPr>
          <w:rFonts w:cs="Arial"/>
          <w:szCs w:val="20"/>
        </w:rPr>
        <w:t xml:space="preserve"> (ability to operate) MSS services in </w:t>
      </w:r>
      <w:r w:rsidR="001025CD" w:rsidRPr="00A86529">
        <w:rPr>
          <w:rFonts w:cs="Arial"/>
          <w:szCs w:val="20"/>
        </w:rPr>
        <w:t>Australia.</w:t>
      </w:r>
      <w:r w:rsidRPr="00A86529">
        <w:rPr>
          <w:rFonts w:cs="Arial"/>
          <w:szCs w:val="20"/>
        </w:rPr>
        <w:t xml:space="preserve"> Prospective operations of a licensee may also be susceptible to interference from services operating outside of Australia, in accordance with the ITU framework.</w:t>
      </w:r>
    </w:p>
    <w:p w14:paraId="7CA5B029" w14:textId="77777777" w:rsidR="00C71AD9" w:rsidRDefault="00C71AD9" w:rsidP="00C71AD9">
      <w:pPr>
        <w:spacing w:after="0" w:line="240" w:lineRule="auto"/>
        <w:textAlignment w:val="baseline"/>
        <w:rPr>
          <w:rFonts w:cs="Arial"/>
          <w:szCs w:val="20"/>
        </w:rPr>
      </w:pPr>
    </w:p>
    <w:p w14:paraId="7B641FF5" w14:textId="77777777" w:rsidR="00C71AD9" w:rsidRDefault="00C71AD9" w:rsidP="00C71AD9">
      <w:pPr>
        <w:spacing w:after="0" w:line="240" w:lineRule="auto"/>
        <w:textAlignment w:val="baseline"/>
        <w:rPr>
          <w:rFonts w:cs="Arial"/>
          <w:szCs w:val="20"/>
        </w:rPr>
      </w:pPr>
      <w:r w:rsidRPr="00245F6A">
        <w:rPr>
          <w:rFonts w:cs="Arial"/>
          <w:szCs w:val="20"/>
        </w:rPr>
        <w:t>Prospective applicants should also be aware that in the case of interference between non-Australian satellite systems (systems not filed by Australia to the ITU), it is considered a matter for the relevant administrations to resolve.</w:t>
      </w:r>
    </w:p>
    <w:p w14:paraId="4B2AFF00" w14:textId="77777777" w:rsidR="00C71AD9" w:rsidRDefault="00C71AD9" w:rsidP="00C71AD9"/>
    <w:p w14:paraId="4B858CB9" w14:textId="77777777" w:rsidR="00C71AD9" w:rsidRDefault="00C71AD9" w:rsidP="00C71AD9">
      <w:r>
        <w:t>Applicants are required to acknowledge the above in their applications.</w:t>
      </w:r>
    </w:p>
    <w:p w14:paraId="5D747A5C" w14:textId="77777777" w:rsidR="00C71AD9" w:rsidRPr="00C62BD4" w:rsidRDefault="00C71AD9" w:rsidP="00C71AD9">
      <w:pPr>
        <w:pStyle w:val="AppL2"/>
      </w:pPr>
      <w:bookmarkStart w:id="299" w:name="_Toc153798027"/>
      <w:r>
        <w:t>Special c</w:t>
      </w:r>
      <w:r w:rsidRPr="006F4970">
        <w:t>onditions and advisory notes (space receive)</w:t>
      </w:r>
      <w:bookmarkEnd w:id="299"/>
    </w:p>
    <w:p w14:paraId="5886FD80" w14:textId="77777777" w:rsidR="00C71AD9" w:rsidRPr="00C62BD4" w:rsidRDefault="00C71AD9" w:rsidP="00C71AD9">
      <w:pPr>
        <w:rPr>
          <w:b/>
          <w:bCs/>
        </w:rPr>
      </w:pPr>
      <w:r w:rsidRPr="00C62BD4">
        <w:rPr>
          <w:b/>
          <w:bCs/>
        </w:rPr>
        <w:t xml:space="preserve">User defined conditions </w:t>
      </w:r>
    </w:p>
    <w:p w14:paraId="4DB80EC9" w14:textId="73B714A6" w:rsidR="00C71AD9" w:rsidRDefault="00C71AD9" w:rsidP="00C71AD9">
      <w:r>
        <w:t>In addition to the special conditions of Appendix A and B (as appropriate- – dependent on status in the MIFR) the following user defined special conditions are by the applied to space receive licences</w:t>
      </w:r>
      <w:r w:rsidR="001025CD">
        <w:t>:</w:t>
      </w:r>
      <w:r>
        <w:t xml:space="preserve">   </w:t>
      </w:r>
    </w:p>
    <w:p w14:paraId="291C1574" w14:textId="77777777" w:rsidR="00C71AD9" w:rsidRDefault="00C71AD9" w:rsidP="00866124">
      <w:pPr>
        <w:pStyle w:val="ListParagraph"/>
        <w:numPr>
          <w:ilvl w:val="0"/>
          <w:numId w:val="19"/>
        </w:numPr>
        <w:spacing w:after="240"/>
        <w:ind w:left="360"/>
        <w:rPr>
          <w:rFonts w:cs="Arial"/>
          <w:szCs w:val="20"/>
        </w:rPr>
      </w:pPr>
      <w:r>
        <w:t xml:space="preserve">This space station is authorised </w:t>
      </w:r>
      <w:r>
        <w:rPr>
          <w:rFonts w:cs="Arial"/>
          <w:szCs w:val="20"/>
        </w:rPr>
        <w:t xml:space="preserve">to communicate with </w:t>
      </w:r>
      <w:r w:rsidRPr="004C71CA">
        <w:rPr>
          <w:rFonts w:cs="Arial"/>
          <w:szCs w:val="20"/>
        </w:rPr>
        <w:t>earth station</w:t>
      </w:r>
      <w:r>
        <w:rPr>
          <w:rFonts w:cs="Arial"/>
          <w:szCs w:val="20"/>
        </w:rPr>
        <w:t xml:space="preserve"> transmitter</w:t>
      </w:r>
      <w:r w:rsidRPr="004C71CA">
        <w:rPr>
          <w:rFonts w:cs="Arial"/>
          <w:szCs w:val="20"/>
        </w:rPr>
        <w:t xml:space="preserve">s </w:t>
      </w:r>
      <w:r>
        <w:rPr>
          <w:rFonts w:cs="Arial"/>
          <w:szCs w:val="20"/>
        </w:rPr>
        <w:t>provided:</w:t>
      </w:r>
    </w:p>
    <w:p w14:paraId="356FD437" w14:textId="77777777" w:rsidR="00C71AD9" w:rsidRPr="004C71CA" w:rsidRDefault="00C71AD9" w:rsidP="00866124">
      <w:pPr>
        <w:pStyle w:val="ListParagraph"/>
        <w:numPr>
          <w:ilvl w:val="0"/>
          <w:numId w:val="19"/>
        </w:numPr>
        <w:spacing w:after="240"/>
        <w:rPr>
          <w:rFonts w:cs="Arial"/>
          <w:szCs w:val="20"/>
        </w:rPr>
      </w:pPr>
      <w:r w:rsidRPr="004C71CA">
        <w:rPr>
          <w:rFonts w:cs="Arial"/>
          <w:szCs w:val="20"/>
        </w:rPr>
        <w:t>the earth stations are not</w:t>
      </w:r>
      <w:r>
        <w:rPr>
          <w:rFonts w:cs="Arial"/>
          <w:szCs w:val="20"/>
        </w:rPr>
        <w:t xml:space="preserve"> </w:t>
      </w:r>
      <w:r w:rsidRPr="00F344C0">
        <w:t xml:space="preserve">operated within </w:t>
      </w:r>
      <w:r>
        <w:t>1</w:t>
      </w:r>
      <w:r w:rsidRPr="00F344C0">
        <w:t xml:space="preserve">0 kilometres </w:t>
      </w:r>
      <w:r>
        <w:t>of</w:t>
      </w:r>
      <w:r w:rsidRPr="00F344C0">
        <w:t xml:space="preserve"> </w:t>
      </w:r>
      <w:r w:rsidRPr="006C53CE">
        <w:t>the</w:t>
      </w:r>
      <w:r w:rsidRPr="00094684">
        <w:t xml:space="preserve"> </w:t>
      </w:r>
      <w:r>
        <w:t>television outside broadcast receiver</w:t>
      </w:r>
      <w:r w:rsidRPr="00094684">
        <w:t xml:space="preserve"> sites </w:t>
      </w:r>
    </w:p>
    <w:p w14:paraId="1E2D09FD" w14:textId="77777777" w:rsidR="00C71AD9" w:rsidRDefault="00C71AD9" w:rsidP="00866124">
      <w:pPr>
        <w:pStyle w:val="ListParagraph"/>
        <w:numPr>
          <w:ilvl w:val="0"/>
          <w:numId w:val="36"/>
        </w:numPr>
        <w:spacing w:after="240"/>
        <w:ind w:left="720"/>
      </w:pPr>
      <w:r w:rsidRPr="004C71CA">
        <w:rPr>
          <w:rFonts w:cs="Arial"/>
          <w:szCs w:val="20"/>
        </w:rPr>
        <w:t xml:space="preserve">the </w:t>
      </w:r>
      <w:r w:rsidRPr="005952A7">
        <w:t xml:space="preserve">equivalent isotropic radiated power </w:t>
      </w:r>
      <w:r>
        <w:t xml:space="preserve">of transmitting earth stations does not exceed -7 </w:t>
      </w:r>
      <w:proofErr w:type="spellStart"/>
      <w:r>
        <w:t>dBW</w:t>
      </w:r>
      <w:proofErr w:type="spellEnd"/>
      <w:r>
        <w:t xml:space="preserve"> and the earth station emission bandwidth is at least 3.75 kHz.</w:t>
      </w:r>
    </w:p>
    <w:p w14:paraId="40E4F7BE" w14:textId="77777777" w:rsidR="00C71AD9" w:rsidRPr="00A63361" w:rsidRDefault="00C71AD9" w:rsidP="00C71AD9">
      <w:pPr>
        <w:pStyle w:val="ListParagraph"/>
        <w:numPr>
          <w:ilvl w:val="0"/>
          <w:numId w:val="1"/>
        </w:numPr>
        <w:tabs>
          <w:tab w:val="clear" w:pos="295"/>
        </w:tabs>
        <w:spacing w:after="240"/>
        <w:ind w:left="720" w:hanging="360"/>
      </w:pPr>
      <w:r w:rsidRPr="00F51E05">
        <w:rPr>
          <w:rFonts w:cs="Arial"/>
          <w:szCs w:val="20"/>
        </w:rPr>
        <w:t xml:space="preserve">the earth stations are not in metropolitan and designated areas as defined in the </w:t>
      </w:r>
      <w:r w:rsidRPr="009747E2">
        <w:rPr>
          <w:rFonts w:cs="Arial"/>
          <w:szCs w:val="20"/>
        </w:rPr>
        <w:t>Radiocommunications (Mobile-Satellite-Service) (1980–2010 MHz and 2170–2200 MHz) Frequency Band Plan 2022</w:t>
      </w:r>
    </w:p>
    <w:p w14:paraId="2B00FCC8" w14:textId="77777777" w:rsidR="00C71AD9" w:rsidRDefault="00C71AD9" w:rsidP="00866124">
      <w:pPr>
        <w:pStyle w:val="ListBullet"/>
        <w:numPr>
          <w:ilvl w:val="0"/>
          <w:numId w:val="39"/>
        </w:numPr>
      </w:pPr>
      <w:r w:rsidRPr="00A63361">
        <w:rPr>
          <w:rFonts w:cs="Arial"/>
          <w:szCs w:val="20"/>
        </w:rPr>
        <w:t>the t</w:t>
      </w:r>
      <w:r>
        <w:t xml:space="preserve">ransmitting earth stations that transmit with an </w:t>
      </w:r>
      <w:r w:rsidRPr="005952A7">
        <w:t xml:space="preserve">equivalent isotropic radiated power </w:t>
      </w:r>
      <w:r>
        <w:t xml:space="preserve">density greater than 0.5 </w:t>
      </w:r>
      <w:proofErr w:type="spellStart"/>
      <w:r>
        <w:t>dBW</w:t>
      </w:r>
      <w:proofErr w:type="spellEnd"/>
      <w:r>
        <w:t>/MHz</w:t>
      </w:r>
    </w:p>
    <w:p w14:paraId="5FEE4671" w14:textId="77777777" w:rsidR="00C71AD9" w:rsidRDefault="00C71AD9" w:rsidP="00866124">
      <w:pPr>
        <w:pStyle w:val="ListBullet"/>
        <w:numPr>
          <w:ilvl w:val="0"/>
          <w:numId w:val="39"/>
        </w:numPr>
        <w:ind w:left="1134"/>
      </w:pPr>
      <w:r w:rsidRPr="00871522">
        <w:t>for areas within 120</w:t>
      </w:r>
      <w:r>
        <w:t> </w:t>
      </w:r>
      <w:r w:rsidRPr="00871522">
        <w:t xml:space="preserve">km of a high </w:t>
      </w:r>
      <w:r>
        <w:t>gain</w:t>
      </w:r>
      <w:r w:rsidRPr="00871522">
        <w:t xml:space="preserve"> </w:t>
      </w:r>
      <w:r>
        <w:t>television outside broadcast receiver</w:t>
      </w:r>
      <w:r w:rsidRPr="00094684">
        <w:t xml:space="preserve"> </w:t>
      </w:r>
      <w:r w:rsidRPr="00871522">
        <w:t xml:space="preserve">or within </w:t>
      </w:r>
      <w:r>
        <w:t>2</w:t>
      </w:r>
      <w:r w:rsidRPr="00871522">
        <w:t>0</w:t>
      </w:r>
      <w:r>
        <w:t> </w:t>
      </w:r>
      <w:r w:rsidRPr="00871522">
        <w:t>km of a medium-</w:t>
      </w:r>
      <w:r>
        <w:t>gain</w:t>
      </w:r>
      <w:r w:rsidRPr="00871522">
        <w:t xml:space="preserve"> </w:t>
      </w:r>
      <w:r>
        <w:t>television outside broadcast receiver</w:t>
      </w:r>
      <w:r w:rsidRPr="00094684">
        <w:t xml:space="preserve"> </w:t>
      </w:r>
      <w:r w:rsidRPr="00871522">
        <w:t xml:space="preserve">site, the duty cycle </w:t>
      </w:r>
      <w:r>
        <w:t xml:space="preserve">must </w:t>
      </w:r>
      <w:r w:rsidRPr="00871522">
        <w:t>not exceed 1%</w:t>
      </w:r>
      <w:r>
        <w:t xml:space="preserve"> average over a 15-minute period</w:t>
      </w:r>
    </w:p>
    <w:p w14:paraId="53114952" w14:textId="77777777" w:rsidR="00C71AD9" w:rsidRDefault="00C71AD9" w:rsidP="00866124">
      <w:pPr>
        <w:pStyle w:val="ListBullet"/>
        <w:numPr>
          <w:ilvl w:val="0"/>
          <w:numId w:val="39"/>
        </w:numPr>
        <w:ind w:left="1134"/>
      </w:pPr>
      <w:r w:rsidRPr="00871522">
        <w:t xml:space="preserve">for other areas, the duty cycle </w:t>
      </w:r>
      <w:r>
        <w:t xml:space="preserve">must not exceed </w:t>
      </w:r>
      <w:r w:rsidRPr="00871522">
        <w:t>10%</w:t>
      </w:r>
      <w:r>
        <w:t xml:space="preserve"> average over a 15 minute period </w:t>
      </w:r>
    </w:p>
    <w:p w14:paraId="5936BAAF" w14:textId="77777777" w:rsidR="00C71AD9" w:rsidRPr="003A39D8" w:rsidRDefault="00C71AD9" w:rsidP="00C71AD9">
      <w:pPr>
        <w:pStyle w:val="ListParagraph"/>
        <w:numPr>
          <w:ilvl w:val="0"/>
          <w:numId w:val="1"/>
        </w:numPr>
        <w:tabs>
          <w:tab w:val="clear" w:pos="295"/>
        </w:tabs>
        <w:spacing w:after="240"/>
        <w:ind w:left="720" w:hanging="360"/>
      </w:pPr>
      <w:r w:rsidRPr="00A63361">
        <w:rPr>
          <w:rFonts w:cs="Arial"/>
          <w:szCs w:val="20"/>
        </w:rPr>
        <w:t xml:space="preserve">the earth stations operate in accordance with the conditions of the </w:t>
      </w:r>
      <w:r w:rsidRPr="00A910F9">
        <w:t>Radiocommunications (Communication with Space Object) Class Licence 2015</w:t>
      </w:r>
    </w:p>
    <w:p w14:paraId="23A4BAFF" w14:textId="77777777" w:rsidR="00C71AD9" w:rsidRDefault="00C71AD9" w:rsidP="00C71AD9"/>
    <w:p w14:paraId="01A67FF0" w14:textId="77777777" w:rsidR="00C71AD9" w:rsidRPr="00C62BD4" w:rsidRDefault="00C71AD9" w:rsidP="00C71AD9">
      <w:pPr>
        <w:rPr>
          <w:b/>
          <w:bCs/>
        </w:rPr>
      </w:pPr>
      <w:r>
        <w:rPr>
          <w:b/>
          <w:bCs/>
        </w:rPr>
        <w:t>Advisory notes</w:t>
      </w:r>
    </w:p>
    <w:p w14:paraId="6B86CF9C" w14:textId="3BF10CB1" w:rsidR="00C71AD9" w:rsidRDefault="00C71AD9" w:rsidP="00C71AD9">
      <w:r>
        <w:t xml:space="preserve">In addition to the advisory </w:t>
      </w:r>
      <w:r w:rsidR="001025CD">
        <w:t>notes of</w:t>
      </w:r>
      <w:r>
        <w:t xml:space="preserve"> Appendix A and B (as appropriate – dependent on status in the MIFR) the following user defined advisory note is to be applied to space receive licences:</w:t>
      </w:r>
    </w:p>
    <w:p w14:paraId="2DD78112" w14:textId="77777777" w:rsidR="00C71AD9" w:rsidRDefault="00C71AD9" w:rsidP="00866124">
      <w:pPr>
        <w:pStyle w:val="ListParagraph"/>
        <w:numPr>
          <w:ilvl w:val="0"/>
          <w:numId w:val="40"/>
        </w:numPr>
        <w:spacing w:after="240"/>
      </w:pPr>
      <w:r w:rsidRPr="001F2AD6">
        <w:rPr>
          <w:rFonts w:cs="Arial"/>
          <w:szCs w:val="20"/>
        </w:rPr>
        <w:t xml:space="preserve">In the band 2005-2009 MHz coexistence between satellite systems licensed in Australia is a matter for licensees to self-manage. No protection from interference is afforded by the ACMA from systems authorised under space receive licences and operating in accordance with the conditions of the licence.   </w:t>
      </w:r>
      <w:r>
        <w:t xml:space="preserve">  </w:t>
      </w:r>
    </w:p>
    <w:p w14:paraId="3F7F560C" w14:textId="77777777" w:rsidR="00C71AD9" w:rsidRDefault="00C71AD9" w:rsidP="00866124">
      <w:pPr>
        <w:pStyle w:val="ListParagraph"/>
        <w:numPr>
          <w:ilvl w:val="0"/>
          <w:numId w:val="40"/>
        </w:numPr>
        <w:spacing w:after="240"/>
      </w:pPr>
      <w:r>
        <w:t>television outside broadcast receiver</w:t>
      </w:r>
      <w:r w:rsidRPr="00094684">
        <w:t xml:space="preserve"> sites </w:t>
      </w:r>
      <w:r>
        <w:t xml:space="preserve">are </w:t>
      </w:r>
      <w:r w:rsidRPr="00094684">
        <w:t xml:space="preserve">listed </w:t>
      </w:r>
      <w:r>
        <w:t>in the Business operating procedure - Submission and processing of applications for space and space receive apparatus licences as published on the ACMA website</w:t>
      </w:r>
    </w:p>
    <w:p w14:paraId="1314E147" w14:textId="77777777" w:rsidR="00C71AD9" w:rsidRPr="00075703" w:rsidRDefault="00C71AD9" w:rsidP="00C71AD9">
      <w:pPr>
        <w:pStyle w:val="AppL2"/>
      </w:pPr>
      <w:bookmarkStart w:id="300" w:name="_Toc153798028"/>
      <w:r>
        <w:t>Special c</w:t>
      </w:r>
      <w:r w:rsidRPr="009F25FE">
        <w:t xml:space="preserve">onditions </w:t>
      </w:r>
      <w:r w:rsidRPr="006F4970">
        <w:t xml:space="preserve">and advisory notes </w:t>
      </w:r>
      <w:r w:rsidRPr="009F25FE">
        <w:t>(space)</w:t>
      </w:r>
      <w:bookmarkEnd w:id="300"/>
    </w:p>
    <w:p w14:paraId="23132F3F" w14:textId="77777777" w:rsidR="00C71AD9" w:rsidRDefault="00C71AD9" w:rsidP="00C71AD9">
      <w:pPr>
        <w:pStyle w:val="Paragraph"/>
        <w:rPr>
          <w:szCs w:val="20"/>
        </w:rPr>
      </w:pPr>
      <w:r w:rsidRPr="00D85FC2">
        <w:rPr>
          <w:szCs w:val="20"/>
        </w:rPr>
        <w:t>User defined conditions</w:t>
      </w:r>
    </w:p>
    <w:p w14:paraId="32083E2F" w14:textId="3B619B64" w:rsidR="00C71AD9" w:rsidRDefault="00C71AD9" w:rsidP="002C7DA4">
      <w:pPr>
        <w:pStyle w:val="Paragraphbeforelist"/>
      </w:pPr>
      <w:r w:rsidRPr="000B168A">
        <w:t>In addition to the special conditions of Appendix A and B (as appropriate- – dependent on status in the MIFR) the following user defined special conditions are by the applied to space licences</w:t>
      </w:r>
      <w:r w:rsidR="001025CD">
        <w:t>:</w:t>
      </w:r>
      <w:r w:rsidRPr="000B168A">
        <w:t xml:space="preserve">   </w:t>
      </w:r>
    </w:p>
    <w:p w14:paraId="014650B1" w14:textId="77777777" w:rsidR="00C71AD9" w:rsidRDefault="00C71AD9" w:rsidP="00866124">
      <w:pPr>
        <w:pStyle w:val="ListParagraph"/>
        <w:numPr>
          <w:ilvl w:val="0"/>
          <w:numId w:val="19"/>
        </w:numPr>
        <w:spacing w:after="240"/>
        <w:ind w:left="360"/>
        <w:rPr>
          <w:rFonts w:cs="Arial"/>
          <w:szCs w:val="20"/>
        </w:rPr>
      </w:pPr>
      <w:r>
        <w:t xml:space="preserve">This space station is authorised </w:t>
      </w:r>
      <w:r>
        <w:rPr>
          <w:rFonts w:cs="Arial"/>
          <w:szCs w:val="20"/>
        </w:rPr>
        <w:t xml:space="preserve">to communicate with </w:t>
      </w:r>
      <w:r w:rsidRPr="004C71CA">
        <w:rPr>
          <w:rFonts w:cs="Arial"/>
          <w:szCs w:val="20"/>
        </w:rPr>
        <w:t>earth station</w:t>
      </w:r>
      <w:r>
        <w:rPr>
          <w:rFonts w:cs="Arial"/>
          <w:szCs w:val="20"/>
        </w:rPr>
        <w:t xml:space="preserve"> receivers provided:</w:t>
      </w:r>
    </w:p>
    <w:p w14:paraId="019251F3" w14:textId="77777777" w:rsidR="00C71AD9" w:rsidRPr="00A63361" w:rsidRDefault="00C71AD9" w:rsidP="00C71AD9">
      <w:pPr>
        <w:pStyle w:val="ListParagraph"/>
        <w:numPr>
          <w:ilvl w:val="0"/>
          <w:numId w:val="1"/>
        </w:numPr>
        <w:tabs>
          <w:tab w:val="clear" w:pos="295"/>
        </w:tabs>
        <w:spacing w:after="240"/>
        <w:ind w:left="720" w:hanging="360"/>
      </w:pPr>
      <w:r w:rsidRPr="00F51E05">
        <w:rPr>
          <w:rFonts w:cs="Arial"/>
          <w:szCs w:val="20"/>
        </w:rPr>
        <w:t xml:space="preserve">the earth stations are not in metropolitan and designated areas as defined in </w:t>
      </w:r>
      <w:r w:rsidRPr="009747E2">
        <w:rPr>
          <w:rFonts w:cs="Arial"/>
          <w:szCs w:val="20"/>
        </w:rPr>
        <w:t>the Radiocommunications (Mobile-Satellite-Service) (1980–2010 MHz and 2170–2200 MHz) Frequency Band Plan 2022</w:t>
      </w:r>
      <w:r w:rsidRPr="00F51E05">
        <w:rPr>
          <w:rFonts w:cs="Arial"/>
          <w:szCs w:val="20"/>
        </w:rPr>
        <w:t xml:space="preserve"> </w:t>
      </w:r>
    </w:p>
    <w:p w14:paraId="655E7ADE" w14:textId="77777777" w:rsidR="00C71AD9" w:rsidRPr="003A39D8" w:rsidRDefault="00C71AD9" w:rsidP="00C71AD9">
      <w:pPr>
        <w:pStyle w:val="ListParagraph"/>
        <w:numPr>
          <w:ilvl w:val="0"/>
          <w:numId w:val="1"/>
        </w:numPr>
        <w:tabs>
          <w:tab w:val="clear" w:pos="295"/>
        </w:tabs>
        <w:spacing w:after="240"/>
        <w:ind w:left="720" w:hanging="360"/>
      </w:pPr>
      <w:r w:rsidRPr="00A63361">
        <w:rPr>
          <w:rFonts w:cs="Arial"/>
          <w:szCs w:val="20"/>
        </w:rPr>
        <w:t xml:space="preserve">the earth stations operate in accordance with the conditions of the </w:t>
      </w:r>
      <w:r w:rsidRPr="00A910F9">
        <w:t>Radiocommunications (Communication with Space Object) Class Licence 2015</w:t>
      </w:r>
    </w:p>
    <w:p w14:paraId="749C86B3" w14:textId="77777777" w:rsidR="00C71AD9" w:rsidRPr="00C62BD4" w:rsidRDefault="00C71AD9" w:rsidP="00C71AD9">
      <w:pPr>
        <w:rPr>
          <w:b/>
          <w:bCs/>
        </w:rPr>
      </w:pPr>
      <w:r>
        <w:rPr>
          <w:b/>
          <w:bCs/>
        </w:rPr>
        <w:t>Advisory notes</w:t>
      </w:r>
    </w:p>
    <w:p w14:paraId="33E86FC6" w14:textId="77777777" w:rsidR="00C71AD9" w:rsidRDefault="00C71AD9" w:rsidP="00C71AD9">
      <w:r>
        <w:t>In addition to the advisory notes of Appendix A and B (as appropriate – dependent on status in the MIFR) the following user defined advisory note is to be applied to space licences:</w:t>
      </w:r>
    </w:p>
    <w:p w14:paraId="7714C463" w14:textId="77777777" w:rsidR="00C71AD9" w:rsidRPr="00DD3D19" w:rsidRDefault="00C71AD9" w:rsidP="00866124">
      <w:pPr>
        <w:pStyle w:val="ListParagraph"/>
        <w:numPr>
          <w:ilvl w:val="0"/>
          <w:numId w:val="40"/>
        </w:numPr>
        <w:spacing w:after="240"/>
        <w:rPr>
          <w:rFonts w:cs="Arial"/>
          <w:szCs w:val="20"/>
        </w:rPr>
      </w:pPr>
      <w:r w:rsidRPr="0027348F">
        <w:rPr>
          <w:rFonts w:cs="Arial"/>
          <w:szCs w:val="20"/>
        </w:rPr>
        <w:t>In the band 2</w:t>
      </w:r>
      <w:r>
        <w:rPr>
          <w:rFonts w:cs="Arial"/>
          <w:szCs w:val="20"/>
        </w:rPr>
        <w:t>195-2200</w:t>
      </w:r>
      <w:r w:rsidRPr="0027348F">
        <w:rPr>
          <w:rFonts w:cs="Arial"/>
          <w:szCs w:val="20"/>
        </w:rPr>
        <w:t xml:space="preserve"> </w:t>
      </w:r>
      <w:r w:rsidRPr="00CF6F0F">
        <w:rPr>
          <w:rFonts w:cs="Arial"/>
          <w:szCs w:val="20"/>
        </w:rPr>
        <w:t>MHz coexistence between satellite systems licensed in Australia is a matter for licensees to self-manage</w:t>
      </w:r>
      <w:r>
        <w:rPr>
          <w:rFonts w:cs="Arial"/>
          <w:szCs w:val="20"/>
        </w:rPr>
        <w:t>. N</w:t>
      </w:r>
      <w:r w:rsidRPr="00CF6F0F">
        <w:rPr>
          <w:rFonts w:cs="Arial"/>
          <w:szCs w:val="20"/>
        </w:rPr>
        <w:t>o protection from interference is afford</w:t>
      </w:r>
      <w:r>
        <w:rPr>
          <w:rFonts w:cs="Arial"/>
          <w:szCs w:val="20"/>
        </w:rPr>
        <w:t>ed</w:t>
      </w:r>
      <w:r w:rsidRPr="00CF6F0F">
        <w:rPr>
          <w:rFonts w:cs="Arial"/>
          <w:szCs w:val="20"/>
        </w:rPr>
        <w:t xml:space="preserve"> by the ACMA</w:t>
      </w:r>
      <w:r>
        <w:rPr>
          <w:rFonts w:cs="Arial"/>
          <w:szCs w:val="20"/>
        </w:rPr>
        <w:t xml:space="preserve"> from systems authorised under space licences and operating in accordance with the conditions of the licence. </w:t>
      </w:r>
      <w:r w:rsidRPr="00CF6F0F">
        <w:rPr>
          <w:rFonts w:cs="Arial"/>
          <w:szCs w:val="20"/>
        </w:rPr>
        <w:t xml:space="preserve">  </w:t>
      </w:r>
      <w:r>
        <w:t xml:space="preserve">  </w:t>
      </w:r>
    </w:p>
    <w:p w14:paraId="72BEF26A" w14:textId="77777777" w:rsidR="00C71AD9" w:rsidRPr="0027348F" w:rsidRDefault="00C71AD9" w:rsidP="00C71AD9">
      <w:pPr>
        <w:pStyle w:val="ListParagraph"/>
        <w:ind w:left="360"/>
        <w:rPr>
          <w:rFonts w:cs="Arial"/>
          <w:szCs w:val="20"/>
        </w:rPr>
      </w:pPr>
    </w:p>
    <w:p w14:paraId="2266AE71" w14:textId="77777777" w:rsidR="00C71AD9" w:rsidRPr="006025EB" w:rsidRDefault="00C71AD9" w:rsidP="00C71AD9">
      <w:pPr>
        <w:pStyle w:val="Paragraph"/>
      </w:pPr>
    </w:p>
    <w:p w14:paraId="583EE81C" w14:textId="77777777" w:rsidR="00C71AD9" w:rsidRPr="00075703" w:rsidRDefault="00C71AD9" w:rsidP="00C71AD9">
      <w:pPr>
        <w:pStyle w:val="AppL2"/>
      </w:pPr>
      <w:bookmarkStart w:id="301" w:name="_Ref109219715"/>
      <w:bookmarkStart w:id="302" w:name="_Toc153798029"/>
      <w:r w:rsidRPr="001F2AD6">
        <w:t>TOB receive sites</w:t>
      </w:r>
      <w:bookmarkEnd w:id="301"/>
      <w:bookmarkEnd w:id="302"/>
    </w:p>
    <w:p w14:paraId="745F9378" w14:textId="77777777" w:rsidR="00FF4173" w:rsidRDefault="00FF4173" w:rsidP="00810847">
      <w:pPr>
        <w:pStyle w:val="Caption"/>
        <w:keepNext/>
        <w:numPr>
          <w:ilvl w:val="0"/>
          <w:numId w:val="0"/>
        </w:numPr>
      </w:pPr>
    </w:p>
    <w:p w14:paraId="5FCDC675" w14:textId="525419E3" w:rsidR="00810847" w:rsidRDefault="00810847" w:rsidP="00810847">
      <w:pPr>
        <w:pStyle w:val="Caption"/>
        <w:keepNext/>
        <w:numPr>
          <w:ilvl w:val="0"/>
          <w:numId w:val="0"/>
        </w:numPr>
        <w:ind w:left="964" w:hanging="964"/>
      </w:pPr>
      <w:bookmarkStart w:id="303" w:name="_Ref107479583"/>
      <w:bookmarkStart w:id="304" w:name="_Ref107479544"/>
      <w:r>
        <w:t xml:space="preserve">Table </w:t>
      </w:r>
      <w:r w:rsidR="00332B3F">
        <w:fldChar w:fldCharType="begin"/>
      </w:r>
      <w:r w:rsidR="00332B3F">
        <w:instrText xml:space="preserve"> SEQ Table \* ARABIC </w:instrText>
      </w:r>
      <w:r w:rsidR="00332B3F">
        <w:fldChar w:fldCharType="separate"/>
      </w:r>
      <w:r w:rsidR="0082411F">
        <w:rPr>
          <w:noProof/>
        </w:rPr>
        <w:t>1</w:t>
      </w:r>
      <w:r w:rsidR="00332B3F">
        <w:rPr>
          <w:noProof/>
        </w:rPr>
        <w:fldChar w:fldCharType="end"/>
      </w:r>
      <w:bookmarkEnd w:id="303"/>
      <w:r>
        <w:t xml:space="preserve"> List of High Gain (&gt;24 </w:t>
      </w:r>
      <w:proofErr w:type="spellStart"/>
      <w:r>
        <w:t>dBi</w:t>
      </w:r>
      <w:proofErr w:type="spellEnd"/>
      <w:r>
        <w:t>) TOB Sites</w:t>
      </w:r>
      <w:bookmarkEnd w:id="304"/>
    </w:p>
    <w:tbl>
      <w:tblPr>
        <w:tblStyle w:val="GridTable4"/>
        <w:tblW w:w="5000" w:type="pct"/>
        <w:tblInd w:w="0" w:type="dxa"/>
        <w:tblLook w:val="04A0" w:firstRow="1" w:lastRow="0" w:firstColumn="1" w:lastColumn="0" w:noHBand="0" w:noVBand="1"/>
      </w:tblPr>
      <w:tblGrid>
        <w:gridCol w:w="725"/>
        <w:gridCol w:w="1378"/>
        <w:gridCol w:w="1273"/>
        <w:gridCol w:w="3258"/>
        <w:gridCol w:w="1027"/>
      </w:tblGrid>
      <w:tr w:rsidR="00FB2DD2" w14:paraId="1ACF2CFF" w14:textId="77777777" w:rsidTr="008108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dxa"/>
            <w:hideMark/>
          </w:tcPr>
          <w:p w14:paraId="603DFCA0" w14:textId="77777777" w:rsidR="00FB2DD2" w:rsidRDefault="00FB2DD2" w:rsidP="00ED7018">
            <w:pPr>
              <w:pStyle w:val="Paragraph"/>
              <w:spacing w:after="0"/>
            </w:pPr>
            <w:r>
              <w:rPr>
                <w:rFonts w:ascii="Calibri" w:hAnsi="Calibri" w:cs="Calibri"/>
                <w:sz w:val="22"/>
                <w:szCs w:val="22"/>
              </w:rPr>
              <w:t>State</w:t>
            </w:r>
          </w:p>
        </w:tc>
        <w:tc>
          <w:tcPr>
            <w:tcW w:w="1378" w:type="dxa"/>
            <w:hideMark/>
          </w:tcPr>
          <w:p w14:paraId="45116150" w14:textId="77777777" w:rsidR="00FB2DD2" w:rsidRDefault="00FB2DD2" w:rsidP="00ED7018">
            <w:pPr>
              <w:pStyle w:val="Paragraph"/>
              <w:spacing w:after="0"/>
              <w:cnfStyle w:val="100000000000" w:firstRow="1" w:lastRow="0" w:firstColumn="0" w:lastColumn="0" w:oddVBand="0" w:evenVBand="0" w:oddHBand="0" w:evenHBand="0" w:firstRowFirstColumn="0" w:firstRowLastColumn="0" w:lastRowFirstColumn="0" w:lastRowLastColumn="0"/>
            </w:pPr>
            <w:r>
              <w:rPr>
                <w:rFonts w:ascii="Calibri" w:hAnsi="Calibri" w:cs="Calibri"/>
                <w:sz w:val="22"/>
                <w:szCs w:val="22"/>
              </w:rPr>
              <w:t>Latitude</w:t>
            </w:r>
          </w:p>
        </w:tc>
        <w:tc>
          <w:tcPr>
            <w:tcW w:w="1273" w:type="dxa"/>
            <w:hideMark/>
          </w:tcPr>
          <w:p w14:paraId="46CF1613" w14:textId="77777777" w:rsidR="00FB2DD2" w:rsidRDefault="00FB2DD2" w:rsidP="00ED7018">
            <w:pPr>
              <w:pStyle w:val="Paragraph"/>
              <w:spacing w:after="0"/>
              <w:cnfStyle w:val="100000000000" w:firstRow="1" w:lastRow="0" w:firstColumn="0" w:lastColumn="0" w:oddVBand="0" w:evenVBand="0" w:oddHBand="0" w:evenHBand="0" w:firstRowFirstColumn="0" w:firstRowLastColumn="0" w:lastRowFirstColumn="0" w:lastRowLastColumn="0"/>
            </w:pPr>
            <w:r>
              <w:rPr>
                <w:rFonts w:ascii="Calibri" w:hAnsi="Calibri" w:cs="Calibri"/>
                <w:sz w:val="22"/>
                <w:szCs w:val="22"/>
              </w:rPr>
              <w:t>Longitude</w:t>
            </w:r>
          </w:p>
        </w:tc>
        <w:tc>
          <w:tcPr>
            <w:tcW w:w="3258" w:type="dxa"/>
            <w:hideMark/>
          </w:tcPr>
          <w:p w14:paraId="118EB2D8" w14:textId="77777777" w:rsidR="00FB2DD2" w:rsidRDefault="00FB2DD2" w:rsidP="00ED7018">
            <w:pPr>
              <w:pStyle w:val="Paragraph"/>
              <w:spacing w:after="0"/>
              <w:cnfStyle w:val="100000000000" w:firstRow="1" w:lastRow="0" w:firstColumn="0" w:lastColumn="0" w:oddVBand="0" w:evenVBand="0" w:oddHBand="0" w:evenHBand="0" w:firstRowFirstColumn="0" w:firstRowLastColumn="0" w:lastRowFirstColumn="0" w:lastRowLastColumn="0"/>
            </w:pPr>
            <w:r>
              <w:rPr>
                <w:rFonts w:ascii="Calibri" w:hAnsi="Calibri" w:cs="Calibri"/>
                <w:sz w:val="22"/>
                <w:szCs w:val="22"/>
              </w:rPr>
              <w:t>Site Name</w:t>
            </w:r>
          </w:p>
        </w:tc>
        <w:tc>
          <w:tcPr>
            <w:tcW w:w="1027" w:type="dxa"/>
            <w:hideMark/>
          </w:tcPr>
          <w:p w14:paraId="2A6FB713" w14:textId="77777777" w:rsidR="00FB2DD2" w:rsidRDefault="00FB2DD2" w:rsidP="00ED7018">
            <w:pPr>
              <w:pStyle w:val="Paragraph"/>
              <w:spacing w:after="0"/>
              <w:cnfStyle w:val="100000000000" w:firstRow="1" w:lastRow="0" w:firstColumn="0" w:lastColumn="0" w:oddVBand="0" w:evenVBand="0" w:oddHBand="0" w:evenHBand="0" w:firstRowFirstColumn="0" w:firstRowLastColumn="0" w:lastRowFirstColumn="0" w:lastRowLastColumn="0"/>
            </w:pPr>
            <w:r>
              <w:rPr>
                <w:rFonts w:ascii="Calibri" w:hAnsi="Calibri" w:cs="Calibri"/>
                <w:sz w:val="22"/>
                <w:szCs w:val="22"/>
              </w:rPr>
              <w:t>Site ID</w:t>
            </w:r>
          </w:p>
        </w:tc>
      </w:tr>
      <w:tr w:rsidR="00FB2DD2" w14:paraId="7C1F5E41" w14:textId="77777777" w:rsidTr="00810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8FDE4FE" w14:textId="77777777" w:rsidR="00FB2DD2" w:rsidRDefault="00FB2DD2" w:rsidP="00ED7018">
            <w:pPr>
              <w:pStyle w:val="Paragraph"/>
              <w:spacing w:after="0"/>
              <w:rPr>
                <w:b w:val="0"/>
                <w:bCs w:val="0"/>
              </w:rPr>
            </w:pPr>
            <w:r>
              <w:rPr>
                <w:b w:val="0"/>
                <w:bCs w:val="0"/>
              </w:rPr>
              <w:t>NSW</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F469A25"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-33.820079</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2946E49"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151.185</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357AF21"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ABC Tower 221 Pacific Highway GORE HILL</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5E638D6"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48711</w:t>
            </w:r>
          </w:p>
        </w:tc>
      </w:tr>
      <w:tr w:rsidR="00FB2DD2" w14:paraId="40527764" w14:textId="77777777" w:rsidTr="00810847">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A6FCEC2" w14:textId="77777777" w:rsidR="00FB2DD2" w:rsidRDefault="00FB2DD2" w:rsidP="00ED7018">
            <w:pPr>
              <w:pStyle w:val="Paragraph"/>
              <w:spacing w:after="0"/>
              <w:rPr>
                <w:b w:val="0"/>
                <w:bCs w:val="0"/>
              </w:rPr>
            </w:pPr>
            <w:r>
              <w:rPr>
                <w:b w:val="0"/>
                <w:bCs w:val="0"/>
              </w:rPr>
              <w:t>NSW</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E5BDF17"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-33.861548</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58A3D6F"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150.854947</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363C17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proofErr w:type="spellStart"/>
            <w:r>
              <w:t>Axicom</w:t>
            </w:r>
            <w:proofErr w:type="spellEnd"/>
            <w:r>
              <w:t xml:space="preserve"> 102.7m Lattice Tower 77-89 Border Rd HORSLEY PARK</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5029D1F"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201854</w:t>
            </w:r>
          </w:p>
        </w:tc>
      </w:tr>
      <w:tr w:rsidR="00FB2DD2" w14:paraId="38E61057" w14:textId="77777777" w:rsidTr="00810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6BB1BF5" w14:textId="77777777" w:rsidR="00FB2DD2" w:rsidRDefault="00FB2DD2" w:rsidP="00ED7018">
            <w:pPr>
              <w:pStyle w:val="Paragraph"/>
              <w:spacing w:after="0"/>
              <w:rPr>
                <w:b w:val="0"/>
                <w:bCs w:val="0"/>
              </w:rPr>
            </w:pPr>
            <w:r>
              <w:rPr>
                <w:b w:val="0"/>
                <w:bCs w:val="0"/>
              </w:rPr>
              <w:t>NSW</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32C5DAC"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-33.805516</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81256E5"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151.18076</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29C46A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TXA Artarmon Site Tower 192-196 Hampden Road ARTARMON</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04EC4F1"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4045</w:t>
            </w:r>
          </w:p>
        </w:tc>
      </w:tr>
      <w:tr w:rsidR="00FB2DD2" w14:paraId="683F8D40" w14:textId="77777777" w:rsidTr="00810847">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D0DBBAF" w14:textId="77777777" w:rsidR="00FB2DD2" w:rsidRDefault="00FB2DD2" w:rsidP="00ED7018">
            <w:pPr>
              <w:pStyle w:val="Paragraph"/>
              <w:spacing w:after="0"/>
              <w:rPr>
                <w:b w:val="0"/>
                <w:bCs w:val="0"/>
              </w:rPr>
            </w:pPr>
            <w:r>
              <w:rPr>
                <w:b w:val="0"/>
                <w:bCs w:val="0"/>
              </w:rPr>
              <w:t>NSW</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E61FD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-33.811691</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1611B5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151.195969</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5634321"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TXA Willoughby Site Tower 15 Richmond Avenue WILLOUGHBY</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C13375B"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4129</w:t>
            </w:r>
          </w:p>
        </w:tc>
      </w:tr>
      <w:tr w:rsidR="00FB2DD2" w14:paraId="040889BB" w14:textId="77777777" w:rsidTr="00810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91ABF5E" w14:textId="77777777" w:rsidR="00FB2DD2" w:rsidRDefault="00FB2DD2" w:rsidP="00ED7018">
            <w:pPr>
              <w:pStyle w:val="Paragraph"/>
              <w:spacing w:after="0"/>
              <w:rPr>
                <w:b w:val="0"/>
                <w:bCs w:val="0"/>
              </w:rPr>
            </w:pPr>
            <w:r>
              <w:rPr>
                <w:b w:val="0"/>
                <w:bCs w:val="0"/>
              </w:rPr>
              <w:t>QLD</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2C614D"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-27.466378</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B9D8CE2"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152.943371</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6327FA3"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TXA B-Site Tower 560 Sir Samuel Griffith Drive MOUNT COOT-THA</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A57594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12757</w:t>
            </w:r>
          </w:p>
        </w:tc>
      </w:tr>
      <w:tr w:rsidR="00FB2DD2" w14:paraId="04EB6999" w14:textId="77777777" w:rsidTr="00810847">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6988082" w14:textId="77777777" w:rsidR="00FB2DD2" w:rsidRDefault="00FB2DD2" w:rsidP="00ED7018">
            <w:pPr>
              <w:pStyle w:val="Paragraph"/>
              <w:spacing w:after="0"/>
              <w:rPr>
                <w:b w:val="0"/>
                <w:bCs w:val="0"/>
              </w:rPr>
            </w:pPr>
            <w:r>
              <w:rPr>
                <w:b w:val="0"/>
                <w:bCs w:val="0"/>
              </w:rPr>
              <w:t xml:space="preserve">SA </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386D032"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-34.908683</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5EDE741"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138.576069</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2CD8155"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Channel 7 Adelaide 40 Port Road HINDMARSH</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0E74FC1"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9004134</w:t>
            </w:r>
          </w:p>
        </w:tc>
      </w:tr>
      <w:tr w:rsidR="00FB2DD2" w14:paraId="303E3869" w14:textId="77777777" w:rsidTr="00810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63EB4D3" w14:textId="77777777" w:rsidR="00FB2DD2" w:rsidRDefault="00FB2DD2" w:rsidP="00ED7018">
            <w:pPr>
              <w:pStyle w:val="Paragraph"/>
              <w:spacing w:after="0"/>
              <w:rPr>
                <w:b w:val="0"/>
                <w:bCs w:val="0"/>
              </w:rPr>
            </w:pPr>
            <w:r>
              <w:rPr>
                <w:b w:val="0"/>
                <w:bCs w:val="0"/>
              </w:rPr>
              <w:t xml:space="preserve">SA </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EABDCDE"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-34.982397</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244FECC"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138.708346</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BEFC343"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TXA NWS Site Tower 109 Summit Road CRAFERS</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8228B1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23132</w:t>
            </w:r>
          </w:p>
        </w:tc>
      </w:tr>
      <w:tr w:rsidR="00FB2DD2" w14:paraId="743D118B" w14:textId="77777777" w:rsidTr="00810847">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E06EC2F" w14:textId="77777777" w:rsidR="00FB2DD2" w:rsidRDefault="00FB2DD2" w:rsidP="00ED7018">
            <w:pPr>
              <w:pStyle w:val="Paragraph"/>
              <w:spacing w:after="0"/>
              <w:rPr>
                <w:b w:val="0"/>
                <w:bCs w:val="0"/>
              </w:rPr>
            </w:pPr>
            <w:r>
              <w:rPr>
                <w:b w:val="0"/>
                <w:bCs w:val="0"/>
              </w:rPr>
              <w:t xml:space="preserve">SA </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A9FB152"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-34.98104</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B62865B"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138.708078</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DC93CA8"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TXA Crafers Site Tower 115 Mount Lofty Summit Road CRAFERS</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C28CC93"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23181</w:t>
            </w:r>
          </w:p>
        </w:tc>
      </w:tr>
      <w:tr w:rsidR="00FB2DD2" w14:paraId="6F24EA56" w14:textId="77777777" w:rsidTr="00810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5D7024C" w14:textId="77777777" w:rsidR="00FB2DD2" w:rsidRDefault="00FB2DD2" w:rsidP="00ED7018">
            <w:pPr>
              <w:pStyle w:val="Paragraph"/>
              <w:spacing w:after="0"/>
              <w:rPr>
                <w:b w:val="0"/>
                <w:bCs w:val="0"/>
              </w:rPr>
            </w:pPr>
            <w:r>
              <w:rPr>
                <w:b w:val="0"/>
                <w:bCs w:val="0"/>
              </w:rPr>
              <w:t xml:space="preserve">SA </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8000BE"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-34.978867</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DA9386A"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138.708543</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E6079C"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Broadcast Australia Site Summit Road CRAFERS</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6BEC1FD"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23139</w:t>
            </w:r>
          </w:p>
        </w:tc>
      </w:tr>
      <w:tr w:rsidR="00FB2DD2" w14:paraId="5BB70DB5" w14:textId="77777777" w:rsidTr="00810847">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3EE6DD" w14:textId="77777777" w:rsidR="00FB2DD2" w:rsidRDefault="00FB2DD2" w:rsidP="00ED7018">
            <w:pPr>
              <w:pStyle w:val="Paragraph"/>
              <w:spacing w:after="0"/>
              <w:rPr>
                <w:b w:val="0"/>
                <w:bCs w:val="0"/>
              </w:rPr>
            </w:pPr>
            <w:r>
              <w:rPr>
                <w:b w:val="0"/>
                <w:bCs w:val="0"/>
              </w:rPr>
              <w:t>VIC</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62BB5C7"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-37.810323</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5E9791F"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144.967818</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8D86E54"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150 Lonsdale Street MELBOURNE</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20D8514"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38812</w:t>
            </w:r>
          </w:p>
        </w:tc>
      </w:tr>
      <w:tr w:rsidR="00FB2DD2" w14:paraId="121CE0C7" w14:textId="77777777" w:rsidTr="00810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895B080" w14:textId="77777777" w:rsidR="00FB2DD2" w:rsidRDefault="00FB2DD2" w:rsidP="00ED7018">
            <w:pPr>
              <w:pStyle w:val="Paragraph"/>
              <w:spacing w:after="0"/>
              <w:rPr>
                <w:b w:val="0"/>
                <w:bCs w:val="0"/>
              </w:rPr>
            </w:pPr>
            <w:r>
              <w:rPr>
                <w:b w:val="0"/>
                <w:bCs w:val="0"/>
              </w:rPr>
              <w:t>VIC</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1A0DD8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-37.835419</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35EE193"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145.347735</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A00AF52"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TXA Eyre Road Site Tower 8 Eyre Road MT DANDENONG</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752E4B6"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12015</w:t>
            </w:r>
          </w:p>
        </w:tc>
      </w:tr>
      <w:tr w:rsidR="00FB2DD2" w14:paraId="4DF97DB9" w14:textId="77777777" w:rsidTr="00810847">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8E7F0C8" w14:textId="77777777" w:rsidR="00FB2DD2" w:rsidRDefault="00FB2DD2" w:rsidP="00ED7018">
            <w:pPr>
              <w:pStyle w:val="Paragraph"/>
              <w:spacing w:after="0"/>
              <w:rPr>
                <w:b w:val="0"/>
                <w:bCs w:val="0"/>
              </w:rPr>
            </w:pPr>
            <w:r>
              <w:rPr>
                <w:b w:val="0"/>
                <w:bCs w:val="0"/>
              </w:rPr>
              <w:t>VIC</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50D1539"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-37.81852</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1F4338E"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144.957141</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06A8E33"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Rialto Towers 525 Collins Street MELBOURNE</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2DE1C88"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11599</w:t>
            </w:r>
          </w:p>
        </w:tc>
      </w:tr>
      <w:tr w:rsidR="00FB2DD2" w14:paraId="501C5F0C" w14:textId="77777777" w:rsidTr="00810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75906D5" w14:textId="77777777" w:rsidR="00FB2DD2" w:rsidRDefault="00FB2DD2" w:rsidP="00ED7018">
            <w:pPr>
              <w:pStyle w:val="Paragraph"/>
              <w:spacing w:after="0"/>
              <w:rPr>
                <w:b w:val="0"/>
                <w:bCs w:val="0"/>
              </w:rPr>
            </w:pPr>
            <w:r>
              <w:rPr>
                <w:b w:val="0"/>
                <w:bCs w:val="0"/>
              </w:rPr>
              <w:t>VIC</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D681769"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-37.813822</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D56DEB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144.969482</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8AA64C6"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120 Collins Street MELBOURNE</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BE8E16A"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11596</w:t>
            </w:r>
          </w:p>
        </w:tc>
      </w:tr>
      <w:tr w:rsidR="00FB2DD2" w14:paraId="5D955C20" w14:textId="77777777" w:rsidTr="00810847">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B772A65" w14:textId="77777777" w:rsidR="00FB2DD2" w:rsidRDefault="00FB2DD2" w:rsidP="00ED7018">
            <w:pPr>
              <w:pStyle w:val="Paragraph"/>
              <w:spacing w:after="0"/>
              <w:rPr>
                <w:b w:val="0"/>
                <w:bCs w:val="0"/>
              </w:rPr>
            </w:pPr>
            <w:r>
              <w:rPr>
                <w:b w:val="0"/>
                <w:bCs w:val="0"/>
              </w:rPr>
              <w:t>VIC</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5A25921"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-37.834892</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0422B51"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145.348713</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584A496"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BAI Comms Site 116-118 Ridge Rd MOUNT DANDENONG</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CAAC006"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12014</w:t>
            </w:r>
          </w:p>
        </w:tc>
      </w:tr>
      <w:tr w:rsidR="00FB2DD2" w14:paraId="687C78A3" w14:textId="77777777" w:rsidTr="00810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5FC2F6F" w14:textId="77777777" w:rsidR="00FB2DD2" w:rsidRDefault="00FB2DD2" w:rsidP="00ED7018">
            <w:pPr>
              <w:pStyle w:val="Paragraph"/>
              <w:spacing w:after="0"/>
              <w:rPr>
                <w:b w:val="0"/>
                <w:bCs w:val="0"/>
              </w:rPr>
            </w:pPr>
            <w:r>
              <w:rPr>
                <w:b w:val="0"/>
                <w:bCs w:val="0"/>
              </w:rPr>
              <w:t>VIC</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B4A02B"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-37.881244</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A71929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144.999296</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10DC1B"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ABC-TV Studios 8 Gordon Street ELSTERNWICK</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BD8D552"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34582</w:t>
            </w:r>
          </w:p>
        </w:tc>
      </w:tr>
      <w:tr w:rsidR="00FB2DD2" w14:paraId="526E9320" w14:textId="77777777" w:rsidTr="00810847">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A2CFADB" w14:textId="77777777" w:rsidR="00FB2DD2" w:rsidRDefault="00FB2DD2" w:rsidP="00ED7018">
            <w:pPr>
              <w:pStyle w:val="Paragraph"/>
              <w:spacing w:after="0"/>
              <w:rPr>
                <w:b w:val="0"/>
                <w:bCs w:val="0"/>
              </w:rPr>
            </w:pPr>
            <w:r>
              <w:rPr>
                <w:b w:val="0"/>
                <w:bCs w:val="0"/>
              </w:rPr>
              <w:t>VIC</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AA05DC6"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-37.837476</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53A7A4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145.34661</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F72C219"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 xml:space="preserve">TXA </w:t>
            </w:r>
            <w:proofErr w:type="spellStart"/>
            <w:r>
              <w:t>Ornata</w:t>
            </w:r>
            <w:proofErr w:type="spellEnd"/>
            <w:r>
              <w:t xml:space="preserve"> Road Site Tower 12 </w:t>
            </w:r>
            <w:proofErr w:type="spellStart"/>
            <w:r>
              <w:t>Ornata</w:t>
            </w:r>
            <w:proofErr w:type="spellEnd"/>
            <w:r>
              <w:t xml:space="preserve"> Road MOUNT DANDENONG</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08D2919"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12013</w:t>
            </w:r>
          </w:p>
        </w:tc>
      </w:tr>
      <w:tr w:rsidR="00FB2DD2" w14:paraId="0A798002" w14:textId="77777777" w:rsidTr="00810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70F13CE" w14:textId="77777777" w:rsidR="00FB2DD2" w:rsidRDefault="00FB2DD2" w:rsidP="00ED7018">
            <w:pPr>
              <w:pStyle w:val="Paragraph"/>
              <w:spacing w:after="0"/>
              <w:rPr>
                <w:b w:val="0"/>
                <w:bCs w:val="0"/>
              </w:rPr>
            </w:pPr>
            <w:r>
              <w:rPr>
                <w:b w:val="0"/>
                <w:bCs w:val="0"/>
              </w:rPr>
              <w:t>VIC</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877B63B"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-37.828469</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396BA98"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145.353401</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88125CD"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TXA Observatory Road Site Tower 20-24 Observatory Road MT DANDENONG</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D93CF03"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12010</w:t>
            </w:r>
          </w:p>
        </w:tc>
      </w:tr>
      <w:tr w:rsidR="00FB2DD2" w14:paraId="09F5470D" w14:textId="77777777" w:rsidTr="00810847">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2307F00" w14:textId="77777777" w:rsidR="00FB2DD2" w:rsidRDefault="00FB2DD2" w:rsidP="00ED7018">
            <w:pPr>
              <w:pStyle w:val="Paragraph"/>
              <w:spacing w:after="0"/>
              <w:rPr>
                <w:b w:val="0"/>
                <w:bCs w:val="0"/>
              </w:rPr>
            </w:pPr>
            <w:r>
              <w:rPr>
                <w:b w:val="0"/>
                <w:bCs w:val="0"/>
              </w:rPr>
              <w:t>VIC</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9851EA2"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-37.886475</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2F4FB9B"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144.269148</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B65191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Police &amp; Ambulance Site MT ANAKIE</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0814307"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11694</w:t>
            </w:r>
          </w:p>
        </w:tc>
      </w:tr>
      <w:tr w:rsidR="00FB2DD2" w14:paraId="564DC480" w14:textId="77777777" w:rsidTr="00810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1B37998" w14:textId="77777777" w:rsidR="00FB2DD2" w:rsidRDefault="00FB2DD2" w:rsidP="00ED7018">
            <w:pPr>
              <w:pStyle w:val="Paragraph"/>
              <w:spacing w:after="0"/>
              <w:rPr>
                <w:b w:val="0"/>
                <w:bCs w:val="0"/>
              </w:rPr>
            </w:pPr>
            <w:r>
              <w:rPr>
                <w:b w:val="0"/>
                <w:bCs w:val="0"/>
              </w:rPr>
              <w:t xml:space="preserve">WA </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D4C74B6"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-31.88197</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92668AB"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115.857527</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18A6061"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Channel Seven Perth Off Dianella Dr Dianella</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4A0579C"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142069</w:t>
            </w:r>
          </w:p>
        </w:tc>
      </w:tr>
      <w:tr w:rsidR="00FB2DD2" w14:paraId="23C86D3C" w14:textId="77777777" w:rsidTr="00810847">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078519F" w14:textId="77777777" w:rsidR="00FB2DD2" w:rsidRDefault="00FB2DD2" w:rsidP="00ED7018">
            <w:pPr>
              <w:pStyle w:val="Paragraph"/>
              <w:spacing w:after="0"/>
              <w:rPr>
                <w:b w:val="0"/>
                <w:bCs w:val="0"/>
              </w:rPr>
            </w:pPr>
            <w:r>
              <w:rPr>
                <w:b w:val="0"/>
                <w:bCs w:val="0"/>
              </w:rPr>
              <w:t xml:space="preserve">WA </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2E0028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-31.884531</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6CEA123"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115.859305</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0086663"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Channel 9 TV Studios Hayes Avenue DIANELLA</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D4CBBA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26523</w:t>
            </w:r>
          </w:p>
        </w:tc>
      </w:tr>
      <w:tr w:rsidR="00FB2DD2" w14:paraId="7719F112" w14:textId="77777777" w:rsidTr="00810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B134FAB" w14:textId="77777777" w:rsidR="00FB2DD2" w:rsidRDefault="00FB2DD2" w:rsidP="00ED7018">
            <w:pPr>
              <w:pStyle w:val="Paragraph"/>
              <w:spacing w:after="0"/>
              <w:rPr>
                <w:b w:val="0"/>
                <w:bCs w:val="0"/>
              </w:rPr>
            </w:pPr>
            <w:r>
              <w:rPr>
                <w:b w:val="0"/>
                <w:bCs w:val="0"/>
              </w:rPr>
              <w:t xml:space="preserve">WA </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EE427CB"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-31.954606</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1D753F6"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115.857086</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CBCED92"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Bank West Tower 108 St Georges Terrace PERTH</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6F2AE6B"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25931</w:t>
            </w:r>
          </w:p>
        </w:tc>
      </w:tr>
      <w:tr w:rsidR="00FB2DD2" w14:paraId="10C117AF" w14:textId="77777777" w:rsidTr="00810847">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9423434" w14:textId="77777777" w:rsidR="00FB2DD2" w:rsidRDefault="00FB2DD2" w:rsidP="00ED7018">
            <w:pPr>
              <w:pStyle w:val="Paragraph"/>
              <w:spacing w:after="0"/>
              <w:rPr>
                <w:b w:val="0"/>
                <w:bCs w:val="0"/>
              </w:rPr>
            </w:pPr>
            <w:r>
              <w:rPr>
                <w:b w:val="0"/>
                <w:bCs w:val="0"/>
              </w:rPr>
              <w:t xml:space="preserve">WA </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BD981B0"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-32.012667</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2510BC4"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116.061768</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A3D14FA"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TXA Carmel Site 255 Welshpool Road East CARMEL</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45A8C32"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26624</w:t>
            </w:r>
          </w:p>
        </w:tc>
      </w:tr>
      <w:tr w:rsidR="00FB2DD2" w14:paraId="5CD331F5" w14:textId="77777777" w:rsidTr="00810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AB64CEB" w14:textId="77777777" w:rsidR="00FB2DD2" w:rsidRDefault="00FB2DD2" w:rsidP="00ED7018">
            <w:pPr>
              <w:pStyle w:val="Paragraph"/>
              <w:spacing w:after="0"/>
              <w:rPr>
                <w:b w:val="0"/>
                <w:bCs w:val="0"/>
              </w:rPr>
            </w:pPr>
            <w:r>
              <w:rPr>
                <w:b w:val="0"/>
                <w:bCs w:val="0"/>
              </w:rPr>
              <w:t xml:space="preserve">WA </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EB1C3FE"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-32.008347</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4B89AFA"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116.084151</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91E2908"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Tower TXA Bickley Site Television Road BICKLEY</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5190B4B"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26647</w:t>
            </w:r>
          </w:p>
        </w:tc>
      </w:tr>
      <w:tr w:rsidR="00FB2DD2" w14:paraId="625D8CC2" w14:textId="77777777" w:rsidTr="00810847">
        <w:tc>
          <w:tcPr>
            <w:cnfStyle w:val="001000000000" w:firstRow="0" w:lastRow="0" w:firstColumn="1" w:lastColumn="0" w:oddVBand="0" w:evenVBand="0" w:oddHBand="0" w:evenHBand="0" w:firstRowFirstColumn="0" w:firstRowLastColumn="0" w:lastRowFirstColumn="0" w:lastRowLastColumn="0"/>
            <w:tcW w:w="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D306BA2" w14:textId="77777777" w:rsidR="00FB2DD2" w:rsidRDefault="00FB2DD2" w:rsidP="00ED7018">
            <w:pPr>
              <w:pStyle w:val="Paragraph"/>
              <w:spacing w:after="0"/>
              <w:rPr>
                <w:b w:val="0"/>
                <w:bCs w:val="0"/>
              </w:rPr>
            </w:pPr>
            <w:r>
              <w:rPr>
                <w:b w:val="0"/>
                <w:bCs w:val="0"/>
              </w:rPr>
              <w:t xml:space="preserve">WA </w:t>
            </w:r>
          </w:p>
        </w:tc>
        <w:tc>
          <w:tcPr>
            <w:tcW w:w="13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59DE158"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-31.878311</w:t>
            </w:r>
          </w:p>
        </w:tc>
        <w:tc>
          <w:tcPr>
            <w:tcW w:w="12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DACF5B"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115.859826</w:t>
            </w:r>
          </w:p>
        </w:tc>
        <w:tc>
          <w:tcPr>
            <w:tcW w:w="325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9517620"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New10 Cottonwood Cres DIANELLA</w:t>
            </w:r>
          </w:p>
        </w:tc>
        <w:tc>
          <w:tcPr>
            <w:tcW w:w="10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52D9FF0"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34599</w:t>
            </w:r>
          </w:p>
        </w:tc>
      </w:tr>
    </w:tbl>
    <w:p w14:paraId="39EDCEC3" w14:textId="24DF8F41" w:rsidR="00FB2DD2" w:rsidRDefault="00FE640F" w:rsidP="00FB2DD2">
      <w:pPr>
        <w:pStyle w:val="Paragraph"/>
      </w:pPr>
      <w:r>
        <w:t>List last updated June 2022</w:t>
      </w:r>
    </w:p>
    <w:p w14:paraId="524E75EE" w14:textId="77777777" w:rsidR="00FF4173" w:rsidRPr="00FF4173" w:rsidRDefault="00FF4173" w:rsidP="00810847"/>
    <w:p w14:paraId="65BB9AFC" w14:textId="3CCD8A13" w:rsidR="00E21E35" w:rsidRDefault="00E21E35" w:rsidP="00B401E4">
      <w:pPr>
        <w:pStyle w:val="Caption"/>
        <w:keepNext/>
        <w:numPr>
          <w:ilvl w:val="0"/>
          <w:numId w:val="0"/>
        </w:numPr>
        <w:ind w:left="964" w:hanging="964"/>
      </w:pPr>
      <w:bookmarkStart w:id="305" w:name="_Ref107479796"/>
      <w:r>
        <w:t xml:space="preserve">Table </w:t>
      </w:r>
      <w:r w:rsidR="00332B3F">
        <w:fldChar w:fldCharType="begin"/>
      </w:r>
      <w:r w:rsidR="00332B3F">
        <w:instrText xml:space="preserve"> SEQ Table \* ARABIC </w:instrText>
      </w:r>
      <w:r w:rsidR="00332B3F">
        <w:fldChar w:fldCharType="separate"/>
      </w:r>
      <w:r w:rsidR="0082411F">
        <w:rPr>
          <w:noProof/>
        </w:rPr>
        <w:t>2</w:t>
      </w:r>
      <w:r w:rsidR="00332B3F">
        <w:rPr>
          <w:noProof/>
        </w:rPr>
        <w:fldChar w:fldCharType="end"/>
      </w:r>
      <w:bookmarkEnd w:id="305"/>
      <w:r>
        <w:t xml:space="preserve"> List of Moderate Gain (between 14 and 24 </w:t>
      </w:r>
      <w:proofErr w:type="spellStart"/>
      <w:r>
        <w:t>dBi</w:t>
      </w:r>
      <w:proofErr w:type="spellEnd"/>
      <w:r>
        <w:t>) TOB Sites</w:t>
      </w:r>
    </w:p>
    <w:tbl>
      <w:tblPr>
        <w:tblStyle w:val="GridTable4"/>
        <w:tblW w:w="5000" w:type="pct"/>
        <w:tblInd w:w="0" w:type="dxa"/>
        <w:tblLook w:val="04A0" w:firstRow="1" w:lastRow="0" w:firstColumn="1" w:lastColumn="0" w:noHBand="0" w:noVBand="1"/>
      </w:tblPr>
      <w:tblGrid>
        <w:gridCol w:w="823"/>
        <w:gridCol w:w="1664"/>
        <w:gridCol w:w="1513"/>
        <w:gridCol w:w="2478"/>
        <w:gridCol w:w="1183"/>
      </w:tblGrid>
      <w:tr w:rsidR="00FB2DD2" w14:paraId="5DF3DA02" w14:textId="77777777" w:rsidTr="00B401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hideMark/>
          </w:tcPr>
          <w:p w14:paraId="73813411" w14:textId="77777777" w:rsidR="00FB2DD2" w:rsidRDefault="00FB2DD2" w:rsidP="00ED7018">
            <w:pPr>
              <w:pStyle w:val="Paragraph"/>
              <w:spacing w:after="0"/>
            </w:pPr>
            <w:r>
              <w:rPr>
                <w:rFonts w:ascii="Calibri" w:hAnsi="Calibri" w:cs="Calibri"/>
                <w:sz w:val="22"/>
                <w:szCs w:val="22"/>
              </w:rPr>
              <w:t>State</w:t>
            </w:r>
          </w:p>
        </w:tc>
        <w:tc>
          <w:tcPr>
            <w:tcW w:w="1664" w:type="dxa"/>
            <w:hideMark/>
          </w:tcPr>
          <w:p w14:paraId="3EB75EB2" w14:textId="77777777" w:rsidR="00FB2DD2" w:rsidRDefault="00FB2DD2" w:rsidP="00ED7018">
            <w:pPr>
              <w:pStyle w:val="Paragraph"/>
              <w:spacing w:after="0"/>
              <w:cnfStyle w:val="100000000000" w:firstRow="1" w:lastRow="0" w:firstColumn="0" w:lastColumn="0" w:oddVBand="0" w:evenVBand="0" w:oddHBand="0" w:evenHBand="0" w:firstRowFirstColumn="0" w:firstRowLastColumn="0" w:lastRowFirstColumn="0" w:lastRowLastColumn="0"/>
            </w:pPr>
            <w:r>
              <w:rPr>
                <w:rFonts w:ascii="Calibri" w:hAnsi="Calibri" w:cs="Calibri"/>
                <w:sz w:val="22"/>
                <w:szCs w:val="22"/>
              </w:rPr>
              <w:t>Latitude</w:t>
            </w:r>
          </w:p>
        </w:tc>
        <w:tc>
          <w:tcPr>
            <w:tcW w:w="1513" w:type="dxa"/>
            <w:hideMark/>
          </w:tcPr>
          <w:p w14:paraId="1BB8A982" w14:textId="77777777" w:rsidR="00FB2DD2" w:rsidRDefault="00FB2DD2" w:rsidP="00ED7018">
            <w:pPr>
              <w:pStyle w:val="Paragraph"/>
              <w:spacing w:after="0"/>
              <w:cnfStyle w:val="100000000000" w:firstRow="1" w:lastRow="0" w:firstColumn="0" w:lastColumn="0" w:oddVBand="0" w:evenVBand="0" w:oddHBand="0" w:evenHBand="0" w:firstRowFirstColumn="0" w:firstRowLastColumn="0" w:lastRowFirstColumn="0" w:lastRowLastColumn="0"/>
            </w:pPr>
            <w:r>
              <w:rPr>
                <w:rFonts w:ascii="Calibri" w:hAnsi="Calibri" w:cs="Calibri"/>
                <w:sz w:val="22"/>
                <w:szCs w:val="22"/>
              </w:rPr>
              <w:t>Longitude</w:t>
            </w:r>
          </w:p>
        </w:tc>
        <w:tc>
          <w:tcPr>
            <w:tcW w:w="2478" w:type="dxa"/>
            <w:hideMark/>
          </w:tcPr>
          <w:p w14:paraId="164BA7B6" w14:textId="77777777" w:rsidR="00FB2DD2" w:rsidRDefault="00FB2DD2" w:rsidP="00ED7018">
            <w:pPr>
              <w:pStyle w:val="Paragraph"/>
              <w:spacing w:after="0"/>
              <w:cnfStyle w:val="100000000000" w:firstRow="1" w:lastRow="0" w:firstColumn="0" w:lastColumn="0" w:oddVBand="0" w:evenVBand="0" w:oddHBand="0" w:evenHBand="0" w:firstRowFirstColumn="0" w:firstRowLastColumn="0" w:lastRowFirstColumn="0" w:lastRowLastColumn="0"/>
            </w:pPr>
            <w:r>
              <w:rPr>
                <w:rFonts w:ascii="Calibri" w:hAnsi="Calibri" w:cs="Calibri"/>
                <w:sz w:val="22"/>
                <w:szCs w:val="22"/>
              </w:rPr>
              <w:t>Site Name</w:t>
            </w:r>
          </w:p>
        </w:tc>
        <w:tc>
          <w:tcPr>
            <w:tcW w:w="1183" w:type="dxa"/>
            <w:hideMark/>
          </w:tcPr>
          <w:p w14:paraId="6F6DAF88" w14:textId="77777777" w:rsidR="00FB2DD2" w:rsidRDefault="00FB2DD2" w:rsidP="00ED7018">
            <w:pPr>
              <w:pStyle w:val="Paragraph"/>
              <w:spacing w:after="0"/>
              <w:cnfStyle w:val="100000000000" w:firstRow="1" w:lastRow="0" w:firstColumn="0" w:lastColumn="0" w:oddVBand="0" w:evenVBand="0" w:oddHBand="0" w:evenHBand="0" w:firstRowFirstColumn="0" w:firstRowLastColumn="0" w:lastRowFirstColumn="0" w:lastRowLastColumn="0"/>
            </w:pPr>
            <w:r>
              <w:rPr>
                <w:rFonts w:ascii="Calibri" w:hAnsi="Calibri" w:cs="Calibri"/>
                <w:sz w:val="22"/>
                <w:szCs w:val="22"/>
              </w:rPr>
              <w:t>Site ID</w:t>
            </w:r>
          </w:p>
        </w:tc>
      </w:tr>
      <w:tr w:rsidR="00FB2DD2" w14:paraId="4D42D50D"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FF6440" w14:textId="77777777" w:rsidR="00FB2DD2" w:rsidRDefault="00FB2DD2" w:rsidP="00ED7018">
            <w:pPr>
              <w:pStyle w:val="Paragraph"/>
              <w:spacing w:after="0"/>
              <w:rPr>
                <w:b w:val="0"/>
                <w:bCs w:val="0"/>
              </w:rPr>
            </w:pPr>
            <w:r>
              <w:rPr>
                <w:b w:val="0"/>
                <w:bCs w:val="0"/>
              </w:rPr>
              <w:t>ACT</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6B5F02C"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-35.270042</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CCBAAD1"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149.158275</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C64DDCE"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Ainslie Lookout MT AINSLIE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49E056C"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9602</w:t>
            </w:r>
          </w:p>
        </w:tc>
      </w:tr>
      <w:tr w:rsidR="00FB2DD2" w14:paraId="41FA79D4"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7F4453E" w14:textId="77777777" w:rsidR="00FB2DD2" w:rsidRDefault="00FB2DD2" w:rsidP="00ED7018">
            <w:pPr>
              <w:pStyle w:val="Paragraph"/>
              <w:spacing w:after="0"/>
              <w:rPr>
                <w:b w:val="0"/>
                <w:bCs w:val="0"/>
              </w:rPr>
            </w:pPr>
            <w:r>
              <w:rPr>
                <w:b w:val="0"/>
                <w:bCs w:val="0"/>
              </w:rPr>
              <w:t>ACT</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111161F"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-35.275515</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8A5863"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149.097771</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16D9F7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Telecom Tower BLACK MOUNTAIN</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58C49DE"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9580</w:t>
            </w:r>
          </w:p>
        </w:tc>
      </w:tr>
      <w:tr w:rsidR="00FB2DD2" w14:paraId="7D023992"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1208BFD" w14:textId="77777777" w:rsidR="00FB2DD2" w:rsidRDefault="00FB2DD2" w:rsidP="00ED7018">
            <w:pPr>
              <w:pStyle w:val="Paragraph"/>
              <w:spacing w:after="0"/>
              <w:rPr>
                <w:b w:val="0"/>
                <w:bCs w:val="0"/>
              </w:rPr>
            </w:pPr>
            <w:r>
              <w:rPr>
                <w:b w:val="0"/>
                <w:bCs w:val="0"/>
              </w:rPr>
              <w:t>NSW</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8A737D0"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-33.805516</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214E44D"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151.18076</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6875196"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TXA Artarmon Site Tower 192-196 Hampden Road ARTARMON</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051CBC0"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4045</w:t>
            </w:r>
          </w:p>
        </w:tc>
      </w:tr>
      <w:tr w:rsidR="00FB2DD2" w14:paraId="20DDFC79"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967986A" w14:textId="77777777" w:rsidR="00FB2DD2" w:rsidRDefault="00FB2DD2" w:rsidP="00ED7018">
            <w:pPr>
              <w:pStyle w:val="Paragraph"/>
              <w:spacing w:after="0"/>
              <w:rPr>
                <w:b w:val="0"/>
                <w:bCs w:val="0"/>
              </w:rPr>
            </w:pPr>
            <w:r>
              <w:rPr>
                <w:b w:val="0"/>
                <w:bCs w:val="0"/>
              </w:rPr>
              <w:t>NSW</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4EF671"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-33.868697</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E514862"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151.209364</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52B0D8"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MLC Centre 19-29 Martin Place SYDNEY</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570EC2"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3351</w:t>
            </w:r>
          </w:p>
        </w:tc>
      </w:tr>
      <w:tr w:rsidR="00FB2DD2" w14:paraId="0671D651"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F2B792E" w14:textId="77777777" w:rsidR="00FB2DD2" w:rsidRDefault="00FB2DD2" w:rsidP="00ED7018">
            <w:pPr>
              <w:pStyle w:val="Paragraph"/>
              <w:spacing w:after="0"/>
              <w:rPr>
                <w:b w:val="0"/>
                <w:bCs w:val="0"/>
              </w:rPr>
            </w:pPr>
            <w:r>
              <w:rPr>
                <w:b w:val="0"/>
                <w:bCs w:val="0"/>
              </w:rPr>
              <w:t>NSW</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1D4E800"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-33.870388</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D51F72"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151.20912</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E240AEA"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Centre Point Tower 112 Market St SYDNEY</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C39D2E"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9002613</w:t>
            </w:r>
          </w:p>
        </w:tc>
      </w:tr>
      <w:tr w:rsidR="00FB2DD2" w14:paraId="7E4AF371"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837846B" w14:textId="77777777" w:rsidR="00FB2DD2" w:rsidRDefault="00FB2DD2" w:rsidP="00ED7018">
            <w:pPr>
              <w:pStyle w:val="Paragraph"/>
              <w:spacing w:after="0"/>
              <w:rPr>
                <w:b w:val="0"/>
                <w:bCs w:val="0"/>
              </w:rPr>
            </w:pPr>
            <w:r>
              <w:rPr>
                <w:b w:val="0"/>
                <w:bCs w:val="0"/>
              </w:rPr>
              <w:t>NSW</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4DFD00A"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-33.811691</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93D014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151.195969</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467AF81"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TXA Willoughby Site Tower 15 Richmond Avenue WILLOUGHBY</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8C4BB1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4129</w:t>
            </w:r>
          </w:p>
        </w:tc>
      </w:tr>
      <w:tr w:rsidR="00FB2DD2" w14:paraId="3118034F"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C6A20D3" w14:textId="77777777" w:rsidR="00FB2DD2" w:rsidRDefault="00FB2DD2" w:rsidP="00ED7018">
            <w:pPr>
              <w:pStyle w:val="Paragraph"/>
              <w:spacing w:after="0"/>
              <w:rPr>
                <w:b w:val="0"/>
                <w:bCs w:val="0"/>
              </w:rPr>
            </w:pPr>
            <w:r>
              <w:rPr>
                <w:b w:val="0"/>
                <w:bCs w:val="0"/>
              </w:rPr>
              <w:t>NSW</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E7A1259"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-33.867456</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C1EB60D"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151.21085</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13AE2C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Colonial Centre 52 Martin Place SYDNEY</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B1A7570"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3253</w:t>
            </w:r>
          </w:p>
        </w:tc>
      </w:tr>
      <w:tr w:rsidR="00FB2DD2" w14:paraId="7F8E5C29"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143BB54" w14:textId="77777777" w:rsidR="00FB2DD2" w:rsidRDefault="00FB2DD2" w:rsidP="00ED7018">
            <w:pPr>
              <w:pStyle w:val="Paragraph"/>
              <w:spacing w:after="0"/>
              <w:rPr>
                <w:b w:val="0"/>
                <w:bCs w:val="0"/>
              </w:rPr>
            </w:pPr>
            <w:r>
              <w:rPr>
                <w:b w:val="0"/>
                <w:bCs w:val="0"/>
              </w:rPr>
              <w:t>NSW</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E763FE3"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-33.896668</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97DAE0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151.19389</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58AEBBF"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Seven Network Studios 8 Central Avenue EVELEIGH</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D82D766"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138664</w:t>
            </w:r>
          </w:p>
        </w:tc>
      </w:tr>
      <w:tr w:rsidR="00FB2DD2" w14:paraId="20FB10C0"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72979E" w14:textId="77777777" w:rsidR="00FB2DD2" w:rsidRDefault="00FB2DD2" w:rsidP="00ED7018">
            <w:pPr>
              <w:pStyle w:val="Paragraph"/>
              <w:spacing w:after="0"/>
              <w:rPr>
                <w:b w:val="0"/>
                <w:bCs w:val="0"/>
              </w:rPr>
            </w:pPr>
            <w:r>
              <w:rPr>
                <w:b w:val="0"/>
                <w:bCs w:val="0"/>
              </w:rPr>
              <w:t>NSW</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E2F52A7"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-33.870174</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882AABB"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151.190145</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7DCAE82"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Building C 19-33 Saunders St PYRMONT</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81FA49D"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203119</w:t>
            </w:r>
          </w:p>
        </w:tc>
      </w:tr>
      <w:tr w:rsidR="00FB2DD2" w14:paraId="5DD22B94"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ABE56F0" w14:textId="77777777" w:rsidR="00FB2DD2" w:rsidRDefault="00FB2DD2" w:rsidP="00ED7018">
            <w:pPr>
              <w:pStyle w:val="Paragraph"/>
              <w:spacing w:after="0"/>
              <w:rPr>
                <w:b w:val="0"/>
                <w:bCs w:val="0"/>
              </w:rPr>
            </w:pPr>
            <w:r>
              <w:rPr>
                <w:b w:val="0"/>
                <w:bCs w:val="0"/>
              </w:rPr>
              <w:t>NSW</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31A1013"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-34.147242</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9E78F68"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150.67077</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3754ED7"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Wollondilly Council RFS site Lot 3 Mount Hercules Rd RAZORBACK RANGE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65E6194"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34904</w:t>
            </w:r>
          </w:p>
        </w:tc>
      </w:tr>
      <w:tr w:rsidR="00FB2DD2" w14:paraId="4090D7AA"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2DEAB2C" w14:textId="77777777" w:rsidR="00FB2DD2" w:rsidRDefault="00FB2DD2" w:rsidP="00ED7018">
            <w:pPr>
              <w:pStyle w:val="Paragraph"/>
              <w:spacing w:after="0"/>
              <w:rPr>
                <w:b w:val="0"/>
                <w:bCs w:val="0"/>
              </w:rPr>
            </w:pPr>
            <w:r>
              <w:rPr>
                <w:b w:val="0"/>
                <w:bCs w:val="0"/>
              </w:rPr>
              <w:t>NSW</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59B218"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-33.891238</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31206E7"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151.250068</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59FB100"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Optus site Tower 2 Westfield Plaza 500 Oxford Street BONDI JUNCTION</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A5601D3"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34680</w:t>
            </w:r>
          </w:p>
        </w:tc>
      </w:tr>
      <w:tr w:rsidR="00FB2DD2" w14:paraId="6B3E0607"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FAE70B3" w14:textId="77777777" w:rsidR="00FB2DD2" w:rsidRDefault="00FB2DD2" w:rsidP="00ED7018">
            <w:pPr>
              <w:pStyle w:val="Paragraph"/>
              <w:spacing w:after="0"/>
              <w:rPr>
                <w:b w:val="0"/>
                <w:bCs w:val="0"/>
              </w:rPr>
            </w:pPr>
            <w:r>
              <w:rPr>
                <w:b w:val="0"/>
                <w:bCs w:val="0"/>
              </w:rPr>
              <w:t>NSW</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22631A2"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-33.934298</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E4AECF0"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151.157471</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B70B245"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Airport Hilton Marsh Street ARNCLIFFE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D73B6F0"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5290</w:t>
            </w:r>
          </w:p>
        </w:tc>
      </w:tr>
      <w:tr w:rsidR="00FB2DD2" w14:paraId="5A3B56B7"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57A2983" w14:textId="77777777" w:rsidR="00FB2DD2" w:rsidRDefault="00FB2DD2" w:rsidP="00ED7018">
            <w:pPr>
              <w:pStyle w:val="Paragraph"/>
              <w:spacing w:after="0"/>
              <w:rPr>
                <w:b w:val="0"/>
                <w:bCs w:val="0"/>
              </w:rPr>
            </w:pPr>
            <w:r>
              <w:rPr>
                <w:b w:val="0"/>
                <w:bCs w:val="0"/>
              </w:rPr>
              <w:t>NSW</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A9760E0"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-33.931287</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C6C6CDC"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151.185445</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698F497"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proofErr w:type="spellStart"/>
            <w:r>
              <w:t>Cnr</w:t>
            </w:r>
            <w:proofErr w:type="spellEnd"/>
            <w:r>
              <w:t xml:space="preserve"> </w:t>
            </w:r>
            <w:proofErr w:type="spellStart"/>
            <w:r>
              <w:t>Oriordan</w:t>
            </w:r>
            <w:proofErr w:type="spellEnd"/>
            <w:r>
              <w:t xml:space="preserve"> &amp; Robey </w:t>
            </w:r>
            <w:proofErr w:type="spellStart"/>
            <w:r>
              <w:t>Sts</w:t>
            </w:r>
            <w:proofErr w:type="spellEnd"/>
            <w:r>
              <w:t xml:space="preserve"> MASCOT</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4EBEEF7"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3650</w:t>
            </w:r>
          </w:p>
        </w:tc>
      </w:tr>
      <w:tr w:rsidR="00FB2DD2" w14:paraId="23C657FE"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17A9448" w14:textId="77777777" w:rsidR="00FB2DD2" w:rsidRDefault="00FB2DD2" w:rsidP="00ED7018">
            <w:pPr>
              <w:pStyle w:val="Paragraph"/>
              <w:spacing w:after="0"/>
              <w:rPr>
                <w:b w:val="0"/>
                <w:bCs w:val="0"/>
              </w:rPr>
            </w:pPr>
            <w:r>
              <w:rPr>
                <w:b w:val="0"/>
                <w:bCs w:val="0"/>
              </w:rPr>
              <w:t>NSW</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9753EA"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-33.849872</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67B15F8"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151.057816</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B069C64"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RFS Site 15 Carter St HOMEBUSH</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7AA853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404460</w:t>
            </w:r>
          </w:p>
        </w:tc>
      </w:tr>
      <w:tr w:rsidR="00FB2DD2" w14:paraId="071AD1C9"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B2A7528" w14:textId="77777777" w:rsidR="00FB2DD2" w:rsidRDefault="00FB2DD2" w:rsidP="00ED7018">
            <w:pPr>
              <w:pStyle w:val="Paragraph"/>
              <w:spacing w:after="0"/>
              <w:rPr>
                <w:b w:val="0"/>
                <w:bCs w:val="0"/>
              </w:rPr>
            </w:pPr>
            <w:r>
              <w:rPr>
                <w:b w:val="0"/>
                <w:bCs w:val="0"/>
              </w:rPr>
              <w:t>NSW</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DD36C0"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-32.890196</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8A5EEF"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151.538894</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A68C1FB" w14:textId="625B2D9F"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NBN TV Site Mt Sugarloaf 3A Mount Sugarloaf Rd WEST WALLSEND</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FE674C7"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5838</w:t>
            </w:r>
          </w:p>
        </w:tc>
      </w:tr>
      <w:tr w:rsidR="00FB2DD2" w14:paraId="73FF7EF6"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AEEB72E" w14:textId="77777777" w:rsidR="00FB2DD2" w:rsidRDefault="00FB2DD2" w:rsidP="00ED7018">
            <w:pPr>
              <w:pStyle w:val="Paragraph"/>
              <w:spacing w:after="0"/>
              <w:rPr>
                <w:b w:val="0"/>
                <w:bCs w:val="0"/>
              </w:rPr>
            </w:pPr>
            <w:r>
              <w:rPr>
                <w:b w:val="0"/>
                <w:bCs w:val="0"/>
              </w:rPr>
              <w:t>NSW</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2F62B2A"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-33.546826</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8E2C0B9"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150.616561</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E086A94"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 xml:space="preserve">Miles Comms Site 2 246 </w:t>
            </w:r>
            <w:proofErr w:type="spellStart"/>
            <w:r>
              <w:t>Burralow</w:t>
            </w:r>
            <w:proofErr w:type="spellEnd"/>
            <w:r>
              <w:t xml:space="preserve"> Road KURRAJONG HEIGHTS</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3ED5C6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10143</w:t>
            </w:r>
          </w:p>
        </w:tc>
      </w:tr>
      <w:tr w:rsidR="00FB2DD2" w14:paraId="4B7E15C4"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BB69A94" w14:textId="77777777" w:rsidR="00FB2DD2" w:rsidRDefault="00FB2DD2" w:rsidP="00ED7018">
            <w:pPr>
              <w:pStyle w:val="Paragraph"/>
              <w:spacing w:after="0"/>
              <w:rPr>
                <w:b w:val="0"/>
                <w:bCs w:val="0"/>
              </w:rPr>
            </w:pPr>
            <w:r>
              <w:rPr>
                <w:b w:val="0"/>
                <w:bCs w:val="0"/>
              </w:rPr>
              <w:t xml:space="preserve">NT </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754F94F"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-12.46358</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1ED0180"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130.840345</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C5F4F02"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Mitchell Centre 55 Mitchell Street DARWIN</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66F2D2"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480820</w:t>
            </w:r>
          </w:p>
        </w:tc>
      </w:tr>
      <w:tr w:rsidR="00FB2DD2" w14:paraId="7BA94854"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F15D1E0" w14:textId="77777777" w:rsidR="00FB2DD2" w:rsidRDefault="00FB2DD2" w:rsidP="00ED7018">
            <w:pPr>
              <w:pStyle w:val="Paragraph"/>
              <w:spacing w:after="0"/>
              <w:rPr>
                <w:b w:val="0"/>
                <w:bCs w:val="0"/>
              </w:rPr>
            </w:pPr>
            <w:r>
              <w:rPr>
                <w:b w:val="0"/>
                <w:bCs w:val="0"/>
              </w:rPr>
              <w:t xml:space="preserve">NT </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32157C4"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-12.464178</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130C86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130.844383</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785EFB6"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ABC Studios 16-18 Bennett Street DARWIN</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84A0B88"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34588</w:t>
            </w:r>
          </w:p>
        </w:tc>
      </w:tr>
      <w:tr w:rsidR="00FB2DD2" w14:paraId="25E6B42D"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848BC3F" w14:textId="77777777" w:rsidR="00FB2DD2" w:rsidRDefault="00FB2DD2" w:rsidP="00ED7018">
            <w:pPr>
              <w:pStyle w:val="Paragraph"/>
              <w:spacing w:after="0"/>
              <w:rPr>
                <w:b w:val="0"/>
                <w:bCs w:val="0"/>
              </w:rPr>
            </w:pPr>
            <w:r>
              <w:rPr>
                <w:b w:val="0"/>
                <w:bCs w:val="0"/>
              </w:rPr>
              <w:t xml:space="preserve">NT </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96A8EF0"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-12.448771</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FA3CB1"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130.837229</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5F73249"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Lot 3119 Blake Street DARWIN</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750E825"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1228</w:t>
            </w:r>
          </w:p>
        </w:tc>
      </w:tr>
      <w:tr w:rsidR="00FB2DD2" w14:paraId="6E01827C"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E9AE8EF" w14:textId="77777777" w:rsidR="00FB2DD2" w:rsidRDefault="00FB2DD2" w:rsidP="00ED7018">
            <w:pPr>
              <w:pStyle w:val="Paragraph"/>
              <w:spacing w:after="0"/>
              <w:rPr>
                <w:b w:val="0"/>
                <w:bCs w:val="0"/>
              </w:rPr>
            </w:pPr>
            <w:r>
              <w:rPr>
                <w:b w:val="0"/>
                <w:bCs w:val="0"/>
              </w:rPr>
              <w:t xml:space="preserve">NT </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7E6D059"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-12.414473</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CD3B0AA"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130.969253</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02D246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Broadcast Australia Site 100 Deloraine Rd SHOAL BAY</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DB4C0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139711</w:t>
            </w:r>
          </w:p>
        </w:tc>
      </w:tr>
      <w:tr w:rsidR="00FB2DD2" w14:paraId="4ACE0E06"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AF7C150" w14:textId="77777777" w:rsidR="00FB2DD2" w:rsidRDefault="00FB2DD2" w:rsidP="00ED7018">
            <w:pPr>
              <w:pStyle w:val="Paragraph"/>
              <w:spacing w:after="0"/>
              <w:rPr>
                <w:b w:val="0"/>
                <w:bCs w:val="0"/>
              </w:rPr>
            </w:pPr>
            <w:r>
              <w:rPr>
                <w:b w:val="0"/>
                <w:bCs w:val="0"/>
              </w:rPr>
              <w:t xml:space="preserve">NT </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DBFF40E"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-12.458896</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802765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130.836978</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1826C07"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proofErr w:type="spellStart"/>
            <w:r>
              <w:t>Marrakai</w:t>
            </w:r>
            <w:proofErr w:type="spellEnd"/>
            <w:r>
              <w:t xml:space="preserve"> Building Lot 5440 (93) Smith Street DARWIN</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377178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1055</w:t>
            </w:r>
          </w:p>
        </w:tc>
      </w:tr>
      <w:tr w:rsidR="00FB2DD2" w14:paraId="05714B99"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DFCEBAC" w14:textId="77777777" w:rsidR="00FB2DD2" w:rsidRDefault="00FB2DD2" w:rsidP="00ED7018">
            <w:pPr>
              <w:pStyle w:val="Paragraph"/>
              <w:spacing w:after="0"/>
              <w:rPr>
                <w:b w:val="0"/>
                <w:bCs w:val="0"/>
              </w:rPr>
            </w:pPr>
            <w:r>
              <w:rPr>
                <w:b w:val="0"/>
                <w:bCs w:val="0"/>
              </w:rPr>
              <w:t>QLD</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AEA0A1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-27.464574</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F92D234"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152.94742</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E96DC4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BAI Comms Site 620 Sir Samuel Griffith Drive MOUNT COOT-THA</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C8E2D6B"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12752</w:t>
            </w:r>
          </w:p>
        </w:tc>
      </w:tr>
      <w:tr w:rsidR="00FB2DD2" w14:paraId="2F22DDEA"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66DEB5F" w14:textId="77777777" w:rsidR="00FB2DD2" w:rsidRDefault="00FB2DD2" w:rsidP="00ED7018">
            <w:pPr>
              <w:pStyle w:val="Paragraph"/>
              <w:spacing w:after="0"/>
              <w:rPr>
                <w:b w:val="0"/>
                <w:bCs w:val="0"/>
              </w:rPr>
            </w:pPr>
            <w:r>
              <w:rPr>
                <w:b w:val="0"/>
                <w:bCs w:val="0"/>
              </w:rPr>
              <w:t>QLD</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1EB7D98"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-27.46313</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23E012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152.94813</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FBEA282"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TXA T-Site Tower 445 Sir Samuel Griffith Drive MOUNT COOT-THA</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F6D4CA9"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12749</w:t>
            </w:r>
          </w:p>
        </w:tc>
      </w:tr>
      <w:tr w:rsidR="00FB2DD2" w14:paraId="184499BD"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7A830C6" w14:textId="77777777" w:rsidR="00FB2DD2" w:rsidRDefault="00FB2DD2" w:rsidP="00ED7018">
            <w:pPr>
              <w:pStyle w:val="Paragraph"/>
              <w:spacing w:after="0"/>
              <w:rPr>
                <w:b w:val="0"/>
                <w:bCs w:val="0"/>
              </w:rPr>
            </w:pPr>
            <w:r>
              <w:rPr>
                <w:b w:val="0"/>
                <w:bCs w:val="0"/>
              </w:rPr>
              <w:t>QLD</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6402CF"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-27.471614</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9CC81B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152.942255</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599EE87"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TXA Q-Site Tower 632 Sir Samuel Griffith Drive MOUNT COOT-THA</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D6073BB"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12761</w:t>
            </w:r>
          </w:p>
        </w:tc>
      </w:tr>
      <w:tr w:rsidR="00FB2DD2" w14:paraId="16CE7694"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ACAA21B" w14:textId="77777777" w:rsidR="00FB2DD2" w:rsidRDefault="00FB2DD2" w:rsidP="00ED7018">
            <w:pPr>
              <w:pStyle w:val="Paragraph"/>
              <w:spacing w:after="0"/>
              <w:rPr>
                <w:b w:val="0"/>
                <w:bCs w:val="0"/>
              </w:rPr>
            </w:pPr>
            <w:r>
              <w:rPr>
                <w:b w:val="0"/>
                <w:bCs w:val="0"/>
              </w:rPr>
              <w:t>QLD</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AB9B35B"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-27.472527</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122AA2F"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153.025353</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9E7BE2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111 George St BRISBANE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A7648AA"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52966</w:t>
            </w:r>
          </w:p>
        </w:tc>
      </w:tr>
      <w:tr w:rsidR="00FB2DD2" w14:paraId="16781FD7"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9A7D6EC" w14:textId="77777777" w:rsidR="00FB2DD2" w:rsidRDefault="00FB2DD2" w:rsidP="00ED7018">
            <w:pPr>
              <w:pStyle w:val="Paragraph"/>
              <w:spacing w:after="0"/>
              <w:rPr>
                <w:b w:val="0"/>
                <w:bCs w:val="0"/>
              </w:rPr>
            </w:pPr>
            <w:r>
              <w:rPr>
                <w:b w:val="0"/>
                <w:bCs w:val="0"/>
              </w:rPr>
              <w:t>QLD</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6ECD655"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-27.483962</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E73001"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153.036288</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E2967E3"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Telstra Exchange 820 Main St WOOLLOONGABBA</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5833AE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12930</w:t>
            </w:r>
          </w:p>
        </w:tc>
      </w:tr>
      <w:tr w:rsidR="00FB2DD2" w14:paraId="2A929192"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96A461D" w14:textId="77777777" w:rsidR="00FB2DD2" w:rsidRDefault="00FB2DD2" w:rsidP="00ED7018">
            <w:pPr>
              <w:pStyle w:val="Paragraph"/>
              <w:spacing w:after="0"/>
              <w:rPr>
                <w:b w:val="0"/>
                <w:bCs w:val="0"/>
              </w:rPr>
            </w:pPr>
            <w:r>
              <w:rPr>
                <w:b w:val="0"/>
                <w:bCs w:val="0"/>
              </w:rPr>
              <w:t>QLD</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D107332"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-26.657085</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B200288"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153.091886</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60DEC2E"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140-142 Horton Pde MAROOCHYDORE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F2A7335"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16209</w:t>
            </w:r>
          </w:p>
        </w:tc>
      </w:tr>
      <w:tr w:rsidR="00FB2DD2" w14:paraId="0203F567"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3E7554C" w14:textId="77777777" w:rsidR="00FB2DD2" w:rsidRDefault="00FB2DD2" w:rsidP="00ED7018">
            <w:pPr>
              <w:pStyle w:val="Paragraph"/>
              <w:spacing w:after="0"/>
              <w:rPr>
                <w:b w:val="0"/>
                <w:bCs w:val="0"/>
              </w:rPr>
            </w:pPr>
            <w:r>
              <w:rPr>
                <w:b w:val="0"/>
                <w:bCs w:val="0"/>
              </w:rPr>
              <w:t>QLD</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CC0147B"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-27.969604</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DEA4A7"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153.213366</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B5F58C9"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GCT Mt Tamborine Site 103m Tower Golf Course Road MOUNT TAMBORINE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3DDE0C0"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403573</w:t>
            </w:r>
          </w:p>
        </w:tc>
      </w:tr>
      <w:tr w:rsidR="00FB2DD2" w14:paraId="3B1C10FF"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CEA271D" w14:textId="77777777" w:rsidR="00FB2DD2" w:rsidRDefault="00FB2DD2" w:rsidP="00ED7018">
            <w:pPr>
              <w:pStyle w:val="Paragraph"/>
              <w:spacing w:after="0"/>
              <w:rPr>
                <w:b w:val="0"/>
                <w:bCs w:val="0"/>
              </w:rPr>
            </w:pPr>
            <w:r>
              <w:rPr>
                <w:b w:val="0"/>
                <w:bCs w:val="0"/>
              </w:rPr>
              <w:t>QLD</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DEB744D"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-26.789909</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CD9ACF9"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152.918196</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5CDC82A"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 xml:space="preserve">Regional broadcaster tower </w:t>
            </w:r>
            <w:proofErr w:type="spellStart"/>
            <w:r>
              <w:t>Cnr</w:t>
            </w:r>
            <w:proofErr w:type="spellEnd"/>
            <w:r>
              <w:t xml:space="preserve"> Bald Knob Road and Landsborough-Maleny Road BALD KNOB</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284C8E8"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15894</w:t>
            </w:r>
          </w:p>
        </w:tc>
      </w:tr>
      <w:tr w:rsidR="00FB2DD2" w14:paraId="1F142A0C"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EC4E0A1" w14:textId="77777777" w:rsidR="00FB2DD2" w:rsidRDefault="00FB2DD2" w:rsidP="00ED7018">
            <w:pPr>
              <w:pStyle w:val="Paragraph"/>
              <w:spacing w:after="0"/>
              <w:rPr>
                <w:b w:val="0"/>
                <w:bCs w:val="0"/>
              </w:rPr>
            </w:pPr>
            <w:r>
              <w:rPr>
                <w:b w:val="0"/>
                <w:bCs w:val="0"/>
              </w:rPr>
              <w:t>QLD</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1EA50B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-28.1384</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5282ABE"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153.481</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0FC8AD2"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GCT Currumbin Site Monopole 66 Crest Drive CURRUMBIN</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3668549"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40379</w:t>
            </w:r>
          </w:p>
        </w:tc>
      </w:tr>
      <w:tr w:rsidR="00FB2DD2" w14:paraId="4DB39281"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39DD0BE" w14:textId="77777777" w:rsidR="00FB2DD2" w:rsidRDefault="00FB2DD2" w:rsidP="00ED7018">
            <w:pPr>
              <w:pStyle w:val="Paragraph"/>
              <w:spacing w:after="0"/>
              <w:rPr>
                <w:b w:val="0"/>
                <w:bCs w:val="0"/>
              </w:rPr>
            </w:pPr>
            <w:r>
              <w:rPr>
                <w:b w:val="0"/>
                <w:bCs w:val="0"/>
              </w:rPr>
              <w:t>QLD</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85E06AE"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-28.234736</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A330C25"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153.28894</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3658D21"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 xml:space="preserve">40m tower NRN Broadcast Site </w:t>
            </w:r>
            <w:proofErr w:type="spellStart"/>
            <w:r>
              <w:t>Bilbrough</w:t>
            </w:r>
            <w:proofErr w:type="spellEnd"/>
            <w:r>
              <w:t xml:space="preserve"> Lookout SPRINGBROOK</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9E412D7"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153528</w:t>
            </w:r>
          </w:p>
        </w:tc>
      </w:tr>
      <w:tr w:rsidR="00FB2DD2" w14:paraId="7CE75F5C"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D0834E1" w14:textId="77777777" w:rsidR="00FB2DD2" w:rsidRDefault="00FB2DD2" w:rsidP="00ED7018">
            <w:pPr>
              <w:pStyle w:val="Paragraph"/>
              <w:spacing w:after="0"/>
              <w:rPr>
                <w:b w:val="0"/>
                <w:bCs w:val="0"/>
              </w:rPr>
            </w:pPr>
            <w:r>
              <w:rPr>
                <w:b w:val="0"/>
                <w:bCs w:val="0"/>
              </w:rPr>
              <w:t>QLD</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EE189A9"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-27.991715</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D6ADDDA"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153.428753</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7CDDCA5"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 xml:space="preserve">Golden Gate </w:t>
            </w:r>
            <w:proofErr w:type="spellStart"/>
            <w:r>
              <w:t>Bldg</w:t>
            </w:r>
            <w:proofErr w:type="spellEnd"/>
            <w:r>
              <w:t xml:space="preserve"> Rooftop 3422 Gold Coast Hwy SURFERS PARADISE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F9687DF"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13795</w:t>
            </w:r>
          </w:p>
        </w:tc>
      </w:tr>
      <w:tr w:rsidR="00FB2DD2" w14:paraId="20C1B1B1"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342353F" w14:textId="77777777" w:rsidR="00FB2DD2" w:rsidRDefault="00FB2DD2" w:rsidP="00ED7018">
            <w:pPr>
              <w:pStyle w:val="Paragraph"/>
              <w:spacing w:after="0"/>
              <w:rPr>
                <w:b w:val="0"/>
                <w:bCs w:val="0"/>
              </w:rPr>
            </w:pPr>
            <w:r>
              <w:rPr>
                <w:b w:val="0"/>
                <w:bCs w:val="0"/>
              </w:rPr>
              <w:t>QLD</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E019039"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-26.683062</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D06A87C"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153.136393</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37A655A"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 xml:space="preserve">Breakwater Apartment </w:t>
            </w:r>
            <w:proofErr w:type="spellStart"/>
            <w:r>
              <w:t>Bldg</w:t>
            </w:r>
            <w:proofErr w:type="spellEnd"/>
            <w:r>
              <w:t xml:space="preserve"> 8 Pacific </w:t>
            </w:r>
            <w:proofErr w:type="spellStart"/>
            <w:r>
              <w:t>Bvd</w:t>
            </w:r>
            <w:proofErr w:type="spellEnd"/>
            <w:r>
              <w:t xml:space="preserve"> Pt Cartwright BUDDINA</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98F1267"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400580</w:t>
            </w:r>
          </w:p>
        </w:tc>
      </w:tr>
      <w:tr w:rsidR="00FB2DD2" w14:paraId="4F6004A5"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1CA9696" w14:textId="77777777" w:rsidR="00FB2DD2" w:rsidRDefault="00FB2DD2" w:rsidP="00ED7018">
            <w:pPr>
              <w:pStyle w:val="Paragraph"/>
              <w:spacing w:after="0"/>
              <w:rPr>
                <w:b w:val="0"/>
                <w:bCs w:val="0"/>
              </w:rPr>
            </w:pPr>
            <w:r>
              <w:rPr>
                <w:b w:val="0"/>
                <w:bCs w:val="0"/>
              </w:rPr>
              <w:t>QLD</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FFD6AE"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-27.7883</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8DB910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153.213012</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A587044"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Crown Castle Site off Cliff Barons Road DARLINGTON RANGE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DD7EB06"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13476</w:t>
            </w:r>
          </w:p>
        </w:tc>
      </w:tr>
      <w:tr w:rsidR="00FB2DD2" w14:paraId="627AE95D"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19F0203" w14:textId="77777777" w:rsidR="00FB2DD2" w:rsidRDefault="00FB2DD2" w:rsidP="00ED7018">
            <w:pPr>
              <w:pStyle w:val="Paragraph"/>
              <w:spacing w:after="0"/>
              <w:rPr>
                <w:b w:val="0"/>
                <w:bCs w:val="0"/>
              </w:rPr>
            </w:pPr>
            <w:r>
              <w:rPr>
                <w:b w:val="0"/>
                <w:bCs w:val="0"/>
              </w:rPr>
              <w:t>QLD</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C1CFF49"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-28.002222</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F7A7753"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153.426385</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84082E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 xml:space="preserve">QTQ 9 Offices 50 </w:t>
            </w:r>
            <w:proofErr w:type="spellStart"/>
            <w:r>
              <w:t>Cavill</w:t>
            </w:r>
            <w:proofErr w:type="spellEnd"/>
            <w:r>
              <w:t xml:space="preserve"> Avenue SURFERS PARADISE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DEA5991"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9022281</w:t>
            </w:r>
          </w:p>
        </w:tc>
      </w:tr>
      <w:tr w:rsidR="00FB2DD2" w14:paraId="32F995D4"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0577EE3" w14:textId="77777777" w:rsidR="00FB2DD2" w:rsidRDefault="00FB2DD2" w:rsidP="00ED7018">
            <w:pPr>
              <w:pStyle w:val="Paragraph"/>
              <w:spacing w:after="0"/>
              <w:rPr>
                <w:b w:val="0"/>
                <w:bCs w:val="0"/>
              </w:rPr>
            </w:pPr>
            <w:r>
              <w:rPr>
                <w:b w:val="0"/>
                <w:bCs w:val="0"/>
              </w:rPr>
              <w:t xml:space="preserve">SA </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AB85BB"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-34.888076</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A364AC5"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138.613894</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FDF60BA"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ABC Building 85 North East Road COLLINSWOOD</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78E8E64"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22777</w:t>
            </w:r>
          </w:p>
        </w:tc>
      </w:tr>
      <w:tr w:rsidR="00FB2DD2" w14:paraId="5DE0213A"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BF5B777" w14:textId="77777777" w:rsidR="00FB2DD2" w:rsidRDefault="00FB2DD2" w:rsidP="00ED7018">
            <w:pPr>
              <w:pStyle w:val="Paragraph"/>
              <w:spacing w:after="0"/>
              <w:rPr>
                <w:b w:val="0"/>
                <w:bCs w:val="0"/>
              </w:rPr>
            </w:pPr>
            <w:r>
              <w:rPr>
                <w:b w:val="0"/>
                <w:bCs w:val="0"/>
              </w:rPr>
              <w:t xml:space="preserve">SA </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C8C14B8"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-34.924828</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5038B11"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138.598754</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3FAFC2B"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91 King William Street Currie Street Frontage Santos House ADELAIDE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A8D429"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22170</w:t>
            </w:r>
          </w:p>
        </w:tc>
      </w:tr>
      <w:tr w:rsidR="00FB2DD2" w14:paraId="48411B94"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A67A37B" w14:textId="77777777" w:rsidR="00FB2DD2" w:rsidRDefault="00FB2DD2" w:rsidP="00ED7018">
            <w:pPr>
              <w:pStyle w:val="Paragraph"/>
              <w:spacing w:after="0"/>
              <w:rPr>
                <w:b w:val="0"/>
                <w:bCs w:val="0"/>
              </w:rPr>
            </w:pPr>
            <w:r>
              <w:rPr>
                <w:b w:val="0"/>
                <w:bCs w:val="0"/>
              </w:rPr>
              <w:t xml:space="preserve">SA </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4F797B9"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-34.908683</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9847FBA"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138.576069</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B24F596"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Channel 7 Adelaide 40 Port Road HINDMARSH</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3EE4E5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9004134</w:t>
            </w:r>
          </w:p>
        </w:tc>
      </w:tr>
      <w:tr w:rsidR="00FB2DD2" w14:paraId="1BA37667"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CBD5C9" w14:textId="77777777" w:rsidR="00FB2DD2" w:rsidRDefault="00FB2DD2" w:rsidP="00ED7018">
            <w:pPr>
              <w:pStyle w:val="Paragraph"/>
              <w:spacing w:after="0"/>
              <w:rPr>
                <w:b w:val="0"/>
                <w:bCs w:val="0"/>
              </w:rPr>
            </w:pPr>
            <w:r>
              <w:rPr>
                <w:b w:val="0"/>
                <w:bCs w:val="0"/>
              </w:rPr>
              <w:t xml:space="preserve">SA </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AD52B68"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-34.98104</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EEEEEC6"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138.708078</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4B1266"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TXA Crafers Site Tower 115 Mount Lofty Summit Road CRAFERS</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0D9F41"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23181</w:t>
            </w:r>
          </w:p>
        </w:tc>
      </w:tr>
      <w:tr w:rsidR="00FB2DD2" w14:paraId="5BC51742"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9021592" w14:textId="77777777" w:rsidR="00FB2DD2" w:rsidRDefault="00FB2DD2" w:rsidP="00ED7018">
            <w:pPr>
              <w:pStyle w:val="Paragraph"/>
              <w:spacing w:after="0"/>
              <w:rPr>
                <w:b w:val="0"/>
                <w:bCs w:val="0"/>
              </w:rPr>
            </w:pPr>
            <w:r>
              <w:rPr>
                <w:b w:val="0"/>
                <w:bCs w:val="0"/>
              </w:rPr>
              <w:t>TAS</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0027F2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-42.878083</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AD57B7F"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147.332304</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AEFA008"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ABC Studios Brooker Avenue HOBART</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5DB5E7F"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32730</w:t>
            </w:r>
          </w:p>
        </w:tc>
      </w:tr>
      <w:tr w:rsidR="00FB2DD2" w14:paraId="29F9EF0B"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31A391C" w14:textId="77777777" w:rsidR="00FB2DD2" w:rsidRDefault="00FB2DD2" w:rsidP="00ED7018">
            <w:pPr>
              <w:pStyle w:val="Paragraph"/>
              <w:spacing w:after="0"/>
              <w:rPr>
                <w:b w:val="0"/>
                <w:bCs w:val="0"/>
              </w:rPr>
            </w:pPr>
            <w:r>
              <w:rPr>
                <w:b w:val="0"/>
                <w:bCs w:val="0"/>
              </w:rPr>
              <w:t>TAS</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00DC3DD"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-42.897566</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B1F9CD8"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147.236358</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6D1071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Broadcast Australia Site Pinnacle Rd MT WELLINGTON</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C094071"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32830</w:t>
            </w:r>
          </w:p>
        </w:tc>
      </w:tr>
      <w:tr w:rsidR="00FB2DD2" w14:paraId="5BF4314C"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454311D" w14:textId="77777777" w:rsidR="00FB2DD2" w:rsidRDefault="00FB2DD2" w:rsidP="00ED7018">
            <w:pPr>
              <w:pStyle w:val="Paragraph"/>
              <w:spacing w:after="0"/>
              <w:rPr>
                <w:b w:val="0"/>
                <w:bCs w:val="0"/>
              </w:rPr>
            </w:pPr>
            <w:r>
              <w:rPr>
                <w:b w:val="0"/>
                <w:bCs w:val="0"/>
              </w:rPr>
              <w:t>VIC</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CED279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-37.810323</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115721A"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144.967818</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EC70E88"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150 Lonsdale Street MELBOURNE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585755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38812</w:t>
            </w:r>
          </w:p>
        </w:tc>
      </w:tr>
      <w:tr w:rsidR="00FB2DD2" w14:paraId="670A9DA9"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141982" w14:textId="77777777" w:rsidR="00FB2DD2" w:rsidRDefault="00FB2DD2" w:rsidP="00ED7018">
            <w:pPr>
              <w:pStyle w:val="Paragraph"/>
              <w:spacing w:after="0"/>
              <w:rPr>
                <w:b w:val="0"/>
                <w:bCs w:val="0"/>
              </w:rPr>
            </w:pPr>
            <w:r>
              <w:rPr>
                <w:b w:val="0"/>
                <w:bCs w:val="0"/>
              </w:rPr>
              <w:t>VIC</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8237575"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-37.815342</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35DCC31"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144.945415</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06F409A"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 xml:space="preserve">HSV-7 </w:t>
            </w:r>
            <w:proofErr w:type="spellStart"/>
            <w:r>
              <w:t>Bldg</w:t>
            </w:r>
            <w:proofErr w:type="spellEnd"/>
            <w:r>
              <w:t xml:space="preserve"> Colonial Stadium </w:t>
            </w:r>
            <w:proofErr w:type="spellStart"/>
            <w:r>
              <w:t>cnr</w:t>
            </w:r>
            <w:proofErr w:type="spellEnd"/>
            <w:r>
              <w:t xml:space="preserve"> La Trobe St Extn &amp; Harbour </w:t>
            </w:r>
            <w:proofErr w:type="spellStart"/>
            <w:r>
              <w:t>Espl</w:t>
            </w:r>
            <w:proofErr w:type="spellEnd"/>
            <w:r>
              <w:t xml:space="preserve"> DOCKLANDS</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70E34C1"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102197</w:t>
            </w:r>
          </w:p>
        </w:tc>
      </w:tr>
      <w:tr w:rsidR="00FB2DD2" w14:paraId="486CC7BE"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D4F5C86" w14:textId="77777777" w:rsidR="00FB2DD2" w:rsidRDefault="00FB2DD2" w:rsidP="00ED7018">
            <w:pPr>
              <w:pStyle w:val="Paragraph"/>
              <w:spacing w:after="0"/>
              <w:rPr>
                <w:b w:val="0"/>
                <w:bCs w:val="0"/>
              </w:rPr>
            </w:pPr>
            <w:r>
              <w:rPr>
                <w:b w:val="0"/>
                <w:bCs w:val="0"/>
              </w:rPr>
              <w:t>VIC</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89D4B63"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-37.837476</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561CC1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145.34661</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3E04262"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 xml:space="preserve">TXA </w:t>
            </w:r>
            <w:proofErr w:type="spellStart"/>
            <w:r>
              <w:t>Ornata</w:t>
            </w:r>
            <w:proofErr w:type="spellEnd"/>
            <w:r>
              <w:t xml:space="preserve"> Road Site Tower 12 </w:t>
            </w:r>
            <w:proofErr w:type="spellStart"/>
            <w:r>
              <w:t>Ornata</w:t>
            </w:r>
            <w:proofErr w:type="spellEnd"/>
            <w:r>
              <w:t xml:space="preserve"> Road MOUNT DANDENONG</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D5F9F3E"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12013</w:t>
            </w:r>
          </w:p>
        </w:tc>
      </w:tr>
      <w:tr w:rsidR="00FB2DD2" w14:paraId="25904F18"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037A309" w14:textId="77777777" w:rsidR="00FB2DD2" w:rsidRDefault="00FB2DD2" w:rsidP="00ED7018">
            <w:pPr>
              <w:pStyle w:val="Paragraph"/>
              <w:spacing w:after="0"/>
              <w:rPr>
                <w:b w:val="0"/>
                <w:bCs w:val="0"/>
              </w:rPr>
            </w:pPr>
            <w:r>
              <w:rPr>
                <w:b w:val="0"/>
                <w:bCs w:val="0"/>
              </w:rPr>
              <w:t>VIC</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1765009"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-37.835419</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2E932D9"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145.347735</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75096E8"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TXA Eyre Road Site Tower 8 Eyre Road MT DANDENONG</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9BA27A8"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12015</w:t>
            </w:r>
          </w:p>
        </w:tc>
      </w:tr>
      <w:tr w:rsidR="00FB2DD2" w14:paraId="1DE4D343"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C37173F" w14:textId="77777777" w:rsidR="00FB2DD2" w:rsidRDefault="00FB2DD2" w:rsidP="00ED7018">
            <w:pPr>
              <w:pStyle w:val="Paragraph"/>
              <w:spacing w:after="0"/>
              <w:rPr>
                <w:b w:val="0"/>
                <w:bCs w:val="0"/>
              </w:rPr>
            </w:pPr>
            <w:r>
              <w:rPr>
                <w:b w:val="0"/>
                <w:bCs w:val="0"/>
              </w:rPr>
              <w:t>VIC</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883A952"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-37.828469</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E039C09"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145.353401</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B85D8A9"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TXA Observatory Road Site Tower 20-24 Observatory Road MT DANDENONG</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8D5D1F7"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12010</w:t>
            </w:r>
          </w:p>
        </w:tc>
      </w:tr>
      <w:tr w:rsidR="00FB2DD2" w14:paraId="5A4ED29F"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8985B5" w14:textId="77777777" w:rsidR="00FB2DD2" w:rsidRDefault="00FB2DD2" w:rsidP="00ED7018">
            <w:pPr>
              <w:pStyle w:val="Paragraph"/>
              <w:spacing w:after="0"/>
              <w:rPr>
                <w:b w:val="0"/>
                <w:bCs w:val="0"/>
              </w:rPr>
            </w:pPr>
            <w:r>
              <w:rPr>
                <w:b w:val="0"/>
                <w:bCs w:val="0"/>
              </w:rPr>
              <w:t>VIC</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CDB5ED3"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-37.81852</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D1980B"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144.957141</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1C2E491"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Rialto Towers 525 Collins Street MELBOURNE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CC77136"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11599</w:t>
            </w:r>
          </w:p>
        </w:tc>
      </w:tr>
      <w:tr w:rsidR="00FB2DD2" w14:paraId="58AC9721"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CF30BD5" w14:textId="77777777" w:rsidR="00FB2DD2" w:rsidRDefault="00FB2DD2" w:rsidP="00ED7018">
            <w:pPr>
              <w:pStyle w:val="Paragraph"/>
              <w:spacing w:after="0"/>
              <w:rPr>
                <w:b w:val="0"/>
                <w:bCs w:val="0"/>
              </w:rPr>
            </w:pPr>
            <w:r>
              <w:rPr>
                <w:b w:val="0"/>
                <w:bCs w:val="0"/>
              </w:rPr>
              <w:t>VIC</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319BDB3"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-37.814922</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D8F5543"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144.970588</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EC6F85A" w14:textId="5EF207DF"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Broadcast/Comms Tower Roof 101 Collins Street MELBOURNE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2328F34"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11597</w:t>
            </w:r>
          </w:p>
        </w:tc>
      </w:tr>
      <w:tr w:rsidR="00FB2DD2" w14:paraId="12C3187A"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02EB3A3" w14:textId="77777777" w:rsidR="00FB2DD2" w:rsidRDefault="00FB2DD2" w:rsidP="00ED7018">
            <w:pPr>
              <w:pStyle w:val="Paragraph"/>
              <w:spacing w:after="0"/>
              <w:rPr>
                <w:b w:val="0"/>
                <w:bCs w:val="0"/>
              </w:rPr>
            </w:pPr>
            <w:r>
              <w:rPr>
                <w:b w:val="0"/>
                <w:bCs w:val="0"/>
              </w:rPr>
              <w:t>VIC</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AAE6E93"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-37.813822</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0D4C8B5"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144.969482</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E249049"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120 Collins Street MELBOURNE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BC013C3"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11596</w:t>
            </w:r>
          </w:p>
        </w:tc>
      </w:tr>
      <w:tr w:rsidR="00FB2DD2" w14:paraId="763DCF9B"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18EC4E1" w14:textId="77777777" w:rsidR="00FB2DD2" w:rsidRDefault="00FB2DD2" w:rsidP="00ED7018">
            <w:pPr>
              <w:pStyle w:val="Paragraph"/>
              <w:spacing w:after="0"/>
              <w:rPr>
                <w:b w:val="0"/>
                <w:bCs w:val="0"/>
              </w:rPr>
            </w:pPr>
            <w:r>
              <w:rPr>
                <w:b w:val="0"/>
                <w:bCs w:val="0"/>
              </w:rPr>
              <w:t>VIC</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D23CD4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-37.886475</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187A31E"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144.269148</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B898CD0"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Police &amp; Ambulance Site MT ANAKIE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6EBFC61"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11694</w:t>
            </w:r>
          </w:p>
        </w:tc>
      </w:tr>
      <w:tr w:rsidR="00FB2DD2" w14:paraId="4EBA0F10"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C525A41" w14:textId="77777777" w:rsidR="00FB2DD2" w:rsidRDefault="00FB2DD2" w:rsidP="00ED7018">
            <w:pPr>
              <w:pStyle w:val="Paragraph"/>
              <w:spacing w:after="0"/>
              <w:rPr>
                <w:b w:val="0"/>
                <w:bCs w:val="0"/>
              </w:rPr>
            </w:pPr>
            <w:r>
              <w:rPr>
                <w:b w:val="0"/>
                <w:bCs w:val="0"/>
              </w:rPr>
              <w:t>VIC</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E5D4DA6"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-38.173546</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C78B193"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144.300291</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D4106D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Broadcast Site Brownhill Heights Reserve CERES</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2AFD639"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8000005</w:t>
            </w:r>
          </w:p>
        </w:tc>
      </w:tr>
      <w:tr w:rsidR="00FB2DD2" w14:paraId="19BDDFA2"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2E0C828" w14:textId="77777777" w:rsidR="00FB2DD2" w:rsidRDefault="00FB2DD2" w:rsidP="00ED7018">
            <w:pPr>
              <w:pStyle w:val="Paragraph"/>
              <w:spacing w:after="0"/>
              <w:rPr>
                <w:b w:val="0"/>
                <w:bCs w:val="0"/>
              </w:rPr>
            </w:pPr>
            <w:r>
              <w:rPr>
                <w:b w:val="0"/>
                <w:bCs w:val="0"/>
              </w:rPr>
              <w:t>VIC</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46B7D3A"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-38.354268</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AAFD39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144.952035</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561B0E"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 xml:space="preserve">Air Services Australia Site </w:t>
            </w:r>
            <w:proofErr w:type="spellStart"/>
            <w:r>
              <w:t>Steane</w:t>
            </w:r>
            <w:proofErr w:type="spellEnd"/>
            <w:r>
              <w:t xml:space="preserve"> Ave ARTHURS SEAT</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058CD03"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9000919</w:t>
            </w:r>
          </w:p>
        </w:tc>
      </w:tr>
      <w:tr w:rsidR="00FB2DD2" w14:paraId="566CB75A"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43900ED" w14:textId="77777777" w:rsidR="00FB2DD2" w:rsidRDefault="00FB2DD2" w:rsidP="00ED7018">
            <w:pPr>
              <w:pStyle w:val="Paragraph"/>
              <w:spacing w:after="0"/>
              <w:rPr>
                <w:b w:val="0"/>
                <w:bCs w:val="0"/>
              </w:rPr>
            </w:pPr>
            <w:r>
              <w:rPr>
                <w:b w:val="0"/>
                <w:bCs w:val="0"/>
              </w:rPr>
              <w:t>VIC</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9E54AFB"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-37.813625</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C7A5295"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144.936307</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BBED7F9"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476 Docklands Dr DOCKLANDS</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704DFE"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139648</w:t>
            </w:r>
          </w:p>
        </w:tc>
      </w:tr>
      <w:tr w:rsidR="00FB2DD2" w14:paraId="67B76BDF"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3C2ECBC" w14:textId="77777777" w:rsidR="00FB2DD2" w:rsidRDefault="00FB2DD2" w:rsidP="00ED7018">
            <w:pPr>
              <w:pStyle w:val="Paragraph"/>
              <w:spacing w:after="0"/>
              <w:rPr>
                <w:b w:val="0"/>
                <w:bCs w:val="0"/>
              </w:rPr>
            </w:pPr>
            <w:r>
              <w:rPr>
                <w:b w:val="0"/>
                <w:bCs w:val="0"/>
              </w:rPr>
              <w:t xml:space="preserve">WA </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800B780"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-31.953914</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E8C5CC1"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115.855585</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9CF14E2"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Central Park Tower 170 Georges Terrace Perth</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860E17D"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142068</w:t>
            </w:r>
          </w:p>
        </w:tc>
      </w:tr>
      <w:tr w:rsidR="00FB2DD2" w14:paraId="192DE091"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2B246B2" w14:textId="77777777" w:rsidR="00FB2DD2" w:rsidRDefault="00FB2DD2" w:rsidP="00ED7018">
            <w:pPr>
              <w:pStyle w:val="Paragraph"/>
              <w:spacing w:after="0"/>
              <w:rPr>
                <w:b w:val="0"/>
                <w:bCs w:val="0"/>
              </w:rPr>
            </w:pPr>
            <w:r>
              <w:rPr>
                <w:b w:val="0"/>
                <w:bCs w:val="0"/>
              </w:rPr>
              <w:t xml:space="preserve">WA </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C4ED7BC"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-32.012667</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7B6FC33"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116.061768</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1F60423"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TXA Carmel Site 255 Welshpool Road East CARMEL</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609988A"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26624</w:t>
            </w:r>
          </w:p>
        </w:tc>
      </w:tr>
      <w:tr w:rsidR="00FB2DD2" w14:paraId="19E49AC1"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00CECE0" w14:textId="77777777" w:rsidR="00FB2DD2" w:rsidRDefault="00FB2DD2" w:rsidP="00ED7018">
            <w:pPr>
              <w:pStyle w:val="Paragraph"/>
              <w:spacing w:after="0"/>
              <w:rPr>
                <w:b w:val="0"/>
                <w:bCs w:val="0"/>
              </w:rPr>
            </w:pPr>
            <w:r>
              <w:rPr>
                <w:b w:val="0"/>
                <w:bCs w:val="0"/>
              </w:rPr>
              <w:t xml:space="preserve">WA </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AE80AD1"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-31.88197</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2F3CBAB"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115.857527</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DD92D7F"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Channel Seven Perth Off Dianella Dr Dianella</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FB33AD3"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142069</w:t>
            </w:r>
          </w:p>
        </w:tc>
      </w:tr>
      <w:tr w:rsidR="00FB2DD2" w14:paraId="1A50707A" w14:textId="77777777" w:rsidTr="00B40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2119961" w14:textId="77777777" w:rsidR="00FB2DD2" w:rsidRDefault="00FB2DD2" w:rsidP="00ED7018">
            <w:pPr>
              <w:pStyle w:val="Paragraph"/>
              <w:spacing w:after="0"/>
              <w:rPr>
                <w:b w:val="0"/>
                <w:bCs w:val="0"/>
              </w:rPr>
            </w:pPr>
            <w:r>
              <w:rPr>
                <w:b w:val="0"/>
                <w:bCs w:val="0"/>
              </w:rPr>
              <w:t xml:space="preserve">WA </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8361214"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-32.057926</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D605C36"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115.751211</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4BE6061"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Fremantle Hospital Lot 1970 Alma Street FREMANTLE</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6843E23" w14:textId="77777777" w:rsidR="00FB2DD2" w:rsidRDefault="00FB2DD2" w:rsidP="00ED7018">
            <w:pPr>
              <w:pStyle w:val="Paragraph"/>
              <w:spacing w:after="0"/>
              <w:cnfStyle w:val="000000100000" w:firstRow="0" w:lastRow="0" w:firstColumn="0" w:lastColumn="0" w:oddVBand="0" w:evenVBand="0" w:oddHBand="1" w:evenHBand="0" w:firstRowFirstColumn="0" w:firstRowLastColumn="0" w:lastRowFirstColumn="0" w:lastRowLastColumn="0"/>
            </w:pPr>
            <w:r>
              <w:t>27170</w:t>
            </w:r>
          </w:p>
        </w:tc>
      </w:tr>
      <w:tr w:rsidR="00FB2DD2" w14:paraId="17724520" w14:textId="77777777" w:rsidTr="00B401E4">
        <w:tc>
          <w:tcPr>
            <w:cnfStyle w:val="001000000000" w:firstRow="0" w:lastRow="0" w:firstColumn="1" w:lastColumn="0" w:oddVBand="0" w:evenVBand="0" w:oddHBand="0" w:evenHBand="0" w:firstRowFirstColumn="0" w:firstRowLastColumn="0" w:lastRowFirstColumn="0" w:lastRowLastColumn="0"/>
            <w:tcW w:w="82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AF7AECC" w14:textId="77777777" w:rsidR="00FB2DD2" w:rsidRDefault="00FB2DD2" w:rsidP="00ED7018">
            <w:pPr>
              <w:pStyle w:val="Paragraph"/>
              <w:spacing w:after="0"/>
              <w:rPr>
                <w:b w:val="0"/>
                <w:bCs w:val="0"/>
              </w:rPr>
            </w:pPr>
            <w:r>
              <w:rPr>
                <w:b w:val="0"/>
                <w:bCs w:val="0"/>
              </w:rPr>
              <w:t xml:space="preserve">WA </w:t>
            </w:r>
          </w:p>
        </w:tc>
        <w:tc>
          <w:tcPr>
            <w:tcW w:w="16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AF97D9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-31.952081</w:t>
            </w:r>
          </w:p>
        </w:tc>
        <w:tc>
          <w:tcPr>
            <w:tcW w:w="15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05497AC"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115.846971</w:t>
            </w:r>
          </w:p>
        </w:tc>
        <w:tc>
          <w:tcPr>
            <w:tcW w:w="24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84B7EB3"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State Parliament House Harvest Terrace Perth</w:t>
            </w:r>
          </w:p>
        </w:tc>
        <w:tc>
          <w:tcPr>
            <w:tcW w:w="118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3484B01" w14:textId="77777777" w:rsidR="00FB2DD2" w:rsidRDefault="00FB2DD2" w:rsidP="00ED7018">
            <w:pPr>
              <w:pStyle w:val="Paragraph"/>
              <w:spacing w:after="0"/>
              <w:cnfStyle w:val="000000000000" w:firstRow="0" w:lastRow="0" w:firstColumn="0" w:lastColumn="0" w:oddVBand="0" w:evenVBand="0" w:oddHBand="0" w:evenHBand="0" w:firstRowFirstColumn="0" w:firstRowLastColumn="0" w:lastRowFirstColumn="0" w:lastRowLastColumn="0"/>
            </w:pPr>
            <w:r>
              <w:t>142074</w:t>
            </w:r>
          </w:p>
        </w:tc>
      </w:tr>
    </w:tbl>
    <w:p w14:paraId="7870B404" w14:textId="638136E3" w:rsidR="00FE640F" w:rsidRDefault="00FE640F" w:rsidP="00FE640F">
      <w:pPr>
        <w:pStyle w:val="Paragraph"/>
      </w:pPr>
      <w:r>
        <w:t>List last updated Ju</w:t>
      </w:r>
      <w:r w:rsidR="00F45BE3">
        <w:t>ly</w:t>
      </w:r>
      <w:r>
        <w:t xml:space="preserve"> 2022</w:t>
      </w:r>
      <w:r w:rsidR="00F45BE3">
        <w:t xml:space="preserve">, as recorded in </w:t>
      </w:r>
      <w:r w:rsidR="00A81BF6">
        <w:t xml:space="preserve">ACMA decisions on </w:t>
      </w:r>
      <w:r w:rsidR="00A81BF6" w:rsidRPr="002A3922">
        <w:t xml:space="preserve">licensing arrangements for </w:t>
      </w:r>
      <w:hyperlink r:id="rId66" w:history="1">
        <w:r w:rsidR="00A81BF6" w:rsidRPr="009A4872">
          <w:rPr>
            <w:rStyle w:val="Hyperlink"/>
          </w:rPr>
          <w:t>2 GHz narrowband mobile-satellite services</w:t>
        </w:r>
      </w:hyperlink>
      <w:r w:rsidR="00A81BF6">
        <w:t xml:space="preserve"> (IFC 46/2021</w:t>
      </w:r>
      <w:r w:rsidR="00D1592D">
        <w:t>)</w:t>
      </w:r>
    </w:p>
    <w:p w14:paraId="1B61742A" w14:textId="7A063E5B" w:rsidR="0026705D" w:rsidRPr="0026705D" w:rsidRDefault="0026705D" w:rsidP="00043244"/>
    <w:sectPr w:rsidR="0026705D" w:rsidRPr="0026705D" w:rsidSect="00C77380">
      <w:headerReference w:type="even" r:id="rId67"/>
      <w:headerReference w:type="default" r:id="rId68"/>
      <w:footerReference w:type="even" r:id="rId69"/>
      <w:footerReference w:type="default" r:id="rId70"/>
      <w:headerReference w:type="first" r:id="rId71"/>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3120" w14:textId="77777777" w:rsidR="00E6758E" w:rsidRDefault="00E6758E">
      <w:r>
        <w:separator/>
      </w:r>
    </w:p>
  </w:endnote>
  <w:endnote w:type="continuationSeparator" w:id="0">
    <w:p w14:paraId="7A6C0DCC" w14:textId="77777777" w:rsidR="00E6758E" w:rsidRDefault="00E6758E">
      <w:r>
        <w:continuationSeparator/>
      </w:r>
    </w:p>
  </w:endnote>
  <w:endnote w:type="continuationNotice" w:id="1">
    <w:p w14:paraId="05A3F4DF" w14:textId="77777777" w:rsidR="00E6758E" w:rsidRDefault="00E675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0E3B" w14:textId="77777777" w:rsidR="00547012" w:rsidRDefault="00547012" w:rsidP="00640062">
    <w:pPr>
      <w:pStyle w:val="Footer"/>
      <w:tabs>
        <w:tab w:val="left" w:pos="6630"/>
        <w:tab w:val="right" w:pos="9780"/>
      </w:tabs>
    </w:pPr>
    <w:r>
      <w:tab/>
    </w:r>
    <w:r>
      <w:tab/>
    </w:r>
    <w:r>
      <w:tab/>
    </w:r>
    <w:r w:rsidRPr="005E250B">
      <w:rPr>
        <w:noProof/>
        <w:vertAlign w:val="subscript"/>
      </w:rPr>
      <w:drawing>
        <wp:inline distT="0" distB="0" distL="0" distR="0" wp14:anchorId="094037B4" wp14:editId="7FA5B7BF">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p w14:paraId="3922DB34" w14:textId="77777777" w:rsidR="00547012" w:rsidRPr="000A0E3E" w:rsidRDefault="00547012" w:rsidP="00640062">
    <w:pPr>
      <w:pStyle w:val="Footer"/>
      <w:tabs>
        <w:tab w:val="clear" w:pos="113"/>
        <w:tab w:val="left" w:pos="2590"/>
      </w:tabs>
    </w:pPr>
    <w:r>
      <w:tab/>
    </w:r>
  </w:p>
  <w:p w14:paraId="45ABD091" w14:textId="31A365C5" w:rsidR="00547012" w:rsidRPr="00640062" w:rsidRDefault="00547012" w:rsidP="00640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4CC8" w14:textId="77777777" w:rsidR="00547012" w:rsidRDefault="00547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1C6D" w14:textId="77777777" w:rsidR="00547012" w:rsidRDefault="005470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AE46" w14:textId="77777777" w:rsidR="00547012" w:rsidRPr="00622A3B" w:rsidRDefault="00547012"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39EB8986" w14:textId="77777777" w:rsidR="00547012" w:rsidRPr="00A5474E" w:rsidRDefault="00547012"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BA84" w14:textId="77777777" w:rsidR="00547012" w:rsidRPr="00622A3B" w:rsidRDefault="00547012"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051C3BD0" w14:textId="77777777" w:rsidR="00547012" w:rsidRPr="00A5474E" w:rsidRDefault="00547012"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184D" w14:textId="7FBAB391" w:rsidR="00547012" w:rsidRPr="00622A3B" w:rsidRDefault="00547012"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69F4300A" w14:textId="77777777" w:rsidR="00547012" w:rsidRPr="00A5474E" w:rsidRDefault="00547012"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666A" w14:textId="6316B2A5" w:rsidR="00547012" w:rsidRPr="00622A3B" w:rsidRDefault="00547012"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8</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CAACB3F" w14:textId="77777777" w:rsidR="00547012" w:rsidRPr="00A5474E" w:rsidRDefault="00547012"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1872" w14:textId="18315D86" w:rsidR="00547012" w:rsidRPr="00622A3B" w:rsidRDefault="00547012"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9</w:t>
    </w:r>
    <w:r w:rsidRPr="00575AC5">
      <w:rPr>
        <w:color w:val="505050"/>
      </w:rPr>
      <w:fldChar w:fldCharType="end"/>
    </w:r>
  </w:p>
  <w:p w14:paraId="2E8779C6" w14:textId="77777777" w:rsidR="00547012" w:rsidRPr="00A5474E" w:rsidRDefault="00547012"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5B7F" w14:textId="77777777" w:rsidR="00E6758E" w:rsidRDefault="00E6758E">
      <w:r>
        <w:separator/>
      </w:r>
    </w:p>
  </w:footnote>
  <w:footnote w:type="continuationSeparator" w:id="0">
    <w:p w14:paraId="1AB8AB31" w14:textId="77777777" w:rsidR="00E6758E" w:rsidRDefault="00E6758E">
      <w:r>
        <w:continuationSeparator/>
      </w:r>
    </w:p>
  </w:footnote>
  <w:footnote w:type="continuationNotice" w:id="1">
    <w:p w14:paraId="51CE70FF" w14:textId="77777777" w:rsidR="00E6758E" w:rsidRDefault="00E6758E">
      <w:pPr>
        <w:spacing w:after="0" w:line="240" w:lineRule="auto"/>
      </w:pPr>
    </w:p>
  </w:footnote>
  <w:footnote w:id="2">
    <w:p w14:paraId="4E45431B" w14:textId="3B40BE98" w:rsidR="00547012" w:rsidRDefault="00547012">
      <w:pPr>
        <w:pStyle w:val="FootnoteText"/>
      </w:pPr>
      <w:r>
        <w:rPr>
          <w:rStyle w:val="FootnoteReference"/>
        </w:rPr>
        <w:footnoteRef/>
      </w:r>
      <w:r>
        <w:t xml:space="preserve"> </w:t>
      </w:r>
      <w:r w:rsidRPr="00104E4C">
        <w:t xml:space="preserve">The term </w:t>
      </w:r>
      <w:r w:rsidRPr="00104E4C">
        <w:rPr>
          <w:i/>
        </w:rPr>
        <w:t>space-related</w:t>
      </w:r>
      <w:r w:rsidRPr="00104E4C">
        <w:t xml:space="preserve"> used here is intended to mean space-based network or space system, and not to mean </w:t>
      </w:r>
      <w:r w:rsidRPr="00104E4C">
        <w:rPr>
          <w:i/>
        </w:rPr>
        <w:t>space</w:t>
      </w:r>
      <w:r w:rsidRPr="00104E4C">
        <w:t xml:space="preserve"> or </w:t>
      </w:r>
      <w:r w:rsidRPr="00104E4C">
        <w:rPr>
          <w:i/>
        </w:rPr>
        <w:t>space receive</w:t>
      </w:r>
      <w:r w:rsidRPr="00104E4C">
        <w:t xml:space="preserve"> apparatus licence type.</w:t>
      </w:r>
    </w:p>
  </w:footnote>
  <w:footnote w:id="3">
    <w:p w14:paraId="08E18CC6" w14:textId="77777777" w:rsidR="00547012" w:rsidRDefault="00547012" w:rsidP="00122FB0">
      <w:pPr>
        <w:pStyle w:val="FootnoteText"/>
        <w:spacing w:after="0"/>
      </w:pPr>
      <w:r>
        <w:rPr>
          <w:rStyle w:val="FootnoteReference"/>
        </w:rPr>
        <w:footnoteRef/>
      </w:r>
      <w:r>
        <w:t xml:space="preserve"> Refer </w:t>
      </w:r>
      <w:r w:rsidRPr="004117A4">
        <w:rPr>
          <w:i/>
        </w:rPr>
        <w:t>Radiocommunications Act 1992</w:t>
      </w:r>
      <w:r>
        <w:t xml:space="preserve">, section 104 Compliance with plans. </w:t>
      </w:r>
    </w:p>
  </w:footnote>
  <w:footnote w:id="4">
    <w:p w14:paraId="78ECD12F" w14:textId="624F34B2" w:rsidR="00547012" w:rsidRDefault="00547012">
      <w:pPr>
        <w:pStyle w:val="FootnoteText"/>
      </w:pPr>
      <w:r>
        <w:rPr>
          <w:rStyle w:val="FootnoteReference"/>
        </w:rPr>
        <w:footnoteRef/>
      </w:r>
      <w:r>
        <w:t xml:space="preserve"> The</w:t>
      </w:r>
      <w:r w:rsidRPr="00A91199">
        <w:t xml:space="preserve"> term ‘favourable finding’ or ‘unfavourable finding’ refers to ITU BR assessment of the notification information with respect to No. 11.32 and 11.32A of </w:t>
      </w:r>
      <w:r>
        <w:t xml:space="preserve">the ITU </w:t>
      </w:r>
      <w:r w:rsidRPr="00A91199">
        <w:t>Radio Regulation</w:t>
      </w:r>
      <w:r>
        <w:t>s,</w:t>
      </w:r>
      <w:r w:rsidRPr="00A91199">
        <w:t xml:space="preserve"> resulting </w:t>
      </w:r>
      <w:r>
        <w:t>in</w:t>
      </w:r>
      <w:r w:rsidRPr="00A91199">
        <w:t xml:space="preserve"> the favourable or unfavourable</w:t>
      </w:r>
      <w:r>
        <w:t xml:space="preserve"> finding.  </w:t>
      </w:r>
    </w:p>
  </w:footnote>
  <w:footnote w:id="5">
    <w:p w14:paraId="45E98AC8" w14:textId="04D2CC4E" w:rsidR="00F15746" w:rsidRDefault="00F15746" w:rsidP="00F15746">
      <w:pPr>
        <w:pStyle w:val="FootnoteText"/>
        <w:spacing w:after="0" w:line="240" w:lineRule="auto"/>
      </w:pPr>
      <w:r>
        <w:rPr>
          <w:rStyle w:val="FootnoteReference"/>
        </w:rPr>
        <w:footnoteRef/>
      </w:r>
      <w:r>
        <w:t xml:space="preserve"> See lists of space station class of station and earth station class of station in </w:t>
      </w:r>
      <w:hyperlink r:id="rId1" w:history="1">
        <w:r w:rsidRPr="001662AC">
          <w:rPr>
            <w:rStyle w:val="Hyperlink"/>
          </w:rPr>
          <w:t>Preface to the BR IFIC (Space services)</w:t>
        </w:r>
      </w:hyperlink>
    </w:p>
  </w:footnote>
  <w:footnote w:id="6">
    <w:p w14:paraId="62496C7B" w14:textId="29AA1F9C" w:rsidR="004A4735" w:rsidRDefault="004A4735" w:rsidP="00F15746">
      <w:pPr>
        <w:pStyle w:val="FootnoteText"/>
        <w:spacing w:after="0" w:line="240" w:lineRule="auto"/>
      </w:pPr>
      <w:r>
        <w:rPr>
          <w:rStyle w:val="FootnoteReference"/>
        </w:rPr>
        <w:footnoteRef/>
      </w:r>
      <w:r>
        <w:t xml:space="preserve"> The ITU’s EPFD data and EPFD examination results, available on </w:t>
      </w:r>
      <w:hyperlink r:id="rId2" w:history="1">
        <w:r w:rsidR="008E09E7" w:rsidRPr="00A263F0">
          <w:rPr>
            <w:rStyle w:val="Hyperlink"/>
          </w:rPr>
          <w:t>https://www.itu.int/en/ITU-R/space/Pages/epfdData.aspx</w:t>
        </w:r>
      </w:hyperlink>
      <w:r>
        <w:t>.</w:t>
      </w:r>
      <w:r w:rsidR="008E09E7">
        <w:t xml:space="preserve"> </w:t>
      </w:r>
    </w:p>
  </w:footnote>
  <w:footnote w:id="7">
    <w:p w14:paraId="33D1A4AE" w14:textId="208FBC57" w:rsidR="00547012" w:rsidRDefault="00547012" w:rsidP="00F15746">
      <w:pPr>
        <w:pStyle w:val="FootnoteText"/>
        <w:spacing w:after="0" w:line="240" w:lineRule="auto"/>
      </w:pPr>
      <w:r>
        <w:rPr>
          <w:rStyle w:val="FootnoteReference"/>
        </w:rPr>
        <w:footnoteRef/>
      </w:r>
      <w:r>
        <w:t xml:space="preserve"> The application forms</w:t>
      </w:r>
      <w:r w:rsidR="00B71ED2">
        <w:t xml:space="preserve"> </w:t>
      </w:r>
      <w:r w:rsidR="00023113">
        <w:t xml:space="preserve">are </w:t>
      </w:r>
      <w:r w:rsidR="00B71ED2">
        <w:t xml:space="preserve">available </w:t>
      </w:r>
      <w:r w:rsidR="00023113">
        <w:t xml:space="preserve">from the </w:t>
      </w:r>
      <w:r w:rsidR="00E63913">
        <w:t>l</w:t>
      </w:r>
      <w:r w:rsidR="008B4F98" w:rsidRPr="008B4F98">
        <w:t xml:space="preserve">ist of radiofrequency </w:t>
      </w:r>
      <w:hyperlink r:id="rId3" w:history="1">
        <w:r w:rsidR="008B4F98" w:rsidRPr="008B4F98">
          <w:rPr>
            <w:rStyle w:val="Hyperlink"/>
          </w:rPr>
          <w:t>spectrum forms</w:t>
        </w:r>
      </w:hyperlink>
      <w:r>
        <w:t>.</w:t>
      </w:r>
    </w:p>
  </w:footnote>
  <w:footnote w:id="8">
    <w:p w14:paraId="0DB3F38B" w14:textId="656867A3" w:rsidR="00547012" w:rsidRDefault="00547012" w:rsidP="00183935">
      <w:pPr>
        <w:pStyle w:val="FootnoteText"/>
      </w:pPr>
      <w:r w:rsidRPr="00F91EAB">
        <w:rPr>
          <w:rStyle w:val="FootnoteReference"/>
        </w:rPr>
        <w:footnoteRef/>
      </w:r>
      <w:r w:rsidRPr="00F91EAB">
        <w:t xml:space="preserve"> Note that this list of suggested information is provided for guidance</w:t>
      </w:r>
      <w:r>
        <w:t xml:space="preserve"> only</w:t>
      </w:r>
      <w:r w:rsidRPr="00F91EAB">
        <w:t xml:space="preserve">. </w:t>
      </w:r>
      <w:r>
        <w:t>The list is not exhaustive and n</w:t>
      </w:r>
      <w:r w:rsidRPr="00F91EAB">
        <w:t>o specific item (or combination of items) from this list is mandatory. The information provided by the applicant is expected to vary on a case-by-case basis.</w:t>
      </w:r>
      <w:r>
        <w:t xml:space="preserve"> </w:t>
      </w:r>
    </w:p>
  </w:footnote>
  <w:footnote w:id="9">
    <w:p w14:paraId="4B92E1C7" w14:textId="1810A006" w:rsidR="00547012" w:rsidRDefault="00547012" w:rsidP="00183935">
      <w:pPr>
        <w:pStyle w:val="FootnoteText"/>
      </w:pPr>
      <w:r>
        <w:rPr>
          <w:rStyle w:val="FootnoteReference"/>
        </w:rPr>
        <w:footnoteRef/>
      </w:r>
      <w:r>
        <w:t xml:space="preserve"> </w:t>
      </w:r>
      <w:r w:rsidRPr="00D558E6">
        <w:t xml:space="preserve">Note </w:t>
      </w:r>
      <w:r>
        <w:t xml:space="preserve">that </w:t>
      </w:r>
      <w:r w:rsidRPr="00D558E6">
        <w:t>in addition</w:t>
      </w:r>
      <w:r>
        <w:t xml:space="preserve"> </w:t>
      </w:r>
      <w:r w:rsidRPr="00D558E6">
        <w:t xml:space="preserve">to the requirement to demonstrate compatibility with notified earth stations, there are GSO to GSO coordination requirements under </w:t>
      </w:r>
      <w:r w:rsidRPr="000927C1">
        <w:t>No.</w:t>
      </w:r>
      <w:r>
        <w:rPr>
          <w:b/>
          <w:bCs/>
        </w:rPr>
        <w:t xml:space="preserve"> </w:t>
      </w:r>
      <w:r w:rsidRPr="000927C1">
        <w:rPr>
          <w:b/>
          <w:bCs/>
        </w:rPr>
        <w:t>9.7</w:t>
      </w:r>
      <w:r w:rsidRPr="00D558E6">
        <w:t xml:space="preserve"> for the affected satellite networks associated with the very large earth stations. While these requirements should be considered (for example, as part of demonstrating that due diligence has been undertaken), they are considered separately to</w:t>
      </w:r>
      <w:r>
        <w:t xml:space="preserve"> the</w:t>
      </w:r>
      <w:r w:rsidRPr="00D558E6">
        <w:t xml:space="preserve"> requirement to demonstrate compatibility with notified earth stations</w:t>
      </w:r>
      <w:r>
        <w:t>.</w:t>
      </w:r>
    </w:p>
  </w:footnote>
  <w:footnote w:id="10">
    <w:p w14:paraId="5B4FD539" w14:textId="7661A77B" w:rsidR="004400F8" w:rsidRDefault="004400F8" w:rsidP="00EF58F9">
      <w:pPr>
        <w:pStyle w:val="FootnoteText"/>
        <w:spacing w:after="0"/>
      </w:pPr>
      <w:r>
        <w:rPr>
          <w:rStyle w:val="FootnoteReference"/>
        </w:rPr>
        <w:footnoteRef/>
      </w:r>
      <w:r>
        <w:t xml:space="preserve"> Refer outcomes of the </w:t>
      </w:r>
      <w:r w:rsidRPr="00357559">
        <w:t>1.5 GHz band</w:t>
      </w:r>
      <w:r>
        <w:t xml:space="preserve"> review</w:t>
      </w:r>
      <w:r w:rsidRPr="00357559">
        <w:t xml:space="preserve">: </w:t>
      </w:r>
      <w:hyperlink r:id="rId4" w:history="1">
        <w:r w:rsidRPr="00357559">
          <w:rPr>
            <w:rStyle w:val="Hyperlink"/>
            <w:rFonts w:cs="Arial"/>
            <w:szCs w:val="20"/>
          </w:rPr>
          <w:t>Extended MSS L-band opti</w:t>
        </w:r>
        <w:r w:rsidRPr="00357559">
          <w:rPr>
            <w:rStyle w:val="Hyperlink"/>
            <w:rFonts w:cs="Arial"/>
            <w:szCs w:val="20"/>
          </w:rPr>
          <w:t>o</w:t>
        </w:r>
        <w:r w:rsidRPr="00357559">
          <w:rPr>
            <w:rStyle w:val="Hyperlink"/>
            <w:rFonts w:cs="Arial"/>
            <w:szCs w:val="20"/>
          </w:rPr>
          <w:t>ns paper</w:t>
        </w:r>
      </w:hyperlink>
      <w:r w:rsidR="00EF58F9">
        <w:t>.</w:t>
      </w:r>
    </w:p>
  </w:footnote>
  <w:footnote w:id="11">
    <w:p w14:paraId="0A379795" w14:textId="0B340393" w:rsidR="004400F8" w:rsidRDefault="004400F8">
      <w:pPr>
        <w:pStyle w:val="FootnoteText"/>
      </w:pPr>
      <w:r>
        <w:rPr>
          <w:rStyle w:val="FootnoteReference"/>
        </w:rPr>
        <w:footnoteRef/>
      </w:r>
      <w:r>
        <w:t xml:space="preserve"> In this regard, ITU Radio Regulations A</w:t>
      </w:r>
      <w:r w:rsidR="00EF58F9">
        <w:t>ppendix</w:t>
      </w:r>
      <w:r>
        <w:t xml:space="preserve"> 5 (REV.WRC-19), Identification of administrations with which coordination is to be effected</w:t>
      </w:r>
      <w:r w:rsidR="00EF58F9">
        <w:t>,</w:t>
      </w:r>
      <w:r>
        <w:t xml:space="preserve"> or agreement sought under the provisions of Article 9</w:t>
      </w:r>
      <w:r w:rsidR="00EF58F9">
        <w:t xml:space="preserve">, </w:t>
      </w:r>
      <w:r>
        <w:t>specifies coordination requirements that are relevant to Australia.</w:t>
      </w:r>
    </w:p>
  </w:footnote>
  <w:footnote w:id="12">
    <w:p w14:paraId="0CA77990" w14:textId="77777777" w:rsidR="00547012" w:rsidRPr="00C31222" w:rsidRDefault="00547012" w:rsidP="00122FB0">
      <w:pPr>
        <w:pStyle w:val="FootnoteText"/>
        <w:spacing w:after="0"/>
        <w:rPr>
          <w:lang w:val="en-US"/>
        </w:rPr>
      </w:pPr>
      <w:r>
        <w:rPr>
          <w:rStyle w:val="FootnoteReference"/>
        </w:rPr>
        <w:footnoteRef/>
      </w:r>
      <w:r>
        <w:t xml:space="preserve"> </w:t>
      </w:r>
      <w:r>
        <w:rPr>
          <w:lang w:val="en-US"/>
        </w:rPr>
        <w:t>Space support equipment includes equipment that assists in the calibration of early orbit and on-orbit systems.</w:t>
      </w:r>
    </w:p>
  </w:footnote>
  <w:footnote w:id="13">
    <w:p w14:paraId="43A56AE3" w14:textId="2EC45021" w:rsidR="00547012" w:rsidRDefault="00547012" w:rsidP="002D7492">
      <w:pPr>
        <w:pStyle w:val="FootnoteText"/>
        <w:spacing w:after="0"/>
      </w:pPr>
      <w:r>
        <w:rPr>
          <w:rStyle w:val="FootnoteReference"/>
        </w:rPr>
        <w:footnoteRef/>
      </w:r>
      <w:r>
        <w:t xml:space="preserve"> Failure to provide accurate ITU satellite network information will delay the process. The ITU SNL database (Part B) is a useful tool for checking the accuracy of the satellite network name. See </w:t>
      </w:r>
      <w:hyperlink r:id="rId5" w:history="1">
        <w:r w:rsidRPr="00A35DB2">
          <w:rPr>
            <w:rStyle w:val="Hyperlink"/>
          </w:rPr>
          <w:t>http://www.itu.int/net/ITU-R/space/snl/bsearchb/spublication.asp</w:t>
        </w:r>
      </w:hyperlink>
      <w:r w:rsidRPr="00C3461E">
        <w:rPr>
          <w:rStyle w:val="Hyperlink"/>
          <w:color w:val="auto"/>
          <w:u w:val="none"/>
        </w:rPr>
        <w:t>.</w:t>
      </w:r>
    </w:p>
  </w:footnote>
  <w:footnote w:id="14">
    <w:p w14:paraId="222C9494" w14:textId="77777777" w:rsidR="00547012" w:rsidRDefault="00547012" w:rsidP="00122FB0">
      <w:pPr>
        <w:pStyle w:val="FootnoteText"/>
        <w:spacing w:after="0"/>
      </w:pPr>
      <w:r>
        <w:rPr>
          <w:rStyle w:val="FootnoteReference"/>
        </w:rPr>
        <w:footnoteRef/>
      </w:r>
      <w:r>
        <w:t xml:space="preserve"> A map illustration for the service area will be possibly needed.</w:t>
      </w:r>
    </w:p>
  </w:footnote>
  <w:footnote w:id="15">
    <w:p w14:paraId="234CC46A" w14:textId="77777777" w:rsidR="00547012" w:rsidRDefault="00547012" w:rsidP="00360BE8">
      <w:pPr>
        <w:pStyle w:val="FootnoteText"/>
        <w:spacing w:after="0" w:line="240" w:lineRule="auto"/>
      </w:pPr>
      <w:r w:rsidRPr="00BD48CD">
        <w:rPr>
          <w:sz w:val="20"/>
          <w:szCs w:val="24"/>
          <w:vertAlign w:val="superscript"/>
        </w:rPr>
        <w:footnoteRef/>
      </w:r>
      <w:r w:rsidRPr="00BD48CD">
        <w:rPr>
          <w:sz w:val="20"/>
          <w:szCs w:val="24"/>
        </w:rPr>
        <w:t xml:space="preserve"> </w:t>
      </w:r>
      <w:r w:rsidRPr="00A71EA7">
        <w:rPr>
          <w:rFonts w:cs="Arial"/>
        </w:rPr>
        <w:t>If the</w:t>
      </w:r>
      <w:r w:rsidRPr="0045162A">
        <w:rPr>
          <w:rFonts w:cs="Arial"/>
        </w:rPr>
        <w:t xml:space="preserve"> above assurances do not cover all communications to/from the satellite, please indicate the limits of this assurance (for example, if it only applies to a particular frequency band or company)</w:t>
      </w:r>
      <w:r>
        <w:rPr>
          <w:rFonts w:cs="Arial"/>
        </w:rPr>
        <w:t>.</w:t>
      </w:r>
    </w:p>
  </w:footnote>
  <w:footnote w:id="16">
    <w:p w14:paraId="08FCB95F" w14:textId="3C42C5F3" w:rsidR="00547012" w:rsidRDefault="00547012" w:rsidP="00A5404A">
      <w:pPr>
        <w:pStyle w:val="FootnoteText"/>
        <w:spacing w:after="0"/>
      </w:pPr>
      <w:r>
        <w:rPr>
          <w:rStyle w:val="FootnoteReference"/>
        </w:rPr>
        <w:footnoteRef/>
      </w:r>
      <w:r>
        <w:t xml:space="preserve"> See lists of space station class of station and earth station class of station in </w:t>
      </w:r>
      <w:hyperlink r:id="rId6" w:history="1">
        <w:r>
          <w:rPr>
            <w:rStyle w:val="Hyperlink"/>
          </w:rPr>
          <w:t>Preface to the BR IFIC (Space services)</w:t>
        </w:r>
      </w:hyperlink>
      <w:r w:rsidRPr="006F5848">
        <w:rPr>
          <w:rStyle w:val="Hyperlink"/>
          <w:u w:val="none"/>
        </w:rPr>
        <w:t>.</w:t>
      </w:r>
    </w:p>
  </w:footnote>
  <w:footnote w:id="17">
    <w:p w14:paraId="02DE5EFA" w14:textId="77777777" w:rsidR="00B05249" w:rsidRDefault="00B05249" w:rsidP="00B05249">
      <w:pPr>
        <w:pStyle w:val="FootnoteText"/>
      </w:pPr>
      <w:r>
        <w:rPr>
          <w:rStyle w:val="FootnoteReference"/>
        </w:rPr>
        <w:footnoteRef/>
      </w:r>
      <w:r>
        <w:t xml:space="preserve"> </w:t>
      </w:r>
      <w:r w:rsidRPr="000D020D">
        <w:t xml:space="preserve">In this regard applicants should note requirement of Resolution 169 (WRC-19) “resolves further”  that, should an administration authorizing ESIMs agree to </w:t>
      </w:r>
      <w:proofErr w:type="spellStart"/>
      <w:r w:rsidRPr="000D020D">
        <w:t>pfd</w:t>
      </w:r>
      <w:proofErr w:type="spellEnd"/>
      <w:r w:rsidRPr="000D020D">
        <w:t xml:space="preserve"> levels higher than the limits contained in Part II of Annex 3 within the territory under its jurisdiction, such agreement shall not affect other countries that are not party to that agreement</w:t>
      </w:r>
    </w:p>
  </w:footnote>
  <w:footnote w:id="18">
    <w:p w14:paraId="21D7186A" w14:textId="77777777" w:rsidR="00C71AD9" w:rsidRDefault="00C71AD9" w:rsidP="00C71AD9">
      <w:pPr>
        <w:pStyle w:val="FootnoteText"/>
      </w:pPr>
      <w:r>
        <w:rPr>
          <w:rStyle w:val="FootnoteReference"/>
          <w:rFonts w:cstheme="minorBidi"/>
        </w:rPr>
        <w:footnoteRef/>
      </w:r>
      <w:r>
        <w:t xml:space="preserve"> Metropolitan and designated areas and TOB transition timeframes are set out in the </w:t>
      </w:r>
      <w:r w:rsidRPr="00F52503">
        <w:t>Radiocommunications (Mobile-Satellite Service) (1980–2010 MHz and 2170–2200 MHz) Frequency Band Plan 2022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D3A5" w14:textId="77777777" w:rsidR="00547012" w:rsidRPr="00A5474E" w:rsidRDefault="00547012" w:rsidP="00640062">
    <w:pPr>
      <w:pStyle w:val="Header"/>
    </w:pPr>
    <w:r>
      <w:rPr>
        <w:noProof/>
      </w:rPr>
      <w:drawing>
        <wp:inline distT="0" distB="0" distL="0" distR="0" wp14:anchorId="66237AE7" wp14:editId="7A2EE8B3">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p w14:paraId="58483B9A" w14:textId="77777777" w:rsidR="00547012" w:rsidRPr="000A0E3E" w:rsidRDefault="00547012" w:rsidP="00640062">
    <w:pPr>
      <w:pStyle w:val="Header"/>
    </w:pPr>
  </w:p>
  <w:p w14:paraId="2960E46B" w14:textId="333FD82C" w:rsidR="00547012" w:rsidRPr="00640062" w:rsidRDefault="00547012" w:rsidP="006400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D3F5" w14:textId="77777777" w:rsidR="00547012" w:rsidRDefault="005470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3444" w14:textId="1B8C2440" w:rsidR="00547012" w:rsidRDefault="00547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E9B0" w14:textId="77777777" w:rsidR="00547012" w:rsidRPr="00A5474E" w:rsidRDefault="00547012"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4CB6" w14:textId="77777777" w:rsidR="00547012" w:rsidRDefault="005470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96E6" w14:textId="77777777" w:rsidR="00547012" w:rsidRDefault="005470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323A" w14:textId="68D37AA8" w:rsidR="00547012" w:rsidRDefault="005470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547012" w14:paraId="220AC8F9" w14:textId="77777777" w:rsidTr="00505361">
      <w:trPr>
        <w:trHeight w:hRule="exact" w:val="988"/>
      </w:trPr>
      <w:tc>
        <w:tcPr>
          <w:tcW w:w="7678" w:type="dxa"/>
          <w:shd w:val="clear" w:color="auto" w:fill="auto"/>
        </w:tcPr>
        <w:p w14:paraId="513965FF" w14:textId="77777777" w:rsidR="00547012" w:rsidRDefault="00547012" w:rsidP="00971914">
          <w:pPr>
            <w:pStyle w:val="Header"/>
          </w:pPr>
        </w:p>
      </w:tc>
    </w:tr>
    <w:tr w:rsidR="00547012" w14:paraId="50A4E4BA" w14:textId="77777777" w:rsidTr="00505361">
      <w:tc>
        <w:tcPr>
          <w:tcW w:w="7678" w:type="dxa"/>
          <w:shd w:val="clear" w:color="auto" w:fill="auto"/>
        </w:tcPr>
        <w:p w14:paraId="12CCAA10" w14:textId="1B65C167" w:rsidR="00547012" w:rsidRDefault="00547012" w:rsidP="00971914">
          <w:pPr>
            <w:pStyle w:val="GridTable31"/>
          </w:pPr>
        </w:p>
      </w:tc>
    </w:tr>
    <w:tr w:rsidR="00547012" w14:paraId="32087A33" w14:textId="77777777" w:rsidTr="00505361">
      <w:trPr>
        <w:trHeight w:val="1220"/>
      </w:trPr>
      <w:tc>
        <w:tcPr>
          <w:tcW w:w="7678" w:type="dxa"/>
          <w:shd w:val="clear" w:color="auto" w:fill="auto"/>
        </w:tcPr>
        <w:p w14:paraId="60E7A742" w14:textId="77777777" w:rsidR="00547012" w:rsidRDefault="00547012" w:rsidP="00971914"/>
      </w:tc>
    </w:tr>
  </w:tbl>
  <w:p w14:paraId="0A44CD99" w14:textId="77777777" w:rsidR="00547012" w:rsidRDefault="00547012" w:rsidP="00971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547012" w14:paraId="77C125EE" w14:textId="77777777" w:rsidTr="00505361">
      <w:trPr>
        <w:trHeight w:hRule="exact" w:val="988"/>
      </w:trPr>
      <w:tc>
        <w:tcPr>
          <w:tcW w:w="7678" w:type="dxa"/>
          <w:shd w:val="clear" w:color="auto" w:fill="auto"/>
        </w:tcPr>
        <w:p w14:paraId="0FA63EBA" w14:textId="77777777" w:rsidR="00547012" w:rsidRDefault="00547012" w:rsidP="00971914">
          <w:pPr>
            <w:pStyle w:val="Header"/>
          </w:pPr>
        </w:p>
      </w:tc>
    </w:tr>
    <w:tr w:rsidR="00547012" w14:paraId="6F3238A3" w14:textId="77777777" w:rsidTr="00505361">
      <w:tc>
        <w:tcPr>
          <w:tcW w:w="7678" w:type="dxa"/>
          <w:shd w:val="clear" w:color="auto" w:fill="auto"/>
        </w:tcPr>
        <w:p w14:paraId="47D91CC9" w14:textId="4367814F" w:rsidR="00547012" w:rsidRDefault="00547012" w:rsidP="00971914">
          <w:pPr>
            <w:pStyle w:val="GridTable31"/>
          </w:pPr>
          <w:r>
            <w:t>Contents</w:t>
          </w:r>
        </w:p>
      </w:tc>
    </w:tr>
    <w:tr w:rsidR="00547012" w14:paraId="2E2B1CE5" w14:textId="77777777" w:rsidTr="00505361">
      <w:trPr>
        <w:trHeight w:val="1220"/>
      </w:trPr>
      <w:tc>
        <w:tcPr>
          <w:tcW w:w="7678" w:type="dxa"/>
          <w:shd w:val="clear" w:color="auto" w:fill="auto"/>
        </w:tcPr>
        <w:p w14:paraId="74B3BB73" w14:textId="77777777" w:rsidR="00547012" w:rsidRDefault="00547012" w:rsidP="00971914"/>
      </w:tc>
    </w:tr>
  </w:tbl>
  <w:p w14:paraId="4700493E" w14:textId="77777777" w:rsidR="00547012" w:rsidRPr="00A5474E" w:rsidRDefault="00547012" w:rsidP="00A54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2E02" w14:textId="3B070AA7" w:rsidR="00547012" w:rsidRDefault="005470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9539" w14:textId="77777777" w:rsidR="00547012" w:rsidRDefault="00547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3EED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8"/>
    <w:multiLevelType w:val="singleLevel"/>
    <w:tmpl w:val="5E8800BA"/>
    <w:lvl w:ilvl="0">
      <w:start w:val="1"/>
      <w:numFmt w:val="decimal"/>
      <w:pStyle w:val="ListNumber"/>
      <w:lvlText w:val="%1."/>
      <w:lvlJc w:val="left"/>
      <w:pPr>
        <w:ind w:left="360" w:hanging="360"/>
      </w:pPr>
      <w:rPr>
        <w:rFonts w:hint="default"/>
        <w:caps/>
        <w:sz w:val="20"/>
      </w:rPr>
    </w:lvl>
  </w:abstractNum>
  <w:abstractNum w:abstractNumId="3" w15:restartNumberingAfterBreak="0">
    <w:nsid w:val="FFFFFF89"/>
    <w:multiLevelType w:val="singleLevel"/>
    <w:tmpl w:val="5622D92C"/>
    <w:lvl w:ilvl="0">
      <w:start w:val="1"/>
      <w:numFmt w:val="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4236E5A"/>
    <w:multiLevelType w:val="hybridMultilevel"/>
    <w:tmpl w:val="81A29842"/>
    <w:lvl w:ilvl="0" w:tplc="17CC491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A31192"/>
    <w:multiLevelType w:val="hybridMultilevel"/>
    <w:tmpl w:val="8620E88E"/>
    <w:lvl w:ilvl="0" w:tplc="C41E34C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DF1DC2"/>
    <w:multiLevelType w:val="hybridMultilevel"/>
    <w:tmpl w:val="D7628BA0"/>
    <w:lvl w:ilvl="0" w:tplc="17CC491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79F00AF"/>
    <w:multiLevelType w:val="hybridMultilevel"/>
    <w:tmpl w:val="D9506882"/>
    <w:lvl w:ilvl="0" w:tplc="17CC49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8C1C3D"/>
    <w:multiLevelType w:val="hybridMultilevel"/>
    <w:tmpl w:val="928A5348"/>
    <w:lvl w:ilvl="0" w:tplc="0C090011">
      <w:start w:val="1"/>
      <w:numFmt w:val="decimal"/>
      <w:lvlText w:val="%1)"/>
      <w:lvlJc w:val="left"/>
      <w:pPr>
        <w:ind w:left="717" w:hanging="360"/>
      </w:p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start w:val="1"/>
      <w:numFmt w:val="lowerLetter"/>
      <w:lvlText w:val="%5."/>
      <w:lvlJc w:val="left"/>
      <w:pPr>
        <w:ind w:left="3597" w:hanging="360"/>
      </w:pPr>
    </w:lvl>
    <w:lvl w:ilvl="5" w:tplc="0C09001B">
      <w:start w:val="1"/>
      <w:numFmt w:val="lowerRoman"/>
      <w:lvlText w:val="%6."/>
      <w:lvlJc w:val="right"/>
      <w:pPr>
        <w:ind w:left="4317" w:hanging="180"/>
      </w:pPr>
    </w:lvl>
    <w:lvl w:ilvl="6" w:tplc="0C09000F">
      <w:start w:val="1"/>
      <w:numFmt w:val="decimal"/>
      <w:lvlText w:val="%7."/>
      <w:lvlJc w:val="left"/>
      <w:pPr>
        <w:ind w:left="5037" w:hanging="360"/>
      </w:pPr>
    </w:lvl>
    <w:lvl w:ilvl="7" w:tplc="0C090019">
      <w:start w:val="1"/>
      <w:numFmt w:val="lowerLetter"/>
      <w:lvlText w:val="%8."/>
      <w:lvlJc w:val="left"/>
      <w:pPr>
        <w:ind w:left="5757" w:hanging="360"/>
      </w:pPr>
    </w:lvl>
    <w:lvl w:ilvl="8" w:tplc="0C09001B">
      <w:start w:val="1"/>
      <w:numFmt w:val="lowerRoman"/>
      <w:lvlText w:val="%9."/>
      <w:lvlJc w:val="right"/>
      <w:pPr>
        <w:ind w:left="6477" w:hanging="180"/>
      </w:pPr>
    </w:lvl>
  </w:abstractNum>
  <w:abstractNum w:abstractNumId="9" w15:restartNumberingAfterBreak="0">
    <w:nsid w:val="0D191EB3"/>
    <w:multiLevelType w:val="hybridMultilevel"/>
    <w:tmpl w:val="ECC612CC"/>
    <w:lvl w:ilvl="0" w:tplc="17CC49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4D4711"/>
    <w:multiLevelType w:val="hybridMultilevel"/>
    <w:tmpl w:val="194CCE90"/>
    <w:lvl w:ilvl="0" w:tplc="17CC4916">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731B8B"/>
    <w:multiLevelType w:val="hybridMultilevel"/>
    <w:tmpl w:val="C7406B32"/>
    <w:lvl w:ilvl="0" w:tplc="17CC491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C3321D"/>
    <w:multiLevelType w:val="hybridMultilevel"/>
    <w:tmpl w:val="DC36B426"/>
    <w:lvl w:ilvl="0" w:tplc="8DFA5D26">
      <w:start w:val="1"/>
      <w:numFmt w:val="decimal"/>
      <w:lvlText w:val="%1."/>
      <w:lvlJc w:val="left"/>
      <w:pPr>
        <w:tabs>
          <w:tab w:val="num" w:pos="360"/>
        </w:tabs>
        <w:ind w:left="360" w:hanging="360"/>
      </w:pPr>
      <w:rPr>
        <w:b w:val="0"/>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24DA021C"/>
    <w:multiLevelType w:val="hybridMultilevel"/>
    <w:tmpl w:val="4DA2CEE0"/>
    <w:lvl w:ilvl="0" w:tplc="A6709BA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046E7F"/>
    <w:multiLevelType w:val="hybridMultilevel"/>
    <w:tmpl w:val="7E76072E"/>
    <w:lvl w:ilvl="0" w:tplc="17CC4916">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9C3319"/>
    <w:multiLevelType w:val="hybridMultilevel"/>
    <w:tmpl w:val="03CE5D36"/>
    <w:lvl w:ilvl="0" w:tplc="17CC49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811EF3"/>
    <w:multiLevelType w:val="multilevel"/>
    <w:tmpl w:val="612E9FFC"/>
    <w:lvl w:ilvl="0">
      <w:start w:val="1"/>
      <w:numFmt w:val="upperLetter"/>
      <w:pStyle w:val="AppL1"/>
      <w:lvlText w:val="Appendix %1:"/>
      <w:lvlJc w:val="left"/>
      <w:pPr>
        <w:ind w:left="0" w:firstLine="0"/>
      </w:pPr>
      <w:rPr>
        <w:rFonts w:hint="default"/>
      </w:rPr>
    </w:lvl>
    <w:lvl w:ilvl="1">
      <w:start w:val="1"/>
      <w:numFmt w:val="decimal"/>
      <w:pStyle w:val="AppL2"/>
      <w:lvlText w:val="%1.%2"/>
      <w:lvlJc w:val="left"/>
      <w:pPr>
        <w:ind w:left="0" w:firstLine="0"/>
      </w:pPr>
      <w:rPr>
        <w:rFonts w:hint="default"/>
      </w:rPr>
    </w:lvl>
    <w:lvl w:ilvl="2">
      <w:start w:val="1"/>
      <w:numFmt w:val="decimal"/>
      <w:pStyle w:val="AppL3"/>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CBD0F1F"/>
    <w:multiLevelType w:val="hybridMultilevel"/>
    <w:tmpl w:val="73C2593E"/>
    <w:lvl w:ilvl="0" w:tplc="17CC4916">
      <w:start w:val="1"/>
      <w:numFmt w:val="bullet"/>
      <w:lvlText w:val=""/>
      <w:lvlJc w:val="left"/>
      <w:pPr>
        <w:ind w:left="360" w:hanging="360"/>
      </w:pPr>
      <w:rPr>
        <w:rFonts w:ascii="Symbol" w:hAnsi="Symbol"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D5A08BC"/>
    <w:multiLevelType w:val="hybridMultilevel"/>
    <w:tmpl w:val="691E0152"/>
    <w:lvl w:ilvl="0" w:tplc="17CC49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301DD4"/>
    <w:multiLevelType w:val="multilevel"/>
    <w:tmpl w:val="3ED870C4"/>
    <w:lvl w:ilvl="0">
      <w:start w:val="1"/>
      <w:numFmt w:val="upperRoman"/>
      <w:pStyle w:val="Tableheading"/>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11230A6"/>
    <w:multiLevelType w:val="hybridMultilevel"/>
    <w:tmpl w:val="FE025886"/>
    <w:lvl w:ilvl="0" w:tplc="17CC491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26380F"/>
    <w:multiLevelType w:val="hybridMultilevel"/>
    <w:tmpl w:val="CE5E620A"/>
    <w:lvl w:ilvl="0" w:tplc="17CC49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EF61E3"/>
    <w:multiLevelType w:val="hybridMultilevel"/>
    <w:tmpl w:val="850A5222"/>
    <w:lvl w:ilvl="0" w:tplc="17CC49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DB0E05"/>
    <w:multiLevelType w:val="hybridMultilevel"/>
    <w:tmpl w:val="FF921A9C"/>
    <w:lvl w:ilvl="0" w:tplc="DAB8419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C71639"/>
    <w:multiLevelType w:val="hybridMultilevel"/>
    <w:tmpl w:val="5DE24434"/>
    <w:lvl w:ilvl="0" w:tplc="17CC491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ED1744D"/>
    <w:multiLevelType w:val="multilevel"/>
    <w:tmpl w:val="CA62CA16"/>
    <w:lvl w:ilvl="0">
      <w:start w:val="1"/>
      <w:numFmt w:val="decimal"/>
      <w:pStyle w:val="Heading1"/>
      <w:lvlText w:val="%1"/>
      <w:lvlJc w:val="left"/>
      <w:pPr>
        <w:ind w:left="432" w:hanging="432"/>
      </w:pPr>
      <w:rPr>
        <w:rFonts w:hint="default"/>
      </w:rPr>
    </w:lvl>
    <w:lvl w:ilvl="1">
      <w:start w:val="1"/>
      <w:numFmt w:val="decimal"/>
      <w:pStyle w:val="Heading2"/>
      <w:lvlText w:val="3.%2"/>
      <w:lvlJc w:val="left"/>
      <w:pPr>
        <w:ind w:left="718"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5053385A"/>
    <w:multiLevelType w:val="hybridMultilevel"/>
    <w:tmpl w:val="03B0C3C8"/>
    <w:lvl w:ilvl="0" w:tplc="17CC49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163267"/>
    <w:multiLevelType w:val="hybridMultilevel"/>
    <w:tmpl w:val="B186F130"/>
    <w:lvl w:ilvl="0" w:tplc="17CC49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A48CB"/>
    <w:multiLevelType w:val="hybridMultilevel"/>
    <w:tmpl w:val="A7EC8D1C"/>
    <w:lvl w:ilvl="0" w:tplc="FFFFFFFF">
      <w:start w:val="1"/>
      <w:numFmt w:val="bullet"/>
      <w:lvlText w:val=""/>
      <w:lvlJc w:val="left"/>
      <w:pPr>
        <w:ind w:left="720" w:hanging="360"/>
      </w:pPr>
      <w:rPr>
        <w:rFonts w:ascii="Symbol" w:hAnsi="Symbol" w:hint="default"/>
      </w:rPr>
    </w:lvl>
    <w:lvl w:ilvl="1" w:tplc="17CC4916">
      <w:start w:val="1"/>
      <w:numFmt w:val="bullet"/>
      <w:lvlText w:val=""/>
      <w:lvlJc w:val="left"/>
      <w:pPr>
        <w:ind w:left="1353" w:hanging="360"/>
      </w:pPr>
      <w:rPr>
        <w:rFonts w:ascii="Symbol" w:hAnsi="Symbol" w:hint="default"/>
        <w:sz w:val="2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BD45BE"/>
    <w:multiLevelType w:val="hybridMultilevel"/>
    <w:tmpl w:val="B908DAD0"/>
    <w:lvl w:ilvl="0" w:tplc="17CC49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B2277C"/>
    <w:multiLevelType w:val="hybridMultilevel"/>
    <w:tmpl w:val="E640D1D8"/>
    <w:lvl w:ilvl="0" w:tplc="17CC491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531FC9"/>
    <w:multiLevelType w:val="hybridMultilevel"/>
    <w:tmpl w:val="33022394"/>
    <w:lvl w:ilvl="0" w:tplc="D902E3CC">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05942"/>
    <w:multiLevelType w:val="hybridMultilevel"/>
    <w:tmpl w:val="14B8545C"/>
    <w:lvl w:ilvl="0" w:tplc="17CC491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72B74AE"/>
    <w:multiLevelType w:val="hybridMultilevel"/>
    <w:tmpl w:val="E73A478A"/>
    <w:lvl w:ilvl="0" w:tplc="4C5278A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D20914"/>
    <w:multiLevelType w:val="hybridMultilevel"/>
    <w:tmpl w:val="E1AC315E"/>
    <w:lvl w:ilvl="0" w:tplc="5622D92C">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4551019">
    <w:abstractNumId w:val="3"/>
  </w:num>
  <w:num w:numId="2" w16cid:durableId="1746755301">
    <w:abstractNumId w:val="2"/>
  </w:num>
  <w:num w:numId="3" w16cid:durableId="1209336953">
    <w:abstractNumId w:val="1"/>
  </w:num>
  <w:num w:numId="4" w16cid:durableId="822818738">
    <w:abstractNumId w:val="19"/>
  </w:num>
  <w:num w:numId="5" w16cid:durableId="383719928">
    <w:abstractNumId w:val="34"/>
  </w:num>
  <w:num w:numId="6" w16cid:durableId="2043167535">
    <w:abstractNumId w:val="28"/>
  </w:num>
  <w:num w:numId="7" w16cid:durableId="1997763390">
    <w:abstractNumId w:val="33"/>
  </w:num>
  <w:num w:numId="8" w16cid:durableId="955407891">
    <w:abstractNumId w:val="35"/>
  </w:num>
  <w:num w:numId="9" w16cid:durableId="514343929">
    <w:abstractNumId w:val="37"/>
  </w:num>
  <w:num w:numId="10" w16cid:durableId="1519852414">
    <w:abstractNumId w:val="5"/>
  </w:num>
  <w:num w:numId="11" w16cid:durableId="1673944325">
    <w:abstractNumId w:val="23"/>
  </w:num>
  <w:num w:numId="12" w16cid:durableId="1713768114">
    <w:abstractNumId w:val="13"/>
  </w:num>
  <w:num w:numId="13" w16cid:durableId="2064213749">
    <w:abstractNumId w:val="16"/>
  </w:num>
  <w:num w:numId="14" w16cid:durableId="363867143">
    <w:abstractNumId w:val="25"/>
  </w:num>
  <w:num w:numId="15" w16cid:durableId="236016044">
    <w:abstractNumId w:val="8"/>
  </w:num>
  <w:num w:numId="16" w16cid:durableId="1011031755">
    <w:abstractNumId w:val="30"/>
  </w:num>
  <w:num w:numId="17" w16cid:durableId="924069616">
    <w:abstractNumId w:val="36"/>
  </w:num>
  <w:num w:numId="18" w16cid:durableId="870606866">
    <w:abstractNumId w:val="2"/>
    <w:lvlOverride w:ilvl="0">
      <w:startOverride w:val="1"/>
    </w:lvlOverride>
  </w:num>
  <w:num w:numId="19" w16cid:durableId="1212107304">
    <w:abstractNumId w:val="10"/>
  </w:num>
  <w:num w:numId="20" w16cid:durableId="1612543799">
    <w:abstractNumId w:val="29"/>
  </w:num>
  <w:num w:numId="21" w16cid:durableId="1380712870">
    <w:abstractNumId w:val="4"/>
  </w:num>
  <w:num w:numId="22" w16cid:durableId="2093699884">
    <w:abstractNumId w:val="24"/>
  </w:num>
  <w:num w:numId="23" w16cid:durableId="1762944662">
    <w:abstractNumId w:val="20"/>
  </w:num>
  <w:num w:numId="24" w16cid:durableId="391126723">
    <w:abstractNumId w:val="26"/>
  </w:num>
  <w:num w:numId="25" w16cid:durableId="1509755428">
    <w:abstractNumId w:val="7"/>
  </w:num>
  <w:num w:numId="26" w16cid:durableId="1301879543">
    <w:abstractNumId w:val="27"/>
  </w:num>
  <w:num w:numId="27" w16cid:durableId="2143497234">
    <w:abstractNumId w:val="21"/>
  </w:num>
  <w:num w:numId="28" w16cid:durableId="286664682">
    <w:abstractNumId w:val="22"/>
  </w:num>
  <w:num w:numId="29" w16cid:durableId="453451579">
    <w:abstractNumId w:val="18"/>
  </w:num>
  <w:num w:numId="30" w16cid:durableId="154684290">
    <w:abstractNumId w:val="9"/>
  </w:num>
  <w:num w:numId="31" w16cid:durableId="997269666">
    <w:abstractNumId w:val="32"/>
  </w:num>
  <w:num w:numId="32" w16cid:durableId="2140607267">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3246680">
    <w:abstractNumId w:val="15"/>
  </w:num>
  <w:num w:numId="34" w16cid:durableId="876549245">
    <w:abstractNumId w:val="2"/>
    <w:lvlOverride w:ilvl="0">
      <w:startOverride w:val="1"/>
    </w:lvlOverride>
  </w:num>
  <w:num w:numId="35" w16cid:durableId="1551653693">
    <w:abstractNumId w:val="12"/>
  </w:num>
  <w:num w:numId="36" w16cid:durableId="1384059445">
    <w:abstractNumId w:val="6"/>
  </w:num>
  <w:num w:numId="37" w16cid:durableId="2114209012">
    <w:abstractNumId w:val="17"/>
  </w:num>
  <w:num w:numId="38" w16cid:durableId="70542333">
    <w:abstractNumId w:val="11"/>
  </w:num>
  <w:num w:numId="39" w16cid:durableId="339624012">
    <w:abstractNumId w:val="14"/>
  </w:num>
  <w:num w:numId="40" w16cid:durableId="42367158">
    <w:abstractNumId w:val="31"/>
  </w:num>
  <w:num w:numId="41" w16cid:durableId="1916089170">
    <w:abstractNumId w:val="38"/>
  </w:num>
  <w:num w:numId="42" w16cid:durableId="1699965381">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AB"/>
    <w:rsid w:val="00000E11"/>
    <w:rsid w:val="00001BCA"/>
    <w:rsid w:val="00002B2B"/>
    <w:rsid w:val="00006D47"/>
    <w:rsid w:val="00006F97"/>
    <w:rsid w:val="00006FD5"/>
    <w:rsid w:val="00010667"/>
    <w:rsid w:val="000124ED"/>
    <w:rsid w:val="000129D5"/>
    <w:rsid w:val="0001378D"/>
    <w:rsid w:val="00015AE7"/>
    <w:rsid w:val="00015DC7"/>
    <w:rsid w:val="00016E21"/>
    <w:rsid w:val="0001719C"/>
    <w:rsid w:val="000175B3"/>
    <w:rsid w:val="000175FE"/>
    <w:rsid w:val="0002224E"/>
    <w:rsid w:val="00023113"/>
    <w:rsid w:val="00026241"/>
    <w:rsid w:val="00026F91"/>
    <w:rsid w:val="0003107B"/>
    <w:rsid w:val="00031BA9"/>
    <w:rsid w:val="00032434"/>
    <w:rsid w:val="00032B25"/>
    <w:rsid w:val="0003487F"/>
    <w:rsid w:val="00037D9A"/>
    <w:rsid w:val="00041930"/>
    <w:rsid w:val="00042C17"/>
    <w:rsid w:val="00043244"/>
    <w:rsid w:val="000468E3"/>
    <w:rsid w:val="0004694C"/>
    <w:rsid w:val="0004758A"/>
    <w:rsid w:val="0004764C"/>
    <w:rsid w:val="00047901"/>
    <w:rsid w:val="00050080"/>
    <w:rsid w:val="0005011A"/>
    <w:rsid w:val="0005045A"/>
    <w:rsid w:val="00051C1E"/>
    <w:rsid w:val="00053148"/>
    <w:rsid w:val="000539F9"/>
    <w:rsid w:val="00054C27"/>
    <w:rsid w:val="00055EC3"/>
    <w:rsid w:val="000563CE"/>
    <w:rsid w:val="000564A7"/>
    <w:rsid w:val="00056BFE"/>
    <w:rsid w:val="00057E99"/>
    <w:rsid w:val="00060777"/>
    <w:rsid w:val="000608E6"/>
    <w:rsid w:val="00061E1B"/>
    <w:rsid w:val="000625C0"/>
    <w:rsid w:val="00062634"/>
    <w:rsid w:val="00063BE7"/>
    <w:rsid w:val="00063C39"/>
    <w:rsid w:val="00064BA0"/>
    <w:rsid w:val="000659B6"/>
    <w:rsid w:val="0006686F"/>
    <w:rsid w:val="0006722A"/>
    <w:rsid w:val="000724E9"/>
    <w:rsid w:val="00072BDE"/>
    <w:rsid w:val="000732CF"/>
    <w:rsid w:val="00073675"/>
    <w:rsid w:val="00073FE8"/>
    <w:rsid w:val="00075B96"/>
    <w:rsid w:val="00076B9E"/>
    <w:rsid w:val="00076F51"/>
    <w:rsid w:val="00081258"/>
    <w:rsid w:val="0008196A"/>
    <w:rsid w:val="0008252B"/>
    <w:rsid w:val="0009138B"/>
    <w:rsid w:val="000915ED"/>
    <w:rsid w:val="0009209D"/>
    <w:rsid w:val="000927C1"/>
    <w:rsid w:val="00093990"/>
    <w:rsid w:val="00094684"/>
    <w:rsid w:val="0009485A"/>
    <w:rsid w:val="0009673D"/>
    <w:rsid w:val="000969BD"/>
    <w:rsid w:val="000969BF"/>
    <w:rsid w:val="000A0C22"/>
    <w:rsid w:val="000A0E8D"/>
    <w:rsid w:val="000A1400"/>
    <w:rsid w:val="000A3C43"/>
    <w:rsid w:val="000A4A14"/>
    <w:rsid w:val="000A4A51"/>
    <w:rsid w:val="000A5D2B"/>
    <w:rsid w:val="000B3577"/>
    <w:rsid w:val="000B5A8B"/>
    <w:rsid w:val="000B5DE3"/>
    <w:rsid w:val="000B663F"/>
    <w:rsid w:val="000B683F"/>
    <w:rsid w:val="000B7D79"/>
    <w:rsid w:val="000C0A57"/>
    <w:rsid w:val="000C230C"/>
    <w:rsid w:val="000C2F06"/>
    <w:rsid w:val="000C6AB4"/>
    <w:rsid w:val="000C793A"/>
    <w:rsid w:val="000D2084"/>
    <w:rsid w:val="000D259D"/>
    <w:rsid w:val="000D2781"/>
    <w:rsid w:val="000D2C1C"/>
    <w:rsid w:val="000D35D6"/>
    <w:rsid w:val="000D71D9"/>
    <w:rsid w:val="000D76E0"/>
    <w:rsid w:val="000D7E8B"/>
    <w:rsid w:val="000E4449"/>
    <w:rsid w:val="000E6024"/>
    <w:rsid w:val="000E6097"/>
    <w:rsid w:val="000E7142"/>
    <w:rsid w:val="000F3612"/>
    <w:rsid w:val="000F4F1B"/>
    <w:rsid w:val="000F627C"/>
    <w:rsid w:val="000F6B30"/>
    <w:rsid w:val="001025CD"/>
    <w:rsid w:val="00103829"/>
    <w:rsid w:val="001047D9"/>
    <w:rsid w:val="00104E4C"/>
    <w:rsid w:val="00105EF0"/>
    <w:rsid w:val="001060B9"/>
    <w:rsid w:val="00111605"/>
    <w:rsid w:val="00111FCE"/>
    <w:rsid w:val="00112FBD"/>
    <w:rsid w:val="00121685"/>
    <w:rsid w:val="001229A5"/>
    <w:rsid w:val="00122FB0"/>
    <w:rsid w:val="0012395C"/>
    <w:rsid w:val="0012489B"/>
    <w:rsid w:val="00125057"/>
    <w:rsid w:val="00126185"/>
    <w:rsid w:val="001279A8"/>
    <w:rsid w:val="00130017"/>
    <w:rsid w:val="00130A70"/>
    <w:rsid w:val="00130F91"/>
    <w:rsid w:val="00130FE7"/>
    <w:rsid w:val="00131A24"/>
    <w:rsid w:val="001327E5"/>
    <w:rsid w:val="001349ED"/>
    <w:rsid w:val="001358B7"/>
    <w:rsid w:val="00136040"/>
    <w:rsid w:val="00137424"/>
    <w:rsid w:val="001375D1"/>
    <w:rsid w:val="00140318"/>
    <w:rsid w:val="001411D1"/>
    <w:rsid w:val="00141AD9"/>
    <w:rsid w:val="0014397B"/>
    <w:rsid w:val="001448B3"/>
    <w:rsid w:val="00146BBB"/>
    <w:rsid w:val="00146CE6"/>
    <w:rsid w:val="00146E19"/>
    <w:rsid w:val="00147EF0"/>
    <w:rsid w:val="00150361"/>
    <w:rsid w:val="00150AEB"/>
    <w:rsid w:val="0015165E"/>
    <w:rsid w:val="00151AF8"/>
    <w:rsid w:val="001525C0"/>
    <w:rsid w:val="00152903"/>
    <w:rsid w:val="0015309A"/>
    <w:rsid w:val="00153FD5"/>
    <w:rsid w:val="0015443F"/>
    <w:rsid w:val="00155C6F"/>
    <w:rsid w:val="0015614F"/>
    <w:rsid w:val="001565C9"/>
    <w:rsid w:val="001571AE"/>
    <w:rsid w:val="00157450"/>
    <w:rsid w:val="001577C2"/>
    <w:rsid w:val="001602E8"/>
    <w:rsid w:val="001607FB"/>
    <w:rsid w:val="001633C4"/>
    <w:rsid w:val="0016347D"/>
    <w:rsid w:val="0016735B"/>
    <w:rsid w:val="00171591"/>
    <w:rsid w:val="00171CB2"/>
    <w:rsid w:val="00173981"/>
    <w:rsid w:val="0017433F"/>
    <w:rsid w:val="0017719D"/>
    <w:rsid w:val="00177F25"/>
    <w:rsid w:val="00177F36"/>
    <w:rsid w:val="00183935"/>
    <w:rsid w:val="00183FD7"/>
    <w:rsid w:val="00185CAB"/>
    <w:rsid w:val="00186BB1"/>
    <w:rsid w:val="001875B7"/>
    <w:rsid w:val="001879CD"/>
    <w:rsid w:val="00187CB3"/>
    <w:rsid w:val="0019050A"/>
    <w:rsid w:val="001910D4"/>
    <w:rsid w:val="001923A7"/>
    <w:rsid w:val="00194B92"/>
    <w:rsid w:val="00194E0C"/>
    <w:rsid w:val="00196550"/>
    <w:rsid w:val="00197078"/>
    <w:rsid w:val="001976E3"/>
    <w:rsid w:val="001A10A5"/>
    <w:rsid w:val="001A27C3"/>
    <w:rsid w:val="001A44EC"/>
    <w:rsid w:val="001A6497"/>
    <w:rsid w:val="001A6F98"/>
    <w:rsid w:val="001B0221"/>
    <w:rsid w:val="001B485E"/>
    <w:rsid w:val="001B58AA"/>
    <w:rsid w:val="001B5C6D"/>
    <w:rsid w:val="001B64F7"/>
    <w:rsid w:val="001B7E48"/>
    <w:rsid w:val="001C17CE"/>
    <w:rsid w:val="001C301E"/>
    <w:rsid w:val="001C36CA"/>
    <w:rsid w:val="001C44D1"/>
    <w:rsid w:val="001C6047"/>
    <w:rsid w:val="001C6AEE"/>
    <w:rsid w:val="001C6D8D"/>
    <w:rsid w:val="001C7630"/>
    <w:rsid w:val="001D2A5A"/>
    <w:rsid w:val="001D3F08"/>
    <w:rsid w:val="001D4090"/>
    <w:rsid w:val="001D4298"/>
    <w:rsid w:val="001D51CA"/>
    <w:rsid w:val="001D5E77"/>
    <w:rsid w:val="001D6058"/>
    <w:rsid w:val="001D61AA"/>
    <w:rsid w:val="001D6653"/>
    <w:rsid w:val="001D6D15"/>
    <w:rsid w:val="001D72BC"/>
    <w:rsid w:val="001E5C36"/>
    <w:rsid w:val="001F142F"/>
    <w:rsid w:val="001F25CA"/>
    <w:rsid w:val="001F25FD"/>
    <w:rsid w:val="001F332F"/>
    <w:rsid w:val="001F7558"/>
    <w:rsid w:val="00201255"/>
    <w:rsid w:val="00201B04"/>
    <w:rsid w:val="00202992"/>
    <w:rsid w:val="00204550"/>
    <w:rsid w:val="00205B57"/>
    <w:rsid w:val="00206312"/>
    <w:rsid w:val="00210425"/>
    <w:rsid w:val="002104F7"/>
    <w:rsid w:val="00211FB4"/>
    <w:rsid w:val="002157E0"/>
    <w:rsid w:val="00216A57"/>
    <w:rsid w:val="0021777F"/>
    <w:rsid w:val="00220C30"/>
    <w:rsid w:val="00221164"/>
    <w:rsid w:val="00221A43"/>
    <w:rsid w:val="0022334F"/>
    <w:rsid w:val="00226819"/>
    <w:rsid w:val="00227120"/>
    <w:rsid w:val="002326E1"/>
    <w:rsid w:val="00232AAB"/>
    <w:rsid w:val="00233101"/>
    <w:rsid w:val="00233817"/>
    <w:rsid w:val="002360E1"/>
    <w:rsid w:val="002367FF"/>
    <w:rsid w:val="00236BD3"/>
    <w:rsid w:val="00240CE9"/>
    <w:rsid w:val="00242916"/>
    <w:rsid w:val="002434BA"/>
    <w:rsid w:val="002437A0"/>
    <w:rsid w:val="002451E4"/>
    <w:rsid w:val="0024561D"/>
    <w:rsid w:val="00246089"/>
    <w:rsid w:val="00246093"/>
    <w:rsid w:val="00246702"/>
    <w:rsid w:val="00246EA3"/>
    <w:rsid w:val="00247C59"/>
    <w:rsid w:val="00247F2E"/>
    <w:rsid w:val="00250A90"/>
    <w:rsid w:val="00250ADC"/>
    <w:rsid w:val="00250B07"/>
    <w:rsid w:val="002523B7"/>
    <w:rsid w:val="00253A2D"/>
    <w:rsid w:val="0025688A"/>
    <w:rsid w:val="00257553"/>
    <w:rsid w:val="0025775B"/>
    <w:rsid w:val="00257809"/>
    <w:rsid w:val="00260A8E"/>
    <w:rsid w:val="00260FB2"/>
    <w:rsid w:val="00262128"/>
    <w:rsid w:val="002637AC"/>
    <w:rsid w:val="0026705D"/>
    <w:rsid w:val="0027165D"/>
    <w:rsid w:val="00272621"/>
    <w:rsid w:val="002734F5"/>
    <w:rsid w:val="00273CEB"/>
    <w:rsid w:val="00277981"/>
    <w:rsid w:val="00280E03"/>
    <w:rsid w:val="00281C89"/>
    <w:rsid w:val="0028282F"/>
    <w:rsid w:val="0028309F"/>
    <w:rsid w:val="00283A09"/>
    <w:rsid w:val="00285689"/>
    <w:rsid w:val="0028633E"/>
    <w:rsid w:val="002869F0"/>
    <w:rsid w:val="00290A8F"/>
    <w:rsid w:val="00290B32"/>
    <w:rsid w:val="00290B70"/>
    <w:rsid w:val="00293755"/>
    <w:rsid w:val="00294762"/>
    <w:rsid w:val="00294BE3"/>
    <w:rsid w:val="0029593B"/>
    <w:rsid w:val="002965EF"/>
    <w:rsid w:val="00297DF8"/>
    <w:rsid w:val="00297FC5"/>
    <w:rsid w:val="002A0417"/>
    <w:rsid w:val="002A16D8"/>
    <w:rsid w:val="002A1BC8"/>
    <w:rsid w:val="002A3DB9"/>
    <w:rsid w:val="002A3EAF"/>
    <w:rsid w:val="002A3EF2"/>
    <w:rsid w:val="002A74C1"/>
    <w:rsid w:val="002A7ACB"/>
    <w:rsid w:val="002B0DED"/>
    <w:rsid w:val="002B19A2"/>
    <w:rsid w:val="002B381A"/>
    <w:rsid w:val="002B40CC"/>
    <w:rsid w:val="002B48C6"/>
    <w:rsid w:val="002B4FCC"/>
    <w:rsid w:val="002B7408"/>
    <w:rsid w:val="002B7CFD"/>
    <w:rsid w:val="002C1D44"/>
    <w:rsid w:val="002C20CF"/>
    <w:rsid w:val="002C210F"/>
    <w:rsid w:val="002C33CF"/>
    <w:rsid w:val="002C373B"/>
    <w:rsid w:val="002C4BC2"/>
    <w:rsid w:val="002C7DA4"/>
    <w:rsid w:val="002C7E30"/>
    <w:rsid w:val="002D0E1C"/>
    <w:rsid w:val="002D16C0"/>
    <w:rsid w:val="002D3600"/>
    <w:rsid w:val="002D6CE1"/>
    <w:rsid w:val="002D7492"/>
    <w:rsid w:val="002E09E1"/>
    <w:rsid w:val="002E0C3A"/>
    <w:rsid w:val="002E2338"/>
    <w:rsid w:val="002E2975"/>
    <w:rsid w:val="002E30BB"/>
    <w:rsid w:val="002E3E50"/>
    <w:rsid w:val="002E4B9C"/>
    <w:rsid w:val="002E4DDC"/>
    <w:rsid w:val="002E521B"/>
    <w:rsid w:val="002E5BF2"/>
    <w:rsid w:val="002E5EEC"/>
    <w:rsid w:val="002E7366"/>
    <w:rsid w:val="002F4703"/>
    <w:rsid w:val="002F4795"/>
    <w:rsid w:val="002F7270"/>
    <w:rsid w:val="003022E7"/>
    <w:rsid w:val="00302480"/>
    <w:rsid w:val="00305355"/>
    <w:rsid w:val="003109AE"/>
    <w:rsid w:val="00311E00"/>
    <w:rsid w:val="003128F3"/>
    <w:rsid w:val="00312C34"/>
    <w:rsid w:val="00314714"/>
    <w:rsid w:val="00315582"/>
    <w:rsid w:val="003165E6"/>
    <w:rsid w:val="003215B5"/>
    <w:rsid w:val="00321F12"/>
    <w:rsid w:val="003221CF"/>
    <w:rsid w:val="003233ED"/>
    <w:rsid w:val="00324D9F"/>
    <w:rsid w:val="00327948"/>
    <w:rsid w:val="0033000F"/>
    <w:rsid w:val="0033097B"/>
    <w:rsid w:val="00331520"/>
    <w:rsid w:val="00331D3D"/>
    <w:rsid w:val="00332011"/>
    <w:rsid w:val="00332518"/>
    <w:rsid w:val="00332925"/>
    <w:rsid w:val="00332B3F"/>
    <w:rsid w:val="0033318D"/>
    <w:rsid w:val="003332ED"/>
    <w:rsid w:val="00333A6B"/>
    <w:rsid w:val="00335FDC"/>
    <w:rsid w:val="00336167"/>
    <w:rsid w:val="003368DC"/>
    <w:rsid w:val="00340B6B"/>
    <w:rsid w:val="00343C52"/>
    <w:rsid w:val="003444AB"/>
    <w:rsid w:val="00345927"/>
    <w:rsid w:val="00345CC5"/>
    <w:rsid w:val="003468E8"/>
    <w:rsid w:val="0034732C"/>
    <w:rsid w:val="00350584"/>
    <w:rsid w:val="00351857"/>
    <w:rsid w:val="00354135"/>
    <w:rsid w:val="003545E8"/>
    <w:rsid w:val="0035587E"/>
    <w:rsid w:val="00356E4E"/>
    <w:rsid w:val="00357832"/>
    <w:rsid w:val="003578A3"/>
    <w:rsid w:val="00360BE8"/>
    <w:rsid w:val="003610E1"/>
    <w:rsid w:val="00363056"/>
    <w:rsid w:val="003671BE"/>
    <w:rsid w:val="003701D4"/>
    <w:rsid w:val="00371274"/>
    <w:rsid w:val="00372485"/>
    <w:rsid w:val="00372A97"/>
    <w:rsid w:val="0037307B"/>
    <w:rsid w:val="00373200"/>
    <w:rsid w:val="0037599B"/>
    <w:rsid w:val="00375EF5"/>
    <w:rsid w:val="00376316"/>
    <w:rsid w:val="003767A5"/>
    <w:rsid w:val="00381D15"/>
    <w:rsid w:val="0038291D"/>
    <w:rsid w:val="00383BCB"/>
    <w:rsid w:val="003846A2"/>
    <w:rsid w:val="00385254"/>
    <w:rsid w:val="00385FAD"/>
    <w:rsid w:val="00387697"/>
    <w:rsid w:val="0039031D"/>
    <w:rsid w:val="00390DB4"/>
    <w:rsid w:val="003921BA"/>
    <w:rsid w:val="0039733D"/>
    <w:rsid w:val="003A04DB"/>
    <w:rsid w:val="003A0F1E"/>
    <w:rsid w:val="003A3104"/>
    <w:rsid w:val="003A39D8"/>
    <w:rsid w:val="003A4BB8"/>
    <w:rsid w:val="003A4F7A"/>
    <w:rsid w:val="003A5F5B"/>
    <w:rsid w:val="003A6514"/>
    <w:rsid w:val="003A789A"/>
    <w:rsid w:val="003A7CD8"/>
    <w:rsid w:val="003B12EC"/>
    <w:rsid w:val="003B3DD3"/>
    <w:rsid w:val="003B42CA"/>
    <w:rsid w:val="003B5D02"/>
    <w:rsid w:val="003B7AF1"/>
    <w:rsid w:val="003C2D0A"/>
    <w:rsid w:val="003C5B7D"/>
    <w:rsid w:val="003C74D3"/>
    <w:rsid w:val="003C77E0"/>
    <w:rsid w:val="003C7DA9"/>
    <w:rsid w:val="003D17D7"/>
    <w:rsid w:val="003D2678"/>
    <w:rsid w:val="003D5C3D"/>
    <w:rsid w:val="003D71A3"/>
    <w:rsid w:val="003E259B"/>
    <w:rsid w:val="003E2B8A"/>
    <w:rsid w:val="003E5006"/>
    <w:rsid w:val="003E57A6"/>
    <w:rsid w:val="003E622A"/>
    <w:rsid w:val="003E73F5"/>
    <w:rsid w:val="003E74A4"/>
    <w:rsid w:val="003E7EA5"/>
    <w:rsid w:val="003F10EE"/>
    <w:rsid w:val="003F16F6"/>
    <w:rsid w:val="003F44D6"/>
    <w:rsid w:val="003F4A43"/>
    <w:rsid w:val="003F4DC7"/>
    <w:rsid w:val="003F5235"/>
    <w:rsid w:val="003F542B"/>
    <w:rsid w:val="003F7376"/>
    <w:rsid w:val="0040015F"/>
    <w:rsid w:val="00401380"/>
    <w:rsid w:val="00401D52"/>
    <w:rsid w:val="004027E4"/>
    <w:rsid w:val="004054A0"/>
    <w:rsid w:val="0040785B"/>
    <w:rsid w:val="00407ADE"/>
    <w:rsid w:val="0041071D"/>
    <w:rsid w:val="004117A4"/>
    <w:rsid w:val="004147A6"/>
    <w:rsid w:val="00414AFC"/>
    <w:rsid w:val="004151A7"/>
    <w:rsid w:val="00415310"/>
    <w:rsid w:val="004154DA"/>
    <w:rsid w:val="00416B25"/>
    <w:rsid w:val="00416EAC"/>
    <w:rsid w:val="0042066D"/>
    <w:rsid w:val="00421709"/>
    <w:rsid w:val="00422D2B"/>
    <w:rsid w:val="00423763"/>
    <w:rsid w:val="00423965"/>
    <w:rsid w:val="00425127"/>
    <w:rsid w:val="004258F9"/>
    <w:rsid w:val="00425A52"/>
    <w:rsid w:val="004271DF"/>
    <w:rsid w:val="0042762F"/>
    <w:rsid w:val="00427DC7"/>
    <w:rsid w:val="00430B25"/>
    <w:rsid w:val="00431613"/>
    <w:rsid w:val="00431792"/>
    <w:rsid w:val="0043297A"/>
    <w:rsid w:val="00432EB2"/>
    <w:rsid w:val="0043307B"/>
    <w:rsid w:val="00436D35"/>
    <w:rsid w:val="0043714F"/>
    <w:rsid w:val="0043756B"/>
    <w:rsid w:val="0043773C"/>
    <w:rsid w:val="004400F8"/>
    <w:rsid w:val="0044256C"/>
    <w:rsid w:val="00443026"/>
    <w:rsid w:val="004438B5"/>
    <w:rsid w:val="00447037"/>
    <w:rsid w:val="00450D3F"/>
    <w:rsid w:val="0045124D"/>
    <w:rsid w:val="00454596"/>
    <w:rsid w:val="00454878"/>
    <w:rsid w:val="00454D36"/>
    <w:rsid w:val="00455D31"/>
    <w:rsid w:val="0045605D"/>
    <w:rsid w:val="004600C4"/>
    <w:rsid w:val="00460B4F"/>
    <w:rsid w:val="0046135B"/>
    <w:rsid w:val="00461D47"/>
    <w:rsid w:val="00461EAD"/>
    <w:rsid w:val="00463120"/>
    <w:rsid w:val="00466D25"/>
    <w:rsid w:val="00467297"/>
    <w:rsid w:val="004678BE"/>
    <w:rsid w:val="00467AA3"/>
    <w:rsid w:val="004714E2"/>
    <w:rsid w:val="004718CC"/>
    <w:rsid w:val="004723F7"/>
    <w:rsid w:val="004747AB"/>
    <w:rsid w:val="00481695"/>
    <w:rsid w:val="00481F74"/>
    <w:rsid w:val="00482A03"/>
    <w:rsid w:val="00484195"/>
    <w:rsid w:val="00486E11"/>
    <w:rsid w:val="0049192F"/>
    <w:rsid w:val="0049351D"/>
    <w:rsid w:val="00495A96"/>
    <w:rsid w:val="00495BB3"/>
    <w:rsid w:val="00497F6B"/>
    <w:rsid w:val="004A03F4"/>
    <w:rsid w:val="004A4735"/>
    <w:rsid w:val="004A56BB"/>
    <w:rsid w:val="004A7368"/>
    <w:rsid w:val="004A7994"/>
    <w:rsid w:val="004B11DE"/>
    <w:rsid w:val="004B164C"/>
    <w:rsid w:val="004B1751"/>
    <w:rsid w:val="004B352E"/>
    <w:rsid w:val="004B49A0"/>
    <w:rsid w:val="004B5BB5"/>
    <w:rsid w:val="004B6FDB"/>
    <w:rsid w:val="004C0253"/>
    <w:rsid w:val="004C0F1F"/>
    <w:rsid w:val="004C2210"/>
    <w:rsid w:val="004C297B"/>
    <w:rsid w:val="004C4B14"/>
    <w:rsid w:val="004C5CFC"/>
    <w:rsid w:val="004D06F7"/>
    <w:rsid w:val="004D34F7"/>
    <w:rsid w:val="004D4DB0"/>
    <w:rsid w:val="004D56FF"/>
    <w:rsid w:val="004E0B8E"/>
    <w:rsid w:val="004E1909"/>
    <w:rsid w:val="004E22A1"/>
    <w:rsid w:val="004E39D3"/>
    <w:rsid w:val="004E508A"/>
    <w:rsid w:val="004E5F4D"/>
    <w:rsid w:val="004E616D"/>
    <w:rsid w:val="004E74CB"/>
    <w:rsid w:val="004F0D06"/>
    <w:rsid w:val="004F1BDE"/>
    <w:rsid w:val="004F1CB3"/>
    <w:rsid w:val="004F2CEE"/>
    <w:rsid w:val="004F556E"/>
    <w:rsid w:val="004F591C"/>
    <w:rsid w:val="004F5E08"/>
    <w:rsid w:val="004F6002"/>
    <w:rsid w:val="004F631A"/>
    <w:rsid w:val="004F7637"/>
    <w:rsid w:val="004F7838"/>
    <w:rsid w:val="004F7F44"/>
    <w:rsid w:val="005037B4"/>
    <w:rsid w:val="00505361"/>
    <w:rsid w:val="00506103"/>
    <w:rsid w:val="00507501"/>
    <w:rsid w:val="005079BF"/>
    <w:rsid w:val="00511147"/>
    <w:rsid w:val="0051249D"/>
    <w:rsid w:val="0051269A"/>
    <w:rsid w:val="005219E7"/>
    <w:rsid w:val="00530009"/>
    <w:rsid w:val="005307D5"/>
    <w:rsid w:val="00530CC5"/>
    <w:rsid w:val="0053119E"/>
    <w:rsid w:val="005316D4"/>
    <w:rsid w:val="00531B9A"/>
    <w:rsid w:val="00531D15"/>
    <w:rsid w:val="0053524D"/>
    <w:rsid w:val="00537588"/>
    <w:rsid w:val="00537604"/>
    <w:rsid w:val="00542377"/>
    <w:rsid w:val="00542B4D"/>
    <w:rsid w:val="00547012"/>
    <w:rsid w:val="005476EB"/>
    <w:rsid w:val="0054790D"/>
    <w:rsid w:val="00550909"/>
    <w:rsid w:val="00550DF2"/>
    <w:rsid w:val="00551782"/>
    <w:rsid w:val="00552906"/>
    <w:rsid w:val="00553A8F"/>
    <w:rsid w:val="00555ACD"/>
    <w:rsid w:val="005601E6"/>
    <w:rsid w:val="00561543"/>
    <w:rsid w:val="00563224"/>
    <w:rsid w:val="00563EF1"/>
    <w:rsid w:val="005653C3"/>
    <w:rsid w:val="0056603C"/>
    <w:rsid w:val="005669CB"/>
    <w:rsid w:val="00566AB4"/>
    <w:rsid w:val="00566BB0"/>
    <w:rsid w:val="00571010"/>
    <w:rsid w:val="00571539"/>
    <w:rsid w:val="005726D3"/>
    <w:rsid w:val="00573DE5"/>
    <w:rsid w:val="00573F14"/>
    <w:rsid w:val="00575AC5"/>
    <w:rsid w:val="0057605D"/>
    <w:rsid w:val="0057771F"/>
    <w:rsid w:val="005809D7"/>
    <w:rsid w:val="00580F0A"/>
    <w:rsid w:val="00581347"/>
    <w:rsid w:val="00581AC9"/>
    <w:rsid w:val="005824D3"/>
    <w:rsid w:val="005849F8"/>
    <w:rsid w:val="00584C77"/>
    <w:rsid w:val="00587102"/>
    <w:rsid w:val="00587F11"/>
    <w:rsid w:val="005916C2"/>
    <w:rsid w:val="005929F9"/>
    <w:rsid w:val="00592F0B"/>
    <w:rsid w:val="005938DF"/>
    <w:rsid w:val="00593DB3"/>
    <w:rsid w:val="00594E9C"/>
    <w:rsid w:val="00596B88"/>
    <w:rsid w:val="005A03AE"/>
    <w:rsid w:val="005A099B"/>
    <w:rsid w:val="005A2D9C"/>
    <w:rsid w:val="005A4E86"/>
    <w:rsid w:val="005A55FE"/>
    <w:rsid w:val="005A5798"/>
    <w:rsid w:val="005A6700"/>
    <w:rsid w:val="005A6A11"/>
    <w:rsid w:val="005A7C1D"/>
    <w:rsid w:val="005B0E9C"/>
    <w:rsid w:val="005B47A7"/>
    <w:rsid w:val="005B5CF8"/>
    <w:rsid w:val="005B7F96"/>
    <w:rsid w:val="005C085C"/>
    <w:rsid w:val="005C10B3"/>
    <w:rsid w:val="005C3D57"/>
    <w:rsid w:val="005C6E98"/>
    <w:rsid w:val="005D1D80"/>
    <w:rsid w:val="005D2502"/>
    <w:rsid w:val="005D305A"/>
    <w:rsid w:val="005D40BB"/>
    <w:rsid w:val="005D47F3"/>
    <w:rsid w:val="005D49BF"/>
    <w:rsid w:val="005D4AA5"/>
    <w:rsid w:val="005D51D7"/>
    <w:rsid w:val="005D5B48"/>
    <w:rsid w:val="005D6F4E"/>
    <w:rsid w:val="005D7017"/>
    <w:rsid w:val="005D7C73"/>
    <w:rsid w:val="005E040F"/>
    <w:rsid w:val="005E0FCD"/>
    <w:rsid w:val="005E24CA"/>
    <w:rsid w:val="005E3ACD"/>
    <w:rsid w:val="005E44F4"/>
    <w:rsid w:val="005E5544"/>
    <w:rsid w:val="005E7226"/>
    <w:rsid w:val="005E7923"/>
    <w:rsid w:val="005E7935"/>
    <w:rsid w:val="005E7A57"/>
    <w:rsid w:val="005F0F21"/>
    <w:rsid w:val="005F24B0"/>
    <w:rsid w:val="005F3BAC"/>
    <w:rsid w:val="005F543A"/>
    <w:rsid w:val="005F6048"/>
    <w:rsid w:val="005F61BF"/>
    <w:rsid w:val="005F7BDB"/>
    <w:rsid w:val="006018F8"/>
    <w:rsid w:val="0060252B"/>
    <w:rsid w:val="00604315"/>
    <w:rsid w:val="00604E26"/>
    <w:rsid w:val="006052CF"/>
    <w:rsid w:val="00607B8D"/>
    <w:rsid w:val="0061018E"/>
    <w:rsid w:val="006101CA"/>
    <w:rsid w:val="006105D5"/>
    <w:rsid w:val="00611F5C"/>
    <w:rsid w:val="0061206F"/>
    <w:rsid w:val="00616075"/>
    <w:rsid w:val="006160F3"/>
    <w:rsid w:val="00616E09"/>
    <w:rsid w:val="006179D5"/>
    <w:rsid w:val="00622A3B"/>
    <w:rsid w:val="00622EEA"/>
    <w:rsid w:val="0062396C"/>
    <w:rsid w:val="00623FE9"/>
    <w:rsid w:val="00623FF9"/>
    <w:rsid w:val="00627D46"/>
    <w:rsid w:val="00627D4E"/>
    <w:rsid w:val="006326E4"/>
    <w:rsid w:val="00632B89"/>
    <w:rsid w:val="0063324F"/>
    <w:rsid w:val="00633F76"/>
    <w:rsid w:val="00634478"/>
    <w:rsid w:val="00636C9F"/>
    <w:rsid w:val="00640062"/>
    <w:rsid w:val="00644373"/>
    <w:rsid w:val="006448F7"/>
    <w:rsid w:val="00644C31"/>
    <w:rsid w:val="00645915"/>
    <w:rsid w:val="00651852"/>
    <w:rsid w:val="006519C3"/>
    <w:rsid w:val="00652B30"/>
    <w:rsid w:val="00652D3D"/>
    <w:rsid w:val="006544BD"/>
    <w:rsid w:val="00655059"/>
    <w:rsid w:val="00655206"/>
    <w:rsid w:val="00655BA7"/>
    <w:rsid w:val="00656345"/>
    <w:rsid w:val="00656DC6"/>
    <w:rsid w:val="00660EC6"/>
    <w:rsid w:val="006616BE"/>
    <w:rsid w:val="006625A0"/>
    <w:rsid w:val="00662809"/>
    <w:rsid w:val="00664110"/>
    <w:rsid w:val="00664D17"/>
    <w:rsid w:val="006650BC"/>
    <w:rsid w:val="00666520"/>
    <w:rsid w:val="00666EF5"/>
    <w:rsid w:val="00667C5B"/>
    <w:rsid w:val="00670A30"/>
    <w:rsid w:val="00670D71"/>
    <w:rsid w:val="00670D84"/>
    <w:rsid w:val="00671EEF"/>
    <w:rsid w:val="00672BAD"/>
    <w:rsid w:val="00672C4C"/>
    <w:rsid w:val="0067402E"/>
    <w:rsid w:val="0067567B"/>
    <w:rsid w:val="00677BBF"/>
    <w:rsid w:val="00677BC6"/>
    <w:rsid w:val="006804CF"/>
    <w:rsid w:val="006808C7"/>
    <w:rsid w:val="00684B4A"/>
    <w:rsid w:val="0068620B"/>
    <w:rsid w:val="00691EB8"/>
    <w:rsid w:val="00692CDE"/>
    <w:rsid w:val="00693073"/>
    <w:rsid w:val="006932C8"/>
    <w:rsid w:val="00693C2A"/>
    <w:rsid w:val="006963FA"/>
    <w:rsid w:val="006977FF"/>
    <w:rsid w:val="006A01FA"/>
    <w:rsid w:val="006A0E9E"/>
    <w:rsid w:val="006A25C7"/>
    <w:rsid w:val="006A279D"/>
    <w:rsid w:val="006A4AAD"/>
    <w:rsid w:val="006A55D5"/>
    <w:rsid w:val="006A5BFB"/>
    <w:rsid w:val="006A5DAA"/>
    <w:rsid w:val="006A5F94"/>
    <w:rsid w:val="006A6DA2"/>
    <w:rsid w:val="006A7AB2"/>
    <w:rsid w:val="006A7FD9"/>
    <w:rsid w:val="006B0EDD"/>
    <w:rsid w:val="006B1A83"/>
    <w:rsid w:val="006B4666"/>
    <w:rsid w:val="006B4F97"/>
    <w:rsid w:val="006B5717"/>
    <w:rsid w:val="006B582F"/>
    <w:rsid w:val="006C0CEB"/>
    <w:rsid w:val="006C374F"/>
    <w:rsid w:val="006C3B1E"/>
    <w:rsid w:val="006C47FD"/>
    <w:rsid w:val="006C53CE"/>
    <w:rsid w:val="006C56F3"/>
    <w:rsid w:val="006C5C19"/>
    <w:rsid w:val="006C5EF1"/>
    <w:rsid w:val="006C70A0"/>
    <w:rsid w:val="006D0162"/>
    <w:rsid w:val="006D1175"/>
    <w:rsid w:val="006D27CB"/>
    <w:rsid w:val="006D2F08"/>
    <w:rsid w:val="006D3C8D"/>
    <w:rsid w:val="006D55DE"/>
    <w:rsid w:val="006D576C"/>
    <w:rsid w:val="006D5865"/>
    <w:rsid w:val="006D5FA5"/>
    <w:rsid w:val="006D61B2"/>
    <w:rsid w:val="006D7766"/>
    <w:rsid w:val="006E26AE"/>
    <w:rsid w:val="006E28AF"/>
    <w:rsid w:val="006E4B1B"/>
    <w:rsid w:val="006E5091"/>
    <w:rsid w:val="006E5445"/>
    <w:rsid w:val="006E7D93"/>
    <w:rsid w:val="006F0B01"/>
    <w:rsid w:val="006F28D5"/>
    <w:rsid w:val="006F5848"/>
    <w:rsid w:val="006F6C30"/>
    <w:rsid w:val="006F6DA6"/>
    <w:rsid w:val="006F77E8"/>
    <w:rsid w:val="0070058F"/>
    <w:rsid w:val="00700A9F"/>
    <w:rsid w:val="0070110C"/>
    <w:rsid w:val="00701445"/>
    <w:rsid w:val="007022C2"/>
    <w:rsid w:val="00702689"/>
    <w:rsid w:val="007029A3"/>
    <w:rsid w:val="0070415C"/>
    <w:rsid w:val="00706E4E"/>
    <w:rsid w:val="0070791C"/>
    <w:rsid w:val="0071127B"/>
    <w:rsid w:val="00713455"/>
    <w:rsid w:val="0071383C"/>
    <w:rsid w:val="007141A7"/>
    <w:rsid w:val="00715722"/>
    <w:rsid w:val="00716A9D"/>
    <w:rsid w:val="00721032"/>
    <w:rsid w:val="00721B55"/>
    <w:rsid w:val="00721CCE"/>
    <w:rsid w:val="00722335"/>
    <w:rsid w:val="00722D79"/>
    <w:rsid w:val="00724062"/>
    <w:rsid w:val="00726CE4"/>
    <w:rsid w:val="00732C13"/>
    <w:rsid w:val="00734143"/>
    <w:rsid w:val="00737E47"/>
    <w:rsid w:val="00740EAC"/>
    <w:rsid w:val="00744956"/>
    <w:rsid w:val="00744FB8"/>
    <w:rsid w:val="00745A5C"/>
    <w:rsid w:val="0074605F"/>
    <w:rsid w:val="0074726E"/>
    <w:rsid w:val="00747CF8"/>
    <w:rsid w:val="00747E94"/>
    <w:rsid w:val="0075048D"/>
    <w:rsid w:val="00754401"/>
    <w:rsid w:val="00754C83"/>
    <w:rsid w:val="00756624"/>
    <w:rsid w:val="0076184B"/>
    <w:rsid w:val="00762825"/>
    <w:rsid w:val="007628F2"/>
    <w:rsid w:val="0076366E"/>
    <w:rsid w:val="00765DF8"/>
    <w:rsid w:val="00766749"/>
    <w:rsid w:val="00767C1B"/>
    <w:rsid w:val="007714A9"/>
    <w:rsid w:val="0077236D"/>
    <w:rsid w:val="007731F7"/>
    <w:rsid w:val="00773EAB"/>
    <w:rsid w:val="00773F0B"/>
    <w:rsid w:val="00774F88"/>
    <w:rsid w:val="00774FDB"/>
    <w:rsid w:val="007752D5"/>
    <w:rsid w:val="00777BA2"/>
    <w:rsid w:val="0078096D"/>
    <w:rsid w:val="00781408"/>
    <w:rsid w:val="007836FD"/>
    <w:rsid w:val="00784F19"/>
    <w:rsid w:val="00784F7F"/>
    <w:rsid w:val="007878BD"/>
    <w:rsid w:val="00790CE0"/>
    <w:rsid w:val="00791B1C"/>
    <w:rsid w:val="00791DB6"/>
    <w:rsid w:val="0079246D"/>
    <w:rsid w:val="00792AFC"/>
    <w:rsid w:val="007940B3"/>
    <w:rsid w:val="00796F25"/>
    <w:rsid w:val="007A2E98"/>
    <w:rsid w:val="007A3BA3"/>
    <w:rsid w:val="007A6CC0"/>
    <w:rsid w:val="007A7FEC"/>
    <w:rsid w:val="007B1499"/>
    <w:rsid w:val="007B1BBF"/>
    <w:rsid w:val="007B2486"/>
    <w:rsid w:val="007B25C6"/>
    <w:rsid w:val="007B2960"/>
    <w:rsid w:val="007B355D"/>
    <w:rsid w:val="007B3D9A"/>
    <w:rsid w:val="007B5856"/>
    <w:rsid w:val="007B7980"/>
    <w:rsid w:val="007C0AA8"/>
    <w:rsid w:val="007C0DEF"/>
    <w:rsid w:val="007C14E1"/>
    <w:rsid w:val="007C2187"/>
    <w:rsid w:val="007C380D"/>
    <w:rsid w:val="007C38BF"/>
    <w:rsid w:val="007C4060"/>
    <w:rsid w:val="007C4950"/>
    <w:rsid w:val="007C52D9"/>
    <w:rsid w:val="007C5D5A"/>
    <w:rsid w:val="007C607F"/>
    <w:rsid w:val="007C75D9"/>
    <w:rsid w:val="007C79DD"/>
    <w:rsid w:val="007D1A97"/>
    <w:rsid w:val="007D2CD6"/>
    <w:rsid w:val="007D3063"/>
    <w:rsid w:val="007D3CEB"/>
    <w:rsid w:val="007D6F16"/>
    <w:rsid w:val="007E2ABB"/>
    <w:rsid w:val="007E3D4B"/>
    <w:rsid w:val="007E44C0"/>
    <w:rsid w:val="007E4DAC"/>
    <w:rsid w:val="007E579E"/>
    <w:rsid w:val="007E7683"/>
    <w:rsid w:val="007F2142"/>
    <w:rsid w:val="007F4937"/>
    <w:rsid w:val="007F49FA"/>
    <w:rsid w:val="007F52E5"/>
    <w:rsid w:val="007F54C4"/>
    <w:rsid w:val="007F55D0"/>
    <w:rsid w:val="007F6886"/>
    <w:rsid w:val="007F6E9A"/>
    <w:rsid w:val="007F7472"/>
    <w:rsid w:val="007F7DA3"/>
    <w:rsid w:val="008027A4"/>
    <w:rsid w:val="0080353E"/>
    <w:rsid w:val="00803879"/>
    <w:rsid w:val="00803980"/>
    <w:rsid w:val="008044D4"/>
    <w:rsid w:val="00804863"/>
    <w:rsid w:val="00804E10"/>
    <w:rsid w:val="00805911"/>
    <w:rsid w:val="00806811"/>
    <w:rsid w:val="00806B3F"/>
    <w:rsid w:val="0080772B"/>
    <w:rsid w:val="00810847"/>
    <w:rsid w:val="00810AB4"/>
    <w:rsid w:val="00810CF1"/>
    <w:rsid w:val="00810D05"/>
    <w:rsid w:val="0081392A"/>
    <w:rsid w:val="0081406A"/>
    <w:rsid w:val="00814C24"/>
    <w:rsid w:val="00816213"/>
    <w:rsid w:val="00816373"/>
    <w:rsid w:val="00817AEC"/>
    <w:rsid w:val="00817B56"/>
    <w:rsid w:val="00821A88"/>
    <w:rsid w:val="00821EF1"/>
    <w:rsid w:val="00822CF5"/>
    <w:rsid w:val="00822EC3"/>
    <w:rsid w:val="008235BC"/>
    <w:rsid w:val="00823FBC"/>
    <w:rsid w:val="0082411F"/>
    <w:rsid w:val="00824413"/>
    <w:rsid w:val="0082495D"/>
    <w:rsid w:val="00827C75"/>
    <w:rsid w:val="00831AC3"/>
    <w:rsid w:val="008341D6"/>
    <w:rsid w:val="008346C1"/>
    <w:rsid w:val="00834A18"/>
    <w:rsid w:val="008408FF"/>
    <w:rsid w:val="00840981"/>
    <w:rsid w:val="00846147"/>
    <w:rsid w:val="008465CF"/>
    <w:rsid w:val="00846955"/>
    <w:rsid w:val="00847C00"/>
    <w:rsid w:val="00851F3F"/>
    <w:rsid w:val="008526AE"/>
    <w:rsid w:val="00853F5F"/>
    <w:rsid w:val="00854FD7"/>
    <w:rsid w:val="008554C5"/>
    <w:rsid w:val="00856EDC"/>
    <w:rsid w:val="00860F36"/>
    <w:rsid w:val="008623B5"/>
    <w:rsid w:val="0086267D"/>
    <w:rsid w:val="00862CAA"/>
    <w:rsid w:val="008657CA"/>
    <w:rsid w:val="00866124"/>
    <w:rsid w:val="00866D17"/>
    <w:rsid w:val="00870ABA"/>
    <w:rsid w:val="008710B6"/>
    <w:rsid w:val="008710E1"/>
    <w:rsid w:val="00871522"/>
    <w:rsid w:val="008716E5"/>
    <w:rsid w:val="0087208D"/>
    <w:rsid w:val="0087220C"/>
    <w:rsid w:val="00872DFF"/>
    <w:rsid w:val="00873A65"/>
    <w:rsid w:val="00875163"/>
    <w:rsid w:val="008771D1"/>
    <w:rsid w:val="00881CA9"/>
    <w:rsid w:val="00883628"/>
    <w:rsid w:val="00885154"/>
    <w:rsid w:val="00885544"/>
    <w:rsid w:val="0088634E"/>
    <w:rsid w:val="0089141B"/>
    <w:rsid w:val="00893089"/>
    <w:rsid w:val="00893AB8"/>
    <w:rsid w:val="00893E13"/>
    <w:rsid w:val="00895CDE"/>
    <w:rsid w:val="008969D5"/>
    <w:rsid w:val="00896CB4"/>
    <w:rsid w:val="008A0356"/>
    <w:rsid w:val="008A046B"/>
    <w:rsid w:val="008A04C8"/>
    <w:rsid w:val="008A4609"/>
    <w:rsid w:val="008A50A8"/>
    <w:rsid w:val="008A6913"/>
    <w:rsid w:val="008A743C"/>
    <w:rsid w:val="008B0680"/>
    <w:rsid w:val="008B0D96"/>
    <w:rsid w:val="008B2A6F"/>
    <w:rsid w:val="008B2CE2"/>
    <w:rsid w:val="008B45C5"/>
    <w:rsid w:val="008B4F98"/>
    <w:rsid w:val="008B5456"/>
    <w:rsid w:val="008B6A47"/>
    <w:rsid w:val="008B6C89"/>
    <w:rsid w:val="008B70F3"/>
    <w:rsid w:val="008B71C4"/>
    <w:rsid w:val="008B76DF"/>
    <w:rsid w:val="008C10F4"/>
    <w:rsid w:val="008C3901"/>
    <w:rsid w:val="008C3968"/>
    <w:rsid w:val="008C65F7"/>
    <w:rsid w:val="008D0832"/>
    <w:rsid w:val="008D1357"/>
    <w:rsid w:val="008D1C9E"/>
    <w:rsid w:val="008D39B6"/>
    <w:rsid w:val="008D47F7"/>
    <w:rsid w:val="008D5446"/>
    <w:rsid w:val="008D63F0"/>
    <w:rsid w:val="008E0954"/>
    <w:rsid w:val="008E09E7"/>
    <w:rsid w:val="008E4004"/>
    <w:rsid w:val="008E43E6"/>
    <w:rsid w:val="008E4767"/>
    <w:rsid w:val="008E6D0D"/>
    <w:rsid w:val="008E7A8C"/>
    <w:rsid w:val="008F00AE"/>
    <w:rsid w:val="008F0B75"/>
    <w:rsid w:val="008F1447"/>
    <w:rsid w:val="00903285"/>
    <w:rsid w:val="00906F40"/>
    <w:rsid w:val="0090731E"/>
    <w:rsid w:val="00915B1C"/>
    <w:rsid w:val="00916581"/>
    <w:rsid w:val="0091705D"/>
    <w:rsid w:val="009174F3"/>
    <w:rsid w:val="0091797D"/>
    <w:rsid w:val="0092125E"/>
    <w:rsid w:val="00922E72"/>
    <w:rsid w:val="00923CBA"/>
    <w:rsid w:val="00923CCC"/>
    <w:rsid w:val="00924EA7"/>
    <w:rsid w:val="00925C02"/>
    <w:rsid w:val="0092631C"/>
    <w:rsid w:val="00926703"/>
    <w:rsid w:val="00927691"/>
    <w:rsid w:val="00927A5F"/>
    <w:rsid w:val="009305A7"/>
    <w:rsid w:val="00931AFB"/>
    <w:rsid w:val="00933187"/>
    <w:rsid w:val="009338FA"/>
    <w:rsid w:val="00933FDB"/>
    <w:rsid w:val="009341FD"/>
    <w:rsid w:val="00935B63"/>
    <w:rsid w:val="0094022B"/>
    <w:rsid w:val="0094078F"/>
    <w:rsid w:val="00940FA3"/>
    <w:rsid w:val="00941FB0"/>
    <w:rsid w:val="009426D4"/>
    <w:rsid w:val="00943052"/>
    <w:rsid w:val="00944AD0"/>
    <w:rsid w:val="00946E40"/>
    <w:rsid w:val="00947F25"/>
    <w:rsid w:val="00950159"/>
    <w:rsid w:val="00950558"/>
    <w:rsid w:val="0095316D"/>
    <w:rsid w:val="0095490B"/>
    <w:rsid w:val="00954B2A"/>
    <w:rsid w:val="00955722"/>
    <w:rsid w:val="0095673C"/>
    <w:rsid w:val="0095775C"/>
    <w:rsid w:val="00960A33"/>
    <w:rsid w:val="00962575"/>
    <w:rsid w:val="009666DC"/>
    <w:rsid w:val="00971488"/>
    <w:rsid w:val="00971914"/>
    <w:rsid w:val="009742F2"/>
    <w:rsid w:val="00974363"/>
    <w:rsid w:val="009814EA"/>
    <w:rsid w:val="00981898"/>
    <w:rsid w:val="00981AD6"/>
    <w:rsid w:val="009858EA"/>
    <w:rsid w:val="00985ED9"/>
    <w:rsid w:val="00985F76"/>
    <w:rsid w:val="009875CB"/>
    <w:rsid w:val="00994080"/>
    <w:rsid w:val="00994BC3"/>
    <w:rsid w:val="00994D36"/>
    <w:rsid w:val="00995749"/>
    <w:rsid w:val="0099577C"/>
    <w:rsid w:val="00997458"/>
    <w:rsid w:val="009A034F"/>
    <w:rsid w:val="009A3991"/>
    <w:rsid w:val="009A5C31"/>
    <w:rsid w:val="009A7CC2"/>
    <w:rsid w:val="009B0A8C"/>
    <w:rsid w:val="009B1DCA"/>
    <w:rsid w:val="009B2601"/>
    <w:rsid w:val="009B3518"/>
    <w:rsid w:val="009B4A77"/>
    <w:rsid w:val="009B4E9E"/>
    <w:rsid w:val="009C1690"/>
    <w:rsid w:val="009C2087"/>
    <w:rsid w:val="009C6881"/>
    <w:rsid w:val="009C7759"/>
    <w:rsid w:val="009C7DD1"/>
    <w:rsid w:val="009D043D"/>
    <w:rsid w:val="009D07C8"/>
    <w:rsid w:val="009D2BA0"/>
    <w:rsid w:val="009D32F0"/>
    <w:rsid w:val="009D39AD"/>
    <w:rsid w:val="009D610F"/>
    <w:rsid w:val="009D6C71"/>
    <w:rsid w:val="009E0631"/>
    <w:rsid w:val="009E16D0"/>
    <w:rsid w:val="009E2AF9"/>
    <w:rsid w:val="009E3023"/>
    <w:rsid w:val="009E38FD"/>
    <w:rsid w:val="009E3B9A"/>
    <w:rsid w:val="009E4123"/>
    <w:rsid w:val="009E4B8B"/>
    <w:rsid w:val="009E7C00"/>
    <w:rsid w:val="009F13D6"/>
    <w:rsid w:val="009F1574"/>
    <w:rsid w:val="009F4C6B"/>
    <w:rsid w:val="009F74C5"/>
    <w:rsid w:val="009F78A8"/>
    <w:rsid w:val="009F7BF5"/>
    <w:rsid w:val="00A02AD6"/>
    <w:rsid w:val="00A047AF"/>
    <w:rsid w:val="00A05842"/>
    <w:rsid w:val="00A05BD3"/>
    <w:rsid w:val="00A05C17"/>
    <w:rsid w:val="00A0649F"/>
    <w:rsid w:val="00A07096"/>
    <w:rsid w:val="00A07198"/>
    <w:rsid w:val="00A07318"/>
    <w:rsid w:val="00A10B78"/>
    <w:rsid w:val="00A11370"/>
    <w:rsid w:val="00A141CD"/>
    <w:rsid w:val="00A16E93"/>
    <w:rsid w:val="00A179BA"/>
    <w:rsid w:val="00A224CE"/>
    <w:rsid w:val="00A22522"/>
    <w:rsid w:val="00A24AFD"/>
    <w:rsid w:val="00A24F5C"/>
    <w:rsid w:val="00A30C8A"/>
    <w:rsid w:val="00A32698"/>
    <w:rsid w:val="00A32F96"/>
    <w:rsid w:val="00A32FD7"/>
    <w:rsid w:val="00A34BA6"/>
    <w:rsid w:val="00A36274"/>
    <w:rsid w:val="00A40040"/>
    <w:rsid w:val="00A403A4"/>
    <w:rsid w:val="00A40871"/>
    <w:rsid w:val="00A40933"/>
    <w:rsid w:val="00A412AB"/>
    <w:rsid w:val="00A4193E"/>
    <w:rsid w:val="00A4272F"/>
    <w:rsid w:val="00A438C6"/>
    <w:rsid w:val="00A43F95"/>
    <w:rsid w:val="00A440E0"/>
    <w:rsid w:val="00A442EF"/>
    <w:rsid w:val="00A4587A"/>
    <w:rsid w:val="00A45A31"/>
    <w:rsid w:val="00A50D1C"/>
    <w:rsid w:val="00A51D1A"/>
    <w:rsid w:val="00A52932"/>
    <w:rsid w:val="00A5404A"/>
    <w:rsid w:val="00A5418D"/>
    <w:rsid w:val="00A5474E"/>
    <w:rsid w:val="00A56562"/>
    <w:rsid w:val="00A63555"/>
    <w:rsid w:val="00A64234"/>
    <w:rsid w:val="00A7026A"/>
    <w:rsid w:val="00A7063A"/>
    <w:rsid w:val="00A70ADF"/>
    <w:rsid w:val="00A70DBB"/>
    <w:rsid w:val="00A71466"/>
    <w:rsid w:val="00A7238B"/>
    <w:rsid w:val="00A74B5E"/>
    <w:rsid w:val="00A75E6C"/>
    <w:rsid w:val="00A75EF5"/>
    <w:rsid w:val="00A7660E"/>
    <w:rsid w:val="00A81BED"/>
    <w:rsid w:val="00A81BF6"/>
    <w:rsid w:val="00A81C5B"/>
    <w:rsid w:val="00A81EC4"/>
    <w:rsid w:val="00A831D2"/>
    <w:rsid w:val="00A86AF2"/>
    <w:rsid w:val="00A86E7A"/>
    <w:rsid w:val="00A910F9"/>
    <w:rsid w:val="00A91199"/>
    <w:rsid w:val="00A911F2"/>
    <w:rsid w:val="00A931A4"/>
    <w:rsid w:val="00A9407B"/>
    <w:rsid w:val="00A9489A"/>
    <w:rsid w:val="00A967FD"/>
    <w:rsid w:val="00AA2B80"/>
    <w:rsid w:val="00AA2CB7"/>
    <w:rsid w:val="00AA4F70"/>
    <w:rsid w:val="00AA7F29"/>
    <w:rsid w:val="00AB028D"/>
    <w:rsid w:val="00AB156C"/>
    <w:rsid w:val="00AB6814"/>
    <w:rsid w:val="00AB68E3"/>
    <w:rsid w:val="00AC04BA"/>
    <w:rsid w:val="00AC05ED"/>
    <w:rsid w:val="00AC0E39"/>
    <w:rsid w:val="00AC3D46"/>
    <w:rsid w:val="00AC56F0"/>
    <w:rsid w:val="00AC638E"/>
    <w:rsid w:val="00AC6EF2"/>
    <w:rsid w:val="00AD12F5"/>
    <w:rsid w:val="00AD14A3"/>
    <w:rsid w:val="00AD3082"/>
    <w:rsid w:val="00AD32B4"/>
    <w:rsid w:val="00AD4AD0"/>
    <w:rsid w:val="00AD5436"/>
    <w:rsid w:val="00AD60CD"/>
    <w:rsid w:val="00AD6C8C"/>
    <w:rsid w:val="00AE091D"/>
    <w:rsid w:val="00AE0EA9"/>
    <w:rsid w:val="00AE15B9"/>
    <w:rsid w:val="00AE3B60"/>
    <w:rsid w:val="00AE3D29"/>
    <w:rsid w:val="00AE53A1"/>
    <w:rsid w:val="00AE7CEF"/>
    <w:rsid w:val="00AF1896"/>
    <w:rsid w:val="00AF2484"/>
    <w:rsid w:val="00AF63E7"/>
    <w:rsid w:val="00AF6BD4"/>
    <w:rsid w:val="00AF6E17"/>
    <w:rsid w:val="00B0090C"/>
    <w:rsid w:val="00B0165D"/>
    <w:rsid w:val="00B01B60"/>
    <w:rsid w:val="00B031F3"/>
    <w:rsid w:val="00B0462A"/>
    <w:rsid w:val="00B05249"/>
    <w:rsid w:val="00B052A4"/>
    <w:rsid w:val="00B066B3"/>
    <w:rsid w:val="00B073C8"/>
    <w:rsid w:val="00B125DE"/>
    <w:rsid w:val="00B12DB2"/>
    <w:rsid w:val="00B13FDD"/>
    <w:rsid w:val="00B175AC"/>
    <w:rsid w:val="00B22C52"/>
    <w:rsid w:val="00B22C85"/>
    <w:rsid w:val="00B22EB2"/>
    <w:rsid w:val="00B264DB"/>
    <w:rsid w:val="00B27442"/>
    <w:rsid w:val="00B27A63"/>
    <w:rsid w:val="00B307F7"/>
    <w:rsid w:val="00B31167"/>
    <w:rsid w:val="00B329D8"/>
    <w:rsid w:val="00B32BB9"/>
    <w:rsid w:val="00B334DD"/>
    <w:rsid w:val="00B33AE1"/>
    <w:rsid w:val="00B3546D"/>
    <w:rsid w:val="00B37527"/>
    <w:rsid w:val="00B37896"/>
    <w:rsid w:val="00B37C38"/>
    <w:rsid w:val="00B401E4"/>
    <w:rsid w:val="00B4288C"/>
    <w:rsid w:val="00B428BA"/>
    <w:rsid w:val="00B42F81"/>
    <w:rsid w:val="00B43262"/>
    <w:rsid w:val="00B43A09"/>
    <w:rsid w:val="00B44100"/>
    <w:rsid w:val="00B46CBA"/>
    <w:rsid w:val="00B46F94"/>
    <w:rsid w:val="00B473EC"/>
    <w:rsid w:val="00B47FA4"/>
    <w:rsid w:val="00B52ED7"/>
    <w:rsid w:val="00B56EFB"/>
    <w:rsid w:val="00B57DFA"/>
    <w:rsid w:val="00B6003C"/>
    <w:rsid w:val="00B60ECF"/>
    <w:rsid w:val="00B611F5"/>
    <w:rsid w:val="00B61F03"/>
    <w:rsid w:val="00B626E4"/>
    <w:rsid w:val="00B63A49"/>
    <w:rsid w:val="00B7030F"/>
    <w:rsid w:val="00B7042A"/>
    <w:rsid w:val="00B71ED2"/>
    <w:rsid w:val="00B72F4A"/>
    <w:rsid w:val="00B732E3"/>
    <w:rsid w:val="00B7372D"/>
    <w:rsid w:val="00B73A11"/>
    <w:rsid w:val="00B75003"/>
    <w:rsid w:val="00B75D19"/>
    <w:rsid w:val="00B76E85"/>
    <w:rsid w:val="00B81B6C"/>
    <w:rsid w:val="00B8200F"/>
    <w:rsid w:val="00B8373A"/>
    <w:rsid w:val="00B83780"/>
    <w:rsid w:val="00B83C27"/>
    <w:rsid w:val="00B83D88"/>
    <w:rsid w:val="00B846FC"/>
    <w:rsid w:val="00B84BC3"/>
    <w:rsid w:val="00B84BDD"/>
    <w:rsid w:val="00B84EDF"/>
    <w:rsid w:val="00B85688"/>
    <w:rsid w:val="00B8615B"/>
    <w:rsid w:val="00B87882"/>
    <w:rsid w:val="00B87E39"/>
    <w:rsid w:val="00B923BF"/>
    <w:rsid w:val="00B92812"/>
    <w:rsid w:val="00B942B4"/>
    <w:rsid w:val="00B951C4"/>
    <w:rsid w:val="00B96BF7"/>
    <w:rsid w:val="00BA3B46"/>
    <w:rsid w:val="00BA4996"/>
    <w:rsid w:val="00BA6660"/>
    <w:rsid w:val="00BA77E9"/>
    <w:rsid w:val="00BA79BC"/>
    <w:rsid w:val="00BB2487"/>
    <w:rsid w:val="00BB2C9E"/>
    <w:rsid w:val="00BB346F"/>
    <w:rsid w:val="00BB45A1"/>
    <w:rsid w:val="00BB4650"/>
    <w:rsid w:val="00BB4C1B"/>
    <w:rsid w:val="00BB7686"/>
    <w:rsid w:val="00BC23F9"/>
    <w:rsid w:val="00BC3421"/>
    <w:rsid w:val="00BC5E12"/>
    <w:rsid w:val="00BC6812"/>
    <w:rsid w:val="00BC71F8"/>
    <w:rsid w:val="00BC732C"/>
    <w:rsid w:val="00BD0580"/>
    <w:rsid w:val="00BD4BEC"/>
    <w:rsid w:val="00BD65D6"/>
    <w:rsid w:val="00BD6F85"/>
    <w:rsid w:val="00BE0EB8"/>
    <w:rsid w:val="00BE0F38"/>
    <w:rsid w:val="00BE21A0"/>
    <w:rsid w:val="00BE2580"/>
    <w:rsid w:val="00BE266D"/>
    <w:rsid w:val="00BE3509"/>
    <w:rsid w:val="00BE3938"/>
    <w:rsid w:val="00BE4224"/>
    <w:rsid w:val="00BE4C11"/>
    <w:rsid w:val="00BE642A"/>
    <w:rsid w:val="00BE71C0"/>
    <w:rsid w:val="00BF1B32"/>
    <w:rsid w:val="00BF1B5A"/>
    <w:rsid w:val="00BF32E6"/>
    <w:rsid w:val="00BF5751"/>
    <w:rsid w:val="00BF610C"/>
    <w:rsid w:val="00C0060B"/>
    <w:rsid w:val="00C024AC"/>
    <w:rsid w:val="00C0277D"/>
    <w:rsid w:val="00C03377"/>
    <w:rsid w:val="00C03CDA"/>
    <w:rsid w:val="00C04402"/>
    <w:rsid w:val="00C053A1"/>
    <w:rsid w:val="00C0799E"/>
    <w:rsid w:val="00C1388E"/>
    <w:rsid w:val="00C13C57"/>
    <w:rsid w:val="00C14D4D"/>
    <w:rsid w:val="00C16198"/>
    <w:rsid w:val="00C2055B"/>
    <w:rsid w:val="00C2083D"/>
    <w:rsid w:val="00C210C2"/>
    <w:rsid w:val="00C23697"/>
    <w:rsid w:val="00C24A53"/>
    <w:rsid w:val="00C2585D"/>
    <w:rsid w:val="00C34A05"/>
    <w:rsid w:val="00C3519E"/>
    <w:rsid w:val="00C372A7"/>
    <w:rsid w:val="00C400E1"/>
    <w:rsid w:val="00C4032F"/>
    <w:rsid w:val="00C4081B"/>
    <w:rsid w:val="00C40C0A"/>
    <w:rsid w:val="00C44047"/>
    <w:rsid w:val="00C45155"/>
    <w:rsid w:val="00C53C17"/>
    <w:rsid w:val="00C5498F"/>
    <w:rsid w:val="00C55235"/>
    <w:rsid w:val="00C55970"/>
    <w:rsid w:val="00C55D57"/>
    <w:rsid w:val="00C562A2"/>
    <w:rsid w:val="00C5681F"/>
    <w:rsid w:val="00C569C8"/>
    <w:rsid w:val="00C5726A"/>
    <w:rsid w:val="00C63E36"/>
    <w:rsid w:val="00C64CD0"/>
    <w:rsid w:val="00C64FB3"/>
    <w:rsid w:val="00C65760"/>
    <w:rsid w:val="00C65D3B"/>
    <w:rsid w:val="00C6611D"/>
    <w:rsid w:val="00C6684F"/>
    <w:rsid w:val="00C677EB"/>
    <w:rsid w:val="00C678F3"/>
    <w:rsid w:val="00C70E70"/>
    <w:rsid w:val="00C70F6D"/>
    <w:rsid w:val="00C71AD9"/>
    <w:rsid w:val="00C7560C"/>
    <w:rsid w:val="00C75DC9"/>
    <w:rsid w:val="00C75DE2"/>
    <w:rsid w:val="00C75F8D"/>
    <w:rsid w:val="00C77380"/>
    <w:rsid w:val="00C81F44"/>
    <w:rsid w:val="00C83054"/>
    <w:rsid w:val="00C8449C"/>
    <w:rsid w:val="00C84773"/>
    <w:rsid w:val="00C9124E"/>
    <w:rsid w:val="00C922E1"/>
    <w:rsid w:val="00C925E3"/>
    <w:rsid w:val="00C931C6"/>
    <w:rsid w:val="00C943FC"/>
    <w:rsid w:val="00C95941"/>
    <w:rsid w:val="00C95C3E"/>
    <w:rsid w:val="00C9651F"/>
    <w:rsid w:val="00C97578"/>
    <w:rsid w:val="00C97736"/>
    <w:rsid w:val="00CA0412"/>
    <w:rsid w:val="00CA12E4"/>
    <w:rsid w:val="00CA288D"/>
    <w:rsid w:val="00CA345A"/>
    <w:rsid w:val="00CA4AB8"/>
    <w:rsid w:val="00CA571F"/>
    <w:rsid w:val="00CA7968"/>
    <w:rsid w:val="00CB1E82"/>
    <w:rsid w:val="00CB392E"/>
    <w:rsid w:val="00CB4BA8"/>
    <w:rsid w:val="00CB5070"/>
    <w:rsid w:val="00CB52D7"/>
    <w:rsid w:val="00CB6486"/>
    <w:rsid w:val="00CB67BF"/>
    <w:rsid w:val="00CC008D"/>
    <w:rsid w:val="00CC6732"/>
    <w:rsid w:val="00CC6FFA"/>
    <w:rsid w:val="00CC7565"/>
    <w:rsid w:val="00CC7687"/>
    <w:rsid w:val="00CD2CA7"/>
    <w:rsid w:val="00CD4B45"/>
    <w:rsid w:val="00CE1675"/>
    <w:rsid w:val="00CE17AB"/>
    <w:rsid w:val="00CE3C96"/>
    <w:rsid w:val="00CE51A8"/>
    <w:rsid w:val="00CE5A88"/>
    <w:rsid w:val="00CE5B2E"/>
    <w:rsid w:val="00CE684D"/>
    <w:rsid w:val="00CE6F81"/>
    <w:rsid w:val="00CF369B"/>
    <w:rsid w:val="00CF4146"/>
    <w:rsid w:val="00CF660C"/>
    <w:rsid w:val="00CF6911"/>
    <w:rsid w:val="00CF78D6"/>
    <w:rsid w:val="00D0095C"/>
    <w:rsid w:val="00D00E28"/>
    <w:rsid w:val="00D0269E"/>
    <w:rsid w:val="00D026D9"/>
    <w:rsid w:val="00D02C6E"/>
    <w:rsid w:val="00D036F9"/>
    <w:rsid w:val="00D03C57"/>
    <w:rsid w:val="00D04131"/>
    <w:rsid w:val="00D05D6C"/>
    <w:rsid w:val="00D06765"/>
    <w:rsid w:val="00D070F5"/>
    <w:rsid w:val="00D11E35"/>
    <w:rsid w:val="00D1241C"/>
    <w:rsid w:val="00D1376B"/>
    <w:rsid w:val="00D15810"/>
    <w:rsid w:val="00D1592D"/>
    <w:rsid w:val="00D16D4E"/>
    <w:rsid w:val="00D16FE3"/>
    <w:rsid w:val="00D1715F"/>
    <w:rsid w:val="00D22F94"/>
    <w:rsid w:val="00D23602"/>
    <w:rsid w:val="00D23D3E"/>
    <w:rsid w:val="00D24C44"/>
    <w:rsid w:val="00D24F71"/>
    <w:rsid w:val="00D268A0"/>
    <w:rsid w:val="00D27F41"/>
    <w:rsid w:val="00D313D1"/>
    <w:rsid w:val="00D32D3C"/>
    <w:rsid w:val="00D33CC3"/>
    <w:rsid w:val="00D33DE9"/>
    <w:rsid w:val="00D35053"/>
    <w:rsid w:val="00D361E4"/>
    <w:rsid w:val="00D36441"/>
    <w:rsid w:val="00D37C1D"/>
    <w:rsid w:val="00D4064E"/>
    <w:rsid w:val="00D40B04"/>
    <w:rsid w:val="00D42BF6"/>
    <w:rsid w:val="00D43F7E"/>
    <w:rsid w:val="00D441A5"/>
    <w:rsid w:val="00D44E9B"/>
    <w:rsid w:val="00D470AF"/>
    <w:rsid w:val="00D47AEB"/>
    <w:rsid w:val="00D50DB9"/>
    <w:rsid w:val="00D51302"/>
    <w:rsid w:val="00D52C43"/>
    <w:rsid w:val="00D52D29"/>
    <w:rsid w:val="00D537FE"/>
    <w:rsid w:val="00D54A85"/>
    <w:rsid w:val="00D558E6"/>
    <w:rsid w:val="00D565B4"/>
    <w:rsid w:val="00D57D2E"/>
    <w:rsid w:val="00D6004F"/>
    <w:rsid w:val="00D6467E"/>
    <w:rsid w:val="00D6507F"/>
    <w:rsid w:val="00D65CEC"/>
    <w:rsid w:val="00D730BC"/>
    <w:rsid w:val="00D73558"/>
    <w:rsid w:val="00D73912"/>
    <w:rsid w:val="00D74FC8"/>
    <w:rsid w:val="00D760EE"/>
    <w:rsid w:val="00D766B1"/>
    <w:rsid w:val="00D820EB"/>
    <w:rsid w:val="00D82ED7"/>
    <w:rsid w:val="00D8312F"/>
    <w:rsid w:val="00D851D9"/>
    <w:rsid w:val="00D85226"/>
    <w:rsid w:val="00D85E64"/>
    <w:rsid w:val="00D87B94"/>
    <w:rsid w:val="00D9128D"/>
    <w:rsid w:val="00D919B9"/>
    <w:rsid w:val="00D92D49"/>
    <w:rsid w:val="00D92EC1"/>
    <w:rsid w:val="00D944C1"/>
    <w:rsid w:val="00D953AE"/>
    <w:rsid w:val="00D96DEA"/>
    <w:rsid w:val="00D97946"/>
    <w:rsid w:val="00DA2243"/>
    <w:rsid w:val="00DA2F33"/>
    <w:rsid w:val="00DA357F"/>
    <w:rsid w:val="00DA4724"/>
    <w:rsid w:val="00DA4E41"/>
    <w:rsid w:val="00DB0D18"/>
    <w:rsid w:val="00DB10B8"/>
    <w:rsid w:val="00DB117A"/>
    <w:rsid w:val="00DB5173"/>
    <w:rsid w:val="00DB7873"/>
    <w:rsid w:val="00DC187B"/>
    <w:rsid w:val="00DC49DF"/>
    <w:rsid w:val="00DC5BF7"/>
    <w:rsid w:val="00DC79EC"/>
    <w:rsid w:val="00DD4A7E"/>
    <w:rsid w:val="00DD728E"/>
    <w:rsid w:val="00DD73C2"/>
    <w:rsid w:val="00DD7CD5"/>
    <w:rsid w:val="00DE0F3F"/>
    <w:rsid w:val="00DE250A"/>
    <w:rsid w:val="00DE319B"/>
    <w:rsid w:val="00DE6357"/>
    <w:rsid w:val="00DE6BE7"/>
    <w:rsid w:val="00DE7456"/>
    <w:rsid w:val="00DE7F5B"/>
    <w:rsid w:val="00DF22E1"/>
    <w:rsid w:val="00DF2C45"/>
    <w:rsid w:val="00DF34FE"/>
    <w:rsid w:val="00DF375C"/>
    <w:rsid w:val="00DF56AA"/>
    <w:rsid w:val="00DF56AF"/>
    <w:rsid w:val="00DF78E7"/>
    <w:rsid w:val="00E01475"/>
    <w:rsid w:val="00E01A6F"/>
    <w:rsid w:val="00E023AA"/>
    <w:rsid w:val="00E047AA"/>
    <w:rsid w:val="00E06C0A"/>
    <w:rsid w:val="00E10669"/>
    <w:rsid w:val="00E110E0"/>
    <w:rsid w:val="00E11459"/>
    <w:rsid w:val="00E15371"/>
    <w:rsid w:val="00E16213"/>
    <w:rsid w:val="00E16E37"/>
    <w:rsid w:val="00E208B6"/>
    <w:rsid w:val="00E21E35"/>
    <w:rsid w:val="00E22746"/>
    <w:rsid w:val="00E22777"/>
    <w:rsid w:val="00E24104"/>
    <w:rsid w:val="00E24D11"/>
    <w:rsid w:val="00E254D8"/>
    <w:rsid w:val="00E3011D"/>
    <w:rsid w:val="00E302D0"/>
    <w:rsid w:val="00E32D75"/>
    <w:rsid w:val="00E35707"/>
    <w:rsid w:val="00E36AA1"/>
    <w:rsid w:val="00E4111C"/>
    <w:rsid w:val="00E41ECB"/>
    <w:rsid w:val="00E4395A"/>
    <w:rsid w:val="00E43F49"/>
    <w:rsid w:val="00E454D8"/>
    <w:rsid w:val="00E47071"/>
    <w:rsid w:val="00E5001B"/>
    <w:rsid w:val="00E51A1E"/>
    <w:rsid w:val="00E51F4F"/>
    <w:rsid w:val="00E54FDB"/>
    <w:rsid w:val="00E5617D"/>
    <w:rsid w:val="00E563D7"/>
    <w:rsid w:val="00E5718D"/>
    <w:rsid w:val="00E6012B"/>
    <w:rsid w:val="00E63913"/>
    <w:rsid w:val="00E63E65"/>
    <w:rsid w:val="00E63F19"/>
    <w:rsid w:val="00E660A1"/>
    <w:rsid w:val="00E663F4"/>
    <w:rsid w:val="00E666F2"/>
    <w:rsid w:val="00E66DD4"/>
    <w:rsid w:val="00E6758E"/>
    <w:rsid w:val="00E71166"/>
    <w:rsid w:val="00E71729"/>
    <w:rsid w:val="00E721FF"/>
    <w:rsid w:val="00E72C44"/>
    <w:rsid w:val="00E748CC"/>
    <w:rsid w:val="00E75415"/>
    <w:rsid w:val="00E75802"/>
    <w:rsid w:val="00E775B1"/>
    <w:rsid w:val="00E8152A"/>
    <w:rsid w:val="00E846A4"/>
    <w:rsid w:val="00E85981"/>
    <w:rsid w:val="00E92F4C"/>
    <w:rsid w:val="00E9320C"/>
    <w:rsid w:val="00E93629"/>
    <w:rsid w:val="00E937F9"/>
    <w:rsid w:val="00E93B5C"/>
    <w:rsid w:val="00E93F8F"/>
    <w:rsid w:val="00E942D3"/>
    <w:rsid w:val="00E94CEC"/>
    <w:rsid w:val="00E96047"/>
    <w:rsid w:val="00E97683"/>
    <w:rsid w:val="00E97CC3"/>
    <w:rsid w:val="00EA0470"/>
    <w:rsid w:val="00EA04EF"/>
    <w:rsid w:val="00EA235D"/>
    <w:rsid w:val="00EA24BC"/>
    <w:rsid w:val="00EA4213"/>
    <w:rsid w:val="00EA6E88"/>
    <w:rsid w:val="00EA6F19"/>
    <w:rsid w:val="00EA70AA"/>
    <w:rsid w:val="00EB2114"/>
    <w:rsid w:val="00EB3159"/>
    <w:rsid w:val="00EB499B"/>
    <w:rsid w:val="00EB4FB7"/>
    <w:rsid w:val="00EB5716"/>
    <w:rsid w:val="00EB5886"/>
    <w:rsid w:val="00EB5E3B"/>
    <w:rsid w:val="00EB6261"/>
    <w:rsid w:val="00EB6CC9"/>
    <w:rsid w:val="00EB6E88"/>
    <w:rsid w:val="00EB6EBA"/>
    <w:rsid w:val="00EB7090"/>
    <w:rsid w:val="00EB78A0"/>
    <w:rsid w:val="00EC01A5"/>
    <w:rsid w:val="00EC1BBE"/>
    <w:rsid w:val="00EC5151"/>
    <w:rsid w:val="00EC55C5"/>
    <w:rsid w:val="00EC5CD7"/>
    <w:rsid w:val="00ED25F0"/>
    <w:rsid w:val="00ED66D5"/>
    <w:rsid w:val="00ED7B2A"/>
    <w:rsid w:val="00EE267F"/>
    <w:rsid w:val="00EE5FB3"/>
    <w:rsid w:val="00EE7F79"/>
    <w:rsid w:val="00EF3E23"/>
    <w:rsid w:val="00EF58F9"/>
    <w:rsid w:val="00EF6355"/>
    <w:rsid w:val="00EF64EC"/>
    <w:rsid w:val="00EF715A"/>
    <w:rsid w:val="00F00E88"/>
    <w:rsid w:val="00F01239"/>
    <w:rsid w:val="00F01987"/>
    <w:rsid w:val="00F0650D"/>
    <w:rsid w:val="00F06E14"/>
    <w:rsid w:val="00F107C2"/>
    <w:rsid w:val="00F122BB"/>
    <w:rsid w:val="00F14B44"/>
    <w:rsid w:val="00F15746"/>
    <w:rsid w:val="00F15A51"/>
    <w:rsid w:val="00F15B8F"/>
    <w:rsid w:val="00F16D75"/>
    <w:rsid w:val="00F179D4"/>
    <w:rsid w:val="00F20C11"/>
    <w:rsid w:val="00F233F2"/>
    <w:rsid w:val="00F2390E"/>
    <w:rsid w:val="00F246C6"/>
    <w:rsid w:val="00F33C56"/>
    <w:rsid w:val="00F345E9"/>
    <w:rsid w:val="00F347C7"/>
    <w:rsid w:val="00F34848"/>
    <w:rsid w:val="00F34B89"/>
    <w:rsid w:val="00F4113B"/>
    <w:rsid w:val="00F42D46"/>
    <w:rsid w:val="00F44819"/>
    <w:rsid w:val="00F4496C"/>
    <w:rsid w:val="00F44F3A"/>
    <w:rsid w:val="00F45859"/>
    <w:rsid w:val="00F45BE3"/>
    <w:rsid w:val="00F461C5"/>
    <w:rsid w:val="00F46878"/>
    <w:rsid w:val="00F47255"/>
    <w:rsid w:val="00F47467"/>
    <w:rsid w:val="00F47CB4"/>
    <w:rsid w:val="00F50259"/>
    <w:rsid w:val="00F519C2"/>
    <w:rsid w:val="00F51F10"/>
    <w:rsid w:val="00F52412"/>
    <w:rsid w:val="00F529A5"/>
    <w:rsid w:val="00F53B24"/>
    <w:rsid w:val="00F53D98"/>
    <w:rsid w:val="00F53F40"/>
    <w:rsid w:val="00F562F6"/>
    <w:rsid w:val="00F60DAA"/>
    <w:rsid w:val="00F60F00"/>
    <w:rsid w:val="00F614C0"/>
    <w:rsid w:val="00F61E16"/>
    <w:rsid w:val="00F724C0"/>
    <w:rsid w:val="00F72DBC"/>
    <w:rsid w:val="00F7392A"/>
    <w:rsid w:val="00F74DC3"/>
    <w:rsid w:val="00F779B3"/>
    <w:rsid w:val="00F80250"/>
    <w:rsid w:val="00F81896"/>
    <w:rsid w:val="00F83848"/>
    <w:rsid w:val="00F91EAB"/>
    <w:rsid w:val="00F9391E"/>
    <w:rsid w:val="00F975E9"/>
    <w:rsid w:val="00FA1B7D"/>
    <w:rsid w:val="00FA7C0D"/>
    <w:rsid w:val="00FB2DD2"/>
    <w:rsid w:val="00FB3EEB"/>
    <w:rsid w:val="00FB49E0"/>
    <w:rsid w:val="00FB4F54"/>
    <w:rsid w:val="00FB511E"/>
    <w:rsid w:val="00FB518D"/>
    <w:rsid w:val="00FB678C"/>
    <w:rsid w:val="00FB6BBC"/>
    <w:rsid w:val="00FC01A5"/>
    <w:rsid w:val="00FC07B9"/>
    <w:rsid w:val="00FC091F"/>
    <w:rsid w:val="00FC4E21"/>
    <w:rsid w:val="00FC5F6D"/>
    <w:rsid w:val="00FC756E"/>
    <w:rsid w:val="00FC7655"/>
    <w:rsid w:val="00FD0107"/>
    <w:rsid w:val="00FD0227"/>
    <w:rsid w:val="00FD1878"/>
    <w:rsid w:val="00FD2C2F"/>
    <w:rsid w:val="00FD2E18"/>
    <w:rsid w:val="00FD300F"/>
    <w:rsid w:val="00FD32FB"/>
    <w:rsid w:val="00FD38A5"/>
    <w:rsid w:val="00FD3B31"/>
    <w:rsid w:val="00FD3D9A"/>
    <w:rsid w:val="00FD4976"/>
    <w:rsid w:val="00FD5179"/>
    <w:rsid w:val="00FD662E"/>
    <w:rsid w:val="00FD718A"/>
    <w:rsid w:val="00FD7FE4"/>
    <w:rsid w:val="00FE1823"/>
    <w:rsid w:val="00FE487A"/>
    <w:rsid w:val="00FE640F"/>
    <w:rsid w:val="00FE6B48"/>
    <w:rsid w:val="00FF0569"/>
    <w:rsid w:val="00FF08FC"/>
    <w:rsid w:val="00FF206E"/>
    <w:rsid w:val="00FF250B"/>
    <w:rsid w:val="00FF2E82"/>
    <w:rsid w:val="00FF3C69"/>
    <w:rsid w:val="00FF4143"/>
    <w:rsid w:val="00FF4173"/>
    <w:rsid w:val="00FF49AD"/>
    <w:rsid w:val="00FF510C"/>
    <w:rsid w:val="00FF6154"/>
    <w:rsid w:val="00FF6E0A"/>
    <w:rsid w:val="6CAC7D17"/>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351F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122FB0"/>
    <w:pPr>
      <w:keepNext/>
      <w:widowControl w:val="0"/>
      <w:numPr>
        <w:numId w:val="14"/>
      </w:numPr>
      <w:spacing w:after="120" w:line="240" w:lineRule="auto"/>
      <w:outlineLvl w:val="0"/>
    </w:pPr>
    <w:rPr>
      <w:rFonts w:cs="Arial"/>
      <w:b/>
      <w:bCs/>
      <w:color w:val="0D0D0D" w:themeColor="text1" w:themeTint="F2"/>
      <w:kern w:val="32"/>
      <w:sz w:val="36"/>
      <w:szCs w:val="32"/>
    </w:rPr>
  </w:style>
  <w:style w:type="paragraph" w:styleId="Heading2">
    <w:name w:val="heading 2"/>
    <w:basedOn w:val="Normal"/>
    <w:next w:val="Normal"/>
    <w:qFormat/>
    <w:rsid w:val="00A7063A"/>
    <w:pPr>
      <w:keepNext/>
      <w:numPr>
        <w:ilvl w:val="1"/>
        <w:numId w:val="14"/>
      </w:numPr>
      <w:spacing w:before="60" w:after="60"/>
      <w:outlineLvl w:val="1"/>
    </w:pPr>
    <w:rPr>
      <w:rFonts w:cs="Arial"/>
      <w:b/>
      <w:bCs/>
      <w:iCs/>
      <w:sz w:val="28"/>
      <w:szCs w:val="28"/>
    </w:rPr>
  </w:style>
  <w:style w:type="paragraph" w:styleId="Heading3">
    <w:name w:val="heading 3"/>
    <w:basedOn w:val="Normal"/>
    <w:next w:val="Normal"/>
    <w:qFormat/>
    <w:rsid w:val="00A7063A"/>
    <w:pPr>
      <w:keepNext/>
      <w:numPr>
        <w:ilvl w:val="2"/>
        <w:numId w:val="14"/>
      </w:numPr>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14"/>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14"/>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14"/>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14"/>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14"/>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0">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8"/>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aliases w:val="ACMA List Bullet 1,List Bullet 1"/>
    <w:basedOn w:val="Normal"/>
    <w:link w:val="ListBulletChar"/>
    <w:qFormat/>
    <w:rsid w:val="001C6AEE"/>
    <w:pPr>
      <w:spacing w:after="80"/>
    </w:pPr>
  </w:style>
  <w:style w:type="paragraph" w:styleId="ListBullet2">
    <w:name w:val="List Bullet 2"/>
    <w:basedOn w:val="Normal"/>
    <w:qFormat/>
    <w:rsid w:val="001C6AEE"/>
    <w:pPr>
      <w:spacing w:after="80"/>
    </w:pPr>
  </w:style>
  <w:style w:type="paragraph" w:styleId="ListNumber">
    <w:name w:val="List Number"/>
    <w:basedOn w:val="Normal"/>
    <w:qFormat/>
    <w:rsid w:val="00C24A53"/>
    <w:pPr>
      <w:numPr>
        <w:numId w:val="2"/>
      </w:numPr>
      <w:spacing w:after="80"/>
    </w:pPr>
  </w:style>
  <w:style w:type="paragraph" w:styleId="ListNumber2">
    <w:name w:val="List Number 2"/>
    <w:basedOn w:val="Normal"/>
    <w:qFormat/>
    <w:rsid w:val="00247C59"/>
    <w:pPr>
      <w:numPr>
        <w:numId w:val="3"/>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
    <w:basedOn w:val="DefaultParagraphFont"/>
    <w:rsid w:val="00566AB4"/>
    <w:rPr>
      <w:rFonts w:ascii="Arial" w:hAnsi="Arial"/>
      <w:vertAlign w:val="superscript"/>
    </w:rPr>
  </w:style>
  <w:style w:type="paragraph" w:styleId="FootnoteText">
    <w:name w:val="footnote text"/>
    <w:aliases w:val="ACMA Footnote Text,Footnote text,footnote text,Footnote Text Char1,Footnote Text Char Char,Footnote Text Char1 Char Char,Footnote Text Char Char Char Char,Footnote Text Char1 Char Char Char Char,Footnote Text Char Char Char Char Char Char"/>
    <w:basedOn w:val="Normal"/>
    <w:link w:val="FootnoteTextChar"/>
    <w:uiPriority w:val="23"/>
    <w:rsid w:val="00566AB4"/>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6"/>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5"/>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7"/>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uiPriority w:val="99"/>
    <w:rsid w:val="00971914"/>
    <w:rPr>
      <w:rFonts w:ascii="Arial" w:hAnsi="Arial"/>
      <w:sz w:val="16"/>
    </w:rPr>
  </w:style>
  <w:style w:type="paragraph" w:styleId="Revision">
    <w:name w:val="Revision"/>
    <w:hidden/>
    <w:semiHidden/>
    <w:rsid w:val="00232AAB"/>
    <w:rPr>
      <w:rFonts w:ascii="Arial" w:hAnsi="Arial"/>
      <w:sz w:val="20"/>
    </w:rPr>
  </w:style>
  <w:style w:type="paragraph" w:styleId="ListParagraph">
    <w:name w:val="List Paragraph"/>
    <w:basedOn w:val="Normal"/>
    <w:uiPriority w:val="34"/>
    <w:qFormat/>
    <w:rsid w:val="00872DFF"/>
    <w:pPr>
      <w:spacing w:after="0"/>
      <w:ind w:left="720"/>
      <w:contextualSpacing/>
    </w:pPr>
  </w:style>
  <w:style w:type="paragraph" w:customStyle="1" w:styleId="AppL1">
    <w:name w:val="AppL1"/>
    <w:basedOn w:val="Heading1"/>
    <w:next w:val="Normal"/>
    <w:link w:val="AppL1Char"/>
    <w:qFormat/>
    <w:rsid w:val="00122FB0"/>
    <w:pPr>
      <w:numPr>
        <w:numId w:val="13"/>
      </w:numPr>
      <w:spacing w:after="240"/>
    </w:pPr>
    <w:rPr>
      <w:b w:val="0"/>
    </w:rPr>
  </w:style>
  <w:style w:type="character" w:customStyle="1" w:styleId="AppL1Char">
    <w:name w:val="AppL1 Char"/>
    <w:basedOn w:val="DefaultParagraphFont"/>
    <w:link w:val="AppL1"/>
    <w:rsid w:val="00122FB0"/>
    <w:rPr>
      <w:rFonts w:ascii="Arial" w:hAnsi="Arial" w:cs="Arial"/>
      <w:bCs/>
      <w:color w:val="0D0D0D" w:themeColor="text1" w:themeTint="F2"/>
      <w:kern w:val="32"/>
      <w:sz w:val="36"/>
      <w:szCs w:val="32"/>
    </w:rPr>
  </w:style>
  <w:style w:type="paragraph" w:customStyle="1" w:styleId="AppL2">
    <w:name w:val="AppL2"/>
    <w:basedOn w:val="Heading2"/>
    <w:next w:val="Normal"/>
    <w:qFormat/>
    <w:rsid w:val="00872DFF"/>
    <w:pPr>
      <w:numPr>
        <w:numId w:val="13"/>
      </w:numPr>
    </w:pPr>
  </w:style>
  <w:style w:type="paragraph" w:customStyle="1" w:styleId="AppL3">
    <w:name w:val="AppL3"/>
    <w:basedOn w:val="Heading3"/>
    <w:next w:val="Normal"/>
    <w:qFormat/>
    <w:rsid w:val="00872DFF"/>
    <w:pPr>
      <w:numPr>
        <w:numId w:val="13"/>
      </w:numPr>
    </w:pPr>
    <w:rPr>
      <w:sz w:val="24"/>
    </w:rPr>
  </w:style>
  <w:style w:type="character" w:customStyle="1" w:styleId="FootnoteTextChar">
    <w:name w:val="Footnote Text Char"/>
    <w:aliases w:val="ACMA Footnote Text Char,Footnote text Char,footnote text Char,Footnote Text Char1 Char,Footnote Text Char Char Char,Footnote Text Char1 Char Char Char,Footnote Text Char Char Char Char Char,Footnote Text Char1 Char Char Char Char Char"/>
    <w:basedOn w:val="DefaultParagraphFont"/>
    <w:link w:val="FootnoteText"/>
    <w:uiPriority w:val="23"/>
    <w:qFormat/>
    <w:rsid w:val="00872DFF"/>
    <w:rPr>
      <w:rFonts w:ascii="Arial" w:hAnsi="Arial"/>
      <w:sz w:val="16"/>
      <w:szCs w:val="16"/>
    </w:rPr>
  </w:style>
  <w:style w:type="character" w:styleId="UnresolvedMention">
    <w:name w:val="Unresolved Mention"/>
    <w:basedOn w:val="DefaultParagraphFont"/>
    <w:uiPriority w:val="99"/>
    <w:semiHidden/>
    <w:unhideWhenUsed/>
    <w:rsid w:val="004154DA"/>
    <w:rPr>
      <w:color w:val="605E5C"/>
      <w:shd w:val="clear" w:color="auto" w:fill="E1DFDD"/>
    </w:rPr>
  </w:style>
  <w:style w:type="paragraph" w:customStyle="1" w:styleId="Paragraph">
    <w:name w:val="Paragraph"/>
    <w:basedOn w:val="Normal"/>
    <w:qFormat/>
    <w:rsid w:val="006A7FD9"/>
    <w:rPr>
      <w:rFonts w:cs="Arial"/>
    </w:rPr>
  </w:style>
  <w:style w:type="paragraph" w:customStyle="1" w:styleId="Default">
    <w:name w:val="Default"/>
    <w:rsid w:val="00E85981"/>
    <w:pPr>
      <w:autoSpaceDE w:val="0"/>
      <w:autoSpaceDN w:val="0"/>
      <w:adjustRightInd w:val="0"/>
    </w:pPr>
    <w:rPr>
      <w:rFonts w:ascii="Calibri" w:hAnsi="Calibri" w:cs="Calibri"/>
      <w:color w:val="000000"/>
    </w:rPr>
  </w:style>
  <w:style w:type="character" w:customStyle="1" w:styleId="paragraphChar">
    <w:name w:val="paragraph Char"/>
    <w:aliases w:val="a Char"/>
    <w:basedOn w:val="DefaultParagraphFont"/>
    <w:link w:val="paragraph0"/>
    <w:locked/>
    <w:rsid w:val="00177F36"/>
  </w:style>
  <w:style w:type="paragraph" w:customStyle="1" w:styleId="paragraph0">
    <w:name w:val="paragraph"/>
    <w:aliases w:val="a,indent(a)"/>
    <w:basedOn w:val="Normal"/>
    <w:link w:val="paragraphChar"/>
    <w:rsid w:val="00177F36"/>
    <w:pPr>
      <w:spacing w:before="40" w:after="0" w:line="240" w:lineRule="auto"/>
      <w:ind w:left="1644" w:hanging="1644"/>
    </w:pPr>
    <w:rPr>
      <w:rFonts w:ascii="Times New Roman" w:hAnsi="Times New Roman"/>
      <w:sz w:val="24"/>
    </w:rPr>
  </w:style>
  <w:style w:type="character" w:customStyle="1" w:styleId="normaltextrun">
    <w:name w:val="normaltextrun"/>
    <w:basedOn w:val="DefaultParagraphFont"/>
    <w:rsid w:val="00871522"/>
  </w:style>
  <w:style w:type="character" w:customStyle="1" w:styleId="eop">
    <w:name w:val="eop"/>
    <w:basedOn w:val="DefaultParagraphFont"/>
    <w:rsid w:val="00871522"/>
  </w:style>
  <w:style w:type="paragraph" w:customStyle="1" w:styleId="pf0">
    <w:name w:val="pf0"/>
    <w:basedOn w:val="Normal"/>
    <w:rsid w:val="00824413"/>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824413"/>
    <w:rPr>
      <w:rFonts w:ascii="Segoe UI" w:hAnsi="Segoe UI" w:cs="Segoe UI" w:hint="default"/>
    </w:rPr>
  </w:style>
  <w:style w:type="table" w:styleId="GridTable4">
    <w:name w:val="Grid Table 4"/>
    <w:basedOn w:val="TableNormal"/>
    <w:uiPriority w:val="49"/>
    <w:rsid w:val="00BF32E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level1">
    <w:name w:val="Bullet level 1"/>
    <w:basedOn w:val="ListBullet"/>
    <w:uiPriority w:val="5"/>
    <w:qFormat/>
    <w:rsid w:val="00BF32E6"/>
    <w:rPr>
      <w:rFonts w:cs="Arial"/>
    </w:rPr>
  </w:style>
  <w:style w:type="paragraph" w:customStyle="1" w:styleId="Bulletlevel1last">
    <w:name w:val="Bullet level 1 last"/>
    <w:basedOn w:val="ListBulletLast"/>
    <w:uiPriority w:val="6"/>
    <w:qFormat/>
    <w:rsid w:val="00BF32E6"/>
  </w:style>
  <w:style w:type="paragraph" w:customStyle="1" w:styleId="hr">
    <w:name w:val="hr"/>
    <w:basedOn w:val="Normal"/>
    <w:rsid w:val="00A05842"/>
    <w:pPr>
      <w:spacing w:before="100" w:beforeAutospacing="1" w:after="100" w:afterAutospacing="1" w:line="240" w:lineRule="auto"/>
    </w:pPr>
    <w:rPr>
      <w:rFonts w:ascii="Times New Roman" w:hAnsi="Times New Roman"/>
      <w:sz w:val="24"/>
    </w:rPr>
  </w:style>
  <w:style w:type="character" w:customStyle="1" w:styleId="charsectno">
    <w:name w:val="charsectno"/>
    <w:basedOn w:val="DefaultParagraphFont"/>
    <w:rsid w:val="00A05842"/>
  </w:style>
  <w:style w:type="paragraph" w:customStyle="1" w:styleId="zr1">
    <w:name w:val="zr1"/>
    <w:basedOn w:val="Normal"/>
    <w:rsid w:val="00A05842"/>
    <w:pPr>
      <w:spacing w:before="100" w:beforeAutospacing="1" w:after="100" w:afterAutospacing="1" w:line="240" w:lineRule="auto"/>
    </w:pPr>
    <w:rPr>
      <w:rFonts w:ascii="Times New Roman" w:hAnsi="Times New Roman"/>
      <w:sz w:val="24"/>
    </w:rPr>
  </w:style>
  <w:style w:type="paragraph" w:customStyle="1" w:styleId="Tableorfigurenote">
    <w:name w:val="Table or figure note"/>
    <w:basedOn w:val="ACMANotes"/>
    <w:uiPriority w:val="17"/>
    <w:qFormat/>
    <w:rsid w:val="008C3901"/>
    <w:pPr>
      <w:spacing w:after="240"/>
    </w:pPr>
  </w:style>
  <w:style w:type="character" w:customStyle="1" w:styleId="ListBulletChar">
    <w:name w:val="List Bullet Char"/>
    <w:aliases w:val="ACMA List Bullet 1 Char,List Bullet 1 Char"/>
    <w:basedOn w:val="DefaultParagraphFont"/>
    <w:link w:val="ListBullet"/>
    <w:locked/>
    <w:rsid w:val="006625A0"/>
    <w:rPr>
      <w:rFonts w:ascii="Arial" w:hAnsi="Arial"/>
      <w:sz w:val="20"/>
    </w:rPr>
  </w:style>
  <w:style w:type="paragraph" w:customStyle="1" w:styleId="Bulletlevel2">
    <w:name w:val="Bullet level 2"/>
    <w:basedOn w:val="ListBullet2"/>
    <w:uiPriority w:val="7"/>
    <w:qFormat/>
    <w:rsid w:val="006625A0"/>
    <w:pPr>
      <w:ind w:left="590" w:hanging="295"/>
    </w:pPr>
    <w:rPr>
      <w:rFonts w:cs="Arial"/>
    </w:rPr>
  </w:style>
  <w:style w:type="paragraph" w:customStyle="1" w:styleId="ShortT">
    <w:name w:val="ShortT"/>
    <w:basedOn w:val="Normal"/>
    <w:next w:val="Normal"/>
    <w:qFormat/>
    <w:rsid w:val="001A10A5"/>
    <w:pPr>
      <w:spacing w:after="0" w:line="240" w:lineRule="auto"/>
    </w:pPr>
    <w:rPr>
      <w:rFonts w:ascii="Times New Roman" w:hAnsi="Times New Roman"/>
      <w:b/>
      <w:sz w:val="40"/>
      <w:szCs w:val="20"/>
    </w:rPr>
  </w:style>
  <w:style w:type="paragraph" w:customStyle="1" w:styleId="SignCoverPageEnd">
    <w:name w:val="SignCoverPageEnd"/>
    <w:basedOn w:val="Normal"/>
    <w:next w:val="Normal"/>
    <w:rsid w:val="001A10A5"/>
    <w:pPr>
      <w:keepNext/>
      <w:pBdr>
        <w:bottom w:val="single" w:sz="4" w:space="12" w:color="auto"/>
      </w:pBdr>
      <w:tabs>
        <w:tab w:val="left" w:pos="3402"/>
      </w:tabs>
      <w:spacing w:after="0" w:line="300" w:lineRule="atLeast"/>
      <w:ind w:right="397"/>
    </w:pPr>
    <w:rPr>
      <w:rFonts w:ascii="Times New Roman" w:hAnsi="Times New Roman"/>
      <w:sz w:val="22"/>
      <w:szCs w:val="20"/>
    </w:rPr>
  </w:style>
  <w:style w:type="paragraph" w:customStyle="1" w:styleId="SignCoverPageStart">
    <w:name w:val="SignCoverPageStart"/>
    <w:basedOn w:val="Normal"/>
    <w:next w:val="Normal"/>
    <w:rsid w:val="001A10A5"/>
    <w:pPr>
      <w:pBdr>
        <w:top w:val="single" w:sz="4" w:space="1" w:color="auto"/>
      </w:pBdr>
      <w:spacing w:before="360" w:after="0" w:line="260" w:lineRule="atLeast"/>
      <w:ind w:right="397"/>
      <w:jc w:val="both"/>
    </w:pPr>
    <w:rPr>
      <w:rFonts w:ascii="Times New Roman" w:hAnsi="Times New Roman"/>
      <w:sz w:val="22"/>
      <w:szCs w:val="20"/>
    </w:rPr>
  </w:style>
  <w:style w:type="paragraph" w:customStyle="1" w:styleId="ActHead5">
    <w:name w:val="ActHead 5"/>
    <w:aliases w:val="s"/>
    <w:basedOn w:val="Normal"/>
    <w:next w:val="subsection"/>
    <w:qFormat/>
    <w:rsid w:val="001A10A5"/>
    <w:pPr>
      <w:keepNext/>
      <w:keepLines/>
      <w:spacing w:before="280" w:after="0" w:line="240" w:lineRule="auto"/>
      <w:ind w:left="1134" w:hanging="1134"/>
      <w:outlineLvl w:val="4"/>
    </w:pPr>
    <w:rPr>
      <w:rFonts w:ascii="Times New Roman" w:hAnsi="Times New Roman"/>
      <w:b/>
      <w:kern w:val="28"/>
      <w:sz w:val="24"/>
      <w:szCs w:val="20"/>
    </w:rPr>
  </w:style>
  <w:style w:type="character" w:customStyle="1" w:styleId="CharSectno0">
    <w:name w:val="CharSectno"/>
    <w:basedOn w:val="DefaultParagraphFont"/>
    <w:qFormat/>
    <w:rsid w:val="001A10A5"/>
  </w:style>
  <w:style w:type="paragraph" w:customStyle="1" w:styleId="subsection">
    <w:name w:val="subsection"/>
    <w:aliases w:val="ss,Subsection"/>
    <w:basedOn w:val="Normal"/>
    <w:link w:val="subsectionChar"/>
    <w:rsid w:val="001A10A5"/>
    <w:pPr>
      <w:tabs>
        <w:tab w:val="right" w:pos="1021"/>
      </w:tabs>
      <w:spacing w:before="180" w:after="0" w:line="240" w:lineRule="auto"/>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locked/>
    <w:rsid w:val="001A10A5"/>
    <w:rPr>
      <w:sz w:val="22"/>
      <w:szCs w:val="20"/>
    </w:rPr>
  </w:style>
  <w:style w:type="paragraph" w:customStyle="1" w:styleId="LI-BodyTextNote">
    <w:name w:val="LI - Body Text Note"/>
    <w:basedOn w:val="Normal"/>
    <w:link w:val="LI-BodyTextNoteChar"/>
    <w:rsid w:val="001A10A5"/>
    <w:pPr>
      <w:spacing w:before="200" w:after="0" w:line="240" w:lineRule="auto"/>
      <w:ind w:left="1701" w:hanging="567"/>
    </w:pPr>
    <w:rPr>
      <w:rFonts w:ascii="Times New Roman" w:hAnsi="Times New Roman"/>
      <w:sz w:val="18"/>
      <w:szCs w:val="20"/>
    </w:rPr>
  </w:style>
  <w:style w:type="character" w:customStyle="1" w:styleId="LI-BodyTextNoteChar">
    <w:name w:val="LI - Body Text Note Char"/>
    <w:link w:val="LI-BodyTextNote"/>
    <w:rsid w:val="001A10A5"/>
    <w:rPr>
      <w:sz w:val="18"/>
      <w:szCs w:val="20"/>
    </w:rPr>
  </w:style>
  <w:style w:type="paragraph" w:customStyle="1" w:styleId="Definition">
    <w:name w:val="Definition"/>
    <w:aliases w:val="dd"/>
    <w:basedOn w:val="Normal"/>
    <w:link w:val="DefinitionChar"/>
    <w:rsid w:val="001A10A5"/>
    <w:pPr>
      <w:spacing w:before="180" w:after="0" w:line="240" w:lineRule="auto"/>
      <w:ind w:left="1134"/>
    </w:pPr>
    <w:rPr>
      <w:rFonts w:ascii="Times New Roman" w:hAnsi="Times New Roman"/>
      <w:sz w:val="22"/>
      <w:szCs w:val="20"/>
    </w:rPr>
  </w:style>
  <w:style w:type="paragraph" w:customStyle="1" w:styleId="notetext">
    <w:name w:val="note(text)"/>
    <w:aliases w:val="n"/>
    <w:basedOn w:val="Normal"/>
    <w:link w:val="notetextChar"/>
    <w:rsid w:val="001A10A5"/>
    <w:pPr>
      <w:spacing w:before="122" w:after="0" w:line="240" w:lineRule="auto"/>
      <w:ind w:left="1985" w:hanging="851"/>
    </w:pPr>
    <w:rPr>
      <w:rFonts w:ascii="Times New Roman" w:hAnsi="Times New Roman"/>
      <w:sz w:val="18"/>
      <w:szCs w:val="20"/>
    </w:rPr>
  </w:style>
  <w:style w:type="character" w:customStyle="1" w:styleId="notetextChar">
    <w:name w:val="note(text) Char"/>
    <w:aliases w:val="n Char"/>
    <w:basedOn w:val="DefaultParagraphFont"/>
    <w:link w:val="notetext"/>
    <w:rsid w:val="001A10A5"/>
    <w:rPr>
      <w:sz w:val="18"/>
      <w:szCs w:val="20"/>
    </w:rPr>
  </w:style>
  <w:style w:type="paragraph" w:customStyle="1" w:styleId="ActHead9">
    <w:name w:val="ActHead 9"/>
    <w:aliases w:val="aat"/>
    <w:basedOn w:val="Normal"/>
    <w:next w:val="Normal"/>
    <w:qFormat/>
    <w:rsid w:val="001A10A5"/>
    <w:pPr>
      <w:keepNext/>
      <w:keepLines/>
      <w:spacing w:before="280" w:after="0" w:line="240" w:lineRule="auto"/>
      <w:ind w:left="1134" w:hanging="1134"/>
      <w:outlineLvl w:val="8"/>
    </w:pPr>
    <w:rPr>
      <w:rFonts w:ascii="Times New Roman" w:hAnsi="Times New Roman"/>
      <w:b/>
      <w:i/>
      <w:kern w:val="28"/>
      <w:sz w:val="28"/>
      <w:szCs w:val="20"/>
    </w:rPr>
  </w:style>
  <w:style w:type="paragraph" w:customStyle="1" w:styleId="ActHead7">
    <w:name w:val="ActHead 7"/>
    <w:aliases w:val="ap"/>
    <w:basedOn w:val="Normal"/>
    <w:next w:val="Normal"/>
    <w:qFormat/>
    <w:rsid w:val="001A10A5"/>
    <w:pPr>
      <w:keepNext/>
      <w:keepLines/>
      <w:spacing w:before="280" w:after="0" w:line="240" w:lineRule="auto"/>
      <w:ind w:left="1134" w:hanging="1134"/>
      <w:outlineLvl w:val="6"/>
    </w:pPr>
    <w:rPr>
      <w:b/>
      <w:kern w:val="28"/>
      <w:sz w:val="28"/>
      <w:szCs w:val="20"/>
    </w:rPr>
  </w:style>
  <w:style w:type="paragraph" w:customStyle="1" w:styleId="paragraphsub">
    <w:name w:val="paragraph(sub)"/>
    <w:aliases w:val="aa"/>
    <w:basedOn w:val="Normal"/>
    <w:rsid w:val="001A10A5"/>
    <w:pPr>
      <w:tabs>
        <w:tab w:val="right" w:pos="1985"/>
      </w:tabs>
      <w:spacing w:before="40" w:after="0" w:line="240" w:lineRule="auto"/>
      <w:ind w:left="2098" w:hanging="2098"/>
    </w:pPr>
    <w:rPr>
      <w:rFonts w:ascii="Times New Roman" w:hAnsi="Times New Roman"/>
      <w:sz w:val="22"/>
      <w:szCs w:val="20"/>
    </w:rPr>
  </w:style>
  <w:style w:type="paragraph" w:customStyle="1" w:styleId="Item">
    <w:name w:val="Item"/>
    <w:aliases w:val="i"/>
    <w:basedOn w:val="Normal"/>
    <w:next w:val="ItemHead"/>
    <w:rsid w:val="001A10A5"/>
    <w:pPr>
      <w:keepLines/>
      <w:spacing w:before="80" w:after="0" w:line="240" w:lineRule="auto"/>
      <w:ind w:left="709"/>
    </w:pPr>
    <w:rPr>
      <w:rFonts w:ascii="Times New Roman" w:hAnsi="Times New Roman"/>
      <w:sz w:val="22"/>
      <w:szCs w:val="20"/>
    </w:rPr>
  </w:style>
  <w:style w:type="paragraph" w:customStyle="1" w:styleId="ItemHead">
    <w:name w:val="ItemHead"/>
    <w:aliases w:val="ih"/>
    <w:basedOn w:val="Normal"/>
    <w:next w:val="Item"/>
    <w:rsid w:val="001A10A5"/>
    <w:pPr>
      <w:keepNext/>
      <w:keepLines/>
      <w:spacing w:before="220" w:after="0" w:line="240" w:lineRule="auto"/>
      <w:ind w:left="709" w:hanging="709"/>
    </w:pPr>
    <w:rPr>
      <w:b/>
      <w:kern w:val="28"/>
      <w:sz w:val="24"/>
      <w:szCs w:val="20"/>
    </w:rPr>
  </w:style>
  <w:style w:type="character" w:customStyle="1" w:styleId="DefinitionChar">
    <w:name w:val="Definition Char"/>
    <w:aliases w:val="dd Char"/>
    <w:link w:val="Definition"/>
    <w:rsid w:val="001A10A5"/>
    <w:rPr>
      <w:sz w:val="22"/>
      <w:szCs w:val="20"/>
    </w:rPr>
  </w:style>
  <w:style w:type="paragraph" w:customStyle="1" w:styleId="definition0">
    <w:name w:val="definition"/>
    <w:basedOn w:val="Normal"/>
    <w:rsid w:val="001A10A5"/>
    <w:pPr>
      <w:spacing w:before="100" w:beforeAutospacing="1" w:after="100" w:afterAutospacing="1" w:line="240" w:lineRule="auto"/>
    </w:pPr>
    <w:rPr>
      <w:rFonts w:ascii="Times New Roman" w:hAnsi="Times New Roman"/>
      <w:sz w:val="24"/>
    </w:rPr>
  </w:style>
  <w:style w:type="paragraph" w:customStyle="1" w:styleId="Figureheading">
    <w:name w:val="Figure heading"/>
    <w:basedOn w:val="ACMAFigureHeader"/>
    <w:next w:val="Paragraph"/>
    <w:uiPriority w:val="16"/>
    <w:qFormat/>
    <w:rsid w:val="00B37527"/>
    <w:pPr>
      <w:keepNext/>
      <w:spacing w:line="240" w:lineRule="atLeast"/>
    </w:pPr>
  </w:style>
  <w:style w:type="paragraph" w:customStyle="1" w:styleId="Paragraphbeforelist">
    <w:name w:val="Paragraph before list"/>
    <w:basedOn w:val="Paragraph"/>
    <w:uiPriority w:val="4"/>
    <w:qFormat/>
    <w:rsid w:val="00B37527"/>
    <w:pPr>
      <w:spacing w:after="80"/>
    </w:pPr>
  </w:style>
  <w:style w:type="paragraph" w:customStyle="1" w:styleId="Tableheaderrow">
    <w:name w:val="Table header row"/>
    <w:basedOn w:val="Normal"/>
    <w:uiPriority w:val="14"/>
    <w:qFormat/>
    <w:rsid w:val="00C71AD9"/>
    <w:pPr>
      <w:spacing w:after="0"/>
    </w:pPr>
    <w:rPr>
      <w:b/>
    </w:rPr>
  </w:style>
  <w:style w:type="table" w:customStyle="1" w:styleId="ACMAtablestyle">
    <w:name w:val="ACMA table style"/>
    <w:basedOn w:val="TableNormal"/>
    <w:uiPriority w:val="99"/>
    <w:rsid w:val="00C71AD9"/>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C71AD9"/>
    <w:pPr>
      <w:keepNext/>
      <w:numPr>
        <w:numId w:val="4"/>
      </w:numPr>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840">
      <w:bodyDiv w:val="1"/>
      <w:marLeft w:val="0"/>
      <w:marRight w:val="0"/>
      <w:marTop w:val="0"/>
      <w:marBottom w:val="0"/>
      <w:divBdr>
        <w:top w:val="none" w:sz="0" w:space="0" w:color="auto"/>
        <w:left w:val="none" w:sz="0" w:space="0" w:color="auto"/>
        <w:bottom w:val="none" w:sz="0" w:space="0" w:color="auto"/>
        <w:right w:val="none" w:sz="0" w:space="0" w:color="auto"/>
      </w:divBdr>
    </w:div>
    <w:div w:id="60300126">
      <w:bodyDiv w:val="1"/>
      <w:marLeft w:val="0"/>
      <w:marRight w:val="0"/>
      <w:marTop w:val="0"/>
      <w:marBottom w:val="0"/>
      <w:divBdr>
        <w:top w:val="none" w:sz="0" w:space="0" w:color="auto"/>
        <w:left w:val="none" w:sz="0" w:space="0" w:color="auto"/>
        <w:bottom w:val="none" w:sz="0" w:space="0" w:color="auto"/>
        <w:right w:val="none" w:sz="0" w:space="0" w:color="auto"/>
      </w:divBdr>
    </w:div>
    <w:div w:id="200292868">
      <w:bodyDiv w:val="1"/>
      <w:marLeft w:val="0"/>
      <w:marRight w:val="0"/>
      <w:marTop w:val="0"/>
      <w:marBottom w:val="0"/>
      <w:divBdr>
        <w:top w:val="none" w:sz="0" w:space="0" w:color="auto"/>
        <w:left w:val="none" w:sz="0" w:space="0" w:color="auto"/>
        <w:bottom w:val="none" w:sz="0" w:space="0" w:color="auto"/>
        <w:right w:val="none" w:sz="0" w:space="0" w:color="auto"/>
      </w:divBdr>
    </w:div>
    <w:div w:id="222107119">
      <w:bodyDiv w:val="1"/>
      <w:marLeft w:val="0"/>
      <w:marRight w:val="0"/>
      <w:marTop w:val="0"/>
      <w:marBottom w:val="0"/>
      <w:divBdr>
        <w:top w:val="none" w:sz="0" w:space="0" w:color="auto"/>
        <w:left w:val="none" w:sz="0" w:space="0" w:color="auto"/>
        <w:bottom w:val="none" w:sz="0" w:space="0" w:color="auto"/>
        <w:right w:val="none" w:sz="0" w:space="0" w:color="auto"/>
      </w:divBdr>
    </w:div>
    <w:div w:id="237322743">
      <w:bodyDiv w:val="1"/>
      <w:marLeft w:val="0"/>
      <w:marRight w:val="0"/>
      <w:marTop w:val="0"/>
      <w:marBottom w:val="0"/>
      <w:divBdr>
        <w:top w:val="none" w:sz="0" w:space="0" w:color="auto"/>
        <w:left w:val="none" w:sz="0" w:space="0" w:color="auto"/>
        <w:bottom w:val="none" w:sz="0" w:space="0" w:color="auto"/>
        <w:right w:val="none" w:sz="0" w:space="0" w:color="auto"/>
      </w:divBdr>
    </w:div>
    <w:div w:id="258370817">
      <w:bodyDiv w:val="1"/>
      <w:marLeft w:val="0"/>
      <w:marRight w:val="0"/>
      <w:marTop w:val="0"/>
      <w:marBottom w:val="0"/>
      <w:divBdr>
        <w:top w:val="none" w:sz="0" w:space="0" w:color="auto"/>
        <w:left w:val="none" w:sz="0" w:space="0" w:color="auto"/>
        <w:bottom w:val="none" w:sz="0" w:space="0" w:color="auto"/>
        <w:right w:val="none" w:sz="0" w:space="0" w:color="auto"/>
      </w:divBdr>
    </w:div>
    <w:div w:id="298263673">
      <w:bodyDiv w:val="1"/>
      <w:marLeft w:val="0"/>
      <w:marRight w:val="0"/>
      <w:marTop w:val="0"/>
      <w:marBottom w:val="0"/>
      <w:divBdr>
        <w:top w:val="none" w:sz="0" w:space="0" w:color="auto"/>
        <w:left w:val="none" w:sz="0" w:space="0" w:color="auto"/>
        <w:bottom w:val="none" w:sz="0" w:space="0" w:color="auto"/>
        <w:right w:val="none" w:sz="0" w:space="0" w:color="auto"/>
      </w:divBdr>
    </w:div>
    <w:div w:id="506404204">
      <w:bodyDiv w:val="1"/>
      <w:marLeft w:val="0"/>
      <w:marRight w:val="0"/>
      <w:marTop w:val="0"/>
      <w:marBottom w:val="0"/>
      <w:divBdr>
        <w:top w:val="none" w:sz="0" w:space="0" w:color="auto"/>
        <w:left w:val="none" w:sz="0" w:space="0" w:color="auto"/>
        <w:bottom w:val="none" w:sz="0" w:space="0" w:color="auto"/>
        <w:right w:val="none" w:sz="0" w:space="0" w:color="auto"/>
      </w:divBdr>
    </w:div>
    <w:div w:id="581375928">
      <w:bodyDiv w:val="1"/>
      <w:marLeft w:val="0"/>
      <w:marRight w:val="0"/>
      <w:marTop w:val="0"/>
      <w:marBottom w:val="0"/>
      <w:divBdr>
        <w:top w:val="none" w:sz="0" w:space="0" w:color="auto"/>
        <w:left w:val="none" w:sz="0" w:space="0" w:color="auto"/>
        <w:bottom w:val="none" w:sz="0" w:space="0" w:color="auto"/>
        <w:right w:val="none" w:sz="0" w:space="0" w:color="auto"/>
      </w:divBdr>
    </w:div>
    <w:div w:id="708408561">
      <w:bodyDiv w:val="1"/>
      <w:marLeft w:val="0"/>
      <w:marRight w:val="0"/>
      <w:marTop w:val="0"/>
      <w:marBottom w:val="0"/>
      <w:divBdr>
        <w:top w:val="none" w:sz="0" w:space="0" w:color="auto"/>
        <w:left w:val="none" w:sz="0" w:space="0" w:color="auto"/>
        <w:bottom w:val="none" w:sz="0" w:space="0" w:color="auto"/>
        <w:right w:val="none" w:sz="0" w:space="0" w:color="auto"/>
      </w:divBdr>
    </w:div>
    <w:div w:id="750665826">
      <w:bodyDiv w:val="1"/>
      <w:marLeft w:val="0"/>
      <w:marRight w:val="0"/>
      <w:marTop w:val="0"/>
      <w:marBottom w:val="0"/>
      <w:divBdr>
        <w:top w:val="none" w:sz="0" w:space="0" w:color="auto"/>
        <w:left w:val="none" w:sz="0" w:space="0" w:color="auto"/>
        <w:bottom w:val="none" w:sz="0" w:space="0" w:color="auto"/>
        <w:right w:val="none" w:sz="0" w:space="0" w:color="auto"/>
      </w:divBdr>
    </w:div>
    <w:div w:id="757599340">
      <w:bodyDiv w:val="1"/>
      <w:marLeft w:val="0"/>
      <w:marRight w:val="0"/>
      <w:marTop w:val="0"/>
      <w:marBottom w:val="0"/>
      <w:divBdr>
        <w:top w:val="none" w:sz="0" w:space="0" w:color="auto"/>
        <w:left w:val="none" w:sz="0" w:space="0" w:color="auto"/>
        <w:bottom w:val="none" w:sz="0" w:space="0" w:color="auto"/>
        <w:right w:val="none" w:sz="0" w:space="0" w:color="auto"/>
      </w:divBdr>
    </w:div>
    <w:div w:id="810710902">
      <w:bodyDiv w:val="1"/>
      <w:marLeft w:val="0"/>
      <w:marRight w:val="0"/>
      <w:marTop w:val="0"/>
      <w:marBottom w:val="0"/>
      <w:divBdr>
        <w:top w:val="none" w:sz="0" w:space="0" w:color="auto"/>
        <w:left w:val="none" w:sz="0" w:space="0" w:color="auto"/>
        <w:bottom w:val="none" w:sz="0" w:space="0" w:color="auto"/>
        <w:right w:val="none" w:sz="0" w:space="0" w:color="auto"/>
      </w:divBdr>
    </w:div>
    <w:div w:id="826366476">
      <w:bodyDiv w:val="1"/>
      <w:marLeft w:val="0"/>
      <w:marRight w:val="0"/>
      <w:marTop w:val="0"/>
      <w:marBottom w:val="0"/>
      <w:divBdr>
        <w:top w:val="none" w:sz="0" w:space="0" w:color="auto"/>
        <w:left w:val="none" w:sz="0" w:space="0" w:color="auto"/>
        <w:bottom w:val="none" w:sz="0" w:space="0" w:color="auto"/>
        <w:right w:val="none" w:sz="0" w:space="0" w:color="auto"/>
      </w:divBdr>
    </w:div>
    <w:div w:id="950672843">
      <w:bodyDiv w:val="1"/>
      <w:marLeft w:val="0"/>
      <w:marRight w:val="0"/>
      <w:marTop w:val="0"/>
      <w:marBottom w:val="0"/>
      <w:divBdr>
        <w:top w:val="none" w:sz="0" w:space="0" w:color="auto"/>
        <w:left w:val="none" w:sz="0" w:space="0" w:color="auto"/>
        <w:bottom w:val="none" w:sz="0" w:space="0" w:color="auto"/>
        <w:right w:val="none" w:sz="0" w:space="0" w:color="auto"/>
      </w:divBdr>
    </w:div>
    <w:div w:id="996302876">
      <w:bodyDiv w:val="1"/>
      <w:marLeft w:val="0"/>
      <w:marRight w:val="0"/>
      <w:marTop w:val="0"/>
      <w:marBottom w:val="0"/>
      <w:divBdr>
        <w:top w:val="none" w:sz="0" w:space="0" w:color="auto"/>
        <w:left w:val="none" w:sz="0" w:space="0" w:color="auto"/>
        <w:bottom w:val="none" w:sz="0" w:space="0" w:color="auto"/>
        <w:right w:val="none" w:sz="0" w:space="0" w:color="auto"/>
      </w:divBdr>
    </w:div>
    <w:div w:id="1066293951">
      <w:bodyDiv w:val="1"/>
      <w:marLeft w:val="0"/>
      <w:marRight w:val="0"/>
      <w:marTop w:val="0"/>
      <w:marBottom w:val="0"/>
      <w:divBdr>
        <w:top w:val="none" w:sz="0" w:space="0" w:color="auto"/>
        <w:left w:val="none" w:sz="0" w:space="0" w:color="auto"/>
        <w:bottom w:val="none" w:sz="0" w:space="0" w:color="auto"/>
        <w:right w:val="none" w:sz="0" w:space="0" w:color="auto"/>
      </w:divBdr>
    </w:div>
    <w:div w:id="1155874063">
      <w:bodyDiv w:val="1"/>
      <w:marLeft w:val="0"/>
      <w:marRight w:val="0"/>
      <w:marTop w:val="0"/>
      <w:marBottom w:val="0"/>
      <w:divBdr>
        <w:top w:val="none" w:sz="0" w:space="0" w:color="auto"/>
        <w:left w:val="none" w:sz="0" w:space="0" w:color="auto"/>
        <w:bottom w:val="none" w:sz="0" w:space="0" w:color="auto"/>
        <w:right w:val="none" w:sz="0" w:space="0" w:color="auto"/>
      </w:divBdr>
    </w:div>
    <w:div w:id="1221746790">
      <w:bodyDiv w:val="1"/>
      <w:marLeft w:val="0"/>
      <w:marRight w:val="0"/>
      <w:marTop w:val="0"/>
      <w:marBottom w:val="0"/>
      <w:divBdr>
        <w:top w:val="none" w:sz="0" w:space="0" w:color="auto"/>
        <w:left w:val="none" w:sz="0" w:space="0" w:color="auto"/>
        <w:bottom w:val="none" w:sz="0" w:space="0" w:color="auto"/>
        <w:right w:val="none" w:sz="0" w:space="0" w:color="auto"/>
      </w:divBdr>
    </w:div>
    <w:div w:id="1320385358">
      <w:bodyDiv w:val="1"/>
      <w:marLeft w:val="0"/>
      <w:marRight w:val="0"/>
      <w:marTop w:val="0"/>
      <w:marBottom w:val="0"/>
      <w:divBdr>
        <w:top w:val="none" w:sz="0" w:space="0" w:color="auto"/>
        <w:left w:val="none" w:sz="0" w:space="0" w:color="auto"/>
        <w:bottom w:val="none" w:sz="0" w:space="0" w:color="auto"/>
        <w:right w:val="none" w:sz="0" w:space="0" w:color="auto"/>
      </w:divBdr>
    </w:div>
    <w:div w:id="1362710143">
      <w:bodyDiv w:val="1"/>
      <w:marLeft w:val="0"/>
      <w:marRight w:val="0"/>
      <w:marTop w:val="0"/>
      <w:marBottom w:val="0"/>
      <w:divBdr>
        <w:top w:val="none" w:sz="0" w:space="0" w:color="auto"/>
        <w:left w:val="none" w:sz="0" w:space="0" w:color="auto"/>
        <w:bottom w:val="none" w:sz="0" w:space="0" w:color="auto"/>
        <w:right w:val="none" w:sz="0" w:space="0" w:color="auto"/>
      </w:divBdr>
      <w:divsChild>
        <w:div w:id="1051853558">
          <w:marLeft w:val="0"/>
          <w:marRight w:val="0"/>
          <w:marTop w:val="0"/>
          <w:marBottom w:val="0"/>
          <w:divBdr>
            <w:top w:val="none" w:sz="0" w:space="0" w:color="auto"/>
            <w:left w:val="none" w:sz="0" w:space="0" w:color="auto"/>
            <w:bottom w:val="none" w:sz="0" w:space="0" w:color="auto"/>
            <w:right w:val="none" w:sz="0" w:space="0" w:color="auto"/>
          </w:divBdr>
        </w:div>
        <w:div w:id="587076678">
          <w:marLeft w:val="0"/>
          <w:marRight w:val="0"/>
          <w:marTop w:val="0"/>
          <w:marBottom w:val="0"/>
          <w:divBdr>
            <w:top w:val="none" w:sz="0" w:space="0" w:color="auto"/>
            <w:left w:val="none" w:sz="0" w:space="0" w:color="auto"/>
            <w:bottom w:val="none" w:sz="0" w:space="0" w:color="auto"/>
            <w:right w:val="none" w:sz="0" w:space="0" w:color="auto"/>
          </w:divBdr>
        </w:div>
        <w:div w:id="1645349819">
          <w:marLeft w:val="0"/>
          <w:marRight w:val="0"/>
          <w:marTop w:val="0"/>
          <w:marBottom w:val="0"/>
          <w:divBdr>
            <w:top w:val="none" w:sz="0" w:space="0" w:color="auto"/>
            <w:left w:val="none" w:sz="0" w:space="0" w:color="auto"/>
            <w:bottom w:val="none" w:sz="0" w:space="0" w:color="auto"/>
            <w:right w:val="none" w:sz="0" w:space="0" w:color="auto"/>
          </w:divBdr>
        </w:div>
        <w:div w:id="556160883">
          <w:marLeft w:val="0"/>
          <w:marRight w:val="0"/>
          <w:marTop w:val="0"/>
          <w:marBottom w:val="0"/>
          <w:divBdr>
            <w:top w:val="none" w:sz="0" w:space="0" w:color="auto"/>
            <w:left w:val="none" w:sz="0" w:space="0" w:color="auto"/>
            <w:bottom w:val="none" w:sz="0" w:space="0" w:color="auto"/>
            <w:right w:val="none" w:sz="0" w:space="0" w:color="auto"/>
          </w:divBdr>
        </w:div>
        <w:div w:id="627517789">
          <w:marLeft w:val="0"/>
          <w:marRight w:val="0"/>
          <w:marTop w:val="0"/>
          <w:marBottom w:val="0"/>
          <w:divBdr>
            <w:top w:val="none" w:sz="0" w:space="0" w:color="auto"/>
            <w:left w:val="none" w:sz="0" w:space="0" w:color="auto"/>
            <w:bottom w:val="none" w:sz="0" w:space="0" w:color="auto"/>
            <w:right w:val="none" w:sz="0" w:space="0" w:color="auto"/>
          </w:divBdr>
        </w:div>
        <w:div w:id="1775251525">
          <w:marLeft w:val="0"/>
          <w:marRight w:val="0"/>
          <w:marTop w:val="0"/>
          <w:marBottom w:val="0"/>
          <w:divBdr>
            <w:top w:val="none" w:sz="0" w:space="0" w:color="auto"/>
            <w:left w:val="none" w:sz="0" w:space="0" w:color="auto"/>
            <w:bottom w:val="none" w:sz="0" w:space="0" w:color="auto"/>
            <w:right w:val="none" w:sz="0" w:space="0" w:color="auto"/>
          </w:divBdr>
        </w:div>
        <w:div w:id="1490828607">
          <w:marLeft w:val="0"/>
          <w:marRight w:val="0"/>
          <w:marTop w:val="0"/>
          <w:marBottom w:val="0"/>
          <w:divBdr>
            <w:top w:val="none" w:sz="0" w:space="0" w:color="auto"/>
            <w:left w:val="none" w:sz="0" w:space="0" w:color="auto"/>
            <w:bottom w:val="none" w:sz="0" w:space="0" w:color="auto"/>
            <w:right w:val="none" w:sz="0" w:space="0" w:color="auto"/>
          </w:divBdr>
        </w:div>
        <w:div w:id="268005672">
          <w:marLeft w:val="0"/>
          <w:marRight w:val="0"/>
          <w:marTop w:val="0"/>
          <w:marBottom w:val="0"/>
          <w:divBdr>
            <w:top w:val="none" w:sz="0" w:space="0" w:color="auto"/>
            <w:left w:val="none" w:sz="0" w:space="0" w:color="auto"/>
            <w:bottom w:val="none" w:sz="0" w:space="0" w:color="auto"/>
            <w:right w:val="none" w:sz="0" w:space="0" w:color="auto"/>
          </w:divBdr>
        </w:div>
        <w:div w:id="1100638360">
          <w:marLeft w:val="0"/>
          <w:marRight w:val="0"/>
          <w:marTop w:val="0"/>
          <w:marBottom w:val="0"/>
          <w:divBdr>
            <w:top w:val="none" w:sz="0" w:space="0" w:color="auto"/>
            <w:left w:val="none" w:sz="0" w:space="0" w:color="auto"/>
            <w:bottom w:val="none" w:sz="0" w:space="0" w:color="auto"/>
            <w:right w:val="none" w:sz="0" w:space="0" w:color="auto"/>
          </w:divBdr>
        </w:div>
        <w:div w:id="998120729">
          <w:marLeft w:val="0"/>
          <w:marRight w:val="0"/>
          <w:marTop w:val="0"/>
          <w:marBottom w:val="0"/>
          <w:divBdr>
            <w:top w:val="none" w:sz="0" w:space="0" w:color="auto"/>
            <w:left w:val="none" w:sz="0" w:space="0" w:color="auto"/>
            <w:bottom w:val="none" w:sz="0" w:space="0" w:color="auto"/>
            <w:right w:val="none" w:sz="0" w:space="0" w:color="auto"/>
          </w:divBdr>
        </w:div>
        <w:div w:id="1360353452">
          <w:marLeft w:val="0"/>
          <w:marRight w:val="0"/>
          <w:marTop w:val="0"/>
          <w:marBottom w:val="0"/>
          <w:divBdr>
            <w:top w:val="none" w:sz="0" w:space="0" w:color="auto"/>
            <w:left w:val="none" w:sz="0" w:space="0" w:color="auto"/>
            <w:bottom w:val="none" w:sz="0" w:space="0" w:color="auto"/>
            <w:right w:val="none" w:sz="0" w:space="0" w:color="auto"/>
          </w:divBdr>
        </w:div>
      </w:divsChild>
    </w:div>
    <w:div w:id="1364012322">
      <w:bodyDiv w:val="1"/>
      <w:marLeft w:val="0"/>
      <w:marRight w:val="0"/>
      <w:marTop w:val="0"/>
      <w:marBottom w:val="0"/>
      <w:divBdr>
        <w:top w:val="none" w:sz="0" w:space="0" w:color="auto"/>
        <w:left w:val="none" w:sz="0" w:space="0" w:color="auto"/>
        <w:bottom w:val="none" w:sz="0" w:space="0" w:color="auto"/>
        <w:right w:val="none" w:sz="0" w:space="0" w:color="auto"/>
      </w:divBdr>
    </w:div>
    <w:div w:id="1472289207">
      <w:bodyDiv w:val="1"/>
      <w:marLeft w:val="0"/>
      <w:marRight w:val="0"/>
      <w:marTop w:val="0"/>
      <w:marBottom w:val="0"/>
      <w:divBdr>
        <w:top w:val="none" w:sz="0" w:space="0" w:color="auto"/>
        <w:left w:val="none" w:sz="0" w:space="0" w:color="auto"/>
        <w:bottom w:val="none" w:sz="0" w:space="0" w:color="auto"/>
        <w:right w:val="none" w:sz="0" w:space="0" w:color="auto"/>
      </w:divBdr>
    </w:div>
    <w:div w:id="1647398797">
      <w:bodyDiv w:val="1"/>
      <w:marLeft w:val="0"/>
      <w:marRight w:val="0"/>
      <w:marTop w:val="0"/>
      <w:marBottom w:val="0"/>
      <w:divBdr>
        <w:top w:val="none" w:sz="0" w:space="0" w:color="auto"/>
        <w:left w:val="none" w:sz="0" w:space="0" w:color="auto"/>
        <w:bottom w:val="none" w:sz="0" w:space="0" w:color="auto"/>
        <w:right w:val="none" w:sz="0" w:space="0" w:color="auto"/>
      </w:divBdr>
    </w:div>
    <w:div w:id="1869416228">
      <w:bodyDiv w:val="1"/>
      <w:marLeft w:val="0"/>
      <w:marRight w:val="0"/>
      <w:marTop w:val="0"/>
      <w:marBottom w:val="0"/>
      <w:divBdr>
        <w:top w:val="none" w:sz="0" w:space="0" w:color="auto"/>
        <w:left w:val="none" w:sz="0" w:space="0" w:color="auto"/>
        <w:bottom w:val="none" w:sz="0" w:space="0" w:color="auto"/>
        <w:right w:val="none" w:sz="0" w:space="0" w:color="auto"/>
      </w:divBdr>
    </w:div>
    <w:div w:id="195169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https://www.legislation.gov.au/Details/F2023L00286" TargetMode="External"/><Relationship Id="rId42" Type="http://schemas.openxmlformats.org/officeDocument/2006/relationships/hyperlink" Target="https://www.acma.gov.au/spectrum-embargoes" TargetMode="External"/><Relationship Id="rId47" Type="http://schemas.openxmlformats.org/officeDocument/2006/relationships/hyperlink" Target="https://www.acma.gov.au/publications/2019-08/publication/rali-ms32-mid-west-radio-quiet-zone" TargetMode="External"/><Relationship Id="rId63" Type="http://schemas.openxmlformats.org/officeDocument/2006/relationships/hyperlink" Target="https://www.legislation.gov.au/Series/F2015L01486" TargetMode="External"/><Relationship Id="rId6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eb.archive.org/web/20201031200136/https:/www.acma.gov.au/consultations/2019-11/review-space-licensing-procedures-consultation-382019" TargetMode="External"/><Relationship Id="rId29" Type="http://schemas.openxmlformats.org/officeDocument/2006/relationships/header" Target="header7.xml"/><Relationship Id="rId11" Type="http://schemas.openxmlformats.org/officeDocument/2006/relationships/hyperlink" Target="http://i.creativecommons.org/l/by/3.0/88x31.png" TargetMode="Externa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yperlink" Target="https://www.legislation.gov.au/Series/C2004A04465" TargetMode="External"/><Relationship Id="rId40" Type="http://schemas.openxmlformats.org/officeDocument/2006/relationships/hyperlink" Target="https://www.acma.gov.au/australian-radiofrequency-spectrum-plan" TargetMode="External"/><Relationship Id="rId45" Type="http://schemas.openxmlformats.org/officeDocument/2006/relationships/hyperlink" Target="mailto:satellite.coordination@acma.gov.au" TargetMode="External"/><Relationship Id="rId53" Type="http://schemas.openxmlformats.org/officeDocument/2006/relationships/hyperlink" Target="https://www.legislation.gov.au/Details/F2021C00363" TargetMode="External"/><Relationship Id="rId58" Type="http://schemas.openxmlformats.org/officeDocument/2006/relationships/hyperlink" Target="https://www.acma.gov.au/australian-radiofrequency-spectrum-plan" TargetMode="External"/><Relationship Id="rId66" Type="http://schemas.openxmlformats.org/officeDocument/2006/relationships/hyperlink" Target="https://www.acma.gov.au/consultations/2021-12/proposed-licensing-arrangements-2-ghz-narrowband-mobile-satellite-services-and-28-ghz-fixed-satellite-services-consultation-462021" TargetMode="External"/><Relationship Id="rId5" Type="http://schemas.openxmlformats.org/officeDocument/2006/relationships/webSettings" Target="webSettings.xml"/><Relationship Id="rId61" Type="http://schemas.openxmlformats.org/officeDocument/2006/relationships/hyperlink" Target="https://www.legislation.gov.au/Details/F2015L01486" TargetMode="External"/><Relationship Id="rId19" Type="http://schemas.openxmlformats.org/officeDocument/2006/relationships/hyperlink" Target="https://www.acma.gov.au/consultations/2021-12/proposed-licensing-arrangements-2-ghz-narrowband-mobile-satellite-services-and-28-ghz-fixed-satellite-services-consultation-462021" TargetMode="External"/><Relationship Id="rId14" Type="http://schemas.openxmlformats.org/officeDocument/2006/relationships/hyperlink" Target="mailto:info@acma.gov.au" TargetMode="External"/><Relationship Id="rId22" Type="http://schemas.openxmlformats.org/officeDocument/2006/relationships/hyperlink" Target="https://www.acma.gov.au/consultations/2022-10/proposal-remake-australian-radio-quiet-zone-western-australia-band-plan-consultation-342022" TargetMode="External"/><Relationship Id="rId27" Type="http://schemas.openxmlformats.org/officeDocument/2006/relationships/header" Target="header5.xml"/><Relationship Id="rId30" Type="http://schemas.openxmlformats.org/officeDocument/2006/relationships/footer" Target="footer4.xml"/><Relationship Id="rId35" Type="http://schemas.openxmlformats.org/officeDocument/2006/relationships/hyperlink" Target="https://www.legislation.gov.au/Details/F2021C00630" TargetMode="External"/><Relationship Id="rId43" Type="http://schemas.openxmlformats.org/officeDocument/2006/relationships/hyperlink" Target="https://www.legislation.gov.au/Series/F2014L01586" TargetMode="External"/><Relationship Id="rId48" Type="http://schemas.openxmlformats.org/officeDocument/2006/relationships/hyperlink" Target="https://www.legislation.gov.au/Series/F2015L01486" TargetMode="External"/><Relationship Id="rId56" Type="http://schemas.openxmlformats.org/officeDocument/2006/relationships/hyperlink" Target="mailto:info@acma.gov.au" TargetMode="External"/><Relationship Id="rId64" Type="http://schemas.openxmlformats.org/officeDocument/2006/relationships/hyperlink" Target="https://www.acma.gov.au/publications/2019-11/instruction/28-ghz-275-295-ghz" TargetMode="External"/><Relationship Id="rId69" Type="http://schemas.openxmlformats.org/officeDocument/2006/relationships/footer" Target="footer7.xml"/><Relationship Id="rId8" Type="http://schemas.openxmlformats.org/officeDocument/2006/relationships/header" Target="header1.xml"/><Relationship Id="rId51" Type="http://schemas.openxmlformats.org/officeDocument/2006/relationships/hyperlink" Target="https://www.legislation.gov.au/Series/F2022L00843"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eb.archive.org/web/20201031203042/https:/www.acma.gov.au/consultations/2019-12/improved-spectrum-access-and-pricing-satellite-services-consultation-402019"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yperlink" Target="https://www.acma.gov.au/apparatus-licences" TargetMode="External"/><Relationship Id="rId46" Type="http://schemas.openxmlformats.org/officeDocument/2006/relationships/hyperlink" Target="https://www.legislation.gov.au/Details/F2023L00286" TargetMode="External"/><Relationship Id="rId59" Type="http://schemas.openxmlformats.org/officeDocument/2006/relationships/hyperlink" Target="https://www.itu.int/dms_pub/itu-r/oth/0C/0A/R0C0A00000F0056PDFE.pdf" TargetMode="External"/><Relationship Id="rId67" Type="http://schemas.openxmlformats.org/officeDocument/2006/relationships/header" Target="header9.xml"/><Relationship Id="rId20" Type="http://schemas.openxmlformats.org/officeDocument/2006/relationships/hyperlink" Target="https://www.acma.gov.au/consultations/2023-08/review-15-ghz-band-extended-mss-l-band-options-paper" TargetMode="External"/><Relationship Id="rId41" Type="http://schemas.openxmlformats.org/officeDocument/2006/relationships/hyperlink" Target="https://www.acma.gov.au/band-plans-allocate-spectrum" TargetMode="External"/><Relationship Id="rId54" Type="http://schemas.openxmlformats.org/officeDocument/2006/relationships/hyperlink" Target="https://www.acma.gov.au/authority" TargetMode="External"/><Relationship Id="rId62" Type="http://schemas.openxmlformats.org/officeDocument/2006/relationships/hyperlink" Target="https://www.legislation.gov.au/Series/F2015L01486" TargetMode="External"/><Relationship Id="rId7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barchive.nla.gov.au/awa/20190808083011/https:/www.acma.gov.au/theACMA/earth-stations-in-motion-in-ku-band"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yperlink" Target="https://www.acma.gov.au/procedures-space-and-space-receive-licensing" TargetMode="External"/><Relationship Id="rId49" Type="http://schemas.openxmlformats.org/officeDocument/2006/relationships/hyperlink" Target="https://www.legislation.gov.au/Series/F2015L01486" TargetMode="External"/><Relationship Id="rId57" Type="http://schemas.openxmlformats.org/officeDocument/2006/relationships/hyperlink" Target="https://webarchive.nla.gov.au/awa/20190808083011/https:/www.acma.gov.au/theACMA/earth-stations-in-motion-in-ku-band" TargetMode="External"/><Relationship Id="rId10" Type="http://schemas.openxmlformats.org/officeDocument/2006/relationships/header" Target="header2.xml"/><Relationship Id="rId31" Type="http://schemas.openxmlformats.org/officeDocument/2006/relationships/footer" Target="footer5.xml"/><Relationship Id="rId44" Type="http://schemas.openxmlformats.org/officeDocument/2006/relationships/hyperlink" Target="https://www.legislation.gov.au/Series/F2014L01584" TargetMode="External"/><Relationship Id="rId52" Type="http://schemas.openxmlformats.org/officeDocument/2006/relationships/hyperlink" Target="https://www.legislation.gov.au/Details/F2021C00361" TargetMode="External"/><Relationship Id="rId60" Type="http://schemas.openxmlformats.org/officeDocument/2006/relationships/hyperlink" Target="https://www.itu.int/md/R00-CR-CIR-0461/en" TargetMode="External"/><Relationship Id="rId65" Type="http://schemas.openxmlformats.org/officeDocument/2006/relationships/hyperlink" Target="https://www.acma.gov.au/consultations/2021-12/proposed-licensing-arrangements-2-ghz-narrowband-mobile-satellite-services-and-28-ghz-fixed-satellite-services-consultation-462021"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creativecommons.org/licenses/by/4.0/" TargetMode="External"/><Relationship Id="rId18" Type="http://schemas.openxmlformats.org/officeDocument/2006/relationships/hyperlink" Target="https://webarchive.nla.gov.au/awa/20220603130323/http:/acma.gov.au/consultations/2021-09/updating-regulatory-requirements-earth-stations-motion-consultation-332021" TargetMode="External"/><Relationship Id="rId39" Type="http://schemas.openxmlformats.org/officeDocument/2006/relationships/hyperlink" Target="https://www.legislation.gov.au/Series/C2004A04465" TargetMode="External"/><Relationship Id="rId34" Type="http://schemas.openxmlformats.org/officeDocument/2006/relationships/hyperlink" Target="https://www.acma.gov.au/disclaimer-business-operating-procedures" TargetMode="External"/><Relationship Id="rId50" Type="http://schemas.openxmlformats.org/officeDocument/2006/relationships/hyperlink" Target="https://www.acma.gov.au/publications/2019-11/instruction/28-ghz-275-295-ghz" TargetMode="External"/><Relationship Id="rId55" Type="http://schemas.openxmlformats.org/officeDocument/2006/relationships/hyperlink" Target="https://www.legislation.gov.au/Details/F2019C00870" TargetMode="External"/><Relationship Id="rId7" Type="http://schemas.openxmlformats.org/officeDocument/2006/relationships/endnotes" Target="endnotes.xml"/><Relationship Id="rId71" Type="http://schemas.openxmlformats.org/officeDocument/2006/relationships/header" Target="header1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ma.gov.au/spectrum-forms" TargetMode="External"/><Relationship Id="rId2" Type="http://schemas.openxmlformats.org/officeDocument/2006/relationships/hyperlink" Target="https://www.itu.int/en/ITU-R/space/Pages/epfdData.aspx" TargetMode="External"/><Relationship Id="rId1" Type="http://schemas.openxmlformats.org/officeDocument/2006/relationships/hyperlink" Target="http://www.itu.int/ITU-R/go/space-preface/en" TargetMode="External"/><Relationship Id="rId6" Type="http://schemas.openxmlformats.org/officeDocument/2006/relationships/hyperlink" Target="http://www.itu.int/ITU-R/go/space-preface/en" TargetMode="External"/><Relationship Id="rId5" Type="http://schemas.openxmlformats.org/officeDocument/2006/relationships/hyperlink" Target="http://www.itu.int/net/ITU-R/space/snl/bsearchb/spublication.asp" TargetMode="External"/><Relationship Id="rId4" Type="http://schemas.openxmlformats.org/officeDocument/2006/relationships/hyperlink" Target="https://www.acma.gov.au/consultations/2023-08/review-15-ghz-band-extended-mss-l-band-options-pap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E4BB-8934-4C24-AFBE-EF20B3CE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14431</Words>
  <Characters>80675</Characters>
  <Application>Microsoft Office Word</Application>
  <DocSecurity>0</DocSecurity>
  <Lines>2240</Lines>
  <Paragraphs>1285</Paragraphs>
  <ScaleCrop>false</ScaleCrop>
  <Manager/>
  <Company/>
  <LinksUpToDate>false</LinksUpToDate>
  <CharactersWithSpaces>93821</CharactersWithSpaces>
  <SharedDoc>false</SharedDoc>
  <HyperlinkBase/>
  <HLinks>
    <vt:vector size="264" baseType="variant">
      <vt:variant>
        <vt:i4>5832717</vt:i4>
      </vt:variant>
      <vt:variant>
        <vt:i4>285</vt:i4>
      </vt:variant>
      <vt:variant>
        <vt:i4>0</vt:i4>
      </vt:variant>
      <vt:variant>
        <vt:i4>5</vt:i4>
      </vt:variant>
      <vt:variant>
        <vt:lpwstr>https://www.acma.gov.au/consultations/2021-12/proposed-licensing-arrangements-2-ghz-narrowband-mobile-satellite-services-and-28-ghz-fixed-satellite-services-consultation-462021</vt:lpwstr>
      </vt:variant>
      <vt:variant>
        <vt:lpwstr/>
      </vt:variant>
      <vt:variant>
        <vt:i4>2621546</vt:i4>
      </vt:variant>
      <vt:variant>
        <vt:i4>282</vt:i4>
      </vt:variant>
      <vt:variant>
        <vt:i4>0</vt:i4>
      </vt:variant>
      <vt:variant>
        <vt:i4>5</vt:i4>
      </vt:variant>
      <vt:variant>
        <vt:lpwstr>https://www.acma.gov.au/publications/2019-11/instruction/28-ghz-275-295-ghz</vt:lpwstr>
      </vt:variant>
      <vt:variant>
        <vt:lpwstr/>
      </vt:variant>
      <vt:variant>
        <vt:i4>262169</vt:i4>
      </vt:variant>
      <vt:variant>
        <vt:i4>279</vt:i4>
      </vt:variant>
      <vt:variant>
        <vt:i4>0</vt:i4>
      </vt:variant>
      <vt:variant>
        <vt:i4>5</vt:i4>
      </vt:variant>
      <vt:variant>
        <vt:lpwstr>https://www.legislation.gov.au/Series/F2015L01486</vt:lpwstr>
      </vt:variant>
      <vt:variant>
        <vt:lpwstr/>
      </vt:variant>
      <vt:variant>
        <vt:i4>262169</vt:i4>
      </vt:variant>
      <vt:variant>
        <vt:i4>276</vt:i4>
      </vt:variant>
      <vt:variant>
        <vt:i4>0</vt:i4>
      </vt:variant>
      <vt:variant>
        <vt:i4>5</vt:i4>
      </vt:variant>
      <vt:variant>
        <vt:lpwstr>https://www.legislation.gov.au/Series/F2015L01486</vt:lpwstr>
      </vt:variant>
      <vt:variant>
        <vt:lpwstr/>
      </vt:variant>
      <vt:variant>
        <vt:i4>7471136</vt:i4>
      </vt:variant>
      <vt:variant>
        <vt:i4>273</vt:i4>
      </vt:variant>
      <vt:variant>
        <vt:i4>0</vt:i4>
      </vt:variant>
      <vt:variant>
        <vt:i4>5</vt:i4>
      </vt:variant>
      <vt:variant>
        <vt:lpwstr>https://www.legislation.gov.au/Details/F2015L01486</vt:lpwstr>
      </vt:variant>
      <vt:variant>
        <vt:lpwstr/>
      </vt:variant>
      <vt:variant>
        <vt:i4>2031700</vt:i4>
      </vt:variant>
      <vt:variant>
        <vt:i4>270</vt:i4>
      </vt:variant>
      <vt:variant>
        <vt:i4>0</vt:i4>
      </vt:variant>
      <vt:variant>
        <vt:i4>5</vt:i4>
      </vt:variant>
      <vt:variant>
        <vt:lpwstr>https://www.itu.int/md/R00-CR-CIR-0461/en</vt:lpwstr>
      </vt:variant>
      <vt:variant>
        <vt:lpwstr/>
      </vt:variant>
      <vt:variant>
        <vt:i4>196658</vt:i4>
      </vt:variant>
      <vt:variant>
        <vt:i4>267</vt:i4>
      </vt:variant>
      <vt:variant>
        <vt:i4>0</vt:i4>
      </vt:variant>
      <vt:variant>
        <vt:i4>5</vt:i4>
      </vt:variant>
      <vt:variant>
        <vt:lpwstr>https://www.itu.int/dms_pub/itu-r/oth/0C/0A/R0C0A00000F0056PDFE.pdf</vt:lpwstr>
      </vt:variant>
      <vt:variant>
        <vt:lpwstr/>
      </vt:variant>
      <vt:variant>
        <vt:i4>4063273</vt:i4>
      </vt:variant>
      <vt:variant>
        <vt:i4>264</vt:i4>
      </vt:variant>
      <vt:variant>
        <vt:i4>0</vt:i4>
      </vt:variant>
      <vt:variant>
        <vt:i4>5</vt:i4>
      </vt:variant>
      <vt:variant>
        <vt:lpwstr>https://www.acma.gov.au/australian-radiofrequency-spectrum-plan</vt:lpwstr>
      </vt:variant>
      <vt:variant>
        <vt:lpwstr/>
      </vt:variant>
      <vt:variant>
        <vt:i4>7864447</vt:i4>
      </vt:variant>
      <vt:variant>
        <vt:i4>261</vt:i4>
      </vt:variant>
      <vt:variant>
        <vt:i4>0</vt:i4>
      </vt:variant>
      <vt:variant>
        <vt:i4>5</vt:i4>
      </vt:variant>
      <vt:variant>
        <vt:lpwstr>https://webarchive.nla.gov.au/awa/20190808083011/https:/www.acma.gov.au/theACMA/earth-stations-in-motion-in-ku-band</vt:lpwstr>
      </vt:variant>
      <vt:variant>
        <vt:lpwstr/>
      </vt:variant>
      <vt:variant>
        <vt:i4>6225960</vt:i4>
      </vt:variant>
      <vt:variant>
        <vt:i4>258</vt:i4>
      </vt:variant>
      <vt:variant>
        <vt:i4>0</vt:i4>
      </vt:variant>
      <vt:variant>
        <vt:i4>5</vt:i4>
      </vt:variant>
      <vt:variant>
        <vt:lpwstr>mailto:info@acma.gov.au</vt:lpwstr>
      </vt:variant>
      <vt:variant>
        <vt:lpwstr/>
      </vt:variant>
      <vt:variant>
        <vt:i4>7602209</vt:i4>
      </vt:variant>
      <vt:variant>
        <vt:i4>255</vt:i4>
      </vt:variant>
      <vt:variant>
        <vt:i4>0</vt:i4>
      </vt:variant>
      <vt:variant>
        <vt:i4>5</vt:i4>
      </vt:variant>
      <vt:variant>
        <vt:lpwstr>https://www.legislation.gov.au/Details/F2019C00870</vt:lpwstr>
      </vt:variant>
      <vt:variant>
        <vt:lpwstr/>
      </vt:variant>
      <vt:variant>
        <vt:i4>917573</vt:i4>
      </vt:variant>
      <vt:variant>
        <vt:i4>252</vt:i4>
      </vt:variant>
      <vt:variant>
        <vt:i4>0</vt:i4>
      </vt:variant>
      <vt:variant>
        <vt:i4>5</vt:i4>
      </vt:variant>
      <vt:variant>
        <vt:lpwstr>https://www.acma.gov.au/authority</vt:lpwstr>
      </vt:variant>
      <vt:variant>
        <vt:lpwstr/>
      </vt:variant>
      <vt:variant>
        <vt:i4>7602211</vt:i4>
      </vt:variant>
      <vt:variant>
        <vt:i4>249</vt:i4>
      </vt:variant>
      <vt:variant>
        <vt:i4>0</vt:i4>
      </vt:variant>
      <vt:variant>
        <vt:i4>5</vt:i4>
      </vt:variant>
      <vt:variant>
        <vt:lpwstr>https://www.legislation.gov.au/Details/F2021C00363</vt:lpwstr>
      </vt:variant>
      <vt:variant>
        <vt:lpwstr/>
      </vt:variant>
      <vt:variant>
        <vt:i4>7733283</vt:i4>
      </vt:variant>
      <vt:variant>
        <vt:i4>246</vt:i4>
      </vt:variant>
      <vt:variant>
        <vt:i4>0</vt:i4>
      </vt:variant>
      <vt:variant>
        <vt:i4>5</vt:i4>
      </vt:variant>
      <vt:variant>
        <vt:lpwstr>https://www.legislation.gov.au/Details/F2021C00361</vt:lpwstr>
      </vt:variant>
      <vt:variant>
        <vt:lpwstr/>
      </vt:variant>
      <vt:variant>
        <vt:i4>655378</vt:i4>
      </vt:variant>
      <vt:variant>
        <vt:i4>243</vt:i4>
      </vt:variant>
      <vt:variant>
        <vt:i4>0</vt:i4>
      </vt:variant>
      <vt:variant>
        <vt:i4>5</vt:i4>
      </vt:variant>
      <vt:variant>
        <vt:lpwstr>https://www.legislation.gov.au/Series/F2022L00843</vt:lpwstr>
      </vt:variant>
      <vt:variant>
        <vt:lpwstr/>
      </vt:variant>
      <vt:variant>
        <vt:i4>2621546</vt:i4>
      </vt:variant>
      <vt:variant>
        <vt:i4>240</vt:i4>
      </vt:variant>
      <vt:variant>
        <vt:i4>0</vt:i4>
      </vt:variant>
      <vt:variant>
        <vt:i4>5</vt:i4>
      </vt:variant>
      <vt:variant>
        <vt:lpwstr>https://www.acma.gov.au/publications/2019-11/instruction/28-ghz-275-295-ghz</vt:lpwstr>
      </vt:variant>
      <vt:variant>
        <vt:lpwstr/>
      </vt:variant>
      <vt:variant>
        <vt:i4>262169</vt:i4>
      </vt:variant>
      <vt:variant>
        <vt:i4>237</vt:i4>
      </vt:variant>
      <vt:variant>
        <vt:i4>0</vt:i4>
      </vt:variant>
      <vt:variant>
        <vt:i4>5</vt:i4>
      </vt:variant>
      <vt:variant>
        <vt:lpwstr>https://www.legislation.gov.au/Series/F2015L01486</vt:lpwstr>
      </vt:variant>
      <vt:variant>
        <vt:lpwstr/>
      </vt:variant>
      <vt:variant>
        <vt:i4>262169</vt:i4>
      </vt:variant>
      <vt:variant>
        <vt:i4>234</vt:i4>
      </vt:variant>
      <vt:variant>
        <vt:i4>0</vt:i4>
      </vt:variant>
      <vt:variant>
        <vt:i4>5</vt:i4>
      </vt:variant>
      <vt:variant>
        <vt:lpwstr>https://www.legislation.gov.au/Series/F2015L01486</vt:lpwstr>
      </vt:variant>
      <vt:variant>
        <vt:lpwstr/>
      </vt:variant>
      <vt:variant>
        <vt:i4>4980755</vt:i4>
      </vt:variant>
      <vt:variant>
        <vt:i4>231</vt:i4>
      </vt:variant>
      <vt:variant>
        <vt:i4>0</vt:i4>
      </vt:variant>
      <vt:variant>
        <vt:i4>5</vt:i4>
      </vt:variant>
      <vt:variant>
        <vt:lpwstr>https://www.acma.gov.au/publications/2019-08/publication/rali-ms32-mid-west-radio-quiet-zone</vt:lpwstr>
      </vt:variant>
      <vt:variant>
        <vt:lpwstr/>
      </vt:variant>
      <vt:variant>
        <vt:i4>7405610</vt:i4>
      </vt:variant>
      <vt:variant>
        <vt:i4>228</vt:i4>
      </vt:variant>
      <vt:variant>
        <vt:i4>0</vt:i4>
      </vt:variant>
      <vt:variant>
        <vt:i4>5</vt:i4>
      </vt:variant>
      <vt:variant>
        <vt:lpwstr>https://www.legislation.gov.au/Details/F2011L01520</vt:lpwstr>
      </vt:variant>
      <vt:variant>
        <vt:lpwstr/>
      </vt:variant>
      <vt:variant>
        <vt:i4>2752521</vt:i4>
      </vt:variant>
      <vt:variant>
        <vt:i4>225</vt:i4>
      </vt:variant>
      <vt:variant>
        <vt:i4>0</vt:i4>
      </vt:variant>
      <vt:variant>
        <vt:i4>5</vt:i4>
      </vt:variant>
      <vt:variant>
        <vt:lpwstr>mailto:satellite.coordination@acma.gov.au</vt:lpwstr>
      </vt:variant>
      <vt:variant>
        <vt:lpwstr/>
      </vt:variant>
      <vt:variant>
        <vt:i4>262169</vt:i4>
      </vt:variant>
      <vt:variant>
        <vt:i4>213</vt:i4>
      </vt:variant>
      <vt:variant>
        <vt:i4>0</vt:i4>
      </vt:variant>
      <vt:variant>
        <vt:i4>5</vt:i4>
      </vt:variant>
      <vt:variant>
        <vt:lpwstr>https://www.legislation.gov.au/Series/F2014L01584</vt:lpwstr>
      </vt:variant>
      <vt:variant>
        <vt:lpwstr/>
      </vt:variant>
      <vt:variant>
        <vt:i4>262169</vt:i4>
      </vt:variant>
      <vt:variant>
        <vt:i4>210</vt:i4>
      </vt:variant>
      <vt:variant>
        <vt:i4>0</vt:i4>
      </vt:variant>
      <vt:variant>
        <vt:i4>5</vt:i4>
      </vt:variant>
      <vt:variant>
        <vt:lpwstr>https://www.legislation.gov.au/Series/F2014L01586</vt:lpwstr>
      </vt:variant>
      <vt:variant>
        <vt:lpwstr/>
      </vt:variant>
      <vt:variant>
        <vt:i4>7340130</vt:i4>
      </vt:variant>
      <vt:variant>
        <vt:i4>207</vt:i4>
      </vt:variant>
      <vt:variant>
        <vt:i4>0</vt:i4>
      </vt:variant>
      <vt:variant>
        <vt:i4>5</vt:i4>
      </vt:variant>
      <vt:variant>
        <vt:lpwstr>https://www.acma.gov.au/spectrum-embargoes</vt:lpwstr>
      </vt:variant>
      <vt:variant>
        <vt:lpwstr/>
      </vt:variant>
      <vt:variant>
        <vt:i4>4784200</vt:i4>
      </vt:variant>
      <vt:variant>
        <vt:i4>204</vt:i4>
      </vt:variant>
      <vt:variant>
        <vt:i4>0</vt:i4>
      </vt:variant>
      <vt:variant>
        <vt:i4>5</vt:i4>
      </vt:variant>
      <vt:variant>
        <vt:lpwstr>https://www.acma.gov.au/band-plans-allocate-spectrum</vt:lpwstr>
      </vt:variant>
      <vt:variant>
        <vt:lpwstr/>
      </vt:variant>
      <vt:variant>
        <vt:i4>4063273</vt:i4>
      </vt:variant>
      <vt:variant>
        <vt:i4>201</vt:i4>
      </vt:variant>
      <vt:variant>
        <vt:i4>0</vt:i4>
      </vt:variant>
      <vt:variant>
        <vt:i4>5</vt:i4>
      </vt:variant>
      <vt:variant>
        <vt:lpwstr>https://www.acma.gov.au/australian-radiofrequency-spectrum-plan</vt:lpwstr>
      </vt:variant>
      <vt:variant>
        <vt:lpwstr/>
      </vt:variant>
      <vt:variant>
        <vt:i4>196637</vt:i4>
      </vt:variant>
      <vt:variant>
        <vt:i4>198</vt:i4>
      </vt:variant>
      <vt:variant>
        <vt:i4>0</vt:i4>
      </vt:variant>
      <vt:variant>
        <vt:i4>5</vt:i4>
      </vt:variant>
      <vt:variant>
        <vt:lpwstr>https://www.legislation.gov.au/Series/C2004A04465</vt:lpwstr>
      </vt:variant>
      <vt:variant>
        <vt:lpwstr/>
      </vt:variant>
      <vt:variant>
        <vt:i4>2162742</vt:i4>
      </vt:variant>
      <vt:variant>
        <vt:i4>195</vt:i4>
      </vt:variant>
      <vt:variant>
        <vt:i4>0</vt:i4>
      </vt:variant>
      <vt:variant>
        <vt:i4>5</vt:i4>
      </vt:variant>
      <vt:variant>
        <vt:lpwstr>https://www.acma.gov.au/apparatus-licences</vt:lpwstr>
      </vt:variant>
      <vt:variant>
        <vt:lpwstr/>
      </vt:variant>
      <vt:variant>
        <vt:i4>196637</vt:i4>
      </vt:variant>
      <vt:variant>
        <vt:i4>192</vt:i4>
      </vt:variant>
      <vt:variant>
        <vt:i4>0</vt:i4>
      </vt:variant>
      <vt:variant>
        <vt:i4>5</vt:i4>
      </vt:variant>
      <vt:variant>
        <vt:lpwstr>https://www.legislation.gov.au/Series/C2004A04465</vt:lpwstr>
      </vt:variant>
      <vt:variant>
        <vt:lpwstr/>
      </vt:variant>
      <vt:variant>
        <vt:i4>1441816</vt:i4>
      </vt:variant>
      <vt:variant>
        <vt:i4>189</vt:i4>
      </vt:variant>
      <vt:variant>
        <vt:i4>0</vt:i4>
      </vt:variant>
      <vt:variant>
        <vt:i4>5</vt:i4>
      </vt:variant>
      <vt:variant>
        <vt:lpwstr>https://www.acma.gov.au/procedures-space-and-space-receive-licensing</vt:lpwstr>
      </vt:variant>
      <vt:variant>
        <vt:lpwstr/>
      </vt:variant>
      <vt:variant>
        <vt:i4>7471142</vt:i4>
      </vt:variant>
      <vt:variant>
        <vt:i4>186</vt:i4>
      </vt:variant>
      <vt:variant>
        <vt:i4>0</vt:i4>
      </vt:variant>
      <vt:variant>
        <vt:i4>5</vt:i4>
      </vt:variant>
      <vt:variant>
        <vt:lpwstr>https://www.legislation.gov.au/Details/F2021C00630</vt:lpwstr>
      </vt:variant>
      <vt:variant>
        <vt:lpwstr/>
      </vt:variant>
      <vt:variant>
        <vt:i4>65545</vt:i4>
      </vt:variant>
      <vt:variant>
        <vt:i4>183</vt:i4>
      </vt:variant>
      <vt:variant>
        <vt:i4>0</vt:i4>
      </vt:variant>
      <vt:variant>
        <vt:i4>5</vt:i4>
      </vt:variant>
      <vt:variant>
        <vt:lpwstr>https://www.acma.gov.au/disclaimer-business-operating-procedures</vt:lpwstr>
      </vt:variant>
      <vt:variant>
        <vt:lpwstr/>
      </vt:variant>
      <vt:variant>
        <vt:i4>5832717</vt:i4>
      </vt:variant>
      <vt:variant>
        <vt:i4>18</vt:i4>
      </vt:variant>
      <vt:variant>
        <vt:i4>0</vt:i4>
      </vt:variant>
      <vt:variant>
        <vt:i4>5</vt:i4>
      </vt:variant>
      <vt:variant>
        <vt:lpwstr>https://www.acma.gov.au/consultations/2021-12/proposed-licensing-arrangements-2-ghz-narrowband-mobile-satellite-services-and-28-ghz-fixed-satellite-services-consultation-462021</vt:lpwstr>
      </vt:variant>
      <vt:variant>
        <vt:lpwstr/>
      </vt:variant>
      <vt:variant>
        <vt:i4>3014757</vt:i4>
      </vt:variant>
      <vt:variant>
        <vt:i4>15</vt:i4>
      </vt:variant>
      <vt:variant>
        <vt:i4>0</vt:i4>
      </vt:variant>
      <vt:variant>
        <vt:i4>5</vt:i4>
      </vt:variant>
      <vt:variant>
        <vt:lpwstr>https://webarchive.nla.gov.au/awa/20220603130323/http:/acma.gov.au/consultations/2021-09/updating-regulatory-requirements-earth-stations-motion-consultation-332021</vt:lpwstr>
      </vt:variant>
      <vt:variant>
        <vt:lpwstr/>
      </vt:variant>
      <vt:variant>
        <vt:i4>2818168</vt:i4>
      </vt:variant>
      <vt:variant>
        <vt:i4>12</vt:i4>
      </vt:variant>
      <vt:variant>
        <vt:i4>0</vt:i4>
      </vt:variant>
      <vt:variant>
        <vt:i4>5</vt:i4>
      </vt:variant>
      <vt:variant>
        <vt:lpwstr>http://web.archive.org/web/20201031203042/https:/www.acma.gov.au/consultations/2019-12/improved-spectrum-access-and-pricing-satellite-services-consultation-402019</vt:lpwstr>
      </vt:variant>
      <vt:variant>
        <vt:lpwstr/>
      </vt:variant>
      <vt:variant>
        <vt:i4>5439561</vt:i4>
      </vt:variant>
      <vt:variant>
        <vt:i4>9</vt:i4>
      </vt:variant>
      <vt:variant>
        <vt:i4>0</vt:i4>
      </vt:variant>
      <vt:variant>
        <vt:i4>5</vt:i4>
      </vt:variant>
      <vt:variant>
        <vt:lpwstr>http://web.archive.org/web/20201031200136/https:/www.acma.gov.au/consultations/2019-11/review-space-licensing-procedures-consultation-382019</vt:lpwstr>
      </vt:variant>
      <vt:variant>
        <vt:lpwstr/>
      </vt:variant>
      <vt:variant>
        <vt:i4>7864447</vt:i4>
      </vt:variant>
      <vt:variant>
        <vt:i4>6</vt:i4>
      </vt:variant>
      <vt:variant>
        <vt:i4>0</vt:i4>
      </vt:variant>
      <vt:variant>
        <vt:i4>5</vt:i4>
      </vt:variant>
      <vt:variant>
        <vt:lpwstr>https://webarchive.nla.gov.au/awa/20190808083011/https:/www.acma.gov.au/theACMA/earth-stations-in-motion-in-ku-band</vt:lpwstr>
      </vt:variant>
      <vt:variant>
        <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262225</vt:i4>
      </vt:variant>
      <vt:variant>
        <vt:i4>12</vt:i4>
      </vt:variant>
      <vt:variant>
        <vt:i4>0</vt:i4>
      </vt:variant>
      <vt:variant>
        <vt:i4>5</vt:i4>
      </vt:variant>
      <vt:variant>
        <vt:lpwstr>http://www.itu.int/ITU-R/go/space-preface/en</vt:lpwstr>
      </vt:variant>
      <vt:variant>
        <vt:lpwstr/>
      </vt:variant>
      <vt:variant>
        <vt:i4>524374</vt:i4>
      </vt:variant>
      <vt:variant>
        <vt:i4>9</vt:i4>
      </vt:variant>
      <vt:variant>
        <vt:i4>0</vt:i4>
      </vt:variant>
      <vt:variant>
        <vt:i4>5</vt:i4>
      </vt:variant>
      <vt:variant>
        <vt:lpwstr>http://www.itu.int/net/ITU-R/space/snl/bsearchb/spublication.asp</vt:lpwstr>
      </vt:variant>
      <vt:variant>
        <vt:lpwstr/>
      </vt:variant>
      <vt:variant>
        <vt:i4>8257646</vt:i4>
      </vt:variant>
      <vt:variant>
        <vt:i4>6</vt:i4>
      </vt:variant>
      <vt:variant>
        <vt:i4>0</vt:i4>
      </vt:variant>
      <vt:variant>
        <vt:i4>5</vt:i4>
      </vt:variant>
      <vt:variant>
        <vt:lpwstr>https://www.acma.gov.au/spectrum-forms</vt:lpwstr>
      </vt:variant>
      <vt:variant>
        <vt:lpwstr/>
      </vt:variant>
      <vt:variant>
        <vt:i4>7733359</vt:i4>
      </vt:variant>
      <vt:variant>
        <vt:i4>3</vt:i4>
      </vt:variant>
      <vt:variant>
        <vt:i4>0</vt:i4>
      </vt:variant>
      <vt:variant>
        <vt:i4>5</vt:i4>
      </vt:variant>
      <vt:variant>
        <vt:lpwstr>https://www.itu.int/en/ITU-R/space/Pages/epfdData.aspx</vt:lpwstr>
      </vt:variant>
      <vt:variant>
        <vt:lpwstr/>
      </vt:variant>
      <vt:variant>
        <vt:i4>262225</vt:i4>
      </vt:variant>
      <vt:variant>
        <vt:i4>0</vt:i4>
      </vt:variant>
      <vt:variant>
        <vt:i4>0</vt:i4>
      </vt:variant>
      <vt:variant>
        <vt:i4>5</vt:i4>
      </vt:variant>
      <vt:variant>
        <vt:lpwstr>http://www.itu.int/ITU-R/go/space-preface/en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2023-12-18T02:18:00Z</dcterms:created>
  <dcterms:modified xsi:type="dcterms:W3CDTF">2023-12-18T02:19:00Z</dcterms:modified>
  <cp:category/>
</cp:coreProperties>
</file>