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F862" w14:textId="68A0B434" w:rsidR="006F56A5" w:rsidRPr="00630D9A" w:rsidRDefault="006F56A5" w:rsidP="006F56A5">
      <w:pPr>
        <w:pStyle w:val="Reporttitle"/>
      </w:pPr>
      <w:r>
        <w:t xml:space="preserve">Expiring spectrum licences </w:t>
      </w:r>
    </w:p>
    <w:p w14:paraId="66B85533" w14:textId="227C6FC0" w:rsidR="006F56A5" w:rsidRPr="00630D9A" w:rsidRDefault="006F56A5" w:rsidP="006F56A5">
      <w:pPr>
        <w:pStyle w:val="Reportsubtitle"/>
      </w:pPr>
      <w:r>
        <w:t>Finalised framework and response to submissions</w:t>
      </w:r>
    </w:p>
    <w:p w14:paraId="29F69568" w14:textId="54D43288" w:rsidR="00C97736" w:rsidRPr="00E162C4" w:rsidRDefault="006F56A5" w:rsidP="00EC2B68">
      <w:pPr>
        <w:pStyle w:val="Reportdate"/>
        <w:spacing w:after="720"/>
        <w:rPr>
          <w:rFonts w:cs="Arial"/>
        </w:rPr>
        <w:sectPr w:rsidR="00C97736" w:rsidRPr="00E162C4" w:rsidSect="0021426C">
          <w:headerReference w:type="even" r:id="rId11"/>
          <w:headerReference w:type="default" r:id="rId12"/>
          <w:footerReference w:type="even" r:id="rId13"/>
          <w:footerReference w:type="default" r:id="rId14"/>
          <w:headerReference w:type="first" r:id="rId15"/>
          <w:footerReference w:type="first" r:id="rId16"/>
          <w:pgSz w:w="11906" w:h="16838" w:code="9"/>
          <w:pgMar w:top="3924" w:right="992" w:bottom="1440" w:left="1134" w:header="709" w:footer="454" w:gutter="0"/>
          <w:cols w:space="708"/>
          <w:docGrid w:linePitch="360"/>
        </w:sectPr>
      </w:pPr>
      <w:r>
        <w:t>December</w:t>
      </w:r>
      <w:r w:rsidR="00BD4421" w:rsidRPr="00E162C4">
        <w:t xml:space="preserve"> 20</w:t>
      </w:r>
      <w:r w:rsidR="008E0428" w:rsidRPr="00E162C4">
        <w:t>2</w:t>
      </w:r>
      <w:r w:rsidR="008500E5">
        <w:t>3</w:t>
      </w:r>
    </w:p>
    <w:p w14:paraId="73CE8454" w14:textId="77777777" w:rsidR="0005011A" w:rsidRPr="00E162C4" w:rsidRDefault="0005011A" w:rsidP="00FC07B9">
      <w:pPr>
        <w:pStyle w:val="ACMACorporateAddressHeader"/>
      </w:pPr>
      <w:r w:rsidRPr="00E162C4">
        <w:lastRenderedPageBreak/>
        <w:t>Canberra</w:t>
      </w:r>
    </w:p>
    <w:p w14:paraId="54B78AA4"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204EA6CC" w14:textId="77777777" w:rsidR="0005011A" w:rsidRPr="00E162C4" w:rsidRDefault="0005011A" w:rsidP="00FC07B9">
      <w:pPr>
        <w:pStyle w:val="ACMACorporateAddresses"/>
      </w:pPr>
      <w:r w:rsidRPr="00E162C4">
        <w:t>PO Box 78</w:t>
      </w:r>
      <w:r w:rsidRPr="00E162C4">
        <w:br/>
        <w:t>Belconnen ACT 2616</w:t>
      </w:r>
    </w:p>
    <w:p w14:paraId="0461A532"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310B34C6" w14:textId="77777777" w:rsidR="0005011A" w:rsidRPr="00E162C4" w:rsidRDefault="0005011A" w:rsidP="00FC07B9">
      <w:pPr>
        <w:pStyle w:val="ACMACorporateAddressHeader"/>
      </w:pPr>
      <w:r w:rsidRPr="00E162C4">
        <w:t>Melbourne</w:t>
      </w:r>
    </w:p>
    <w:p w14:paraId="15F45FF5"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5B11ED2E"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59C4D9DF"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6FE729E2" w14:textId="77777777" w:rsidR="0005011A" w:rsidRPr="00E162C4" w:rsidRDefault="0005011A" w:rsidP="00FC07B9">
      <w:pPr>
        <w:pStyle w:val="ACMACorporateAddressHeader"/>
      </w:pPr>
      <w:r w:rsidRPr="00E162C4">
        <w:t>Sydney</w:t>
      </w:r>
    </w:p>
    <w:p w14:paraId="123EB632"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0AE04FA5"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5A5C1840"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1A1B28A4" w14:textId="77777777" w:rsidR="00140318" w:rsidRPr="00E162C4" w:rsidRDefault="00140318" w:rsidP="00FC07B9">
      <w:pPr>
        <w:pStyle w:val="ACMACopyrightHeader"/>
      </w:pPr>
      <w:r w:rsidRPr="00E162C4">
        <w:t>Copyright notice</w:t>
      </w:r>
    </w:p>
    <w:p w14:paraId="1EF2E9CE" w14:textId="77777777" w:rsidR="00140318" w:rsidRPr="00E162C4" w:rsidRDefault="00623FF9" w:rsidP="00623FF9">
      <w:pPr>
        <w:pStyle w:val="ACMACClogo"/>
      </w:pPr>
      <w:r w:rsidRPr="00E162C4">
        <w:rPr>
          <w:noProof/>
        </w:rPr>
        <w:drawing>
          <wp:inline distT="0" distB="0" distL="0" distR="0" wp14:anchorId="12491FA0" wp14:editId="1A4EE5BD">
            <wp:extent cx="838200" cy="295275"/>
            <wp:effectExtent l="0" t="0" r="0" b="0"/>
            <wp:docPr id="1" name="Picture 1" title="Creative Common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7"/>
                    </pic:cNvPr>
                    <pic:cNvPicPr>
                      <a:picLocks noChangeAspect="1" noChangeArrowheads="1"/>
                    </pic:cNvPicPr>
                  </pic:nvPicPr>
                  <pic:blipFill>
                    <a:blip r:embed="rId18" cstate="print"/>
                    <a:srcRect/>
                    <a:stretch>
                      <a:fillRect/>
                    </a:stretch>
                  </pic:blipFill>
                  <pic:spPr bwMode="auto">
                    <a:xfrm>
                      <a:off x="0" y="0"/>
                      <a:ext cx="838200" cy="295275"/>
                    </a:xfrm>
                    <a:prstGeom prst="rect">
                      <a:avLst/>
                    </a:prstGeom>
                    <a:noFill/>
                  </pic:spPr>
                </pic:pic>
              </a:graphicData>
            </a:graphic>
          </wp:inline>
        </w:drawing>
      </w:r>
    </w:p>
    <w:p w14:paraId="68004F96" w14:textId="77777777" w:rsidR="00AA2DE5" w:rsidRPr="00E162C4" w:rsidRDefault="00000000" w:rsidP="00AA2DE5">
      <w:pPr>
        <w:pStyle w:val="ACMACorporateAddresses"/>
        <w:rPr>
          <w:rStyle w:val="Hyperlink"/>
        </w:rPr>
      </w:pPr>
      <w:hyperlink r:id="rId19" w:history="1">
        <w:r w:rsidR="00AA2DE5" w:rsidRPr="00E162C4">
          <w:rPr>
            <w:rStyle w:val="Hyperlink"/>
          </w:rPr>
          <w:t>https://creativecommons.org/licenses/by/4.0/</w:t>
        </w:r>
      </w:hyperlink>
    </w:p>
    <w:p w14:paraId="6EFA1FD5" w14:textId="77777777" w:rsidR="00AA2DE5" w:rsidRPr="00E162C4" w:rsidRDefault="00AA2DE5" w:rsidP="00AA2DE5">
      <w:pPr>
        <w:pStyle w:val="ACMACorporateAddresses"/>
      </w:pPr>
      <w:proofErr w:type="gramStart"/>
      <w:r w:rsidRPr="00E162C4">
        <w:t>With the exception of</w:t>
      </w:r>
      <w:proofErr w:type="gramEnd"/>
      <w:r w:rsidRPr="00E162C4">
        <w:t xml:space="preserve"> coats of arms, logos, emblems, images, other third-party material or devices protected by a trademark, this content is made available under the terms of the Creative Commons Attribution 4.0 International (CC BY 4.0) licence. </w:t>
      </w:r>
    </w:p>
    <w:p w14:paraId="0CA40F44"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8500E5">
        <w:t>3</w:t>
      </w:r>
      <w:r w:rsidRPr="00E162C4">
        <w:t>.</w:t>
      </w:r>
    </w:p>
    <w:p w14:paraId="0CEA51F0" w14:textId="77777777" w:rsidR="00AA2DE5" w:rsidRPr="00E162C4" w:rsidRDefault="00AA2DE5" w:rsidP="00AA2DE5">
      <w:pPr>
        <w:pStyle w:val="ACMACorporateAddresses"/>
      </w:pPr>
      <w:r w:rsidRPr="00E162C4">
        <w:t>All other rights are reserved.</w:t>
      </w:r>
    </w:p>
    <w:p w14:paraId="14561A70"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64101A5" w14:textId="77777777" w:rsidR="00AA2DE5" w:rsidRPr="00E162C4" w:rsidRDefault="00AA2DE5" w:rsidP="00AA2DE5">
      <w:pPr>
        <w:pStyle w:val="ACMACorporateAddresses"/>
      </w:pPr>
      <w:r w:rsidRPr="00E162C4">
        <w:t>Written enquiries may be sent to:</w:t>
      </w:r>
    </w:p>
    <w:p w14:paraId="46E8F14E"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20" w:history="1">
        <w:r w:rsidRPr="00E162C4">
          <w:rPr>
            <w:rStyle w:val="Hyperlink"/>
          </w:rPr>
          <w:t>info@acma.gov.au</w:t>
        </w:r>
      </w:hyperlink>
    </w:p>
    <w:p w14:paraId="717E196C" w14:textId="77777777" w:rsidR="00D16FE3" w:rsidRPr="00E162C4" w:rsidRDefault="00D16FE3" w:rsidP="00D16FE3">
      <w:pPr>
        <w:pStyle w:val="ACMACorporateAddresses"/>
        <w:rPr>
          <w:rStyle w:val="Hyperlink"/>
        </w:rPr>
      </w:pPr>
    </w:p>
    <w:p w14:paraId="0DA22725" w14:textId="77777777" w:rsidR="00D16FE3" w:rsidRPr="00E162C4" w:rsidRDefault="00D16FE3" w:rsidP="00D16FE3">
      <w:pPr>
        <w:pStyle w:val="ACMACorporateAddresses"/>
        <w:sectPr w:rsidR="00D16FE3" w:rsidRPr="00E162C4">
          <w:headerReference w:type="even" r:id="rId21"/>
          <w:headerReference w:type="default" r:id="rId22"/>
          <w:footerReference w:type="even" r:id="rId23"/>
          <w:footerReference w:type="default" r:id="rId24"/>
          <w:headerReference w:type="first" r:id="rId25"/>
          <w:pgSz w:w="11906" w:h="16838" w:code="9"/>
          <w:pgMar w:top="3924" w:right="1797" w:bottom="697" w:left="1134" w:header="709" w:footer="119" w:gutter="0"/>
          <w:cols w:space="708"/>
          <w:docGrid w:linePitch="360"/>
        </w:sectPr>
      </w:pPr>
    </w:p>
    <w:p w14:paraId="3A02171B" w14:textId="2FFF105C" w:rsidR="00825B82"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53795056" w:history="1">
        <w:r w:rsidR="00825B82" w:rsidRPr="00A44F05">
          <w:rPr>
            <w:rStyle w:val="Hyperlink"/>
          </w:rPr>
          <w:t>Executive summary</w:t>
        </w:r>
        <w:r w:rsidR="00825B82">
          <w:rPr>
            <w:webHidden/>
          </w:rPr>
          <w:tab/>
        </w:r>
        <w:r w:rsidR="00825B82">
          <w:rPr>
            <w:webHidden/>
          </w:rPr>
          <w:fldChar w:fldCharType="begin"/>
        </w:r>
        <w:r w:rsidR="00825B82">
          <w:rPr>
            <w:webHidden/>
          </w:rPr>
          <w:instrText xml:space="preserve"> PAGEREF _Toc153795056 \h </w:instrText>
        </w:r>
        <w:r w:rsidR="00825B82">
          <w:rPr>
            <w:webHidden/>
          </w:rPr>
        </w:r>
        <w:r w:rsidR="00825B82">
          <w:rPr>
            <w:webHidden/>
          </w:rPr>
          <w:fldChar w:fldCharType="separate"/>
        </w:r>
        <w:r w:rsidR="00825B82">
          <w:rPr>
            <w:webHidden/>
          </w:rPr>
          <w:t>1</w:t>
        </w:r>
        <w:r w:rsidR="00825B82">
          <w:rPr>
            <w:webHidden/>
          </w:rPr>
          <w:fldChar w:fldCharType="end"/>
        </w:r>
      </w:hyperlink>
    </w:p>
    <w:p w14:paraId="7D3D2A51" w14:textId="22141F80" w:rsidR="00825B82" w:rsidRDefault="00000000">
      <w:pPr>
        <w:pStyle w:val="TOC1"/>
        <w:rPr>
          <w:rFonts w:asciiTheme="minorHAnsi" w:eastAsiaTheme="minorEastAsia" w:hAnsiTheme="minorHAnsi" w:cstheme="minorBidi"/>
          <w:b w:val="0"/>
          <w:spacing w:val="0"/>
          <w:sz w:val="22"/>
          <w:szCs w:val="22"/>
        </w:rPr>
      </w:pPr>
      <w:hyperlink w:anchor="_Toc153795057" w:history="1">
        <w:r w:rsidR="00825B82" w:rsidRPr="00A44F05">
          <w:rPr>
            <w:rStyle w:val="Hyperlink"/>
          </w:rPr>
          <w:t>Background</w:t>
        </w:r>
        <w:r w:rsidR="00825B82">
          <w:rPr>
            <w:webHidden/>
          </w:rPr>
          <w:tab/>
        </w:r>
        <w:r w:rsidR="00825B82">
          <w:rPr>
            <w:webHidden/>
          </w:rPr>
          <w:fldChar w:fldCharType="begin"/>
        </w:r>
        <w:r w:rsidR="00825B82">
          <w:rPr>
            <w:webHidden/>
          </w:rPr>
          <w:instrText xml:space="preserve"> PAGEREF _Toc153795057 \h </w:instrText>
        </w:r>
        <w:r w:rsidR="00825B82">
          <w:rPr>
            <w:webHidden/>
          </w:rPr>
        </w:r>
        <w:r w:rsidR="00825B82">
          <w:rPr>
            <w:webHidden/>
          </w:rPr>
          <w:fldChar w:fldCharType="separate"/>
        </w:r>
        <w:r w:rsidR="00825B82">
          <w:rPr>
            <w:webHidden/>
          </w:rPr>
          <w:t>3</w:t>
        </w:r>
        <w:r w:rsidR="00825B82">
          <w:rPr>
            <w:webHidden/>
          </w:rPr>
          <w:fldChar w:fldCharType="end"/>
        </w:r>
      </w:hyperlink>
    </w:p>
    <w:p w14:paraId="2E8D5884" w14:textId="3A29365A" w:rsidR="00825B82" w:rsidRDefault="00000000">
      <w:pPr>
        <w:pStyle w:val="TOC2"/>
        <w:rPr>
          <w:rFonts w:asciiTheme="minorHAnsi" w:eastAsiaTheme="minorEastAsia" w:hAnsiTheme="minorHAnsi" w:cstheme="minorBidi"/>
          <w:spacing w:val="0"/>
          <w:sz w:val="22"/>
          <w:szCs w:val="22"/>
        </w:rPr>
      </w:pPr>
      <w:hyperlink w:anchor="_Toc153795058" w:history="1">
        <w:r w:rsidR="00825B82" w:rsidRPr="00A44F05">
          <w:rPr>
            <w:rStyle w:val="Hyperlink"/>
          </w:rPr>
          <w:t>Spectrum licences</w:t>
        </w:r>
        <w:r w:rsidR="00825B82">
          <w:rPr>
            <w:webHidden/>
          </w:rPr>
          <w:tab/>
        </w:r>
        <w:r w:rsidR="00825B82">
          <w:rPr>
            <w:webHidden/>
          </w:rPr>
          <w:fldChar w:fldCharType="begin"/>
        </w:r>
        <w:r w:rsidR="00825B82">
          <w:rPr>
            <w:webHidden/>
          </w:rPr>
          <w:instrText xml:space="preserve"> PAGEREF _Toc153795058 \h </w:instrText>
        </w:r>
        <w:r w:rsidR="00825B82">
          <w:rPr>
            <w:webHidden/>
          </w:rPr>
        </w:r>
        <w:r w:rsidR="00825B82">
          <w:rPr>
            <w:webHidden/>
          </w:rPr>
          <w:fldChar w:fldCharType="separate"/>
        </w:r>
        <w:r w:rsidR="00825B82">
          <w:rPr>
            <w:webHidden/>
          </w:rPr>
          <w:t>3</w:t>
        </w:r>
        <w:r w:rsidR="00825B82">
          <w:rPr>
            <w:webHidden/>
          </w:rPr>
          <w:fldChar w:fldCharType="end"/>
        </w:r>
      </w:hyperlink>
    </w:p>
    <w:p w14:paraId="7F8999CA" w14:textId="00A3F9A7" w:rsidR="00825B82" w:rsidRDefault="00000000">
      <w:pPr>
        <w:pStyle w:val="TOC2"/>
        <w:rPr>
          <w:rFonts w:asciiTheme="minorHAnsi" w:eastAsiaTheme="minorEastAsia" w:hAnsiTheme="minorHAnsi" w:cstheme="minorBidi"/>
          <w:spacing w:val="0"/>
          <w:sz w:val="22"/>
          <w:szCs w:val="22"/>
        </w:rPr>
      </w:pPr>
      <w:hyperlink w:anchor="_Toc153795059" w:history="1">
        <w:r w:rsidR="00825B82" w:rsidRPr="00A44F05">
          <w:rPr>
            <w:rStyle w:val="Hyperlink"/>
          </w:rPr>
          <w:t>Expiration of spectrum licences</w:t>
        </w:r>
        <w:r w:rsidR="00825B82">
          <w:rPr>
            <w:webHidden/>
          </w:rPr>
          <w:tab/>
        </w:r>
        <w:r w:rsidR="00825B82">
          <w:rPr>
            <w:webHidden/>
          </w:rPr>
          <w:fldChar w:fldCharType="begin"/>
        </w:r>
        <w:r w:rsidR="00825B82">
          <w:rPr>
            <w:webHidden/>
          </w:rPr>
          <w:instrText xml:space="preserve"> PAGEREF _Toc153795059 \h </w:instrText>
        </w:r>
        <w:r w:rsidR="00825B82">
          <w:rPr>
            <w:webHidden/>
          </w:rPr>
        </w:r>
        <w:r w:rsidR="00825B82">
          <w:rPr>
            <w:webHidden/>
          </w:rPr>
          <w:fldChar w:fldCharType="separate"/>
        </w:r>
        <w:r w:rsidR="00825B82">
          <w:rPr>
            <w:webHidden/>
          </w:rPr>
          <w:t>3</w:t>
        </w:r>
        <w:r w:rsidR="00825B82">
          <w:rPr>
            <w:webHidden/>
          </w:rPr>
          <w:fldChar w:fldCharType="end"/>
        </w:r>
      </w:hyperlink>
    </w:p>
    <w:p w14:paraId="5CDDD26B" w14:textId="273F917A" w:rsidR="00825B82" w:rsidRDefault="00000000">
      <w:pPr>
        <w:pStyle w:val="TOC1"/>
        <w:rPr>
          <w:rFonts w:asciiTheme="minorHAnsi" w:eastAsiaTheme="minorEastAsia" w:hAnsiTheme="minorHAnsi" w:cstheme="minorBidi"/>
          <w:b w:val="0"/>
          <w:spacing w:val="0"/>
          <w:sz w:val="22"/>
          <w:szCs w:val="22"/>
        </w:rPr>
      </w:pPr>
      <w:hyperlink w:anchor="_Toc153795060" w:history="1">
        <w:r w:rsidR="00825B82" w:rsidRPr="00A44F05">
          <w:rPr>
            <w:rStyle w:val="Hyperlink"/>
          </w:rPr>
          <w:t>ESL process</w:t>
        </w:r>
        <w:r w:rsidR="00825B82">
          <w:rPr>
            <w:webHidden/>
          </w:rPr>
          <w:tab/>
        </w:r>
        <w:r w:rsidR="00825B82">
          <w:rPr>
            <w:webHidden/>
          </w:rPr>
          <w:fldChar w:fldCharType="begin"/>
        </w:r>
        <w:r w:rsidR="00825B82">
          <w:rPr>
            <w:webHidden/>
          </w:rPr>
          <w:instrText xml:space="preserve"> PAGEREF _Toc153795060 \h </w:instrText>
        </w:r>
        <w:r w:rsidR="00825B82">
          <w:rPr>
            <w:webHidden/>
          </w:rPr>
        </w:r>
        <w:r w:rsidR="00825B82">
          <w:rPr>
            <w:webHidden/>
          </w:rPr>
          <w:fldChar w:fldCharType="separate"/>
        </w:r>
        <w:r w:rsidR="00825B82">
          <w:rPr>
            <w:webHidden/>
          </w:rPr>
          <w:t>6</w:t>
        </w:r>
        <w:r w:rsidR="00825B82">
          <w:rPr>
            <w:webHidden/>
          </w:rPr>
          <w:fldChar w:fldCharType="end"/>
        </w:r>
      </w:hyperlink>
    </w:p>
    <w:p w14:paraId="44DE2C69" w14:textId="04EE70EE" w:rsidR="00825B82" w:rsidRDefault="00000000">
      <w:pPr>
        <w:pStyle w:val="TOC2"/>
        <w:rPr>
          <w:rFonts w:asciiTheme="minorHAnsi" w:eastAsiaTheme="minorEastAsia" w:hAnsiTheme="minorHAnsi" w:cstheme="minorBidi"/>
          <w:spacing w:val="0"/>
          <w:sz w:val="22"/>
          <w:szCs w:val="22"/>
        </w:rPr>
      </w:pPr>
      <w:hyperlink w:anchor="_Toc153795061" w:history="1">
        <w:r w:rsidR="00825B82" w:rsidRPr="00A44F05">
          <w:rPr>
            <w:rStyle w:val="Hyperlink"/>
          </w:rPr>
          <w:t>Design objectives</w:t>
        </w:r>
        <w:r w:rsidR="00825B82">
          <w:rPr>
            <w:webHidden/>
          </w:rPr>
          <w:tab/>
        </w:r>
        <w:r w:rsidR="00825B82">
          <w:rPr>
            <w:webHidden/>
          </w:rPr>
          <w:fldChar w:fldCharType="begin"/>
        </w:r>
        <w:r w:rsidR="00825B82">
          <w:rPr>
            <w:webHidden/>
          </w:rPr>
          <w:instrText xml:space="preserve"> PAGEREF _Toc153795061 \h </w:instrText>
        </w:r>
        <w:r w:rsidR="00825B82">
          <w:rPr>
            <w:webHidden/>
          </w:rPr>
        </w:r>
        <w:r w:rsidR="00825B82">
          <w:rPr>
            <w:webHidden/>
          </w:rPr>
          <w:fldChar w:fldCharType="separate"/>
        </w:r>
        <w:r w:rsidR="00825B82">
          <w:rPr>
            <w:webHidden/>
          </w:rPr>
          <w:t>6</w:t>
        </w:r>
        <w:r w:rsidR="00825B82">
          <w:rPr>
            <w:webHidden/>
          </w:rPr>
          <w:fldChar w:fldCharType="end"/>
        </w:r>
      </w:hyperlink>
    </w:p>
    <w:p w14:paraId="1A5A944F" w14:textId="7BCF84D5" w:rsidR="00825B82" w:rsidRDefault="00000000">
      <w:pPr>
        <w:pStyle w:val="TOC2"/>
        <w:rPr>
          <w:rFonts w:asciiTheme="minorHAnsi" w:eastAsiaTheme="minorEastAsia" w:hAnsiTheme="minorHAnsi" w:cstheme="minorBidi"/>
          <w:spacing w:val="0"/>
          <w:sz w:val="22"/>
          <w:szCs w:val="22"/>
        </w:rPr>
      </w:pPr>
      <w:hyperlink w:anchor="_Toc153795062" w:history="1">
        <w:r w:rsidR="00825B82" w:rsidRPr="00A44F05">
          <w:rPr>
            <w:rStyle w:val="Hyperlink"/>
            <w:shd w:val="clear" w:color="auto" w:fill="FFFFFF"/>
          </w:rPr>
          <w:t>Finalised ESL process</w:t>
        </w:r>
        <w:r w:rsidR="00825B82">
          <w:rPr>
            <w:webHidden/>
          </w:rPr>
          <w:tab/>
        </w:r>
        <w:r w:rsidR="00825B82">
          <w:rPr>
            <w:webHidden/>
          </w:rPr>
          <w:fldChar w:fldCharType="begin"/>
        </w:r>
        <w:r w:rsidR="00825B82">
          <w:rPr>
            <w:webHidden/>
          </w:rPr>
          <w:instrText xml:space="preserve"> PAGEREF _Toc153795062 \h </w:instrText>
        </w:r>
        <w:r w:rsidR="00825B82">
          <w:rPr>
            <w:webHidden/>
          </w:rPr>
        </w:r>
        <w:r w:rsidR="00825B82">
          <w:rPr>
            <w:webHidden/>
          </w:rPr>
          <w:fldChar w:fldCharType="separate"/>
        </w:r>
        <w:r w:rsidR="00825B82">
          <w:rPr>
            <w:webHidden/>
          </w:rPr>
          <w:t>7</w:t>
        </w:r>
        <w:r w:rsidR="00825B82">
          <w:rPr>
            <w:webHidden/>
          </w:rPr>
          <w:fldChar w:fldCharType="end"/>
        </w:r>
      </w:hyperlink>
    </w:p>
    <w:p w14:paraId="1FF85E36" w14:textId="7E7DCFCC" w:rsidR="00825B82" w:rsidRDefault="00000000">
      <w:pPr>
        <w:pStyle w:val="TOC2"/>
        <w:rPr>
          <w:rFonts w:asciiTheme="minorHAnsi" w:eastAsiaTheme="minorEastAsia" w:hAnsiTheme="minorHAnsi" w:cstheme="minorBidi"/>
          <w:spacing w:val="0"/>
          <w:sz w:val="22"/>
          <w:szCs w:val="22"/>
        </w:rPr>
      </w:pPr>
      <w:hyperlink w:anchor="_Toc153795063" w:history="1">
        <w:r w:rsidR="00825B82" w:rsidRPr="00A44F05">
          <w:rPr>
            <w:rStyle w:val="Hyperlink"/>
          </w:rPr>
          <w:t>Stage 2: information gathering, examining use, views on frequency bands, alternative licensing conditions, stakeholder feedback on issues around resilience and temporary disaster responses (Q1 2024)</w:t>
        </w:r>
        <w:r w:rsidR="00825B82">
          <w:rPr>
            <w:webHidden/>
          </w:rPr>
          <w:tab/>
        </w:r>
        <w:r w:rsidR="00825B82">
          <w:rPr>
            <w:webHidden/>
          </w:rPr>
          <w:fldChar w:fldCharType="begin"/>
        </w:r>
        <w:r w:rsidR="00825B82">
          <w:rPr>
            <w:webHidden/>
          </w:rPr>
          <w:instrText xml:space="preserve"> PAGEREF _Toc153795063 \h </w:instrText>
        </w:r>
        <w:r w:rsidR="00825B82">
          <w:rPr>
            <w:webHidden/>
          </w:rPr>
        </w:r>
        <w:r w:rsidR="00825B82">
          <w:rPr>
            <w:webHidden/>
          </w:rPr>
          <w:fldChar w:fldCharType="separate"/>
        </w:r>
        <w:r w:rsidR="00825B82">
          <w:rPr>
            <w:webHidden/>
          </w:rPr>
          <w:t>8</w:t>
        </w:r>
        <w:r w:rsidR="00825B82">
          <w:rPr>
            <w:webHidden/>
          </w:rPr>
          <w:fldChar w:fldCharType="end"/>
        </w:r>
      </w:hyperlink>
    </w:p>
    <w:p w14:paraId="16430A59" w14:textId="25E3F1D8" w:rsidR="00825B82" w:rsidRDefault="00000000">
      <w:pPr>
        <w:pStyle w:val="TOC2"/>
        <w:rPr>
          <w:rFonts w:asciiTheme="minorHAnsi" w:eastAsiaTheme="minorEastAsia" w:hAnsiTheme="minorHAnsi" w:cstheme="minorBidi"/>
          <w:spacing w:val="0"/>
          <w:sz w:val="22"/>
          <w:szCs w:val="22"/>
        </w:rPr>
      </w:pPr>
      <w:hyperlink w:anchor="_Toc153795064" w:history="1">
        <w:r w:rsidR="00825B82" w:rsidRPr="00A44F05">
          <w:rPr>
            <w:rStyle w:val="Hyperlink"/>
          </w:rPr>
          <w:t>Stage 3: preliminary views (Q4 2024)</w:t>
        </w:r>
        <w:r w:rsidR="00825B82">
          <w:rPr>
            <w:webHidden/>
          </w:rPr>
          <w:tab/>
        </w:r>
        <w:r w:rsidR="00825B82">
          <w:rPr>
            <w:webHidden/>
          </w:rPr>
          <w:fldChar w:fldCharType="begin"/>
        </w:r>
        <w:r w:rsidR="00825B82">
          <w:rPr>
            <w:webHidden/>
          </w:rPr>
          <w:instrText xml:space="preserve"> PAGEREF _Toc153795064 \h </w:instrText>
        </w:r>
        <w:r w:rsidR="00825B82">
          <w:rPr>
            <w:webHidden/>
          </w:rPr>
        </w:r>
        <w:r w:rsidR="00825B82">
          <w:rPr>
            <w:webHidden/>
          </w:rPr>
          <w:fldChar w:fldCharType="separate"/>
        </w:r>
        <w:r w:rsidR="00825B82">
          <w:rPr>
            <w:webHidden/>
          </w:rPr>
          <w:t>14</w:t>
        </w:r>
        <w:r w:rsidR="00825B82">
          <w:rPr>
            <w:webHidden/>
          </w:rPr>
          <w:fldChar w:fldCharType="end"/>
        </w:r>
      </w:hyperlink>
    </w:p>
    <w:p w14:paraId="24F0ABCF" w14:textId="21C4D445" w:rsidR="00825B82" w:rsidRDefault="00000000">
      <w:pPr>
        <w:pStyle w:val="TOC2"/>
        <w:rPr>
          <w:rFonts w:asciiTheme="minorHAnsi" w:eastAsiaTheme="minorEastAsia" w:hAnsiTheme="minorHAnsi" w:cstheme="minorBidi"/>
          <w:spacing w:val="0"/>
          <w:sz w:val="22"/>
          <w:szCs w:val="22"/>
        </w:rPr>
      </w:pPr>
      <w:hyperlink w:anchor="_Toc153795065" w:history="1">
        <w:r w:rsidR="00825B82" w:rsidRPr="00A44F05">
          <w:rPr>
            <w:rStyle w:val="Hyperlink"/>
          </w:rPr>
          <w:t>Stage 4: preferred views, renewal application and decision-making (commencing 2025)</w:t>
        </w:r>
        <w:r w:rsidR="00825B82">
          <w:rPr>
            <w:webHidden/>
          </w:rPr>
          <w:tab/>
        </w:r>
        <w:r w:rsidR="00825B82">
          <w:rPr>
            <w:webHidden/>
          </w:rPr>
          <w:fldChar w:fldCharType="begin"/>
        </w:r>
        <w:r w:rsidR="00825B82">
          <w:rPr>
            <w:webHidden/>
          </w:rPr>
          <w:instrText xml:space="preserve"> PAGEREF _Toc153795065 \h </w:instrText>
        </w:r>
        <w:r w:rsidR="00825B82">
          <w:rPr>
            <w:webHidden/>
          </w:rPr>
        </w:r>
        <w:r w:rsidR="00825B82">
          <w:rPr>
            <w:webHidden/>
          </w:rPr>
          <w:fldChar w:fldCharType="separate"/>
        </w:r>
        <w:r w:rsidR="00825B82">
          <w:rPr>
            <w:webHidden/>
          </w:rPr>
          <w:t>14</w:t>
        </w:r>
        <w:r w:rsidR="00825B82">
          <w:rPr>
            <w:webHidden/>
          </w:rPr>
          <w:fldChar w:fldCharType="end"/>
        </w:r>
      </w:hyperlink>
    </w:p>
    <w:p w14:paraId="3FFBF5DF" w14:textId="0FAB00DA" w:rsidR="00825B82" w:rsidRDefault="00000000">
      <w:pPr>
        <w:pStyle w:val="TOC2"/>
        <w:rPr>
          <w:rFonts w:asciiTheme="minorHAnsi" w:eastAsiaTheme="minorEastAsia" w:hAnsiTheme="minorHAnsi" w:cstheme="minorBidi"/>
          <w:spacing w:val="0"/>
          <w:sz w:val="22"/>
          <w:szCs w:val="22"/>
        </w:rPr>
      </w:pPr>
      <w:hyperlink w:anchor="_Toc153795066" w:history="1">
        <w:r w:rsidR="00825B82" w:rsidRPr="00A44F05">
          <w:rPr>
            <w:rStyle w:val="Hyperlink"/>
          </w:rPr>
          <w:t>Next steps</w:t>
        </w:r>
        <w:r w:rsidR="00825B82">
          <w:rPr>
            <w:webHidden/>
          </w:rPr>
          <w:tab/>
        </w:r>
        <w:r w:rsidR="00825B82">
          <w:rPr>
            <w:webHidden/>
          </w:rPr>
          <w:fldChar w:fldCharType="begin"/>
        </w:r>
        <w:r w:rsidR="00825B82">
          <w:rPr>
            <w:webHidden/>
          </w:rPr>
          <w:instrText xml:space="preserve"> PAGEREF _Toc153795066 \h </w:instrText>
        </w:r>
        <w:r w:rsidR="00825B82">
          <w:rPr>
            <w:webHidden/>
          </w:rPr>
        </w:r>
        <w:r w:rsidR="00825B82">
          <w:rPr>
            <w:webHidden/>
          </w:rPr>
          <w:fldChar w:fldCharType="separate"/>
        </w:r>
        <w:r w:rsidR="00825B82">
          <w:rPr>
            <w:webHidden/>
          </w:rPr>
          <w:t>16</w:t>
        </w:r>
        <w:r w:rsidR="00825B82">
          <w:rPr>
            <w:webHidden/>
          </w:rPr>
          <w:fldChar w:fldCharType="end"/>
        </w:r>
      </w:hyperlink>
    </w:p>
    <w:p w14:paraId="40144567" w14:textId="2FA94203" w:rsidR="00825B82" w:rsidRDefault="00000000">
      <w:pPr>
        <w:pStyle w:val="TOC1"/>
        <w:rPr>
          <w:rFonts w:asciiTheme="minorHAnsi" w:eastAsiaTheme="minorEastAsia" w:hAnsiTheme="minorHAnsi" w:cstheme="minorBidi"/>
          <w:b w:val="0"/>
          <w:spacing w:val="0"/>
          <w:sz w:val="22"/>
          <w:szCs w:val="22"/>
        </w:rPr>
      </w:pPr>
      <w:hyperlink w:anchor="_Toc153795067" w:history="1">
        <w:r w:rsidR="00825B82" w:rsidRPr="00A44F05">
          <w:rPr>
            <w:rStyle w:val="Hyperlink"/>
          </w:rPr>
          <w:t>Public interest: a policy and decision-making framework</w:t>
        </w:r>
        <w:r w:rsidR="00825B82">
          <w:rPr>
            <w:webHidden/>
          </w:rPr>
          <w:tab/>
        </w:r>
        <w:r w:rsidR="00825B82">
          <w:rPr>
            <w:webHidden/>
          </w:rPr>
          <w:fldChar w:fldCharType="begin"/>
        </w:r>
        <w:r w:rsidR="00825B82">
          <w:rPr>
            <w:webHidden/>
          </w:rPr>
          <w:instrText xml:space="preserve"> PAGEREF _Toc153795067 \h </w:instrText>
        </w:r>
        <w:r w:rsidR="00825B82">
          <w:rPr>
            <w:webHidden/>
          </w:rPr>
        </w:r>
        <w:r w:rsidR="00825B82">
          <w:rPr>
            <w:webHidden/>
          </w:rPr>
          <w:fldChar w:fldCharType="separate"/>
        </w:r>
        <w:r w:rsidR="00825B82">
          <w:rPr>
            <w:webHidden/>
          </w:rPr>
          <w:t>17</w:t>
        </w:r>
        <w:r w:rsidR="00825B82">
          <w:rPr>
            <w:webHidden/>
          </w:rPr>
          <w:fldChar w:fldCharType="end"/>
        </w:r>
      </w:hyperlink>
    </w:p>
    <w:p w14:paraId="64B74EA4" w14:textId="66EE9329" w:rsidR="00825B82" w:rsidRDefault="00000000" w:rsidP="001927BA">
      <w:pPr>
        <w:pStyle w:val="TOC2"/>
        <w:ind w:left="0" w:firstLine="0"/>
        <w:rPr>
          <w:rFonts w:asciiTheme="minorHAnsi" w:eastAsiaTheme="minorEastAsia" w:hAnsiTheme="minorHAnsi" w:cstheme="minorBidi"/>
          <w:spacing w:val="0"/>
          <w:sz w:val="22"/>
          <w:szCs w:val="22"/>
        </w:rPr>
      </w:pPr>
      <w:hyperlink w:anchor="_Toc153795068" w:history="1">
        <w:r w:rsidR="00825B82" w:rsidRPr="00A44F05">
          <w:rPr>
            <w:rStyle w:val="Hyperlink"/>
          </w:rPr>
          <w:t xml:space="preserve">A policy and decision-making framework </w:t>
        </w:r>
        <w:r w:rsidR="00825B82" w:rsidRPr="00A44F05">
          <w:rPr>
            <w:rStyle w:val="Hyperlink"/>
            <w:rFonts w:eastAsiaTheme="minorHAnsi"/>
          </w:rPr>
          <w:t>underpinned by public interest criteria</w:t>
        </w:r>
        <w:r w:rsidR="00825B82">
          <w:rPr>
            <w:webHidden/>
          </w:rPr>
          <w:tab/>
        </w:r>
        <w:r w:rsidR="00825B82">
          <w:rPr>
            <w:webHidden/>
          </w:rPr>
          <w:fldChar w:fldCharType="begin"/>
        </w:r>
        <w:r w:rsidR="00825B82">
          <w:rPr>
            <w:webHidden/>
          </w:rPr>
          <w:instrText xml:space="preserve"> PAGEREF _Toc153795068 \h </w:instrText>
        </w:r>
        <w:r w:rsidR="00825B82">
          <w:rPr>
            <w:webHidden/>
          </w:rPr>
        </w:r>
        <w:r w:rsidR="00825B82">
          <w:rPr>
            <w:webHidden/>
          </w:rPr>
          <w:fldChar w:fldCharType="separate"/>
        </w:r>
        <w:r w:rsidR="00825B82">
          <w:rPr>
            <w:webHidden/>
          </w:rPr>
          <w:t>17</w:t>
        </w:r>
        <w:r w:rsidR="00825B82">
          <w:rPr>
            <w:webHidden/>
          </w:rPr>
          <w:fldChar w:fldCharType="end"/>
        </w:r>
      </w:hyperlink>
    </w:p>
    <w:p w14:paraId="6750DBB1" w14:textId="2EE5018F" w:rsidR="00825B82" w:rsidRDefault="00000000">
      <w:pPr>
        <w:pStyle w:val="TOC2"/>
        <w:rPr>
          <w:rFonts w:asciiTheme="minorHAnsi" w:eastAsiaTheme="minorEastAsia" w:hAnsiTheme="minorHAnsi" w:cstheme="minorBidi"/>
          <w:spacing w:val="0"/>
          <w:sz w:val="22"/>
          <w:szCs w:val="22"/>
        </w:rPr>
      </w:pPr>
      <w:hyperlink w:anchor="_Toc153795069" w:history="1">
        <w:r w:rsidR="00825B82" w:rsidRPr="00A44F05">
          <w:rPr>
            <w:rStyle w:val="Hyperlink"/>
          </w:rPr>
          <w:t>Public interest criteria</w:t>
        </w:r>
        <w:r w:rsidR="00825B82">
          <w:rPr>
            <w:webHidden/>
          </w:rPr>
          <w:tab/>
        </w:r>
        <w:r w:rsidR="00825B82">
          <w:rPr>
            <w:webHidden/>
          </w:rPr>
          <w:fldChar w:fldCharType="begin"/>
        </w:r>
        <w:r w:rsidR="00825B82">
          <w:rPr>
            <w:webHidden/>
          </w:rPr>
          <w:instrText xml:space="preserve"> PAGEREF _Toc153795069 \h </w:instrText>
        </w:r>
        <w:r w:rsidR="00825B82">
          <w:rPr>
            <w:webHidden/>
          </w:rPr>
        </w:r>
        <w:r w:rsidR="00825B82">
          <w:rPr>
            <w:webHidden/>
          </w:rPr>
          <w:fldChar w:fldCharType="separate"/>
        </w:r>
        <w:r w:rsidR="00825B82">
          <w:rPr>
            <w:webHidden/>
          </w:rPr>
          <w:t>19</w:t>
        </w:r>
        <w:r w:rsidR="00825B82">
          <w:rPr>
            <w:webHidden/>
          </w:rPr>
          <w:fldChar w:fldCharType="end"/>
        </w:r>
      </w:hyperlink>
    </w:p>
    <w:p w14:paraId="240907A5" w14:textId="192C84BC" w:rsidR="00825B82" w:rsidRDefault="00000000">
      <w:pPr>
        <w:pStyle w:val="TOC1"/>
        <w:rPr>
          <w:rFonts w:asciiTheme="minorHAnsi" w:eastAsiaTheme="minorEastAsia" w:hAnsiTheme="minorHAnsi" w:cstheme="minorBidi"/>
          <w:b w:val="0"/>
          <w:spacing w:val="0"/>
          <w:sz w:val="22"/>
          <w:szCs w:val="22"/>
        </w:rPr>
      </w:pPr>
      <w:hyperlink w:anchor="_Toc153795070" w:history="1">
        <w:r w:rsidR="00825B82" w:rsidRPr="00A44F05">
          <w:rPr>
            <w:rStyle w:val="Hyperlink"/>
          </w:rPr>
          <w:t>Appendix A: Parts of the spectrum and geographic areas covered by ESLs and renewal timeframes</w:t>
        </w:r>
        <w:r w:rsidR="00825B82">
          <w:rPr>
            <w:webHidden/>
          </w:rPr>
          <w:tab/>
        </w:r>
        <w:r w:rsidR="00825B82">
          <w:rPr>
            <w:webHidden/>
          </w:rPr>
          <w:fldChar w:fldCharType="begin"/>
        </w:r>
        <w:r w:rsidR="00825B82">
          <w:rPr>
            <w:webHidden/>
          </w:rPr>
          <w:instrText xml:space="preserve"> PAGEREF _Toc153795070 \h </w:instrText>
        </w:r>
        <w:r w:rsidR="00825B82">
          <w:rPr>
            <w:webHidden/>
          </w:rPr>
        </w:r>
        <w:r w:rsidR="00825B82">
          <w:rPr>
            <w:webHidden/>
          </w:rPr>
          <w:fldChar w:fldCharType="separate"/>
        </w:r>
        <w:r w:rsidR="00825B82">
          <w:rPr>
            <w:webHidden/>
          </w:rPr>
          <w:t>29</w:t>
        </w:r>
        <w:r w:rsidR="00825B82">
          <w:rPr>
            <w:webHidden/>
          </w:rPr>
          <w:fldChar w:fldCharType="end"/>
        </w:r>
      </w:hyperlink>
    </w:p>
    <w:p w14:paraId="0976FF77" w14:textId="14037CA1" w:rsidR="00825B82" w:rsidRDefault="00000000">
      <w:pPr>
        <w:pStyle w:val="TOC1"/>
        <w:rPr>
          <w:rFonts w:asciiTheme="minorHAnsi" w:eastAsiaTheme="minorEastAsia" w:hAnsiTheme="minorHAnsi" w:cstheme="minorBidi"/>
          <w:b w:val="0"/>
          <w:spacing w:val="0"/>
          <w:sz w:val="22"/>
          <w:szCs w:val="22"/>
        </w:rPr>
      </w:pPr>
      <w:hyperlink w:anchor="_Toc153795071" w:history="1">
        <w:r w:rsidR="00825B82" w:rsidRPr="00A44F05">
          <w:rPr>
            <w:rStyle w:val="Hyperlink"/>
          </w:rPr>
          <w:t>Appendix B: Response to submissions</w:t>
        </w:r>
        <w:r w:rsidR="00825B82">
          <w:rPr>
            <w:webHidden/>
          </w:rPr>
          <w:tab/>
        </w:r>
        <w:r w:rsidR="00825B82">
          <w:rPr>
            <w:webHidden/>
          </w:rPr>
          <w:fldChar w:fldCharType="begin"/>
        </w:r>
        <w:r w:rsidR="00825B82">
          <w:rPr>
            <w:webHidden/>
          </w:rPr>
          <w:instrText xml:space="preserve"> PAGEREF _Toc153795071 \h </w:instrText>
        </w:r>
        <w:r w:rsidR="00825B82">
          <w:rPr>
            <w:webHidden/>
          </w:rPr>
        </w:r>
        <w:r w:rsidR="00825B82">
          <w:rPr>
            <w:webHidden/>
          </w:rPr>
          <w:fldChar w:fldCharType="separate"/>
        </w:r>
        <w:r w:rsidR="00825B82">
          <w:rPr>
            <w:webHidden/>
          </w:rPr>
          <w:t>31</w:t>
        </w:r>
        <w:r w:rsidR="00825B82">
          <w:rPr>
            <w:webHidden/>
          </w:rPr>
          <w:fldChar w:fldCharType="end"/>
        </w:r>
      </w:hyperlink>
    </w:p>
    <w:p w14:paraId="35332663" w14:textId="03FC7C2B" w:rsidR="00825B82" w:rsidRDefault="00000000">
      <w:pPr>
        <w:pStyle w:val="TOC2"/>
        <w:rPr>
          <w:rFonts w:asciiTheme="minorHAnsi" w:eastAsiaTheme="minorEastAsia" w:hAnsiTheme="minorHAnsi" w:cstheme="minorBidi"/>
          <w:spacing w:val="0"/>
          <w:sz w:val="22"/>
          <w:szCs w:val="22"/>
        </w:rPr>
      </w:pPr>
      <w:hyperlink w:anchor="_Toc153795072" w:history="1">
        <w:r w:rsidR="00825B82" w:rsidRPr="00A44F05">
          <w:rPr>
            <w:rStyle w:val="Hyperlink"/>
          </w:rPr>
          <w:t>ESL process</w:t>
        </w:r>
        <w:r w:rsidR="00825B82">
          <w:rPr>
            <w:webHidden/>
          </w:rPr>
          <w:tab/>
        </w:r>
        <w:r w:rsidR="00825B82">
          <w:rPr>
            <w:webHidden/>
          </w:rPr>
          <w:fldChar w:fldCharType="begin"/>
        </w:r>
        <w:r w:rsidR="00825B82">
          <w:rPr>
            <w:webHidden/>
          </w:rPr>
          <w:instrText xml:space="preserve"> PAGEREF _Toc153795072 \h </w:instrText>
        </w:r>
        <w:r w:rsidR="00825B82">
          <w:rPr>
            <w:webHidden/>
          </w:rPr>
        </w:r>
        <w:r w:rsidR="00825B82">
          <w:rPr>
            <w:webHidden/>
          </w:rPr>
          <w:fldChar w:fldCharType="separate"/>
        </w:r>
        <w:r w:rsidR="00825B82">
          <w:rPr>
            <w:webHidden/>
          </w:rPr>
          <w:t>32</w:t>
        </w:r>
        <w:r w:rsidR="00825B82">
          <w:rPr>
            <w:webHidden/>
          </w:rPr>
          <w:fldChar w:fldCharType="end"/>
        </w:r>
      </w:hyperlink>
    </w:p>
    <w:p w14:paraId="0654799D" w14:textId="2C83E242" w:rsidR="00825B82" w:rsidRDefault="00000000">
      <w:pPr>
        <w:pStyle w:val="TOC2"/>
        <w:rPr>
          <w:rFonts w:asciiTheme="minorHAnsi" w:eastAsiaTheme="minorEastAsia" w:hAnsiTheme="minorHAnsi" w:cstheme="minorBidi"/>
          <w:spacing w:val="0"/>
          <w:sz w:val="22"/>
          <w:szCs w:val="22"/>
        </w:rPr>
      </w:pPr>
      <w:hyperlink w:anchor="_Toc153795073" w:history="1">
        <w:r w:rsidR="00825B82" w:rsidRPr="00A44F05">
          <w:rPr>
            <w:rStyle w:val="Hyperlink"/>
          </w:rPr>
          <w:t>ESL outcomes</w:t>
        </w:r>
        <w:r w:rsidR="00825B82">
          <w:rPr>
            <w:webHidden/>
          </w:rPr>
          <w:tab/>
        </w:r>
        <w:r w:rsidR="00825B82">
          <w:rPr>
            <w:webHidden/>
          </w:rPr>
          <w:fldChar w:fldCharType="begin"/>
        </w:r>
        <w:r w:rsidR="00825B82">
          <w:rPr>
            <w:webHidden/>
          </w:rPr>
          <w:instrText xml:space="preserve"> PAGEREF _Toc153795073 \h </w:instrText>
        </w:r>
        <w:r w:rsidR="00825B82">
          <w:rPr>
            <w:webHidden/>
          </w:rPr>
        </w:r>
        <w:r w:rsidR="00825B82">
          <w:rPr>
            <w:webHidden/>
          </w:rPr>
          <w:fldChar w:fldCharType="separate"/>
        </w:r>
        <w:r w:rsidR="00825B82">
          <w:rPr>
            <w:webHidden/>
          </w:rPr>
          <w:t>32</w:t>
        </w:r>
        <w:r w:rsidR="00825B82">
          <w:rPr>
            <w:webHidden/>
          </w:rPr>
          <w:fldChar w:fldCharType="end"/>
        </w:r>
      </w:hyperlink>
    </w:p>
    <w:p w14:paraId="71CA20BF" w14:textId="2E770AAC" w:rsidR="00825B82" w:rsidRDefault="00000000">
      <w:pPr>
        <w:pStyle w:val="TOC2"/>
        <w:rPr>
          <w:rFonts w:asciiTheme="minorHAnsi" w:eastAsiaTheme="minorEastAsia" w:hAnsiTheme="minorHAnsi" w:cstheme="minorBidi"/>
          <w:spacing w:val="0"/>
          <w:sz w:val="22"/>
          <w:szCs w:val="22"/>
        </w:rPr>
      </w:pPr>
      <w:hyperlink w:anchor="_Toc153795074" w:history="1">
        <w:r w:rsidR="00825B82" w:rsidRPr="00A44F05">
          <w:rPr>
            <w:rStyle w:val="Hyperlink"/>
          </w:rPr>
          <w:t>Public interest criteria</w:t>
        </w:r>
        <w:r w:rsidR="00825B82">
          <w:rPr>
            <w:webHidden/>
          </w:rPr>
          <w:tab/>
        </w:r>
        <w:r w:rsidR="00825B82">
          <w:rPr>
            <w:webHidden/>
          </w:rPr>
          <w:fldChar w:fldCharType="begin"/>
        </w:r>
        <w:r w:rsidR="00825B82">
          <w:rPr>
            <w:webHidden/>
          </w:rPr>
          <w:instrText xml:space="preserve"> PAGEREF _Toc153795074 \h </w:instrText>
        </w:r>
        <w:r w:rsidR="00825B82">
          <w:rPr>
            <w:webHidden/>
          </w:rPr>
        </w:r>
        <w:r w:rsidR="00825B82">
          <w:rPr>
            <w:webHidden/>
          </w:rPr>
          <w:fldChar w:fldCharType="separate"/>
        </w:r>
        <w:r w:rsidR="00825B82">
          <w:rPr>
            <w:webHidden/>
          </w:rPr>
          <w:t>34</w:t>
        </w:r>
        <w:r w:rsidR="00825B82">
          <w:rPr>
            <w:webHidden/>
          </w:rPr>
          <w:fldChar w:fldCharType="end"/>
        </w:r>
      </w:hyperlink>
    </w:p>
    <w:p w14:paraId="72573FBC" w14:textId="7172F2BB" w:rsidR="00825B82" w:rsidRDefault="00000000">
      <w:pPr>
        <w:pStyle w:val="TOC2"/>
        <w:rPr>
          <w:rFonts w:asciiTheme="minorHAnsi" w:eastAsiaTheme="minorEastAsia" w:hAnsiTheme="minorHAnsi" w:cstheme="minorBidi"/>
          <w:spacing w:val="0"/>
          <w:sz w:val="22"/>
          <w:szCs w:val="22"/>
        </w:rPr>
      </w:pPr>
      <w:hyperlink w:anchor="_Toc153795075" w:history="1">
        <w:r w:rsidR="00825B82" w:rsidRPr="00A44F05">
          <w:rPr>
            <w:rStyle w:val="Hyperlink"/>
          </w:rPr>
          <w:t>Pricing</w:t>
        </w:r>
        <w:r w:rsidR="00825B82">
          <w:rPr>
            <w:webHidden/>
          </w:rPr>
          <w:tab/>
        </w:r>
        <w:r w:rsidR="00825B82">
          <w:rPr>
            <w:webHidden/>
          </w:rPr>
          <w:tab/>
        </w:r>
        <w:r w:rsidR="00825B82">
          <w:rPr>
            <w:webHidden/>
          </w:rPr>
          <w:fldChar w:fldCharType="begin"/>
        </w:r>
        <w:r w:rsidR="00825B82">
          <w:rPr>
            <w:webHidden/>
          </w:rPr>
          <w:instrText xml:space="preserve"> PAGEREF _Toc153795075 \h </w:instrText>
        </w:r>
        <w:r w:rsidR="00825B82">
          <w:rPr>
            <w:webHidden/>
          </w:rPr>
        </w:r>
        <w:r w:rsidR="00825B82">
          <w:rPr>
            <w:webHidden/>
          </w:rPr>
          <w:fldChar w:fldCharType="separate"/>
        </w:r>
        <w:r w:rsidR="00825B82">
          <w:rPr>
            <w:webHidden/>
          </w:rPr>
          <w:t>36</w:t>
        </w:r>
        <w:r w:rsidR="00825B82">
          <w:rPr>
            <w:webHidden/>
          </w:rPr>
          <w:fldChar w:fldCharType="end"/>
        </w:r>
      </w:hyperlink>
    </w:p>
    <w:p w14:paraId="18351559" w14:textId="05EACA80" w:rsidR="00825B82" w:rsidRDefault="00000000">
      <w:pPr>
        <w:pStyle w:val="TOC2"/>
        <w:rPr>
          <w:rFonts w:asciiTheme="minorHAnsi" w:eastAsiaTheme="minorEastAsia" w:hAnsiTheme="minorHAnsi" w:cstheme="minorBidi"/>
          <w:spacing w:val="0"/>
          <w:sz w:val="22"/>
          <w:szCs w:val="22"/>
        </w:rPr>
      </w:pPr>
      <w:hyperlink w:anchor="_Toc153795076" w:history="1">
        <w:r w:rsidR="00825B82" w:rsidRPr="00A44F05">
          <w:rPr>
            <w:rStyle w:val="Hyperlink"/>
          </w:rPr>
          <w:t>Examining use and information gathering</w:t>
        </w:r>
        <w:r w:rsidR="00825B82">
          <w:rPr>
            <w:webHidden/>
          </w:rPr>
          <w:tab/>
        </w:r>
        <w:r w:rsidR="00825B82">
          <w:rPr>
            <w:webHidden/>
          </w:rPr>
          <w:fldChar w:fldCharType="begin"/>
        </w:r>
        <w:r w:rsidR="00825B82">
          <w:rPr>
            <w:webHidden/>
          </w:rPr>
          <w:instrText xml:space="preserve"> PAGEREF _Toc153795076 \h </w:instrText>
        </w:r>
        <w:r w:rsidR="00825B82">
          <w:rPr>
            <w:webHidden/>
          </w:rPr>
        </w:r>
        <w:r w:rsidR="00825B82">
          <w:rPr>
            <w:webHidden/>
          </w:rPr>
          <w:fldChar w:fldCharType="separate"/>
        </w:r>
        <w:r w:rsidR="00825B82">
          <w:rPr>
            <w:webHidden/>
          </w:rPr>
          <w:t>37</w:t>
        </w:r>
        <w:r w:rsidR="00825B82">
          <w:rPr>
            <w:webHidden/>
          </w:rPr>
          <w:fldChar w:fldCharType="end"/>
        </w:r>
      </w:hyperlink>
    </w:p>
    <w:p w14:paraId="4780A929" w14:textId="3DEEBA9C" w:rsidR="00825B82" w:rsidRDefault="00000000">
      <w:pPr>
        <w:pStyle w:val="TOC2"/>
        <w:rPr>
          <w:rFonts w:asciiTheme="minorHAnsi" w:eastAsiaTheme="minorEastAsia" w:hAnsiTheme="minorHAnsi" w:cstheme="minorBidi"/>
          <w:spacing w:val="0"/>
          <w:sz w:val="22"/>
          <w:szCs w:val="22"/>
        </w:rPr>
      </w:pPr>
      <w:hyperlink w:anchor="_Toc153795077" w:history="1">
        <w:r w:rsidR="00825B82" w:rsidRPr="00A44F05">
          <w:rPr>
            <w:rStyle w:val="Hyperlink"/>
          </w:rPr>
          <w:t>Alternative demand</w:t>
        </w:r>
        <w:r w:rsidR="00825B82">
          <w:rPr>
            <w:webHidden/>
          </w:rPr>
          <w:tab/>
        </w:r>
        <w:r w:rsidR="00825B82">
          <w:rPr>
            <w:webHidden/>
          </w:rPr>
          <w:fldChar w:fldCharType="begin"/>
        </w:r>
        <w:r w:rsidR="00825B82">
          <w:rPr>
            <w:webHidden/>
          </w:rPr>
          <w:instrText xml:space="preserve"> PAGEREF _Toc153795077 \h </w:instrText>
        </w:r>
        <w:r w:rsidR="00825B82">
          <w:rPr>
            <w:webHidden/>
          </w:rPr>
        </w:r>
        <w:r w:rsidR="00825B82">
          <w:rPr>
            <w:webHidden/>
          </w:rPr>
          <w:fldChar w:fldCharType="separate"/>
        </w:r>
        <w:r w:rsidR="00825B82">
          <w:rPr>
            <w:webHidden/>
          </w:rPr>
          <w:t>38</w:t>
        </w:r>
        <w:r w:rsidR="00825B82">
          <w:rPr>
            <w:webHidden/>
          </w:rPr>
          <w:fldChar w:fldCharType="end"/>
        </w:r>
      </w:hyperlink>
    </w:p>
    <w:p w14:paraId="2DE65BB8" w14:textId="047757E1" w:rsidR="00825B82" w:rsidRDefault="00000000">
      <w:pPr>
        <w:pStyle w:val="TOC2"/>
        <w:rPr>
          <w:rFonts w:asciiTheme="minorHAnsi" w:eastAsiaTheme="minorEastAsia" w:hAnsiTheme="minorHAnsi" w:cstheme="minorBidi"/>
          <w:spacing w:val="0"/>
          <w:sz w:val="22"/>
          <w:szCs w:val="22"/>
        </w:rPr>
      </w:pPr>
      <w:hyperlink w:anchor="_Toc153795078" w:history="1">
        <w:r w:rsidR="00825B82" w:rsidRPr="00A44F05">
          <w:rPr>
            <w:rStyle w:val="Hyperlink"/>
          </w:rPr>
          <w:t>Band-specific issues</w:t>
        </w:r>
        <w:r w:rsidR="00825B82">
          <w:rPr>
            <w:webHidden/>
          </w:rPr>
          <w:tab/>
        </w:r>
        <w:r w:rsidR="00825B82">
          <w:rPr>
            <w:webHidden/>
          </w:rPr>
          <w:fldChar w:fldCharType="begin"/>
        </w:r>
        <w:r w:rsidR="00825B82">
          <w:rPr>
            <w:webHidden/>
          </w:rPr>
          <w:instrText xml:space="preserve"> PAGEREF _Toc153795078 \h </w:instrText>
        </w:r>
        <w:r w:rsidR="00825B82">
          <w:rPr>
            <w:webHidden/>
          </w:rPr>
        </w:r>
        <w:r w:rsidR="00825B82">
          <w:rPr>
            <w:webHidden/>
          </w:rPr>
          <w:fldChar w:fldCharType="separate"/>
        </w:r>
        <w:r w:rsidR="00825B82">
          <w:rPr>
            <w:webHidden/>
          </w:rPr>
          <w:t>40</w:t>
        </w:r>
        <w:r w:rsidR="00825B82">
          <w:rPr>
            <w:webHidden/>
          </w:rPr>
          <w:fldChar w:fldCharType="end"/>
        </w:r>
      </w:hyperlink>
    </w:p>
    <w:p w14:paraId="42F98DCA" w14:textId="795962CE" w:rsidR="004D56FF" w:rsidRPr="00E162C4" w:rsidRDefault="006A3ECF">
      <w:pPr>
        <w:rPr>
          <w:rFonts w:cs="Arial"/>
        </w:rPr>
        <w:sectPr w:rsidR="004D56FF" w:rsidRPr="00E162C4" w:rsidSect="00C77380">
          <w:headerReference w:type="even" r:id="rId26"/>
          <w:headerReference w:type="default" r:id="rId27"/>
          <w:footerReference w:type="even" r:id="rId28"/>
          <w:footerReference w:type="default" r:id="rId29"/>
          <w:headerReference w:type="first" r:id="rId30"/>
          <w:footerReference w:type="first" r:id="rId31"/>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7AC150F3" w14:textId="77777777" w:rsidR="009D6C71" w:rsidRPr="00E162C4" w:rsidRDefault="009D6C71" w:rsidP="009174F3">
      <w:pPr>
        <w:pStyle w:val="Execsummaryheading"/>
      </w:pPr>
      <w:bookmarkStart w:id="0" w:name="_Toc153795056"/>
      <w:r w:rsidRPr="00E162C4">
        <w:lastRenderedPageBreak/>
        <w:t>Executive summary</w:t>
      </w:r>
      <w:bookmarkEnd w:id="0"/>
    </w:p>
    <w:p w14:paraId="0EDE1315" w14:textId="2F864BB3" w:rsidR="003333F1" w:rsidRDefault="006F56A5" w:rsidP="00376EF4">
      <w:pPr>
        <w:pStyle w:val="Paragraph"/>
      </w:pPr>
      <w:bookmarkStart w:id="1" w:name="_Toc433122125"/>
      <w:r>
        <w:t xml:space="preserve">In our </w:t>
      </w:r>
      <w:hyperlink r:id="rId32" w:history="1">
        <w:r w:rsidR="007C2D46">
          <w:rPr>
            <w:rStyle w:val="Hyperlink"/>
            <w:i/>
            <w:iCs/>
          </w:rPr>
          <w:t>Five-year spectrum outlook 2023–28</w:t>
        </w:r>
      </w:hyperlink>
      <w:r w:rsidR="007C2D46">
        <w:rPr>
          <w:i/>
          <w:iCs/>
        </w:rPr>
        <w:t xml:space="preserve"> </w:t>
      </w:r>
      <w:r w:rsidR="007C2D46">
        <w:t xml:space="preserve">(FYSO 2023–28), </w:t>
      </w:r>
      <w:r>
        <w:t>we identif</w:t>
      </w:r>
      <w:r w:rsidR="00CE6ABF">
        <w:t>ied</w:t>
      </w:r>
      <w:r>
        <w:t xml:space="preserve"> progressing activities relating to</w:t>
      </w:r>
      <w:r w:rsidR="00067E58">
        <w:t xml:space="preserve"> </w:t>
      </w:r>
      <w:r w:rsidR="007546A5">
        <w:t>spectrum licences expiring between 2028 and 2032 – in this paper referred to as</w:t>
      </w:r>
      <w:r>
        <w:t xml:space="preserve"> expiring spectrum licences (ESLs) </w:t>
      </w:r>
      <w:r w:rsidR="007546A5">
        <w:t xml:space="preserve">– </w:t>
      </w:r>
      <w:r>
        <w:t>as a key priority. Between June 2028 and October 2032, many spectrum licences will expire. These ESLs cover a range of bands,</w:t>
      </w:r>
      <w:r>
        <w:rPr>
          <w:rStyle w:val="FootnoteReference"/>
          <w:szCs w:val="20"/>
        </w:rPr>
        <w:footnoteReference w:id="2"/>
      </w:r>
      <w:r>
        <w:t xml:space="preserve"> and are used to deliver wireless broadband, rail safety communications and certain </w:t>
      </w:r>
      <w:r w:rsidR="00C173F6">
        <w:t>electronic news gathering</w:t>
      </w:r>
      <w:r w:rsidR="003078F8">
        <w:t xml:space="preserve"> for broadcasting services</w:t>
      </w:r>
      <w:r>
        <w:t xml:space="preserve">. </w:t>
      </w:r>
    </w:p>
    <w:p w14:paraId="387BC3DB" w14:textId="1B79DD8C" w:rsidR="00115F7B" w:rsidRDefault="006F56A5" w:rsidP="00376EF4">
      <w:pPr>
        <w:pStyle w:val="Paragraph"/>
      </w:pPr>
      <w:r>
        <w:t>The ESLs</w:t>
      </w:r>
      <w:r w:rsidR="003F36B1">
        <w:t>, sometimes used in conjunction with other radiocommunications licences</w:t>
      </w:r>
      <w:r w:rsidR="00A1386B">
        <w:t>,</w:t>
      </w:r>
      <w:r>
        <w:t xml:space="preserve"> are </w:t>
      </w:r>
      <w:r w:rsidR="00F25E18">
        <w:t xml:space="preserve">communication </w:t>
      </w:r>
      <w:r>
        <w:t xml:space="preserve">enablers of our economic, digital, and social lives. The spectrum to which they grant access is a scarce resource, and whether an ESL should be renewed is an important </w:t>
      </w:r>
      <w:r w:rsidR="000F22F7">
        <w:t xml:space="preserve">issue </w:t>
      </w:r>
      <w:r>
        <w:t>for licensees, prospective alternative users of the spectrum, the ACMA</w:t>
      </w:r>
      <w:r w:rsidR="0060426E">
        <w:t>,</w:t>
      </w:r>
      <w:r w:rsidR="00F623A4">
        <w:t xml:space="preserve"> </w:t>
      </w:r>
      <w:r w:rsidR="0060426E">
        <w:t xml:space="preserve">for </w:t>
      </w:r>
      <w:r w:rsidR="00F623A4">
        <w:t xml:space="preserve">the broader </w:t>
      </w:r>
      <w:r w:rsidR="0075064D">
        <w:t>commun</w:t>
      </w:r>
      <w:r w:rsidR="0060426E">
        <w:t>ications</w:t>
      </w:r>
      <w:r w:rsidR="00986DEB">
        <w:t xml:space="preserve"> sector and portfolio</w:t>
      </w:r>
      <w:r w:rsidR="00390AEC">
        <w:t xml:space="preserve">, and for all Australians who are end-users of the services provided </w:t>
      </w:r>
      <w:r w:rsidR="00093ACA">
        <w:t>through use of the relevant spectrum</w:t>
      </w:r>
      <w:r>
        <w:t>.</w:t>
      </w:r>
    </w:p>
    <w:p w14:paraId="07004858" w14:textId="5EBE9075" w:rsidR="006F56A5" w:rsidRDefault="006F56A5" w:rsidP="006F56A5">
      <w:pPr>
        <w:pStyle w:val="Paragraph"/>
        <w:rPr>
          <w:szCs w:val="20"/>
        </w:rPr>
      </w:pPr>
      <w:r>
        <w:rPr>
          <w:szCs w:val="20"/>
        </w:rPr>
        <w:t xml:space="preserve">In some cases, </w:t>
      </w:r>
      <w:r w:rsidR="003377F7">
        <w:rPr>
          <w:szCs w:val="20"/>
        </w:rPr>
        <w:t xml:space="preserve">licences </w:t>
      </w:r>
      <w:r>
        <w:rPr>
          <w:szCs w:val="20"/>
        </w:rPr>
        <w:t xml:space="preserve">have been previously renewed for 15 years. Those licences were renewed under a process governed by the </w:t>
      </w:r>
      <w:r>
        <w:rPr>
          <w:i/>
          <w:iCs/>
          <w:szCs w:val="20"/>
        </w:rPr>
        <w:t xml:space="preserve">Radiocommunications Act 1992 </w:t>
      </w:r>
      <w:r>
        <w:rPr>
          <w:szCs w:val="20"/>
        </w:rPr>
        <w:t>(the Act)</w:t>
      </w:r>
      <w:r w:rsidR="001844E8">
        <w:rPr>
          <w:szCs w:val="20"/>
        </w:rPr>
        <w:t xml:space="preserve"> as in force at that time</w:t>
      </w:r>
      <w:r>
        <w:rPr>
          <w:szCs w:val="20"/>
        </w:rPr>
        <w:t xml:space="preserve">, broadly involving a public interest consideration administered by the </w:t>
      </w:r>
      <w:r w:rsidR="009046BB">
        <w:rPr>
          <w:szCs w:val="20"/>
        </w:rPr>
        <w:t xml:space="preserve">then </w:t>
      </w:r>
      <w:r w:rsidR="000F71FE">
        <w:rPr>
          <w:szCs w:val="20"/>
        </w:rPr>
        <w:t>m</w:t>
      </w:r>
      <w:r>
        <w:rPr>
          <w:szCs w:val="20"/>
        </w:rPr>
        <w:t>inister, with the ACMA implementing decision</w:t>
      </w:r>
      <w:r w:rsidR="000E2693">
        <w:rPr>
          <w:szCs w:val="20"/>
        </w:rPr>
        <w:t>s to renew</w:t>
      </w:r>
      <w:r>
        <w:rPr>
          <w:szCs w:val="20"/>
        </w:rPr>
        <w:t xml:space="preserve">, </w:t>
      </w:r>
      <w:r w:rsidR="004C6629">
        <w:rPr>
          <w:szCs w:val="20"/>
        </w:rPr>
        <w:t xml:space="preserve">and complying with, </w:t>
      </w:r>
      <w:r>
        <w:rPr>
          <w:szCs w:val="20"/>
        </w:rPr>
        <w:t xml:space="preserve">the </w:t>
      </w:r>
      <w:r w:rsidR="000F71FE">
        <w:rPr>
          <w:szCs w:val="20"/>
        </w:rPr>
        <w:t>m</w:t>
      </w:r>
      <w:r>
        <w:rPr>
          <w:szCs w:val="20"/>
        </w:rPr>
        <w:t xml:space="preserve">inster’s directions </w:t>
      </w:r>
      <w:r w:rsidR="0026701A">
        <w:rPr>
          <w:szCs w:val="20"/>
        </w:rPr>
        <w:t xml:space="preserve">regarding </w:t>
      </w:r>
      <w:r>
        <w:rPr>
          <w:szCs w:val="20"/>
        </w:rPr>
        <w:t xml:space="preserve">pricing. </w:t>
      </w:r>
      <w:proofErr w:type="gramStart"/>
      <w:r>
        <w:rPr>
          <w:szCs w:val="20"/>
        </w:rPr>
        <w:t>As a consequence of</w:t>
      </w:r>
      <w:proofErr w:type="gramEnd"/>
      <w:r>
        <w:rPr>
          <w:szCs w:val="20"/>
        </w:rPr>
        <w:t xml:space="preserve"> changes made to the Act,</w:t>
      </w:r>
      <w:r>
        <w:rPr>
          <w:rStyle w:val="FootnoteReference"/>
          <w:szCs w:val="20"/>
        </w:rPr>
        <w:footnoteReference w:id="3"/>
      </w:r>
      <w:r>
        <w:rPr>
          <w:szCs w:val="20"/>
        </w:rPr>
        <w:t xml:space="preserve"> which commenced in 2021, the ACMA is now </w:t>
      </w:r>
      <w:r w:rsidR="004C6629">
        <w:rPr>
          <w:szCs w:val="20"/>
        </w:rPr>
        <w:t xml:space="preserve">primarily </w:t>
      </w:r>
      <w:r>
        <w:rPr>
          <w:szCs w:val="20"/>
        </w:rPr>
        <w:t xml:space="preserve">responsible for making decisions on applications for renewal of </w:t>
      </w:r>
      <w:r w:rsidR="00D77ACB">
        <w:rPr>
          <w:szCs w:val="20"/>
        </w:rPr>
        <w:t>ESL</w:t>
      </w:r>
      <w:r w:rsidR="00166015">
        <w:rPr>
          <w:szCs w:val="20"/>
        </w:rPr>
        <w:t>s</w:t>
      </w:r>
      <w:r>
        <w:rPr>
          <w:szCs w:val="20"/>
        </w:rPr>
        <w:t xml:space="preserve">, including </w:t>
      </w:r>
      <w:r w:rsidR="00847044">
        <w:rPr>
          <w:szCs w:val="20"/>
        </w:rPr>
        <w:t xml:space="preserve">whether to renew, and </w:t>
      </w:r>
      <w:r>
        <w:rPr>
          <w:szCs w:val="20"/>
        </w:rPr>
        <w:t xml:space="preserve">the term, conditions and pricing for renewed licences. </w:t>
      </w:r>
    </w:p>
    <w:p w14:paraId="30E41C61" w14:textId="5CF0568E" w:rsidR="006F56A5" w:rsidRDefault="00093ACA" w:rsidP="006F56A5">
      <w:pPr>
        <w:pStyle w:val="Paragraph"/>
        <w:rPr>
          <w:szCs w:val="20"/>
        </w:rPr>
      </w:pPr>
      <w:r>
        <w:rPr>
          <w:szCs w:val="20"/>
        </w:rPr>
        <w:t xml:space="preserve">In responses to the draft FYSO 2023-28 consultation, </w:t>
      </w:r>
      <w:r w:rsidR="001F6CD6">
        <w:rPr>
          <w:szCs w:val="20"/>
        </w:rPr>
        <w:t>s</w:t>
      </w:r>
      <w:r w:rsidR="006F56A5">
        <w:rPr>
          <w:szCs w:val="20"/>
        </w:rPr>
        <w:t>takeholders expressed strong support for our prioritis</w:t>
      </w:r>
      <w:r w:rsidR="00232D71">
        <w:rPr>
          <w:szCs w:val="20"/>
        </w:rPr>
        <w:t>ation</w:t>
      </w:r>
      <w:r w:rsidR="006F56A5">
        <w:rPr>
          <w:szCs w:val="20"/>
        </w:rPr>
        <w:t xml:space="preserve"> </w:t>
      </w:r>
      <w:r w:rsidR="00571FEA">
        <w:rPr>
          <w:szCs w:val="20"/>
        </w:rPr>
        <w:t xml:space="preserve">of </w:t>
      </w:r>
      <w:r w:rsidR="006F56A5">
        <w:rPr>
          <w:szCs w:val="20"/>
        </w:rPr>
        <w:t xml:space="preserve">ESL work. </w:t>
      </w:r>
      <w:r w:rsidR="0026701A">
        <w:rPr>
          <w:szCs w:val="20"/>
        </w:rPr>
        <w:t xml:space="preserve">In starting </w:t>
      </w:r>
      <w:r w:rsidR="006958E7">
        <w:rPr>
          <w:szCs w:val="20"/>
        </w:rPr>
        <w:t xml:space="preserve">work </w:t>
      </w:r>
      <w:r w:rsidR="006F56A5">
        <w:rPr>
          <w:szCs w:val="20"/>
        </w:rPr>
        <w:t xml:space="preserve">5 years </w:t>
      </w:r>
      <w:r w:rsidR="002C5D89">
        <w:rPr>
          <w:szCs w:val="20"/>
        </w:rPr>
        <w:t xml:space="preserve">before </w:t>
      </w:r>
      <w:r w:rsidR="006F56A5">
        <w:rPr>
          <w:szCs w:val="20"/>
        </w:rPr>
        <w:t xml:space="preserve">the expiration of the first tranche of </w:t>
      </w:r>
      <w:r w:rsidR="006958E7">
        <w:rPr>
          <w:szCs w:val="20"/>
        </w:rPr>
        <w:t>ESLs</w:t>
      </w:r>
      <w:r w:rsidR="002C5D89">
        <w:rPr>
          <w:szCs w:val="20"/>
        </w:rPr>
        <w:t>, our aim</w:t>
      </w:r>
      <w:r w:rsidR="006F56A5">
        <w:rPr>
          <w:szCs w:val="20"/>
        </w:rPr>
        <w:t xml:space="preserve"> </w:t>
      </w:r>
      <w:r w:rsidR="002369EE">
        <w:rPr>
          <w:szCs w:val="20"/>
        </w:rPr>
        <w:t xml:space="preserve">is </w:t>
      </w:r>
      <w:r w:rsidR="006F56A5">
        <w:rPr>
          <w:szCs w:val="20"/>
        </w:rPr>
        <w:t xml:space="preserve">to have the process in place </w:t>
      </w:r>
      <w:r w:rsidR="001F0A7F">
        <w:rPr>
          <w:szCs w:val="20"/>
        </w:rPr>
        <w:t>before</w:t>
      </w:r>
      <w:r w:rsidR="006F56A5">
        <w:rPr>
          <w:szCs w:val="20"/>
        </w:rPr>
        <w:t xml:space="preserve"> the 2-year period during which incumbents are eligible to apply for renewal – June 2026, </w:t>
      </w:r>
      <w:r w:rsidR="002C5D89">
        <w:rPr>
          <w:szCs w:val="20"/>
        </w:rPr>
        <w:t xml:space="preserve">for </w:t>
      </w:r>
      <w:r w:rsidR="006F56A5">
        <w:rPr>
          <w:szCs w:val="20"/>
        </w:rPr>
        <w:t xml:space="preserve">the 850 MHz and 1800 MHz </w:t>
      </w:r>
      <w:r w:rsidR="00361EBC">
        <w:rPr>
          <w:szCs w:val="20"/>
        </w:rPr>
        <w:t>band ESL</w:t>
      </w:r>
      <w:r w:rsidR="006F56A5">
        <w:rPr>
          <w:szCs w:val="20"/>
        </w:rPr>
        <w:t>s.</w:t>
      </w:r>
    </w:p>
    <w:p w14:paraId="3A2188DC" w14:textId="0FBEEF9A" w:rsidR="006F56A5" w:rsidRDefault="006F56A5" w:rsidP="006F56A5">
      <w:pPr>
        <w:pStyle w:val="Paragraph"/>
        <w:rPr>
          <w:szCs w:val="20"/>
        </w:rPr>
      </w:pPr>
      <w:r>
        <w:rPr>
          <w:szCs w:val="20"/>
        </w:rPr>
        <w:t>Over May</w:t>
      </w:r>
      <w:r w:rsidR="00F60648">
        <w:rPr>
          <w:szCs w:val="20"/>
        </w:rPr>
        <w:t xml:space="preserve"> to</w:t>
      </w:r>
      <w:r>
        <w:rPr>
          <w:szCs w:val="20"/>
        </w:rPr>
        <w:t xml:space="preserve"> August 2023, we </w:t>
      </w:r>
      <w:hyperlink r:id="rId33" w:history="1">
        <w:r w:rsidR="00F60648">
          <w:rPr>
            <w:rStyle w:val="Hyperlink"/>
            <w:szCs w:val="20"/>
          </w:rPr>
          <w:t>consulted on our proposed approach to ESLs</w:t>
        </w:r>
      </w:hyperlink>
      <w:r>
        <w:rPr>
          <w:szCs w:val="20"/>
        </w:rPr>
        <w:t xml:space="preserve"> (the stage 1 consultation). In addition to outlining the legislative provisions applicable to the previous and current ESL processes, </w:t>
      </w:r>
      <w:r w:rsidR="008F1BA1">
        <w:rPr>
          <w:szCs w:val="20"/>
        </w:rPr>
        <w:t xml:space="preserve">we </w:t>
      </w:r>
      <w:r>
        <w:rPr>
          <w:szCs w:val="20"/>
        </w:rPr>
        <w:t xml:space="preserve">sought views on a proposed 4-stage ESL process, a public interest criteria framework, and high-level pricing issues. Views were also sought on issues relating to how we might consider a licensee’s use of spectrum in the ESL context, and more broadly when we are considering renewal of apparatus licences. </w:t>
      </w:r>
    </w:p>
    <w:p w14:paraId="338C2EAC" w14:textId="08ECFBF1" w:rsidR="006F56A5" w:rsidRDefault="006F56A5" w:rsidP="006F56A5">
      <w:pPr>
        <w:pStyle w:val="Paragraph"/>
      </w:pPr>
      <w:r>
        <w:t>According to the proposed process, stage 2 – commencing in Q1 2024 – involve</w:t>
      </w:r>
      <w:r w:rsidR="00B850B2">
        <w:t>s</w:t>
      </w:r>
      <w:r>
        <w:t xml:space="preserve"> releas</w:t>
      </w:r>
      <w:r w:rsidR="00B850B2">
        <w:t>ing</w:t>
      </w:r>
      <w:r>
        <w:t xml:space="preserve"> a response to submissions, confirm</w:t>
      </w:r>
      <w:r w:rsidR="00C102AA">
        <w:t>ing</w:t>
      </w:r>
      <w:r>
        <w:t xml:space="preserve"> the ESL process, and an information gathering exercise. One view expressed by stakeholders in response to the stage 1 consultation was that bringing forward parts of the process could provide stakeholders </w:t>
      </w:r>
      <w:r>
        <w:lastRenderedPageBreak/>
        <w:t xml:space="preserve">with earlier confidence about the ESL process and its outcomes, </w:t>
      </w:r>
      <w:r w:rsidR="000A17B7">
        <w:t>to</w:t>
      </w:r>
      <w:r>
        <w:t xml:space="preserve"> support their business and other strategic planning. </w:t>
      </w:r>
    </w:p>
    <w:p w14:paraId="65BCD836" w14:textId="3852EAC7" w:rsidR="006F56A5" w:rsidRDefault="003333F1" w:rsidP="006F56A5">
      <w:pPr>
        <w:pStyle w:val="Paragraph"/>
      </w:pPr>
      <w:r>
        <w:t xml:space="preserve">This paper confirms the ESL process and </w:t>
      </w:r>
      <w:r w:rsidR="00364E6C">
        <w:t xml:space="preserve">the role of </w:t>
      </w:r>
      <w:r>
        <w:t xml:space="preserve">our public interest </w:t>
      </w:r>
      <w:r w:rsidR="00065BAE">
        <w:t>framework</w:t>
      </w:r>
      <w:r>
        <w:t xml:space="preserve"> and presents our response to submissions. </w:t>
      </w:r>
      <w:r w:rsidR="006F56A5">
        <w:t xml:space="preserve">To support our stakeholders, and to bring a sharper focus to certain elements of the process, we have brought forward parts of stage 2. We also clarify the </w:t>
      </w:r>
      <w:r w:rsidR="006F56A5" w:rsidRPr="00595529">
        <w:t>objectives</w:t>
      </w:r>
      <w:r w:rsidR="006F56A5" w:rsidRPr="003F61CF">
        <w:t xml:space="preserve"> </w:t>
      </w:r>
      <w:r w:rsidR="00767220" w:rsidRPr="003F61CF">
        <w:t>and</w:t>
      </w:r>
      <w:r w:rsidR="006F56A5" w:rsidRPr="00595529">
        <w:t xml:space="preserve"> </w:t>
      </w:r>
      <w:r w:rsidR="00FB75AB" w:rsidRPr="00595529">
        <w:t>nature</w:t>
      </w:r>
      <w:r w:rsidR="00FB75AB">
        <w:t xml:space="preserve"> of the stage 2 </w:t>
      </w:r>
      <w:r w:rsidR="006F56A5">
        <w:t xml:space="preserve">information gathering </w:t>
      </w:r>
      <w:proofErr w:type="gramStart"/>
      <w:r w:rsidR="006F56A5">
        <w:t>exercise, and</w:t>
      </w:r>
      <w:proofErr w:type="gramEnd"/>
      <w:r w:rsidR="006F56A5">
        <w:t xml:space="preserve"> describe how we will provide stakeholders with additional clarity and confidence about our consideration of the </w:t>
      </w:r>
      <w:r w:rsidR="00B84734">
        <w:t xml:space="preserve">uses </w:t>
      </w:r>
      <w:r w:rsidR="006F56A5">
        <w:t>for the spectrum covered by ESLs</w:t>
      </w:r>
      <w:r w:rsidR="00FB75AB">
        <w:t>.</w:t>
      </w:r>
      <w:r w:rsidR="009665FC">
        <w:rPr>
          <w:rStyle w:val="FootnoteReference"/>
        </w:rPr>
        <w:footnoteReference w:id="4"/>
      </w:r>
    </w:p>
    <w:p w14:paraId="55840AA6" w14:textId="71BA838C" w:rsidR="00B11771" w:rsidRDefault="00121A88" w:rsidP="006F56A5">
      <w:pPr>
        <w:pStyle w:val="Paragraph"/>
      </w:pPr>
      <w:r>
        <w:t xml:space="preserve">Release of this </w:t>
      </w:r>
      <w:r w:rsidR="000F343E">
        <w:t xml:space="preserve">paper coincides with the Minister </w:t>
      </w:r>
      <w:r w:rsidR="00D9279E">
        <w:t xml:space="preserve">for Communications </w:t>
      </w:r>
      <w:r w:rsidR="000F343E">
        <w:t>writing to the ACMA</w:t>
      </w:r>
      <w:r w:rsidR="00D714D8">
        <w:t xml:space="preserve"> regarding ESL</w:t>
      </w:r>
      <w:r w:rsidR="003F7848">
        <w:t>s</w:t>
      </w:r>
      <w:r w:rsidR="00D714D8">
        <w:t>. In the letter</w:t>
      </w:r>
      <w:r w:rsidR="00122653">
        <w:t>,</w:t>
      </w:r>
      <w:r w:rsidR="00D714D8">
        <w:t xml:space="preserve"> published on our website</w:t>
      </w:r>
      <w:r w:rsidR="00122653">
        <w:t>,</w:t>
      </w:r>
      <w:r w:rsidR="00E20230">
        <w:t xml:space="preserve"> the </w:t>
      </w:r>
      <w:r w:rsidR="003F7848">
        <w:t>m</w:t>
      </w:r>
      <w:r w:rsidR="00E20230">
        <w:t xml:space="preserve">inister </w:t>
      </w:r>
      <w:r w:rsidR="004C3608">
        <w:t>expresse</w:t>
      </w:r>
      <w:r w:rsidR="003F7848">
        <w:t>s</w:t>
      </w:r>
      <w:r w:rsidR="004C3608">
        <w:t xml:space="preserve"> support for the approach we are taking to ESL</w:t>
      </w:r>
      <w:r w:rsidR="00BD5EE1">
        <w:t xml:space="preserve"> and </w:t>
      </w:r>
      <w:r w:rsidR="00F26DA1">
        <w:t xml:space="preserve">identifies </w:t>
      </w:r>
      <w:r w:rsidR="00B579B4">
        <w:t xml:space="preserve">which of the priorities </w:t>
      </w:r>
      <w:r w:rsidR="00E10A84">
        <w:t xml:space="preserve">in the </w:t>
      </w:r>
      <w:hyperlink r:id="rId34" w:history="1">
        <w:r w:rsidR="00E10A84" w:rsidRPr="00024CC9">
          <w:rPr>
            <w:rStyle w:val="Hyperlink"/>
          </w:rPr>
          <w:t>December 2022 Statement of Expectations</w:t>
        </w:r>
      </w:hyperlink>
      <w:r w:rsidR="00E10A84">
        <w:t xml:space="preserve"> (SoE)</w:t>
      </w:r>
      <w:r w:rsidR="00D714D8">
        <w:t xml:space="preserve"> </w:t>
      </w:r>
      <w:r w:rsidR="00024CC9">
        <w:t xml:space="preserve">are relevant </w:t>
      </w:r>
      <w:r w:rsidR="00682A66">
        <w:t>to our public interest criteria</w:t>
      </w:r>
      <w:r w:rsidR="00D00822">
        <w:t xml:space="preserve">. The </w:t>
      </w:r>
      <w:r w:rsidR="00283C24">
        <w:t>m</w:t>
      </w:r>
      <w:r w:rsidR="00D00822">
        <w:t>inister</w:t>
      </w:r>
      <w:r w:rsidR="00682A66">
        <w:t xml:space="preserve"> </w:t>
      </w:r>
      <w:r w:rsidR="00D00822">
        <w:t xml:space="preserve">also </w:t>
      </w:r>
      <w:r w:rsidR="00594BEA">
        <w:t xml:space="preserve">signals </w:t>
      </w:r>
      <w:r w:rsidR="00BD5EE1">
        <w:t>an</w:t>
      </w:r>
      <w:r w:rsidR="00594BEA">
        <w:t xml:space="preserve"> intent to consult on a Ministerial Policy Statement</w:t>
      </w:r>
      <w:r w:rsidR="00645F2C">
        <w:t xml:space="preserve"> (MPS)</w:t>
      </w:r>
      <w:r w:rsidR="008E11DF">
        <w:rPr>
          <w:rStyle w:val="FootnoteReference"/>
        </w:rPr>
        <w:footnoteReference w:id="5"/>
      </w:r>
      <w:r w:rsidR="00602EE9">
        <w:t xml:space="preserve"> </w:t>
      </w:r>
      <w:r w:rsidR="00BD5EE1">
        <w:t>to</w:t>
      </w:r>
      <w:r w:rsidR="00602EE9">
        <w:t xml:space="preserve"> </w:t>
      </w:r>
      <w:r w:rsidR="009426C1">
        <w:t xml:space="preserve">seek views on </w:t>
      </w:r>
      <w:r w:rsidR="00602EE9">
        <w:t>specify</w:t>
      </w:r>
      <w:r w:rsidR="009426C1">
        <w:t>ing</w:t>
      </w:r>
      <w:r w:rsidR="00602EE9">
        <w:t xml:space="preserve"> the policy priorities </w:t>
      </w:r>
      <w:r w:rsidR="00D00822">
        <w:t>set out the letter</w:t>
      </w:r>
      <w:r>
        <w:t xml:space="preserve">. The </w:t>
      </w:r>
      <w:r w:rsidR="00283C24">
        <w:t>m</w:t>
      </w:r>
      <w:r>
        <w:t>inister also</w:t>
      </w:r>
      <w:r w:rsidR="00D00822">
        <w:t xml:space="preserve"> </w:t>
      </w:r>
      <w:r w:rsidR="00643EC6">
        <w:t xml:space="preserve">asks that the ACMA explore and advise on the merits of </w:t>
      </w:r>
      <w:r w:rsidR="003541FA">
        <w:t xml:space="preserve">alternative </w:t>
      </w:r>
      <w:r w:rsidR="00643EC6">
        <w:t>licensing conditions</w:t>
      </w:r>
      <w:r w:rsidR="006E51ED">
        <w:t xml:space="preserve">, and that we seek feedback from stakeholders on any issues around resilience and temporary disaster </w:t>
      </w:r>
      <w:r w:rsidR="00F76C6C">
        <w:t>responses that arise in an ESL context</w:t>
      </w:r>
      <w:r w:rsidR="008E11DF">
        <w:t>.</w:t>
      </w:r>
      <w:r w:rsidR="00D06CF8">
        <w:t xml:space="preserve"> </w:t>
      </w:r>
    </w:p>
    <w:p w14:paraId="4153251C" w14:textId="5E8F31E3" w:rsidR="00D23E99" w:rsidRDefault="00D06CF8" w:rsidP="006F56A5">
      <w:pPr>
        <w:pStyle w:val="Paragraph"/>
      </w:pPr>
      <w:r>
        <w:t xml:space="preserve">In this paper, we identify how we </w:t>
      </w:r>
      <w:r w:rsidR="00B11771">
        <w:t xml:space="preserve">intend to </w:t>
      </w:r>
      <w:r w:rsidR="000F0D20">
        <w:t xml:space="preserve">integrate the </w:t>
      </w:r>
      <w:r w:rsidR="00107BC9">
        <w:t xml:space="preserve">relevant priorities specified in the SoE, and those proposed to be specified in the MPS, into our </w:t>
      </w:r>
      <w:r w:rsidR="004B6C5B">
        <w:t>policy</w:t>
      </w:r>
      <w:r w:rsidR="00107BC9">
        <w:t xml:space="preserve"> and decision-making framework</w:t>
      </w:r>
      <w:r w:rsidR="007D04A2">
        <w:t xml:space="preserve">. </w:t>
      </w:r>
      <w:r w:rsidR="004F2EAB">
        <w:t xml:space="preserve">Noting broad support </w:t>
      </w:r>
      <w:r w:rsidR="00715BA4">
        <w:t xml:space="preserve">from stakeholders </w:t>
      </w:r>
      <w:r w:rsidR="004F2EAB">
        <w:t>for</w:t>
      </w:r>
      <w:r w:rsidR="0045661F">
        <w:t xml:space="preserve"> our proposed public interest criteria, </w:t>
      </w:r>
      <w:r w:rsidR="00715BA4">
        <w:t xml:space="preserve">and the </w:t>
      </w:r>
      <w:r w:rsidR="00AA42C5">
        <w:t>m</w:t>
      </w:r>
      <w:r w:rsidR="00715BA4">
        <w:t xml:space="preserve">inister’s support for them, we </w:t>
      </w:r>
      <w:r w:rsidR="0022312F">
        <w:t xml:space="preserve">affirm and </w:t>
      </w:r>
      <w:r w:rsidR="005A6AC5">
        <w:t xml:space="preserve">expand on </w:t>
      </w:r>
      <w:r w:rsidR="006A4A90">
        <w:t>the criteria</w:t>
      </w:r>
      <w:r w:rsidR="003E7062">
        <w:t xml:space="preserve">, and provide guidance for stakeholders on how to </w:t>
      </w:r>
      <w:r w:rsidR="00FB656F">
        <w:t xml:space="preserve">use the criteria when </w:t>
      </w:r>
      <w:r w:rsidR="003E7062">
        <w:t>engag</w:t>
      </w:r>
      <w:r w:rsidR="00641C22">
        <w:t>ing</w:t>
      </w:r>
      <w:r w:rsidR="003E7062">
        <w:t xml:space="preserve"> with us</w:t>
      </w:r>
      <w:r w:rsidR="00FB656F">
        <w:t xml:space="preserve"> over the ESL process</w:t>
      </w:r>
      <w:r w:rsidR="005A6AC5">
        <w:t>.</w:t>
      </w:r>
      <w:r w:rsidR="006A4A90">
        <w:t xml:space="preserve"> </w:t>
      </w:r>
      <w:r w:rsidR="007D04A2">
        <w:t xml:space="preserve">We also outline how we intend to </w:t>
      </w:r>
      <w:r w:rsidR="00F76C6C">
        <w:t xml:space="preserve">address the </w:t>
      </w:r>
      <w:r w:rsidR="001E3833">
        <w:t>m</w:t>
      </w:r>
      <w:r w:rsidR="00F76C6C">
        <w:t xml:space="preserve">inister’s request that we </w:t>
      </w:r>
      <w:r w:rsidR="007D04A2">
        <w:t>consider</w:t>
      </w:r>
      <w:r w:rsidR="00DD2276">
        <w:t xml:space="preserve"> </w:t>
      </w:r>
      <w:r w:rsidR="003541FA">
        <w:t>alternative</w:t>
      </w:r>
      <w:r w:rsidR="00303392">
        <w:t xml:space="preserve"> licensing</w:t>
      </w:r>
      <w:r w:rsidR="00DB2717">
        <w:t xml:space="preserve"> </w:t>
      </w:r>
      <w:proofErr w:type="gramStart"/>
      <w:r w:rsidR="00DB2717">
        <w:t>conditions</w:t>
      </w:r>
      <w:r w:rsidR="00F76C6C">
        <w:t>, and</w:t>
      </w:r>
      <w:proofErr w:type="gramEnd"/>
      <w:r w:rsidR="00F76C6C">
        <w:t xml:space="preserve"> seek feedback from stakeholders on </w:t>
      </w:r>
      <w:r w:rsidR="001E3833">
        <w:t>issues relating to resilience and temporary disaster responses,</w:t>
      </w:r>
      <w:r w:rsidR="00303392">
        <w:t xml:space="preserve"> as part of the ESL process.</w:t>
      </w:r>
      <w:r w:rsidR="00107BC9">
        <w:t xml:space="preserve"> </w:t>
      </w:r>
    </w:p>
    <w:p w14:paraId="1A12563E" w14:textId="623E70BD" w:rsidR="00715722" w:rsidRDefault="006F56A5" w:rsidP="00715722">
      <w:pPr>
        <w:pStyle w:val="Heading1"/>
      </w:pPr>
      <w:bookmarkStart w:id="2" w:name="_Toc153795057"/>
      <w:bookmarkEnd w:id="1"/>
      <w:r>
        <w:lastRenderedPageBreak/>
        <w:t>Background</w:t>
      </w:r>
      <w:bookmarkEnd w:id="2"/>
    </w:p>
    <w:p w14:paraId="1077F946" w14:textId="01CBD687" w:rsidR="006F56A5" w:rsidRDefault="006F56A5" w:rsidP="006F56A5">
      <w:pPr>
        <w:pStyle w:val="Heading2"/>
      </w:pPr>
      <w:bookmarkStart w:id="3" w:name="_Toc153795058"/>
      <w:r>
        <w:t>Spectrum licences</w:t>
      </w:r>
      <w:bookmarkEnd w:id="3"/>
    </w:p>
    <w:p w14:paraId="445B3571" w14:textId="243FC0FE" w:rsidR="006F56A5" w:rsidRDefault="006F56A5" w:rsidP="006F56A5">
      <w:pPr>
        <w:pStyle w:val="Paragraph"/>
      </w:pPr>
      <w:r>
        <w:t xml:space="preserve">A spectrum licence authorises a person to operate a range of </w:t>
      </w:r>
      <w:r w:rsidR="00C551C9">
        <w:t xml:space="preserve">radiocommunications </w:t>
      </w:r>
      <w:r>
        <w:t xml:space="preserve">devices within the frequency ranges and geographic areas specified in the licence, subject to the </w:t>
      </w:r>
      <w:r w:rsidR="008E4238">
        <w:t xml:space="preserve">licence </w:t>
      </w:r>
      <w:r>
        <w:t>conditions. Many spectrum licences relate to large geographic areas (including some Australia-wide licences) and large bandwidths of high</w:t>
      </w:r>
      <w:r w:rsidR="00C813D7">
        <w:t>-</w:t>
      </w:r>
      <w:r>
        <w:t xml:space="preserve">demand spectrum. </w:t>
      </w:r>
    </w:p>
    <w:p w14:paraId="7A1E17D3" w14:textId="297E4506" w:rsidR="006F56A5" w:rsidRDefault="00C921B4" w:rsidP="006F56A5">
      <w:pPr>
        <w:pStyle w:val="Paragraph"/>
      </w:pPr>
      <w:r>
        <w:t>Before 2021, s</w:t>
      </w:r>
      <w:r w:rsidR="006F56A5">
        <w:t xml:space="preserve">pectrum licences </w:t>
      </w:r>
      <w:r>
        <w:t xml:space="preserve">could be </w:t>
      </w:r>
      <w:r w:rsidR="006F56A5">
        <w:t xml:space="preserve">issued for up to 15 </w:t>
      </w:r>
      <w:proofErr w:type="gramStart"/>
      <w:r w:rsidR="006F56A5">
        <w:t>years</w:t>
      </w:r>
      <w:r w:rsidR="008C5ECD">
        <w:t>,</w:t>
      </w:r>
      <w:r w:rsidR="006F56A5">
        <w:t xml:space="preserve"> but</w:t>
      </w:r>
      <w:proofErr w:type="gramEnd"/>
      <w:r w:rsidR="006F56A5">
        <w:t xml:space="preserve"> may now be issued for up to 20 years.</w:t>
      </w:r>
      <w:r w:rsidR="006F56A5" w:rsidRPr="00D70FDF">
        <w:t xml:space="preserve"> </w:t>
      </w:r>
      <w:r w:rsidR="006F56A5">
        <w:t>We have typically allocated spectrum licences via auction processes, although many current spectrum licences were most recently re</w:t>
      </w:r>
      <w:r w:rsidR="006F56A5">
        <w:noBreakHyphen/>
        <w:t>issued between 2013 and 2017 as part of the previous ESL process.</w:t>
      </w:r>
      <w:r w:rsidR="006F56A5">
        <w:rPr>
          <w:rStyle w:val="FootnoteReference"/>
        </w:rPr>
        <w:footnoteReference w:id="6"/>
      </w:r>
      <w:r w:rsidR="006F56A5">
        <w:t xml:space="preserve"> </w:t>
      </w:r>
    </w:p>
    <w:p w14:paraId="6F84E971" w14:textId="31DA7445" w:rsidR="006F56A5" w:rsidRDefault="006F56A5" w:rsidP="006F56A5">
      <w:pPr>
        <w:pStyle w:val="Paragraph"/>
      </w:pPr>
      <w:r>
        <w:t>Spectrum licences are tradable, in part or in full, enabling both disaggregation and aggregation of spectrum spaces</w:t>
      </w:r>
      <w:r w:rsidR="00E22E53">
        <w:t xml:space="preserve">. The framework is intended to </w:t>
      </w:r>
      <w:r>
        <w:t>facilitat</w:t>
      </w:r>
      <w:r w:rsidR="00E22E53">
        <w:t>e</w:t>
      </w:r>
      <w:r>
        <w:t xml:space="preserve"> market-based opportunities</w:t>
      </w:r>
      <w:r w:rsidR="00DB631C">
        <w:t>, such as trading and third-party authorisations,</w:t>
      </w:r>
      <w:r>
        <w:t xml:space="preserve"> </w:t>
      </w:r>
      <w:r w:rsidR="00E22E53">
        <w:t xml:space="preserve">that can </w:t>
      </w:r>
      <w:r>
        <w:t>maximis</w:t>
      </w:r>
      <w:r w:rsidR="00E22E53">
        <w:t>e</w:t>
      </w:r>
      <w:r>
        <w:t xml:space="preserve"> efficiency and </w:t>
      </w:r>
      <w:r w:rsidR="00E22E53">
        <w:t xml:space="preserve">the </w:t>
      </w:r>
      <w:r>
        <w:t>value derived from the spectrum</w:t>
      </w:r>
      <w:r w:rsidDel="00DB631C">
        <w:t xml:space="preserve">. </w:t>
      </w:r>
    </w:p>
    <w:p w14:paraId="58FC948D" w14:textId="597D3C08" w:rsidR="006F56A5" w:rsidRDefault="006F56A5" w:rsidP="006F56A5">
      <w:pPr>
        <w:pStyle w:val="Paragraph"/>
      </w:pPr>
      <w:r>
        <w:t xml:space="preserve">Spectrum licences are subject to technology-flexible frameworks, which may be optimised for a particular technology or </w:t>
      </w:r>
      <w:r w:rsidR="00C813D7">
        <w:t>use</w:t>
      </w:r>
      <w:r w:rsidR="00B22D75">
        <w:t>. They</w:t>
      </w:r>
      <w:r w:rsidR="00563E85">
        <w:t xml:space="preserve"> </w:t>
      </w:r>
      <w:r w:rsidR="003A239C">
        <w:t>have enabled</w:t>
      </w:r>
      <w:r>
        <w:t xml:space="preserve"> multiple generations of technology to be deployed under a single </w:t>
      </w:r>
      <w:proofErr w:type="gramStart"/>
      <w:r>
        <w:t>licence</w:t>
      </w:r>
      <w:r w:rsidR="0069425B">
        <w:t>,</w:t>
      </w:r>
      <w:r>
        <w:t xml:space="preserve"> and</w:t>
      </w:r>
      <w:proofErr w:type="gramEnd"/>
      <w:r>
        <w:t xml:space="preserve"> </w:t>
      </w:r>
      <w:r w:rsidR="00E810E4">
        <w:t>allowed</w:t>
      </w:r>
      <w:r>
        <w:t xml:space="preserve"> licensees to repurpose the spectrum for other uses. </w:t>
      </w:r>
      <w:r w:rsidRPr="007D04B2">
        <w:t xml:space="preserve">This means licensees can operate any type of radiocommunications device for any purpose, provided they comply with the technical framework </w:t>
      </w:r>
      <w:r>
        <w:t>for that</w:t>
      </w:r>
      <w:r w:rsidRPr="007D04B2">
        <w:t xml:space="preserve"> </w:t>
      </w:r>
      <w:r>
        <w:t xml:space="preserve">band </w:t>
      </w:r>
      <w:r w:rsidR="009C3FF3">
        <w:t>(</w:t>
      </w:r>
      <w:r>
        <w:t xml:space="preserve">and any other </w:t>
      </w:r>
      <w:r w:rsidR="002F3A0D">
        <w:t>applicable regulations</w:t>
      </w:r>
      <w:r w:rsidDel="002F3A0D">
        <w:t>)</w:t>
      </w:r>
      <w:r w:rsidRPr="007D04B2">
        <w:t xml:space="preserve">. </w:t>
      </w:r>
    </w:p>
    <w:p w14:paraId="6CDBD2D7" w14:textId="65516BC4" w:rsidR="006F56A5" w:rsidRDefault="006F56A5" w:rsidP="006F56A5">
      <w:pPr>
        <w:pStyle w:val="Paragraph"/>
      </w:pPr>
      <w:r>
        <w:t xml:space="preserve">The Act specifies the contents of spectrum licences, including the relevant conditions and statements that must be or may be included in a licence. </w:t>
      </w:r>
      <w:r w:rsidR="00C813D7">
        <w:t xml:space="preserve">We </w:t>
      </w:r>
      <w:r>
        <w:t>often ha</w:t>
      </w:r>
      <w:r w:rsidR="00C813D7">
        <w:t>ve</w:t>
      </w:r>
      <w:r>
        <w:t xml:space="preserve"> discretion in designing the specific terms of those conditions and statements. </w:t>
      </w:r>
    </w:p>
    <w:p w14:paraId="5BEBDB8E" w14:textId="0916CA9E" w:rsidR="00F33E16" w:rsidRDefault="00F33E16" w:rsidP="00F33E16">
      <w:pPr>
        <w:pStyle w:val="Paragraph"/>
      </w:pPr>
      <w:r>
        <w:t xml:space="preserve">Further </w:t>
      </w:r>
      <w:hyperlink r:id="rId35" w:history="1">
        <w:r w:rsidRPr="00C41856">
          <w:rPr>
            <w:rStyle w:val="Hyperlink"/>
          </w:rPr>
          <w:t>information about spectrum licences and our approaches to allocations and licensing</w:t>
        </w:r>
      </w:hyperlink>
      <w:r>
        <w:t xml:space="preserve"> can be found </w:t>
      </w:r>
      <w:r w:rsidRPr="00CF2308">
        <w:t>on our website</w:t>
      </w:r>
      <w:r>
        <w:t>.</w:t>
      </w:r>
    </w:p>
    <w:p w14:paraId="03F1B8BC" w14:textId="7E55A93C" w:rsidR="006F56A5" w:rsidRDefault="006F56A5" w:rsidP="006F56A5">
      <w:pPr>
        <w:pStyle w:val="Heading2"/>
      </w:pPr>
      <w:bookmarkStart w:id="4" w:name="_Toc153795059"/>
      <w:r>
        <w:t>Expiration of spectrum licences</w:t>
      </w:r>
      <w:bookmarkEnd w:id="4"/>
    </w:p>
    <w:p w14:paraId="69E52FBE" w14:textId="3FD3C348" w:rsidR="006F56A5" w:rsidRDefault="006F56A5" w:rsidP="006F56A5">
      <w:pPr>
        <w:pStyle w:val="Paragraph"/>
      </w:pPr>
      <w:r>
        <w:t xml:space="preserve">Licensees may apply to the ACMA for their spectrum licence to be renewed. The Act provides for renewal applications to be made in a manner and form approved by the </w:t>
      </w:r>
      <w:proofErr w:type="gramStart"/>
      <w:r>
        <w:t>ACMA</w:t>
      </w:r>
      <w:r w:rsidR="008C5ECD">
        <w:t>,</w:t>
      </w:r>
      <w:r>
        <w:t xml:space="preserve"> and</w:t>
      </w:r>
      <w:proofErr w:type="gramEnd"/>
      <w:r>
        <w:t xml:space="preserve"> accompanied by specified information and documents. </w:t>
      </w:r>
    </w:p>
    <w:p w14:paraId="0A0F26C4" w14:textId="07C5F850" w:rsidR="006F56A5" w:rsidRDefault="006F56A5" w:rsidP="006F56A5">
      <w:pPr>
        <w:pStyle w:val="Paragraph"/>
      </w:pPr>
      <w:r>
        <w:t>Spectrum licences issued before and after the 2021 reforms to the Act are subject to different processes. For</w:t>
      </w:r>
      <w:r w:rsidR="00E22E53">
        <w:t xml:space="preserve"> the</w:t>
      </w:r>
      <w:r>
        <w:t xml:space="preserve"> ESLs</w:t>
      </w:r>
      <w:r w:rsidR="00896A48">
        <w:t xml:space="preserve"> that are the subject of this paper</w:t>
      </w:r>
      <w:r>
        <w:t>, licensees may only apply for renewal 2 years before expiry, and up until the day the licence is due to expire.</w:t>
      </w:r>
      <w:r>
        <w:rPr>
          <w:rStyle w:val="FootnoteReference"/>
        </w:rPr>
        <w:footnoteReference w:id="7"/>
      </w:r>
      <w:r>
        <w:t xml:space="preserve"> Renewal timeframes are set out in </w:t>
      </w:r>
      <w:r w:rsidRPr="006905B1">
        <w:t>Appendix A</w:t>
      </w:r>
      <w:r>
        <w:t>.</w:t>
      </w:r>
    </w:p>
    <w:p w14:paraId="024ED332" w14:textId="3BE1A0AF" w:rsidR="006F56A5" w:rsidRDefault="006F56A5" w:rsidP="006F56A5">
      <w:pPr>
        <w:pStyle w:val="Paragraph"/>
      </w:pPr>
      <w:r>
        <w:lastRenderedPageBreak/>
        <w:t xml:space="preserve">Upon receiving an application for renewal, we have 6 months to </w:t>
      </w:r>
      <w:r w:rsidR="00834257">
        <w:t>decide</w:t>
      </w:r>
      <w:r>
        <w:t xml:space="preserve"> whether to renew the licence and, if the licence is to be renewed, the term</w:t>
      </w:r>
      <w:r w:rsidR="00896A48">
        <w:t xml:space="preserve"> of the licence, and the statement</w:t>
      </w:r>
      <w:r>
        <w:t>s and</w:t>
      </w:r>
      <w:r w:rsidR="008B0BFA">
        <w:t xml:space="preserve"> conditions</w:t>
      </w:r>
      <w:r>
        <w:t xml:space="preserve"> to be included in the licence.</w:t>
      </w:r>
      <w:r>
        <w:rPr>
          <w:rStyle w:val="FootnoteReference"/>
        </w:rPr>
        <w:footnoteReference w:id="8"/>
      </w:r>
      <w:r>
        <w:t xml:space="preserve"> </w:t>
      </w:r>
    </w:p>
    <w:p w14:paraId="2508DC2A" w14:textId="44CEA35F" w:rsidR="006F56A5" w:rsidRDefault="005D7C37" w:rsidP="006F56A5">
      <w:pPr>
        <w:pStyle w:val="Paragraph"/>
      </w:pPr>
      <w:r>
        <w:t xml:space="preserve">The </w:t>
      </w:r>
      <w:hyperlink r:id="rId36" w:history="1">
        <w:r w:rsidRPr="008357D4">
          <w:rPr>
            <w:rStyle w:val="Hyperlink"/>
          </w:rPr>
          <w:t>Explanatory Memorandum</w:t>
        </w:r>
      </w:hyperlink>
      <w:r>
        <w:t xml:space="preserve"> related to the 2021 reforms notes that the ACMA has discretion to consider a wide range of matters, including the long-term public interest, the potential impact on competition and downstream markets, and the planned future use of the spectrum. </w:t>
      </w:r>
      <w:r w:rsidR="006F56A5">
        <w:t xml:space="preserve">We must </w:t>
      </w:r>
      <w:proofErr w:type="gramStart"/>
      <w:r w:rsidR="006F56A5">
        <w:t>take into account</w:t>
      </w:r>
      <w:proofErr w:type="gramEnd"/>
      <w:r w:rsidR="006F56A5">
        <w:t xml:space="preserve"> all matters we consider relevant to the decision, including any effect on radiocommunications that devices operated under the renewed licence would have.</w:t>
      </w:r>
      <w:r w:rsidR="006F56A5">
        <w:rPr>
          <w:rStyle w:val="FootnoteReference"/>
        </w:rPr>
        <w:footnoteReference w:id="9"/>
      </w:r>
      <w:r w:rsidR="006F56A5">
        <w:t xml:space="preserve"> If we intend to renew a licence for 10 years or longer, we must also be satisfied that it is in the public interest to do so.</w:t>
      </w:r>
      <w:r w:rsidR="006F56A5">
        <w:rPr>
          <w:rStyle w:val="FootnoteReference"/>
        </w:rPr>
        <w:footnoteReference w:id="10"/>
      </w:r>
    </w:p>
    <w:p w14:paraId="07014182" w14:textId="34EF7533" w:rsidR="006F56A5" w:rsidRPr="006F56A5" w:rsidRDefault="006F56A5" w:rsidP="006F56A5">
      <w:pPr>
        <w:pStyle w:val="Heading3"/>
      </w:pPr>
      <w:bookmarkStart w:id="5" w:name="_Toc149065087"/>
      <w:r w:rsidRPr="006F56A5">
        <w:t>Outcomes for ESLs</w:t>
      </w:r>
      <w:bookmarkEnd w:id="5"/>
    </w:p>
    <w:p w14:paraId="563AC8A1" w14:textId="44AD1BB8" w:rsidR="006F56A5" w:rsidRDefault="00834257" w:rsidP="006F56A5">
      <w:pPr>
        <w:pStyle w:val="Paragraph"/>
      </w:pPr>
      <w:r>
        <w:t xml:space="preserve">If </w:t>
      </w:r>
      <w:r w:rsidR="006F56A5">
        <w:t xml:space="preserve">we receive a renewal application for a particular licence, section 77C of the Act </w:t>
      </w:r>
      <w:r w:rsidR="0078542A">
        <w:t xml:space="preserve">can </w:t>
      </w:r>
      <w:r w:rsidR="006F56A5">
        <w:t xml:space="preserve">provide for </w:t>
      </w:r>
      <w:r>
        <w:t>3</w:t>
      </w:r>
      <w:r w:rsidR="006F56A5">
        <w:t xml:space="preserve"> possible outcomes. </w:t>
      </w:r>
    </w:p>
    <w:p w14:paraId="282FAF5E" w14:textId="73A3DB6E" w:rsidR="006F56A5" w:rsidRDefault="00C87ADE" w:rsidP="006F56A5">
      <w:pPr>
        <w:pStyle w:val="Paragraph"/>
      </w:pPr>
      <w:r>
        <w:t xml:space="preserve">For </w:t>
      </w:r>
      <w:r w:rsidR="006F56A5">
        <w:t>renewal and partial renewal, spectrum access charges will be payable by the licensee.</w:t>
      </w:r>
    </w:p>
    <w:p w14:paraId="48676BAF" w14:textId="77777777" w:rsidR="006F56A5" w:rsidRDefault="006F56A5" w:rsidP="006F56A5">
      <w:pPr>
        <w:pStyle w:val="Heading4"/>
      </w:pPr>
      <w:r>
        <w:t>Renewal</w:t>
      </w:r>
    </w:p>
    <w:p w14:paraId="1BE254BC" w14:textId="77777777" w:rsidR="00B65888" w:rsidRDefault="00B65888" w:rsidP="00B65888">
      <w:pPr>
        <w:pStyle w:val="Paragraph"/>
      </w:pPr>
      <w:r>
        <w:t xml:space="preserve">Each ESL has ‘spectrum access conditions’ – that is, core </w:t>
      </w:r>
      <w:r w:rsidRPr="001E6D03">
        <w:t xml:space="preserve">conditions </w:t>
      </w:r>
      <w:r>
        <w:t>specified at paragraphs 66(1)(a) and (c) of the Act, which set out</w:t>
      </w:r>
      <w:r w:rsidRPr="001E6D03">
        <w:t xml:space="preserve"> the licensed frequency band</w:t>
      </w:r>
      <w:r>
        <w:t>s</w:t>
      </w:r>
      <w:r w:rsidRPr="001E6D03">
        <w:t xml:space="preserve"> and geographic area</w:t>
      </w:r>
      <w:r>
        <w:t>s. The licensee can only operate radiocommunications devices within these bands and areas.</w:t>
      </w:r>
    </w:p>
    <w:p w14:paraId="0E9F8730" w14:textId="77777777" w:rsidR="0068332A" w:rsidRDefault="00DC2B01" w:rsidP="006F56A5">
      <w:pPr>
        <w:pStyle w:val="Paragraph"/>
      </w:pPr>
      <w:r>
        <w:t xml:space="preserve">‘Renewal’ refers to renewal of an ESL without varying the spectrum access conditions. </w:t>
      </w:r>
      <w:r w:rsidR="00430712">
        <w:t xml:space="preserve">If the ACMA renews an </w:t>
      </w:r>
      <w:r w:rsidR="006F56A5">
        <w:t>ESL, the new licence authoris</w:t>
      </w:r>
      <w:r w:rsidR="00430712">
        <w:t>es</w:t>
      </w:r>
      <w:r w:rsidR="006F56A5">
        <w:t xml:space="preserve"> the use of the same parts of the spectrum and in the same geographic areas as the ESL. </w:t>
      </w:r>
      <w:r w:rsidR="00B52B67">
        <w:t>Other conditions contained in the renewed licence may be different</w:t>
      </w:r>
      <w:r w:rsidR="006F56A5">
        <w:t xml:space="preserve">. </w:t>
      </w:r>
    </w:p>
    <w:p w14:paraId="429AFDCD" w14:textId="3D29DD50" w:rsidR="006F56A5" w:rsidRDefault="006F56A5" w:rsidP="006F56A5">
      <w:pPr>
        <w:pStyle w:val="Paragraph"/>
      </w:pPr>
      <w:r>
        <w:t xml:space="preserve">Renewal of </w:t>
      </w:r>
      <w:r w:rsidR="000E3D46">
        <w:t xml:space="preserve">one ESL in a band </w:t>
      </w:r>
      <w:r>
        <w:t xml:space="preserve">does not necessarily mean that all </w:t>
      </w:r>
      <w:r w:rsidR="000E3D46">
        <w:t xml:space="preserve">ESLs </w:t>
      </w:r>
      <w:r>
        <w:t xml:space="preserve">within </w:t>
      </w:r>
      <w:r w:rsidR="000E3D46">
        <w:t xml:space="preserve">the </w:t>
      </w:r>
      <w:r>
        <w:t>band, or held by the same licensee, will be renewed</w:t>
      </w:r>
      <w:r w:rsidR="00166DB1">
        <w:t xml:space="preserve">: licences held by other incumbents in that same band, </w:t>
      </w:r>
      <w:r w:rsidR="00987DDA">
        <w:t>or by that licensee, may be partially renewed or refused</w:t>
      </w:r>
      <w:r>
        <w:t>.</w:t>
      </w:r>
    </w:p>
    <w:p w14:paraId="4F078A86" w14:textId="77777777" w:rsidR="006F56A5" w:rsidRDefault="006F56A5" w:rsidP="006F56A5">
      <w:pPr>
        <w:pStyle w:val="Heading4"/>
      </w:pPr>
      <w:r>
        <w:t>Partial renewal</w:t>
      </w:r>
    </w:p>
    <w:p w14:paraId="6F5A037B" w14:textId="07B0D096" w:rsidR="006F56A5" w:rsidRDefault="006F56A5" w:rsidP="006F56A5">
      <w:pPr>
        <w:pStyle w:val="Paragraph"/>
      </w:pPr>
      <w:r>
        <w:t>We use this term to describe an outcome whereby an ESL is renewed</w:t>
      </w:r>
      <w:r w:rsidRPr="00726C19">
        <w:t xml:space="preserve"> with </w:t>
      </w:r>
      <w:r w:rsidR="006561F8">
        <w:t xml:space="preserve">substantive </w:t>
      </w:r>
      <w:r w:rsidRPr="00726C19">
        <w:t>change</w:t>
      </w:r>
      <w:r>
        <w:t>s</w:t>
      </w:r>
      <w:r w:rsidRPr="00726C19">
        <w:t xml:space="preserve"> </w:t>
      </w:r>
      <w:r w:rsidR="000C2887">
        <w:t>to</w:t>
      </w:r>
      <w:r w:rsidR="000A17B7">
        <w:t xml:space="preserve"> </w:t>
      </w:r>
      <w:r>
        <w:t>the spectrum access conditions – that is, the frequency bands and geographic area included in the licence.</w:t>
      </w:r>
      <w:r>
        <w:rPr>
          <w:rStyle w:val="FootnoteReference"/>
        </w:rPr>
        <w:footnoteReference w:id="11"/>
      </w:r>
      <w:r w:rsidRPr="005C21E6">
        <w:t xml:space="preserve"> </w:t>
      </w:r>
      <w:r>
        <w:t xml:space="preserve">As a consequence of changes </w:t>
      </w:r>
      <w:r w:rsidR="00245057">
        <w:t>to spectrum access conditions</w:t>
      </w:r>
      <w:r>
        <w:t xml:space="preserve">, some or all of the residual spectrum previously included in the ESL </w:t>
      </w:r>
      <w:r w:rsidRPr="005C21E6">
        <w:t xml:space="preserve">may become available for </w:t>
      </w:r>
      <w:r w:rsidR="00F30BB4">
        <w:t xml:space="preserve">replanning </w:t>
      </w:r>
      <w:r w:rsidR="004A6DB1">
        <w:t xml:space="preserve">for other uses or </w:t>
      </w:r>
      <w:r w:rsidRPr="005C21E6">
        <w:t>allocat</w:t>
      </w:r>
      <w:r w:rsidR="00C178AE">
        <w:t>ed</w:t>
      </w:r>
      <w:r w:rsidR="004A6DB1">
        <w:t xml:space="preserve"> for other uses or users.</w:t>
      </w:r>
    </w:p>
    <w:p w14:paraId="6B44667D" w14:textId="77777777" w:rsidR="006F56A5" w:rsidRDefault="006F56A5" w:rsidP="006F56A5">
      <w:pPr>
        <w:pStyle w:val="Heading4"/>
      </w:pPr>
      <w:r>
        <w:t>Refusal</w:t>
      </w:r>
    </w:p>
    <w:p w14:paraId="374A57C3" w14:textId="2FB65505" w:rsidR="006F56A5" w:rsidRDefault="00245057" w:rsidP="006F56A5">
      <w:pPr>
        <w:pStyle w:val="Paragraph"/>
      </w:pPr>
      <w:r>
        <w:t>W</w:t>
      </w:r>
      <w:r w:rsidR="006F56A5">
        <w:t xml:space="preserve">e </w:t>
      </w:r>
      <w:r>
        <w:t xml:space="preserve">may </w:t>
      </w:r>
      <w:r w:rsidR="006F56A5">
        <w:t>refuse to renew an ESL.</w:t>
      </w:r>
      <w:r w:rsidR="006F56A5">
        <w:rPr>
          <w:rStyle w:val="FootnoteReference"/>
        </w:rPr>
        <w:footnoteReference w:id="12"/>
      </w:r>
      <w:r w:rsidR="006F56A5">
        <w:t xml:space="preserve"> </w:t>
      </w:r>
      <w:r w:rsidR="00C349C5">
        <w:t>Consequently</w:t>
      </w:r>
      <w:r w:rsidR="006F56A5">
        <w:t xml:space="preserve">, there are a range of potential pathways for how the spectrum previously covered by the ESL </w:t>
      </w:r>
      <w:r w:rsidR="00C349C5">
        <w:t xml:space="preserve">could </w:t>
      </w:r>
      <w:r w:rsidR="006F56A5">
        <w:t xml:space="preserve">be dealt with, </w:t>
      </w:r>
      <w:r w:rsidR="006F56A5">
        <w:lastRenderedPageBreak/>
        <w:t xml:space="preserve">including being allocated for new spectrum licences, </w:t>
      </w:r>
      <w:r w:rsidR="005D3DE2">
        <w:t xml:space="preserve">or </w:t>
      </w:r>
      <w:r w:rsidR="00334684">
        <w:t xml:space="preserve">replanned </w:t>
      </w:r>
      <w:r w:rsidR="006F56A5">
        <w:t>or re-allocated under apparatus or class</w:t>
      </w:r>
      <w:r w:rsidR="005D3DE2">
        <w:t>-</w:t>
      </w:r>
      <w:r w:rsidR="006F56A5">
        <w:t>licensing frameworks.</w:t>
      </w:r>
      <w:r w:rsidR="006F56A5">
        <w:br w:type="page"/>
      </w:r>
    </w:p>
    <w:p w14:paraId="26E04495" w14:textId="3F7B6EDF" w:rsidR="005E250B" w:rsidRDefault="006F56A5" w:rsidP="002C0530">
      <w:pPr>
        <w:pStyle w:val="Heading1"/>
      </w:pPr>
      <w:bookmarkStart w:id="6" w:name="_Toc153795060"/>
      <w:r>
        <w:lastRenderedPageBreak/>
        <w:t>ESL process</w:t>
      </w:r>
      <w:bookmarkEnd w:id="6"/>
    </w:p>
    <w:p w14:paraId="21CF519E" w14:textId="0C4021E4" w:rsidR="006F56A5" w:rsidRDefault="006F56A5" w:rsidP="006F56A5">
      <w:pPr>
        <w:pStyle w:val="Paragraph"/>
      </w:pPr>
      <w:r>
        <w:t xml:space="preserve">We have designed an ESL process, and an accompanying policy and decision-making framework, that will facilitate making renewal applications by </w:t>
      </w:r>
      <w:r w:rsidDel="00D96644">
        <w:t xml:space="preserve">incumbent </w:t>
      </w:r>
      <w:r>
        <w:t>licensees, and our consideration of those applications.</w:t>
      </w:r>
    </w:p>
    <w:p w14:paraId="319966D5" w14:textId="76F264D4" w:rsidR="00950187" w:rsidRDefault="009519C9" w:rsidP="00387F3C">
      <w:pPr>
        <w:pStyle w:val="Paragraphbeforelist"/>
      </w:pPr>
      <w:r>
        <w:t>The process</w:t>
      </w:r>
      <w:r w:rsidR="00950187">
        <w:t xml:space="preserve"> encompasses:</w:t>
      </w:r>
    </w:p>
    <w:p w14:paraId="65C4DF1B" w14:textId="0A1E895D" w:rsidR="00F063F6" w:rsidRDefault="00F063F6" w:rsidP="00F063F6">
      <w:pPr>
        <w:pStyle w:val="Bulletlevel1"/>
      </w:pPr>
      <w:r>
        <w:t xml:space="preserve">consultation </w:t>
      </w:r>
      <w:r w:rsidR="006F56A5">
        <w:t xml:space="preserve">and finalisation of the overall </w:t>
      </w:r>
      <w:r w:rsidR="00131AEF">
        <w:t xml:space="preserve">process </w:t>
      </w:r>
      <w:r w:rsidR="006F56A5">
        <w:t>design (stage 1 in 2023)</w:t>
      </w:r>
    </w:p>
    <w:p w14:paraId="19E3F9FE" w14:textId="65DEDA9C" w:rsidR="00E47922" w:rsidRDefault="006F56A5" w:rsidP="00F063F6">
      <w:pPr>
        <w:pStyle w:val="Bulletlevel1"/>
      </w:pPr>
      <w:r>
        <w:t xml:space="preserve">development of preliminary views on the bands covered by the ESLs (stages 2 and 3 over 2024) </w:t>
      </w:r>
    </w:p>
    <w:p w14:paraId="297AD1D9" w14:textId="419DA4E5" w:rsidR="006F56A5" w:rsidRDefault="006F56A5" w:rsidP="00131AEF">
      <w:pPr>
        <w:pStyle w:val="Bulletlevel1last"/>
      </w:pPr>
      <w:r>
        <w:t>release of preferred views (2025)</w:t>
      </w:r>
      <w:r w:rsidR="00CD227B">
        <w:t>,</w:t>
      </w:r>
      <w:r>
        <w:t xml:space="preserve"> and then a sustained period commencing June 2026 and nominally concluding in October 2032 during which renewal applications are made</w:t>
      </w:r>
      <w:r w:rsidR="000F22F7">
        <w:t xml:space="preserve"> and</w:t>
      </w:r>
      <w:r>
        <w:t xml:space="preserve"> considered, and decisions are made</w:t>
      </w:r>
      <w:r w:rsidR="00730D06">
        <w:t xml:space="preserve"> (stage 4)</w:t>
      </w:r>
      <w:r>
        <w:t>.</w:t>
      </w:r>
    </w:p>
    <w:p w14:paraId="67D13531" w14:textId="1232D85D" w:rsidR="006F56A5" w:rsidRDefault="006F56A5" w:rsidP="006F56A5">
      <w:pPr>
        <w:pStyle w:val="Paragraph"/>
      </w:pPr>
      <w:proofErr w:type="gramStart"/>
      <w:r>
        <w:t>At</w:t>
      </w:r>
      <w:proofErr w:type="gramEnd"/>
      <w:r>
        <w:t xml:space="preserve"> </w:t>
      </w:r>
      <w:r w:rsidR="00B77267">
        <w:t>December 2023</w:t>
      </w:r>
      <w:r>
        <w:t xml:space="preserve">, there </w:t>
      </w:r>
      <w:r w:rsidR="00B77267">
        <w:t xml:space="preserve">were </w:t>
      </w:r>
      <w:r>
        <w:t>6</w:t>
      </w:r>
      <w:r w:rsidR="00BF2F4E">
        <w:t>9</w:t>
      </w:r>
      <w:r>
        <w:t xml:space="preserve"> ESLs, including the 850 MHz downshift licence</w:t>
      </w:r>
      <w:r w:rsidR="00BF2F4E">
        <w:t xml:space="preserve"> and</w:t>
      </w:r>
      <w:r w:rsidR="00FD12D5">
        <w:t xml:space="preserve"> </w:t>
      </w:r>
      <w:r>
        <w:t xml:space="preserve">spectrum licences in the 3.4 GHz band </w:t>
      </w:r>
      <w:r w:rsidR="00F41F18">
        <w:t xml:space="preserve">that were recently allocated, and which have </w:t>
      </w:r>
      <w:r>
        <w:t>expiration dates that align</w:t>
      </w:r>
      <w:r w:rsidR="000F22F7">
        <w:t xml:space="preserve"> with</w:t>
      </w:r>
      <w:r>
        <w:t xml:space="preserve"> the expiration dates in the 3.4 GHz ESLs. </w:t>
      </w:r>
      <w:r w:rsidRPr="000A11B8">
        <w:t>Appendix A</w:t>
      </w:r>
      <w:r>
        <w:t xml:space="preserve"> sets out the parts of the spectrum and geographic areas covered by ESLs and renewal timeframes on a band-by-band basis.</w:t>
      </w:r>
    </w:p>
    <w:p w14:paraId="5FF27DF4" w14:textId="00C8D0A8" w:rsidR="006F56A5" w:rsidRDefault="006F56A5" w:rsidP="006F56A5">
      <w:pPr>
        <w:pStyle w:val="Paragraph"/>
      </w:pPr>
      <w:r>
        <w:t>In the following chapters, we describe the finalised ESL process and the policy and decision</w:t>
      </w:r>
      <w:r w:rsidR="00AF0347">
        <w:t>-making</w:t>
      </w:r>
      <w:r>
        <w:t xml:space="preserve"> framework (based on public interest criteria) and clarify the objectives and substance of stage 2, which commences in Q1 2024. </w:t>
      </w:r>
      <w:r w:rsidR="000825AE">
        <w:t>W</w:t>
      </w:r>
      <w:r>
        <w:t>e identify where the process has been modified in response to submissions to our stage 1 consultation. A more detailed summary and response to submissions</w:t>
      </w:r>
      <w:r w:rsidDel="00F51D7F">
        <w:t xml:space="preserve"> </w:t>
      </w:r>
      <w:r w:rsidR="0072098D">
        <w:t xml:space="preserve">is at </w:t>
      </w:r>
      <w:r w:rsidR="0072098D" w:rsidRPr="000A11B8">
        <w:t>Appendix B</w:t>
      </w:r>
      <w:r>
        <w:t>.</w:t>
      </w:r>
    </w:p>
    <w:p w14:paraId="76092F18" w14:textId="7B640020" w:rsidR="006F56A5" w:rsidRPr="006F56A5" w:rsidRDefault="002C5FDE" w:rsidP="006F56A5">
      <w:pPr>
        <w:pStyle w:val="Heading2"/>
      </w:pPr>
      <w:bookmarkStart w:id="7" w:name="_Toc153795061"/>
      <w:r>
        <w:t>Design o</w:t>
      </w:r>
      <w:r w:rsidR="005F2AB8">
        <w:t>bjectives</w:t>
      </w:r>
      <w:bookmarkEnd w:id="7"/>
    </w:p>
    <w:p w14:paraId="31E81A47" w14:textId="77777777" w:rsidR="00C141F7" w:rsidRDefault="00C141F7" w:rsidP="00C141F7">
      <w:pPr>
        <w:pStyle w:val="Paragraphbeforelist"/>
      </w:pPr>
      <w:r>
        <w:t xml:space="preserve">In designing and implementing the </w:t>
      </w:r>
      <w:r w:rsidRPr="005640B7">
        <w:t>ESL</w:t>
      </w:r>
      <w:r>
        <w:t xml:space="preserve"> process, we will:</w:t>
      </w:r>
    </w:p>
    <w:p w14:paraId="3044D7E2" w14:textId="77777777" w:rsidR="00C141F7" w:rsidRDefault="00C141F7" w:rsidP="00C141F7">
      <w:pPr>
        <w:pStyle w:val="Bulletlevel1"/>
      </w:pPr>
      <w:r>
        <w:t>provide clarity and certainty of process (in terms of sequencing of outputs and outcomes)</w:t>
      </w:r>
    </w:p>
    <w:p w14:paraId="5C1AB485" w14:textId="77777777" w:rsidR="00C141F7" w:rsidRDefault="00C141F7" w:rsidP="00C141F7">
      <w:pPr>
        <w:pStyle w:val="Bulletlevel1"/>
      </w:pPr>
      <w:r>
        <w:t>deliver a policy and decision-making framework underpinned by public interest criteria that is developed transparently and iteratively, and which, over time, provides progressively higher levels of confidence for all stakeholders (and not just incumbents)</w:t>
      </w:r>
    </w:p>
    <w:p w14:paraId="078C2DBC" w14:textId="239F6910" w:rsidR="00C141F7" w:rsidRDefault="00C141F7" w:rsidP="00C141F7">
      <w:pPr>
        <w:pStyle w:val="Bulletlevel1last"/>
      </w:pPr>
      <w:r>
        <w:t>administer the process provided for by the Act; that is, to consider each application for renewal on its merits, informed by the policy and decision-making framework as appropriate.</w:t>
      </w:r>
    </w:p>
    <w:p w14:paraId="59609524" w14:textId="031915FD" w:rsidR="006F56A5" w:rsidRDefault="006F56A5" w:rsidP="006F56A5">
      <w:pPr>
        <w:pStyle w:val="Paragraph"/>
      </w:pPr>
      <w:r>
        <w:t xml:space="preserve">Many stakeholders conveyed strong views about the benefits of early certainty of outcomes for ESLs. Some stakeholders </w:t>
      </w:r>
      <w:r w:rsidR="00017EB2">
        <w:t xml:space="preserve">submitted that </w:t>
      </w:r>
      <w:r>
        <w:t xml:space="preserve">the ESL process </w:t>
      </w:r>
      <w:r w:rsidR="00017EB2">
        <w:t xml:space="preserve">should provide </w:t>
      </w:r>
      <w:r w:rsidR="004A3551">
        <w:t xml:space="preserve">them </w:t>
      </w:r>
      <w:r>
        <w:t xml:space="preserve">with certainty of licence renewal and, in some cases, that the process should provide for a presumption of renewal. </w:t>
      </w:r>
    </w:p>
    <w:p w14:paraId="694675CB" w14:textId="255AFF9A" w:rsidR="006F56A5" w:rsidRDefault="00EA1930" w:rsidP="006F56A5">
      <w:pPr>
        <w:pStyle w:val="Paragraph"/>
      </w:pPr>
      <w:r>
        <w:t>Under the Act</w:t>
      </w:r>
      <w:r w:rsidR="00B06214">
        <w:t>,</w:t>
      </w:r>
      <w:r>
        <w:t xml:space="preserve"> t</w:t>
      </w:r>
      <w:r w:rsidR="006F56A5">
        <w:t>here is no presumption of renewal or any particular outcome for ESLs.</w:t>
      </w:r>
      <w:r w:rsidR="006F56A5">
        <w:rPr>
          <w:rStyle w:val="FootnoteReference"/>
        </w:rPr>
        <w:footnoteReference w:id="13"/>
      </w:r>
      <w:r w:rsidR="006F56A5">
        <w:t xml:space="preserve"> We want to clarify that</w:t>
      </w:r>
      <w:r w:rsidR="00462CA9">
        <w:t xml:space="preserve"> before </w:t>
      </w:r>
      <w:r w:rsidR="003167F4">
        <w:t xml:space="preserve">the </w:t>
      </w:r>
      <w:r w:rsidR="003E49B9">
        <w:t>renewal application period</w:t>
      </w:r>
      <w:r w:rsidR="00A07D06">
        <w:t xml:space="preserve"> for each </w:t>
      </w:r>
      <w:r w:rsidR="00182519">
        <w:t>ESL</w:t>
      </w:r>
      <w:r w:rsidR="003E49B9">
        <w:t>,</w:t>
      </w:r>
      <w:r w:rsidR="003167F4">
        <w:t xml:space="preserve"> </w:t>
      </w:r>
      <w:r w:rsidR="00100462">
        <w:t>we</w:t>
      </w:r>
      <w:r w:rsidR="006F56A5">
        <w:t xml:space="preserve"> cannot provide any stakeholder – be they </w:t>
      </w:r>
      <w:r w:rsidR="000E5F4A">
        <w:t xml:space="preserve">an </w:t>
      </w:r>
      <w:r w:rsidR="006F56A5">
        <w:t>incumbent</w:t>
      </w:r>
      <w:r w:rsidR="000E5F4A">
        <w:t xml:space="preserve"> licensee</w:t>
      </w:r>
      <w:r w:rsidR="006F56A5">
        <w:t xml:space="preserve">, prospective licensee, or </w:t>
      </w:r>
      <w:r w:rsidR="00585CF6">
        <w:t>an</w:t>
      </w:r>
      <w:r w:rsidR="006F56A5">
        <w:t xml:space="preserve">other interested party – with certainty of an outcome </w:t>
      </w:r>
      <w:r w:rsidR="00462CA9">
        <w:t xml:space="preserve">for </w:t>
      </w:r>
      <w:r w:rsidR="00E83301">
        <w:t xml:space="preserve">one or more </w:t>
      </w:r>
      <w:r w:rsidR="006F56A5">
        <w:t>ESL</w:t>
      </w:r>
      <w:r w:rsidR="000F22F7">
        <w:t>s</w:t>
      </w:r>
      <w:r>
        <w:t>. A</w:t>
      </w:r>
      <w:r w:rsidR="006F56A5">
        <w:t xml:space="preserve"> decision</w:t>
      </w:r>
      <w:r w:rsidR="00640DC3">
        <w:t xml:space="preserve"> </w:t>
      </w:r>
      <w:r w:rsidR="004D775D">
        <w:t xml:space="preserve">by the ACMA </w:t>
      </w:r>
      <w:r w:rsidR="00640DC3">
        <w:t xml:space="preserve">on whether </w:t>
      </w:r>
      <w:r w:rsidR="00DB30D9">
        <w:t>to renew o</w:t>
      </w:r>
      <w:r w:rsidR="00961A16">
        <w:t>r refuse to renew an ESL</w:t>
      </w:r>
      <w:r w:rsidR="006F56A5">
        <w:t xml:space="preserve"> can </w:t>
      </w:r>
      <w:r w:rsidR="006F56A5">
        <w:lastRenderedPageBreak/>
        <w:t xml:space="preserve">only be made in response to an application, and an application can only be made </w:t>
      </w:r>
      <w:r w:rsidR="007C4A89">
        <w:t>2</w:t>
      </w:r>
      <w:r w:rsidR="006F56A5">
        <w:t xml:space="preserve"> years </w:t>
      </w:r>
      <w:r w:rsidR="007C4A89">
        <w:t xml:space="preserve">before </w:t>
      </w:r>
      <w:r w:rsidR="006F56A5">
        <w:t>the licence</w:t>
      </w:r>
      <w:r w:rsidR="007C4A89">
        <w:t xml:space="preserve"> expires</w:t>
      </w:r>
      <w:r w:rsidR="006F56A5">
        <w:t>.</w:t>
      </w:r>
    </w:p>
    <w:p w14:paraId="45D8C929" w14:textId="21704CD6" w:rsidR="0048211A" w:rsidRDefault="00770BDA" w:rsidP="006F56A5">
      <w:pPr>
        <w:pStyle w:val="Paragraph"/>
      </w:pPr>
      <w:r>
        <w:t>Noting the framework provided for by the Act, we describe the ESL process as providing confidence for stakeholders</w:t>
      </w:r>
      <w:r w:rsidR="00647269">
        <w:t xml:space="preserve">, in relation to </w:t>
      </w:r>
      <w:r w:rsidR="00CE43FC">
        <w:t>the ACMA’s views and outcomes.</w:t>
      </w:r>
      <w:r w:rsidR="0048211A" w:rsidRPr="0048211A">
        <w:t xml:space="preserve"> </w:t>
      </w:r>
      <w:r w:rsidR="0048211A">
        <w:t xml:space="preserve">Our process </w:t>
      </w:r>
      <w:r w:rsidR="0079682E">
        <w:t>enables</w:t>
      </w:r>
      <w:r w:rsidR="0048211A">
        <w:t xml:space="preserve"> views </w:t>
      </w:r>
      <w:r w:rsidR="0079682E">
        <w:t xml:space="preserve">to be </w:t>
      </w:r>
      <w:r w:rsidR="0048211A">
        <w:t xml:space="preserve">developed in a policy context that assists incumbents in applying for renewal, prospective </w:t>
      </w:r>
      <w:proofErr w:type="gramStart"/>
      <w:r w:rsidR="0048211A">
        <w:t>licensees</w:t>
      </w:r>
      <w:proofErr w:type="gramEnd"/>
      <w:r w:rsidR="0048211A">
        <w:t xml:space="preserve"> and other interested stakeholders in making representations, and the ACMA as decision maker.</w:t>
      </w:r>
      <w:r w:rsidR="00CE43FC">
        <w:t xml:space="preserve"> </w:t>
      </w:r>
    </w:p>
    <w:p w14:paraId="4F21E647" w14:textId="5237A254" w:rsidR="006F56A5" w:rsidRDefault="00CE43FC" w:rsidP="006F56A5">
      <w:pPr>
        <w:pStyle w:val="Paragraph"/>
      </w:pPr>
      <w:r>
        <w:t>Where we can provide certainty,</w:t>
      </w:r>
      <w:r w:rsidR="000F28B7">
        <w:t xml:space="preserve"> particularly in relation to the </w:t>
      </w:r>
      <w:r w:rsidR="00E90B64">
        <w:t xml:space="preserve">process itself, and the timing of outputs and outcomes, </w:t>
      </w:r>
      <w:r w:rsidR="00FA4474">
        <w:t>we will do so as early as practicable.</w:t>
      </w:r>
      <w:r w:rsidR="003F2505">
        <w:t xml:space="preserve"> </w:t>
      </w:r>
    </w:p>
    <w:p w14:paraId="12941581" w14:textId="578EC6A5" w:rsidR="008816FF" w:rsidRPr="006F56A5" w:rsidRDefault="008816FF" w:rsidP="008816FF">
      <w:pPr>
        <w:pStyle w:val="Heading2"/>
      </w:pPr>
      <w:bookmarkStart w:id="8" w:name="_Toc153795062"/>
      <w:bookmarkStart w:id="9" w:name="_Toc149065090"/>
      <w:r w:rsidRPr="00986976">
        <w:rPr>
          <w:shd w:val="clear" w:color="auto" w:fill="FFFFFF"/>
        </w:rPr>
        <w:t xml:space="preserve">Finalised </w:t>
      </w:r>
      <w:r>
        <w:rPr>
          <w:shd w:val="clear" w:color="auto" w:fill="FFFFFF"/>
        </w:rPr>
        <w:t xml:space="preserve">ESL </w:t>
      </w:r>
      <w:r w:rsidRPr="00986976">
        <w:rPr>
          <w:shd w:val="clear" w:color="auto" w:fill="FFFFFF"/>
        </w:rPr>
        <w:t>process</w:t>
      </w:r>
      <w:bookmarkEnd w:id="8"/>
    </w:p>
    <w:p w14:paraId="20FDC4FA" w14:textId="52F09498" w:rsidR="008816FF" w:rsidRPr="00547E72" w:rsidRDefault="008816FF" w:rsidP="00547E72">
      <w:pPr>
        <w:pStyle w:val="Paragraph"/>
      </w:pPr>
      <w:r>
        <w:t>Many stakeholders offered views about the sequencing</w:t>
      </w:r>
      <w:r w:rsidR="00F97852">
        <w:t xml:space="preserve"> and</w:t>
      </w:r>
      <w:r>
        <w:t xml:space="preserve"> outputs</w:t>
      </w:r>
      <w:r w:rsidR="00F97852">
        <w:t xml:space="preserve"> for the ESL process</w:t>
      </w:r>
      <w:r>
        <w:t xml:space="preserve">, and </w:t>
      </w:r>
      <w:r w:rsidR="00F97852">
        <w:t xml:space="preserve">the </w:t>
      </w:r>
      <w:r>
        <w:t xml:space="preserve">outcomes that could be delivered. We respond to those views below, but, overall, there was strong support for the 4-stage process, and for our proposed holistic, </w:t>
      </w:r>
      <w:proofErr w:type="gramStart"/>
      <w:r>
        <w:t>iterative</w:t>
      </w:r>
      <w:proofErr w:type="gramEnd"/>
      <w:r>
        <w:t xml:space="preserve"> and consultative approach</w:t>
      </w:r>
      <w:r w:rsidR="00B57A5B">
        <w:t>.</w:t>
      </w:r>
    </w:p>
    <w:bookmarkEnd w:id="9"/>
    <w:p w14:paraId="1C5BF78A" w14:textId="09B2483F" w:rsidR="006F56A5" w:rsidRDefault="006F56A5" w:rsidP="006F56A5">
      <w:pPr>
        <w:pStyle w:val="Paragraph"/>
        <w:rPr>
          <w:shd w:val="clear" w:color="auto" w:fill="FFFFFF"/>
        </w:rPr>
      </w:pPr>
      <w:r>
        <w:rPr>
          <w:shd w:val="clear" w:color="auto" w:fill="FFFFFF"/>
        </w:rPr>
        <w:t xml:space="preserve">Noting views expressed in submissions </w:t>
      </w:r>
      <w:r w:rsidR="002454E0">
        <w:rPr>
          <w:shd w:val="clear" w:color="auto" w:fill="FFFFFF"/>
        </w:rPr>
        <w:t xml:space="preserve">about the </w:t>
      </w:r>
      <w:r>
        <w:rPr>
          <w:shd w:val="clear" w:color="auto" w:fill="FFFFFF"/>
        </w:rPr>
        <w:t xml:space="preserve">benefits of earlier certainty, we have </w:t>
      </w:r>
      <w:r w:rsidR="00076269">
        <w:rPr>
          <w:shd w:val="clear" w:color="auto" w:fill="FFFFFF"/>
        </w:rPr>
        <w:t xml:space="preserve">made </w:t>
      </w:r>
      <w:r w:rsidR="00DD7CF0">
        <w:rPr>
          <w:shd w:val="clear" w:color="auto" w:fill="FFFFFF"/>
        </w:rPr>
        <w:t xml:space="preserve">2 </w:t>
      </w:r>
      <w:r w:rsidR="00076269">
        <w:rPr>
          <w:shd w:val="clear" w:color="auto" w:fill="FFFFFF"/>
        </w:rPr>
        <w:t>changes to the early parts of the ESL process</w:t>
      </w:r>
      <w:r>
        <w:rPr>
          <w:shd w:val="clear" w:color="auto" w:fill="FFFFFF"/>
        </w:rPr>
        <w:t>.</w:t>
      </w:r>
      <w:r w:rsidR="004B529C">
        <w:rPr>
          <w:shd w:val="clear" w:color="auto" w:fill="FFFFFF"/>
        </w:rPr>
        <w:t xml:space="preserve"> </w:t>
      </w:r>
    </w:p>
    <w:p w14:paraId="62FCD89E" w14:textId="77777777" w:rsidR="00B57A5B" w:rsidRDefault="006F56A5" w:rsidP="00B57A5B">
      <w:pPr>
        <w:pStyle w:val="Paragraph"/>
        <w:rPr>
          <w:shd w:val="clear" w:color="auto" w:fill="FFFFFF"/>
        </w:rPr>
      </w:pPr>
      <w:r>
        <w:rPr>
          <w:shd w:val="clear" w:color="auto" w:fill="FFFFFF"/>
        </w:rPr>
        <w:t xml:space="preserve">Stage 2 of the initially proposed ESL process involved publication, in Q1 2024, of a response to submissions, and confirmation of the overall ESL process and the framework based on the proposed public interest criteria. </w:t>
      </w:r>
      <w:r w:rsidR="00B57A5B">
        <w:rPr>
          <w:shd w:val="clear" w:color="auto" w:fill="FFFFFF"/>
        </w:rPr>
        <w:t xml:space="preserve">We also proposed to undertake an exercise intended to gather a range of information from incumbent licensees and other stakeholders. </w:t>
      </w:r>
    </w:p>
    <w:p w14:paraId="3A52FC89" w14:textId="316F9FE0" w:rsidR="00B57A5B" w:rsidRDefault="00B57A5B" w:rsidP="00B57A5B">
      <w:pPr>
        <w:pStyle w:val="Paragraph"/>
        <w:rPr>
          <w:shd w:val="clear" w:color="auto" w:fill="FFFFFF"/>
        </w:rPr>
      </w:pPr>
      <w:r>
        <w:rPr>
          <w:shd w:val="clear" w:color="auto" w:fill="FFFFFF"/>
        </w:rPr>
        <w:t>To narrow the focus of stage 2, we have brought forward the stage 2 outputs</w:t>
      </w:r>
      <w:r w:rsidR="00DD7CF0">
        <w:rPr>
          <w:shd w:val="clear" w:color="auto" w:fill="FFFFFF"/>
        </w:rPr>
        <w:t>, as described</w:t>
      </w:r>
      <w:r>
        <w:rPr>
          <w:shd w:val="clear" w:color="auto" w:fill="FFFFFF"/>
        </w:rPr>
        <w:t xml:space="preserve"> in this paper. </w:t>
      </w:r>
    </w:p>
    <w:p w14:paraId="6E866A1F" w14:textId="77777777" w:rsidR="00FA4474" w:rsidRDefault="00FA4474" w:rsidP="00FA4474">
      <w:pPr>
        <w:pStyle w:val="Paragraph"/>
      </w:pPr>
      <w:r>
        <w:t xml:space="preserve">In this paper, we affirm the public interest criteria and provide stakeholders with greater detail on each criterion. Noting that our decision-making is based on the public interest, we provide additional guidance for stakeholders on how they should use the criteria to frame their engagement with us. </w:t>
      </w:r>
    </w:p>
    <w:p w14:paraId="35A221F5" w14:textId="3679B3C6" w:rsidR="00FA4474" w:rsidRDefault="00FA4474" w:rsidP="00FA4474">
      <w:pPr>
        <w:pStyle w:val="Paragraph"/>
      </w:pPr>
      <w:r>
        <w:t xml:space="preserve">We also confirm the scope of stage 2. This means that stakeholders can plan how they intended to respond to stage 2 ahead of our requests for information. </w:t>
      </w:r>
    </w:p>
    <w:p w14:paraId="784D873F" w14:textId="5ECDE226" w:rsidR="008816FF" w:rsidRDefault="006F56A5" w:rsidP="008816FF">
      <w:pPr>
        <w:pStyle w:val="Paragraph"/>
      </w:pPr>
      <w:r>
        <w:rPr>
          <w:shd w:val="clear" w:color="auto" w:fill="FFFFFF"/>
        </w:rPr>
        <w:t xml:space="preserve">Stage 2 will now </w:t>
      </w:r>
      <w:r w:rsidR="00A233FD">
        <w:rPr>
          <w:shd w:val="clear" w:color="auto" w:fill="FFFFFF"/>
        </w:rPr>
        <w:t xml:space="preserve">include </w:t>
      </w:r>
      <w:r>
        <w:rPr>
          <w:shd w:val="clear" w:color="auto" w:fill="FFFFFF"/>
        </w:rPr>
        <w:t xml:space="preserve">a modified information gathering </w:t>
      </w:r>
      <w:r w:rsidR="00E378E5">
        <w:rPr>
          <w:shd w:val="clear" w:color="auto" w:fill="FFFFFF"/>
        </w:rPr>
        <w:t>exercise. It</w:t>
      </w:r>
      <w:r>
        <w:rPr>
          <w:shd w:val="clear" w:color="auto" w:fill="FFFFFF"/>
        </w:rPr>
        <w:t xml:space="preserve"> will be accompanied by views about the </w:t>
      </w:r>
      <w:r w:rsidR="00350C13">
        <w:rPr>
          <w:shd w:val="clear" w:color="auto" w:fill="FFFFFF"/>
        </w:rPr>
        <w:t xml:space="preserve">uses </w:t>
      </w:r>
      <w:r>
        <w:rPr>
          <w:shd w:val="clear" w:color="auto" w:fill="FFFFFF"/>
        </w:rPr>
        <w:t>for the bands covered by ESLs</w:t>
      </w:r>
      <w:r w:rsidR="008748B9">
        <w:rPr>
          <w:shd w:val="clear" w:color="auto" w:fill="FFFFFF"/>
        </w:rPr>
        <w:t xml:space="preserve">, </w:t>
      </w:r>
      <w:proofErr w:type="gramStart"/>
      <w:r w:rsidR="008748B9">
        <w:rPr>
          <w:shd w:val="clear" w:color="auto" w:fill="FFFFFF"/>
        </w:rPr>
        <w:t xml:space="preserve">and </w:t>
      </w:r>
      <w:r w:rsidR="00174066">
        <w:rPr>
          <w:shd w:val="clear" w:color="auto" w:fill="FFFFFF"/>
        </w:rPr>
        <w:t>also</w:t>
      </w:r>
      <w:proofErr w:type="gramEnd"/>
      <w:r w:rsidR="00174066">
        <w:rPr>
          <w:shd w:val="clear" w:color="auto" w:fill="FFFFFF"/>
        </w:rPr>
        <w:t xml:space="preserve"> </w:t>
      </w:r>
      <w:r w:rsidR="00107546">
        <w:rPr>
          <w:shd w:val="clear" w:color="auto" w:fill="FFFFFF"/>
        </w:rPr>
        <w:t xml:space="preserve">set out our </w:t>
      </w:r>
      <w:r w:rsidR="0099074B">
        <w:rPr>
          <w:shd w:val="clear" w:color="auto" w:fill="FFFFFF"/>
        </w:rPr>
        <w:t xml:space="preserve">considered view </w:t>
      </w:r>
      <w:r w:rsidR="00DD2276">
        <w:rPr>
          <w:shd w:val="clear" w:color="auto" w:fill="FFFFFF"/>
        </w:rPr>
        <w:t xml:space="preserve">of the </w:t>
      </w:r>
      <w:r w:rsidR="008F02A0">
        <w:rPr>
          <w:shd w:val="clear" w:color="auto" w:fill="FFFFFF"/>
        </w:rPr>
        <w:t xml:space="preserve">alternative </w:t>
      </w:r>
      <w:r w:rsidR="00DD2276">
        <w:rPr>
          <w:shd w:val="clear" w:color="auto" w:fill="FFFFFF"/>
        </w:rPr>
        <w:t xml:space="preserve">licensing </w:t>
      </w:r>
      <w:r w:rsidR="00D26D9A">
        <w:rPr>
          <w:shd w:val="clear" w:color="auto" w:fill="FFFFFF"/>
        </w:rPr>
        <w:t xml:space="preserve">conditions </w:t>
      </w:r>
      <w:r w:rsidR="00DD2276">
        <w:rPr>
          <w:shd w:val="clear" w:color="auto" w:fill="FFFFFF"/>
        </w:rPr>
        <w:t xml:space="preserve">identified by the </w:t>
      </w:r>
      <w:r w:rsidR="00174066">
        <w:rPr>
          <w:shd w:val="clear" w:color="auto" w:fill="FFFFFF"/>
        </w:rPr>
        <w:t>m</w:t>
      </w:r>
      <w:r w:rsidR="00DD2276">
        <w:rPr>
          <w:shd w:val="clear" w:color="auto" w:fill="FFFFFF"/>
        </w:rPr>
        <w:t xml:space="preserve">inister in </w:t>
      </w:r>
      <w:r w:rsidR="000F22F7">
        <w:rPr>
          <w:shd w:val="clear" w:color="auto" w:fill="FFFFFF"/>
        </w:rPr>
        <w:t xml:space="preserve">her </w:t>
      </w:r>
      <w:r w:rsidR="00DD2276">
        <w:rPr>
          <w:shd w:val="clear" w:color="auto" w:fill="FFFFFF"/>
        </w:rPr>
        <w:t>letter</w:t>
      </w:r>
      <w:r>
        <w:rPr>
          <w:shd w:val="clear" w:color="auto" w:fill="FFFFFF"/>
        </w:rPr>
        <w:t>.</w:t>
      </w:r>
      <w:r w:rsidR="00482269">
        <w:rPr>
          <w:shd w:val="clear" w:color="auto" w:fill="FFFFFF"/>
        </w:rPr>
        <w:t xml:space="preserve"> We will invite submissions on </w:t>
      </w:r>
      <w:r w:rsidR="00045382">
        <w:rPr>
          <w:shd w:val="clear" w:color="auto" w:fill="FFFFFF"/>
        </w:rPr>
        <w:t>o</w:t>
      </w:r>
      <w:r w:rsidR="008622A9">
        <w:rPr>
          <w:shd w:val="clear" w:color="auto" w:fill="FFFFFF"/>
        </w:rPr>
        <w:t>ur view</w:t>
      </w:r>
      <w:r w:rsidR="00BA03B7">
        <w:rPr>
          <w:shd w:val="clear" w:color="auto" w:fill="FFFFFF"/>
        </w:rPr>
        <w:t>s</w:t>
      </w:r>
      <w:r w:rsidR="008622A9">
        <w:rPr>
          <w:shd w:val="clear" w:color="auto" w:fill="FFFFFF"/>
        </w:rPr>
        <w:t xml:space="preserve"> on </w:t>
      </w:r>
      <w:proofErr w:type="gramStart"/>
      <w:r w:rsidR="009A7DD6">
        <w:rPr>
          <w:shd w:val="clear" w:color="auto" w:fill="FFFFFF"/>
        </w:rPr>
        <w:t>both of these</w:t>
      </w:r>
      <w:proofErr w:type="gramEnd"/>
      <w:r w:rsidR="009A7DD6">
        <w:rPr>
          <w:shd w:val="clear" w:color="auto" w:fill="FFFFFF"/>
        </w:rPr>
        <w:t xml:space="preserve"> matters.</w:t>
      </w:r>
      <w:r w:rsidR="008816FF" w:rsidRPr="008816FF">
        <w:t xml:space="preserve"> </w:t>
      </w:r>
      <w:r w:rsidR="00341973">
        <w:t>As requested by the minister, we will also seek feedback from stakeholders on any issues around resilience and temporary disaster responses that arise in the ESL context.</w:t>
      </w:r>
      <w:r w:rsidR="00492A84">
        <w:t xml:space="preserve"> </w:t>
      </w:r>
      <w:r w:rsidR="008816FF">
        <w:t xml:space="preserve">To support stakeholders in preparing for </w:t>
      </w:r>
      <w:r w:rsidR="009E6C6C">
        <w:t>s</w:t>
      </w:r>
      <w:r w:rsidR="008816FF">
        <w:t xml:space="preserve">tage 2, </w:t>
      </w:r>
      <w:r w:rsidR="008622A9">
        <w:t xml:space="preserve">this paper provides more </w:t>
      </w:r>
      <w:r w:rsidR="008816FF">
        <w:t>information about that stage, and how it will inform stages 3 and 4.</w:t>
      </w:r>
    </w:p>
    <w:p w14:paraId="743A54DB" w14:textId="21D28D74" w:rsidR="006F56A5" w:rsidRDefault="009E6C6C" w:rsidP="006F56A5">
      <w:pPr>
        <w:pStyle w:val="Paragraph"/>
        <w:rPr>
          <w:shd w:val="clear" w:color="auto" w:fill="FFFFFF"/>
        </w:rPr>
      </w:pPr>
      <w:r>
        <w:rPr>
          <w:shd w:val="clear" w:color="auto" w:fill="FFFFFF"/>
        </w:rPr>
        <w:t>Looking ahead, w</w:t>
      </w:r>
      <w:r w:rsidR="006F56A5">
        <w:rPr>
          <w:shd w:val="clear" w:color="auto" w:fill="FFFFFF"/>
        </w:rPr>
        <w:t xml:space="preserve">e will bring forward parts of the process </w:t>
      </w:r>
      <w:r w:rsidR="008622A9">
        <w:rPr>
          <w:shd w:val="clear" w:color="auto" w:fill="FFFFFF"/>
        </w:rPr>
        <w:t xml:space="preserve">if </w:t>
      </w:r>
      <w:proofErr w:type="gramStart"/>
      <w:r w:rsidR="006F56A5">
        <w:rPr>
          <w:shd w:val="clear" w:color="auto" w:fill="FFFFFF"/>
        </w:rPr>
        <w:t>feasible, and</w:t>
      </w:r>
      <w:proofErr w:type="gramEnd"/>
      <w:r w:rsidR="006F56A5">
        <w:rPr>
          <w:shd w:val="clear" w:color="auto" w:fill="FFFFFF"/>
        </w:rPr>
        <w:t xml:space="preserve"> communicate earlier views </w:t>
      </w:r>
      <w:r w:rsidR="00F420ED">
        <w:rPr>
          <w:shd w:val="clear" w:color="auto" w:fill="FFFFFF"/>
        </w:rPr>
        <w:t xml:space="preserve">to </w:t>
      </w:r>
      <w:r w:rsidR="006F56A5">
        <w:rPr>
          <w:shd w:val="clear" w:color="auto" w:fill="FFFFFF"/>
        </w:rPr>
        <w:t xml:space="preserve">provide greater levels of confidence, </w:t>
      </w:r>
      <w:r w:rsidR="008622A9">
        <w:rPr>
          <w:shd w:val="clear" w:color="auto" w:fill="FFFFFF"/>
        </w:rPr>
        <w:t xml:space="preserve">if </w:t>
      </w:r>
      <w:r w:rsidR="006F56A5">
        <w:rPr>
          <w:shd w:val="clear" w:color="auto" w:fill="FFFFFF"/>
        </w:rPr>
        <w:t xml:space="preserve">appropriate. </w:t>
      </w:r>
    </w:p>
    <w:p w14:paraId="1293A6A3" w14:textId="212B01A2" w:rsidR="006F56A5" w:rsidRDefault="006F56A5" w:rsidP="006F56A5">
      <w:pPr>
        <w:pStyle w:val="Paragraph"/>
      </w:pPr>
      <w:r>
        <w:t>We are not proposing substantive changes to the scope of stages 3 or 4</w:t>
      </w:r>
      <w:r w:rsidR="00A16CE6">
        <w:t>.</w:t>
      </w:r>
      <w:r>
        <w:t xml:space="preserve"> </w:t>
      </w:r>
    </w:p>
    <w:p w14:paraId="197D4EA5" w14:textId="77777777" w:rsidR="004B7ED1" w:rsidRDefault="004B7ED1" w:rsidP="006F56A5">
      <w:pPr>
        <w:pStyle w:val="Paragraph"/>
      </w:pPr>
    </w:p>
    <w:p w14:paraId="1B0201F3" w14:textId="77777777" w:rsidR="004B7ED1" w:rsidRDefault="004B7ED1" w:rsidP="006F56A5">
      <w:pPr>
        <w:pStyle w:val="Paragraph"/>
      </w:pPr>
    </w:p>
    <w:p w14:paraId="617B8C59" w14:textId="3C238AF8" w:rsidR="004B7ED1" w:rsidRDefault="00E008BF" w:rsidP="005D1CD0">
      <w:pPr>
        <w:pStyle w:val="Figureheading"/>
      </w:pPr>
      <w:r>
        <w:lastRenderedPageBreak/>
        <w:t xml:space="preserve">ESL process </w:t>
      </w:r>
    </w:p>
    <w:p w14:paraId="5BAE12A7" w14:textId="4CCFC488" w:rsidR="006F56A5" w:rsidRDefault="006F56A5" w:rsidP="006F56A5">
      <w:pPr>
        <w:pStyle w:val="Paragraph"/>
      </w:pPr>
    </w:p>
    <w:p w14:paraId="10774E38" w14:textId="77777777" w:rsidR="009C3A45" w:rsidRDefault="009C3A45" w:rsidP="006F56A5">
      <w:pPr>
        <w:pStyle w:val="Paragraph"/>
      </w:pPr>
    </w:p>
    <w:p w14:paraId="19CD377B" w14:textId="6A2BE3AA" w:rsidR="009C3A45" w:rsidRDefault="00BB501E" w:rsidP="006F56A5">
      <w:pPr>
        <w:pStyle w:val="Paragraph"/>
      </w:pPr>
      <w:r>
        <w:rPr>
          <w:noProof/>
        </w:rPr>
        <w:drawing>
          <wp:inline distT="0" distB="0" distL="0" distR="0" wp14:anchorId="30C9F30F" wp14:editId="50312AA5">
            <wp:extent cx="5050465" cy="3087822"/>
            <wp:effectExtent l="0" t="0" r="36195" b="0"/>
            <wp:docPr id="3" name="Diagram 3">
              <a:extLst xmlns:a="http://schemas.openxmlformats.org/drawingml/2006/main">
                <a:ext uri="{FF2B5EF4-FFF2-40B4-BE49-F238E27FC236}">
                  <a16:creationId xmlns:a16="http://schemas.microsoft.com/office/drawing/2014/main" id="{3CFF0D91-813D-6AE3-74A9-73662C2B50A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FD4644D" w14:textId="2A148DE3" w:rsidR="00CA1DA7" w:rsidRPr="00AA4BF2" w:rsidRDefault="00CA1DA7" w:rsidP="00CA1DA7">
      <w:pPr>
        <w:pStyle w:val="Heading2"/>
      </w:pPr>
      <w:bookmarkStart w:id="10" w:name="_Toc152087064"/>
      <w:bookmarkStart w:id="11" w:name="_Toc153795063"/>
      <w:r w:rsidRPr="00AA4BF2">
        <w:t xml:space="preserve">Stage 2: </w:t>
      </w:r>
      <w:r>
        <w:t>i</w:t>
      </w:r>
      <w:r w:rsidRPr="00AA4BF2">
        <w:t xml:space="preserve">nformation gathering, examining use, views on </w:t>
      </w:r>
      <w:r>
        <w:t xml:space="preserve">frequency </w:t>
      </w:r>
      <w:r w:rsidRPr="00AA4BF2">
        <w:t>bands</w:t>
      </w:r>
      <w:r>
        <w:t>, alternative licensing conditions</w:t>
      </w:r>
      <w:r w:rsidR="002A79EB">
        <w:t xml:space="preserve">, stakeholder feedback </w:t>
      </w:r>
      <w:r w:rsidR="00F22F5C">
        <w:t xml:space="preserve">on </w:t>
      </w:r>
      <w:r w:rsidR="007A6CCC">
        <w:t>issues around resilience and temporary disaster responses</w:t>
      </w:r>
      <w:r>
        <w:t xml:space="preserve"> (Q1 2024)</w:t>
      </w:r>
      <w:bookmarkEnd w:id="10"/>
      <w:bookmarkEnd w:id="11"/>
    </w:p>
    <w:p w14:paraId="7DDAFC25" w14:textId="0A7DA3B4" w:rsidR="00247DF7" w:rsidRDefault="008B4093" w:rsidP="00247DF7">
      <w:pPr>
        <w:pStyle w:val="Paragraph"/>
      </w:pPr>
      <w:r>
        <w:t xml:space="preserve">Stage </w:t>
      </w:r>
      <w:r w:rsidR="00E365EC">
        <w:t>2</w:t>
      </w:r>
      <w:r>
        <w:t xml:space="preserve"> will consist of </w:t>
      </w:r>
      <w:r w:rsidR="008800B3">
        <w:t xml:space="preserve">3 </w:t>
      </w:r>
      <w:r w:rsidR="00E365EC">
        <w:t>components</w:t>
      </w:r>
      <w:r w:rsidR="00471563">
        <w:t>: an information</w:t>
      </w:r>
      <w:r w:rsidR="008800B3">
        <w:t>-</w:t>
      </w:r>
      <w:r w:rsidR="00471563">
        <w:t xml:space="preserve">gathering exercise, </w:t>
      </w:r>
      <w:r w:rsidR="009D0D65">
        <w:t xml:space="preserve">views </w:t>
      </w:r>
      <w:r w:rsidR="003D33FD">
        <w:t xml:space="preserve">on </w:t>
      </w:r>
      <w:r w:rsidR="00B03FA5">
        <w:t xml:space="preserve">uses for </w:t>
      </w:r>
      <w:r w:rsidR="001566DF">
        <w:t>frequency bands</w:t>
      </w:r>
      <w:r w:rsidR="009D0D65">
        <w:t>, and views on</w:t>
      </w:r>
      <w:r w:rsidR="002D2483">
        <w:t xml:space="preserve"> alternative licensing conditions</w:t>
      </w:r>
      <w:r w:rsidR="00247DF7">
        <w:t>.</w:t>
      </w:r>
    </w:p>
    <w:p w14:paraId="550819F8" w14:textId="77777777" w:rsidR="00247DF7" w:rsidRDefault="00247DF7" w:rsidP="005C65F2">
      <w:pPr>
        <w:pStyle w:val="Heading3"/>
      </w:pPr>
      <w:r>
        <w:t xml:space="preserve">Information gathering </w:t>
      </w:r>
      <w:proofErr w:type="gramStart"/>
      <w:r>
        <w:t>exercise</w:t>
      </w:r>
      <w:proofErr w:type="gramEnd"/>
      <w:r>
        <w:t xml:space="preserve"> </w:t>
      </w:r>
    </w:p>
    <w:p w14:paraId="32D919AF" w14:textId="3220A705" w:rsidR="00247DF7" w:rsidRDefault="001D05C5" w:rsidP="00536C69">
      <w:pPr>
        <w:pStyle w:val="Paragraph"/>
      </w:pPr>
      <w:r>
        <w:t xml:space="preserve">In our stage 1 consultation, we noted that a framework for examining use could assist us </w:t>
      </w:r>
      <w:r w:rsidR="008800B3">
        <w:t xml:space="preserve">to </w:t>
      </w:r>
      <w:r>
        <w:t>manag</w:t>
      </w:r>
      <w:r w:rsidR="008800B3">
        <w:t>e</w:t>
      </w:r>
      <w:r>
        <w:t xml:space="preserve"> the spectrum consistent with the object of that Act, and that use of spectrum covered by ESLs would be a relevant consideration for the ESL process. We also indicated that we were considering requesting information about incumbent licensees’ use of the spectrum covered by ESLs.</w:t>
      </w:r>
      <w:r w:rsidR="00BE7302">
        <w:t xml:space="preserve"> </w:t>
      </w:r>
      <w:r w:rsidR="008B4093">
        <w:t>W</w:t>
      </w:r>
      <w:r w:rsidR="00247DF7">
        <w:t>e indicated that</w:t>
      </w:r>
      <w:r w:rsidR="008B4093">
        <w:t xml:space="preserve"> </w:t>
      </w:r>
      <w:r w:rsidR="00247DF7">
        <w:t xml:space="preserve">information </w:t>
      </w:r>
      <w:r w:rsidR="008B4093">
        <w:t xml:space="preserve">would </w:t>
      </w:r>
      <w:r w:rsidR="00247DF7">
        <w:t xml:space="preserve">likely to be requested and provided on a voluntary basis, potentially </w:t>
      </w:r>
      <w:r w:rsidR="003437F9">
        <w:t>including</w:t>
      </w:r>
      <w:r w:rsidR="00247DF7">
        <w:t>:</w:t>
      </w:r>
    </w:p>
    <w:p w14:paraId="4DBB1934" w14:textId="77777777" w:rsidR="00247DF7" w:rsidRDefault="00247DF7" w:rsidP="00247DF7">
      <w:pPr>
        <w:pStyle w:val="Bulletlevel1"/>
      </w:pPr>
      <w:r>
        <w:t>service coverage mapping</w:t>
      </w:r>
    </w:p>
    <w:p w14:paraId="1DC2B66F" w14:textId="77777777" w:rsidR="00247DF7" w:rsidRDefault="00247DF7" w:rsidP="00247DF7">
      <w:pPr>
        <w:pStyle w:val="Bulletlevel1"/>
      </w:pPr>
      <w:r>
        <w:t xml:space="preserve">current and planned use of spectrum utilisation, including both spectral and geographic </w:t>
      </w:r>
      <w:proofErr w:type="gramStart"/>
      <w:r>
        <w:t>considerations</w:t>
      </w:r>
      <w:proofErr w:type="gramEnd"/>
    </w:p>
    <w:p w14:paraId="51DD924C" w14:textId="77777777" w:rsidR="00247DF7" w:rsidRDefault="00247DF7" w:rsidP="00247DF7">
      <w:pPr>
        <w:pStyle w:val="Bulletlevel1"/>
      </w:pPr>
      <w:r>
        <w:t xml:space="preserve">investment in use of the spectrum, as well as planned investment and deployments </w:t>
      </w:r>
    </w:p>
    <w:p w14:paraId="3C423C82" w14:textId="77777777" w:rsidR="00247DF7" w:rsidRDefault="00247DF7" w:rsidP="00247DF7">
      <w:pPr>
        <w:pStyle w:val="Bulletlevel1"/>
      </w:pPr>
      <w:r>
        <w:t>how the spectrum is used for different uses and use cases</w:t>
      </w:r>
    </w:p>
    <w:p w14:paraId="54182B54" w14:textId="77777777" w:rsidR="00247DF7" w:rsidRDefault="00247DF7" w:rsidP="00247DF7">
      <w:pPr>
        <w:pStyle w:val="Bulletlevel1last"/>
      </w:pPr>
      <w:r>
        <w:t>details of subscribers and end-users.</w:t>
      </w:r>
    </w:p>
    <w:p w14:paraId="3E432921" w14:textId="58DAF9BD" w:rsidR="00247DF7" w:rsidRDefault="00247DF7" w:rsidP="00247DF7">
      <w:pPr>
        <w:pStyle w:val="Paragraph"/>
      </w:pPr>
      <w:r>
        <w:t xml:space="preserve">In relation to the role that examination of use could play in the ESL process, there was strong support for an information gathering exercise from a range of stakeholders, including incumbent licensees, prospective licensees, and other interested parties. The main themes that emerged from submissions were the need for greater clarity on </w:t>
      </w:r>
      <w:r>
        <w:lastRenderedPageBreak/>
        <w:t xml:space="preserve">how an information gathering exercise would inform ESL outcomes, how requests for information could be framed </w:t>
      </w:r>
      <w:r w:rsidR="003437F9">
        <w:t xml:space="preserve">to </w:t>
      </w:r>
      <w:r>
        <w:t>reflect different business models and deployment scenarios, and the potential for the exercise to be resource-intensive for incumbents</w:t>
      </w:r>
      <w:r w:rsidR="00DA02E8">
        <w:t>, particularly if incumbent</w:t>
      </w:r>
      <w:r w:rsidR="000D5239">
        <w:t>s</w:t>
      </w:r>
      <w:r w:rsidR="00DA02E8">
        <w:t xml:space="preserve"> were asked to provide information (such as coverage maps) that they </w:t>
      </w:r>
      <w:r w:rsidR="00162D38">
        <w:t>provide separately to the Australian Competition and Consumer Commission (ACCC)</w:t>
      </w:r>
      <w:r>
        <w:t>.</w:t>
      </w:r>
    </w:p>
    <w:p w14:paraId="255514B7" w14:textId="148211FD" w:rsidR="00247DF7" w:rsidRDefault="00247DF7" w:rsidP="00247DF7">
      <w:pPr>
        <w:pStyle w:val="Paragraph"/>
      </w:pPr>
      <w:r>
        <w:t>We have considered submissions and further consider</w:t>
      </w:r>
      <w:r w:rsidR="008A668E">
        <w:t>ed</w:t>
      </w:r>
      <w:r>
        <w:t xml:space="preserve"> the role of the information</w:t>
      </w:r>
      <w:r w:rsidR="008A668E">
        <w:t>-</w:t>
      </w:r>
      <w:r>
        <w:t xml:space="preserve">gathering exercise. </w:t>
      </w:r>
    </w:p>
    <w:p w14:paraId="4C086621" w14:textId="33BE8CB9" w:rsidR="00247DF7" w:rsidRDefault="000D5239" w:rsidP="00247DF7">
      <w:pPr>
        <w:pStyle w:val="Paragraph"/>
      </w:pPr>
      <w:r>
        <w:t xml:space="preserve">We confirm that </w:t>
      </w:r>
      <w:r w:rsidR="00247DF7">
        <w:t>information gathering will be principally directed towards informing our development of preliminary and, subsequently, preferred, views about the future arrangements for the spectrum covered by ESLs.</w:t>
      </w:r>
    </w:p>
    <w:p w14:paraId="73014102" w14:textId="77777777" w:rsidR="00247DF7" w:rsidRDefault="00247DF7" w:rsidP="005C65F2">
      <w:pPr>
        <w:pStyle w:val="Heading4"/>
      </w:pPr>
      <w:r>
        <w:t xml:space="preserve">Information we will, and will not, seek to </w:t>
      </w:r>
      <w:proofErr w:type="gramStart"/>
      <w:r>
        <w:t>gather</w:t>
      </w:r>
      <w:proofErr w:type="gramEnd"/>
    </w:p>
    <w:p w14:paraId="1227E776" w14:textId="2236DFCA" w:rsidR="00247DF7" w:rsidRDefault="00247DF7" w:rsidP="00247DF7">
      <w:pPr>
        <w:pStyle w:val="Paragraph"/>
      </w:pPr>
      <w:r>
        <w:t>In considering submissions, and finalising the ESL process, we have refined the scope of the information</w:t>
      </w:r>
      <w:r w:rsidR="008A668E">
        <w:t>-</w:t>
      </w:r>
      <w:r>
        <w:t xml:space="preserve">gathering exercise. </w:t>
      </w:r>
    </w:p>
    <w:p w14:paraId="1FE7458D" w14:textId="77777777" w:rsidR="00247DF7" w:rsidRDefault="00247DF7" w:rsidP="00247DF7">
      <w:pPr>
        <w:pStyle w:val="Paragraph"/>
      </w:pPr>
      <w:r>
        <w:t xml:space="preserve">We will seek to gather information relating to how incumbents currently use, and plan to use, the relevant spectrum. This includes plans to use the spectrum, should licences be renewed. </w:t>
      </w:r>
    </w:p>
    <w:p w14:paraId="06640818" w14:textId="5606455C" w:rsidR="00247DF7" w:rsidRDefault="00247DF7" w:rsidP="00247DF7">
      <w:pPr>
        <w:pStyle w:val="Paragraph"/>
      </w:pPr>
      <w:r>
        <w:t>We will seek to gather information and evidence from prospective and alternative users of the spectrum</w:t>
      </w:r>
      <w:r w:rsidR="001219FA">
        <w:t xml:space="preserve">, </w:t>
      </w:r>
      <w:proofErr w:type="gramStart"/>
      <w:r w:rsidR="001219FA">
        <w:t>in order to</w:t>
      </w:r>
      <w:proofErr w:type="gramEnd"/>
      <w:r w:rsidR="001219FA">
        <w:t xml:space="preserve"> understand </w:t>
      </w:r>
      <w:r w:rsidR="00785011">
        <w:t xml:space="preserve">their proposed </w:t>
      </w:r>
      <w:r w:rsidR="00B61457">
        <w:t>us</w:t>
      </w:r>
      <w:r w:rsidR="000868CF">
        <w:t>e</w:t>
      </w:r>
      <w:r w:rsidR="00F15C2B">
        <w:t xml:space="preserve"> of spectrum covered by ESLs</w:t>
      </w:r>
      <w:r>
        <w:t xml:space="preserve">. </w:t>
      </w:r>
    </w:p>
    <w:p w14:paraId="32A5E93B" w14:textId="79BE3144" w:rsidR="00247DF7" w:rsidRDefault="00247DF7" w:rsidP="00247DF7">
      <w:pPr>
        <w:pStyle w:val="Paragraph"/>
      </w:pPr>
      <w:r>
        <w:t xml:space="preserve">We intend to examine information about how incumbents are using their spectrum in certain geographic areas. We agree with stakeholders that, for ESLs authorising </w:t>
      </w:r>
      <w:r w:rsidR="00D631DD">
        <w:t>electronic news gathering</w:t>
      </w:r>
      <w:r w:rsidR="00FE608A">
        <w:t xml:space="preserve"> </w:t>
      </w:r>
      <w:r>
        <w:t xml:space="preserve">and rail communications, coverage maps may not be as practical or useful as coverage maps for wireless broadband services. </w:t>
      </w:r>
      <w:r w:rsidR="003A3086">
        <w:t xml:space="preserve">For </w:t>
      </w:r>
      <w:r>
        <w:t>other ESLs that facilitate wireless broadband, we note that submitters identified that information relating to coverage and spectrum utilisation is prepared for other purposes, such as</w:t>
      </w:r>
      <w:r w:rsidR="002460C8">
        <w:t xml:space="preserve"> the</w:t>
      </w:r>
      <w:r>
        <w:t xml:space="preserve"> </w:t>
      </w:r>
      <w:r w:rsidR="000B6913" w:rsidRPr="000B6913">
        <w:t xml:space="preserve">Audit of telecommunications infrastructure assets record keeping rules </w:t>
      </w:r>
      <w:r w:rsidR="000B6913">
        <w:t>(</w:t>
      </w:r>
      <w:r>
        <w:t>ACCC Record Keeping Rules</w:t>
      </w:r>
      <w:r w:rsidR="000B6913">
        <w:t>)</w:t>
      </w:r>
      <w:r>
        <w:t xml:space="preserve">. Information provided to the ACCC </w:t>
      </w:r>
      <w:r w:rsidR="003A3086">
        <w:t>(</w:t>
      </w:r>
      <w:r>
        <w:t>most of which is subsequently made publicly available</w:t>
      </w:r>
      <w:r w:rsidR="00670E78">
        <w:t>)</w:t>
      </w:r>
      <w:r>
        <w:t xml:space="preserve"> would be appropriate to use to develop preliminary views, and this would lessen the burden on incumbents. </w:t>
      </w:r>
      <w:r w:rsidR="00670E78">
        <w:t>If</w:t>
      </w:r>
      <w:r>
        <w:t xml:space="preserve"> information is provided by an incumbent to the ACCC, but is not typically published, we will work with the incumbent and the ACCC on an agreed approach to access relevant information.</w:t>
      </w:r>
    </w:p>
    <w:p w14:paraId="21F15D2B" w14:textId="0F079A18" w:rsidR="00247DF7" w:rsidRDefault="00247DF7" w:rsidP="00247DF7">
      <w:pPr>
        <w:pStyle w:val="Paragraph"/>
      </w:pPr>
      <w:r>
        <w:t xml:space="preserve">Submissions also provided comments about the utility of coverage maps to assess spectrum utilisation, noting that coverage maps alone may not reflect other dimensions of spectrum utilisation, such as reserving spectrum for future capacity and interference management. We note these concerns and clarify that coverage maps are useful as a proxy for examining use, and that a mixture of other information is necessary to inform views on how the spectrum is being used. </w:t>
      </w:r>
    </w:p>
    <w:p w14:paraId="43900134" w14:textId="341A81C1" w:rsidR="00247DF7" w:rsidRDefault="00247DF7" w:rsidP="00247DF7">
      <w:pPr>
        <w:pStyle w:val="Paragraph"/>
      </w:pPr>
      <w:r>
        <w:t xml:space="preserve">In our consultation paper, we also proposed that we could consider use across all spectrum licences, including those outside of the ESL process, to gain a more complete picture of how the spectrum is being used, but also the potential impacts of any changes to current spectrum licensing arrangements. It is likely that 850/900 MHz licences commencing 1 July 2024, and other licences in </w:t>
      </w:r>
      <w:r w:rsidR="00082318">
        <w:t xml:space="preserve">the </w:t>
      </w:r>
      <w:r>
        <w:t xml:space="preserve">3.4 GHz </w:t>
      </w:r>
      <w:r w:rsidR="00082318">
        <w:t xml:space="preserve">band </w:t>
      </w:r>
      <w:r>
        <w:t xml:space="preserve">not yet in force, will be relevant to our preliminary views, and we will frame our questions and requests for information </w:t>
      </w:r>
      <w:r w:rsidR="009F2EE6">
        <w:t>accordingly</w:t>
      </w:r>
      <w:r>
        <w:t xml:space="preserve">. We note that, with these </w:t>
      </w:r>
      <w:proofErr w:type="gramStart"/>
      <w:r>
        <w:t>licences in particular, we</w:t>
      </w:r>
      <w:proofErr w:type="gramEnd"/>
      <w:r>
        <w:t xml:space="preserve"> would focus on f</w:t>
      </w:r>
      <w:r w:rsidR="009F2EE6">
        <w:t xml:space="preserve">uture </w:t>
      </w:r>
      <w:r>
        <w:t xml:space="preserve">considerations </w:t>
      </w:r>
      <w:r w:rsidR="009F2EE6">
        <w:t xml:space="preserve">of </w:t>
      </w:r>
      <w:r>
        <w:t>how the licences are likely to be used, rather than how they have been used. Incumbents will be asked to consider whether information about additional spectrum licences (for example, those in 26 GHz</w:t>
      </w:r>
      <w:r w:rsidR="0028745D">
        <w:t xml:space="preserve"> and 3.7 GHz</w:t>
      </w:r>
      <w:r>
        <w:t xml:space="preserve">) or services authorised by apparatus licences is relevant in their responses. </w:t>
      </w:r>
    </w:p>
    <w:p w14:paraId="068B05C8" w14:textId="25E577DE" w:rsidR="00247DF7" w:rsidRDefault="00247DF7" w:rsidP="00247DF7">
      <w:pPr>
        <w:pStyle w:val="Paragraph"/>
      </w:pPr>
      <w:r>
        <w:lastRenderedPageBreak/>
        <w:t xml:space="preserve">We received several submissions identifying complexities in providing detailed plans about the future use of the spectrum, particularly beyond the term of ESLs. This was </w:t>
      </w:r>
      <w:r w:rsidR="000975FA">
        <w:t>because</w:t>
      </w:r>
      <w:r>
        <w:t xml:space="preserve"> planning based on a range of economic, </w:t>
      </w:r>
      <w:proofErr w:type="gramStart"/>
      <w:r>
        <w:t>environmental</w:t>
      </w:r>
      <w:proofErr w:type="gramEnd"/>
      <w:r>
        <w:t xml:space="preserve"> and political factors</w:t>
      </w:r>
      <w:r w:rsidR="00ED1B23">
        <w:t xml:space="preserve"> </w:t>
      </w:r>
      <w:r>
        <w:t>become</w:t>
      </w:r>
      <w:r w:rsidR="00ED1B23">
        <w:t>s</w:t>
      </w:r>
      <w:r>
        <w:t xml:space="preserve"> more difficult to accurately forecast into the future, including any uncertainty around ESL outcomes. We recognise that information provided about future planning may be limited to broad strategic</w:t>
      </w:r>
      <w:r w:rsidR="00B22701">
        <w:t xml:space="preserve"> intentions</w:t>
      </w:r>
      <w:r>
        <w:t>. We need to be satisfied that the spectrum available for renewal will be used efficiently, so we consider it relevant to seek information about intended future use of that spectrum.</w:t>
      </w:r>
    </w:p>
    <w:p w14:paraId="1E696DA0" w14:textId="77777777" w:rsidR="00247DF7" w:rsidRDefault="00247DF7" w:rsidP="005C65F2">
      <w:pPr>
        <w:pStyle w:val="Heading4"/>
      </w:pPr>
      <w:r>
        <w:t>Indicative nature of questions</w:t>
      </w:r>
    </w:p>
    <w:p w14:paraId="4D9F4DCB" w14:textId="71DCAA0B" w:rsidR="00247DF7" w:rsidRDefault="00247DF7" w:rsidP="00247DF7">
      <w:pPr>
        <w:pStyle w:val="Paragraph"/>
      </w:pPr>
      <w:r>
        <w:t xml:space="preserve">We anticipate </w:t>
      </w:r>
      <w:r w:rsidR="006C11DC">
        <w:t>2</w:t>
      </w:r>
      <w:r>
        <w:t xml:space="preserve"> separate sets of questions to be put to </w:t>
      </w:r>
      <w:proofErr w:type="gramStart"/>
      <w:r>
        <w:t>stakeholders;</w:t>
      </w:r>
      <w:proofErr w:type="gramEnd"/>
      <w:r>
        <w:t xml:space="preserve"> one relevant to incumbent licensees, and one to prospective licensees or alternative users of the spectrum. These </w:t>
      </w:r>
      <w:r w:rsidR="009922FC">
        <w:t>will</w:t>
      </w:r>
      <w:r>
        <w:t xml:space="preserve"> include a mix </w:t>
      </w:r>
      <w:r w:rsidR="0028745D">
        <w:t xml:space="preserve">of </w:t>
      </w:r>
      <w:r>
        <w:t xml:space="preserve">broad and specific questions </w:t>
      </w:r>
      <w:r w:rsidR="006C11DC">
        <w:t xml:space="preserve">about </w:t>
      </w:r>
      <w:r>
        <w:t xml:space="preserve">how the spectrum is and/or may be used to support the public interest. </w:t>
      </w:r>
    </w:p>
    <w:p w14:paraId="73784733" w14:textId="346A6B6D" w:rsidR="00247DF7" w:rsidRDefault="00247DF7" w:rsidP="00247DF7">
      <w:pPr>
        <w:pStyle w:val="Paragraph"/>
      </w:pPr>
      <w:r>
        <w:t>We will release a paper pos</w:t>
      </w:r>
      <w:r w:rsidR="004C2B12">
        <w:t>ing</w:t>
      </w:r>
      <w:r>
        <w:t xml:space="preserve"> questions to </w:t>
      </w:r>
      <w:r w:rsidR="004C2B12">
        <w:t xml:space="preserve">incumbents and </w:t>
      </w:r>
      <w:r>
        <w:t xml:space="preserve">prospective users of the spectrum covered by ESLs. </w:t>
      </w:r>
      <w:r w:rsidR="004C2B12">
        <w:t xml:space="preserve">The </w:t>
      </w:r>
      <w:r>
        <w:t xml:space="preserve">paper will also provide additional clarifying material and how we intend to use the information collected. </w:t>
      </w:r>
    </w:p>
    <w:p w14:paraId="6850634A" w14:textId="77777777" w:rsidR="00247DF7" w:rsidRPr="00AA4BF2" w:rsidRDefault="00247DF7" w:rsidP="00247DF7">
      <w:pPr>
        <w:pStyle w:val="Paragraphbeforelist"/>
      </w:pPr>
      <w:r w:rsidRPr="00AA4BF2">
        <w:t>Incumbent licensees can expect questions, and request</w:t>
      </w:r>
      <w:r>
        <w:t>s</w:t>
      </w:r>
      <w:r w:rsidRPr="00AA4BF2">
        <w:t xml:space="preserve"> for information, relating to:</w:t>
      </w:r>
    </w:p>
    <w:p w14:paraId="6EFE0025" w14:textId="649FDB16" w:rsidR="00247DF7" w:rsidRPr="00AA4BF2" w:rsidRDefault="00247DF7" w:rsidP="00247DF7">
      <w:pPr>
        <w:pStyle w:val="Bulletlevel1"/>
      </w:pPr>
      <w:r>
        <w:t>h</w:t>
      </w:r>
      <w:r w:rsidRPr="00AA4BF2">
        <w:t xml:space="preserve">ow each licensed band </w:t>
      </w:r>
      <w:r w:rsidR="007178FB">
        <w:t xml:space="preserve">(which will include ESLs and may include other licences) </w:t>
      </w:r>
      <w:r w:rsidRPr="00AA4BF2">
        <w:t>is used</w:t>
      </w:r>
      <w:r>
        <w:t>,</w:t>
      </w:r>
      <w:r w:rsidRPr="00AA4BF2">
        <w:t xml:space="preserve"> and in which areas</w:t>
      </w:r>
      <w:r w:rsidR="00AF4426">
        <w:t>,</w:t>
      </w:r>
      <w:r w:rsidRPr="00AA4BF2">
        <w:t xml:space="preserve"> and how this may change </w:t>
      </w:r>
      <w:r w:rsidR="00AF4426">
        <w:t xml:space="preserve">if </w:t>
      </w:r>
      <w:r w:rsidRPr="00AA4BF2">
        <w:t>the relevant licen</w:t>
      </w:r>
      <w:r w:rsidR="00EC6FE5">
        <w:t>c</w:t>
      </w:r>
      <w:r w:rsidRPr="00AA4BF2">
        <w:t xml:space="preserve">es </w:t>
      </w:r>
      <w:r w:rsidR="00AF4426">
        <w:t>are</w:t>
      </w:r>
      <w:r w:rsidRPr="00AA4BF2">
        <w:t xml:space="preserve"> </w:t>
      </w:r>
      <w:proofErr w:type="gramStart"/>
      <w:r w:rsidRPr="00AA4BF2">
        <w:t>renewed</w:t>
      </w:r>
      <w:proofErr w:type="gramEnd"/>
    </w:p>
    <w:p w14:paraId="21588BB9" w14:textId="653D7ACC" w:rsidR="00247DF7" w:rsidRPr="00AA4BF2" w:rsidRDefault="00247DF7" w:rsidP="00247DF7">
      <w:pPr>
        <w:pStyle w:val="Bulletlevel1"/>
      </w:pPr>
      <w:r>
        <w:t>h</w:t>
      </w:r>
      <w:r w:rsidRPr="00AA4BF2">
        <w:t>ow they have invested in the use of the spectrum, and how they plan to invest in the use of the spectrum in the future</w:t>
      </w:r>
      <w:r w:rsidR="00436943">
        <w:t xml:space="preserve"> </w:t>
      </w:r>
      <w:r w:rsidR="008F0D0F">
        <w:t>(</w:t>
      </w:r>
      <w:r w:rsidR="00436943">
        <w:t>noting that such information may be limited to broad strategic intentions)</w:t>
      </w:r>
    </w:p>
    <w:p w14:paraId="5CF4EA7C" w14:textId="313B6401" w:rsidR="00247DF7" w:rsidRPr="00AA4BF2" w:rsidRDefault="00247DF7" w:rsidP="00247DF7">
      <w:pPr>
        <w:pStyle w:val="Bulletlevel1"/>
      </w:pPr>
      <w:r>
        <w:t>h</w:t>
      </w:r>
      <w:r w:rsidRPr="00AA4BF2">
        <w:t xml:space="preserve">ow their use of the spectrum </w:t>
      </w:r>
      <w:r w:rsidR="00AC21D1">
        <w:t xml:space="preserve">serves </w:t>
      </w:r>
      <w:r w:rsidRPr="00AA4BF2">
        <w:t xml:space="preserve">the public interest, and would continue to </w:t>
      </w:r>
      <w:r w:rsidR="00AC21D1">
        <w:t xml:space="preserve">serve </w:t>
      </w:r>
      <w:r w:rsidRPr="00AA4BF2">
        <w:t>the public interest in the future, with reference to the public interest criteria</w:t>
      </w:r>
    </w:p>
    <w:p w14:paraId="3AD46C51" w14:textId="77777777" w:rsidR="00247DF7" w:rsidRPr="00AA4BF2" w:rsidRDefault="00247DF7" w:rsidP="00247DF7">
      <w:pPr>
        <w:pStyle w:val="Bulletlevel1last"/>
      </w:pPr>
      <w:r>
        <w:t>c</w:t>
      </w:r>
      <w:r w:rsidRPr="00AA4BF2">
        <w:t>urrent issues affecting relevant bands that may act as a barrier to maximising the public benefit derived from the use of the relevant spectrum, and initial views on potential solutions</w:t>
      </w:r>
      <w:r>
        <w:t>.</w:t>
      </w:r>
    </w:p>
    <w:p w14:paraId="024C2E08" w14:textId="77777777" w:rsidR="00247DF7" w:rsidRPr="00AA4BF2" w:rsidRDefault="00247DF7" w:rsidP="00247DF7">
      <w:pPr>
        <w:pStyle w:val="Paragraphbeforelist"/>
      </w:pPr>
      <w:r>
        <w:t xml:space="preserve">Prospective or alternative users of </w:t>
      </w:r>
      <w:r w:rsidRPr="00AA4BF2">
        <w:t xml:space="preserve">the relevant spectrum can expect questions, and requests for information, relating to: </w:t>
      </w:r>
    </w:p>
    <w:p w14:paraId="3F8E8AC6" w14:textId="65BFCD27" w:rsidR="00247DF7" w:rsidRPr="00AA4BF2" w:rsidRDefault="00247DF7" w:rsidP="00247DF7">
      <w:pPr>
        <w:pStyle w:val="Bulletlevel1"/>
      </w:pPr>
      <w:r w:rsidRPr="00AA4BF2">
        <w:t>bands and geographic areas</w:t>
      </w:r>
      <w:r w:rsidR="00F34B11">
        <w:t xml:space="preserve"> </w:t>
      </w:r>
      <w:r>
        <w:t xml:space="preserve">to which </w:t>
      </w:r>
      <w:r w:rsidRPr="00AA4BF2">
        <w:t xml:space="preserve">they are interested in obtaining </w:t>
      </w:r>
      <w:proofErr w:type="gramStart"/>
      <w:r w:rsidRPr="00AA4BF2">
        <w:t>access</w:t>
      </w:r>
      <w:proofErr w:type="gramEnd"/>
    </w:p>
    <w:p w14:paraId="5A6EABAB" w14:textId="77777777" w:rsidR="00247DF7" w:rsidRPr="00AA4BF2" w:rsidRDefault="00247DF7" w:rsidP="00247DF7">
      <w:pPr>
        <w:pStyle w:val="Bulletlevel1"/>
      </w:pPr>
      <w:r>
        <w:t>h</w:t>
      </w:r>
      <w:r w:rsidRPr="00AA4BF2">
        <w:t>ow they propose to use the spectrum if a licence is issued</w:t>
      </w:r>
    </w:p>
    <w:p w14:paraId="62BC9284" w14:textId="77777777" w:rsidR="00247DF7" w:rsidRPr="00AA4BF2" w:rsidRDefault="00247DF7" w:rsidP="00247DF7">
      <w:pPr>
        <w:pStyle w:val="Bulletlevel1"/>
      </w:pPr>
      <w:r>
        <w:t>h</w:t>
      </w:r>
      <w:r w:rsidRPr="00AA4BF2">
        <w:t xml:space="preserve">ow their use </w:t>
      </w:r>
      <w:r>
        <w:t xml:space="preserve">or use </w:t>
      </w:r>
      <w:r w:rsidRPr="00AA4BF2">
        <w:t>case would maximise the public benefit derived from the spectrum, with reference to the public interest criteria</w:t>
      </w:r>
    </w:p>
    <w:p w14:paraId="774DB228" w14:textId="3EDB9BC9" w:rsidR="00247DF7" w:rsidRPr="00AA4BF2" w:rsidRDefault="00247DF7" w:rsidP="00247DF7">
      <w:pPr>
        <w:pStyle w:val="Bulletlevel1last"/>
      </w:pPr>
      <w:r>
        <w:t>w</w:t>
      </w:r>
      <w:r w:rsidRPr="00AA4BF2">
        <w:t xml:space="preserve">hether they have sought access to the spectrum through other means (such as </w:t>
      </w:r>
      <w:r>
        <w:t>participating</w:t>
      </w:r>
      <w:r w:rsidRPr="00AA4BF2">
        <w:t xml:space="preserve"> in allocation </w:t>
      </w:r>
      <w:r>
        <w:t>exercises</w:t>
      </w:r>
      <w:r w:rsidRPr="00AA4BF2">
        <w:t>, third party authorisations</w:t>
      </w:r>
      <w:r>
        <w:t xml:space="preserve"> or</w:t>
      </w:r>
      <w:r w:rsidRPr="00AA4BF2">
        <w:t xml:space="preserve"> trading) and </w:t>
      </w:r>
      <w:r w:rsidR="00D83748">
        <w:t>whether</w:t>
      </w:r>
      <w:r w:rsidR="00D83748" w:rsidRPr="00AA4BF2">
        <w:t xml:space="preserve"> </w:t>
      </w:r>
      <w:r w:rsidRPr="00AA4BF2">
        <w:t xml:space="preserve">these attempts were </w:t>
      </w:r>
      <w:r>
        <w:t xml:space="preserve">successful, partially </w:t>
      </w:r>
      <w:proofErr w:type="gramStart"/>
      <w:r>
        <w:t>successful</w:t>
      </w:r>
      <w:proofErr w:type="gramEnd"/>
      <w:r w:rsidRPr="00AA4BF2">
        <w:t xml:space="preserve"> </w:t>
      </w:r>
      <w:r>
        <w:t xml:space="preserve">or </w:t>
      </w:r>
      <w:r w:rsidRPr="00AA4BF2">
        <w:t>unsuccessful.</w:t>
      </w:r>
    </w:p>
    <w:p w14:paraId="7AB8B16C" w14:textId="77777777" w:rsidR="00247DF7" w:rsidRPr="00AA4BF2" w:rsidRDefault="00247DF7" w:rsidP="005C65F2">
      <w:pPr>
        <w:pStyle w:val="Heading4"/>
      </w:pPr>
      <w:r w:rsidRPr="00AA4BF2">
        <w:t>Preference for non-commercial-in-confidence information</w:t>
      </w:r>
    </w:p>
    <w:p w14:paraId="1A7B770B" w14:textId="5D456824" w:rsidR="00247DF7" w:rsidRDefault="00247DF7" w:rsidP="00247DF7">
      <w:r>
        <w:t xml:space="preserve">There are statutory mechanisms available that would require persons to provide us with specified information and documents. Information provided to us on that basis would not normally be disclosed in public without the consent of </w:t>
      </w:r>
      <w:r w:rsidR="00D83748">
        <w:t xml:space="preserve">those </w:t>
      </w:r>
      <w:r>
        <w:t>involved.</w:t>
      </w:r>
    </w:p>
    <w:p w14:paraId="0D92AFC0" w14:textId="77777777" w:rsidR="00247DF7" w:rsidRDefault="00247DF7" w:rsidP="00247DF7">
      <w:r>
        <w:t>For</w:t>
      </w:r>
      <w:r w:rsidDel="009A1862">
        <w:t xml:space="preserve"> </w:t>
      </w:r>
      <w:r>
        <w:t>the information gathering exercise, we will request information on a voluntary basis. The requested information is intended to be part of a transparent and iterative process, and information to which we may refer publicly assists us making transparent decisions, which benefits stakeholders.</w:t>
      </w:r>
    </w:p>
    <w:p w14:paraId="681DE16E" w14:textId="4AE0B574" w:rsidR="00065BAE" w:rsidRDefault="00247DF7" w:rsidP="00247DF7">
      <w:r>
        <w:lastRenderedPageBreak/>
        <w:t>We will ask that commercial-in-confidence information is kept to a necessary minimum, but noting that some kinds of information</w:t>
      </w:r>
      <w:r w:rsidR="00FC0500">
        <w:t xml:space="preserve"> requested</w:t>
      </w:r>
      <w:r>
        <w:t xml:space="preserve">, such as information about future investment or plans to use the spectrum, may be commercially sensitive. </w:t>
      </w:r>
    </w:p>
    <w:p w14:paraId="24EE0515" w14:textId="77777777" w:rsidR="00247DF7" w:rsidRPr="00795306" w:rsidRDefault="00247DF7" w:rsidP="005C65F2">
      <w:pPr>
        <w:pStyle w:val="Heading4"/>
      </w:pPr>
      <w:r>
        <w:t>How we will use the information</w:t>
      </w:r>
    </w:p>
    <w:p w14:paraId="5A45B3C5" w14:textId="77777777" w:rsidR="00247DF7" w:rsidRPr="00AA4BF2" w:rsidRDefault="00247DF7" w:rsidP="00247DF7">
      <w:pPr>
        <w:pStyle w:val="Paragraphbeforelist"/>
      </w:pPr>
      <w:r w:rsidRPr="00AA4BF2">
        <w:t xml:space="preserve">The information we collect as part of </w:t>
      </w:r>
      <w:r>
        <w:t>s</w:t>
      </w:r>
      <w:r w:rsidRPr="00AA4BF2">
        <w:t xml:space="preserve">tage 2 will inform the development of preliminary views at </w:t>
      </w:r>
      <w:r>
        <w:t>s</w:t>
      </w:r>
      <w:r w:rsidRPr="00AA4BF2">
        <w:t>tage 3. We anticipate that a preliminary view will convey our dispositions on:</w:t>
      </w:r>
    </w:p>
    <w:p w14:paraId="3F0E6ECC" w14:textId="77777777" w:rsidR="00247DF7" w:rsidRDefault="00247DF7" w:rsidP="00247DF7">
      <w:pPr>
        <w:pStyle w:val="Bulletlevel1"/>
      </w:pPr>
      <w:r>
        <w:t xml:space="preserve">optimal spectrum uses for each band over the mid- to </w:t>
      </w:r>
      <w:proofErr w:type="gramStart"/>
      <w:r>
        <w:t>long-term</w:t>
      </w:r>
      <w:proofErr w:type="gramEnd"/>
    </w:p>
    <w:p w14:paraId="27BD66F8" w14:textId="123E0E2D" w:rsidR="00247DF7" w:rsidRDefault="00247DF7" w:rsidP="00247DF7">
      <w:pPr>
        <w:pStyle w:val="Bulletlevel1"/>
      </w:pPr>
      <w:r>
        <w:t>optimal licensing arrangements for that band; that is, the licence type or types that facilitate those uses, or other policy objectives, and any significant conditions to be contained in a licence (</w:t>
      </w:r>
      <w:r w:rsidR="005E41F5">
        <w:t>for example,</w:t>
      </w:r>
      <w:r>
        <w:t xml:space="preserve"> a condition that </w:t>
      </w:r>
      <w:r w:rsidR="00E27795">
        <w:t xml:space="preserve">affects the uses to which spectrum may be put </w:t>
      </w:r>
      <w:r>
        <w:t>under the licence)</w:t>
      </w:r>
    </w:p>
    <w:p w14:paraId="28241049" w14:textId="559C8D30" w:rsidR="00247DF7" w:rsidRDefault="00247DF7" w:rsidP="00247DF7">
      <w:pPr>
        <w:pStyle w:val="Bulletlevel1"/>
      </w:pPr>
      <w:r>
        <w:t xml:space="preserve">spectrum value and </w:t>
      </w:r>
      <w:r w:rsidR="00C247D1">
        <w:t xml:space="preserve">potential </w:t>
      </w:r>
      <w:r>
        <w:t xml:space="preserve">payment terms, </w:t>
      </w:r>
      <w:r w:rsidR="008F23A5">
        <w:t xml:space="preserve">if </w:t>
      </w:r>
      <w:r>
        <w:t xml:space="preserve">licences in the band </w:t>
      </w:r>
      <w:r w:rsidR="008F23A5">
        <w:t>are</w:t>
      </w:r>
      <w:r>
        <w:t xml:space="preserve"> </w:t>
      </w:r>
      <w:proofErr w:type="gramStart"/>
      <w:r>
        <w:t>renewed</w:t>
      </w:r>
      <w:proofErr w:type="gramEnd"/>
    </w:p>
    <w:p w14:paraId="0A919258" w14:textId="728DF0B7" w:rsidR="00247DF7" w:rsidRDefault="00247DF7" w:rsidP="00247DF7">
      <w:pPr>
        <w:pStyle w:val="Bulletlevel1last"/>
      </w:pPr>
      <w:r>
        <w:t xml:space="preserve">whether renewal, partial </w:t>
      </w:r>
      <w:proofErr w:type="gramStart"/>
      <w:r>
        <w:t>renewal</w:t>
      </w:r>
      <w:proofErr w:type="gramEnd"/>
      <w:r>
        <w:t xml:space="preserve"> or re-allocation of licences in each band, or re-allocation of the spectrum covered by ESLs in each band, serves the long-term public interest. </w:t>
      </w:r>
    </w:p>
    <w:p w14:paraId="0DA7FAEF" w14:textId="77777777" w:rsidR="00247DF7" w:rsidRDefault="00247DF7" w:rsidP="00247DF7">
      <w:pPr>
        <w:pStyle w:val="Paragraph"/>
      </w:pPr>
      <w:r>
        <w:t>We will consult on these preliminary views, consider submissions and, in stage 4, release our response to submissions and our preferred views, which will round out the policy and decision-making framework for our consideration of individual renewal applications.</w:t>
      </w:r>
    </w:p>
    <w:p w14:paraId="13BD71E0" w14:textId="77777777" w:rsidR="00247DF7" w:rsidRPr="00795306" w:rsidRDefault="00247DF7" w:rsidP="00424D6C">
      <w:pPr>
        <w:pStyle w:val="Heading4"/>
      </w:pPr>
      <w:r>
        <w:t>Requests for f</w:t>
      </w:r>
      <w:r w:rsidRPr="00795306">
        <w:t xml:space="preserve">urther information </w:t>
      </w:r>
    </w:p>
    <w:p w14:paraId="65C65F30" w14:textId="72921EBE" w:rsidR="00247DF7" w:rsidRDefault="00247DF7" w:rsidP="00247DF7">
      <w:r>
        <w:t>The information</w:t>
      </w:r>
      <w:r w:rsidR="008F23A5">
        <w:t>-</w:t>
      </w:r>
      <w:r>
        <w:t xml:space="preserve">gathering exercise will be framed in terms of bands covered by ESLs. It may be necessary for us to request specific information about </w:t>
      </w:r>
      <w:proofErr w:type="gramStart"/>
      <w:r w:rsidR="007039EC">
        <w:t xml:space="preserve">particular </w:t>
      </w:r>
      <w:r>
        <w:t>ESLs</w:t>
      </w:r>
      <w:proofErr w:type="gramEnd"/>
      <w:r>
        <w:t xml:space="preserve"> over the course of the ESL process </w:t>
      </w:r>
      <w:r w:rsidR="008F23A5">
        <w:t xml:space="preserve">before the </w:t>
      </w:r>
      <w:r>
        <w:t>renewal application windows, and in relation to making a decision on an application for renewal, where more granular information may be required.</w:t>
      </w:r>
    </w:p>
    <w:p w14:paraId="063E92DA" w14:textId="2007828C" w:rsidR="00247DF7" w:rsidRDefault="00247DF7" w:rsidP="00247DF7">
      <w:r>
        <w:t xml:space="preserve">For information requested </w:t>
      </w:r>
      <w:r w:rsidR="00F724A6">
        <w:t xml:space="preserve">before </w:t>
      </w:r>
      <w:r>
        <w:t>the 2-year application period, we may use our information</w:t>
      </w:r>
      <w:r w:rsidR="00CE50CE">
        <w:t>-</w:t>
      </w:r>
      <w:r>
        <w:t xml:space="preserve">gathering powers at section 284S of the </w:t>
      </w:r>
      <w:proofErr w:type="gramStart"/>
      <w:r>
        <w:t>Act, or</w:t>
      </w:r>
      <w:proofErr w:type="gramEnd"/>
      <w:r>
        <w:t xml:space="preserve"> make further voluntary requests for information. The power under section 284S broadly provides that we may give a written notice to a person, requiring them to provide us with, among other things, information or documents about the operation, or proposed operation, of radiocommunications devices used under spectrum licences, or to be used under a licence that may be issued in the future, including by way of renewal.</w:t>
      </w:r>
      <w:r>
        <w:rPr>
          <w:rStyle w:val="FootnoteReference"/>
        </w:rPr>
        <w:footnoteReference w:id="14"/>
      </w:r>
    </w:p>
    <w:p w14:paraId="29946394" w14:textId="2D6FF342" w:rsidR="00247DF7" w:rsidRDefault="00247DF7" w:rsidP="00247DF7">
      <w:r>
        <w:t xml:space="preserve">For information required to make decisions on applications, section 77A provides us with the ability to require applicants </w:t>
      </w:r>
      <w:r w:rsidR="0002303F">
        <w:t xml:space="preserve">to </w:t>
      </w:r>
      <w:r>
        <w:t xml:space="preserve">provide specified information and/or documents in relation to a renewal application. </w:t>
      </w:r>
      <w:proofErr w:type="gramStart"/>
      <w:r>
        <w:t>In particular, we</w:t>
      </w:r>
      <w:proofErr w:type="gramEnd"/>
      <w:r>
        <w:t xml:space="preserve"> may make a legislative instrument under 77A(4) that specifies the information and documents that must be provided when making an application. We </w:t>
      </w:r>
      <w:r w:rsidR="009922FC">
        <w:t>will</w:t>
      </w:r>
      <w:r>
        <w:t xml:space="preserve"> consult with stakeholders on that instrument to test the scope of the request, and to ensure that applicants have time to prepare the specific information or documents. </w:t>
      </w:r>
    </w:p>
    <w:p w14:paraId="3CBCE8F3" w14:textId="665F0695" w:rsidR="00247DF7" w:rsidRDefault="00247DF7" w:rsidP="00247DF7">
      <w:r>
        <w:t xml:space="preserve">Section 77B also allows us to give to an applicant a written notice requiring them to provide further information in connection with their application, which may be required after an application has been made to the ACMA. We must </w:t>
      </w:r>
      <w:proofErr w:type="gramStart"/>
      <w:r>
        <w:t>make a decision</w:t>
      </w:r>
      <w:proofErr w:type="gramEnd"/>
      <w:r>
        <w:t xml:space="preserve"> </w:t>
      </w:r>
      <w:r w:rsidR="008C175A">
        <w:t xml:space="preserve">on renewal </w:t>
      </w:r>
      <w:r>
        <w:t xml:space="preserve">within 6 months of receiving the requested additional information. </w:t>
      </w:r>
    </w:p>
    <w:p w14:paraId="3641975B" w14:textId="7403EA4D" w:rsidR="00247DF7" w:rsidRPr="00C60BD8" w:rsidRDefault="00247DF7" w:rsidP="00E766D9">
      <w:pPr>
        <w:pStyle w:val="Heading3"/>
        <w:rPr>
          <w:shd w:val="clear" w:color="auto" w:fill="FFFFFF"/>
        </w:rPr>
      </w:pPr>
      <w:r>
        <w:rPr>
          <w:shd w:val="clear" w:color="auto" w:fill="FFFFFF"/>
        </w:rPr>
        <w:lastRenderedPageBreak/>
        <w:t xml:space="preserve">Views about spectrum use by </w:t>
      </w:r>
      <w:proofErr w:type="gramStart"/>
      <w:r>
        <w:rPr>
          <w:shd w:val="clear" w:color="auto" w:fill="FFFFFF"/>
        </w:rPr>
        <w:t>band</w:t>
      </w:r>
      <w:proofErr w:type="gramEnd"/>
      <w:r>
        <w:rPr>
          <w:shd w:val="clear" w:color="auto" w:fill="FFFFFF"/>
        </w:rPr>
        <w:t xml:space="preserve"> </w:t>
      </w:r>
    </w:p>
    <w:p w14:paraId="0D58592D" w14:textId="1303EBA8" w:rsidR="00247DF7" w:rsidRPr="00AA4BF2" w:rsidRDefault="00247DF7" w:rsidP="00247DF7">
      <w:pPr>
        <w:pStyle w:val="Paragraph"/>
      </w:pPr>
      <w:r w:rsidRPr="00AA4BF2">
        <w:t xml:space="preserve">Having considered stakeholder submissions, we have decided to use stage 2 to provide additional context and confidence </w:t>
      </w:r>
      <w:r w:rsidR="0002303F">
        <w:t>to</w:t>
      </w:r>
      <w:r w:rsidR="0002303F" w:rsidRPr="00AA4BF2">
        <w:t xml:space="preserve"> </w:t>
      </w:r>
      <w:r w:rsidRPr="00AA4BF2">
        <w:t xml:space="preserve">stakeholders </w:t>
      </w:r>
      <w:r w:rsidR="0002303F">
        <w:t xml:space="preserve">about </w:t>
      </w:r>
      <w:r w:rsidRPr="00AA4BF2">
        <w:t xml:space="preserve">our views on </w:t>
      </w:r>
      <w:r>
        <w:t>the uses</w:t>
      </w:r>
      <w:r w:rsidRPr="00AA4BF2">
        <w:t xml:space="preserve"> for</w:t>
      </w:r>
      <w:r>
        <w:t xml:space="preserve"> each of</w:t>
      </w:r>
      <w:r w:rsidRPr="00AA4BF2">
        <w:t xml:space="preserve"> the bands covered by ESLs.</w:t>
      </w:r>
    </w:p>
    <w:p w14:paraId="1161C208" w14:textId="55406FED" w:rsidR="00247DF7" w:rsidRPr="00AA4BF2" w:rsidRDefault="00247DF7" w:rsidP="00247DF7">
      <w:pPr>
        <w:pStyle w:val="Paragraph"/>
      </w:pPr>
      <w:r w:rsidRPr="00137E2E">
        <w:t>As part of stage 2, we will now also release, and seek submissions on, views on where the international and domestic spectrum management and technology environment supports sustained and widespread uses of the spectrum covered by ESLs. Such conditions are typically conducive to facilitating uses that are likely to promote the public interest.</w:t>
      </w:r>
      <w:r w:rsidRPr="00AA4BF2">
        <w:t xml:space="preserve"> </w:t>
      </w:r>
    </w:p>
    <w:p w14:paraId="6E5D6699" w14:textId="77777777" w:rsidR="00247DF7" w:rsidRPr="00AA4BF2" w:rsidRDefault="00247DF7" w:rsidP="00247DF7">
      <w:pPr>
        <w:pStyle w:val="Paragraph"/>
      </w:pPr>
      <w:r w:rsidRPr="00AA4BF2">
        <w:t xml:space="preserve">In this context, </w:t>
      </w:r>
      <w:r>
        <w:t xml:space="preserve">we intend to consider </w:t>
      </w:r>
      <w:r w:rsidRPr="00AA4BF2">
        <w:t xml:space="preserve">the main </w:t>
      </w:r>
      <w:r>
        <w:t>uses</w:t>
      </w:r>
      <w:r w:rsidRPr="00AA4BF2">
        <w:t xml:space="preserve"> </w:t>
      </w:r>
      <w:r>
        <w:t>supported</w:t>
      </w:r>
      <w:r w:rsidRPr="00AA4BF2">
        <w:t xml:space="preserve"> by the relevant bands</w:t>
      </w:r>
      <w:r>
        <w:t xml:space="preserve"> domestically and internationally</w:t>
      </w:r>
      <w:r w:rsidRPr="00AA4BF2">
        <w:t xml:space="preserve">, </w:t>
      </w:r>
      <w:proofErr w:type="gramStart"/>
      <w:r w:rsidRPr="00AA4BF2">
        <w:t>taking into account</w:t>
      </w:r>
      <w:proofErr w:type="gramEnd"/>
      <w:r w:rsidRPr="00AA4BF2">
        <w:t xml:space="preserve"> the recent history of a band, current </w:t>
      </w:r>
      <w:r>
        <w:t>spectrum use</w:t>
      </w:r>
      <w:r w:rsidRPr="00AA4BF2">
        <w:t xml:space="preserve">, and forward-looking domestic and international trends and considerations. </w:t>
      </w:r>
    </w:p>
    <w:p w14:paraId="1035F68B" w14:textId="2E0B4BA1" w:rsidR="00247DF7" w:rsidRPr="00AA4BF2" w:rsidRDefault="00247DF7" w:rsidP="00247DF7">
      <w:pPr>
        <w:pStyle w:val="Paragraphbeforelist"/>
      </w:pPr>
      <w:r>
        <w:t xml:space="preserve">Uses of the spectrum that are supported by the broader spectrum management and technology environment, and </w:t>
      </w:r>
      <w:r w:rsidR="0002303F">
        <w:t xml:space="preserve">that </w:t>
      </w:r>
      <w:r>
        <w:t>are likely to promote the public interest,</w:t>
      </w:r>
      <w:r w:rsidRPr="00AA4BF2">
        <w:t xml:space="preserve"> could have some or </w:t>
      </w:r>
      <w:proofErr w:type="gramStart"/>
      <w:r w:rsidRPr="00AA4BF2">
        <w:t>all of</w:t>
      </w:r>
      <w:proofErr w:type="gramEnd"/>
      <w:r w:rsidRPr="00AA4BF2">
        <w:t xml:space="preserve"> the following characteristics:</w:t>
      </w:r>
    </w:p>
    <w:p w14:paraId="013FE8D3" w14:textId="77777777" w:rsidR="00247DF7" w:rsidRPr="00986976" w:rsidRDefault="00247DF7" w:rsidP="00247DF7">
      <w:pPr>
        <w:pStyle w:val="Bulletlevel1"/>
        <w:rPr>
          <w:shd w:val="clear" w:color="auto" w:fill="FFFFFF"/>
        </w:rPr>
      </w:pPr>
      <w:r w:rsidRPr="00986976">
        <w:rPr>
          <w:shd w:val="clear" w:color="auto" w:fill="FFFFFF"/>
        </w:rPr>
        <w:t xml:space="preserve">consistently used for a particular type of </w:t>
      </w:r>
      <w:r>
        <w:rPr>
          <w:shd w:val="clear" w:color="auto" w:fill="FFFFFF"/>
        </w:rPr>
        <w:t xml:space="preserve">use </w:t>
      </w:r>
      <w:r w:rsidRPr="00986976">
        <w:rPr>
          <w:shd w:val="clear" w:color="auto" w:fill="FFFFFF"/>
        </w:rPr>
        <w:t>over a long period of time (even</w:t>
      </w:r>
      <w:r>
        <w:rPr>
          <w:shd w:val="clear" w:color="auto" w:fill="FFFFFF"/>
        </w:rPr>
        <w:t xml:space="preserve"> as</w:t>
      </w:r>
      <w:r w:rsidRPr="00986976">
        <w:rPr>
          <w:shd w:val="clear" w:color="auto" w:fill="FFFFFF"/>
        </w:rPr>
        <w:t xml:space="preserve"> the technology used to facilitate </w:t>
      </w:r>
      <w:r>
        <w:rPr>
          <w:shd w:val="clear" w:color="auto" w:fill="FFFFFF"/>
        </w:rPr>
        <w:t xml:space="preserve">that use </w:t>
      </w:r>
      <w:r w:rsidRPr="00986976">
        <w:rPr>
          <w:shd w:val="clear" w:color="auto" w:fill="FFFFFF"/>
        </w:rPr>
        <w:t xml:space="preserve">has evolved) </w:t>
      </w:r>
    </w:p>
    <w:p w14:paraId="0BD38E38" w14:textId="77777777" w:rsidR="00247DF7" w:rsidRPr="00986976" w:rsidRDefault="00247DF7" w:rsidP="00247DF7">
      <w:pPr>
        <w:pStyle w:val="Bulletlevel1"/>
        <w:rPr>
          <w:shd w:val="clear" w:color="auto" w:fill="FFFFFF"/>
        </w:rPr>
      </w:pPr>
      <w:r>
        <w:rPr>
          <w:shd w:val="clear" w:color="auto" w:fill="FFFFFF"/>
        </w:rPr>
        <w:t xml:space="preserve">widespread </w:t>
      </w:r>
      <w:r w:rsidRPr="00986976">
        <w:rPr>
          <w:shd w:val="clear" w:color="auto" w:fill="FFFFFF"/>
        </w:rPr>
        <w:t>domestic</w:t>
      </w:r>
      <w:r>
        <w:rPr>
          <w:shd w:val="clear" w:color="auto" w:fill="FFFFFF"/>
        </w:rPr>
        <w:t xml:space="preserve"> uptake of that use</w:t>
      </w:r>
    </w:p>
    <w:p w14:paraId="4E03AA39" w14:textId="11590E1B" w:rsidR="00247DF7" w:rsidRPr="00986976" w:rsidRDefault="00247DF7" w:rsidP="00247DF7">
      <w:pPr>
        <w:pStyle w:val="Bulletlevel1"/>
        <w:rPr>
          <w:shd w:val="clear" w:color="auto" w:fill="FFFFFF"/>
        </w:rPr>
      </w:pPr>
      <w:r w:rsidRPr="00986976">
        <w:rPr>
          <w:shd w:val="clear" w:color="auto" w:fill="FFFFFF"/>
        </w:rPr>
        <w:t>high levels of international technical</w:t>
      </w:r>
      <w:r>
        <w:rPr>
          <w:shd w:val="clear" w:color="auto" w:fill="FFFFFF"/>
        </w:rPr>
        <w:t xml:space="preserve">, market, and equipment </w:t>
      </w:r>
      <w:r w:rsidRPr="00986976">
        <w:rPr>
          <w:shd w:val="clear" w:color="auto" w:fill="FFFFFF"/>
        </w:rPr>
        <w:t>harmonisation</w:t>
      </w:r>
      <w:r>
        <w:rPr>
          <w:shd w:val="clear" w:color="auto" w:fill="FFFFFF"/>
        </w:rPr>
        <w:t xml:space="preserve"> (</w:t>
      </w:r>
      <w:r w:rsidR="0002303F">
        <w:rPr>
          <w:shd w:val="clear" w:color="auto" w:fill="FFFFFF"/>
        </w:rPr>
        <w:t>for example,</w:t>
      </w:r>
      <w:r>
        <w:rPr>
          <w:shd w:val="clear" w:color="auto" w:fill="FFFFFF"/>
        </w:rPr>
        <w:t xml:space="preserve"> international spectrum </w:t>
      </w:r>
      <w:r w:rsidRPr="00986976">
        <w:rPr>
          <w:shd w:val="clear" w:color="auto" w:fill="FFFFFF"/>
        </w:rPr>
        <w:t xml:space="preserve">allocations, widely </w:t>
      </w:r>
      <w:r>
        <w:rPr>
          <w:shd w:val="clear" w:color="auto" w:fill="FFFFFF"/>
        </w:rPr>
        <w:t xml:space="preserve">accepted technical </w:t>
      </w:r>
      <w:r w:rsidRPr="00986976">
        <w:rPr>
          <w:shd w:val="clear" w:color="auto" w:fill="FFFFFF"/>
        </w:rPr>
        <w:t xml:space="preserve">standards, </w:t>
      </w:r>
      <w:r w:rsidR="007A2F72">
        <w:rPr>
          <w:shd w:val="clear" w:color="auto" w:fill="FFFFFF"/>
        </w:rPr>
        <w:t>and</w:t>
      </w:r>
      <w:r>
        <w:rPr>
          <w:shd w:val="clear" w:color="auto" w:fill="FFFFFF"/>
        </w:rPr>
        <w:t xml:space="preserve"> </w:t>
      </w:r>
      <w:r w:rsidRPr="00986976">
        <w:rPr>
          <w:shd w:val="clear" w:color="auto" w:fill="FFFFFF"/>
        </w:rPr>
        <w:t>established equipment ecosystem</w:t>
      </w:r>
      <w:r>
        <w:rPr>
          <w:shd w:val="clear" w:color="auto" w:fill="FFFFFF"/>
        </w:rPr>
        <w:t>s</w:t>
      </w:r>
      <w:r w:rsidRPr="00986976">
        <w:rPr>
          <w:shd w:val="clear" w:color="auto" w:fill="FFFFFF"/>
        </w:rPr>
        <w:t>)</w:t>
      </w:r>
    </w:p>
    <w:p w14:paraId="7DA634AB" w14:textId="77777777" w:rsidR="00247DF7" w:rsidRPr="00986976" w:rsidRDefault="00247DF7" w:rsidP="00247DF7">
      <w:pPr>
        <w:pStyle w:val="Bulletlevel1last"/>
        <w:rPr>
          <w:shd w:val="clear" w:color="auto" w:fill="FFFFFF"/>
        </w:rPr>
      </w:pPr>
      <w:r w:rsidRPr="00986976">
        <w:rPr>
          <w:shd w:val="clear" w:color="auto" w:fill="FFFFFF"/>
        </w:rPr>
        <w:t xml:space="preserve">not currently being explored, or is not </w:t>
      </w:r>
      <w:r>
        <w:rPr>
          <w:shd w:val="clear" w:color="auto" w:fill="FFFFFF"/>
        </w:rPr>
        <w:t xml:space="preserve">a </w:t>
      </w:r>
      <w:r w:rsidRPr="00986976">
        <w:rPr>
          <w:shd w:val="clear" w:color="auto" w:fill="FFFFFF"/>
        </w:rPr>
        <w:t>candidate for exploration</w:t>
      </w:r>
      <w:r>
        <w:rPr>
          <w:shd w:val="clear" w:color="auto" w:fill="FFFFFF"/>
        </w:rPr>
        <w:t>,</w:t>
      </w:r>
      <w:r w:rsidRPr="00986976">
        <w:rPr>
          <w:shd w:val="clear" w:color="auto" w:fill="FFFFFF"/>
        </w:rPr>
        <w:t xml:space="preserve"> over the mid-to-long term, at an international level for alternative </w:t>
      </w:r>
      <w:r>
        <w:rPr>
          <w:shd w:val="clear" w:color="auto" w:fill="FFFFFF"/>
        </w:rPr>
        <w:t>uses</w:t>
      </w:r>
      <w:r w:rsidRPr="00986976">
        <w:rPr>
          <w:shd w:val="clear" w:color="auto" w:fill="FFFFFF"/>
        </w:rPr>
        <w:t xml:space="preserve">. </w:t>
      </w:r>
    </w:p>
    <w:p w14:paraId="6C3F721D" w14:textId="651B9D42" w:rsidR="00247DF7" w:rsidRDefault="00EE61C2" w:rsidP="00247DF7">
      <w:pPr>
        <w:pStyle w:val="Paragraph"/>
        <w:rPr>
          <w:shd w:val="clear" w:color="auto" w:fill="FFFFFF"/>
        </w:rPr>
      </w:pPr>
      <w:r>
        <w:rPr>
          <w:shd w:val="clear" w:color="auto" w:fill="FFFFFF"/>
        </w:rPr>
        <w:t>If</w:t>
      </w:r>
      <w:r w:rsidR="00247DF7">
        <w:rPr>
          <w:shd w:val="clear" w:color="auto" w:fill="FFFFFF"/>
        </w:rPr>
        <w:t xml:space="preserve"> there are prominent domestic or international alternative uses for the bands covered by ESLs, we will use this exercise to identify those uses. </w:t>
      </w:r>
    </w:p>
    <w:p w14:paraId="5909B540" w14:textId="4E81702C" w:rsidR="00247DF7" w:rsidRDefault="00247DF7" w:rsidP="00247DF7">
      <w:pPr>
        <w:pStyle w:val="Paragraph"/>
        <w:rPr>
          <w:shd w:val="clear" w:color="auto" w:fill="FFFFFF"/>
        </w:rPr>
      </w:pPr>
      <w:r>
        <w:rPr>
          <w:shd w:val="clear" w:color="auto" w:fill="FFFFFF"/>
        </w:rPr>
        <w:t xml:space="preserve">While we will use this exercise to identify uses of the spectrum, we are unlikely to offer detailed views at this stage on whether one or more use case is conducive to facilitating the public interest, </w:t>
      </w:r>
      <w:r w:rsidR="00E85DCD">
        <w:rPr>
          <w:shd w:val="clear" w:color="auto" w:fill="FFFFFF"/>
        </w:rPr>
        <w:t xml:space="preserve">and </w:t>
      </w:r>
      <w:r w:rsidR="006F701C">
        <w:rPr>
          <w:shd w:val="clear" w:color="auto" w:fill="FFFFFF"/>
        </w:rPr>
        <w:t xml:space="preserve">we </w:t>
      </w:r>
      <w:r>
        <w:rPr>
          <w:shd w:val="clear" w:color="auto" w:fill="FFFFFF"/>
        </w:rPr>
        <w:t xml:space="preserve">will </w:t>
      </w:r>
      <w:r w:rsidR="00245F32">
        <w:rPr>
          <w:shd w:val="clear" w:color="auto" w:fill="FFFFFF"/>
        </w:rPr>
        <w:t>not</w:t>
      </w:r>
      <w:r>
        <w:rPr>
          <w:shd w:val="clear" w:color="auto" w:fill="FFFFFF"/>
        </w:rPr>
        <w:t xml:space="preserve"> offer views on corresponding licensing arrangements (</w:t>
      </w:r>
      <w:r w:rsidR="00245F32">
        <w:rPr>
          <w:shd w:val="clear" w:color="auto" w:fill="FFFFFF"/>
        </w:rPr>
        <w:t>that is,</w:t>
      </w:r>
      <w:r>
        <w:rPr>
          <w:shd w:val="clear" w:color="auto" w:fill="FFFFFF"/>
        </w:rPr>
        <w:t xml:space="preserve"> geographic boundaries, licence term</w:t>
      </w:r>
      <w:r w:rsidR="00FC6B2A">
        <w:rPr>
          <w:shd w:val="clear" w:color="auto" w:fill="FFFFFF"/>
        </w:rPr>
        <w:t xml:space="preserve"> or</w:t>
      </w:r>
      <w:r>
        <w:rPr>
          <w:shd w:val="clear" w:color="auto" w:fill="FFFFFF"/>
        </w:rPr>
        <w:t xml:space="preserve"> licence type</w:t>
      </w:r>
      <w:r w:rsidR="00FC6B2A">
        <w:rPr>
          <w:shd w:val="clear" w:color="auto" w:fill="FFFFFF"/>
        </w:rPr>
        <w:t>s</w:t>
      </w:r>
      <w:r>
        <w:rPr>
          <w:shd w:val="clear" w:color="auto" w:fill="FFFFFF"/>
        </w:rPr>
        <w:t xml:space="preserve">). </w:t>
      </w:r>
    </w:p>
    <w:p w14:paraId="647B35AF" w14:textId="68566F31" w:rsidR="00247DF7" w:rsidRDefault="00247DF7" w:rsidP="00247DF7">
      <w:pPr>
        <w:pStyle w:val="Paragraph"/>
        <w:rPr>
          <w:shd w:val="clear" w:color="auto" w:fill="FFFFFF"/>
        </w:rPr>
      </w:pPr>
      <w:r>
        <w:rPr>
          <w:shd w:val="clear" w:color="auto" w:fill="FFFFFF"/>
        </w:rPr>
        <w:t>We are of the view that, where possible, the ESL process should not be a ‘greenfields’ or ‘from the ground up’ exercise in spectrum planning</w:t>
      </w:r>
      <w:r w:rsidR="00A1335D">
        <w:rPr>
          <w:shd w:val="clear" w:color="auto" w:fill="FFFFFF"/>
        </w:rPr>
        <w:t>. If</w:t>
      </w:r>
      <w:r>
        <w:rPr>
          <w:shd w:val="clear" w:color="auto" w:fill="FFFFFF"/>
        </w:rPr>
        <w:t xml:space="preserve"> there is evidence of strong support for use for a band, and that support is conducive to promoting the long term public interest, the time and resources of the ACMA and stakeholders can be better used to explore other matters relevant to the public interest, such as an incumbent’s current and prospective utilisation of the spectrum, alternative use cases and users, or the pros and cons of re-allocating the spectrum. </w:t>
      </w:r>
    </w:p>
    <w:p w14:paraId="65C767D1" w14:textId="620162E7" w:rsidR="00247DF7" w:rsidRDefault="00247DF7" w:rsidP="00247DF7">
      <w:pPr>
        <w:pStyle w:val="Paragraph"/>
        <w:rPr>
          <w:shd w:val="clear" w:color="auto" w:fill="FFFFFF"/>
        </w:rPr>
      </w:pPr>
      <w:r>
        <w:rPr>
          <w:shd w:val="clear" w:color="auto" w:fill="FFFFFF"/>
        </w:rPr>
        <w:t>In releasing these views, we intend to provide stakeholders with a level of confidence regarding our views on band use, and an opportunity for stakeholders to challenge those views with evidence.</w:t>
      </w:r>
    </w:p>
    <w:p w14:paraId="2DE6B6B0" w14:textId="58CAC0B4" w:rsidR="00247DF7" w:rsidRDefault="00247DF7" w:rsidP="00E766D9">
      <w:pPr>
        <w:pStyle w:val="Heading3"/>
      </w:pPr>
      <w:r>
        <w:t xml:space="preserve">Consideration of alternative licensing conditions identified by the </w:t>
      </w:r>
      <w:proofErr w:type="gramStart"/>
      <w:r w:rsidR="00663301">
        <w:t>m</w:t>
      </w:r>
      <w:r>
        <w:t>inister</w:t>
      </w:r>
      <w:proofErr w:type="gramEnd"/>
    </w:p>
    <w:p w14:paraId="06FB37C9" w14:textId="163A7AC4" w:rsidR="00247DF7" w:rsidRDefault="00663301" w:rsidP="00247DF7">
      <w:pPr>
        <w:pStyle w:val="Paragraph"/>
      </w:pPr>
      <w:r>
        <w:t>Several</w:t>
      </w:r>
      <w:r w:rsidR="00247DF7">
        <w:t xml:space="preserve"> submissions expressed support for the inclusion of use-it-or-lose-it (UIOLI) or use-it-or-share-it (UIOSI) conditions in renewed ESLs, and for inclusion of coverage targets (which we will refer to as rollout obligations) in renewed ESLs.</w:t>
      </w:r>
    </w:p>
    <w:p w14:paraId="6E97D62F" w14:textId="3F159ABA" w:rsidR="00247DF7" w:rsidRDefault="0012449A" w:rsidP="00247DF7">
      <w:pPr>
        <w:pStyle w:val="Paragraph"/>
      </w:pPr>
      <w:r>
        <w:t>T</w:t>
      </w:r>
      <w:r w:rsidR="00247DF7">
        <w:t xml:space="preserve">he </w:t>
      </w:r>
      <w:r>
        <w:t>m</w:t>
      </w:r>
      <w:r w:rsidR="00247DF7">
        <w:t xml:space="preserve">inister </w:t>
      </w:r>
      <w:r>
        <w:t>has asked</w:t>
      </w:r>
      <w:r w:rsidR="00247DF7">
        <w:t xml:space="preserve"> that </w:t>
      </w:r>
      <w:r>
        <w:t>we</w:t>
      </w:r>
      <w:r w:rsidR="00247DF7">
        <w:t xml:space="preserve"> develop a considered view on the use of these alternative licensing conditions in the Australian context including, but not limited to </w:t>
      </w:r>
      <w:r w:rsidR="00247DF7">
        <w:lastRenderedPageBreak/>
        <w:t>r</w:t>
      </w:r>
      <w:r w:rsidR="00247DF7" w:rsidRPr="00FB1B2A">
        <w:t>oll-out obligatio</w:t>
      </w:r>
      <w:r w:rsidR="00247DF7">
        <w:t>ns and their effectiveness in achieving broader coverage</w:t>
      </w:r>
      <w:r w:rsidR="00DB3925">
        <w:t>,</w:t>
      </w:r>
      <w:r w:rsidR="00247DF7">
        <w:t xml:space="preserve"> and UIOLI and UIOSI </w:t>
      </w:r>
      <w:r w:rsidR="00247DF7" w:rsidRPr="00AF5FB8">
        <w:t>provisions and their effectiveness in achieving more efficient spectrum use</w:t>
      </w:r>
      <w:r w:rsidR="00247DF7">
        <w:t>.</w:t>
      </w:r>
    </w:p>
    <w:p w14:paraId="5200C3CE" w14:textId="5270AC32" w:rsidR="00247DF7" w:rsidRDefault="00247DF7" w:rsidP="00247DF7">
      <w:pPr>
        <w:rPr>
          <w:rFonts w:cs="Arial"/>
        </w:rPr>
      </w:pPr>
      <w:r>
        <w:rPr>
          <w:rFonts w:cs="Arial"/>
        </w:rPr>
        <w:t xml:space="preserve">UIOLI </w:t>
      </w:r>
      <w:r w:rsidRPr="00505358">
        <w:rPr>
          <w:rFonts w:cs="Arial"/>
        </w:rPr>
        <w:t>conditions</w:t>
      </w:r>
      <w:r>
        <w:rPr>
          <w:rFonts w:cs="Arial"/>
        </w:rPr>
        <w:t xml:space="preserve"> </w:t>
      </w:r>
      <w:r w:rsidRPr="00746641">
        <w:rPr>
          <w:rFonts w:cs="Arial"/>
        </w:rPr>
        <w:t xml:space="preserve">refer to conditions </w:t>
      </w:r>
      <w:r>
        <w:rPr>
          <w:rFonts w:cs="Arial"/>
        </w:rPr>
        <w:t xml:space="preserve">included in </w:t>
      </w:r>
      <w:r w:rsidRPr="00746641">
        <w:rPr>
          <w:rFonts w:cs="Arial"/>
        </w:rPr>
        <w:t xml:space="preserve">licences that require licensees to meet a minimum level of </w:t>
      </w:r>
      <w:r>
        <w:rPr>
          <w:rFonts w:cs="Arial"/>
        </w:rPr>
        <w:t>‘</w:t>
      </w:r>
      <w:r w:rsidRPr="00746641">
        <w:rPr>
          <w:rFonts w:cs="Arial"/>
        </w:rPr>
        <w:t>use</w:t>
      </w:r>
      <w:r>
        <w:rPr>
          <w:rFonts w:cs="Arial"/>
        </w:rPr>
        <w:t>’</w:t>
      </w:r>
      <w:r w:rsidRPr="00746641">
        <w:rPr>
          <w:rFonts w:cs="Arial"/>
        </w:rPr>
        <w:t xml:space="preserve"> of the spectrum</w:t>
      </w:r>
      <w:r>
        <w:rPr>
          <w:rFonts w:cs="Arial"/>
        </w:rPr>
        <w:t>. Use could mean a variety of things, such as provi</w:t>
      </w:r>
      <w:r w:rsidR="00992BD7">
        <w:rPr>
          <w:rFonts w:cs="Arial"/>
        </w:rPr>
        <w:t>ding</w:t>
      </w:r>
      <w:r>
        <w:rPr>
          <w:rFonts w:cs="Arial"/>
        </w:rPr>
        <w:t xml:space="preserve"> a specific service under a licence (to the exclusion of, or in tandem with, other services). A rollout condition requiring the licensee to meet a specific level of geographic or population coverage is another example of a UIOLI condition. The broad intention is that, </w:t>
      </w:r>
      <w:r w:rsidR="0036197B">
        <w:rPr>
          <w:rFonts w:cs="Arial"/>
        </w:rPr>
        <w:t xml:space="preserve">if </w:t>
      </w:r>
      <w:r>
        <w:rPr>
          <w:rFonts w:cs="Arial"/>
        </w:rPr>
        <w:t>a licensee fail</w:t>
      </w:r>
      <w:r w:rsidR="0036197B">
        <w:rPr>
          <w:rFonts w:cs="Arial"/>
        </w:rPr>
        <w:t>s</w:t>
      </w:r>
      <w:r>
        <w:rPr>
          <w:rFonts w:cs="Arial"/>
        </w:rPr>
        <w:t xml:space="preserve"> to meet the condition, they would 'lose’ access to a relevant portion of the spectrum covering a geographic area, or to the licence itself (either during, or at the end of, the licence term).</w:t>
      </w:r>
    </w:p>
    <w:p w14:paraId="0264A40F" w14:textId="40BADCA8" w:rsidR="00247DF7" w:rsidRDefault="00247DF7" w:rsidP="00247DF7">
      <w:pPr>
        <w:rPr>
          <w:rFonts w:cs="Arial"/>
        </w:rPr>
      </w:pPr>
      <w:r>
        <w:rPr>
          <w:rFonts w:cs="Arial"/>
        </w:rPr>
        <w:t>UIOSI</w:t>
      </w:r>
      <w:r w:rsidRPr="00805AA0">
        <w:rPr>
          <w:rFonts w:cs="Arial"/>
        </w:rPr>
        <w:t xml:space="preserve"> </w:t>
      </w:r>
      <w:r>
        <w:rPr>
          <w:rFonts w:cs="Arial"/>
        </w:rPr>
        <w:t xml:space="preserve">conditions generally </w:t>
      </w:r>
      <w:r w:rsidRPr="00805AA0">
        <w:rPr>
          <w:rFonts w:cs="Arial"/>
        </w:rPr>
        <w:t>refer</w:t>
      </w:r>
      <w:r>
        <w:rPr>
          <w:rFonts w:cs="Arial"/>
        </w:rPr>
        <w:t xml:space="preserve"> to requiring</w:t>
      </w:r>
      <w:r w:rsidRPr="00805AA0">
        <w:rPr>
          <w:rFonts w:cs="Arial"/>
        </w:rPr>
        <w:t xml:space="preserve"> licensees to meet a minimum level of use of the spectrum</w:t>
      </w:r>
      <w:r>
        <w:rPr>
          <w:rFonts w:cs="Arial"/>
        </w:rPr>
        <w:t>,</w:t>
      </w:r>
      <w:r w:rsidRPr="00805AA0">
        <w:rPr>
          <w:rFonts w:cs="Arial"/>
        </w:rPr>
        <w:t xml:space="preserve"> or otherwise be required to share the spectrum with other users</w:t>
      </w:r>
      <w:r>
        <w:rPr>
          <w:rFonts w:cs="Arial"/>
        </w:rPr>
        <w:t>. Sharing could involve other users using some or all the frequencies included in a spectrum licence, likely within a certain geography or geographies.</w:t>
      </w:r>
    </w:p>
    <w:p w14:paraId="69F68E57" w14:textId="21F7FDFF" w:rsidR="00247DF7" w:rsidRDefault="00247DF7" w:rsidP="00247DF7">
      <w:pPr>
        <w:pStyle w:val="Paragraph"/>
      </w:pPr>
      <w:r>
        <w:rPr>
          <w:rStyle w:val="normaltextrun"/>
        </w:rPr>
        <w:t xml:space="preserve">As part of stage 2, we will consider the broad policy intent of these conditions, the types of outcomes they are intended to achieve, and how they might be implemented under the Act. We will do so with reference to the outcomes indicated by the </w:t>
      </w:r>
      <w:r w:rsidR="00416312">
        <w:rPr>
          <w:rStyle w:val="normaltextrun"/>
        </w:rPr>
        <w:t>m</w:t>
      </w:r>
      <w:r>
        <w:rPr>
          <w:rStyle w:val="normaltextrun"/>
        </w:rPr>
        <w:t xml:space="preserve">inister – namely, broader coverage and efficient spectrum use. </w:t>
      </w:r>
    </w:p>
    <w:p w14:paraId="32BF96F8" w14:textId="16BE0C51" w:rsidR="00247DF7" w:rsidRDefault="00247DF7" w:rsidP="00247DF7">
      <w:pPr>
        <w:pStyle w:val="Paragraph"/>
        <w:rPr>
          <w:rStyle w:val="normaltextrun"/>
        </w:rPr>
      </w:pPr>
      <w:r>
        <w:t xml:space="preserve">The </w:t>
      </w:r>
      <w:r w:rsidR="002E14D3">
        <w:t>m</w:t>
      </w:r>
      <w:r>
        <w:t>inister does not intend that exploration of such licensing conditions be limited to UI</w:t>
      </w:r>
      <w:r w:rsidR="005B34A3">
        <w:t>O</w:t>
      </w:r>
      <w:r>
        <w:t>LI, UIOSI and rollout obligations, and we will explore other conditions as relevant.</w:t>
      </w:r>
    </w:p>
    <w:p w14:paraId="7AA613A1" w14:textId="4EAB1753" w:rsidR="00D35805" w:rsidRDefault="00D35805" w:rsidP="00D35805">
      <w:pPr>
        <w:pStyle w:val="Paragraph"/>
        <w:rPr>
          <w:rStyle w:val="normaltextrun"/>
        </w:rPr>
      </w:pPr>
      <w:r>
        <w:t xml:space="preserve">We </w:t>
      </w:r>
      <w:r w:rsidR="000F22F7">
        <w:t xml:space="preserve">note </w:t>
      </w:r>
      <w:r>
        <w:t xml:space="preserve">the minister’s clarification that these conditions would not be implemented or proposed without them being subject to our normal processes. </w:t>
      </w:r>
    </w:p>
    <w:p w14:paraId="504BF735" w14:textId="0F5373D3" w:rsidR="00D35805" w:rsidRDefault="00D35805" w:rsidP="00D35805">
      <w:pPr>
        <w:pStyle w:val="Paragraph"/>
        <w:rPr>
          <w:rStyle w:val="normaltextrun"/>
        </w:rPr>
      </w:pPr>
      <w:r>
        <w:rPr>
          <w:rStyle w:val="normaltextrun"/>
        </w:rPr>
        <w:t>We will invite stakeholders to respond to our views on these alternative licensing conditions and we will advise the minister accordingly.</w:t>
      </w:r>
    </w:p>
    <w:p w14:paraId="7203307B" w14:textId="105C0548" w:rsidR="009F62D3" w:rsidRDefault="009F62D3" w:rsidP="00B43756">
      <w:pPr>
        <w:pStyle w:val="Heading3"/>
        <w:rPr>
          <w:rStyle w:val="normaltextrun"/>
        </w:rPr>
      </w:pPr>
      <w:r>
        <w:rPr>
          <w:rStyle w:val="normaltextrun"/>
        </w:rPr>
        <w:t>Stakeholder feedback on issues around resilience and temporary disaster responses</w:t>
      </w:r>
    </w:p>
    <w:p w14:paraId="549443CD" w14:textId="4F4C92FF" w:rsidR="00272289" w:rsidRDefault="003A3EB9" w:rsidP="00272289">
      <w:pPr>
        <w:pStyle w:val="Paragraph"/>
        <w:rPr>
          <w:rStyle w:val="normaltextrun"/>
        </w:rPr>
      </w:pPr>
      <w:r>
        <w:rPr>
          <w:rStyle w:val="normaltextrun"/>
        </w:rPr>
        <w:t>In her letter, the min</w:t>
      </w:r>
      <w:r w:rsidR="00AA1032">
        <w:rPr>
          <w:rStyle w:val="normaltextrun"/>
        </w:rPr>
        <w:t>i</w:t>
      </w:r>
      <w:r>
        <w:rPr>
          <w:rStyle w:val="normaltextrun"/>
        </w:rPr>
        <w:t xml:space="preserve">ster </w:t>
      </w:r>
      <w:r w:rsidR="007904B8">
        <w:rPr>
          <w:rStyle w:val="normaltextrun"/>
        </w:rPr>
        <w:t xml:space="preserve">sought </w:t>
      </w:r>
      <w:r w:rsidR="00792D45">
        <w:rPr>
          <w:rStyle w:val="normaltextrun"/>
        </w:rPr>
        <w:t xml:space="preserve">advice from the ACMA about </w:t>
      </w:r>
      <w:r w:rsidR="00272289" w:rsidRPr="00272289">
        <w:rPr>
          <w:rStyle w:val="normaltextrun"/>
        </w:rPr>
        <w:t xml:space="preserve">resilience and temporary disaster responses that arise in the context of spectrum licences and </w:t>
      </w:r>
      <w:r w:rsidR="009C53FE">
        <w:rPr>
          <w:rStyle w:val="normaltextrun"/>
        </w:rPr>
        <w:t>their</w:t>
      </w:r>
      <w:r w:rsidR="00272289" w:rsidRPr="00272289">
        <w:rPr>
          <w:rStyle w:val="normaltextrun"/>
        </w:rPr>
        <w:t xml:space="preserve"> renewal</w:t>
      </w:r>
      <w:r w:rsidR="00272289">
        <w:rPr>
          <w:rStyle w:val="normaltextrun"/>
        </w:rPr>
        <w:t>.</w:t>
      </w:r>
    </w:p>
    <w:p w14:paraId="540F6F77" w14:textId="4D7B82BC" w:rsidR="0038229D" w:rsidRDefault="00C268E8" w:rsidP="00D35805">
      <w:pPr>
        <w:pStyle w:val="Paragraph"/>
        <w:rPr>
          <w:rStyle w:val="normaltextrun"/>
        </w:rPr>
      </w:pPr>
      <w:r>
        <w:t>Resilience of telecommunications infrastructure to natural disasters</w:t>
      </w:r>
      <w:r w:rsidR="00C7374A">
        <w:t xml:space="preserve">, and the availability of communications services </w:t>
      </w:r>
      <w:r w:rsidR="00EA7722">
        <w:t xml:space="preserve">during emergencies, </w:t>
      </w:r>
      <w:r w:rsidR="000F6257">
        <w:t>were raised in the</w:t>
      </w:r>
      <w:r w:rsidR="00C33395">
        <w:t xml:space="preserve"> House of </w:t>
      </w:r>
      <w:r w:rsidR="00C33395" w:rsidRPr="00B32388">
        <w:t>Representatives</w:t>
      </w:r>
      <w:r w:rsidR="00C33395" w:rsidRPr="001631AD">
        <w:rPr>
          <w:color w:val="222222"/>
          <w:shd w:val="clear" w:color="auto" w:fill="FFFFFF"/>
        </w:rPr>
        <w:t xml:space="preserve"> Standing Committee on Communications and the Arts</w:t>
      </w:r>
      <w:r w:rsidR="00C33395">
        <w:rPr>
          <w:color w:val="222222"/>
          <w:shd w:val="clear" w:color="auto" w:fill="FFFFFF"/>
        </w:rPr>
        <w:t xml:space="preserve">’ 2023 report </w:t>
      </w:r>
      <w:r w:rsidR="00C33395" w:rsidRPr="00B43756">
        <w:t>Connecting the country: Mission critical</w:t>
      </w:r>
      <w:r w:rsidR="00863D90">
        <w:t xml:space="preserve"> -</w:t>
      </w:r>
      <w:r w:rsidR="00C33395" w:rsidRPr="00B43756">
        <w:t xml:space="preserve"> Inquiry into co-investment in multi-carrier regional mobile infrastructur</w:t>
      </w:r>
      <w:r w:rsidR="00E04942">
        <w:rPr>
          <w:u w:color="0000FF"/>
        </w:rPr>
        <w:t xml:space="preserve">e. </w:t>
      </w:r>
      <w:r w:rsidR="001E7747">
        <w:rPr>
          <w:rStyle w:val="normaltextrun"/>
        </w:rPr>
        <w:t xml:space="preserve">In 2022, the </w:t>
      </w:r>
      <w:r w:rsidR="0038229D">
        <w:rPr>
          <w:rStyle w:val="normaltextrun"/>
        </w:rPr>
        <w:t>ACCC</w:t>
      </w:r>
      <w:r w:rsidR="001E7747">
        <w:rPr>
          <w:rStyle w:val="normaltextrun"/>
        </w:rPr>
        <w:t xml:space="preserve"> was directed by </w:t>
      </w:r>
      <w:r w:rsidR="002666AF">
        <w:rPr>
          <w:rStyle w:val="normaltextrun"/>
        </w:rPr>
        <w:t xml:space="preserve">the then </w:t>
      </w:r>
      <w:r w:rsidR="002666AF">
        <w:t>Minister for Communications</w:t>
      </w:r>
      <w:r w:rsidR="002666AF">
        <w:rPr>
          <w:rStyle w:val="normaltextrun"/>
        </w:rPr>
        <w:t xml:space="preserve"> to</w:t>
      </w:r>
      <w:r w:rsidR="000A6D55">
        <w:rPr>
          <w:rStyle w:val="normaltextrun"/>
        </w:rPr>
        <w:t xml:space="preserve"> conduct an inquiry </w:t>
      </w:r>
      <w:r w:rsidR="00254E0D">
        <w:rPr>
          <w:rStyle w:val="normaltextrun"/>
        </w:rPr>
        <w:t>into matters relating to regional mobile infrastructure, including the feas</w:t>
      </w:r>
      <w:r w:rsidR="000D3734">
        <w:rPr>
          <w:rStyle w:val="normaltextrun"/>
        </w:rPr>
        <w:t>ibility of providing roaming during national disasters and other emergencies.</w:t>
      </w:r>
      <w:r w:rsidR="00B84DB2">
        <w:rPr>
          <w:rStyle w:val="normaltextrun"/>
        </w:rPr>
        <w:t xml:space="preserve"> </w:t>
      </w:r>
    </w:p>
    <w:p w14:paraId="6393A622" w14:textId="6C666EE9" w:rsidR="00F156A2" w:rsidRDefault="00353327" w:rsidP="00D35805">
      <w:pPr>
        <w:pStyle w:val="Paragraph"/>
        <w:rPr>
          <w:rStyle w:val="normaltextrun"/>
        </w:rPr>
      </w:pPr>
      <w:r>
        <w:rPr>
          <w:rStyle w:val="normaltextrun"/>
        </w:rPr>
        <w:t>T</w:t>
      </w:r>
      <w:r w:rsidRPr="008223EB">
        <w:rPr>
          <w:rStyle w:val="normaltextrun"/>
        </w:rPr>
        <w:t>he ACCC</w:t>
      </w:r>
      <w:r>
        <w:rPr>
          <w:rStyle w:val="normaltextrun"/>
        </w:rPr>
        <w:t xml:space="preserve"> </w:t>
      </w:r>
      <w:r w:rsidRPr="008223EB">
        <w:rPr>
          <w:rStyle w:val="normaltextrun"/>
        </w:rPr>
        <w:t xml:space="preserve">identified </w:t>
      </w:r>
      <w:r>
        <w:rPr>
          <w:rStyle w:val="normaltextrun"/>
        </w:rPr>
        <w:t>that ‘</w:t>
      </w:r>
      <w:r w:rsidRPr="008223EB">
        <w:rPr>
          <w:rStyle w:val="normaltextrun"/>
        </w:rPr>
        <w:t>temporary roaming</w:t>
      </w:r>
      <w:r>
        <w:rPr>
          <w:rStyle w:val="normaltextrun"/>
        </w:rPr>
        <w:t>’</w:t>
      </w:r>
      <w:r w:rsidRPr="008223EB">
        <w:rPr>
          <w:rStyle w:val="normaltextrun"/>
        </w:rPr>
        <w:t xml:space="preserve"> in emergencies is </w:t>
      </w:r>
      <w:r w:rsidR="00830D6D">
        <w:rPr>
          <w:rStyle w:val="normaltextrun"/>
        </w:rPr>
        <w:t>technically feasible</w:t>
      </w:r>
      <w:r>
        <w:rPr>
          <w:rStyle w:val="normaltextrun"/>
        </w:rPr>
        <w:t xml:space="preserve">, and the </w:t>
      </w:r>
      <w:r w:rsidR="00912918">
        <w:rPr>
          <w:rStyle w:val="normaltextrun"/>
        </w:rPr>
        <w:t xml:space="preserve">Committee recommended that government establish a working group involving relevant </w:t>
      </w:r>
      <w:r>
        <w:rPr>
          <w:rStyle w:val="normaltextrun"/>
        </w:rPr>
        <w:t xml:space="preserve">stakeholders to develop protocols for temporary roaming arrangements in declared disasters and emergencies. </w:t>
      </w:r>
      <w:r w:rsidR="00954FA0">
        <w:rPr>
          <w:rStyle w:val="normaltextrun"/>
        </w:rPr>
        <w:t xml:space="preserve">We also note the government’s </w:t>
      </w:r>
      <w:hyperlink r:id="rId42" w:history="1">
        <w:r w:rsidR="00954FA0" w:rsidRPr="00453D80">
          <w:rPr>
            <w:rStyle w:val="Hyperlink"/>
          </w:rPr>
          <w:t>Mobile Network Hardening Program</w:t>
        </w:r>
      </w:hyperlink>
      <w:r w:rsidR="00453D80">
        <w:rPr>
          <w:rStyle w:val="normaltextrun"/>
        </w:rPr>
        <w:t>, further rounds of which are expected in 2024.</w:t>
      </w:r>
    </w:p>
    <w:p w14:paraId="1E2BB0A3" w14:textId="2BDD6983" w:rsidR="00A368F6" w:rsidRDefault="00A368F6" w:rsidP="00D35805">
      <w:pPr>
        <w:pStyle w:val="Paragraph"/>
        <w:rPr>
          <w:rStyle w:val="normaltextrun"/>
        </w:rPr>
      </w:pPr>
      <w:r>
        <w:rPr>
          <w:rStyle w:val="normaltextrun"/>
        </w:rPr>
        <w:t xml:space="preserve">As part of stage 2, we will ask stakeholders to </w:t>
      </w:r>
      <w:r w:rsidR="00D2337A">
        <w:rPr>
          <w:rStyle w:val="normaltextrun"/>
        </w:rPr>
        <w:t xml:space="preserve">provide us </w:t>
      </w:r>
      <w:r w:rsidR="00277EF1">
        <w:rPr>
          <w:rStyle w:val="normaltextrun"/>
        </w:rPr>
        <w:t xml:space="preserve">with </w:t>
      </w:r>
      <w:r w:rsidR="00F07D75">
        <w:rPr>
          <w:rStyle w:val="normaltextrun"/>
        </w:rPr>
        <w:t xml:space="preserve">any views or feedback on </w:t>
      </w:r>
      <w:r w:rsidR="00892519">
        <w:rPr>
          <w:rStyle w:val="normaltextrun"/>
        </w:rPr>
        <w:t xml:space="preserve">where issues around resilience and temporary disaster responses may be relevant to </w:t>
      </w:r>
      <w:r w:rsidR="00F07D75">
        <w:rPr>
          <w:rStyle w:val="normaltextrun"/>
        </w:rPr>
        <w:t>the ESL process</w:t>
      </w:r>
      <w:r w:rsidR="00F50341">
        <w:rPr>
          <w:rStyle w:val="normaltextrun"/>
        </w:rPr>
        <w:t xml:space="preserve"> to inform our advice to the minister</w:t>
      </w:r>
      <w:r w:rsidR="007E1AB7">
        <w:rPr>
          <w:rStyle w:val="normaltextrun"/>
        </w:rPr>
        <w:t xml:space="preserve">. We encourage stakeholders to </w:t>
      </w:r>
      <w:r w:rsidR="00261336">
        <w:rPr>
          <w:rStyle w:val="normaltextrun"/>
        </w:rPr>
        <w:t xml:space="preserve">identify why </w:t>
      </w:r>
      <w:r w:rsidR="004F2050">
        <w:rPr>
          <w:rStyle w:val="normaltextrun"/>
        </w:rPr>
        <w:t xml:space="preserve">the </w:t>
      </w:r>
      <w:r w:rsidR="00261336">
        <w:rPr>
          <w:rStyle w:val="normaltextrun"/>
        </w:rPr>
        <w:t xml:space="preserve">ESL </w:t>
      </w:r>
      <w:r w:rsidR="004F2050">
        <w:rPr>
          <w:rStyle w:val="normaltextrun"/>
        </w:rPr>
        <w:t xml:space="preserve">process may be </w:t>
      </w:r>
      <w:r w:rsidR="00261336">
        <w:rPr>
          <w:rStyle w:val="normaltextrun"/>
        </w:rPr>
        <w:t>the appropriate process to address th</w:t>
      </w:r>
      <w:r w:rsidR="0088240F">
        <w:rPr>
          <w:rStyle w:val="normaltextrun"/>
        </w:rPr>
        <w:t>ese</w:t>
      </w:r>
      <w:r w:rsidR="00261336">
        <w:rPr>
          <w:rStyle w:val="normaltextrun"/>
        </w:rPr>
        <w:t xml:space="preserve"> issue</w:t>
      </w:r>
      <w:r w:rsidR="0088240F">
        <w:rPr>
          <w:rStyle w:val="normaltextrun"/>
        </w:rPr>
        <w:t>s</w:t>
      </w:r>
      <w:r w:rsidR="00261336">
        <w:rPr>
          <w:rStyle w:val="normaltextrun"/>
        </w:rPr>
        <w:t xml:space="preserve">, </w:t>
      </w:r>
      <w:r w:rsidR="001568A3">
        <w:rPr>
          <w:rStyle w:val="normaltextrun"/>
        </w:rPr>
        <w:t xml:space="preserve">noting </w:t>
      </w:r>
      <w:r w:rsidR="00261336">
        <w:rPr>
          <w:rStyle w:val="normaltextrun"/>
        </w:rPr>
        <w:t xml:space="preserve">the other processes or pathways </w:t>
      </w:r>
      <w:r w:rsidR="00B4151F">
        <w:rPr>
          <w:rStyle w:val="normaltextrun"/>
        </w:rPr>
        <w:t>identified</w:t>
      </w:r>
      <w:r w:rsidR="00261336">
        <w:rPr>
          <w:rStyle w:val="normaltextrun"/>
        </w:rPr>
        <w:t xml:space="preserve"> </w:t>
      </w:r>
      <w:r w:rsidR="00B644D6">
        <w:rPr>
          <w:rStyle w:val="normaltextrun"/>
        </w:rPr>
        <w:t xml:space="preserve">by the </w:t>
      </w:r>
      <w:r w:rsidR="00B4151F">
        <w:rPr>
          <w:rStyle w:val="normaltextrun"/>
        </w:rPr>
        <w:t>House of Representatives</w:t>
      </w:r>
      <w:r w:rsidR="00B644D6">
        <w:rPr>
          <w:rStyle w:val="normaltextrun"/>
        </w:rPr>
        <w:t xml:space="preserve"> </w:t>
      </w:r>
      <w:r w:rsidR="00E35AD1">
        <w:rPr>
          <w:rStyle w:val="normaltextrun"/>
        </w:rPr>
        <w:t xml:space="preserve">Standing </w:t>
      </w:r>
      <w:r w:rsidR="00B644D6">
        <w:rPr>
          <w:rStyle w:val="normaltextrun"/>
        </w:rPr>
        <w:t xml:space="preserve">Committee </w:t>
      </w:r>
      <w:r w:rsidR="00DE50EB">
        <w:rPr>
          <w:rStyle w:val="normaltextrun"/>
        </w:rPr>
        <w:t>or the ACCC</w:t>
      </w:r>
      <w:r w:rsidR="00206F1F">
        <w:rPr>
          <w:rStyle w:val="normaltextrun"/>
        </w:rPr>
        <w:t xml:space="preserve">. </w:t>
      </w:r>
      <w:r w:rsidR="00D54156">
        <w:rPr>
          <w:rStyle w:val="normaltextrun"/>
        </w:rPr>
        <w:t xml:space="preserve">As we note below in the ‘Alternative demand’ </w:t>
      </w:r>
      <w:r w:rsidR="00256D8C">
        <w:rPr>
          <w:rStyle w:val="normaltextrun"/>
        </w:rPr>
        <w:t xml:space="preserve">part </w:t>
      </w:r>
      <w:r w:rsidR="00256D8C">
        <w:rPr>
          <w:rStyle w:val="normaltextrun"/>
        </w:rPr>
        <w:lastRenderedPageBreak/>
        <w:t xml:space="preserve">of our response to submissions, there are </w:t>
      </w:r>
      <w:r w:rsidR="003F793D">
        <w:rPr>
          <w:rStyle w:val="normaltextrun"/>
        </w:rPr>
        <w:t xml:space="preserve">policy outcomes that are </w:t>
      </w:r>
      <w:r w:rsidR="00256D8C">
        <w:rPr>
          <w:rStyle w:val="normaltextrun"/>
        </w:rPr>
        <w:t xml:space="preserve">likely best considered from a whole-of-network perspective, rather than as a condition specified </w:t>
      </w:r>
      <w:r w:rsidR="00CF5EB8">
        <w:rPr>
          <w:rStyle w:val="normaltextrun"/>
        </w:rPr>
        <w:t>in one or more ESL (and ESLs may not represent the totality of a</w:t>
      </w:r>
      <w:r w:rsidR="00827755">
        <w:rPr>
          <w:rStyle w:val="normaltextrun"/>
        </w:rPr>
        <w:t>n</w:t>
      </w:r>
      <w:r w:rsidR="00CF5EB8">
        <w:rPr>
          <w:rStyle w:val="normaltextrun"/>
        </w:rPr>
        <w:t xml:space="preserve"> incumbent’s spectrum holdings</w:t>
      </w:r>
      <w:r w:rsidR="00256D8C">
        <w:rPr>
          <w:rStyle w:val="normaltextrun"/>
        </w:rPr>
        <w:t xml:space="preserve">). </w:t>
      </w:r>
    </w:p>
    <w:p w14:paraId="0E868C59" w14:textId="77777777" w:rsidR="00247DF7" w:rsidRDefault="00247DF7" w:rsidP="00247DF7">
      <w:pPr>
        <w:pStyle w:val="Heading2"/>
      </w:pPr>
      <w:bookmarkStart w:id="12" w:name="_Toc153795064"/>
      <w:r>
        <w:t>Stage 3: preliminary views (Q4 2024)</w:t>
      </w:r>
      <w:bookmarkEnd w:id="12"/>
    </w:p>
    <w:p w14:paraId="012AFC8F" w14:textId="2B622A38" w:rsidR="00247DF7" w:rsidRDefault="00247DF7" w:rsidP="00247DF7">
      <w:pPr>
        <w:pStyle w:val="Paragraph"/>
      </w:pPr>
      <w:r>
        <w:t xml:space="preserve">In </w:t>
      </w:r>
      <w:r w:rsidR="00D35805">
        <w:t>s</w:t>
      </w:r>
      <w:r>
        <w:t xml:space="preserve">tage 3, we will provide and consult on a preliminary view about the proposed future arrangements </w:t>
      </w:r>
      <w:r w:rsidRPr="00A724EE">
        <w:t>for spectrum subject to ESLs</w:t>
      </w:r>
      <w:r>
        <w:t>.</w:t>
      </w:r>
      <w:r w:rsidR="005B34A3">
        <w:t xml:space="preserve"> </w:t>
      </w:r>
      <w:r>
        <w:t xml:space="preserve">It is our role to consider potential options for the ESLs and underlying spectrum, consistent with our responsibilities and objectives under the Act and the ACMA Act. Therefore, in considering whether a licence should be renewed, and the relevant terms, </w:t>
      </w:r>
      <w:proofErr w:type="gramStart"/>
      <w:r>
        <w:t>conditions</w:t>
      </w:r>
      <w:proofErr w:type="gramEnd"/>
      <w:r>
        <w:t xml:space="preserve"> and pricing of any renewed licences, we </w:t>
      </w:r>
      <w:r w:rsidR="00ED6172">
        <w:t>will</w:t>
      </w:r>
      <w:r>
        <w:t xml:space="preserve"> evaluate and identify the appropriate arrangements for the spectrum more broadly.</w:t>
      </w:r>
    </w:p>
    <w:p w14:paraId="6927AD59" w14:textId="466C013F" w:rsidR="00247DF7" w:rsidRDefault="00247DF7" w:rsidP="00247DF7">
      <w:pPr>
        <w:pStyle w:val="Paragraph"/>
      </w:pPr>
      <w:r>
        <w:t xml:space="preserve">In developing these preliminary views, we will consider information provided by incumbent licensees and other stakeholders in stage 2 and other sources. </w:t>
      </w:r>
    </w:p>
    <w:p w14:paraId="32322067" w14:textId="77777777" w:rsidR="00247DF7" w:rsidRDefault="00247DF7" w:rsidP="00247DF7">
      <w:pPr>
        <w:pStyle w:val="Paragraphbeforelist"/>
      </w:pPr>
      <w:r>
        <w:t>We will examine:</w:t>
      </w:r>
      <w:r w:rsidRPr="002B6EAF">
        <w:t xml:space="preserve"> </w:t>
      </w:r>
    </w:p>
    <w:p w14:paraId="4811D207" w14:textId="1C71AD2D" w:rsidR="00247DF7" w:rsidRDefault="00247DF7" w:rsidP="00247DF7">
      <w:pPr>
        <w:pStyle w:val="Bulletlevel1"/>
      </w:pPr>
      <w:r>
        <w:t>use, u</w:t>
      </w:r>
      <w:r w:rsidRPr="0027503F">
        <w:t>se</w:t>
      </w:r>
      <w:r>
        <w:t xml:space="preserve"> </w:t>
      </w:r>
      <w:r w:rsidRPr="0027503F">
        <w:t>cases and users for the spectrum</w:t>
      </w:r>
      <w:r>
        <w:t xml:space="preserve"> – whether the existing arrangements continue to best facilitate the long-term public interest or relevant objectives, or whether alternative or complementary arrangements may facilitate the long-term public </w:t>
      </w:r>
      <w:proofErr w:type="gramStart"/>
      <w:r>
        <w:t>interest</w:t>
      </w:r>
      <w:proofErr w:type="gramEnd"/>
    </w:p>
    <w:p w14:paraId="6EB342BD" w14:textId="2D17F991" w:rsidR="00247DF7" w:rsidRDefault="00247DF7" w:rsidP="00247DF7">
      <w:pPr>
        <w:pStyle w:val="Bulletlevel1"/>
      </w:pPr>
      <w:r>
        <w:t>l</w:t>
      </w:r>
      <w:r w:rsidRPr="0027503F">
        <w:t>icensing arrangements</w:t>
      </w:r>
      <w:r>
        <w:t xml:space="preserve"> – identifying appropriate licence arrangements (that is, spectrum, apparatus or class licensing or a mixture) to support the identified spectrum use, uses cases and users, or any other relevant </w:t>
      </w:r>
      <w:proofErr w:type="gramStart"/>
      <w:r>
        <w:t>objectives</w:t>
      </w:r>
      <w:proofErr w:type="gramEnd"/>
      <w:r>
        <w:t xml:space="preserve"> </w:t>
      </w:r>
    </w:p>
    <w:p w14:paraId="6E143196" w14:textId="2DADDC44" w:rsidR="00247DF7" w:rsidRDefault="00247DF7" w:rsidP="00247DF7">
      <w:pPr>
        <w:pStyle w:val="Bulletlevel1"/>
      </w:pPr>
      <w:r>
        <w:t>l</w:t>
      </w:r>
      <w:r w:rsidRPr="0027503F">
        <w:t>icence conditions and technical framework</w:t>
      </w:r>
      <w:r>
        <w:t xml:space="preserve"> – identifying appropriate licence conditions and technical frameworks to facilitate efficient use and co-existence with users in neighbouring bands, and to support relevant objectives, including the public </w:t>
      </w:r>
      <w:proofErr w:type="gramStart"/>
      <w:r>
        <w:t>interest</w:t>
      </w:r>
      <w:proofErr w:type="gramEnd"/>
    </w:p>
    <w:p w14:paraId="17BF3B1C" w14:textId="2644B88D" w:rsidR="00247DF7" w:rsidRDefault="00247DF7" w:rsidP="00247DF7">
      <w:pPr>
        <w:pStyle w:val="Bulletlevel1"/>
      </w:pPr>
      <w:r>
        <w:t>s</w:t>
      </w:r>
      <w:r w:rsidRPr="0027503F">
        <w:t>pectrum value and pricing</w:t>
      </w:r>
      <w:r>
        <w:t xml:space="preserve"> – identifying the value of the spectrum and payment terms, </w:t>
      </w:r>
      <w:r w:rsidR="00DD685D">
        <w:t xml:space="preserve">if </w:t>
      </w:r>
      <w:r>
        <w:t xml:space="preserve">licences </w:t>
      </w:r>
      <w:r w:rsidR="00DD685D">
        <w:t xml:space="preserve">are </w:t>
      </w:r>
      <w:proofErr w:type="gramStart"/>
      <w:r>
        <w:t>renewed</w:t>
      </w:r>
      <w:proofErr w:type="gramEnd"/>
    </w:p>
    <w:p w14:paraId="1E4B5F24" w14:textId="77777777" w:rsidR="00247DF7" w:rsidRDefault="00247DF7" w:rsidP="00247DF7">
      <w:pPr>
        <w:pStyle w:val="Bulletlevel1last"/>
      </w:pPr>
      <w:r>
        <w:t>a</w:t>
      </w:r>
      <w:r w:rsidRPr="0027503F">
        <w:t>llocation options</w:t>
      </w:r>
      <w:r>
        <w:t xml:space="preserve"> – whether renewal or re-allocation facilitates the long-term public interest, or whether, </w:t>
      </w:r>
      <w:proofErr w:type="gramStart"/>
      <w:r>
        <w:t>as a result of</w:t>
      </w:r>
      <w:proofErr w:type="gramEnd"/>
      <w:r>
        <w:t xml:space="preserve"> any changes to frameworks, a new allocation is required and an indication of the likely form of that allocation. </w:t>
      </w:r>
    </w:p>
    <w:p w14:paraId="5A74923F" w14:textId="3707CD01" w:rsidR="009519C9" w:rsidRDefault="005D7388" w:rsidP="009519C9">
      <w:pPr>
        <w:pStyle w:val="Heading3"/>
      </w:pPr>
      <w:r>
        <w:t xml:space="preserve">Preliminary </w:t>
      </w:r>
      <w:r w:rsidR="009519C9">
        <w:t xml:space="preserve">views will not relate to specific </w:t>
      </w:r>
      <w:proofErr w:type="gramStart"/>
      <w:r w:rsidR="009519C9">
        <w:t>licences</w:t>
      </w:r>
      <w:proofErr w:type="gramEnd"/>
    </w:p>
    <w:p w14:paraId="451B5E64" w14:textId="1DE0EEE9" w:rsidR="009519C9" w:rsidRDefault="009519C9" w:rsidP="009519C9">
      <w:r>
        <w:t xml:space="preserve">A </w:t>
      </w:r>
      <w:r w:rsidR="005D7388">
        <w:t xml:space="preserve">preliminary </w:t>
      </w:r>
      <w:r>
        <w:t>view</w:t>
      </w:r>
      <w:r w:rsidR="00424D6C">
        <w:t xml:space="preserve"> will focus on </w:t>
      </w:r>
      <w:r>
        <w:t>the arrangements in one or more spectrum band</w:t>
      </w:r>
      <w:r w:rsidR="00DD685D">
        <w:t>s</w:t>
      </w:r>
      <w:r>
        <w:t>; it will not apply to specific licences or specific licensees. A pre</w:t>
      </w:r>
      <w:r w:rsidR="005D7388">
        <w:t>liminary</w:t>
      </w:r>
      <w:r>
        <w:t xml:space="preserve"> view is not a decision, or an indication of a decision to be made in response to a renewal application</w:t>
      </w:r>
      <w:r w:rsidR="0023230B">
        <w:t xml:space="preserve">. </w:t>
      </w:r>
    </w:p>
    <w:p w14:paraId="4601048F" w14:textId="77777777" w:rsidR="009519C9" w:rsidRDefault="009519C9" w:rsidP="009519C9">
      <w:pPr>
        <w:pStyle w:val="Paragraph"/>
      </w:pPr>
      <w:r>
        <w:t xml:space="preserve">Consistent with our established practices, we intend to consult on these preliminary views and consider submissions to that process. This will enable us to form preferred views that would be communicated in stage 4. </w:t>
      </w:r>
    </w:p>
    <w:p w14:paraId="70D479E6" w14:textId="77777777" w:rsidR="00247DF7" w:rsidRDefault="00247DF7" w:rsidP="00247DF7">
      <w:pPr>
        <w:pStyle w:val="Heading2"/>
      </w:pPr>
      <w:bookmarkStart w:id="13" w:name="_Toc153795065"/>
      <w:r>
        <w:t>Stage 4: preferred views, renewal application and decision-making (commencing 2025)</w:t>
      </w:r>
      <w:bookmarkEnd w:id="13"/>
    </w:p>
    <w:p w14:paraId="22556F3B" w14:textId="2FAB7880" w:rsidR="00247DF7" w:rsidRDefault="00247DF7" w:rsidP="00247DF7">
      <w:pPr>
        <w:pStyle w:val="Paragraph"/>
      </w:pPr>
      <w:r>
        <w:t xml:space="preserve">During 2025, we will release a response to submissions </w:t>
      </w:r>
      <w:r w:rsidR="005A4F35">
        <w:t xml:space="preserve">received for </w:t>
      </w:r>
      <w:r>
        <w:t xml:space="preserve">the preliminary </w:t>
      </w:r>
      <w:proofErr w:type="gramStart"/>
      <w:r>
        <w:t>views</w:t>
      </w:r>
      <w:proofErr w:type="gramEnd"/>
      <w:r>
        <w:t xml:space="preserve"> consultation in stage 3. This </w:t>
      </w:r>
      <w:r w:rsidR="005A4F35">
        <w:t xml:space="preserve">will </w:t>
      </w:r>
      <w:r>
        <w:t xml:space="preserve">outline our preferred views and policy on planning, </w:t>
      </w:r>
      <w:proofErr w:type="gramStart"/>
      <w:r>
        <w:t>licensing</w:t>
      </w:r>
      <w:proofErr w:type="gramEnd"/>
      <w:r>
        <w:t xml:space="preserve"> and pricing relating to the relevant spectrum.</w:t>
      </w:r>
      <w:r w:rsidR="0040043A">
        <w:t xml:space="preserve"> </w:t>
      </w:r>
      <w:r w:rsidR="0040043A" w:rsidRPr="0040043A">
        <w:t xml:space="preserve">These views are intended to inform stakeholders of the matters the ACMA will consider relevant in </w:t>
      </w:r>
      <w:proofErr w:type="gramStart"/>
      <w:r w:rsidR="0040043A" w:rsidRPr="0040043A">
        <w:t>making a decision</w:t>
      </w:r>
      <w:proofErr w:type="gramEnd"/>
      <w:r w:rsidR="0040043A" w:rsidRPr="0040043A">
        <w:t xml:space="preserve">. In </w:t>
      </w:r>
      <w:proofErr w:type="gramStart"/>
      <w:r w:rsidR="0040043A" w:rsidRPr="0040043A">
        <w:t>making a decision</w:t>
      </w:r>
      <w:proofErr w:type="gramEnd"/>
      <w:r w:rsidR="0040043A" w:rsidRPr="0040043A">
        <w:t>, however, the ACMA will have regard to its preferred view and an application for renewal</w:t>
      </w:r>
      <w:r w:rsidR="00A874B3">
        <w:t>.</w:t>
      </w:r>
      <w:r w:rsidR="006138C5">
        <w:t xml:space="preserve"> </w:t>
      </w:r>
    </w:p>
    <w:p w14:paraId="4298FBE1" w14:textId="35909B7F" w:rsidR="00247DF7" w:rsidRPr="00D9088A" w:rsidRDefault="00247DF7" w:rsidP="00247DF7">
      <w:pPr>
        <w:pStyle w:val="Paragraphbeforelist"/>
      </w:pPr>
      <w:r w:rsidRPr="00D9088A">
        <w:lastRenderedPageBreak/>
        <w:t>Following this, w</w:t>
      </w:r>
      <w:r>
        <w:t xml:space="preserve">e </w:t>
      </w:r>
      <w:r w:rsidR="00BD439C">
        <w:t>will</w:t>
      </w:r>
      <w:r>
        <w:t>:</w:t>
      </w:r>
    </w:p>
    <w:p w14:paraId="0203D197" w14:textId="77777777" w:rsidR="00247DF7" w:rsidRDefault="00247DF7" w:rsidP="00247DF7">
      <w:pPr>
        <w:pStyle w:val="Bulletlevel1"/>
      </w:pPr>
      <w:r>
        <w:t xml:space="preserve">consider if any changes are required to the established </w:t>
      </w:r>
      <w:proofErr w:type="gramStart"/>
      <w:r>
        <w:t>policy</w:t>
      </w:r>
      <w:proofErr w:type="gramEnd"/>
    </w:p>
    <w:p w14:paraId="678C4214" w14:textId="59314B43" w:rsidR="00247DF7" w:rsidRDefault="00247DF7" w:rsidP="00247DF7">
      <w:pPr>
        <w:pStyle w:val="Bulletlevel1"/>
      </w:pPr>
      <w:r>
        <w:t>prepare draft sample licences and draft spectrum access charge determinations so that the general terms of renewal may be known (</w:t>
      </w:r>
      <w:r w:rsidR="005A4F35">
        <w:t xml:space="preserve">if </w:t>
      </w:r>
      <w:r>
        <w:t xml:space="preserve">the licence </w:t>
      </w:r>
      <w:r w:rsidR="005A4F35">
        <w:t xml:space="preserve">is </w:t>
      </w:r>
      <w:r>
        <w:t>renewed)</w:t>
      </w:r>
    </w:p>
    <w:p w14:paraId="0ACFEA43" w14:textId="77777777" w:rsidR="00247DF7" w:rsidRDefault="00247DF7" w:rsidP="00247DF7">
      <w:pPr>
        <w:pStyle w:val="Bulletlevel1"/>
      </w:pPr>
      <w:r>
        <w:t>prepare draft allocation instruments (to facilitate potential re-allocation)</w:t>
      </w:r>
    </w:p>
    <w:p w14:paraId="655AD385" w14:textId="77777777" w:rsidR="00247DF7" w:rsidRDefault="00247DF7" w:rsidP="00247DF7">
      <w:pPr>
        <w:pStyle w:val="Bulletlevel1"/>
      </w:pPr>
      <w:r>
        <w:t xml:space="preserve">finalise any changes to the technical framework for the relevant </w:t>
      </w:r>
      <w:proofErr w:type="gramStart"/>
      <w:r>
        <w:t>band</w:t>
      </w:r>
      <w:proofErr w:type="gramEnd"/>
    </w:p>
    <w:p w14:paraId="68718495" w14:textId="77777777" w:rsidR="00247DF7" w:rsidRDefault="00247DF7" w:rsidP="00247DF7">
      <w:pPr>
        <w:pStyle w:val="Bulletlevel1last"/>
      </w:pPr>
      <w:r>
        <w:t>publish application forms and specify information and documents that must accompany a renewal application.</w:t>
      </w:r>
    </w:p>
    <w:p w14:paraId="65F83E37" w14:textId="4B29B1A8" w:rsidR="00247DF7" w:rsidRDefault="00247DF7" w:rsidP="00247DF7">
      <w:pPr>
        <w:pStyle w:val="Paragraph"/>
      </w:pPr>
      <w:r>
        <w:t xml:space="preserve">This will facilitate a licensee being able to apply for the renewal of their licence from the first day of the relevant renewal application </w:t>
      </w:r>
      <w:proofErr w:type="gramStart"/>
      <w:r>
        <w:t xml:space="preserve">period, </w:t>
      </w:r>
      <w:r w:rsidR="005A4F35">
        <w:t>and</w:t>
      </w:r>
      <w:proofErr w:type="gramEnd"/>
      <w:r w:rsidR="005A4F35">
        <w:t xml:space="preserve"> </w:t>
      </w:r>
      <w:r>
        <w:t>identify the terms and conditions of any potential renewal. Upon receiving an application, we would then consider whether to renew that licence, taking into consideration the application, our preferred views</w:t>
      </w:r>
      <w:r w:rsidR="002140E6">
        <w:t>,</w:t>
      </w:r>
      <w:r>
        <w:t xml:space="preserve"> and any relevant objectives. </w:t>
      </w:r>
    </w:p>
    <w:p w14:paraId="7F77A802" w14:textId="3797E98C" w:rsidR="00247DF7" w:rsidRDefault="00247DF7" w:rsidP="00247DF7">
      <w:pPr>
        <w:pStyle w:val="Paragraph"/>
      </w:pPr>
      <w:r>
        <w:t xml:space="preserve">It may be necessary for the ACMA to prepare for all potential outcomes well in advance to expeditiously facilitate decisions being made and given effect. That is, we may need to prepare for both renewal and re-allocation of spectrum licences before a renewal application is received. </w:t>
      </w:r>
    </w:p>
    <w:p w14:paraId="2C754160" w14:textId="77777777" w:rsidR="00247DF7" w:rsidRDefault="00247DF7" w:rsidP="00247DF7">
      <w:pPr>
        <w:pStyle w:val="Paragraph"/>
      </w:pPr>
      <w:r>
        <w:t xml:space="preserve">In circumstances where we identify that partial or full re-allocation of spectrum within a band is a preferred outcome, incumbent licensees would still be able to apply to have their licences renewed, and we would then consider that application on its merits. Even in circumstances where we indicate that renewal may be beneficial, an application would still need to be considered on its own merits. </w:t>
      </w:r>
    </w:p>
    <w:p w14:paraId="08854E52" w14:textId="77777777" w:rsidR="009519C9" w:rsidRDefault="009519C9" w:rsidP="009519C9">
      <w:pPr>
        <w:pStyle w:val="Heading3"/>
      </w:pPr>
      <w:r>
        <w:t xml:space="preserve">Preferred views will be point-in-time </w:t>
      </w:r>
      <w:proofErr w:type="gramStart"/>
      <w:r>
        <w:t>views</w:t>
      </w:r>
      <w:proofErr w:type="gramEnd"/>
      <w:r>
        <w:t xml:space="preserve"> </w:t>
      </w:r>
    </w:p>
    <w:p w14:paraId="7D1A5044" w14:textId="68CC3D67" w:rsidR="009519C9" w:rsidRDefault="009519C9" w:rsidP="009519C9">
      <w:r>
        <w:t>It is possible that the currency of these views will diminish over time, particularly in relation to bands covered by ESLs expiring in the later tranches, such as ESLs in the 2 GHz band</w:t>
      </w:r>
      <w:r w:rsidR="00C341BC">
        <w:t>,</w:t>
      </w:r>
      <w:r>
        <w:t xml:space="preserve"> which are due to expire in October 2032. To ensure that we give all licensees the same levels of confidence, we will update, and consult on, preferred views as necessary.</w:t>
      </w:r>
    </w:p>
    <w:p w14:paraId="37B495CA" w14:textId="77777777" w:rsidR="006F56A5" w:rsidRPr="006F56A5" w:rsidRDefault="006F56A5" w:rsidP="009519C9">
      <w:pPr>
        <w:pStyle w:val="Heading3"/>
      </w:pPr>
      <w:r w:rsidRPr="006F56A5">
        <w:t xml:space="preserve">Materials to assist incumbents applying for </w:t>
      </w:r>
      <w:proofErr w:type="gramStart"/>
      <w:r w:rsidRPr="006F56A5">
        <w:t>renewal</w:t>
      </w:r>
      <w:proofErr w:type="gramEnd"/>
    </w:p>
    <w:p w14:paraId="25E333A3" w14:textId="2DD3A644" w:rsidR="006F56A5" w:rsidRDefault="002633B5" w:rsidP="006F56A5">
      <w:pPr>
        <w:pStyle w:val="Paragraph"/>
      </w:pPr>
      <w:r>
        <w:t>In stage 4, w</w:t>
      </w:r>
      <w:r w:rsidR="006F56A5">
        <w:t>e will provide incumbents with the necessary materials to apply for renewal of their ESLs. This will include application forms provided for by paragraph 77A(4)(</w:t>
      </w:r>
      <w:r w:rsidR="000F22F7">
        <w:t>b</w:t>
      </w:r>
      <w:r w:rsidR="006F56A5">
        <w:t xml:space="preserve">) of the Act. </w:t>
      </w:r>
      <w:r w:rsidR="00F347BA">
        <w:t>If</w:t>
      </w:r>
      <w:r w:rsidR="006F56A5">
        <w:t xml:space="preserve"> an application must be accompanied by information and documents pursuant to paragraphs 77A(4)(c) and (d), that information and those documents will be specified in a legislative instrument</w:t>
      </w:r>
      <w:r w:rsidR="006F56A5">
        <w:rPr>
          <w:rStyle w:val="FootnoteReference"/>
        </w:rPr>
        <w:footnoteReference w:id="15"/>
      </w:r>
      <w:r w:rsidR="006F56A5">
        <w:t xml:space="preserve"> </w:t>
      </w:r>
      <w:r w:rsidR="004958BA">
        <w:t xml:space="preserve">that </w:t>
      </w:r>
      <w:r w:rsidR="006F56A5">
        <w:t xml:space="preserve">we will have consulted </w:t>
      </w:r>
      <w:r w:rsidR="004958BA">
        <w:t xml:space="preserve">on </w:t>
      </w:r>
      <w:r w:rsidR="00AF5730">
        <w:t xml:space="preserve">before </w:t>
      </w:r>
      <w:r w:rsidR="006F56A5">
        <w:t xml:space="preserve">making. </w:t>
      </w:r>
    </w:p>
    <w:p w14:paraId="1840B21C" w14:textId="62A3FD6D" w:rsidR="006F56A5" w:rsidRDefault="006F56A5" w:rsidP="006F56A5">
      <w:pPr>
        <w:pStyle w:val="Paragraph"/>
      </w:pPr>
      <w:r>
        <w:t>We do not intend to issue guidelines relating to the public interest criteria. Guidelines of various types have important roles in the radiocommunications regulatory framework.</w:t>
      </w:r>
      <w:r>
        <w:rPr>
          <w:rStyle w:val="FootnoteReference"/>
        </w:rPr>
        <w:footnoteReference w:id="16"/>
      </w:r>
      <w:r>
        <w:t xml:space="preserve"> </w:t>
      </w:r>
      <w:r w:rsidR="00CA7634">
        <w:t>For</w:t>
      </w:r>
      <w:r>
        <w:t xml:space="preserve"> </w:t>
      </w:r>
      <w:r w:rsidR="00624223">
        <w:t xml:space="preserve">allocating </w:t>
      </w:r>
      <w:r>
        <w:t xml:space="preserve">licences, we typically use </w:t>
      </w:r>
      <w:r w:rsidR="0036741D">
        <w:t xml:space="preserve">a range of instruments, including </w:t>
      </w:r>
      <w:r>
        <w:t>guidelines</w:t>
      </w:r>
      <w:r w:rsidR="0036741D">
        <w:t>,</w:t>
      </w:r>
      <w:r>
        <w:t xml:space="preserve"> where we have expressly decided to make spectrum available by issuing apparatus or spectrum licences. These allocation exercises – especially for spectrum licences – are often price-based, where the ACMA has formed the view that the most efficient allocation of the spectrum resource is likely to be achieved by the market. In such circumstances, the Act provides for making </w:t>
      </w:r>
      <w:r w:rsidR="00C90B60">
        <w:t xml:space="preserve">and establishing </w:t>
      </w:r>
      <w:r>
        <w:t xml:space="preserve">a variety of tools </w:t>
      </w:r>
      <w:r>
        <w:lastRenderedPageBreak/>
        <w:t xml:space="preserve">(procedures, marketing plans, applicant information packs and auction guides) to assist prospective licensees </w:t>
      </w:r>
      <w:r w:rsidR="00C513AC">
        <w:t xml:space="preserve">to </w:t>
      </w:r>
      <w:r>
        <w:t>participat</w:t>
      </w:r>
      <w:r w:rsidR="00C513AC">
        <w:t>e</w:t>
      </w:r>
      <w:r>
        <w:t xml:space="preserve"> in a competitive allocation process.</w:t>
      </w:r>
    </w:p>
    <w:p w14:paraId="04FD9100" w14:textId="1B0B04A4" w:rsidR="006F56A5" w:rsidRDefault="006F56A5" w:rsidP="006F56A5">
      <w:pPr>
        <w:pStyle w:val="Paragraph"/>
      </w:pPr>
      <w:r>
        <w:t xml:space="preserve">Although procedures used to allocate spectrum may be relevant to </w:t>
      </w:r>
      <w:r w:rsidR="000F22F7">
        <w:t xml:space="preserve">the </w:t>
      </w:r>
      <w:r>
        <w:t>issu</w:t>
      </w:r>
      <w:r w:rsidR="00906F94">
        <w:t>e</w:t>
      </w:r>
      <w:r>
        <w:t xml:space="preserve"> of further spectrum licences otherwise than by way of renewal,</w:t>
      </w:r>
      <w:r w:rsidR="00DB0F76">
        <w:rPr>
          <w:rStyle w:val="FootnoteReference"/>
        </w:rPr>
        <w:footnoteReference w:id="17"/>
      </w:r>
      <w:r>
        <w:t xml:space="preserve"> the process provided for by the Act </w:t>
      </w:r>
      <w:r w:rsidR="008E4411">
        <w:t xml:space="preserve">for </w:t>
      </w:r>
      <w:r>
        <w:t xml:space="preserve">ESLs is different from the processes for allocation exercises. </w:t>
      </w:r>
      <w:r w:rsidR="007620AB">
        <w:t>W</w:t>
      </w:r>
      <w:r>
        <w:t xml:space="preserve">e consider that the material to be made available to incumbents as contemplated by section 77A of the Act </w:t>
      </w:r>
      <w:r w:rsidR="00080D3C">
        <w:t xml:space="preserve">– and by the policy and decision-making framework – </w:t>
      </w:r>
      <w:r>
        <w:t>is sufficient to facilitate incumbents applying for renewal.</w:t>
      </w:r>
    </w:p>
    <w:p w14:paraId="79E7844E" w14:textId="6DF5FB4C" w:rsidR="006F56A5" w:rsidRPr="002F3E2B" w:rsidRDefault="006F56A5" w:rsidP="00E408B0">
      <w:pPr>
        <w:pStyle w:val="Heading4"/>
      </w:pPr>
      <w:bookmarkStart w:id="14" w:name="_Toc149065093"/>
      <w:r>
        <w:t>Transitional arrangements for non-renewed or partially renewed ESLs</w:t>
      </w:r>
      <w:bookmarkEnd w:id="14"/>
    </w:p>
    <w:p w14:paraId="41CBAEE1" w14:textId="33D547B6" w:rsidR="006F56A5" w:rsidRDefault="006F56A5" w:rsidP="006F56A5">
      <w:pPr>
        <w:pStyle w:val="Paragraph"/>
      </w:pPr>
      <w:r>
        <w:t xml:space="preserve">Many stakeholder views about the structure and timing of the ESL process noted that early certainty on outcomes would support investment planning and other strategic decisions. </w:t>
      </w:r>
      <w:r w:rsidR="000168DD">
        <w:t xml:space="preserve">Some </w:t>
      </w:r>
      <w:r>
        <w:t xml:space="preserve">stakeholders indicated that potential outcomes that might result in them having less </w:t>
      </w:r>
      <w:proofErr w:type="gramStart"/>
      <w:r>
        <w:t>spectrum, or</w:t>
      </w:r>
      <w:proofErr w:type="gramEnd"/>
      <w:r>
        <w:t xml:space="preserve"> having to participate in an allocation exercise in order to </w:t>
      </w:r>
      <w:r w:rsidR="00451853">
        <w:t xml:space="preserve">be </w:t>
      </w:r>
      <w:r>
        <w:t>rea</w:t>
      </w:r>
      <w:r w:rsidR="00451853">
        <w:t>llocated</w:t>
      </w:r>
      <w:r>
        <w:t xml:space="preserve"> </w:t>
      </w:r>
      <w:r w:rsidR="00451853">
        <w:t>licences</w:t>
      </w:r>
      <w:r>
        <w:t xml:space="preserve">, could prompt significant transition exercises that would ideally be progressed </w:t>
      </w:r>
      <w:r w:rsidR="003962FD">
        <w:t xml:space="preserve">before </w:t>
      </w:r>
      <w:r>
        <w:t xml:space="preserve">decisions </w:t>
      </w:r>
      <w:r w:rsidR="005E77C5">
        <w:t>are</w:t>
      </w:r>
      <w:r>
        <w:t xml:space="preserve"> made by the ACMA</w:t>
      </w:r>
      <w:r w:rsidR="00C04DEC">
        <w:t xml:space="preserve"> on ESLs</w:t>
      </w:r>
      <w:r>
        <w:t xml:space="preserve">. </w:t>
      </w:r>
    </w:p>
    <w:p w14:paraId="43DD6E2C" w14:textId="048282BC" w:rsidR="00CE4C9B" w:rsidRDefault="006F56A5" w:rsidP="006F56A5">
      <w:pPr>
        <w:pStyle w:val="Paragraph"/>
      </w:pPr>
      <w:r>
        <w:t>We acknowledge the important role that access</w:t>
      </w:r>
      <w:r w:rsidDel="00C04DEC">
        <w:t xml:space="preserve"> </w:t>
      </w:r>
      <w:r>
        <w:t xml:space="preserve">to spectrum plays for stakeholders, and that stakeholders make forward-looking business and strategic decisions based on spectrum holdings. </w:t>
      </w:r>
      <w:r w:rsidR="00E40242">
        <w:t xml:space="preserve">If </w:t>
      </w:r>
      <w:r>
        <w:t xml:space="preserve">an ESL </w:t>
      </w:r>
      <w:r w:rsidR="00E40242">
        <w:t>is</w:t>
      </w:r>
      <w:r>
        <w:t xml:space="preserve"> partially renewed or not renewed, access to spectrum </w:t>
      </w:r>
      <w:r w:rsidR="00451853">
        <w:t xml:space="preserve">no longer </w:t>
      </w:r>
      <w:r>
        <w:t xml:space="preserve">covered by that </w:t>
      </w:r>
      <w:r w:rsidR="00451853">
        <w:t xml:space="preserve">ESL </w:t>
      </w:r>
      <w:r>
        <w:t>would not necessarily cease at the expiration of the ESL.</w:t>
      </w:r>
      <w:r>
        <w:rPr>
          <w:rStyle w:val="FootnoteReference"/>
        </w:rPr>
        <w:footnoteReference w:id="18"/>
      </w:r>
      <w:r>
        <w:t xml:space="preserve"> A licensee whose ESL is partially renewed, or whose application for renewal is refused, may need time and resources to migrate their service to alternative spectrum, or adjust their operations. In those circumstances</w:t>
      </w:r>
      <w:r w:rsidR="002A75DD">
        <w:t>,</w:t>
      </w:r>
      <w:r>
        <w:t xml:space="preserve"> we </w:t>
      </w:r>
      <w:r w:rsidR="000F22F7">
        <w:t xml:space="preserve">may </w:t>
      </w:r>
      <w:r>
        <w:t>consider implementing transitional licensing and other arrangement</w:t>
      </w:r>
      <w:r w:rsidR="008F64E0">
        <w:t>s</w:t>
      </w:r>
      <w:r>
        <w:t xml:space="preserve"> to facilitate those activities.</w:t>
      </w:r>
    </w:p>
    <w:p w14:paraId="765F318A" w14:textId="5F8530C0" w:rsidR="00CE4C9B" w:rsidRDefault="00CE4C9B" w:rsidP="00CE4C9B">
      <w:pPr>
        <w:pStyle w:val="Heading2"/>
      </w:pPr>
      <w:bookmarkStart w:id="15" w:name="_Toc153795066"/>
      <w:r>
        <w:t xml:space="preserve">Next </w:t>
      </w:r>
      <w:r w:rsidR="00A91170">
        <w:t>s</w:t>
      </w:r>
      <w:r>
        <w:t>teps</w:t>
      </w:r>
      <w:bookmarkEnd w:id="15"/>
    </w:p>
    <w:p w14:paraId="3CFC6262" w14:textId="77777777" w:rsidR="00CE4C9B" w:rsidRDefault="00CE4C9B" w:rsidP="00CE4C9B">
      <w:pPr>
        <w:pStyle w:val="Paragraph"/>
      </w:pPr>
      <w:r>
        <w:t>We will commence stage 2 in Q1 2024.</w:t>
      </w:r>
    </w:p>
    <w:p w14:paraId="39572F21" w14:textId="77777777" w:rsidR="00CE4C9B" w:rsidRDefault="00CE4C9B" w:rsidP="00CE4C9B">
      <w:pPr>
        <w:pStyle w:val="Paragraph"/>
        <w:rPr>
          <w:szCs w:val="20"/>
        </w:rPr>
      </w:pPr>
      <w:r>
        <w:rPr>
          <w:szCs w:val="20"/>
        </w:rPr>
        <w:t xml:space="preserve">We welcome discussions with stakeholders and invite stakeholders to communicate with us via </w:t>
      </w:r>
      <w:hyperlink r:id="rId43" w:history="1">
        <w:r w:rsidRPr="00BA2143">
          <w:rPr>
            <w:rStyle w:val="Hyperlink"/>
            <w:szCs w:val="20"/>
          </w:rPr>
          <w:t>ESL@acma.gov.au</w:t>
        </w:r>
      </w:hyperlink>
      <w:r>
        <w:rPr>
          <w:szCs w:val="20"/>
        </w:rPr>
        <w:t>, noting our preference for substantive engagements to conducted in a public and transparent process.</w:t>
      </w:r>
    </w:p>
    <w:p w14:paraId="276DE5AB" w14:textId="77777777" w:rsidR="00CE4C9B" w:rsidRDefault="00CE4C9B" w:rsidP="006F56A5">
      <w:pPr>
        <w:pStyle w:val="Paragraph"/>
      </w:pPr>
    </w:p>
    <w:p w14:paraId="55855651" w14:textId="77777777" w:rsidR="00CE4C9B" w:rsidRDefault="00CE4C9B" w:rsidP="006F56A5">
      <w:pPr>
        <w:pStyle w:val="Paragraph"/>
      </w:pPr>
    </w:p>
    <w:p w14:paraId="7D592F4F" w14:textId="2A1A7EF5" w:rsidR="006F56A5" w:rsidRDefault="006F56A5" w:rsidP="006F56A5">
      <w:pPr>
        <w:pStyle w:val="Paragraph"/>
      </w:pPr>
      <w:r>
        <w:br w:type="page"/>
      </w:r>
    </w:p>
    <w:p w14:paraId="2BC360C8" w14:textId="2484B697" w:rsidR="007B634F" w:rsidRDefault="007B634F" w:rsidP="007B634F">
      <w:pPr>
        <w:pStyle w:val="Heading1"/>
      </w:pPr>
      <w:bookmarkStart w:id="16" w:name="_Toc153795067"/>
      <w:r>
        <w:lastRenderedPageBreak/>
        <w:t>Public interest: a policy and decision-making framework</w:t>
      </w:r>
      <w:bookmarkEnd w:id="16"/>
    </w:p>
    <w:p w14:paraId="2864DC9E" w14:textId="0F02315D" w:rsidR="007B634F" w:rsidRPr="007B634F" w:rsidRDefault="002333EF" w:rsidP="007B634F">
      <w:pPr>
        <w:pStyle w:val="Paragraph"/>
      </w:pPr>
      <w:r>
        <w:t>The concept of the public interest is a key element of the ESL process</w:t>
      </w:r>
      <w:r w:rsidR="003F789A">
        <w:t>. P</w:t>
      </w:r>
      <w:r w:rsidR="007B634F" w:rsidRPr="007B634F">
        <w:t xml:space="preserve">romotion of the </w:t>
      </w:r>
      <w:r w:rsidR="00A91170">
        <w:t xml:space="preserve">long-term </w:t>
      </w:r>
      <w:r w:rsidR="007B634F" w:rsidRPr="007B634F">
        <w:t xml:space="preserve">public interest is an object of the Act, </w:t>
      </w:r>
      <w:r w:rsidR="001C2DC6">
        <w:t xml:space="preserve">the public interest </w:t>
      </w:r>
      <w:r w:rsidR="007B634F" w:rsidRPr="007B634F">
        <w:t>underpinned decision-making in the previous ESL process, and</w:t>
      </w:r>
      <w:r w:rsidR="00236292">
        <w:t xml:space="preserve"> it </w:t>
      </w:r>
      <w:r w:rsidR="003025C2">
        <w:t>remains</w:t>
      </w:r>
      <w:r w:rsidR="000A6BB7">
        <w:t xml:space="preserve"> </w:t>
      </w:r>
      <w:r w:rsidR="007B634F" w:rsidRPr="007B634F">
        <w:t>a relevant statutory consideration for ESLs renewed for 10 or more years.</w:t>
      </w:r>
      <w:r w:rsidR="008E36FE">
        <w:rPr>
          <w:rStyle w:val="FootnoteReference"/>
        </w:rPr>
        <w:footnoteReference w:id="19"/>
      </w:r>
      <w:r w:rsidR="007B634F" w:rsidRPr="007B634F">
        <w:t xml:space="preserve"> </w:t>
      </w:r>
    </w:p>
    <w:p w14:paraId="3F81E9A2" w14:textId="686D4547" w:rsidR="005A1962" w:rsidRDefault="000540A4" w:rsidP="007B634F">
      <w:pPr>
        <w:pStyle w:val="Paragraph"/>
      </w:pPr>
      <w:r>
        <w:t xml:space="preserve">We propose that </w:t>
      </w:r>
      <w:r w:rsidR="000A6BB7">
        <w:t xml:space="preserve">the </w:t>
      </w:r>
      <w:r w:rsidR="008D30CE" w:rsidRPr="007B634F">
        <w:t>ESL process</w:t>
      </w:r>
      <w:r w:rsidR="00FC211C">
        <w:t xml:space="preserve"> </w:t>
      </w:r>
      <w:r w:rsidR="008D30CE" w:rsidRPr="007B634F">
        <w:t>be underpinned by 5 public interest criteria that, together, create a policy and decision-making framework</w:t>
      </w:r>
      <w:r w:rsidR="005A1962">
        <w:t>.</w:t>
      </w:r>
      <w:r w:rsidR="008D30CE">
        <w:rPr>
          <w:rStyle w:val="FootnoteReference"/>
        </w:rPr>
        <w:footnoteReference w:id="20"/>
      </w:r>
      <w:r w:rsidR="007B634F" w:rsidRPr="007B634F">
        <w:t xml:space="preserve"> </w:t>
      </w:r>
      <w:r w:rsidR="005A1962">
        <w:t>The criteria are:</w:t>
      </w:r>
    </w:p>
    <w:p w14:paraId="4938131F" w14:textId="77777777" w:rsidR="005A1962" w:rsidRDefault="007B634F" w:rsidP="005A1962">
      <w:pPr>
        <w:pStyle w:val="Bulletlevel1"/>
      </w:pPr>
      <w:r w:rsidRPr="007B634F">
        <w:t xml:space="preserve">facilitates </w:t>
      </w:r>
      <w:proofErr w:type="gramStart"/>
      <w:r w:rsidRPr="007B634F">
        <w:t>efficiency</w:t>
      </w:r>
      <w:proofErr w:type="gramEnd"/>
    </w:p>
    <w:p w14:paraId="7562E055" w14:textId="1ADE0327" w:rsidR="005A1962" w:rsidRDefault="007B634F" w:rsidP="005A1962">
      <w:pPr>
        <w:pStyle w:val="Bulletlevel1"/>
      </w:pPr>
      <w:r w:rsidRPr="007B634F">
        <w:t xml:space="preserve">promotes investment and </w:t>
      </w:r>
      <w:proofErr w:type="gramStart"/>
      <w:r w:rsidRPr="007B634F">
        <w:t>innovation</w:t>
      </w:r>
      <w:proofErr w:type="gramEnd"/>
    </w:p>
    <w:p w14:paraId="71236A30" w14:textId="71B1C717" w:rsidR="005A1962" w:rsidRDefault="007B634F" w:rsidP="005A1962">
      <w:pPr>
        <w:pStyle w:val="Bulletlevel1"/>
      </w:pPr>
      <w:r w:rsidRPr="007B634F">
        <w:t xml:space="preserve">enhances </w:t>
      </w:r>
      <w:proofErr w:type="gramStart"/>
      <w:r w:rsidRPr="007B634F">
        <w:t>competition</w:t>
      </w:r>
      <w:proofErr w:type="gramEnd"/>
    </w:p>
    <w:p w14:paraId="0250FA5D" w14:textId="5C7140C0" w:rsidR="005A1962" w:rsidRDefault="007B634F" w:rsidP="005A1962">
      <w:pPr>
        <w:pStyle w:val="Bulletlevel1"/>
      </w:pPr>
      <w:r w:rsidRPr="007B634F">
        <w:t xml:space="preserve">balances public benefits and </w:t>
      </w:r>
      <w:proofErr w:type="gramStart"/>
      <w:r w:rsidRPr="007B634F">
        <w:t>impacts</w:t>
      </w:r>
      <w:proofErr w:type="gramEnd"/>
      <w:r w:rsidRPr="007B634F">
        <w:t xml:space="preserve"> </w:t>
      </w:r>
    </w:p>
    <w:p w14:paraId="5E32C5BC" w14:textId="76ECA5E8" w:rsidR="007B634F" w:rsidRPr="007B634F" w:rsidRDefault="007B634F" w:rsidP="00424D6C">
      <w:pPr>
        <w:pStyle w:val="Bulletlevel1last"/>
      </w:pPr>
      <w:r w:rsidRPr="007B634F">
        <w:t>supports relevant policy objectives</w:t>
      </w:r>
      <w:r w:rsidR="00BF5C34">
        <w:t xml:space="preserve"> and priorities</w:t>
      </w:r>
      <w:r w:rsidRPr="007B634F">
        <w:t>.</w:t>
      </w:r>
    </w:p>
    <w:p w14:paraId="0406B4C5" w14:textId="35B48C48" w:rsidR="008C5FBC" w:rsidRDefault="008C5FBC" w:rsidP="00825B82">
      <w:pPr>
        <w:pStyle w:val="Caption"/>
        <w:keepNext/>
        <w:numPr>
          <w:ilvl w:val="0"/>
          <w:numId w:val="0"/>
        </w:numPr>
      </w:pPr>
      <w:r>
        <w:t>Figure 2: Public interest</w:t>
      </w:r>
      <w:r w:rsidR="005C49DB">
        <w:t xml:space="preserve"> criteria </w:t>
      </w:r>
    </w:p>
    <w:p w14:paraId="30C11CCE" w14:textId="14FE33DC" w:rsidR="00D608D6" w:rsidRDefault="00CC3CA3" w:rsidP="007B634F">
      <w:pPr>
        <w:pStyle w:val="Paragraph"/>
      </w:pPr>
      <w:r w:rsidRPr="00CC3CA3">
        <w:rPr>
          <w:noProof/>
        </w:rPr>
        <w:drawing>
          <wp:inline distT="0" distB="0" distL="0" distR="0" wp14:anchorId="53BE35DD" wp14:editId="64D8D5D2">
            <wp:extent cx="4871085" cy="3247390"/>
            <wp:effectExtent l="0" t="0" r="0" b="0"/>
            <wp:docPr id="5" name="Diagram 5">
              <a:extLst xmlns:a="http://schemas.openxmlformats.org/drawingml/2006/main">
                <a:ext uri="{FF2B5EF4-FFF2-40B4-BE49-F238E27FC236}">
                  <a16:creationId xmlns:a16="http://schemas.microsoft.com/office/drawing/2014/main" id="{DC7967E4-1E6D-9217-27FD-B9DC60B92B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3C58B0F" w14:textId="7F7AB3B3" w:rsidR="007B634F" w:rsidRPr="007B634F" w:rsidRDefault="007B634F" w:rsidP="007B634F">
      <w:pPr>
        <w:pStyle w:val="Paragraph"/>
      </w:pPr>
      <w:r w:rsidRPr="007B634F">
        <w:t>Here</w:t>
      </w:r>
      <w:r w:rsidR="002019DB">
        <w:t>,</w:t>
      </w:r>
      <w:r w:rsidRPr="007B634F">
        <w:t xml:space="preserve"> we clarify how the concept of the public interest will inform the ESL </w:t>
      </w:r>
      <w:proofErr w:type="gramStart"/>
      <w:r w:rsidRPr="007B634F">
        <w:t>process, and</w:t>
      </w:r>
      <w:proofErr w:type="gramEnd"/>
      <w:r w:rsidRPr="007B634F">
        <w:t xml:space="preserve"> </w:t>
      </w:r>
      <w:r w:rsidR="006D2C7C">
        <w:t>affirm</w:t>
      </w:r>
      <w:r w:rsidR="006D2C7C" w:rsidRPr="007B634F">
        <w:t xml:space="preserve"> </w:t>
      </w:r>
      <w:r w:rsidRPr="007B634F">
        <w:t>the criteria.</w:t>
      </w:r>
    </w:p>
    <w:p w14:paraId="3C7490CC" w14:textId="77777777" w:rsidR="007B634F" w:rsidRPr="007B634F" w:rsidRDefault="007B634F" w:rsidP="007B634F">
      <w:pPr>
        <w:pStyle w:val="Heading2"/>
      </w:pPr>
      <w:bookmarkStart w:id="17" w:name="_Toc149065096"/>
      <w:bookmarkStart w:id="18" w:name="_Toc153795068"/>
      <w:r w:rsidRPr="007B634F">
        <w:t xml:space="preserve">A policy and decision-making framework </w:t>
      </w:r>
      <w:r w:rsidRPr="007B634F">
        <w:rPr>
          <w:rStyle w:val="Heading2Char"/>
          <w:rFonts w:eastAsiaTheme="minorHAnsi"/>
          <w:b/>
          <w:bCs/>
          <w:iCs/>
        </w:rPr>
        <w:t xml:space="preserve">underpinned by public interest </w:t>
      </w:r>
      <w:proofErr w:type="gramStart"/>
      <w:r w:rsidRPr="007B634F">
        <w:rPr>
          <w:rStyle w:val="Heading2Char"/>
          <w:rFonts w:eastAsiaTheme="minorHAnsi"/>
          <w:b/>
          <w:bCs/>
          <w:iCs/>
        </w:rPr>
        <w:t>criteria</w:t>
      </w:r>
      <w:bookmarkEnd w:id="17"/>
      <w:bookmarkEnd w:id="18"/>
      <w:proofErr w:type="gramEnd"/>
      <w:r w:rsidRPr="007B634F">
        <w:t xml:space="preserve"> </w:t>
      </w:r>
    </w:p>
    <w:p w14:paraId="5EE3AD7C" w14:textId="6A89C9B8" w:rsidR="007B634F" w:rsidRPr="007B634F" w:rsidRDefault="007B634F" w:rsidP="007B634F">
      <w:pPr>
        <w:pStyle w:val="Paragraph"/>
      </w:pPr>
      <w:r w:rsidRPr="007B634F">
        <w:t xml:space="preserve">In managing the radiofrequency spectrum in accordance with the Act, we are guided by the object of the Act, which is to promote the long-term public interest derived from </w:t>
      </w:r>
      <w:r w:rsidRPr="007B634F">
        <w:lastRenderedPageBreak/>
        <w:t xml:space="preserve">use of the spectrum to facilitate and support a range of purposes and objectives. This broadly means that </w:t>
      </w:r>
      <w:r w:rsidR="00617862">
        <w:t xml:space="preserve">spectrum planning, </w:t>
      </w:r>
      <w:r w:rsidR="00CA4B59">
        <w:t xml:space="preserve">regulation and decision-making </w:t>
      </w:r>
      <w:r w:rsidRPr="007B634F">
        <w:t>are designed and delivered with the public interest in mind</w:t>
      </w:r>
      <w:r w:rsidRPr="007B634F" w:rsidDel="00E95BCD">
        <w:t xml:space="preserve">. </w:t>
      </w:r>
    </w:p>
    <w:p w14:paraId="4E9CB0C5" w14:textId="308DB964" w:rsidR="007B634F" w:rsidRPr="007B634F" w:rsidRDefault="007B634F" w:rsidP="007B634F">
      <w:pPr>
        <w:pStyle w:val="Paragraph"/>
      </w:pPr>
      <w:r w:rsidRPr="007B634F">
        <w:t>Paragraph 77C(7)(a) of the Act provides that, in deciding whether to renew a spectrum licence, the ACMA must have regard to all matters that it considers relevant</w:t>
      </w:r>
      <w:r w:rsidR="0017135D">
        <w:t>. A</w:t>
      </w:r>
      <w:r w:rsidRPr="007B634F">
        <w:t xml:space="preserve"> policy and decision-making framework underpinned by public interest criteria is a way of articulating matters that we will </w:t>
      </w:r>
      <w:r w:rsidR="00385DFD">
        <w:t xml:space="preserve">generally </w:t>
      </w:r>
      <w:r w:rsidRPr="007B634F">
        <w:t>consider as being relevant.</w:t>
      </w:r>
      <w:r w:rsidRPr="00FF60F4">
        <w:rPr>
          <w:rStyle w:val="FootnoteReference"/>
        </w:rPr>
        <w:footnoteReference w:id="21"/>
      </w:r>
    </w:p>
    <w:p w14:paraId="6C364836" w14:textId="39F01778" w:rsidR="007B634F" w:rsidRPr="007B634F" w:rsidRDefault="007B634F" w:rsidP="007B634F">
      <w:pPr>
        <w:pStyle w:val="Paragraph"/>
      </w:pPr>
      <w:r w:rsidRPr="007B634F">
        <w:t xml:space="preserve">In addition to providing transparency for stakeholders, we consider that the framework in general, and the public interest </w:t>
      </w:r>
      <w:proofErr w:type="gramStart"/>
      <w:r w:rsidRPr="007B634F">
        <w:t>criteria in particular, provide</w:t>
      </w:r>
      <w:proofErr w:type="gramEnd"/>
      <w:r w:rsidRPr="007B634F">
        <w:t xml:space="preserve"> guidance for stakeholders </w:t>
      </w:r>
      <w:r w:rsidR="009F5132">
        <w:t>o</w:t>
      </w:r>
      <w:r w:rsidRPr="007B634F">
        <w:t>n how to frame their engagement with us.</w:t>
      </w:r>
    </w:p>
    <w:p w14:paraId="5148F82D" w14:textId="6295DE85" w:rsidR="007B634F" w:rsidRPr="007B634F" w:rsidRDefault="007B634F" w:rsidP="007B634F">
      <w:pPr>
        <w:pStyle w:val="Paragraph"/>
      </w:pPr>
      <w:r w:rsidRPr="007B634F">
        <w:t>One</w:t>
      </w:r>
      <w:r w:rsidRPr="007B634F" w:rsidDel="00296551">
        <w:t xml:space="preserve"> </w:t>
      </w:r>
      <w:r w:rsidRPr="007B634F">
        <w:t xml:space="preserve">theme arising in submissions to our stage 1 consultation was that some stakeholders interpreted the public interest criteria as being used to establish a ‘test’ that an incumbent applying for renewal would either ‘pass’ or ‘fail’. </w:t>
      </w:r>
      <w:r w:rsidR="00C9208E">
        <w:t>S</w:t>
      </w:r>
      <w:r w:rsidRPr="007B634F">
        <w:t xml:space="preserve">ome stakeholders submitted that the criteria should be objectively measurable, or framed around metrics, and that guidelines could </w:t>
      </w:r>
      <w:r w:rsidR="00296551">
        <w:t xml:space="preserve">assist </w:t>
      </w:r>
      <w:r w:rsidR="00FD27AD">
        <w:t xml:space="preserve">incumbents </w:t>
      </w:r>
      <w:r w:rsidR="00CE0D9B">
        <w:t>in preparing applications</w:t>
      </w:r>
      <w:r w:rsidRPr="007B634F">
        <w:t>.</w:t>
      </w:r>
    </w:p>
    <w:p w14:paraId="7765B4FB" w14:textId="131E5C05" w:rsidR="007B634F" w:rsidRPr="007B634F" w:rsidRDefault="007B634F" w:rsidP="007B634F">
      <w:pPr>
        <w:pStyle w:val="Paragraph"/>
      </w:pPr>
      <w:r w:rsidRPr="007B634F">
        <w:t>We do not</w:t>
      </w:r>
      <w:r w:rsidR="006C6DBE">
        <w:t xml:space="preserve"> consider</w:t>
      </w:r>
      <w:r w:rsidRPr="007B634F">
        <w:t xml:space="preserve"> it practical to </w:t>
      </w:r>
      <w:r w:rsidR="000B58FD">
        <w:t xml:space="preserve">apply measurements </w:t>
      </w:r>
      <w:r w:rsidRPr="007B634F">
        <w:t>to the public interest criteria. The criteria are intended to capture key elements of the public interest</w:t>
      </w:r>
      <w:r w:rsidR="0033514B">
        <w:t xml:space="preserve"> considerations. C</w:t>
      </w:r>
      <w:r w:rsidRPr="007B634F">
        <w:t xml:space="preserve">urrent and prospective </w:t>
      </w:r>
      <w:r w:rsidR="00A82A79">
        <w:t xml:space="preserve">uses </w:t>
      </w:r>
      <w:r w:rsidRPr="007B634F">
        <w:t>and users of the spectrum will engage more prominently with some</w:t>
      </w:r>
      <w:r w:rsidR="000F22F7">
        <w:t xml:space="preserve"> of the</w:t>
      </w:r>
      <w:r w:rsidRPr="007B634F">
        <w:t xml:space="preserve"> criteria than </w:t>
      </w:r>
      <w:r w:rsidR="000F22F7">
        <w:t xml:space="preserve">with </w:t>
      </w:r>
      <w:r w:rsidRPr="007B634F">
        <w:t xml:space="preserve">others. </w:t>
      </w:r>
    </w:p>
    <w:p w14:paraId="13DCEAD6" w14:textId="3E78DE06" w:rsidR="007B634F" w:rsidRPr="007B634F" w:rsidRDefault="007B634F" w:rsidP="007B634F">
      <w:pPr>
        <w:pStyle w:val="Paragraph"/>
      </w:pPr>
      <w:r w:rsidRPr="007B634F">
        <w:t xml:space="preserve">To illustrate this point in our consultation paper, we noted that it may be the case that different criteria are more relevant to different geographic areas (metropolitan, </w:t>
      </w:r>
      <w:proofErr w:type="gramStart"/>
      <w:r w:rsidRPr="007B634F">
        <w:t>regional</w:t>
      </w:r>
      <w:proofErr w:type="gramEnd"/>
      <w:r w:rsidRPr="007B634F">
        <w:t xml:space="preserve"> and remote) and, where an ESL covers spectrum across those geographies, the criteria </w:t>
      </w:r>
      <w:r w:rsidR="000F22F7">
        <w:t xml:space="preserve">could </w:t>
      </w:r>
      <w:r w:rsidRPr="007B634F">
        <w:t xml:space="preserve">interact differently with different parts of the same licence. </w:t>
      </w:r>
    </w:p>
    <w:p w14:paraId="1D29CBB7" w14:textId="7425524B" w:rsidR="007B634F" w:rsidRPr="007B634F" w:rsidRDefault="007B634F" w:rsidP="007B634F">
      <w:pPr>
        <w:pStyle w:val="Paragraph"/>
      </w:pPr>
      <w:r w:rsidRPr="007B634F">
        <w:t>To illustrate further:</w:t>
      </w:r>
      <w:r w:rsidRPr="007B634F" w:rsidDel="00B41152">
        <w:t xml:space="preserve"> </w:t>
      </w:r>
      <w:r w:rsidRPr="007B634F">
        <w:t xml:space="preserve">alternative </w:t>
      </w:r>
      <w:r w:rsidR="00D24146">
        <w:t>uses</w:t>
      </w:r>
      <w:r w:rsidRPr="007B634F">
        <w:t xml:space="preserve"> </w:t>
      </w:r>
      <w:r w:rsidR="00055188">
        <w:t xml:space="preserve">or users </w:t>
      </w:r>
      <w:r w:rsidR="00D24146">
        <w:t xml:space="preserve">of </w:t>
      </w:r>
      <w:r w:rsidRPr="007B634F">
        <w:t xml:space="preserve">the spectrum are likely to </w:t>
      </w:r>
      <w:r w:rsidR="00DF5286">
        <w:t>address the</w:t>
      </w:r>
      <w:r w:rsidR="00DF5286" w:rsidRPr="007B634F">
        <w:t xml:space="preserve"> </w:t>
      </w:r>
      <w:r w:rsidRPr="007B634F">
        <w:t xml:space="preserve">criteria in different ways, and it is possible that weighted criteria could automatically prohibit or privilege considerations of the overall public </w:t>
      </w:r>
      <w:r w:rsidR="00252449">
        <w:t>interest</w:t>
      </w:r>
      <w:r w:rsidRPr="007B634F">
        <w:t xml:space="preserve">. </w:t>
      </w:r>
      <w:r w:rsidR="00AC63EF">
        <w:t xml:space="preserve">For example, </w:t>
      </w:r>
      <w:r w:rsidRPr="007B634F">
        <w:t xml:space="preserve">ESLs used for rail safety </w:t>
      </w:r>
      <w:r w:rsidR="00C432CF">
        <w:t xml:space="preserve">or </w:t>
      </w:r>
      <w:r w:rsidRPr="007B634F">
        <w:t>electronic news gathering</w:t>
      </w:r>
      <w:r w:rsidR="00C432CF">
        <w:t xml:space="preserve"> would require different </w:t>
      </w:r>
      <w:r w:rsidRPr="007B634F">
        <w:t xml:space="preserve">considerations of the public interest </w:t>
      </w:r>
      <w:r w:rsidR="00BD4B75">
        <w:t xml:space="preserve">than for </w:t>
      </w:r>
      <w:r w:rsidRPr="007B634F">
        <w:t>ESLs that facilitate</w:t>
      </w:r>
      <w:r w:rsidR="009A52FC">
        <w:t xml:space="preserve"> wireless broadband spectrum uses</w:t>
      </w:r>
      <w:r w:rsidRPr="007B634F">
        <w:t xml:space="preserve">. In some cases, it may not be reasonable to require that a particular </w:t>
      </w:r>
      <w:r w:rsidR="00E05E3A">
        <w:t>use</w:t>
      </w:r>
      <w:r w:rsidRPr="007B634F">
        <w:t xml:space="preserve"> or user</w:t>
      </w:r>
      <w:r w:rsidR="00E05E3A">
        <w:t xml:space="preserve"> of the spectrum</w:t>
      </w:r>
      <w:r w:rsidRPr="007B634F">
        <w:t xml:space="preserve"> be measured against one of the criteria in a pre-defined and quantifiable way. </w:t>
      </w:r>
      <w:r w:rsidR="00F269D9">
        <w:t>T</w:t>
      </w:r>
      <w:r w:rsidRPr="007B634F">
        <w:t>he benefits of some outcomes (such as</w:t>
      </w:r>
      <w:r w:rsidR="00AF3BE4">
        <w:t xml:space="preserve"> improving </w:t>
      </w:r>
      <w:r w:rsidRPr="007B634F">
        <w:t>health</w:t>
      </w:r>
      <w:r w:rsidR="00B057CA">
        <w:t xml:space="preserve"> or</w:t>
      </w:r>
      <w:r w:rsidRPr="007B634F">
        <w:t xml:space="preserve"> social </w:t>
      </w:r>
      <w:proofErr w:type="gramStart"/>
      <w:r w:rsidRPr="007B634F">
        <w:t>cohesion, or</w:t>
      </w:r>
      <w:proofErr w:type="gramEnd"/>
      <w:r w:rsidRPr="007B634F">
        <w:t xml:space="preserve"> access</w:t>
      </w:r>
      <w:r w:rsidR="00B057CA">
        <w:t>ing</w:t>
      </w:r>
      <w:r w:rsidRPr="007B634F">
        <w:t xml:space="preserve"> online government and essential services) </w:t>
      </w:r>
      <w:r w:rsidR="00992861">
        <w:t xml:space="preserve">resulting from </w:t>
      </w:r>
      <w:r w:rsidRPr="007B634F">
        <w:t xml:space="preserve">access to spectrum </w:t>
      </w:r>
      <w:r w:rsidR="00C86944">
        <w:t xml:space="preserve">may </w:t>
      </w:r>
      <w:r w:rsidRPr="007B634F">
        <w:t xml:space="preserve">not </w:t>
      </w:r>
      <w:r w:rsidR="00C86944">
        <w:t>be</w:t>
      </w:r>
      <w:r w:rsidRPr="007B634F">
        <w:t xml:space="preserve"> as objectively quantifiable as other outcomes</w:t>
      </w:r>
      <w:r w:rsidR="00A36D9E">
        <w:t>.</w:t>
      </w:r>
      <w:r w:rsidRPr="00903BB3">
        <w:rPr>
          <w:rStyle w:val="FootnoteReference"/>
        </w:rPr>
        <w:footnoteReference w:id="22"/>
      </w:r>
      <w:r w:rsidRPr="007B634F">
        <w:t xml:space="preserve"> </w:t>
      </w:r>
      <w:r w:rsidR="00F269D9">
        <w:t>Similarly, i</w:t>
      </w:r>
      <w:r w:rsidRPr="007B634F">
        <w:t xml:space="preserve">t may be unreasonable to evaluate some </w:t>
      </w:r>
      <w:r w:rsidR="003C4FDE">
        <w:t>uses</w:t>
      </w:r>
      <w:r w:rsidRPr="007B634F">
        <w:t xml:space="preserve"> or users that principally facilitate consumer and commercial services against their ability to deliver specific types of public benefit. </w:t>
      </w:r>
    </w:p>
    <w:p w14:paraId="6778F941" w14:textId="2CFAF667" w:rsidR="007B634F" w:rsidRPr="007B634F" w:rsidRDefault="007B634F" w:rsidP="007B634F">
      <w:pPr>
        <w:pStyle w:val="Paragraph"/>
      </w:pPr>
      <w:r w:rsidRPr="007B634F">
        <w:lastRenderedPageBreak/>
        <w:t xml:space="preserve">We also note that certain types of guidance provided by the </w:t>
      </w:r>
      <w:r w:rsidR="00AF5A3A">
        <w:t>m</w:t>
      </w:r>
      <w:r w:rsidRPr="007B634F">
        <w:t>inister</w:t>
      </w:r>
      <w:r w:rsidRPr="00FF60F4">
        <w:rPr>
          <w:rStyle w:val="FootnoteReference"/>
        </w:rPr>
        <w:footnoteReference w:id="23"/>
      </w:r>
      <w:r w:rsidRPr="007B634F">
        <w:t xml:space="preserve"> – and how that guidance is constructed or expressed – could</w:t>
      </w:r>
      <w:r w:rsidR="00F269D9">
        <w:t xml:space="preserve"> amplify or</w:t>
      </w:r>
      <w:r w:rsidRPr="007B634F">
        <w:t xml:space="preserve"> </w:t>
      </w:r>
      <w:r w:rsidR="00F269D9">
        <w:t xml:space="preserve">lessen </w:t>
      </w:r>
      <w:r w:rsidRPr="007B634F">
        <w:t xml:space="preserve">the importance of one or more of the public interest criteria in our considerations. </w:t>
      </w:r>
    </w:p>
    <w:p w14:paraId="6B08211D" w14:textId="48B01DE6" w:rsidR="00D21B44" w:rsidRPr="007B634F" w:rsidRDefault="00D21B44" w:rsidP="00D21B44">
      <w:pPr>
        <w:pStyle w:val="Paragraph"/>
      </w:pPr>
      <w:r>
        <w:t>Instead of</w:t>
      </w:r>
      <w:r w:rsidRPr="007B634F">
        <w:t xml:space="preserve"> pre-determined weightings for the public interest criteria, we will </w:t>
      </w:r>
      <w:r>
        <w:t>explain how responses to the information-gathering exercise, and other relevant inputs (such as our research and analysis, market intelligence and environmental scannin</w:t>
      </w:r>
      <w:r w:rsidRPr="004B503D">
        <w:t xml:space="preserve">g) were evaluated to form our preliminary views for </w:t>
      </w:r>
      <w:r w:rsidRPr="00D66901">
        <w:t xml:space="preserve">stage 3. We will </w:t>
      </w:r>
      <w:r w:rsidR="003D5DC5">
        <w:t xml:space="preserve">then </w:t>
      </w:r>
      <w:r w:rsidRPr="00D66901">
        <w:t>seek</w:t>
      </w:r>
      <w:r w:rsidR="003D5DC5">
        <w:t xml:space="preserve"> </w:t>
      </w:r>
      <w:r w:rsidRPr="00D66901">
        <w:t>views from stakeholders through a pub</w:t>
      </w:r>
      <w:r w:rsidRPr="007B634F">
        <w:t>lic consultation process.</w:t>
      </w:r>
    </w:p>
    <w:p w14:paraId="13D74857" w14:textId="77777777" w:rsidR="007B634F" w:rsidRPr="007B634F" w:rsidRDefault="007B634F" w:rsidP="007B634F">
      <w:pPr>
        <w:pStyle w:val="Heading2"/>
      </w:pPr>
      <w:bookmarkStart w:id="19" w:name="_Toc149065097"/>
      <w:bookmarkStart w:id="20" w:name="_Toc153795069"/>
      <w:r>
        <w:t>Public interest criteria</w:t>
      </w:r>
      <w:bookmarkEnd w:id="19"/>
      <w:bookmarkEnd w:id="20"/>
    </w:p>
    <w:p w14:paraId="44FF0094" w14:textId="7AF6FB13" w:rsidR="007B634F" w:rsidRDefault="007B634F" w:rsidP="007B634F">
      <w:pPr>
        <w:pStyle w:val="Paragraph"/>
      </w:pPr>
      <w:r>
        <w:t xml:space="preserve">Below, we </w:t>
      </w:r>
      <w:r w:rsidR="00776D46">
        <w:t xml:space="preserve">affirm </w:t>
      </w:r>
      <w:r>
        <w:t>the public interest criteria. We also provide some additional explanation and context for the criteria</w:t>
      </w:r>
      <w:r w:rsidR="0090486B">
        <w:t xml:space="preserve"> to guide</w:t>
      </w:r>
      <w:r>
        <w:t xml:space="preserve"> stakeholders </w:t>
      </w:r>
      <w:r w:rsidR="00A711CD">
        <w:t>o</w:t>
      </w:r>
      <w:r>
        <w:t xml:space="preserve">n how they </w:t>
      </w:r>
      <w:r w:rsidR="00A53D29">
        <w:t xml:space="preserve">may </w:t>
      </w:r>
      <w:r>
        <w:t>frame their responses to the information gathering exercise at stage 2, and in how we will approach the development of preliminary views at stage 3.</w:t>
      </w:r>
    </w:p>
    <w:p w14:paraId="1189BE9D" w14:textId="2DFFAF94" w:rsidR="005845D3" w:rsidRDefault="007E395C" w:rsidP="007B634F">
      <w:pPr>
        <w:pStyle w:val="Paragraph"/>
      </w:pPr>
      <w:r>
        <w:t xml:space="preserve">In </w:t>
      </w:r>
      <w:r w:rsidR="00487C89">
        <w:t>December</w:t>
      </w:r>
      <w:r w:rsidR="00A313D2">
        <w:t xml:space="preserve"> 2023</w:t>
      </w:r>
      <w:r>
        <w:t xml:space="preserve">, the </w:t>
      </w:r>
      <w:r w:rsidR="00E06D2D">
        <w:t>m</w:t>
      </w:r>
      <w:r>
        <w:t xml:space="preserve">inister wrote to the ACMA, </w:t>
      </w:r>
      <w:r w:rsidR="00E06D2D">
        <w:t xml:space="preserve">and </w:t>
      </w:r>
      <w:r>
        <w:t>identif</w:t>
      </w:r>
      <w:r w:rsidR="00E06D2D">
        <w:t>ied</w:t>
      </w:r>
      <w:r>
        <w:t xml:space="preserve"> </w:t>
      </w:r>
      <w:r w:rsidR="00F3759E">
        <w:t xml:space="preserve">which </w:t>
      </w:r>
      <w:r w:rsidR="009A4AE4">
        <w:t>policy priorities specified in the SoE</w:t>
      </w:r>
      <w:r w:rsidR="00F3759E">
        <w:t xml:space="preserve"> </w:t>
      </w:r>
      <w:r w:rsidR="00DF569C">
        <w:t>were</w:t>
      </w:r>
      <w:r w:rsidR="00F3759E">
        <w:t xml:space="preserve"> relevant to th</w:t>
      </w:r>
      <w:r w:rsidR="008A6B86">
        <w:t>e</w:t>
      </w:r>
      <w:r w:rsidR="00F3759E">
        <w:t xml:space="preserve"> </w:t>
      </w:r>
      <w:r w:rsidR="00510985">
        <w:t xml:space="preserve">fifth </w:t>
      </w:r>
      <w:r w:rsidR="008A6B86">
        <w:t xml:space="preserve">public interest </w:t>
      </w:r>
      <w:r w:rsidR="000F22F7">
        <w:t>criterion</w:t>
      </w:r>
      <w:r w:rsidR="008A6B86">
        <w:t xml:space="preserve">, </w:t>
      </w:r>
      <w:r w:rsidR="00F91905">
        <w:t>‘</w:t>
      </w:r>
      <w:r w:rsidR="008A6B86">
        <w:t>supports relevant policy objectives and priorities</w:t>
      </w:r>
      <w:r w:rsidR="00F3759E">
        <w:t>.</w:t>
      </w:r>
      <w:r w:rsidR="00F91905">
        <w:t>’</w:t>
      </w:r>
      <w:r w:rsidR="00F3759E">
        <w:t xml:space="preserve"> </w:t>
      </w:r>
      <w:r w:rsidR="003A69C5">
        <w:t xml:space="preserve">The </w:t>
      </w:r>
      <w:r w:rsidR="00EA5274">
        <w:t>m</w:t>
      </w:r>
      <w:r w:rsidR="003A69C5">
        <w:t xml:space="preserve">inister </w:t>
      </w:r>
      <w:r w:rsidR="00163096">
        <w:t xml:space="preserve">also </w:t>
      </w:r>
      <w:r w:rsidR="00BC3EB0">
        <w:t>identifie</w:t>
      </w:r>
      <w:r w:rsidR="00163096">
        <w:t>d</w:t>
      </w:r>
      <w:r w:rsidR="00BC3EB0">
        <w:t xml:space="preserve"> additional policy priorities that, subject to</w:t>
      </w:r>
      <w:r w:rsidR="003A3513">
        <w:t xml:space="preserve"> a</w:t>
      </w:r>
      <w:r w:rsidR="00BC3EB0">
        <w:t xml:space="preserve"> consultation process </w:t>
      </w:r>
      <w:r w:rsidR="007D7B6D">
        <w:t>undertaken by the Department of Infrastructure, Transport, Regional Development</w:t>
      </w:r>
      <w:r w:rsidR="00D76757">
        <w:t>,</w:t>
      </w:r>
      <w:r w:rsidR="007D7B6D">
        <w:t xml:space="preserve"> </w:t>
      </w:r>
      <w:proofErr w:type="gramStart"/>
      <w:r w:rsidR="007D7B6D">
        <w:t>Communications</w:t>
      </w:r>
      <w:proofErr w:type="gramEnd"/>
      <w:r w:rsidR="00FE4EC7">
        <w:t xml:space="preserve"> and the Arts</w:t>
      </w:r>
      <w:r w:rsidR="009B13D6">
        <w:t>,</w:t>
      </w:r>
      <w:r w:rsidR="009A4AE4">
        <w:t xml:space="preserve"> </w:t>
      </w:r>
      <w:r w:rsidR="00874949">
        <w:t>would be specified in an MPS i</w:t>
      </w:r>
      <w:r w:rsidR="00D96BAC">
        <w:t>ssued</w:t>
      </w:r>
      <w:r w:rsidR="00023295">
        <w:t xml:space="preserve"> in 2024</w:t>
      </w:r>
      <w:r w:rsidR="00036AD5">
        <w:t xml:space="preserve"> (the proposed MPS)</w:t>
      </w:r>
      <w:r w:rsidR="00023295">
        <w:t>.</w:t>
      </w:r>
      <w:r w:rsidR="005845D3">
        <w:t xml:space="preserve"> </w:t>
      </w:r>
      <w:r w:rsidR="007D540A">
        <w:t xml:space="preserve">The </w:t>
      </w:r>
      <w:r w:rsidR="00735594">
        <w:t>m</w:t>
      </w:r>
      <w:r w:rsidR="007D540A">
        <w:t xml:space="preserve">inister has asked for advice on </w:t>
      </w:r>
      <w:r w:rsidR="00CA614D">
        <w:t xml:space="preserve">alternative licensing conditions and issues </w:t>
      </w:r>
      <w:r w:rsidR="00737200">
        <w:t xml:space="preserve">identified by stakeholders </w:t>
      </w:r>
      <w:r w:rsidR="00CA614D">
        <w:t>around resilience and temporary disaster responses</w:t>
      </w:r>
      <w:r w:rsidR="00737200">
        <w:t xml:space="preserve">. </w:t>
      </w:r>
      <w:r w:rsidR="00053491">
        <w:t>Accordingly, we are not proposing to directly incorporate these matters</w:t>
      </w:r>
      <w:r w:rsidR="00CA614D">
        <w:t xml:space="preserve"> into the public interest criteria</w:t>
      </w:r>
      <w:r w:rsidR="009950EB">
        <w:t xml:space="preserve">. We </w:t>
      </w:r>
      <w:r w:rsidR="00E354A4">
        <w:t xml:space="preserve">will </w:t>
      </w:r>
      <w:r w:rsidR="005A3262">
        <w:t>consider</w:t>
      </w:r>
      <w:r w:rsidR="00EB04EA">
        <w:t xml:space="preserve"> and seek views on </w:t>
      </w:r>
      <w:r w:rsidR="005A3262">
        <w:t>the</w:t>
      </w:r>
      <w:r w:rsidR="00F513BF">
        <w:t xml:space="preserve">se matters </w:t>
      </w:r>
      <w:r w:rsidR="00EB489B">
        <w:t xml:space="preserve">as part of stage 2 of the ESL </w:t>
      </w:r>
      <w:proofErr w:type="gramStart"/>
      <w:r w:rsidR="00EB489B">
        <w:t>process</w:t>
      </w:r>
      <w:r w:rsidR="009950EB">
        <w:t>, and</w:t>
      </w:r>
      <w:proofErr w:type="gramEnd"/>
      <w:r w:rsidR="009950EB">
        <w:t xml:space="preserve"> advise the minister of </w:t>
      </w:r>
      <w:r w:rsidR="00C34645">
        <w:t>the outcomes of that work.</w:t>
      </w:r>
      <w:r w:rsidR="00851114">
        <w:t xml:space="preserve"> </w:t>
      </w:r>
      <w:r w:rsidR="007B634F">
        <w:t xml:space="preserve"> </w:t>
      </w:r>
    </w:p>
    <w:p w14:paraId="05C618D8" w14:textId="1EB28D4D" w:rsidR="007B634F" w:rsidRDefault="00BF6AC3" w:rsidP="007B634F">
      <w:pPr>
        <w:pStyle w:val="Paragraph"/>
      </w:pPr>
      <w:r>
        <w:t xml:space="preserve">In addition to responding to stakeholder submissions that sought further elaboration of the public interest criteria in general, </w:t>
      </w:r>
      <w:r w:rsidR="0007496F">
        <w:t xml:space="preserve">we set out below how we </w:t>
      </w:r>
      <w:r w:rsidR="00FC75BE">
        <w:t xml:space="preserve">will </w:t>
      </w:r>
      <w:r w:rsidR="0007496F">
        <w:t xml:space="preserve">integrate these policy </w:t>
      </w:r>
      <w:r w:rsidR="007A2974">
        <w:t>priorities</w:t>
      </w:r>
      <w:r w:rsidR="0007496F">
        <w:t xml:space="preserve"> into the framework</w:t>
      </w:r>
      <w:r w:rsidR="007B634F">
        <w:t xml:space="preserve">. </w:t>
      </w:r>
    </w:p>
    <w:p w14:paraId="3C4C2067" w14:textId="6DFE9818" w:rsidR="007374DE" w:rsidRDefault="00FC75BE" w:rsidP="007374DE">
      <w:pPr>
        <w:pStyle w:val="Paragraph"/>
      </w:pPr>
      <w:r>
        <w:t>As t</w:t>
      </w:r>
      <w:r w:rsidR="007374DE">
        <w:t xml:space="preserve">here is some overlap between some of the policy </w:t>
      </w:r>
      <w:r w:rsidR="0043357C">
        <w:t>priorities</w:t>
      </w:r>
      <w:r w:rsidR="007374DE">
        <w:t xml:space="preserve"> and our public interest criteria</w:t>
      </w:r>
      <w:r w:rsidR="003A35BA">
        <w:t>, we have</w:t>
      </w:r>
      <w:r w:rsidR="007374DE">
        <w:t xml:space="preserve">, where appropriate, incorporated those </w:t>
      </w:r>
      <w:r w:rsidR="000C3ED3">
        <w:t>priorities</w:t>
      </w:r>
      <w:r w:rsidR="007374DE">
        <w:t xml:space="preserve"> into our criteria.</w:t>
      </w:r>
    </w:p>
    <w:p w14:paraId="1BB3B93D" w14:textId="7AE9F28D" w:rsidR="007B634F" w:rsidRDefault="00BC6BAE" w:rsidP="007B634F">
      <w:pPr>
        <w:pStyle w:val="Paragraph"/>
      </w:pPr>
      <w:r>
        <w:t xml:space="preserve">In addition to the </w:t>
      </w:r>
      <w:r w:rsidR="00BE0CFC">
        <w:t>m</w:t>
      </w:r>
      <w:r>
        <w:t xml:space="preserve">inister’s letter and the </w:t>
      </w:r>
      <w:r w:rsidR="00532D43">
        <w:t>priorities</w:t>
      </w:r>
      <w:r>
        <w:t xml:space="preserve"> proposed for inclusion in the </w:t>
      </w:r>
      <w:r w:rsidR="00036AD5">
        <w:t xml:space="preserve">proposed </w:t>
      </w:r>
      <w:r>
        <w:t>MPS, we make reference, w</w:t>
      </w:r>
      <w:r w:rsidR="007374DE">
        <w:t xml:space="preserve">here relevant, to </w:t>
      </w:r>
      <w:r w:rsidR="007B634F">
        <w:t xml:space="preserve">the object of the Act, the </w:t>
      </w:r>
      <w:r w:rsidR="003C3460">
        <w:t>SoE</w:t>
      </w:r>
      <w:r w:rsidR="00202ADD">
        <w:rPr>
          <w:color w:val="212529"/>
          <w:szCs w:val="20"/>
          <w:shd w:val="clear" w:color="auto" w:fill="FFFFFF"/>
        </w:rPr>
        <w:t xml:space="preserve"> and our corresponding </w:t>
      </w:r>
      <w:r w:rsidR="00202ADD">
        <w:t xml:space="preserve">2023 </w:t>
      </w:r>
      <w:hyperlink r:id="rId49" w:history="1">
        <w:r w:rsidR="00202ADD" w:rsidRPr="00023CAF">
          <w:rPr>
            <w:rStyle w:val="Hyperlink"/>
          </w:rPr>
          <w:t>Statement of Intent</w:t>
        </w:r>
      </w:hyperlink>
      <w:r w:rsidR="00202ADD">
        <w:t xml:space="preserve"> (the SoI)</w:t>
      </w:r>
      <w:r w:rsidR="003C3460">
        <w:t>.</w:t>
      </w:r>
      <w:r w:rsidR="00C67E89">
        <w:t xml:space="preserve"> </w:t>
      </w:r>
      <w:r w:rsidR="003C3460">
        <w:t>We have regard, as necessary, to</w:t>
      </w:r>
      <w:r w:rsidR="007B634F">
        <w:rPr>
          <w:color w:val="212529"/>
          <w:szCs w:val="20"/>
          <w:shd w:val="clear" w:color="auto" w:fill="FFFFFF"/>
        </w:rPr>
        <w:t xml:space="preserve"> the </w:t>
      </w:r>
      <w:hyperlink r:id="rId50" w:history="1">
        <w:r w:rsidR="007B634F" w:rsidRPr="0077585A">
          <w:rPr>
            <w:rStyle w:val="Hyperlink"/>
            <w:szCs w:val="20"/>
          </w:rPr>
          <w:t>2022 Ministerial Policy Statement (MPS) for the 3.4 – 4.0 GHz spectrum band</w:t>
        </w:r>
      </w:hyperlink>
      <w:r w:rsidR="007B634F">
        <w:rPr>
          <w:szCs w:val="20"/>
        </w:rPr>
        <w:t xml:space="preserve"> (the </w:t>
      </w:r>
      <w:r w:rsidR="00036AD5">
        <w:rPr>
          <w:szCs w:val="20"/>
        </w:rPr>
        <w:t xml:space="preserve">3.4 GHz </w:t>
      </w:r>
      <w:r w:rsidR="007B634F">
        <w:rPr>
          <w:szCs w:val="20"/>
        </w:rPr>
        <w:t>MPS)</w:t>
      </w:r>
      <w:r w:rsidR="00A106E8">
        <w:rPr>
          <w:szCs w:val="20"/>
        </w:rPr>
        <w:t xml:space="preserve">, although we note that the </w:t>
      </w:r>
      <w:r w:rsidR="002177EB">
        <w:rPr>
          <w:szCs w:val="20"/>
        </w:rPr>
        <w:t>m</w:t>
      </w:r>
      <w:r w:rsidR="00A106E8">
        <w:rPr>
          <w:szCs w:val="20"/>
        </w:rPr>
        <w:t>inister’s letter signals an intention to repeal this instrument</w:t>
      </w:r>
      <w:r w:rsidR="007B634F">
        <w:rPr>
          <w:szCs w:val="20"/>
        </w:rPr>
        <w:t>.</w:t>
      </w:r>
      <w:r w:rsidR="00146DF7">
        <w:rPr>
          <w:rStyle w:val="FootnoteReference"/>
          <w:szCs w:val="20"/>
        </w:rPr>
        <w:footnoteReference w:id="24"/>
      </w:r>
    </w:p>
    <w:p w14:paraId="1DF08704" w14:textId="6883F0CC" w:rsidR="0043644C" w:rsidRDefault="0043644C" w:rsidP="007B634F">
      <w:pPr>
        <w:pStyle w:val="Paragraph"/>
      </w:pPr>
      <w:r>
        <w:t xml:space="preserve">We note that the </w:t>
      </w:r>
      <w:r w:rsidR="009B359E">
        <w:t>m</w:t>
      </w:r>
      <w:r>
        <w:t xml:space="preserve">inister has conveyed that </w:t>
      </w:r>
      <w:r w:rsidR="00657D4F">
        <w:t xml:space="preserve">the </w:t>
      </w:r>
      <w:r>
        <w:t xml:space="preserve">criteria provide a sound framework for evaluating options and making decisions to promote the long-term public interest, and we consider that the policy priorities that the </w:t>
      </w:r>
      <w:r w:rsidR="002E5BF0">
        <w:t>m</w:t>
      </w:r>
      <w:r>
        <w:t xml:space="preserve">inister proposes to specify in an MPS can be integrated into our criteria. </w:t>
      </w:r>
    </w:p>
    <w:p w14:paraId="6D10EC42" w14:textId="69061D51" w:rsidR="00F15D47" w:rsidRDefault="0043644C" w:rsidP="007B634F">
      <w:pPr>
        <w:pStyle w:val="Paragraph"/>
      </w:pPr>
      <w:r>
        <w:t xml:space="preserve">However, </w:t>
      </w:r>
      <w:r w:rsidR="00B9412E">
        <w:t xml:space="preserve">the policy priorities </w:t>
      </w:r>
      <w:r w:rsidR="00CC2C6C">
        <w:t>to be specified in the</w:t>
      </w:r>
      <w:r w:rsidR="00036AD5">
        <w:t xml:space="preserve"> proposed</w:t>
      </w:r>
      <w:r w:rsidR="00CC2C6C">
        <w:t xml:space="preserve"> MPS may change after consultation, and we will amend </w:t>
      </w:r>
      <w:r w:rsidR="00E562AC">
        <w:t>the criteria as relevant when the MPS is finalised.</w:t>
      </w:r>
      <w:r w:rsidR="00B63C15">
        <w:t xml:space="preserve"> If </w:t>
      </w:r>
      <w:r w:rsidR="00B63C15">
        <w:lastRenderedPageBreak/>
        <w:t xml:space="preserve">the government’s policy priorities change over the </w:t>
      </w:r>
      <w:r w:rsidR="00286DCD">
        <w:t>course of the ESL process, we will amend the criteria accordingly.</w:t>
      </w:r>
    </w:p>
    <w:p w14:paraId="1CAD53FC" w14:textId="67D787A5" w:rsidR="007B4F31" w:rsidRDefault="0043644C" w:rsidP="007B634F">
      <w:pPr>
        <w:pStyle w:val="Paragraph"/>
      </w:pPr>
      <w:r>
        <w:t xml:space="preserve">Importantly, </w:t>
      </w:r>
      <w:r w:rsidR="007B4F31">
        <w:t xml:space="preserve">the </w:t>
      </w:r>
      <w:r w:rsidR="009B359E">
        <w:t>m</w:t>
      </w:r>
      <w:r w:rsidR="007B4F31">
        <w:t xml:space="preserve">inister has indicated an intention to </w:t>
      </w:r>
      <w:r>
        <w:t>settle</w:t>
      </w:r>
      <w:r w:rsidR="007B4F31">
        <w:t xml:space="preserve"> the proposed MPS by </w:t>
      </w:r>
      <w:r w:rsidR="00436BC9">
        <w:t xml:space="preserve">the end of April 2024, meaning that stakeholders will be able to respond to our stage 2 process </w:t>
      </w:r>
      <w:r w:rsidR="007A4E3D">
        <w:t>with reference to a finalised MPS.</w:t>
      </w:r>
    </w:p>
    <w:p w14:paraId="284D8844" w14:textId="0CF015B0" w:rsidR="007B634F" w:rsidRDefault="007B634F" w:rsidP="007B634F">
      <w:pPr>
        <w:pStyle w:val="Paragraph"/>
      </w:pPr>
      <w:r>
        <w:t>We will update the criteria, and the broader policy and decision-making framework</w:t>
      </w:r>
      <w:r w:rsidR="00EE3034">
        <w:t>,</w:t>
      </w:r>
      <w:r>
        <w:t xml:space="preserve"> as necessary, to reflect any </w:t>
      </w:r>
      <w:r w:rsidR="00056CC3">
        <w:t xml:space="preserve">other </w:t>
      </w:r>
      <w:r>
        <w:t>new development</w:t>
      </w:r>
      <w:r w:rsidR="00056CC3">
        <w:t>s over the course of the ESL process</w:t>
      </w:r>
      <w:r>
        <w:t xml:space="preserve">. </w:t>
      </w:r>
    </w:p>
    <w:p w14:paraId="4171601C" w14:textId="1ABE26D7" w:rsidR="007B634F" w:rsidRPr="007B634F" w:rsidRDefault="007B634F" w:rsidP="007B634F">
      <w:pPr>
        <w:pStyle w:val="Heading3"/>
      </w:pPr>
      <w:bookmarkStart w:id="21" w:name="_Toc149065098"/>
      <w:r w:rsidRPr="00DB309C">
        <w:t xml:space="preserve">Criterion 1: </w:t>
      </w:r>
      <w:r>
        <w:t>f</w:t>
      </w:r>
      <w:r w:rsidRPr="00DB309C">
        <w:t xml:space="preserve">acilitates </w:t>
      </w:r>
      <w:proofErr w:type="gramStart"/>
      <w:r w:rsidRPr="00DB309C">
        <w:t>efficiency</w:t>
      </w:r>
      <w:bookmarkEnd w:id="21"/>
      <w:proofErr w:type="gramEnd"/>
    </w:p>
    <w:p w14:paraId="3580EFFC" w14:textId="77777777" w:rsidR="007B634F" w:rsidRDefault="007B634F" w:rsidP="007B634F">
      <w:pPr>
        <w:pStyle w:val="Paragraph"/>
      </w:pPr>
      <w:r>
        <w:t xml:space="preserve">This criterion is closely tied to the object of the Act, part of which is to promote the long-term public interest derived from the use of the spectrum in a manner that facilitates the efficient planning, </w:t>
      </w:r>
      <w:proofErr w:type="gramStart"/>
      <w:r>
        <w:t>allocation</w:t>
      </w:r>
      <w:proofErr w:type="gramEnd"/>
      <w:r>
        <w:t xml:space="preserve"> and use of the spectrum.</w:t>
      </w:r>
    </w:p>
    <w:p w14:paraId="2E8359E9" w14:textId="67203693" w:rsidR="007B634F" w:rsidRDefault="0033202A" w:rsidP="007B634F">
      <w:pPr>
        <w:pStyle w:val="Paragraph"/>
      </w:pPr>
      <w:r>
        <w:t xml:space="preserve">The </w:t>
      </w:r>
      <w:r w:rsidR="00B82B93">
        <w:t>m</w:t>
      </w:r>
      <w:r>
        <w:t xml:space="preserve">inister has also identified </w:t>
      </w:r>
      <w:r w:rsidR="00415DB4">
        <w:t xml:space="preserve">a </w:t>
      </w:r>
      <w:r w:rsidR="00252007">
        <w:t xml:space="preserve">policy priority specified </w:t>
      </w:r>
      <w:r w:rsidR="00F72400">
        <w:t>in the</w:t>
      </w:r>
      <w:r>
        <w:t xml:space="preserve"> </w:t>
      </w:r>
      <w:r w:rsidR="007B634F">
        <w:t>SoE</w:t>
      </w:r>
      <w:r w:rsidR="00286D4A">
        <w:t xml:space="preserve"> as relevant to ESL</w:t>
      </w:r>
      <w:r w:rsidR="00F72400">
        <w:t>, which is</w:t>
      </w:r>
      <w:r w:rsidR="007B634F">
        <w:t xml:space="preserve"> promoting the long-term public interest derived from spectrum, including the benefits of technological developments that improve spectrum utilisation and efficiency.</w:t>
      </w:r>
      <w:r w:rsidR="008B6F62">
        <w:t xml:space="preserve"> Promoting, among other things, </w:t>
      </w:r>
      <w:r w:rsidR="002E0ACD">
        <w:t xml:space="preserve">adoption of new </w:t>
      </w:r>
      <w:r w:rsidR="00591F58">
        <w:t xml:space="preserve">and emerging </w:t>
      </w:r>
      <w:r w:rsidR="002E0ACD">
        <w:t xml:space="preserve">technologies (which, in our view, are </w:t>
      </w:r>
      <w:r w:rsidR="0026480F">
        <w:t>typically more efficient at using the spectrum resource)</w:t>
      </w:r>
      <w:r w:rsidR="0095139C">
        <w:t xml:space="preserve"> </w:t>
      </w:r>
      <w:r w:rsidR="002E0ACD">
        <w:t xml:space="preserve">is also </w:t>
      </w:r>
      <w:r w:rsidR="0026480F">
        <w:t xml:space="preserve">a priority in the SoE that the </w:t>
      </w:r>
      <w:r w:rsidR="00B801F6">
        <w:t>m</w:t>
      </w:r>
      <w:r w:rsidR="0026480F">
        <w:t>inister</w:t>
      </w:r>
      <w:r w:rsidR="00771A20">
        <w:t xml:space="preserve"> identified as being relevant to ESL</w:t>
      </w:r>
      <w:r w:rsidR="00D0689B">
        <w:t>s</w:t>
      </w:r>
      <w:r w:rsidR="002C374D">
        <w:t>.</w:t>
      </w:r>
      <w:r w:rsidR="005E35C7">
        <w:t xml:space="preserve"> </w:t>
      </w:r>
      <w:r w:rsidR="002C374D">
        <w:t xml:space="preserve">The </w:t>
      </w:r>
      <w:r w:rsidR="004B7C70">
        <w:t>m</w:t>
      </w:r>
      <w:r w:rsidR="002C374D">
        <w:t>inister has also proposed specifying o</w:t>
      </w:r>
      <w:r w:rsidR="00664E24">
        <w:t>pportunities for new entrants and use cases</w:t>
      </w:r>
      <w:r w:rsidR="00F26241">
        <w:t>, including for low earth orbit satellite</w:t>
      </w:r>
      <w:r w:rsidR="00C41FE2">
        <w:t>s</w:t>
      </w:r>
      <w:r w:rsidR="00D937C4">
        <w:t xml:space="preserve"> (LEOsats)</w:t>
      </w:r>
      <w:r w:rsidR="00C41FE2">
        <w:t>,</w:t>
      </w:r>
      <w:r w:rsidR="0026480F">
        <w:t xml:space="preserve"> </w:t>
      </w:r>
      <w:r w:rsidR="002C374D">
        <w:t xml:space="preserve">in the </w:t>
      </w:r>
      <w:r w:rsidR="005E0968">
        <w:t xml:space="preserve">proposed </w:t>
      </w:r>
      <w:r w:rsidR="002C374D">
        <w:t xml:space="preserve">MPS, and </w:t>
      </w:r>
      <w:r w:rsidR="009A24AE">
        <w:t xml:space="preserve">there may be </w:t>
      </w:r>
      <w:r w:rsidR="00826C32">
        <w:t xml:space="preserve">new entrants and use cases that </w:t>
      </w:r>
      <w:r w:rsidR="009A24AE">
        <w:t>could use spectrum covered by ESLs in way</w:t>
      </w:r>
      <w:r w:rsidR="00D0319F">
        <w:t xml:space="preserve">s that are efficient, and generate economic value and social benefits.  </w:t>
      </w:r>
    </w:p>
    <w:p w14:paraId="001CFE70" w14:textId="5E025094" w:rsidR="007B634F" w:rsidRDefault="007B634F" w:rsidP="007B634F">
      <w:pPr>
        <w:pStyle w:val="Paragraph"/>
      </w:pPr>
      <w:r>
        <w:t>As indicated in our stage 1 consultation, we will</w:t>
      </w:r>
      <w:r w:rsidR="005B6284">
        <w:t xml:space="preserve"> </w:t>
      </w:r>
      <w:r>
        <w:t xml:space="preserve">frame our consideration of efficiency around the concepts of productive, </w:t>
      </w:r>
      <w:proofErr w:type="gramStart"/>
      <w:r>
        <w:t>allocative</w:t>
      </w:r>
      <w:proofErr w:type="gramEnd"/>
      <w:r>
        <w:t xml:space="preserve"> and dynamic efficiency.</w:t>
      </w:r>
      <w:r>
        <w:rPr>
          <w:rStyle w:val="FootnoteReference"/>
        </w:rPr>
        <w:footnoteReference w:id="25"/>
      </w:r>
      <w:r>
        <w:t xml:space="preserve"> </w:t>
      </w:r>
    </w:p>
    <w:p w14:paraId="7359CA67" w14:textId="3B738B6E" w:rsidR="007B634F" w:rsidRDefault="007B634F" w:rsidP="007B634F">
      <w:pPr>
        <w:pStyle w:val="Paragraph"/>
      </w:pPr>
      <w:r>
        <w:t xml:space="preserve">We also note, with closer reference to </w:t>
      </w:r>
      <w:proofErr w:type="gramStart"/>
      <w:r>
        <w:t>spectrum in particular, that</w:t>
      </w:r>
      <w:proofErr w:type="gramEnd"/>
      <w:r>
        <w:t xml:space="preserve"> efficient use of the spectrum involves maximising the value of outputs produced from the available spectrum, including those that are ‘public outputs’ provided by non-commercial operators.</w:t>
      </w:r>
      <w:r>
        <w:rPr>
          <w:rStyle w:val="FootnoteReference"/>
        </w:rPr>
        <w:footnoteReference w:id="26"/>
      </w:r>
    </w:p>
    <w:p w14:paraId="56B6C8B4" w14:textId="3DD496F2" w:rsidR="007B634F" w:rsidRDefault="007B634F" w:rsidP="007B634F">
      <w:pPr>
        <w:pStyle w:val="Paragraph"/>
      </w:pPr>
      <w:r>
        <w:t xml:space="preserve">Together, these concepts will allow stakeholders and the ACMA to consider technical elements of spectrum use and management, </w:t>
      </w:r>
      <w:r w:rsidR="003723BD">
        <w:t xml:space="preserve">the </w:t>
      </w:r>
      <w:r>
        <w:t>societal benefit, and an overall long-term view on whether changes in technologies, users and use</w:t>
      </w:r>
      <w:r w:rsidR="005B77BE">
        <w:t>s</w:t>
      </w:r>
      <w:r>
        <w:t xml:space="preserve"> are optimising use of the spectrum.</w:t>
      </w:r>
    </w:p>
    <w:p w14:paraId="3D3E9036" w14:textId="1229CE3E" w:rsidR="007B634F" w:rsidRDefault="007B634F" w:rsidP="007B634F">
      <w:pPr>
        <w:pStyle w:val="Paragraph"/>
      </w:pPr>
      <w:r>
        <w:t>We consider provi</w:t>
      </w:r>
      <w:r w:rsidR="004D0EEF">
        <w:t xml:space="preserve">ding </w:t>
      </w:r>
      <w:r>
        <w:t xml:space="preserve">a service within a geographic area covered by an ESL should be considered as a matter of efficiency. </w:t>
      </w:r>
      <w:r w:rsidR="00DD26D6">
        <w:t>Unlike other natural resources, s</w:t>
      </w:r>
      <w:r>
        <w:t>pectrum is a non-depletable, infinitely renewable resource</w:t>
      </w:r>
      <w:r w:rsidR="00DD26D6">
        <w:t>,</w:t>
      </w:r>
      <w:r w:rsidDel="00DD26D6">
        <w:t xml:space="preserve"> </w:t>
      </w:r>
      <w:r>
        <w:t>and so there is an in-</w:t>
      </w:r>
      <w:proofErr w:type="gramStart"/>
      <w:r>
        <w:t>principle</w:t>
      </w:r>
      <w:proofErr w:type="gramEnd"/>
      <w:r>
        <w:t xml:space="preserve"> </w:t>
      </w:r>
      <w:r w:rsidR="00DD26D6">
        <w:t xml:space="preserve">argument </w:t>
      </w:r>
      <w:r>
        <w:t>that unused spectrum forgoes potential value generated in the economy.</w:t>
      </w:r>
      <w:r>
        <w:rPr>
          <w:rStyle w:val="FootnoteReference"/>
        </w:rPr>
        <w:footnoteReference w:id="27"/>
      </w:r>
      <w:r>
        <w:t xml:space="preserve"> There may be instances where </w:t>
      </w:r>
      <w:r w:rsidR="00DA05D1">
        <w:t>un</w:t>
      </w:r>
      <w:r w:rsidR="00C11E24">
        <w:t>used</w:t>
      </w:r>
      <w:r>
        <w:t xml:space="preserve"> or under-utilis</w:t>
      </w:r>
      <w:r w:rsidR="00C11E24">
        <w:t>ed</w:t>
      </w:r>
      <w:r>
        <w:t xml:space="preserve"> spectrum is efficient or in the public interest (for example, the licensee may have future plans for that spectrum, or its limited use could be an interference-management strategy).</w:t>
      </w:r>
      <w:r w:rsidR="005E35C7">
        <w:t xml:space="preserve"> </w:t>
      </w:r>
      <w:r>
        <w:t xml:space="preserve">However, </w:t>
      </w:r>
      <w:r w:rsidR="002702E0">
        <w:t xml:space="preserve">we </w:t>
      </w:r>
      <w:r w:rsidR="000318EF">
        <w:t>are</w:t>
      </w:r>
      <w:r>
        <w:t xml:space="preserve"> interested in patterns of long-term </w:t>
      </w:r>
      <w:r w:rsidR="004235AD">
        <w:t>un</w:t>
      </w:r>
      <w:r w:rsidR="002546C4">
        <w:t>used</w:t>
      </w:r>
      <w:r w:rsidR="004235AD">
        <w:t xml:space="preserve"> or </w:t>
      </w:r>
      <w:r>
        <w:t>under-utilis</w:t>
      </w:r>
      <w:r w:rsidR="00C11E24">
        <w:t>ed spectrum</w:t>
      </w:r>
      <w:r>
        <w:t xml:space="preserve"> – either by the </w:t>
      </w:r>
      <w:r>
        <w:lastRenderedPageBreak/>
        <w:t>licensee or considering the absence of any trades or third-party authorisations</w:t>
      </w:r>
      <w:r w:rsidR="000318EF">
        <w:t>, as</w:t>
      </w:r>
      <w:r>
        <w:t xml:space="preserve"> spectrum may not be being put to its most economically efficient and productive use. </w:t>
      </w:r>
    </w:p>
    <w:p w14:paraId="0ECAD89F" w14:textId="2B633F9A" w:rsidR="00B652C0" w:rsidRDefault="007B634F" w:rsidP="007B634F">
      <w:pPr>
        <w:pStyle w:val="Paragraph"/>
      </w:pPr>
      <w:r>
        <w:t>We note that much of th</w:t>
      </w:r>
      <w:r w:rsidR="00414DAE">
        <w:t>e</w:t>
      </w:r>
      <w:r>
        <w:t xml:space="preserve"> </w:t>
      </w:r>
      <w:r w:rsidR="00B72A88">
        <w:t xml:space="preserve">sub-1 GHz </w:t>
      </w:r>
      <w:r>
        <w:t xml:space="preserve">spectrum </w:t>
      </w:r>
      <w:r w:rsidR="006C5E05">
        <w:t xml:space="preserve">subject to Australia-wide licensing arrangements </w:t>
      </w:r>
      <w:r w:rsidR="00414DAE">
        <w:t xml:space="preserve">covered by ESLs </w:t>
      </w:r>
      <w:r>
        <w:t>has been refarmed for multiple generations of technology to support Australian business and consumers. This would be a positive indication of efficient use of the spectrum: the essential physical properties of the spectrum are fixed, and its productive capacity greatly depends on the type of technology used.</w:t>
      </w:r>
      <w:r>
        <w:rPr>
          <w:rStyle w:val="FootnoteReference"/>
        </w:rPr>
        <w:footnoteReference w:id="28"/>
      </w:r>
      <w:r>
        <w:t xml:space="preserve"> </w:t>
      </w:r>
    </w:p>
    <w:p w14:paraId="242F33E5" w14:textId="12CBC1D8" w:rsidR="007B634F" w:rsidRDefault="007B634F" w:rsidP="007B634F">
      <w:pPr>
        <w:pStyle w:val="Paragraph"/>
      </w:pPr>
      <w:r>
        <w:t xml:space="preserve">However, we also note that this spectrum is almost entirely allocated, and the ESL process could shape how that spectrum is used over the next 20 years. The Act provides for licensees to subdivide and trade their spectrum licences, and this arrangement can facilitate allocatively and dynamically efficient outcomes. </w:t>
      </w:r>
      <w:r w:rsidR="000318EF">
        <w:t>If</w:t>
      </w:r>
      <w:r>
        <w:t xml:space="preserve"> there is alternative demand for allocated, but underutilised</w:t>
      </w:r>
      <w:r w:rsidR="00286D1F">
        <w:t>,</w:t>
      </w:r>
      <w:r>
        <w:t xml:space="preserve"> spectrum, we will consider </w:t>
      </w:r>
      <w:r w:rsidR="00BF0241">
        <w:t xml:space="preserve">if </w:t>
      </w:r>
      <w:r>
        <w:t xml:space="preserve">the current arrangements are allocatively and dynamically efficient. </w:t>
      </w:r>
    </w:p>
    <w:p w14:paraId="41E6AE95" w14:textId="25B112C3" w:rsidR="007B634F" w:rsidRDefault="007B634F" w:rsidP="007B634F">
      <w:pPr>
        <w:pStyle w:val="Paragraph"/>
      </w:pPr>
      <w:r>
        <w:t>We encourage incumbents to illustrate how their use of the spectrum has delivered against th</w:t>
      </w:r>
      <w:r w:rsidR="00B652C0">
        <w:t>e</w:t>
      </w:r>
      <w:r>
        <w:t xml:space="preserve">se concepts of efficiency, with reference to the object of the Act and the </w:t>
      </w:r>
      <w:r w:rsidR="0085611A">
        <w:t xml:space="preserve">relevant priorities in the </w:t>
      </w:r>
      <w:r>
        <w:t>S</w:t>
      </w:r>
      <w:r w:rsidR="00286D1F">
        <w:t>o</w:t>
      </w:r>
      <w:r>
        <w:t>E.</w:t>
      </w:r>
    </w:p>
    <w:p w14:paraId="49C47487" w14:textId="2A2C0418" w:rsidR="007B634F" w:rsidRDefault="007B634F" w:rsidP="007B634F">
      <w:pPr>
        <w:pStyle w:val="Paragraph"/>
      </w:pPr>
      <w:r>
        <w:t xml:space="preserve">Prospective licensees </w:t>
      </w:r>
      <w:r w:rsidR="00EE2C59">
        <w:t xml:space="preserve">should be able to </w:t>
      </w:r>
      <w:r w:rsidR="00723939">
        <w:t xml:space="preserve">illustrate </w:t>
      </w:r>
      <w:r>
        <w:t xml:space="preserve">how their alternative use of the spectrum could generate economic value or social benefits in ways that incumbents have </w:t>
      </w:r>
      <w:proofErr w:type="gramStart"/>
      <w:r>
        <w:t>not</w:t>
      </w:r>
      <w:r w:rsidR="00BE7BDE">
        <w:t>, or</w:t>
      </w:r>
      <w:proofErr w:type="gramEnd"/>
      <w:r w:rsidR="00BE7BDE">
        <w:t xml:space="preserve"> may be unlikely to</w:t>
      </w:r>
      <w:r>
        <w:t>.</w:t>
      </w:r>
    </w:p>
    <w:p w14:paraId="10B73630" w14:textId="77777777" w:rsidR="007B634F" w:rsidRPr="007B634F" w:rsidRDefault="007B634F" w:rsidP="007B634F">
      <w:pPr>
        <w:pStyle w:val="Heading3"/>
      </w:pPr>
      <w:bookmarkStart w:id="22" w:name="_Toc149065099"/>
      <w:r w:rsidRPr="00DB309C">
        <w:t xml:space="preserve">Criterion 2: promotes investment and </w:t>
      </w:r>
      <w:proofErr w:type="gramStart"/>
      <w:r w:rsidRPr="00DB309C">
        <w:t>innovation</w:t>
      </w:r>
      <w:bookmarkEnd w:id="22"/>
      <w:proofErr w:type="gramEnd"/>
    </w:p>
    <w:p w14:paraId="5FA68C6D" w14:textId="7F2DEDF8" w:rsidR="007B634F" w:rsidRPr="007B634F" w:rsidRDefault="007B634F" w:rsidP="007B634F">
      <w:pPr>
        <w:pStyle w:val="Paragraph"/>
      </w:pPr>
      <w:r w:rsidRPr="007B634F">
        <w:t xml:space="preserve">As we noted in our stage 1 consultation, investment and innovation </w:t>
      </w:r>
      <w:r w:rsidR="00286D1F">
        <w:t>are</w:t>
      </w:r>
      <w:r w:rsidR="00286D1F" w:rsidRPr="007B634F">
        <w:t xml:space="preserve"> </w:t>
      </w:r>
      <w:r w:rsidRPr="007B634F">
        <w:t>related to, and can encourage, efficient use of the spectrum.</w:t>
      </w:r>
    </w:p>
    <w:p w14:paraId="13662C42" w14:textId="16F5F00D" w:rsidR="007B634F" w:rsidRPr="007B634F" w:rsidRDefault="007B634F" w:rsidP="007B634F">
      <w:pPr>
        <w:pStyle w:val="Paragraph"/>
      </w:pPr>
      <w:r w:rsidRPr="007B634F">
        <w:t xml:space="preserve">Spectrum licences are typically optimised to support major technology milestones, such as the next generation of </w:t>
      </w:r>
      <w:r w:rsidR="00B55371">
        <w:t>wireless broadband</w:t>
      </w:r>
      <w:r w:rsidRPr="007B634F">
        <w:t>, but are also designed to be technology flexible, meaning that licensees have few</w:t>
      </w:r>
      <w:r w:rsidR="000F22F7">
        <w:t>er</w:t>
      </w:r>
      <w:r w:rsidRPr="007B634F">
        <w:t xml:space="preserve"> regulatory barriers to adapt their business strategies</w:t>
      </w:r>
      <w:r w:rsidRPr="007B634F" w:rsidDel="0048248B">
        <w:t xml:space="preserve"> </w:t>
      </w:r>
      <w:r w:rsidRPr="007B634F">
        <w:t xml:space="preserve">to invest and innovate for the long-term, and </w:t>
      </w:r>
      <w:r w:rsidR="00422D63">
        <w:t xml:space="preserve">quickly </w:t>
      </w:r>
      <w:r w:rsidRPr="007B634F">
        <w:t xml:space="preserve">respond to new developments. </w:t>
      </w:r>
      <w:r w:rsidR="00B22EF1">
        <w:t xml:space="preserve">They also provide licensees </w:t>
      </w:r>
      <w:r w:rsidR="0043353B">
        <w:t xml:space="preserve">with </w:t>
      </w:r>
      <w:r w:rsidR="00B22EF1">
        <w:t xml:space="preserve">considerable flexibility to deploy </w:t>
      </w:r>
      <w:r w:rsidR="00211EE3">
        <w:t xml:space="preserve">and operate equipment </w:t>
      </w:r>
      <w:r w:rsidR="001F336A">
        <w:t>as necessary</w:t>
      </w:r>
      <w:r w:rsidR="007E7298">
        <w:t>, subject to the technical framework,</w:t>
      </w:r>
      <w:r w:rsidR="001F336A">
        <w:t xml:space="preserve"> throughout the licensed spectrum space</w:t>
      </w:r>
      <w:r w:rsidR="007E7298">
        <w:t xml:space="preserve">, enabling </w:t>
      </w:r>
      <w:r w:rsidR="00A8476E">
        <w:t xml:space="preserve">licensees to change and adapt their use over time without acquiring new licences. </w:t>
      </w:r>
    </w:p>
    <w:p w14:paraId="51BCA0B7" w14:textId="293E2068" w:rsidR="007B634F" w:rsidRPr="007B634F" w:rsidRDefault="004A7AF8" w:rsidP="007B634F">
      <w:pPr>
        <w:pStyle w:val="Paragraph"/>
      </w:pPr>
      <w:r>
        <w:t>P</w:t>
      </w:r>
      <w:r w:rsidR="007B634F" w:rsidRPr="007B634F">
        <w:t xml:space="preserve">romoting investment, </w:t>
      </w:r>
      <w:proofErr w:type="gramStart"/>
      <w:r w:rsidR="007B634F" w:rsidRPr="007B634F">
        <w:t>innovation</w:t>
      </w:r>
      <w:proofErr w:type="gramEnd"/>
      <w:r w:rsidR="007B634F" w:rsidRPr="007B634F">
        <w:t xml:space="preserve"> and the adoption of new and emerging technologies, while continuing to safeguard the interests of consumers and small businesses</w:t>
      </w:r>
      <w:r w:rsidR="00F30B45">
        <w:t>,</w:t>
      </w:r>
      <w:r w:rsidR="007B634F" w:rsidRPr="007B634F">
        <w:t xml:space="preserve"> is a</w:t>
      </w:r>
      <w:r w:rsidR="0006444F">
        <w:t xml:space="preserve"> priority </w:t>
      </w:r>
      <w:r>
        <w:t xml:space="preserve">contained in the SoE that the </w:t>
      </w:r>
      <w:r w:rsidR="00723939">
        <w:t>m</w:t>
      </w:r>
      <w:r>
        <w:t>inister identified as being relevant to ESL</w:t>
      </w:r>
      <w:r w:rsidR="00A027E5">
        <w:t>s</w:t>
      </w:r>
      <w:r w:rsidR="007B634F" w:rsidRPr="007B634F">
        <w:t xml:space="preserve">. </w:t>
      </w:r>
      <w:r w:rsidR="00D32B52">
        <w:t xml:space="preserve">The </w:t>
      </w:r>
      <w:r w:rsidR="00A027E5">
        <w:t>m</w:t>
      </w:r>
      <w:r w:rsidR="00D32B52">
        <w:t xml:space="preserve">inister </w:t>
      </w:r>
      <w:r w:rsidR="005E0968">
        <w:t xml:space="preserve">has </w:t>
      </w:r>
      <w:r w:rsidR="00A027E5">
        <w:t>also</w:t>
      </w:r>
      <w:r w:rsidR="005E0968">
        <w:t xml:space="preserve"> indicated that </w:t>
      </w:r>
      <w:r w:rsidR="00B54FA0">
        <w:t xml:space="preserve">capacity for sustained </w:t>
      </w:r>
      <w:r w:rsidR="00D32B52">
        <w:t xml:space="preserve">investment and innovation </w:t>
      </w:r>
      <w:r w:rsidR="005E0968">
        <w:t>may be a</w:t>
      </w:r>
      <w:r w:rsidR="0006444F">
        <w:t xml:space="preserve"> policy priority </w:t>
      </w:r>
      <w:r w:rsidR="005E0968">
        <w:t xml:space="preserve">specified in the proposed </w:t>
      </w:r>
      <w:r w:rsidR="0006444F">
        <w:t>MPS</w:t>
      </w:r>
      <w:r w:rsidR="00E92955">
        <w:t>. S</w:t>
      </w:r>
      <w:r w:rsidR="007B634F" w:rsidRPr="007B634F">
        <w:t>upporting the deployment of new and innovative technology, including 5G in the 3.4 – 4 GHz band</w:t>
      </w:r>
      <w:r w:rsidR="00CB2FCA">
        <w:t>,</w:t>
      </w:r>
      <w:r w:rsidR="007B634F" w:rsidRPr="007B634F">
        <w:t xml:space="preserve"> is also a policy objective of the</w:t>
      </w:r>
      <w:r w:rsidR="00D32B52">
        <w:t xml:space="preserve"> 3.4 GHz</w:t>
      </w:r>
      <w:r w:rsidR="007B634F" w:rsidRPr="007B634F">
        <w:t xml:space="preserve"> MPS. </w:t>
      </w:r>
    </w:p>
    <w:p w14:paraId="4C6E63EC" w14:textId="201BBA55" w:rsidR="007B634F" w:rsidRPr="007B634F" w:rsidRDefault="0036525F" w:rsidP="007B634F">
      <w:pPr>
        <w:pStyle w:val="Paragraph"/>
      </w:pPr>
      <w:r>
        <w:t>A</w:t>
      </w:r>
      <w:r w:rsidR="00CB287D" w:rsidRPr="007B634F">
        <w:t>dvanced radiofrequency communications, including 5G and 6G</w:t>
      </w:r>
      <w:r w:rsidR="00950EB4">
        <w:t>,</w:t>
      </w:r>
      <w:r w:rsidR="00CB287D" w:rsidRPr="007B634F">
        <w:t xml:space="preserve"> </w:t>
      </w:r>
      <w:r>
        <w:t xml:space="preserve">are considered to be </w:t>
      </w:r>
      <w:hyperlink r:id="rId51" w:history="1">
        <w:r>
          <w:rPr>
            <w:rStyle w:val="Hyperlink"/>
          </w:rPr>
          <w:t>c</w:t>
        </w:r>
        <w:r w:rsidR="007B634F" w:rsidRPr="00FE636D">
          <w:rPr>
            <w:rStyle w:val="Hyperlink"/>
          </w:rPr>
          <w:t xml:space="preserve">ritical </w:t>
        </w:r>
        <w:r>
          <w:rPr>
            <w:rStyle w:val="Hyperlink"/>
          </w:rPr>
          <w:t>t</w:t>
        </w:r>
        <w:r w:rsidR="007B634F" w:rsidRPr="00FE636D">
          <w:rPr>
            <w:rStyle w:val="Hyperlink"/>
          </w:rPr>
          <w:t>echnologies</w:t>
        </w:r>
      </w:hyperlink>
      <w:r w:rsidR="007B634F" w:rsidRPr="007B634F">
        <w:t xml:space="preserve"> that can impact Australia’s national interest, including economic prosperity, national security and social cohesion</w:t>
      </w:r>
      <w:r w:rsidR="0002457B">
        <w:t>.</w:t>
      </w:r>
      <w:r w:rsidR="007B634F" w:rsidRPr="007B634F">
        <w:t xml:space="preserve"> </w:t>
      </w:r>
      <w:r w:rsidR="00352F70">
        <w:t>E</w:t>
      </w:r>
      <w:r w:rsidR="007B634F" w:rsidRPr="007B634F">
        <w:t xml:space="preserve">ncouraging uptake </w:t>
      </w:r>
      <w:r w:rsidR="0086003C">
        <w:t xml:space="preserve">of these technologies </w:t>
      </w:r>
      <w:r w:rsidR="007B634F" w:rsidRPr="007B634F">
        <w:t>across the economy, and encouraging local and international investment</w:t>
      </w:r>
      <w:r w:rsidR="0086003C">
        <w:t xml:space="preserve">, </w:t>
      </w:r>
      <w:r w:rsidR="008B470C">
        <w:t>would likely be conducive to the public interest</w:t>
      </w:r>
      <w:r w:rsidR="007B634F" w:rsidRPr="007B634F">
        <w:t>.</w:t>
      </w:r>
    </w:p>
    <w:p w14:paraId="41FC2D99" w14:textId="3C991F9C" w:rsidR="007B634F" w:rsidRPr="00044CF9" w:rsidRDefault="007B634F" w:rsidP="007B634F">
      <w:pPr>
        <w:pStyle w:val="Paragraph"/>
      </w:pPr>
      <w:r w:rsidRPr="00044CF9">
        <w:t xml:space="preserve">Technological and digital transformation is one of the 5 major domestic and global forces that the </w:t>
      </w:r>
      <w:hyperlink r:id="rId52" w:history="1">
        <w:r w:rsidRPr="00B42F71">
          <w:rPr>
            <w:rStyle w:val="Hyperlink"/>
            <w:i/>
          </w:rPr>
          <w:t>Intergenerational report 2023</w:t>
        </w:r>
      </w:hyperlink>
      <w:r w:rsidR="00AC0089">
        <w:t xml:space="preserve"> </w:t>
      </w:r>
      <w:r w:rsidRPr="00044CF9">
        <w:t xml:space="preserve">considers will continue to shape </w:t>
      </w:r>
      <w:r w:rsidRPr="00044CF9">
        <w:lastRenderedPageBreak/>
        <w:t>Australia’s future path of economic growth and the composition of the economy</w:t>
      </w:r>
      <w:r w:rsidR="00CD6929">
        <w:t>.</w:t>
      </w:r>
      <w:r w:rsidR="007D14BA">
        <w:t xml:space="preserve"> </w:t>
      </w:r>
      <w:r w:rsidR="00CD6929">
        <w:t>T</w:t>
      </w:r>
      <w:r w:rsidRPr="00044CF9">
        <w:t>he public mobile network service market</w:t>
      </w:r>
      <w:r w:rsidR="00CD6929">
        <w:t>, for example,</w:t>
      </w:r>
      <w:r w:rsidRPr="00044CF9">
        <w:t xml:space="preserve"> was worth $12.4 billion in 2021, and is expected to grow to $14.7 billion over the next five years.</w:t>
      </w:r>
      <w:r w:rsidRPr="00044CF9">
        <w:rPr>
          <w:rStyle w:val="FootnoteReference"/>
        </w:rPr>
        <w:footnoteReference w:id="29"/>
      </w:r>
      <w:r w:rsidRPr="00044CF9">
        <w:t xml:space="preserve"> </w:t>
      </w:r>
    </w:p>
    <w:p w14:paraId="026E30C2" w14:textId="368A2BC4" w:rsidR="007B634F" w:rsidRPr="002D7723" w:rsidRDefault="007B634F" w:rsidP="007B634F">
      <w:pPr>
        <w:pStyle w:val="Paragraph"/>
      </w:pPr>
      <w:r w:rsidRPr="002D7723">
        <w:t xml:space="preserve">In our stage 1 consultation, we noted increasing demand for mobile data has implications for Australian networks, requiring increased capacity, and investment and innovation in how spectrum is used. </w:t>
      </w:r>
    </w:p>
    <w:p w14:paraId="585144B6" w14:textId="5EFB6A75" w:rsidR="007B634F" w:rsidRPr="002D7723" w:rsidRDefault="007B634F" w:rsidP="007B634F">
      <w:pPr>
        <w:pStyle w:val="Paragraph"/>
      </w:pPr>
      <w:r w:rsidRPr="002D7723">
        <w:t xml:space="preserve">Our consideration of innovation is not confined to new technology. New or proposed business or deployment models (for example, passive and </w:t>
      </w:r>
      <w:r w:rsidR="00F6793C">
        <w:t xml:space="preserve">other </w:t>
      </w:r>
      <w:r w:rsidRPr="002D7723">
        <w:t xml:space="preserve">sharing models), investment strategies, partnerships, and </w:t>
      </w:r>
      <w:r w:rsidR="008E1951">
        <w:t xml:space="preserve">novel </w:t>
      </w:r>
      <w:r w:rsidRPr="002D7723">
        <w:t xml:space="preserve">use of </w:t>
      </w:r>
      <w:r w:rsidR="008E1951">
        <w:t xml:space="preserve">established </w:t>
      </w:r>
      <w:r w:rsidRPr="002D7723">
        <w:t xml:space="preserve">technologies, are also examples of innovation. </w:t>
      </w:r>
    </w:p>
    <w:p w14:paraId="40C5E9D6" w14:textId="673A1110" w:rsidR="007B634F" w:rsidRDefault="007B634F" w:rsidP="007B634F">
      <w:pPr>
        <w:pStyle w:val="Paragraph"/>
      </w:pPr>
      <w:r w:rsidRPr="002D7723">
        <w:t xml:space="preserve">For example, we note in our </w:t>
      </w:r>
      <w:hyperlink r:id="rId53" w:history="1">
        <w:r w:rsidR="00B93A61" w:rsidRPr="00CB6239">
          <w:rPr>
            <w:rStyle w:val="Hyperlink"/>
          </w:rPr>
          <w:t>private wireless networks market study</w:t>
        </w:r>
      </w:hyperlink>
      <w:r w:rsidRPr="002D7723">
        <w:t xml:space="preserve"> </w:t>
      </w:r>
      <w:r w:rsidR="00CF2255">
        <w:t xml:space="preserve">that </w:t>
      </w:r>
      <w:r w:rsidRPr="002D7723">
        <w:t xml:space="preserve">private 4G and 5G networks typically rely on the same technology as public </w:t>
      </w:r>
      <w:r w:rsidR="00ED568F">
        <w:t xml:space="preserve">wireless broadband </w:t>
      </w:r>
      <w:r w:rsidRPr="002D7723">
        <w:t xml:space="preserve">networks; the main difference </w:t>
      </w:r>
      <w:r w:rsidR="00CF2255">
        <w:t xml:space="preserve">is </w:t>
      </w:r>
      <w:r w:rsidRPr="002D7723">
        <w:t>access to spectrum and control over network performance.</w:t>
      </w:r>
      <w:r w:rsidRPr="00044CF9">
        <w:t xml:space="preserve"> According</w:t>
      </w:r>
      <w:r>
        <w:t xml:space="preserve"> to some industry analysts and experts, private wireless networks will induce a fourth industrial revolution of highly automated and efficient production. Governments are monitoring progress of the deployment of private networks and funding trials that include deploying private networks to encourage innovation.</w:t>
      </w:r>
      <w:r>
        <w:rPr>
          <w:rStyle w:val="FootnoteReference"/>
        </w:rPr>
        <w:footnoteReference w:id="30"/>
      </w:r>
      <w:r>
        <w:t xml:space="preserve"> T</w:t>
      </w:r>
      <w:r w:rsidRPr="008C5BE9">
        <w:t xml:space="preserve">he Australian </w:t>
      </w:r>
      <w:r>
        <w:t>private wireless network</w:t>
      </w:r>
      <w:r w:rsidRPr="008C5BE9">
        <w:t xml:space="preserve"> market </w:t>
      </w:r>
      <w:r>
        <w:t xml:space="preserve">was valued </w:t>
      </w:r>
      <w:r w:rsidRPr="008C5BE9">
        <w:t>at $130</w:t>
      </w:r>
      <w:r>
        <w:t> </w:t>
      </w:r>
      <w:r w:rsidRPr="008C5BE9">
        <w:t>million in 2021.</w:t>
      </w:r>
      <w:r>
        <w:t xml:space="preserve"> </w:t>
      </w:r>
      <w:r w:rsidRPr="008C5BE9">
        <w:t>It</w:t>
      </w:r>
      <w:r>
        <w:t xml:space="preserve"> is</w:t>
      </w:r>
      <w:r w:rsidRPr="008C5BE9">
        <w:t xml:space="preserve"> </w:t>
      </w:r>
      <w:r>
        <w:t>predicted that t</w:t>
      </w:r>
      <w:r w:rsidRPr="008C5BE9">
        <w:t xml:space="preserve">he market </w:t>
      </w:r>
      <w:r>
        <w:t>will</w:t>
      </w:r>
      <w:r w:rsidRPr="008C5BE9">
        <w:t xml:space="preserve"> grow nearly 30% annually over the next 5 years to be worth $695 million by 2027.</w:t>
      </w:r>
      <w:r w:rsidRPr="008C5BE9">
        <w:rPr>
          <w:rStyle w:val="FootnoteReference"/>
        </w:rPr>
        <w:footnoteReference w:id="31"/>
      </w:r>
      <w:r w:rsidRPr="008C5BE9">
        <w:t xml:space="preserve"> </w:t>
      </w:r>
      <w:r>
        <w:t xml:space="preserve">However, the rate of deployment will depend on both business demand for automation and – relevantly for ESL considerations – access to spectrum. </w:t>
      </w:r>
    </w:p>
    <w:p w14:paraId="03A8A0EB" w14:textId="275D25F7" w:rsidR="007B634F" w:rsidRDefault="007B634F" w:rsidP="007B634F">
      <w:pPr>
        <w:pStyle w:val="Paragraph"/>
      </w:pPr>
      <w:r>
        <w:t>Mid-band spectrum is often highly desirable for private wireless networks, due to equipment availability and the types of localised business cases. However, we have received feedback that low, or certain mid</w:t>
      </w:r>
      <w:r w:rsidR="000F22F7">
        <w:t>-</w:t>
      </w:r>
      <w:r>
        <w:t>band (1800</w:t>
      </w:r>
      <w:r w:rsidR="00B8237C">
        <w:t>–2100 MHz</w:t>
      </w:r>
      <w:r w:rsidR="00B8237C" w:rsidDel="00B8237C">
        <w:t xml:space="preserve"> </w:t>
      </w:r>
      <w:r w:rsidR="00274DE4">
        <w:t>and parts of 3.4– 4.0 GHz</w:t>
      </w:r>
      <w:r>
        <w:t>) spectrum is preferrable in many cases, and that much of this spectrum is covered by ESLs.</w:t>
      </w:r>
      <w:r w:rsidRPr="00524FC7">
        <w:t xml:space="preserve"> </w:t>
      </w:r>
      <w:r>
        <w:t>Some governments around the world have reserved spectrum for private industrial applications.</w:t>
      </w:r>
      <w:r>
        <w:rPr>
          <w:rStyle w:val="FootnoteReference"/>
        </w:rPr>
        <w:footnoteReference w:id="32"/>
      </w:r>
      <w:r>
        <w:t xml:space="preserve"> And there is a strong</w:t>
      </w:r>
      <w:r w:rsidR="00A866C9">
        <w:t>,</w:t>
      </w:r>
      <w:r>
        <w:t xml:space="preserve"> positive correlation between private wireless network deployment and governments making spectrum available for industrial purposes or private wireless networks.</w:t>
      </w:r>
      <w:r>
        <w:rPr>
          <w:rStyle w:val="FootnoteReference"/>
        </w:rPr>
        <w:footnoteReference w:id="33"/>
      </w:r>
      <w:r w:rsidR="00EA371F">
        <w:t xml:space="preserve"> In Australia, we </w:t>
      </w:r>
      <w:r w:rsidR="00177318">
        <w:t xml:space="preserve">have made </w:t>
      </w:r>
      <w:r w:rsidR="004E0DCB">
        <w:t>apparatus</w:t>
      </w:r>
      <w:r w:rsidR="00AC4AF6">
        <w:t>-</w:t>
      </w:r>
      <w:r w:rsidR="004E0DCB">
        <w:t xml:space="preserve"> and class</w:t>
      </w:r>
      <w:r w:rsidR="00AC4AF6">
        <w:t>-</w:t>
      </w:r>
      <w:r w:rsidR="004E0DCB">
        <w:t xml:space="preserve">licensing arrangements available in </w:t>
      </w:r>
      <w:r w:rsidR="00776DA6">
        <w:t>several</w:t>
      </w:r>
      <w:r w:rsidR="004E0DCB">
        <w:t xml:space="preserve"> bands</w:t>
      </w:r>
      <w:r w:rsidR="00620B86">
        <w:t xml:space="preserve"> that could be used to support private networks</w:t>
      </w:r>
      <w:r w:rsidR="004A3601">
        <w:t xml:space="preserve"> and industrial applications</w:t>
      </w:r>
      <w:r w:rsidR="00FA6648">
        <w:t>. We</w:t>
      </w:r>
      <w:r w:rsidR="0063375F">
        <w:t xml:space="preserve"> recently </w:t>
      </w:r>
      <w:r w:rsidR="00B23075">
        <w:t>allocat</w:t>
      </w:r>
      <w:r w:rsidR="001F6006">
        <w:t>ed</w:t>
      </w:r>
      <w:r w:rsidR="00B23075">
        <w:t xml:space="preserve"> area-wide licences (</w:t>
      </w:r>
      <w:proofErr w:type="spellStart"/>
      <w:r w:rsidR="00B23075">
        <w:t>AWLs</w:t>
      </w:r>
      <w:proofErr w:type="spellEnd"/>
      <w:r w:rsidR="00B23075">
        <w:t xml:space="preserve">) in </w:t>
      </w:r>
      <w:r w:rsidR="0063375F">
        <w:t xml:space="preserve">3.4–4.0 </w:t>
      </w:r>
      <w:r w:rsidR="00921234">
        <w:t>GHz</w:t>
      </w:r>
      <w:r w:rsidR="0063375F">
        <w:t xml:space="preserve"> in remote areas. W</w:t>
      </w:r>
      <w:r w:rsidR="004E0DCB">
        <w:t xml:space="preserve">e </w:t>
      </w:r>
      <w:r w:rsidR="0063375F">
        <w:t xml:space="preserve">are </w:t>
      </w:r>
      <w:r w:rsidR="00B23075">
        <w:t xml:space="preserve">also </w:t>
      </w:r>
      <w:hyperlink r:id="rId54" w:history="1">
        <w:r w:rsidR="004E0DCB" w:rsidRPr="00B23075">
          <w:rPr>
            <w:rStyle w:val="Hyperlink"/>
          </w:rPr>
          <w:t>currently developing</w:t>
        </w:r>
      </w:hyperlink>
      <w:r w:rsidR="004E0DCB">
        <w:t xml:space="preserve"> </w:t>
      </w:r>
      <w:r w:rsidR="00B23075">
        <w:t>AWL</w:t>
      </w:r>
      <w:r w:rsidR="00FF292C">
        <w:t xml:space="preserve"> arrangements in the 3.8 GHz band </w:t>
      </w:r>
      <w:r w:rsidR="00D32AE7">
        <w:t>for metropolitan and regional areas</w:t>
      </w:r>
      <w:r w:rsidR="004E6788">
        <w:t xml:space="preserve"> </w:t>
      </w:r>
      <w:r w:rsidR="00B23075">
        <w:t>that could also be used to support private networks</w:t>
      </w:r>
      <w:r w:rsidR="00D32AE7">
        <w:t xml:space="preserve">, with the intention to begin allocation in 2024. </w:t>
      </w:r>
    </w:p>
    <w:p w14:paraId="2F17E8E0" w14:textId="77777777" w:rsidR="001F6006" w:rsidRDefault="007B634F" w:rsidP="007B634F">
      <w:pPr>
        <w:pStyle w:val="Paragraph"/>
      </w:pPr>
      <w:r>
        <w:t xml:space="preserve">In engaging with us, we encourage incumbent stakeholders to illustrate how their historical, </w:t>
      </w:r>
      <w:proofErr w:type="gramStart"/>
      <w:r>
        <w:t>current</w:t>
      </w:r>
      <w:proofErr w:type="gramEnd"/>
      <w:r>
        <w:t xml:space="preserve"> and future investment strategies have facilitated innovation that has served the public interest.</w:t>
      </w:r>
    </w:p>
    <w:p w14:paraId="7732199B" w14:textId="3AC986A7" w:rsidR="007B634F" w:rsidRDefault="007B634F" w:rsidP="007B634F">
      <w:pPr>
        <w:pStyle w:val="Paragraph"/>
      </w:pPr>
      <w:r>
        <w:lastRenderedPageBreak/>
        <w:t xml:space="preserve">We encourage prospective licensees to demonstrate how alternative </w:t>
      </w:r>
      <w:r w:rsidR="0033455E">
        <w:t>uses</w:t>
      </w:r>
      <w:r>
        <w:t xml:space="preserve"> or users </w:t>
      </w:r>
      <w:r w:rsidR="00FD6844">
        <w:t xml:space="preserve">of the spectrum </w:t>
      </w:r>
      <w:r>
        <w:t xml:space="preserve">could facilitate new opportunities for </w:t>
      </w:r>
      <w:r w:rsidR="00B70D77">
        <w:t xml:space="preserve">investment and </w:t>
      </w:r>
      <w:r>
        <w:t xml:space="preserve">innovation. </w:t>
      </w:r>
    </w:p>
    <w:p w14:paraId="580D3F07" w14:textId="77777777" w:rsidR="007B634F" w:rsidRPr="007B634F" w:rsidRDefault="007B634F" w:rsidP="007B634F">
      <w:pPr>
        <w:pStyle w:val="Heading3"/>
      </w:pPr>
      <w:bookmarkStart w:id="23" w:name="_Toc149065100"/>
      <w:r w:rsidRPr="00981DBC">
        <w:t xml:space="preserve">Criterion 3: enhances </w:t>
      </w:r>
      <w:proofErr w:type="gramStart"/>
      <w:r w:rsidRPr="00981DBC">
        <w:t>competition</w:t>
      </w:r>
      <w:bookmarkEnd w:id="23"/>
      <w:proofErr w:type="gramEnd"/>
    </w:p>
    <w:p w14:paraId="7FA69474" w14:textId="5C8CEED5" w:rsidR="00681449" w:rsidRPr="00AA4BF2" w:rsidRDefault="00681449" w:rsidP="00681449">
      <w:pPr>
        <w:pStyle w:val="Paragraph"/>
      </w:pPr>
      <w:r>
        <w:t xml:space="preserve">In approaching competition considerations, we note the SoE </w:t>
      </w:r>
      <w:r w:rsidR="00FB39D4">
        <w:t>regarding</w:t>
      </w:r>
      <w:r>
        <w:t xml:space="preserve"> our planning and allocation of spectrum to support innovation and competition in regional, </w:t>
      </w:r>
      <w:proofErr w:type="gramStart"/>
      <w:r>
        <w:t>rural</w:t>
      </w:r>
      <w:proofErr w:type="gramEnd"/>
      <w:r>
        <w:t xml:space="preserve"> and remote areas. </w:t>
      </w:r>
      <w:r w:rsidR="00082EE4">
        <w:t xml:space="preserve">Competition is an objective that the </w:t>
      </w:r>
      <w:r w:rsidR="00AC014A">
        <w:t>m</w:t>
      </w:r>
      <w:r w:rsidR="00082EE4">
        <w:t>inister</w:t>
      </w:r>
      <w:r w:rsidR="00AC729E">
        <w:t xml:space="preserve"> is </w:t>
      </w:r>
      <w:r w:rsidR="00373F83">
        <w:t>proposing</w:t>
      </w:r>
      <w:r w:rsidR="00AC729E">
        <w:t xml:space="preserve"> to specify in the proposed MPS, and p</w:t>
      </w:r>
      <w:r w:rsidRPr="00AA4BF2">
        <w:t>romoting competitive markets, and supporting a range of use cases and users in the 3.4 – 4 GHz band</w:t>
      </w:r>
      <w:r>
        <w:t>,</w:t>
      </w:r>
      <w:r w:rsidRPr="00AA4BF2">
        <w:t xml:space="preserve"> is also an objective of the</w:t>
      </w:r>
      <w:r w:rsidR="008C012B">
        <w:t xml:space="preserve"> 3.4 GHz</w:t>
      </w:r>
      <w:r w:rsidRPr="00AA4BF2">
        <w:t xml:space="preserve"> MPS.</w:t>
      </w:r>
      <w:r w:rsidR="008F14E7">
        <w:t xml:space="preserve"> </w:t>
      </w:r>
      <w:r w:rsidR="008B60E0" w:rsidRPr="008B60E0">
        <w:t xml:space="preserve">Supporting government policies related to regional, </w:t>
      </w:r>
      <w:proofErr w:type="gramStart"/>
      <w:r w:rsidR="008B60E0" w:rsidRPr="008B60E0">
        <w:t>rural</w:t>
      </w:r>
      <w:proofErr w:type="gramEnd"/>
      <w:r w:rsidR="008B60E0" w:rsidRPr="008B60E0">
        <w:t xml:space="preserve"> and remote Australia including by having regard to relevant ministerial policy statements </w:t>
      </w:r>
      <w:r w:rsidR="006478E1">
        <w:t xml:space="preserve">to support, among other things, competition, in these areas, is </w:t>
      </w:r>
      <w:r w:rsidR="0091262C">
        <w:t>a</w:t>
      </w:r>
      <w:r w:rsidR="00516983">
        <w:t xml:space="preserve"> priority </w:t>
      </w:r>
      <w:r w:rsidR="0091262C">
        <w:t xml:space="preserve">in the SoE that the </w:t>
      </w:r>
      <w:r w:rsidR="00C91413">
        <w:t>m</w:t>
      </w:r>
      <w:r w:rsidR="0091262C">
        <w:t>inister has identified as being relevant to ESL</w:t>
      </w:r>
      <w:r w:rsidR="00C61EA6">
        <w:t>s</w:t>
      </w:r>
      <w:r w:rsidR="00760BE9">
        <w:t>. The m</w:t>
      </w:r>
      <w:r w:rsidR="008C1014">
        <w:t xml:space="preserve">inister will seek views on the inclusion of </w:t>
      </w:r>
      <w:r w:rsidR="008C1014" w:rsidRPr="00AD0B36">
        <w:t xml:space="preserve">opportunities </w:t>
      </w:r>
      <w:r w:rsidR="00DC3DB3" w:rsidRPr="00AD0B36">
        <w:t>for new entrants and use cases</w:t>
      </w:r>
      <w:r w:rsidR="00567201">
        <w:t xml:space="preserve">, including for </w:t>
      </w:r>
      <w:r w:rsidR="00E26E0B">
        <w:t>LEOsats</w:t>
      </w:r>
      <w:r w:rsidR="00567201">
        <w:t>,</w:t>
      </w:r>
      <w:r w:rsidR="00CD599F">
        <w:t xml:space="preserve"> in the </w:t>
      </w:r>
      <w:r w:rsidR="00E90DAF">
        <w:t xml:space="preserve">proposed </w:t>
      </w:r>
      <w:r w:rsidR="00CD599F">
        <w:t>MPS.</w:t>
      </w:r>
      <w:r w:rsidR="00DC3DB3">
        <w:t xml:space="preserve"> </w:t>
      </w:r>
    </w:p>
    <w:p w14:paraId="0F37C2CB" w14:textId="4FB0AD5A" w:rsidR="007B634F" w:rsidRDefault="006E4A3F" w:rsidP="00AA4BF2">
      <w:pPr>
        <w:pStyle w:val="Paragraph"/>
      </w:pPr>
      <w:r>
        <w:t>S</w:t>
      </w:r>
      <w:r w:rsidR="007B634F">
        <w:t>pectrum holdings directly influence an operator’s network capacity</w:t>
      </w:r>
      <w:r w:rsidR="00E7344A">
        <w:t xml:space="preserve"> and</w:t>
      </w:r>
      <w:r w:rsidR="007B634F">
        <w:t xml:space="preserve"> service quality</w:t>
      </w:r>
      <w:r w:rsidR="00E7344A">
        <w:t>,</w:t>
      </w:r>
      <w:r w:rsidR="007B634F">
        <w:t xml:space="preserve"> and </w:t>
      </w:r>
      <w:r w:rsidR="001B1CF4">
        <w:t>the</w:t>
      </w:r>
      <w:r w:rsidR="007B634F">
        <w:t xml:space="preserve"> potential for entry into new geographic markets, making </w:t>
      </w:r>
      <w:r w:rsidR="000F22F7">
        <w:t xml:space="preserve">them </w:t>
      </w:r>
      <w:r w:rsidR="007B634F">
        <w:t xml:space="preserve">a significant determinant in an operator’s competitive ability. The management and allocation of scarce spectrum resources can have a significant impact on the nature of competition in downstream markets that rely on spectrum. </w:t>
      </w:r>
    </w:p>
    <w:p w14:paraId="693891A7" w14:textId="72AA5AA7" w:rsidR="007B634F" w:rsidRDefault="007B634F" w:rsidP="00AA4BF2">
      <w:pPr>
        <w:pStyle w:val="Paragraph"/>
      </w:pPr>
      <w:r>
        <w:t xml:space="preserve">The </w:t>
      </w:r>
      <w:r w:rsidR="00AC0089" w:rsidRPr="00EE7592">
        <w:rPr>
          <w:i/>
          <w:iCs/>
        </w:rPr>
        <w:t>I</w:t>
      </w:r>
      <w:r w:rsidR="00CD6929" w:rsidRPr="00EE7592">
        <w:rPr>
          <w:i/>
          <w:iCs/>
        </w:rPr>
        <w:t>ntergenerational Report</w:t>
      </w:r>
      <w:r w:rsidR="001B1CF4" w:rsidRPr="00EE7592">
        <w:rPr>
          <w:i/>
          <w:iCs/>
        </w:rPr>
        <w:t xml:space="preserve"> 2023</w:t>
      </w:r>
      <w:r w:rsidR="00CD6929">
        <w:t xml:space="preserve"> </w:t>
      </w:r>
      <w:r w:rsidRPr="004E2D6C">
        <w:t>notes that '</w:t>
      </w:r>
      <w:r>
        <w:t xml:space="preserve">a </w:t>
      </w:r>
      <w:r w:rsidRPr="004E2D6C">
        <w:t>dynamic and competitive economy can amplify the benefits of new technologies</w:t>
      </w:r>
      <w:r>
        <w:t>. Competitive pressures accelerate the flow of good ideas and resources between firms and foster continued innovation, adoption, and improvement.</w:t>
      </w:r>
      <w:r w:rsidRPr="004E2D6C">
        <w:t xml:space="preserve">’ </w:t>
      </w:r>
      <w:r>
        <w:t>Reduced competition – and its flow-on effects of market concentration and reduced economic dynamism – have contributed to Australia’s slowed productivity growth.</w:t>
      </w:r>
      <w:r>
        <w:rPr>
          <w:rStyle w:val="FootnoteReference"/>
        </w:rPr>
        <w:footnoteReference w:id="34"/>
      </w:r>
    </w:p>
    <w:p w14:paraId="292328AC" w14:textId="651689A3" w:rsidR="007B634F" w:rsidRDefault="00857B2C" w:rsidP="00AA4BF2">
      <w:pPr>
        <w:pStyle w:val="Paragraph"/>
      </w:pPr>
      <w:r>
        <w:t>C</w:t>
      </w:r>
      <w:r w:rsidR="007B634F">
        <w:t>ompetitive market</w:t>
      </w:r>
      <w:r>
        <w:t>s</w:t>
      </w:r>
      <w:r w:rsidR="007B634F">
        <w:t>, and how spectrum holdings underpin th</w:t>
      </w:r>
      <w:r>
        <w:t xml:space="preserve">ose </w:t>
      </w:r>
      <w:r w:rsidR="007B634F">
        <w:t>market</w:t>
      </w:r>
      <w:r>
        <w:t>s</w:t>
      </w:r>
      <w:r w:rsidR="007B634F">
        <w:t>, can enhance productivity and the overall public benefit by putting pressure on licensees to seek innovation and efficiencies to introduce new or rival services. A lack of access to spectrum can lessen or eliminate the threat of competition, removing incentives for incumbents to be competitive</w:t>
      </w:r>
      <w:r w:rsidR="00D63B21">
        <w:t>,</w:t>
      </w:r>
      <w:r w:rsidR="007A1779">
        <w:t xml:space="preserve"> </w:t>
      </w:r>
      <w:r w:rsidR="000F73B7">
        <w:t xml:space="preserve">such as where a lack of spectrum acts as a barrier to </w:t>
      </w:r>
      <w:r w:rsidR="0046089B">
        <w:t xml:space="preserve">new entrants </w:t>
      </w:r>
      <w:r w:rsidR="00DF0BED">
        <w:t xml:space="preserve">offering competing services in downstream markets (for example, </w:t>
      </w:r>
      <w:r w:rsidR="002C41EE">
        <w:t>mobile, enterprise and fixed wireless markets)</w:t>
      </w:r>
      <w:r w:rsidR="007B634F">
        <w:t>. Flexible and tradable licences are recognised as means to facilitate innovation and competition, after an initial allocation (typically via auction).</w:t>
      </w:r>
      <w:r w:rsidR="007B634F">
        <w:rPr>
          <w:rStyle w:val="FootnoteReference"/>
        </w:rPr>
        <w:footnoteReference w:id="35"/>
      </w:r>
    </w:p>
    <w:p w14:paraId="44DC1D3C" w14:textId="5F7522C0" w:rsidR="007B634F" w:rsidRDefault="00681449" w:rsidP="00AA4BF2">
      <w:pPr>
        <w:pStyle w:val="Paragraph"/>
      </w:pPr>
      <w:r>
        <w:t>I</w:t>
      </w:r>
      <w:r w:rsidR="007B634F">
        <w:t>mbalances in spectrum holdings</w:t>
      </w:r>
      <w:r>
        <w:t xml:space="preserve"> and </w:t>
      </w:r>
      <w:r w:rsidR="00166065">
        <w:t>unused or underutilised spectrum can also reduce competitive pressures</w:t>
      </w:r>
      <w:r w:rsidR="007B634F">
        <w:t>.</w:t>
      </w:r>
      <w:r w:rsidR="007B634F">
        <w:rPr>
          <w:rStyle w:val="FootnoteReference"/>
        </w:rPr>
        <w:footnoteReference w:id="36"/>
      </w:r>
      <w:r w:rsidR="007B634F">
        <w:t xml:space="preserve"> </w:t>
      </w:r>
    </w:p>
    <w:p w14:paraId="64AD4539" w14:textId="53AFAAB3" w:rsidR="007B634F" w:rsidRDefault="00E3502C" w:rsidP="00AA4BF2">
      <w:pPr>
        <w:pStyle w:val="Paragraph"/>
      </w:pPr>
      <w:r>
        <w:t>A relevant</w:t>
      </w:r>
      <w:r w:rsidR="007B634F">
        <w:t xml:space="preserve"> consideration of </w:t>
      </w:r>
      <w:r w:rsidR="00FF0A2F">
        <w:t xml:space="preserve">the </w:t>
      </w:r>
      <w:r w:rsidR="007B634F">
        <w:t xml:space="preserve">public interest </w:t>
      </w:r>
      <w:r>
        <w:t xml:space="preserve">is circumstances </w:t>
      </w:r>
      <w:r w:rsidR="007B634F">
        <w:t xml:space="preserve">where spectrum holdings across ESLs are not creating or incentivising a competitive environment, or where there is entrenched </w:t>
      </w:r>
      <w:r w:rsidR="00541983">
        <w:t>end-user</w:t>
      </w:r>
      <w:r w:rsidR="007B634F" w:rsidDel="00541983">
        <w:t xml:space="preserve"> </w:t>
      </w:r>
      <w:r w:rsidR="007B634F">
        <w:t>demand that the market is not addressing.</w:t>
      </w:r>
    </w:p>
    <w:p w14:paraId="66457F36" w14:textId="5F152CF1" w:rsidR="007B634F" w:rsidRDefault="00F955A4" w:rsidP="00AA4BF2">
      <w:pPr>
        <w:pStyle w:val="Paragraph"/>
      </w:pPr>
      <w:r>
        <w:t>N</w:t>
      </w:r>
      <w:r w:rsidR="007B634F">
        <w:t xml:space="preserve">ot all holders of </w:t>
      </w:r>
      <w:r>
        <w:t xml:space="preserve">spectrum covered by the </w:t>
      </w:r>
      <w:r w:rsidR="007B634F">
        <w:t xml:space="preserve">ESLs necessarily operate in a competitive market, but we encourage stakeholders to </w:t>
      </w:r>
      <w:r w:rsidR="002E7DF0">
        <w:t xml:space="preserve">reference </w:t>
      </w:r>
      <w:r w:rsidR="007B634F">
        <w:t>how their use or proposed use of the spectrum has or could facilitate a healthy and competitive market, directly and indirectly.</w:t>
      </w:r>
    </w:p>
    <w:p w14:paraId="132E1CDA" w14:textId="6463D7A2" w:rsidR="007B634F" w:rsidRDefault="00F56811" w:rsidP="00AA4BF2">
      <w:pPr>
        <w:pStyle w:val="Paragraph"/>
      </w:pPr>
      <w:r>
        <w:lastRenderedPageBreak/>
        <w:t xml:space="preserve">All </w:t>
      </w:r>
      <w:r w:rsidR="007B634F">
        <w:t>incumbent</w:t>
      </w:r>
      <w:r w:rsidR="00F955A4">
        <w:t xml:space="preserve"> licensee</w:t>
      </w:r>
      <w:r w:rsidR="007B634F">
        <w:t xml:space="preserve">s are </w:t>
      </w:r>
      <w:r w:rsidR="00C97116">
        <w:t xml:space="preserve">also </w:t>
      </w:r>
      <w:r w:rsidR="007B634F">
        <w:t>encouraged to identify where and how unused spectrum within their holdings</w:t>
      </w:r>
      <w:r w:rsidR="00F955A4">
        <w:t xml:space="preserve"> may</w:t>
      </w:r>
      <w:r w:rsidR="007B634F">
        <w:t xml:space="preserve"> serve to promote competition</w:t>
      </w:r>
      <w:r w:rsidR="00A24689">
        <w:t xml:space="preserve"> in the long-term</w:t>
      </w:r>
      <w:r w:rsidR="007B634F">
        <w:t>.</w:t>
      </w:r>
    </w:p>
    <w:p w14:paraId="6B158FB0" w14:textId="18C560A7" w:rsidR="007B634F" w:rsidRDefault="007B634F" w:rsidP="00AA4BF2">
      <w:pPr>
        <w:pStyle w:val="Paragraph"/>
      </w:pPr>
      <w:r>
        <w:t xml:space="preserve">Prospective licensees are encouraged to identify specific alternative </w:t>
      </w:r>
      <w:r w:rsidR="00F12F07">
        <w:t xml:space="preserve">spectrum uses </w:t>
      </w:r>
      <w:r>
        <w:t xml:space="preserve">and users that could be facilitated by, for example, re-allocation of spectrum flowing </w:t>
      </w:r>
      <w:r w:rsidR="003B7B50">
        <w:t xml:space="preserve">from </w:t>
      </w:r>
      <w:r>
        <w:t xml:space="preserve">decisions not to renew, or to partially renew, an ESL, or from other arrangements </w:t>
      </w:r>
      <w:r w:rsidR="000B6763">
        <w:t>(</w:t>
      </w:r>
      <w:r>
        <w:t>such as sharing</w:t>
      </w:r>
      <w:r w:rsidR="000B6763">
        <w:t>)</w:t>
      </w:r>
      <w:r>
        <w:t>, and to identify the specific markets or</w:t>
      </w:r>
      <w:r w:rsidR="002A235C">
        <w:t xml:space="preserve"> market</w:t>
      </w:r>
      <w:r>
        <w:t xml:space="preserve"> segments that they would be addressing.</w:t>
      </w:r>
    </w:p>
    <w:p w14:paraId="3536517E" w14:textId="77777777" w:rsidR="007B634F" w:rsidRPr="00AA4BF2" w:rsidRDefault="007B634F" w:rsidP="00AA4BF2">
      <w:pPr>
        <w:pStyle w:val="Heading3"/>
      </w:pPr>
      <w:bookmarkStart w:id="24" w:name="_Toc149065101"/>
      <w:r w:rsidRPr="00981DBC">
        <w:t>Criterion 4: balances public benefits and impacts</w:t>
      </w:r>
      <w:bookmarkEnd w:id="24"/>
    </w:p>
    <w:p w14:paraId="7FE120AB" w14:textId="6D32F404" w:rsidR="007B634F" w:rsidRPr="00AA4BF2" w:rsidRDefault="00E83E49" w:rsidP="00AA4BF2">
      <w:pPr>
        <w:pStyle w:val="Paragraph"/>
        <w:rPr>
          <w:rStyle w:val="scxw139911110"/>
        </w:rPr>
      </w:pPr>
      <w:r>
        <w:t>S</w:t>
      </w:r>
      <w:r w:rsidR="007B634F" w:rsidRPr="00AA4BF2">
        <w:t xml:space="preserve">pectrum is used to enable a broad range of economic activities, as well as outcomes such as social connectivity, </w:t>
      </w:r>
      <w:r w:rsidR="00D60873">
        <w:t xml:space="preserve">public </w:t>
      </w:r>
      <w:proofErr w:type="gramStart"/>
      <w:r w:rsidR="00D60873">
        <w:t>safety</w:t>
      </w:r>
      <w:proofErr w:type="gramEnd"/>
      <w:r w:rsidR="00D60873">
        <w:t xml:space="preserve"> and security, and enabling</w:t>
      </w:r>
      <w:r w:rsidR="007B634F" w:rsidRPr="00AA4BF2">
        <w:t xml:space="preserve"> critical services.</w:t>
      </w:r>
      <w:r w:rsidR="007B634F" w:rsidRPr="00AA4BF2">
        <w:rPr>
          <w:rStyle w:val="scxw139911110"/>
        </w:rPr>
        <w:t> </w:t>
      </w:r>
    </w:p>
    <w:p w14:paraId="231DAE7F" w14:textId="5FF5A187" w:rsidR="00016736" w:rsidRDefault="00D60873" w:rsidP="00AA4BF2">
      <w:pPr>
        <w:pStyle w:val="Paragraph"/>
      </w:pPr>
      <w:r>
        <w:rPr>
          <w:rStyle w:val="normaltextrun"/>
        </w:rPr>
        <w:t xml:space="preserve">Including </w:t>
      </w:r>
      <w:r w:rsidR="007B634F" w:rsidRPr="00AA4BF2">
        <w:rPr>
          <w:rStyle w:val="normaltextrun"/>
        </w:rPr>
        <w:t xml:space="preserve">this criterion within the public interest framework reflects the Explanatory Memorandum </w:t>
      </w:r>
      <w:r w:rsidR="005C4F4E">
        <w:rPr>
          <w:rStyle w:val="normaltextrun"/>
        </w:rPr>
        <w:t>associated with</w:t>
      </w:r>
      <w:r w:rsidR="007B634F" w:rsidRPr="00AA4BF2">
        <w:rPr>
          <w:rStyle w:val="normaltextrun"/>
        </w:rPr>
        <w:t xml:space="preserve"> the Modernisation Act, which notes – in relation to the inclusion of </w:t>
      </w:r>
      <w:r w:rsidR="000C340B">
        <w:rPr>
          <w:rStyle w:val="normaltextrun"/>
        </w:rPr>
        <w:t xml:space="preserve">a </w:t>
      </w:r>
      <w:r w:rsidR="007B634F" w:rsidRPr="00AA4BF2">
        <w:rPr>
          <w:rStyle w:val="normaltextrun"/>
        </w:rPr>
        <w:t xml:space="preserve">renewal statement in a spectrum licence that </w:t>
      </w:r>
      <w:r w:rsidR="005A2A91">
        <w:rPr>
          <w:rStyle w:val="normaltextrun"/>
        </w:rPr>
        <w:t xml:space="preserve">allows </w:t>
      </w:r>
      <w:r w:rsidR="007B634F" w:rsidRPr="00AA4BF2">
        <w:t xml:space="preserve">the ACMA </w:t>
      </w:r>
      <w:r w:rsidR="005A2A91">
        <w:t>to</w:t>
      </w:r>
      <w:r w:rsidR="007B634F" w:rsidRPr="00AA4BF2">
        <w:t xml:space="preserve"> renew the licence unless the ACMA is satisfied that it is in the public interest to do so – that</w:t>
      </w:r>
      <w:r w:rsidR="00D756AF">
        <w:t>:</w:t>
      </w:r>
    </w:p>
    <w:p w14:paraId="6AD6B402" w14:textId="5A049EA0" w:rsidR="00D756AF" w:rsidRDefault="00D756AF" w:rsidP="00412E25">
      <w:pPr>
        <w:pStyle w:val="Paragraph"/>
        <w:ind w:left="426" w:right="867"/>
      </w:pPr>
      <w:r w:rsidRPr="00412E25">
        <w:rPr>
          <w:rStyle w:val="normaltextrun"/>
          <w:sz w:val="18"/>
          <w:szCs w:val="18"/>
        </w:rPr>
        <w:t>… some of the matters ACMA may consider in making a decision regarding the public interest of renewing a spectrum licence include: if the licence is used to supply essential public services and there is the potential that a change in licensees may put at risk delivery of services to a significant number of people, whether the incumbent can demonstrate substantial investment and past long-term use of the licensed spectrum, and considerations of the highest value use of the spectrum.</w:t>
      </w:r>
      <w:r w:rsidRPr="00AA4BF2">
        <w:rPr>
          <w:rStyle w:val="eop"/>
        </w:rPr>
        <w:tab/>
      </w:r>
    </w:p>
    <w:p w14:paraId="288B56E3" w14:textId="77D7F5E6" w:rsidR="00D61229" w:rsidRDefault="00BC15BC" w:rsidP="00AA4BF2">
      <w:pPr>
        <w:pStyle w:val="Paragraph"/>
      </w:pPr>
      <w:r>
        <w:t xml:space="preserve">This criterion aligns with the </w:t>
      </w:r>
      <w:r w:rsidR="009D5A9D">
        <w:t>objective</w:t>
      </w:r>
      <w:r w:rsidR="00A51ABF">
        <w:t xml:space="preserve"> </w:t>
      </w:r>
      <w:r w:rsidR="0082391F">
        <w:t xml:space="preserve">in the SoE </w:t>
      </w:r>
      <w:r w:rsidR="00A51ABF">
        <w:t>of p</w:t>
      </w:r>
      <w:r w:rsidR="00A51ABF" w:rsidRPr="00BC15BC">
        <w:t xml:space="preserve">romoting investment, </w:t>
      </w:r>
      <w:proofErr w:type="gramStart"/>
      <w:r w:rsidR="00A51ABF" w:rsidRPr="00BC15BC">
        <w:t>innovation</w:t>
      </w:r>
      <w:proofErr w:type="gramEnd"/>
      <w:r w:rsidR="00A51ABF" w:rsidRPr="00BC15BC">
        <w:t xml:space="preserve"> and the adoption of new and emerging technologies, while continuing to safeguard the interests of consumers and small businesses</w:t>
      </w:r>
      <w:r w:rsidR="00A51ABF">
        <w:t xml:space="preserve">, which the </w:t>
      </w:r>
      <w:r w:rsidR="00656F78">
        <w:t>m</w:t>
      </w:r>
      <w:r w:rsidR="009D5A9D">
        <w:t>inister has identified as being relevant to ESL</w:t>
      </w:r>
      <w:r w:rsidR="000D7F23">
        <w:t>s</w:t>
      </w:r>
      <w:r w:rsidR="0082391F">
        <w:t>.</w:t>
      </w:r>
      <w:r w:rsidR="004C1DFF">
        <w:t xml:space="preserve"> </w:t>
      </w:r>
      <w:r w:rsidR="00D61229">
        <w:t xml:space="preserve">The </w:t>
      </w:r>
      <w:r w:rsidR="000D7F23">
        <w:t>m</w:t>
      </w:r>
      <w:r w:rsidR="00D61229">
        <w:t xml:space="preserve">inister is also proposing to specify the </w:t>
      </w:r>
      <w:r w:rsidR="00557594">
        <w:t xml:space="preserve">policy priority </w:t>
      </w:r>
      <w:r w:rsidR="009B7C12">
        <w:t>of</w:t>
      </w:r>
      <w:r w:rsidR="00D61229">
        <w:t xml:space="preserve"> </w:t>
      </w:r>
      <w:r w:rsidR="00D61229" w:rsidRPr="00D61229">
        <w:t>supporting continuity of service to consumers, particularly where no alternative service is available</w:t>
      </w:r>
      <w:r w:rsidR="004C1DFF">
        <w:t xml:space="preserve">, in the </w:t>
      </w:r>
      <w:r w:rsidR="000D7F23">
        <w:t>proposed</w:t>
      </w:r>
      <w:r w:rsidR="004C1DFF">
        <w:t xml:space="preserve"> MPS.</w:t>
      </w:r>
    </w:p>
    <w:p w14:paraId="35767529" w14:textId="68C3138E" w:rsidR="00215567" w:rsidRDefault="004C1DFF" w:rsidP="00AA4BF2">
      <w:pPr>
        <w:pStyle w:val="Paragraph"/>
      </w:pPr>
      <w:r>
        <w:t>Including t</w:t>
      </w:r>
      <w:r w:rsidR="007B634F" w:rsidRPr="00AA4BF2">
        <w:t>his criterion</w:t>
      </w:r>
      <w:r>
        <w:t xml:space="preserve">, and aligning it with the relevant policy </w:t>
      </w:r>
      <w:r w:rsidR="00AD7D2B">
        <w:t>priorities</w:t>
      </w:r>
      <w:r>
        <w:t>,</w:t>
      </w:r>
      <w:r w:rsidR="007B634F" w:rsidRPr="00AA4BF2">
        <w:t xml:space="preserve"> is intended to ensure that </w:t>
      </w:r>
      <w:r w:rsidR="00215567">
        <w:t>the ACMA considers</w:t>
      </w:r>
      <w:r w:rsidR="007B634F" w:rsidRPr="00AA4BF2">
        <w:t xml:space="preserve"> the net benefits and costs associated with different options for future </w:t>
      </w:r>
      <w:r w:rsidR="00531A65">
        <w:t>uses</w:t>
      </w:r>
      <w:r w:rsidR="007B634F" w:rsidRPr="00AA4BF2">
        <w:t xml:space="preserve"> and users of the spectrum, and to expressly acknowledge that there may be trade-offs for licensees and the overall public </w:t>
      </w:r>
      <w:r w:rsidR="00CD1557">
        <w:t xml:space="preserve">interest </w:t>
      </w:r>
      <w:r w:rsidR="007B634F" w:rsidRPr="00AA4BF2">
        <w:t>associated with</w:t>
      </w:r>
      <w:r w:rsidR="001C0770">
        <w:t xml:space="preserve"> decisions on ESL</w:t>
      </w:r>
      <w:r w:rsidR="00D34F26">
        <w:t>s</w:t>
      </w:r>
      <w:r w:rsidR="001C0770">
        <w:t xml:space="preserve"> and on</w:t>
      </w:r>
      <w:r w:rsidR="007B634F" w:rsidRPr="00AA4BF2">
        <w:t xml:space="preserve"> future use of the spectrum. </w:t>
      </w:r>
    </w:p>
    <w:p w14:paraId="2D9480BC" w14:textId="64950F0F" w:rsidR="007B634F" w:rsidRPr="00AA4BF2" w:rsidRDefault="007B634F" w:rsidP="00AA4BF2">
      <w:pPr>
        <w:pStyle w:val="Paragraph"/>
      </w:pPr>
      <w:r w:rsidRPr="00AA4BF2">
        <w:t>This criterion also provide</w:t>
      </w:r>
      <w:r w:rsidR="00676594">
        <w:t>s</w:t>
      </w:r>
      <w:r w:rsidRPr="00AA4BF2">
        <w:t xml:space="preserve"> us with an avenue to consider that the public interest considerations for certain </w:t>
      </w:r>
      <w:r w:rsidR="00531A65">
        <w:t>spectrum uses</w:t>
      </w:r>
      <w:r w:rsidRPr="00AA4BF2">
        <w:t xml:space="preserve"> may differ</w:t>
      </w:r>
      <w:r w:rsidR="0063561F">
        <w:t>. Not</w:t>
      </w:r>
      <w:r w:rsidRPr="00AA4BF2">
        <w:t xml:space="preserve"> all ESL incumbent</w:t>
      </w:r>
      <w:r w:rsidR="00AD5344">
        <w:t>s</w:t>
      </w:r>
      <w:r w:rsidR="0063561F">
        <w:t xml:space="preserve"> </w:t>
      </w:r>
      <w:r w:rsidRPr="00AA4BF2">
        <w:t>operate commercial services</w:t>
      </w:r>
      <w:r w:rsidR="004B20E7">
        <w:t>,</w:t>
      </w:r>
      <w:r w:rsidRPr="00AA4BF2">
        <w:t xml:space="preserve"> and </w:t>
      </w:r>
      <w:r w:rsidR="00AD5344">
        <w:t>some</w:t>
      </w:r>
      <w:r w:rsidR="00B77AB9">
        <w:t xml:space="preserve"> </w:t>
      </w:r>
      <w:r w:rsidRPr="00AA4BF2">
        <w:t xml:space="preserve">operations might not be as sensitive to competitive pressures as others. However, </w:t>
      </w:r>
      <w:r w:rsidR="00B77AB9">
        <w:t xml:space="preserve">their </w:t>
      </w:r>
      <w:r w:rsidRPr="00AA4BF2">
        <w:t>service</w:t>
      </w:r>
      <w:r w:rsidR="00B77AB9">
        <w:t>s</w:t>
      </w:r>
      <w:r w:rsidRPr="00AA4BF2">
        <w:t xml:space="preserve"> may contribute to the overall public benefit by, for example, facilitating social cohesion</w:t>
      </w:r>
      <w:r w:rsidR="00CD1557">
        <w:t>, an informed society,</w:t>
      </w:r>
      <w:r w:rsidRPr="00AA4BF2">
        <w:t xml:space="preserve"> or mobility</w:t>
      </w:r>
      <w:r w:rsidR="003F319D">
        <w:t xml:space="preserve"> of goods and people</w:t>
      </w:r>
      <w:r w:rsidRPr="00AA4BF2">
        <w:t xml:space="preserve">. In cases where the service does not </w:t>
      </w:r>
      <w:r w:rsidR="00103BE2">
        <w:t xml:space="preserve">operate </w:t>
      </w:r>
      <w:r w:rsidRPr="00AA4BF2">
        <w:t xml:space="preserve">in a market with substitutable products or services, loss of that service could have </w:t>
      </w:r>
      <w:r w:rsidR="00132E84">
        <w:t xml:space="preserve">an </w:t>
      </w:r>
      <w:r w:rsidRPr="00AA4BF2">
        <w:t xml:space="preserve">adverse effect on the public interest. </w:t>
      </w:r>
    </w:p>
    <w:p w14:paraId="351B7940" w14:textId="2ACD5486" w:rsidR="007B634F" w:rsidRPr="00AA4BF2" w:rsidRDefault="007B634F" w:rsidP="00AA4BF2">
      <w:pPr>
        <w:pStyle w:val="Paragraph"/>
      </w:pPr>
      <w:r w:rsidRPr="00AA4BF2">
        <w:t xml:space="preserve">Commercial services </w:t>
      </w:r>
      <w:r w:rsidR="00D34F26">
        <w:t>also</w:t>
      </w:r>
      <w:r w:rsidR="00F014F7">
        <w:t xml:space="preserve"> </w:t>
      </w:r>
      <w:r w:rsidRPr="00AA4BF2">
        <w:t xml:space="preserve">deliver </w:t>
      </w:r>
      <w:r w:rsidR="00F014F7">
        <w:t xml:space="preserve">more than </w:t>
      </w:r>
      <w:r w:rsidRPr="00AA4BF2">
        <w:t xml:space="preserve">economic outcomes: </w:t>
      </w:r>
      <w:r w:rsidR="009B7C12">
        <w:t>wireless broadband</w:t>
      </w:r>
      <w:r w:rsidR="009B7C12" w:rsidRPr="00AA4BF2">
        <w:t xml:space="preserve"> </w:t>
      </w:r>
      <w:r w:rsidRPr="00AA4BF2">
        <w:t>services facilitate social connections and broader societal benefits</w:t>
      </w:r>
      <w:r w:rsidR="00595632">
        <w:t>.</w:t>
      </w:r>
      <w:r w:rsidRPr="00AA4BF2">
        <w:rPr>
          <w:rStyle w:val="FootnoteReference"/>
        </w:rPr>
        <w:footnoteReference w:id="37"/>
      </w:r>
      <w:r w:rsidRPr="00AA4BF2">
        <w:t xml:space="preserve"> For ESL incumbent</w:t>
      </w:r>
      <w:r w:rsidR="00595632">
        <w:t>s</w:t>
      </w:r>
      <w:r w:rsidR="00965293">
        <w:t xml:space="preserve"> </w:t>
      </w:r>
      <w:r w:rsidRPr="00AA4BF2">
        <w:t>that provide services in a competitive market, this criterion acknowledge</w:t>
      </w:r>
      <w:r w:rsidR="00FC522D">
        <w:t>s</w:t>
      </w:r>
      <w:r w:rsidRPr="00AA4BF2">
        <w:t xml:space="preserve"> that </w:t>
      </w:r>
      <w:r w:rsidR="001B0968">
        <w:t xml:space="preserve">those outcomes depend </w:t>
      </w:r>
      <w:r w:rsidRPr="00AA4BF2">
        <w:t xml:space="preserve">on access to spectrum, and the impact on consumers arising from loss of that spectrum could be significant, either on a short- or long-term </w:t>
      </w:r>
      <w:r w:rsidRPr="00AA4BF2">
        <w:lastRenderedPageBreak/>
        <w:t xml:space="preserve">basis. This criterion can </w:t>
      </w:r>
      <w:r w:rsidR="00FC522D">
        <w:t xml:space="preserve">take account of </w:t>
      </w:r>
      <w:r w:rsidRPr="00AA4BF2">
        <w:t xml:space="preserve">consumer </w:t>
      </w:r>
      <w:r w:rsidR="00103BE2">
        <w:t xml:space="preserve">welfare and </w:t>
      </w:r>
      <w:proofErr w:type="gramStart"/>
      <w:r w:rsidRPr="00AA4BF2">
        <w:t>choice</w:t>
      </w:r>
      <w:r w:rsidR="00862043">
        <w:t>,</w:t>
      </w:r>
      <w:r w:rsidRPr="00AA4BF2">
        <w:t xml:space="preserve"> and</w:t>
      </w:r>
      <w:proofErr w:type="gramEnd"/>
      <w:r w:rsidRPr="00AA4BF2">
        <w:t xml:space="preserve"> inform assessments of options that provide for service continuity.</w:t>
      </w:r>
    </w:p>
    <w:p w14:paraId="7A0754A1" w14:textId="2CD90682" w:rsidR="007B634F" w:rsidRDefault="007B634F" w:rsidP="00AA4BF2">
      <w:pPr>
        <w:pStyle w:val="Paragraph"/>
      </w:pPr>
      <w:r>
        <w:t xml:space="preserve">We encourage incumbents and prospective licensees to frame </w:t>
      </w:r>
      <w:r w:rsidR="00CE778F">
        <w:t>responses to</w:t>
      </w:r>
      <w:r w:rsidR="00B872E9">
        <w:t xml:space="preserve"> </w:t>
      </w:r>
      <w:r>
        <w:t>this criterion with reference to direct and indirect consumer and social benefits, and to identify the pros and cons associated with inputs that are substitutes for specific bands or access to spectrum overall.</w:t>
      </w:r>
    </w:p>
    <w:p w14:paraId="5C154F7B" w14:textId="243E943B" w:rsidR="007B634F" w:rsidRPr="00AA4BF2" w:rsidRDefault="007B634F" w:rsidP="00AA4BF2">
      <w:pPr>
        <w:pStyle w:val="Heading3"/>
      </w:pPr>
      <w:bookmarkStart w:id="25" w:name="_Toc149065102"/>
      <w:r w:rsidRPr="004E2D6C">
        <w:t>Criterion 5: supports relevant policy objectives</w:t>
      </w:r>
      <w:bookmarkEnd w:id="25"/>
      <w:r w:rsidR="00FF5101">
        <w:t xml:space="preserve"> and </w:t>
      </w:r>
      <w:proofErr w:type="gramStart"/>
      <w:r w:rsidR="00FF5101">
        <w:t>priorities</w:t>
      </w:r>
      <w:proofErr w:type="gramEnd"/>
    </w:p>
    <w:p w14:paraId="705FACA3" w14:textId="1080C8DB" w:rsidR="00883A0E" w:rsidRPr="00365157" w:rsidRDefault="009C7AE9" w:rsidP="00365157">
      <w:pPr>
        <w:pStyle w:val="Paragraph"/>
      </w:pPr>
      <w:r w:rsidRPr="00365157">
        <w:t xml:space="preserve">Supporting government policies related to regional, </w:t>
      </w:r>
      <w:proofErr w:type="gramStart"/>
      <w:r w:rsidRPr="00365157">
        <w:t>rural</w:t>
      </w:r>
      <w:proofErr w:type="gramEnd"/>
      <w:r w:rsidRPr="00365157">
        <w:t xml:space="preserve"> and remote Australia</w:t>
      </w:r>
      <w:r w:rsidR="005C6781">
        <w:t>,</w:t>
      </w:r>
      <w:r w:rsidRPr="00365157">
        <w:t xml:space="preserve"> including by having regard to relevant ministerial policy statements in the planning and allocation of spectrum to support innovation and competition in these areas</w:t>
      </w:r>
      <w:r w:rsidR="00883A0E" w:rsidRPr="00365157">
        <w:t>,</w:t>
      </w:r>
      <w:r w:rsidR="008E4253" w:rsidRPr="00365157">
        <w:t xml:space="preserve"> is an objective in the SoE that the </w:t>
      </w:r>
      <w:r w:rsidR="00CA5A4B">
        <w:t>m</w:t>
      </w:r>
      <w:r w:rsidR="008E4253" w:rsidRPr="00365157">
        <w:t>inister has identified as relevant for ESL</w:t>
      </w:r>
      <w:r w:rsidR="00D244E5">
        <w:t>s</w:t>
      </w:r>
      <w:r w:rsidR="008E4253" w:rsidRPr="00365157">
        <w:t xml:space="preserve">. The </w:t>
      </w:r>
      <w:r w:rsidR="004A2414">
        <w:t>m</w:t>
      </w:r>
      <w:r w:rsidR="008E4253" w:rsidRPr="00365157">
        <w:t>inister is also proposing to specify c</w:t>
      </w:r>
      <w:r w:rsidR="00883A0E" w:rsidRPr="00365157">
        <w:t>onnectivity and investment in regional areas</w:t>
      </w:r>
      <w:r w:rsidR="008E4253" w:rsidRPr="00365157">
        <w:t xml:space="preserve"> as </w:t>
      </w:r>
      <w:r w:rsidR="007859D3" w:rsidRPr="00365157">
        <w:t xml:space="preserve">a policy priority in the </w:t>
      </w:r>
      <w:r w:rsidR="00FD1CB1">
        <w:t xml:space="preserve">proposed </w:t>
      </w:r>
      <w:r w:rsidR="007859D3" w:rsidRPr="00365157">
        <w:t>MPS.</w:t>
      </w:r>
      <w:r w:rsidR="005730C8">
        <w:t xml:space="preserve"> </w:t>
      </w:r>
      <w:r w:rsidR="005730C8" w:rsidRPr="00FC1D66">
        <w:t>The minister’s proposed policy priority of supporting service continuity for consumers, particularly where no alternative service is available, may also be a relevant consideration in certain regional areas where end-users have no or few choices of service provider.</w:t>
      </w:r>
      <w:r w:rsidR="005D0120">
        <w:rPr>
          <w:rStyle w:val="normaltextrun"/>
          <w:color w:val="FF0000"/>
        </w:rPr>
        <w:t xml:space="preserve"> </w:t>
      </w:r>
    </w:p>
    <w:p w14:paraId="16146CAF" w14:textId="18ABB614" w:rsidR="00A646EF" w:rsidRPr="002D49D7" w:rsidRDefault="00835EB8" w:rsidP="00883A0E">
      <w:pPr>
        <w:tabs>
          <w:tab w:val="left" w:pos="1985"/>
          <w:tab w:val="left" w:pos="2268"/>
        </w:tabs>
        <w:rPr>
          <w:sz w:val="18"/>
          <w:szCs w:val="18"/>
        </w:rPr>
      </w:pPr>
      <w:r>
        <w:t xml:space="preserve">For </w:t>
      </w:r>
      <w:r w:rsidR="00A646EF" w:rsidRPr="00AA4BF2">
        <w:t>the 3.4</w:t>
      </w:r>
      <w:r w:rsidR="003857B1">
        <w:t>–</w:t>
      </w:r>
      <w:r w:rsidR="00A646EF" w:rsidRPr="00AA4BF2">
        <w:t xml:space="preserve">4 GHz band, supporting digital connectivity and investment in regional Australia is a policy objective specified in the </w:t>
      </w:r>
      <w:r w:rsidR="00365157">
        <w:t xml:space="preserve">3.4 GHz </w:t>
      </w:r>
      <w:r w:rsidR="00A646EF" w:rsidRPr="00AA4BF2">
        <w:t>MPS</w:t>
      </w:r>
      <w:r w:rsidR="0039626D">
        <w:t xml:space="preserve">. In </w:t>
      </w:r>
      <w:r w:rsidR="00A646EF">
        <w:t xml:space="preserve">our </w:t>
      </w:r>
      <w:r w:rsidR="00A646EF" w:rsidRPr="00AA4BF2">
        <w:t xml:space="preserve">SoI, we indicate that we will address government policies and priorities by supporting opportunities for better telecommunications services in regional and remote Australia through our spectrum and licensing allocation </w:t>
      </w:r>
      <w:proofErr w:type="gramStart"/>
      <w:r w:rsidR="00A646EF" w:rsidRPr="00AA4BF2">
        <w:t>processes</w:t>
      </w:r>
      <w:r w:rsidR="00A646EF">
        <w:t>,</w:t>
      </w:r>
      <w:r w:rsidR="00A646EF" w:rsidRPr="00AA4BF2">
        <w:t xml:space="preserve"> and</w:t>
      </w:r>
      <w:proofErr w:type="gramEnd"/>
      <w:r w:rsidR="00A646EF" w:rsidRPr="00AA4BF2">
        <w:t xml:space="preserve"> supporting innovations to improve service deliver</w:t>
      </w:r>
      <w:r w:rsidR="00A646EF">
        <w:t>y</w:t>
      </w:r>
      <w:r w:rsidR="00A646EF" w:rsidRPr="00AA4BF2">
        <w:t xml:space="preserve"> – including by the rapidly emerging satellite sector.</w:t>
      </w:r>
    </w:p>
    <w:p w14:paraId="389712AD" w14:textId="57D802F4" w:rsidR="007B634F" w:rsidRDefault="00651FA8" w:rsidP="00AA4BF2">
      <w:pPr>
        <w:pStyle w:val="Paragraph"/>
      </w:pPr>
      <w:r>
        <w:t>W</w:t>
      </w:r>
      <w:r w:rsidR="00232434" w:rsidRPr="00AA4BF2">
        <w:t xml:space="preserve">e </w:t>
      </w:r>
      <w:r>
        <w:t xml:space="preserve">consider </w:t>
      </w:r>
      <w:r w:rsidR="00232434" w:rsidRPr="00AA4BF2">
        <w:t xml:space="preserve">that these </w:t>
      </w:r>
      <w:r w:rsidR="003B4769">
        <w:t xml:space="preserve">policy priorities </w:t>
      </w:r>
      <w:r w:rsidR="00365157">
        <w:t xml:space="preserve">related to regional Australia </w:t>
      </w:r>
      <w:r w:rsidR="00232434" w:rsidRPr="00AA4BF2">
        <w:t xml:space="preserve">are relevant to the broader public interest </w:t>
      </w:r>
      <w:proofErr w:type="gramStart"/>
      <w:r w:rsidR="00232434" w:rsidRPr="00AA4BF2">
        <w:t>consideration, but</w:t>
      </w:r>
      <w:proofErr w:type="gramEnd"/>
      <w:r w:rsidR="00232434" w:rsidRPr="00AA4BF2">
        <w:t xml:space="preserve"> should also be considered under this separate criterion.</w:t>
      </w:r>
    </w:p>
    <w:p w14:paraId="16B44D65" w14:textId="5BE7642A" w:rsidR="007B634F" w:rsidRPr="00AA4BF2" w:rsidRDefault="007B634F" w:rsidP="00AA4BF2">
      <w:pPr>
        <w:pStyle w:val="Heading4"/>
      </w:pPr>
      <w:r w:rsidRPr="00AA4BF2">
        <w:t>Regional, rural, and remote connectivity,</w:t>
      </w:r>
      <w:r w:rsidR="00E80998">
        <w:t xml:space="preserve"> </w:t>
      </w:r>
      <w:proofErr w:type="gramStart"/>
      <w:r w:rsidR="00E80998">
        <w:t>investment</w:t>
      </w:r>
      <w:proofErr w:type="gramEnd"/>
      <w:r w:rsidR="00E80998">
        <w:t xml:space="preserve"> and competi</w:t>
      </w:r>
      <w:r w:rsidR="005D498C">
        <w:t>tion</w:t>
      </w:r>
    </w:p>
    <w:p w14:paraId="6A268859" w14:textId="565DF8EB" w:rsidR="0005615C" w:rsidRDefault="00730C86" w:rsidP="0005615C">
      <w:pPr>
        <w:rPr>
          <w:rFonts w:asciiTheme="minorHAnsi" w:hAnsiTheme="minorHAnsi"/>
        </w:rPr>
      </w:pPr>
      <w:r w:rsidRPr="002D7723">
        <w:t xml:space="preserve">Recent inquiries and reports have highlighted that regional, </w:t>
      </w:r>
      <w:proofErr w:type="gramStart"/>
      <w:r w:rsidRPr="002D7723">
        <w:t>rural</w:t>
      </w:r>
      <w:proofErr w:type="gramEnd"/>
      <w:r w:rsidRPr="002D7723">
        <w:t xml:space="preserve"> and remote connectivity is a complex, multi-dimensional issue.</w:t>
      </w:r>
      <w:r w:rsidR="00E512E3">
        <w:t xml:space="preserve"> </w:t>
      </w:r>
      <w:r w:rsidR="002D0D7D" w:rsidRPr="002D7723">
        <w:t xml:space="preserve">The ACCC’s 2023 </w:t>
      </w:r>
      <w:hyperlink r:id="rId55" w:history="1">
        <w:r w:rsidR="002D0D7D" w:rsidRPr="003857B1">
          <w:rPr>
            <w:rStyle w:val="Hyperlink"/>
            <w:i/>
          </w:rPr>
          <w:t>Regional mobile infrastructure inquiry – Final report</w:t>
        </w:r>
      </w:hyperlink>
      <w:r w:rsidR="002D0D7D" w:rsidRPr="005726BE">
        <w:t xml:space="preserve"> </w:t>
      </w:r>
      <w:r w:rsidR="002D0D7D" w:rsidRPr="002D7723">
        <w:t xml:space="preserve">(the RMII) identifies a wide range of interconnected issues relating to regional coverage, as well as </w:t>
      </w:r>
      <w:r w:rsidR="002D0D7D">
        <w:t xml:space="preserve">policy </w:t>
      </w:r>
      <w:r w:rsidR="002D0D7D" w:rsidRPr="002D7723">
        <w:t>paths to address them. Issues identified include those relating to non-radiocommunications regulation, infrastructure and land access costs, incentives and practicalities</w:t>
      </w:r>
      <w:r w:rsidR="00277B80">
        <w:t xml:space="preserve"> of</w:t>
      </w:r>
      <w:r w:rsidR="002D0D7D" w:rsidRPr="002D7723">
        <w:t xml:space="preserve"> co-location </w:t>
      </w:r>
      <w:r w:rsidR="00C5710D">
        <w:t xml:space="preserve">and </w:t>
      </w:r>
      <w:r w:rsidR="002D0D7D" w:rsidRPr="002D7723">
        <w:t>sharing models for active and passive infrastructure, broader competition issues and inefficiencies</w:t>
      </w:r>
      <w:r w:rsidR="000F7C9E">
        <w:t>,</w:t>
      </w:r>
      <w:r w:rsidR="002D0D7D" w:rsidRPr="002D7723">
        <w:t xml:space="preserve"> and lack of commercial returns associated with building mobile infrastructure in regional and remote areas.</w:t>
      </w:r>
      <w:r w:rsidR="002D0D7D" w:rsidRPr="002D7723">
        <w:rPr>
          <w:rStyle w:val="FootnoteReference"/>
        </w:rPr>
        <w:footnoteReference w:id="38"/>
      </w:r>
    </w:p>
    <w:p w14:paraId="6349BA69" w14:textId="5771F5B0" w:rsidR="0005615C" w:rsidRDefault="0005615C" w:rsidP="004543F3">
      <w:pPr>
        <w:pStyle w:val="Paragraph"/>
      </w:pPr>
      <w:r>
        <w:lastRenderedPageBreak/>
        <w:t xml:space="preserve">The </w:t>
      </w:r>
      <w:r w:rsidR="00E02BA9">
        <w:t xml:space="preserve">November 2023 report arising from the </w:t>
      </w:r>
      <w:r w:rsidR="00236347">
        <w:t>House of Representatives</w:t>
      </w:r>
      <w:r w:rsidR="002A7DC4">
        <w:t xml:space="preserve"> </w:t>
      </w:r>
      <w:r w:rsidR="00D4460C">
        <w:t xml:space="preserve">Standing </w:t>
      </w:r>
      <w:r w:rsidR="00C325BB">
        <w:t xml:space="preserve">Committee on </w:t>
      </w:r>
      <w:r w:rsidR="00D4460C">
        <w:t>C</w:t>
      </w:r>
      <w:r w:rsidR="008E16B0">
        <w:t>o</w:t>
      </w:r>
      <w:r w:rsidR="004E661D">
        <w:t>m</w:t>
      </w:r>
      <w:r w:rsidR="008E16B0">
        <w:t>munications and Arts</w:t>
      </w:r>
      <w:r w:rsidR="00F21B05">
        <w:t>’</w:t>
      </w:r>
      <w:r w:rsidR="008E16B0">
        <w:t xml:space="preserve"> </w:t>
      </w:r>
      <w:r w:rsidR="00E02BA9">
        <w:t xml:space="preserve">inquiry into co-investment in multi-carrier regional mobile infrastructure </w:t>
      </w:r>
      <w:r w:rsidR="00E75717">
        <w:t>ma</w:t>
      </w:r>
      <w:r w:rsidR="00FD0A51">
        <w:t>d</w:t>
      </w:r>
      <w:r w:rsidR="00E75717">
        <w:t xml:space="preserve">e a range of recommendations </w:t>
      </w:r>
      <w:r w:rsidR="00FB2EBF">
        <w:t xml:space="preserve">relating to </w:t>
      </w:r>
      <w:r w:rsidR="00F0020A">
        <w:t xml:space="preserve">management and regulation </w:t>
      </w:r>
      <w:r>
        <w:t xml:space="preserve">of </w:t>
      </w:r>
      <w:r w:rsidR="00A22E55">
        <w:t>telecommunications</w:t>
      </w:r>
      <w:r w:rsidR="003616F5">
        <w:t xml:space="preserve"> </w:t>
      </w:r>
      <w:r w:rsidR="00624FEA">
        <w:t xml:space="preserve">infrastructure to improve </w:t>
      </w:r>
      <w:r>
        <w:t>coverage</w:t>
      </w:r>
      <w:r w:rsidR="00624FEA">
        <w:t xml:space="preserve"> and </w:t>
      </w:r>
      <w:r w:rsidR="00723544">
        <w:t xml:space="preserve">competition </w:t>
      </w:r>
      <w:r w:rsidR="004D37FB">
        <w:t>for end-users</w:t>
      </w:r>
      <w:r>
        <w:t xml:space="preserve"> </w:t>
      </w:r>
      <w:r w:rsidR="00723544">
        <w:t>in regional</w:t>
      </w:r>
      <w:r w:rsidR="00B209E2">
        <w:t xml:space="preserve">, </w:t>
      </w:r>
      <w:proofErr w:type="gramStart"/>
      <w:r w:rsidR="00B209E2">
        <w:t>remote</w:t>
      </w:r>
      <w:proofErr w:type="gramEnd"/>
      <w:r w:rsidR="00B209E2">
        <w:t xml:space="preserve"> and First Nations Australian communities</w:t>
      </w:r>
      <w:r>
        <w:t>.</w:t>
      </w:r>
      <w:r w:rsidR="002D2272">
        <w:t xml:space="preserve"> </w:t>
      </w:r>
      <w:r>
        <w:t xml:space="preserve">The report </w:t>
      </w:r>
      <w:r w:rsidR="00554A14">
        <w:t>discusses</w:t>
      </w:r>
      <w:r>
        <w:t xml:space="preserve"> the </w:t>
      </w:r>
      <w:r w:rsidR="00854B2C">
        <w:t>feasibility</w:t>
      </w:r>
      <w:r>
        <w:t xml:space="preserve"> of multi-carrier models, such as active sharing and neutral host</w:t>
      </w:r>
      <w:r w:rsidR="00947439">
        <w:t>ing</w:t>
      </w:r>
      <w:r w:rsidR="007F6AF8">
        <w:t xml:space="preserve"> </w:t>
      </w:r>
      <w:r w:rsidR="009947AD">
        <w:t xml:space="preserve">alongside the </w:t>
      </w:r>
      <w:r w:rsidR="009C4F4B">
        <w:t>application</w:t>
      </w:r>
      <w:r w:rsidR="00B4368B">
        <w:t xml:space="preserve"> of</w:t>
      </w:r>
      <w:r w:rsidR="00FB29E7">
        <w:t xml:space="preserve"> </w:t>
      </w:r>
      <w:r w:rsidR="007F6AF8">
        <w:t>new</w:t>
      </w:r>
      <w:r w:rsidR="000E26E5">
        <w:t xml:space="preserve"> technologies</w:t>
      </w:r>
      <w:r w:rsidR="009947AD">
        <w:t>.</w:t>
      </w:r>
      <w:r w:rsidR="00CE1EF4">
        <w:t xml:space="preserve"> </w:t>
      </w:r>
      <w:r w:rsidR="00846BC5">
        <w:t xml:space="preserve">The </w:t>
      </w:r>
      <w:r w:rsidR="003B38CE">
        <w:t>c</w:t>
      </w:r>
      <w:r w:rsidR="00846BC5">
        <w:t xml:space="preserve">ommittee also considered </w:t>
      </w:r>
      <w:r w:rsidR="006E1B31">
        <w:t xml:space="preserve">weak </w:t>
      </w:r>
      <w:r w:rsidR="00382169">
        <w:t xml:space="preserve">commercial </w:t>
      </w:r>
      <w:r w:rsidR="006E1B31">
        <w:t xml:space="preserve">incentives </w:t>
      </w:r>
      <w:r w:rsidR="00382169">
        <w:t xml:space="preserve">for </w:t>
      </w:r>
      <w:r w:rsidR="00A11973">
        <w:t xml:space="preserve">network operators </w:t>
      </w:r>
      <w:r w:rsidR="00382169">
        <w:t>to expand their network</w:t>
      </w:r>
      <w:r w:rsidR="005C6781">
        <w:t>s</w:t>
      </w:r>
      <w:r w:rsidR="00382169">
        <w:t xml:space="preserve"> in a mature market</w:t>
      </w:r>
      <w:r w:rsidR="00F31248">
        <w:t>.</w:t>
      </w:r>
      <w:r w:rsidR="00382169">
        <w:t xml:space="preserve"> </w:t>
      </w:r>
      <w:r w:rsidR="00F4510D">
        <w:t xml:space="preserve">Recommendations 1 and 2 of the report would be relevant to the ACMA’s spectrum management functions </w:t>
      </w:r>
      <w:r w:rsidR="00602579">
        <w:t>and</w:t>
      </w:r>
      <w:r w:rsidR="00C0630D">
        <w:t xml:space="preserve">, in </w:t>
      </w:r>
      <w:r w:rsidR="000F22F7">
        <w:t xml:space="preserve">her </w:t>
      </w:r>
      <w:r w:rsidR="00C0630D">
        <w:t>letter,</w:t>
      </w:r>
      <w:r w:rsidR="00602579">
        <w:t xml:space="preserve"> the </w:t>
      </w:r>
      <w:r w:rsidR="009474C2">
        <w:t>m</w:t>
      </w:r>
      <w:r w:rsidR="00602579">
        <w:t xml:space="preserve">inister draws attention to the </w:t>
      </w:r>
      <w:r w:rsidR="00484F69">
        <w:t>Committee’s</w:t>
      </w:r>
      <w:r w:rsidR="00795EDF">
        <w:t xml:space="preserve"> views </w:t>
      </w:r>
      <w:r w:rsidR="00602579">
        <w:t xml:space="preserve">about </w:t>
      </w:r>
      <w:r w:rsidR="00325BFE">
        <w:t xml:space="preserve">access to </w:t>
      </w:r>
      <w:r w:rsidR="00CA188C">
        <w:t>low</w:t>
      </w:r>
      <w:r w:rsidR="009474C2">
        <w:t>-</w:t>
      </w:r>
      <w:r w:rsidR="00CA188C">
        <w:t xml:space="preserve">band </w:t>
      </w:r>
      <w:r w:rsidR="00325BFE">
        <w:t xml:space="preserve">spectrum </w:t>
      </w:r>
      <w:r w:rsidR="00484F69">
        <w:t xml:space="preserve">in regional, </w:t>
      </w:r>
      <w:proofErr w:type="gramStart"/>
      <w:r w:rsidR="00484F69">
        <w:t>remote</w:t>
      </w:r>
      <w:proofErr w:type="gramEnd"/>
      <w:r w:rsidR="00484F69">
        <w:t xml:space="preserve"> and First Nations Australian communities</w:t>
      </w:r>
      <w:r w:rsidR="00636A61">
        <w:t>.</w:t>
      </w:r>
      <w:r w:rsidR="00940F68">
        <w:rPr>
          <w:rStyle w:val="FootnoteReference"/>
        </w:rPr>
        <w:footnoteReference w:id="39"/>
      </w:r>
    </w:p>
    <w:p w14:paraId="4B5CB324" w14:textId="0A677A9D" w:rsidR="00326127" w:rsidRPr="002D7723" w:rsidRDefault="005A1C0B" w:rsidP="00326127">
      <w:pPr>
        <w:pStyle w:val="Paragraph"/>
      </w:pPr>
      <w:r>
        <w:t>We note that having regard to this policy priority could realise outcomes for First Nations Australians.</w:t>
      </w:r>
      <w:r w:rsidR="003C2056">
        <w:rPr>
          <w:rStyle w:val="FootnoteReference"/>
        </w:rPr>
        <w:footnoteReference w:id="40"/>
      </w:r>
      <w:r>
        <w:t xml:space="preserve"> </w:t>
      </w:r>
      <w:r w:rsidR="00326127" w:rsidRPr="00AA4BF2">
        <w:t xml:space="preserve">Regional, rural, and remote connectivity and Closing the Gap for First Nations </w:t>
      </w:r>
      <w:r w:rsidR="005C6781">
        <w:t xml:space="preserve">peoples </w:t>
      </w:r>
      <w:r w:rsidR="00326127" w:rsidRPr="00AA4BF2">
        <w:t>are not in all cases synonymous, but there are very strong links between the two.</w:t>
      </w:r>
      <w:r w:rsidR="00326127">
        <w:t xml:space="preserve"> </w:t>
      </w:r>
      <w:r w:rsidR="00326127" w:rsidDel="00652460">
        <w:t>A</w:t>
      </w:r>
      <w:r w:rsidR="00326127">
        <w:t>pproximately 2.8 million, or 11%, of Australians experience digital exclusion – an experience that is more p</w:t>
      </w:r>
      <w:r w:rsidR="00326127" w:rsidRPr="002D7723">
        <w:t xml:space="preserve">ronounced in regional and remote areas. </w:t>
      </w:r>
      <w:r w:rsidR="002948F6">
        <w:t>W</w:t>
      </w:r>
      <w:r w:rsidR="002948F6" w:rsidRPr="002D7723">
        <w:t>hile the number of 5G sites in regional and remote areas has increased of late,</w:t>
      </w:r>
      <w:r w:rsidR="002948F6" w:rsidRPr="002D7723">
        <w:rPr>
          <w:rStyle w:val="FootnoteReference"/>
        </w:rPr>
        <w:footnoteReference w:id="41"/>
      </w:r>
      <w:r w:rsidR="006A2D63">
        <w:t xml:space="preserve"> </w:t>
      </w:r>
      <w:r w:rsidR="000376B3">
        <w:t>the</w:t>
      </w:r>
      <w:r w:rsidR="00326127">
        <w:t xml:space="preserve"> experience of communications services </w:t>
      </w:r>
      <w:r w:rsidR="00326127" w:rsidRPr="002D7723">
        <w:t xml:space="preserve">in regional areas, including </w:t>
      </w:r>
      <w:r w:rsidR="00326127">
        <w:t xml:space="preserve">that of </w:t>
      </w:r>
      <w:r w:rsidR="00326127" w:rsidRPr="002D7723">
        <w:t xml:space="preserve">First Nations peoples, </w:t>
      </w:r>
      <w:r w:rsidR="00326127">
        <w:t xml:space="preserve">can involve </w:t>
      </w:r>
      <w:r w:rsidR="00326127" w:rsidRPr="002D7723">
        <w:t xml:space="preserve">poor coverage, congestion, and limited choice, compared to cities </w:t>
      </w:r>
      <w:r w:rsidR="00BE549E">
        <w:t>and</w:t>
      </w:r>
      <w:r w:rsidR="00BE549E" w:rsidRPr="002D7723">
        <w:t xml:space="preserve"> </w:t>
      </w:r>
      <w:r w:rsidR="00326127" w:rsidRPr="002D7723">
        <w:t>more populous areas of Australia.</w:t>
      </w:r>
      <w:r w:rsidR="00326127" w:rsidRPr="002D7723">
        <w:rPr>
          <w:rStyle w:val="FootnoteReference"/>
        </w:rPr>
        <w:footnoteReference w:id="42"/>
      </w:r>
      <w:r w:rsidR="00326127" w:rsidRPr="002D7723">
        <w:rPr>
          <w:i/>
          <w:iCs/>
        </w:rPr>
        <w:t xml:space="preserve"> </w:t>
      </w:r>
      <w:r w:rsidR="00326127" w:rsidRPr="002D7723">
        <w:t>Digital inclusion</w:t>
      </w:r>
      <w:r w:rsidR="00EF1F9E" w:rsidRPr="002D7723">
        <w:rPr>
          <w:rStyle w:val="FootnoteReference"/>
        </w:rPr>
        <w:footnoteReference w:id="43"/>
      </w:r>
      <w:r w:rsidR="00326127" w:rsidRPr="002D7723">
        <w:t xml:space="preserve"> decreases with remoteness for both First Nations and non-First Nations peoples; but 62.9% of First Nations people live outside of capital cities, and the gap in </w:t>
      </w:r>
      <w:r w:rsidR="00AD0473">
        <w:t>their</w:t>
      </w:r>
      <w:r w:rsidR="00326127" w:rsidRPr="002D7723">
        <w:t xml:space="preserve"> digital inclusion is greater for First Nations people</w:t>
      </w:r>
      <w:r w:rsidR="00697FDC">
        <w:t>s</w:t>
      </w:r>
      <w:r w:rsidR="00326127" w:rsidRPr="002D7723">
        <w:t xml:space="preserve"> in remote and very remote areas.</w:t>
      </w:r>
      <w:r w:rsidR="00326127" w:rsidRPr="002D7723">
        <w:rPr>
          <w:rStyle w:val="FootnoteReference"/>
        </w:rPr>
        <w:footnoteReference w:id="44"/>
      </w:r>
    </w:p>
    <w:p w14:paraId="52303808" w14:textId="697EE039" w:rsidR="00A91A4E" w:rsidRPr="002D7723" w:rsidRDefault="00A91A4E" w:rsidP="00A91A4E">
      <w:pPr>
        <w:pStyle w:val="Paragraph"/>
      </w:pPr>
      <w:r w:rsidRPr="002D7723">
        <w:t>Spectrum, along with communications technologies, is an enabler of digital inclusion</w:t>
      </w:r>
      <w:r w:rsidR="00323446">
        <w:t>. C</w:t>
      </w:r>
      <w:r w:rsidRPr="002D7723">
        <w:t xml:space="preserve">onsidering </w:t>
      </w:r>
      <w:r w:rsidR="00323446">
        <w:t xml:space="preserve">how </w:t>
      </w:r>
      <w:r w:rsidRPr="002D7723">
        <w:t xml:space="preserve">incumbent or alternative </w:t>
      </w:r>
      <w:r w:rsidR="00531A65">
        <w:t>uses for</w:t>
      </w:r>
      <w:r w:rsidRPr="002D7723">
        <w:t xml:space="preserve"> and use</w:t>
      </w:r>
      <w:r w:rsidR="002F000F">
        <w:t>r</w:t>
      </w:r>
      <w:r w:rsidRPr="002D7723">
        <w:t xml:space="preserve">s of the spectrum can facilitate opportunities </w:t>
      </w:r>
      <w:r w:rsidR="002F000F">
        <w:t xml:space="preserve">for </w:t>
      </w:r>
      <w:r w:rsidRPr="002D7723">
        <w:t xml:space="preserve">regional, </w:t>
      </w:r>
      <w:proofErr w:type="gramStart"/>
      <w:r w:rsidRPr="002D7723">
        <w:t>rural</w:t>
      </w:r>
      <w:proofErr w:type="gramEnd"/>
      <w:r w:rsidRPr="002D7723">
        <w:t xml:space="preserve"> and remote connectivity is a way that we, as the spectrum manager, can contribute </w:t>
      </w:r>
      <w:r w:rsidR="00977731">
        <w:t>to these objectives</w:t>
      </w:r>
      <w:r w:rsidRPr="002D7723">
        <w:t>.</w:t>
      </w:r>
      <w:r w:rsidRPr="002D7723">
        <w:rPr>
          <w:rStyle w:val="FootnoteReference"/>
        </w:rPr>
        <w:footnoteReference w:id="45"/>
      </w:r>
    </w:p>
    <w:p w14:paraId="4016D0DE" w14:textId="145EDAFB" w:rsidR="00F97BAD" w:rsidRDefault="00117FE4" w:rsidP="00367643">
      <w:pPr>
        <w:pStyle w:val="Paragraph"/>
      </w:pPr>
      <w:r>
        <w:t xml:space="preserve">Some stakeholders have </w:t>
      </w:r>
      <w:r w:rsidR="001466D8">
        <w:t>expressed</w:t>
      </w:r>
      <w:r w:rsidR="00EC656B" w:rsidRPr="002D7723" w:rsidDel="001466D8">
        <w:t xml:space="preserve"> </w:t>
      </w:r>
      <w:r>
        <w:t xml:space="preserve">views </w:t>
      </w:r>
      <w:r w:rsidR="000F22F7">
        <w:t xml:space="preserve">that </w:t>
      </w:r>
      <w:r w:rsidR="00EC656B" w:rsidRPr="002D7723">
        <w:t xml:space="preserve">there is spectrum contained in ESLs that </w:t>
      </w:r>
      <w:r w:rsidR="00EC656B">
        <w:t xml:space="preserve">is </w:t>
      </w:r>
      <w:r w:rsidR="00EC656B" w:rsidRPr="002D7723">
        <w:t>being un</w:t>
      </w:r>
      <w:r w:rsidR="00EC656B">
        <w:t>used</w:t>
      </w:r>
      <w:r w:rsidR="00EC656B" w:rsidRPr="002D7723">
        <w:t xml:space="preserve"> or underutilised</w:t>
      </w:r>
      <w:r w:rsidR="00EC656B">
        <w:t xml:space="preserve"> that could be used to provide better connectivity in the regions. In the absence of an active secondary market</w:t>
      </w:r>
      <w:r w:rsidR="00EC656B" w:rsidRPr="002D7723">
        <w:t>, long-</w:t>
      </w:r>
      <w:r w:rsidR="00EC656B">
        <w:t xml:space="preserve">term Australia-wide </w:t>
      </w:r>
      <w:r w:rsidR="00EC656B" w:rsidRPr="002D7723">
        <w:t xml:space="preserve">licensing arrangements </w:t>
      </w:r>
      <w:r w:rsidR="00EC656B">
        <w:t xml:space="preserve">would </w:t>
      </w:r>
      <w:r w:rsidR="00EC656B" w:rsidRPr="002D7723">
        <w:t>preclud</w:t>
      </w:r>
      <w:r w:rsidR="00EC656B">
        <w:t>e</w:t>
      </w:r>
      <w:r w:rsidR="00EC656B" w:rsidRPr="002D7723">
        <w:t xml:space="preserve"> alternative users from addressing these public interest issues.</w:t>
      </w:r>
      <w:r w:rsidR="00EC656B" w:rsidRPr="002D7723">
        <w:rPr>
          <w:rStyle w:val="FootnoteReference"/>
        </w:rPr>
        <w:footnoteReference w:id="46"/>
      </w:r>
      <w:r w:rsidR="00EC656B" w:rsidRPr="002D7723">
        <w:t xml:space="preserve"> </w:t>
      </w:r>
      <w:r w:rsidR="00040FFE" w:rsidRPr="002D7723">
        <w:t>Low</w:t>
      </w:r>
      <w:r w:rsidR="00685BC2">
        <w:t>-</w:t>
      </w:r>
      <w:r w:rsidR="00040FFE" w:rsidRPr="002D7723">
        <w:t>band spectrum</w:t>
      </w:r>
      <w:r w:rsidR="00040FFE">
        <w:t xml:space="preserve">, which can </w:t>
      </w:r>
      <w:r w:rsidR="00040FFE" w:rsidRPr="002D7723">
        <w:t xml:space="preserve">provide coverage in regional and </w:t>
      </w:r>
      <w:r w:rsidR="00040FFE" w:rsidRPr="002D7723">
        <w:lastRenderedPageBreak/>
        <w:t>remote areas</w:t>
      </w:r>
      <w:r w:rsidR="00040FFE">
        <w:t>,</w:t>
      </w:r>
      <w:r w:rsidR="00040FFE" w:rsidRPr="002D7723">
        <w:t xml:space="preserve"> is </w:t>
      </w:r>
      <w:r w:rsidR="00694F75">
        <w:t xml:space="preserve">considered </w:t>
      </w:r>
      <w:r w:rsidR="00040FFE" w:rsidRPr="002D7723">
        <w:t>particularly desirable</w:t>
      </w:r>
      <w:r w:rsidR="00694F75">
        <w:t xml:space="preserve"> by a range of different interests</w:t>
      </w:r>
      <w:r w:rsidR="00040FFE" w:rsidRPr="002D7723">
        <w:t xml:space="preserve">, and we are aware of calls to make </w:t>
      </w:r>
      <w:r w:rsidR="00040FFE">
        <w:t xml:space="preserve">unused parts of this </w:t>
      </w:r>
      <w:r w:rsidR="00040FFE" w:rsidRPr="002D7723">
        <w:t xml:space="preserve">spectrum </w:t>
      </w:r>
      <w:r w:rsidR="00040FFE">
        <w:t xml:space="preserve">covered by ESLs </w:t>
      </w:r>
      <w:r w:rsidR="00040FFE" w:rsidRPr="002D7723">
        <w:t xml:space="preserve">available for mobile </w:t>
      </w:r>
      <w:r w:rsidR="00FE5A5A">
        <w:t xml:space="preserve">and/or public safety </w:t>
      </w:r>
      <w:r w:rsidR="00040FFE" w:rsidRPr="002D7723">
        <w:t>services in the</w:t>
      </w:r>
      <w:r w:rsidR="00040FFE">
        <w:t>se</w:t>
      </w:r>
      <w:r w:rsidR="00040FFE" w:rsidRPr="002D7723">
        <w:t xml:space="preserve"> areas.</w:t>
      </w:r>
      <w:r w:rsidR="00040FFE" w:rsidRPr="00040FFE">
        <w:t xml:space="preserve"> </w:t>
      </w:r>
    </w:p>
    <w:p w14:paraId="13A492B5" w14:textId="0C87C6A8" w:rsidR="00367643" w:rsidRPr="002D7723" w:rsidRDefault="00400D3B" w:rsidP="00367643">
      <w:pPr>
        <w:pStyle w:val="Paragraph"/>
      </w:pPr>
      <w:r w:rsidRPr="00D939F4">
        <w:t xml:space="preserve">With respect to First Nations </w:t>
      </w:r>
      <w:r w:rsidR="00685BC2">
        <w:t>Australians’</w:t>
      </w:r>
      <w:r w:rsidRPr="00D939F4">
        <w:t xml:space="preserve"> </w:t>
      </w:r>
      <w:r w:rsidR="00685BC2">
        <w:t>d</w:t>
      </w:r>
      <w:r w:rsidRPr="00D939F4">
        <w:t xml:space="preserve">igital </w:t>
      </w:r>
      <w:r w:rsidR="00685BC2">
        <w:t>i</w:t>
      </w:r>
      <w:r w:rsidRPr="00D939F4">
        <w:t>nclusion</w:t>
      </w:r>
      <w:r w:rsidR="00AE51B9">
        <w:t xml:space="preserve"> – largely in regional and remote areas – </w:t>
      </w:r>
      <w:r w:rsidRPr="00D939F4">
        <w:t xml:space="preserve">the </w:t>
      </w:r>
      <w:hyperlink r:id="rId56" w:history="1">
        <w:r w:rsidR="0005618C" w:rsidRPr="003D1AB2">
          <w:rPr>
            <w:rStyle w:val="Hyperlink"/>
          </w:rPr>
          <w:t>2023 First Nations Digital Inclusion Advisory Group Initial Report</w:t>
        </w:r>
      </w:hyperlink>
      <w:r w:rsidR="0005618C">
        <w:rPr>
          <w:rStyle w:val="Hyperlink"/>
        </w:rPr>
        <w:t xml:space="preserve"> </w:t>
      </w:r>
      <w:r w:rsidRPr="00D939F4">
        <w:t>encourages further examination of competition issues and new technologies. It notes the potential benefits that could be realised by roll</w:t>
      </w:r>
      <w:r w:rsidR="001575FE">
        <w:t xml:space="preserve">ing </w:t>
      </w:r>
      <w:r w:rsidRPr="00D939F4">
        <w:t xml:space="preserve">out mesh </w:t>
      </w:r>
      <w:r w:rsidR="001575FE">
        <w:t>w</w:t>
      </w:r>
      <w:r w:rsidRPr="00D939F4">
        <w:t>i-</w:t>
      </w:r>
      <w:r w:rsidR="001575FE">
        <w:t>f</w:t>
      </w:r>
      <w:r w:rsidRPr="00D939F4">
        <w:t xml:space="preserve">i and </w:t>
      </w:r>
      <w:r w:rsidRPr="001A411A">
        <w:t>LEO</w:t>
      </w:r>
      <w:r w:rsidR="00395FE5">
        <w:t>s</w:t>
      </w:r>
      <w:r w:rsidRPr="001A411A">
        <w:t>ats</w:t>
      </w:r>
      <w:r w:rsidR="00877E9E">
        <w:t>.</w:t>
      </w:r>
    </w:p>
    <w:p w14:paraId="041A08AB" w14:textId="31CF088C" w:rsidR="00073476" w:rsidRDefault="00AA407C" w:rsidP="00AA4BF2">
      <w:pPr>
        <w:pStyle w:val="Paragraph"/>
      </w:pPr>
      <w:r>
        <w:t xml:space="preserve">Noting that supporting competition in regional areas is </w:t>
      </w:r>
      <w:r w:rsidR="00723DF6">
        <w:t>an objective of the SOE relevant to ESL</w:t>
      </w:r>
      <w:r w:rsidR="00EA6904">
        <w:t>s</w:t>
      </w:r>
      <w:r w:rsidR="00723DF6">
        <w:t xml:space="preserve">, </w:t>
      </w:r>
      <w:r w:rsidR="007E071A">
        <w:t xml:space="preserve">we will consider whether existing arrangements </w:t>
      </w:r>
      <w:r w:rsidR="00ED46C2">
        <w:t>are facilitating competitive outcomes</w:t>
      </w:r>
      <w:r w:rsidR="008715EF">
        <w:t>.</w:t>
      </w:r>
      <w:r w:rsidR="002034C6">
        <w:t xml:space="preserve"> We and other stakeholders have noted</w:t>
      </w:r>
      <w:r w:rsidR="007B634F" w:rsidRPr="002D7723">
        <w:t xml:space="preserve"> that spectrum </w:t>
      </w:r>
      <w:r w:rsidR="00E147CB" w:rsidRPr="002D7723">
        <w:t>availab</w:t>
      </w:r>
      <w:r w:rsidR="00E147CB">
        <w:t>ilit</w:t>
      </w:r>
      <w:r w:rsidR="00E147CB" w:rsidRPr="002D7723">
        <w:t>y</w:t>
      </w:r>
      <w:r w:rsidR="007B634F" w:rsidRPr="002D7723">
        <w:t xml:space="preserve"> and access is not</w:t>
      </w:r>
      <w:r w:rsidR="007F6800">
        <w:t xml:space="preserve"> necessarily </w:t>
      </w:r>
      <w:r w:rsidR="007B634F">
        <w:t xml:space="preserve">a </w:t>
      </w:r>
      <w:r w:rsidR="007B634F" w:rsidRPr="002D7723">
        <w:t xml:space="preserve">barrier to terrestrial mobile network expansion in </w:t>
      </w:r>
      <w:r w:rsidR="007B634F">
        <w:t>regional, rural, and remote</w:t>
      </w:r>
      <w:r w:rsidR="007B634F" w:rsidRPr="002D7723">
        <w:t xml:space="preserve"> areas</w:t>
      </w:r>
      <w:r w:rsidR="001D4C2C">
        <w:t xml:space="preserve">, </w:t>
      </w:r>
      <w:r w:rsidR="001D4C2C" w:rsidRPr="002D7723">
        <w:t xml:space="preserve">nor to digital inclusion for First Nations </w:t>
      </w:r>
      <w:r w:rsidR="00EA6904">
        <w:t>Australians</w:t>
      </w:r>
      <w:r w:rsidR="007B634F" w:rsidRPr="002D7723">
        <w:t xml:space="preserve">. </w:t>
      </w:r>
      <w:r w:rsidR="0035161C">
        <w:t>T</w:t>
      </w:r>
      <w:r w:rsidR="0035161C" w:rsidRPr="002D7723">
        <w:t>he spectrum management framework, and spectrum licences, are designed to facilitate trading and sharing in the secondary market</w:t>
      </w:r>
      <w:r w:rsidR="0035161C">
        <w:t xml:space="preserve">, which is intended to facilitate movement of spectrum to the most economically efficient and productive ends. </w:t>
      </w:r>
      <w:r w:rsidR="00B14B31">
        <w:t>Whether that secondary market is realising those outcome</w:t>
      </w:r>
      <w:r w:rsidR="00877E9E">
        <w:t>s</w:t>
      </w:r>
      <w:r w:rsidR="00B14B31">
        <w:t xml:space="preserve"> may be a relevant consideration</w:t>
      </w:r>
      <w:r w:rsidR="00E2264D">
        <w:t xml:space="preserve"> for the public interest</w:t>
      </w:r>
      <w:r w:rsidR="00B14B31">
        <w:t>.</w:t>
      </w:r>
      <w:r w:rsidR="0035161C" w:rsidDel="002034C6">
        <w:t xml:space="preserve"> </w:t>
      </w:r>
      <w:r w:rsidR="00F941E2">
        <w:t xml:space="preserve">We </w:t>
      </w:r>
      <w:r w:rsidR="007B634F" w:rsidRPr="008024ED">
        <w:rPr>
          <w:u w:color="0000FF"/>
        </w:rPr>
        <w:t xml:space="preserve">have </w:t>
      </w:r>
      <w:r w:rsidR="00F941E2">
        <w:rPr>
          <w:u w:color="0000FF"/>
        </w:rPr>
        <w:t>also</w:t>
      </w:r>
      <w:r w:rsidR="007B634F" w:rsidRPr="008024ED">
        <w:rPr>
          <w:u w:color="0000FF"/>
        </w:rPr>
        <w:t xml:space="preserve"> noted</w:t>
      </w:r>
      <w:r w:rsidR="00847BAA" w:rsidRPr="002F2B4E">
        <w:rPr>
          <w:vertAlign w:val="superscript"/>
        </w:rPr>
        <w:footnoteReference w:id="47"/>
      </w:r>
      <w:r w:rsidR="007B634F" w:rsidRPr="002D7723">
        <w:t xml:space="preserve"> that sharing models and other incentives </w:t>
      </w:r>
      <w:r w:rsidR="00AF609D">
        <w:t>could be</w:t>
      </w:r>
      <w:r w:rsidR="007B634F" w:rsidRPr="002D7723">
        <w:t xml:space="preserve"> conducive to increasing spectrum utilisation</w:t>
      </w:r>
      <w:r w:rsidR="002A607D">
        <w:t xml:space="preserve"> in areas that lack connectivity</w:t>
      </w:r>
      <w:r w:rsidR="007B634F" w:rsidRPr="002D7723">
        <w:t>.</w:t>
      </w:r>
      <w:r w:rsidR="00846F96">
        <w:t xml:space="preserve"> </w:t>
      </w:r>
    </w:p>
    <w:p w14:paraId="09E5C513" w14:textId="77777777" w:rsidR="00D409B4" w:rsidRDefault="006D6C21" w:rsidP="00AA4BF2">
      <w:pPr>
        <w:pStyle w:val="Paragraph"/>
      </w:pPr>
      <w:r>
        <w:t>Recent technology trends</w:t>
      </w:r>
      <w:r w:rsidR="009750A6" w:rsidDel="00EC5DA3">
        <w:t xml:space="preserve"> </w:t>
      </w:r>
      <w:r w:rsidR="009750A6">
        <w:t>might also be relevant to our consideration of</w:t>
      </w:r>
      <w:r w:rsidR="00EC5DA3">
        <w:t xml:space="preserve"> how ESL</w:t>
      </w:r>
      <w:r w:rsidR="0000258C">
        <w:t>s</w:t>
      </w:r>
      <w:r w:rsidR="00EC5DA3">
        <w:t xml:space="preserve"> and the spectrum </w:t>
      </w:r>
      <w:r w:rsidR="006668B8">
        <w:t xml:space="preserve">overall can </w:t>
      </w:r>
      <w:r w:rsidR="00CA2C5E">
        <w:t>contribute to</w:t>
      </w:r>
      <w:r w:rsidR="009750A6">
        <w:t xml:space="preserve"> </w:t>
      </w:r>
      <w:r w:rsidR="00967B42">
        <w:t>this policy priority</w:t>
      </w:r>
      <w:r w:rsidR="009750A6">
        <w:t xml:space="preserve">. </w:t>
      </w:r>
      <w:r w:rsidR="007B634F">
        <w:t>We are aware of increasing interest in provision of satellite direct-to-mobile services, and that some stakeholders consider that such service</w:t>
      </w:r>
      <w:r w:rsidR="009750A6">
        <w:t>s</w:t>
      </w:r>
      <w:r w:rsidR="007B634F">
        <w:t xml:space="preserve"> could be used to provide regional, </w:t>
      </w:r>
      <w:proofErr w:type="gramStart"/>
      <w:r w:rsidR="007B634F">
        <w:t>rural</w:t>
      </w:r>
      <w:proofErr w:type="gramEnd"/>
      <w:r w:rsidR="007B634F">
        <w:t xml:space="preserve"> and remote connectivity. These services are in their early stages of development, and different models have different licensing and regulatory requirements. One of the emerging models, </w:t>
      </w:r>
      <w:r w:rsidR="000376B3">
        <w:t>International Mobile Telephony (</w:t>
      </w:r>
      <w:r w:rsidR="007B634F">
        <w:t>IMT</w:t>
      </w:r>
      <w:r w:rsidR="000376B3">
        <w:t>)</w:t>
      </w:r>
      <w:r w:rsidR="007B634F">
        <w:t xml:space="preserve"> satellite direct-to-mobile, is being proposed for use in parts of the spectrum allocated to mobile network operators under spectrum licences, including ESLs. </w:t>
      </w:r>
      <w:r w:rsidR="006225C2">
        <w:t>Wireless broadband</w:t>
      </w:r>
      <w:r w:rsidR="001060DE">
        <w:t xml:space="preserve"> </w:t>
      </w:r>
      <w:r w:rsidR="000B48F8">
        <w:t xml:space="preserve">stakeholders have recently announced </w:t>
      </w:r>
      <w:r w:rsidR="006F7052">
        <w:t xml:space="preserve">their plans to offer </w:t>
      </w:r>
      <w:r w:rsidR="005F6ECD">
        <w:t xml:space="preserve">services using </w:t>
      </w:r>
      <w:r w:rsidR="00E44B86">
        <w:t>L</w:t>
      </w:r>
      <w:r w:rsidR="002D16D9">
        <w:t>EO</w:t>
      </w:r>
      <w:r w:rsidR="00395FE5">
        <w:t>s</w:t>
      </w:r>
      <w:r w:rsidR="002D16D9">
        <w:t>ats.</w:t>
      </w:r>
      <w:r w:rsidR="002D16D9">
        <w:rPr>
          <w:rStyle w:val="FootnoteReference"/>
        </w:rPr>
        <w:footnoteReference w:id="48"/>
      </w:r>
      <w:r w:rsidR="002D16D9">
        <w:t xml:space="preserve"> </w:t>
      </w:r>
    </w:p>
    <w:p w14:paraId="5B57297E" w14:textId="13A7F86A" w:rsidR="007B634F" w:rsidRPr="002D7723" w:rsidRDefault="007B634F" w:rsidP="00AA4BF2">
      <w:pPr>
        <w:pStyle w:val="Paragraph"/>
      </w:pPr>
      <w:r>
        <w:t>In our FYSO 2023-28, we have signalled that, given the broad coverage provided by satellite services,</w:t>
      </w:r>
      <w:r w:rsidR="0059155C">
        <w:t xml:space="preserve"> and the requirements of the new interference management profile</w:t>
      </w:r>
      <w:r w:rsidR="008F525E">
        <w:t xml:space="preserve"> associated with providing satellite services in these bands</w:t>
      </w:r>
      <w:r w:rsidR="0059155C">
        <w:t>,</w:t>
      </w:r>
      <w:r>
        <w:t xml:space="preserve"> operation of IMT satellite direct-to-mobile in Australia would likely only be practical under an Australia-wide spectrum licence, including ESLs in 700 MHz, 850 MHz, and 2.5 GHz.</w:t>
      </w:r>
      <w:r w:rsidR="00E83ED4">
        <w:rPr>
          <w:rStyle w:val="FootnoteReference"/>
        </w:rPr>
        <w:footnoteReference w:id="49"/>
      </w:r>
      <w:r>
        <w:t xml:space="preserve"> The extent to which IMT satellite direct-to-mobile, as well as </w:t>
      </w:r>
      <w:r w:rsidR="00B17000">
        <w:t xml:space="preserve">mobile-satellite service </w:t>
      </w:r>
      <w:r>
        <w:t xml:space="preserve">direct-to-mobile, could address long-standing issues relating to regional, rural and remote coverage, </w:t>
      </w:r>
      <w:r w:rsidR="00686303">
        <w:t xml:space="preserve">may </w:t>
      </w:r>
      <w:r>
        <w:t>be a relevant factor in our consideration of long-term arrangements for the spectrum that best serve the public interest.</w:t>
      </w:r>
    </w:p>
    <w:p w14:paraId="52750077" w14:textId="4DC58656" w:rsidR="007B634F" w:rsidRPr="002D7723" w:rsidRDefault="007B634F" w:rsidP="00AA4BF2">
      <w:pPr>
        <w:pStyle w:val="Paragraph"/>
      </w:pPr>
      <w:r w:rsidRPr="002D7723">
        <w:lastRenderedPageBreak/>
        <w:t xml:space="preserve">We invite incumbents to present us with information and evidence relating to how their use of the spectrum covered by ESLs has, or could, assist in achieving </w:t>
      </w:r>
      <w:r w:rsidR="005B25E9">
        <w:t>this policy priority</w:t>
      </w:r>
      <w:r w:rsidRPr="002D7723">
        <w:t xml:space="preserve">. </w:t>
      </w:r>
    </w:p>
    <w:p w14:paraId="6D9FBFB3" w14:textId="6BB54F2B" w:rsidR="007B634F" w:rsidRDefault="007B634F" w:rsidP="00AA4BF2">
      <w:pPr>
        <w:pStyle w:val="Paragraph"/>
      </w:pPr>
      <w:r w:rsidRPr="002D7723">
        <w:t xml:space="preserve">Prospective users putting forward alternative use cases are encouraged to frame </w:t>
      </w:r>
      <w:r w:rsidR="00C85BDF">
        <w:t xml:space="preserve">submissions </w:t>
      </w:r>
      <w:r w:rsidRPr="002D7723">
        <w:t xml:space="preserve">engagement with specific </w:t>
      </w:r>
      <w:r w:rsidR="002C4F13">
        <w:t xml:space="preserve">information about </w:t>
      </w:r>
      <w:r w:rsidRPr="002D7723">
        <w:t xml:space="preserve">how their proposed use of the spectrum could overcome </w:t>
      </w:r>
      <w:r w:rsidR="00E83410">
        <w:t xml:space="preserve">the complex </w:t>
      </w:r>
      <w:r w:rsidRPr="002D7723">
        <w:t>existing barriers to addressing these issues</w:t>
      </w:r>
      <w:r w:rsidR="00EF3BD5">
        <w:t xml:space="preserve"> noted in the resources mentioned above</w:t>
      </w:r>
      <w:r w:rsidRPr="002D7723">
        <w:t>.</w:t>
      </w:r>
    </w:p>
    <w:p w14:paraId="78149F56" w14:textId="77777777" w:rsidR="003C5E7D" w:rsidRDefault="003C5E7D" w:rsidP="003C5E7D">
      <w:pPr>
        <w:pStyle w:val="Heading1"/>
      </w:pPr>
      <w:bookmarkStart w:id="26" w:name="_Toc153795070"/>
      <w:r>
        <w:lastRenderedPageBreak/>
        <w:t xml:space="preserve">Appendix A: Parts of the spectrum and geographic areas covered by ESLs and renewal </w:t>
      </w:r>
      <w:proofErr w:type="gramStart"/>
      <w:r>
        <w:t>timeframes</w:t>
      </w:r>
      <w:bookmarkEnd w:id="26"/>
      <w:proofErr w:type="gramEnd"/>
    </w:p>
    <w:p w14:paraId="4A3190A4" w14:textId="77777777" w:rsidR="003C5E7D" w:rsidRPr="007320E5" w:rsidRDefault="003C5E7D" w:rsidP="003C5E7D">
      <w:pPr>
        <w:pStyle w:val="Paragraph"/>
      </w:pPr>
      <w:r w:rsidRPr="007320E5">
        <w:t xml:space="preserve">Further details about ESLs can be found in the </w:t>
      </w:r>
      <w:hyperlink r:id="rId57" w:history="1">
        <w:r w:rsidRPr="007320E5">
          <w:rPr>
            <w:rStyle w:val="Hyperlink"/>
            <w:color w:val="auto"/>
            <w:u w:val="none"/>
          </w:rPr>
          <w:t>Register of Radiocommunications Licences</w:t>
        </w:r>
      </w:hyperlink>
      <w:r w:rsidRPr="007320E5">
        <w:t xml:space="preserve"> (RRL). </w:t>
      </w:r>
    </w:p>
    <w:p w14:paraId="6A86BAB8" w14:textId="23755508" w:rsidR="003C5E7D" w:rsidRDefault="003C5E7D" w:rsidP="003C5E7D">
      <w:pPr>
        <w:pStyle w:val="Tableheading"/>
      </w:pPr>
      <w:r>
        <w:t xml:space="preserve">Spectrum subject to </w:t>
      </w:r>
      <w:r w:rsidR="004F3DCD">
        <w:t>ESLs</w:t>
      </w:r>
      <w:r>
        <w:t xml:space="preserve"> due to expire 2028 to </w:t>
      </w:r>
      <w:proofErr w:type="gramStart"/>
      <w:r>
        <w:t>2032</w:t>
      </w:r>
      <w:proofErr w:type="gramEnd"/>
    </w:p>
    <w:tbl>
      <w:tblPr>
        <w:tblStyle w:val="ACMAtablestyle"/>
        <w:tblW w:w="8642" w:type="dxa"/>
        <w:tblLook w:val="04A0" w:firstRow="1" w:lastRow="0" w:firstColumn="1" w:lastColumn="0" w:noHBand="0" w:noVBand="1"/>
      </w:tblPr>
      <w:tblGrid>
        <w:gridCol w:w="1308"/>
        <w:gridCol w:w="2397"/>
        <w:gridCol w:w="2610"/>
        <w:gridCol w:w="2327"/>
      </w:tblGrid>
      <w:tr w:rsidR="00592B84" w14:paraId="324F6AA2" w14:textId="77777777" w:rsidTr="008E00CD">
        <w:trPr>
          <w:cnfStyle w:val="100000000000" w:firstRow="1" w:lastRow="0" w:firstColumn="0" w:lastColumn="0" w:oddVBand="0" w:evenVBand="0" w:oddHBand="0" w:evenHBand="0" w:firstRowFirstColumn="0" w:firstRowLastColumn="0" w:lastRowFirstColumn="0" w:lastRowLastColumn="0"/>
          <w:trHeight w:val="172"/>
        </w:trPr>
        <w:tc>
          <w:tcPr>
            <w:tcW w:w="0" w:type="dxa"/>
          </w:tcPr>
          <w:p w14:paraId="3ABEBFA4" w14:textId="77777777" w:rsidR="00592B84" w:rsidRPr="00D6126A" w:rsidRDefault="00592B84" w:rsidP="00AE7BAB">
            <w:pPr>
              <w:pStyle w:val="Tableheaderrow"/>
            </w:pPr>
            <w:r w:rsidRPr="00D6126A">
              <w:t>Band</w:t>
            </w:r>
          </w:p>
        </w:tc>
        <w:tc>
          <w:tcPr>
            <w:tcW w:w="0" w:type="dxa"/>
          </w:tcPr>
          <w:p w14:paraId="42CAD237" w14:textId="77777777" w:rsidR="00592B84" w:rsidRDefault="00592B84" w:rsidP="00AE7BAB">
            <w:pPr>
              <w:pStyle w:val="Tableheaderrow"/>
            </w:pPr>
            <w:r>
              <w:t>Frequency range</w:t>
            </w:r>
          </w:p>
        </w:tc>
        <w:tc>
          <w:tcPr>
            <w:tcW w:w="0" w:type="dxa"/>
          </w:tcPr>
          <w:p w14:paraId="79EF6770" w14:textId="77777777" w:rsidR="00592B84" w:rsidRDefault="00592B84" w:rsidP="00AE7BAB">
            <w:pPr>
              <w:pStyle w:val="Tableheaderrow"/>
            </w:pPr>
            <w:r>
              <w:t>Geographic area*</w:t>
            </w:r>
          </w:p>
        </w:tc>
        <w:tc>
          <w:tcPr>
            <w:tcW w:w="0" w:type="dxa"/>
          </w:tcPr>
          <w:p w14:paraId="70601D42" w14:textId="77777777" w:rsidR="00592B84" w:rsidRDefault="00592B84" w:rsidP="00AE7BAB">
            <w:pPr>
              <w:pStyle w:val="Tableheaderrow"/>
            </w:pPr>
            <w:r>
              <w:t>Expiry date</w:t>
            </w:r>
          </w:p>
        </w:tc>
      </w:tr>
      <w:tr w:rsidR="00592B84" w14:paraId="6ED4E665"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tcPr>
          <w:p w14:paraId="2BBA93DB" w14:textId="77777777" w:rsidR="00592B84" w:rsidRDefault="00592B84" w:rsidP="00AE7BAB">
            <w:pPr>
              <w:pStyle w:val="TableBody"/>
            </w:pPr>
            <w:r>
              <w:t>700 MHz</w:t>
            </w:r>
          </w:p>
        </w:tc>
        <w:tc>
          <w:tcPr>
            <w:tcW w:w="0" w:type="dxa"/>
          </w:tcPr>
          <w:p w14:paraId="2FC70B95" w14:textId="77777777" w:rsidR="00592B84" w:rsidRDefault="00592B84" w:rsidP="008E00CD">
            <w:pPr>
              <w:pStyle w:val="TableBody"/>
              <w:spacing w:after="80"/>
            </w:pPr>
            <w:r>
              <w:t xml:space="preserve">703–748 MHz / </w:t>
            </w:r>
            <w:r>
              <w:br/>
              <w:t>758–803 MHz</w:t>
            </w:r>
          </w:p>
          <w:p w14:paraId="02141080" w14:textId="77777777" w:rsidR="00592B84" w:rsidRDefault="00592B84" w:rsidP="00AE7BAB">
            <w:pPr>
              <w:pStyle w:val="TableBody"/>
            </w:pPr>
            <w:r>
              <w:t>(2 x 45 MHz paired)</w:t>
            </w:r>
          </w:p>
        </w:tc>
        <w:tc>
          <w:tcPr>
            <w:tcW w:w="0" w:type="dxa"/>
          </w:tcPr>
          <w:p w14:paraId="56C9A8E9" w14:textId="77777777" w:rsidR="00592B84" w:rsidRDefault="00592B84" w:rsidP="00AE7BAB">
            <w:pPr>
              <w:pStyle w:val="TableBody"/>
            </w:pPr>
            <w:r>
              <w:t>Australia-wide</w:t>
            </w:r>
          </w:p>
        </w:tc>
        <w:tc>
          <w:tcPr>
            <w:tcW w:w="0" w:type="dxa"/>
          </w:tcPr>
          <w:p w14:paraId="1161C525" w14:textId="77777777" w:rsidR="00592B84" w:rsidRDefault="00592B84" w:rsidP="00AE7BAB">
            <w:pPr>
              <w:pStyle w:val="TableBody"/>
            </w:pPr>
            <w:r>
              <w:t>31 December 2029</w:t>
            </w:r>
          </w:p>
        </w:tc>
      </w:tr>
      <w:tr w:rsidR="00592B84" w14:paraId="7D808A79" w14:textId="77777777" w:rsidTr="008E00CD">
        <w:trPr>
          <w:cnfStyle w:val="000000010000" w:firstRow="0" w:lastRow="0" w:firstColumn="0" w:lastColumn="0" w:oddVBand="0" w:evenVBand="0" w:oddHBand="0" w:evenHBand="1" w:firstRowFirstColumn="0" w:firstRowLastColumn="0" w:lastRowFirstColumn="0" w:lastRowLastColumn="0"/>
          <w:trHeight w:val="480"/>
        </w:trPr>
        <w:tc>
          <w:tcPr>
            <w:tcW w:w="0" w:type="dxa"/>
          </w:tcPr>
          <w:p w14:paraId="7897953E" w14:textId="77777777" w:rsidR="00592B84" w:rsidRDefault="00592B84" w:rsidP="00AE7BAB">
            <w:pPr>
              <w:pStyle w:val="TableBody"/>
            </w:pPr>
            <w:r>
              <w:t>850 MHz</w:t>
            </w:r>
          </w:p>
        </w:tc>
        <w:tc>
          <w:tcPr>
            <w:tcW w:w="0" w:type="dxa"/>
          </w:tcPr>
          <w:p w14:paraId="6A4562BB" w14:textId="77777777" w:rsidR="00592B84" w:rsidRDefault="00592B84" w:rsidP="008E00CD">
            <w:pPr>
              <w:pStyle w:val="TableBody"/>
              <w:spacing w:after="80"/>
            </w:pPr>
            <w:r>
              <w:t xml:space="preserve">824–845 MHz / </w:t>
            </w:r>
            <w:r>
              <w:br/>
              <w:t>869–890 MHz</w:t>
            </w:r>
          </w:p>
          <w:p w14:paraId="02E99FD7" w14:textId="77777777" w:rsidR="00592B84" w:rsidRDefault="00592B84" w:rsidP="00AE7BAB">
            <w:pPr>
              <w:pStyle w:val="TableBody"/>
            </w:pPr>
            <w:r>
              <w:t>(2 x 20 MHz paired and 2 x 1 MHz paired downshift)</w:t>
            </w:r>
          </w:p>
        </w:tc>
        <w:tc>
          <w:tcPr>
            <w:tcW w:w="0" w:type="dxa"/>
          </w:tcPr>
          <w:p w14:paraId="57A5B0E7" w14:textId="77777777" w:rsidR="00592B84" w:rsidRDefault="00592B84" w:rsidP="00AE7BAB">
            <w:pPr>
              <w:pStyle w:val="TableBody"/>
            </w:pPr>
            <w:r>
              <w:t>Australia-wide</w:t>
            </w:r>
          </w:p>
        </w:tc>
        <w:tc>
          <w:tcPr>
            <w:tcW w:w="0" w:type="dxa"/>
          </w:tcPr>
          <w:p w14:paraId="0A8077CC" w14:textId="77777777" w:rsidR="00592B84" w:rsidRDefault="00592B84" w:rsidP="00AE7BAB">
            <w:pPr>
              <w:pStyle w:val="TableBody"/>
            </w:pPr>
            <w:r>
              <w:t>17 June 2028</w:t>
            </w:r>
          </w:p>
        </w:tc>
      </w:tr>
      <w:tr w:rsidR="00592B84" w14:paraId="0C490DF4"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tcPr>
          <w:p w14:paraId="474D3B18" w14:textId="77777777" w:rsidR="00592B84" w:rsidRDefault="00592B84" w:rsidP="00AE7BAB">
            <w:pPr>
              <w:pStyle w:val="TableBody"/>
            </w:pPr>
            <w:r>
              <w:t>1800 MHz</w:t>
            </w:r>
          </w:p>
        </w:tc>
        <w:tc>
          <w:tcPr>
            <w:tcW w:w="0" w:type="dxa"/>
          </w:tcPr>
          <w:p w14:paraId="78E0DA5D" w14:textId="77777777" w:rsidR="00592B84" w:rsidRDefault="00592B84" w:rsidP="008E00CD">
            <w:pPr>
              <w:pStyle w:val="TableBody"/>
              <w:spacing w:after="80"/>
            </w:pPr>
            <w:r>
              <w:t>1710–1785 MHz / 1805–1880 MHz</w:t>
            </w:r>
          </w:p>
          <w:p w14:paraId="65260909" w14:textId="77777777" w:rsidR="00592B84" w:rsidRDefault="00592B84" w:rsidP="00AE7BAB">
            <w:pPr>
              <w:pStyle w:val="TableBody"/>
            </w:pPr>
            <w:r>
              <w:t>(2 x 75 MHz paired)</w:t>
            </w:r>
          </w:p>
        </w:tc>
        <w:tc>
          <w:tcPr>
            <w:tcW w:w="0" w:type="dxa"/>
          </w:tcPr>
          <w:p w14:paraId="7F3583CB" w14:textId="77777777" w:rsidR="00592B84" w:rsidRDefault="00592B84" w:rsidP="00AE7BAB">
            <w:pPr>
              <w:pStyle w:val="TableBody"/>
            </w:pPr>
            <w:r>
              <w:t>Metropolitan and regional areas</w:t>
            </w:r>
          </w:p>
        </w:tc>
        <w:tc>
          <w:tcPr>
            <w:tcW w:w="0" w:type="dxa"/>
          </w:tcPr>
          <w:p w14:paraId="430E07AB" w14:textId="77777777" w:rsidR="00592B84" w:rsidRDefault="00592B84" w:rsidP="00AE7BAB">
            <w:pPr>
              <w:pStyle w:val="TableBody"/>
            </w:pPr>
            <w:r>
              <w:t>17 June 2028</w:t>
            </w:r>
          </w:p>
        </w:tc>
      </w:tr>
      <w:tr w:rsidR="00592B84" w14:paraId="008476CF" w14:textId="77777777" w:rsidTr="008E00CD">
        <w:trPr>
          <w:cnfStyle w:val="000000010000" w:firstRow="0" w:lastRow="0" w:firstColumn="0" w:lastColumn="0" w:oddVBand="0" w:evenVBand="0" w:oddHBand="0" w:evenHBand="1" w:firstRowFirstColumn="0" w:firstRowLastColumn="0" w:lastRowFirstColumn="0" w:lastRowLastColumn="0"/>
          <w:trHeight w:val="480"/>
        </w:trPr>
        <w:tc>
          <w:tcPr>
            <w:tcW w:w="0" w:type="dxa"/>
            <w:vMerge w:val="restart"/>
          </w:tcPr>
          <w:p w14:paraId="69A91385" w14:textId="77777777" w:rsidR="00592B84" w:rsidRDefault="00592B84" w:rsidP="00AE7BAB">
            <w:pPr>
              <w:pStyle w:val="TableBody"/>
            </w:pPr>
            <w:r>
              <w:t>2 GHz</w:t>
            </w:r>
          </w:p>
        </w:tc>
        <w:tc>
          <w:tcPr>
            <w:tcW w:w="0" w:type="dxa"/>
          </w:tcPr>
          <w:p w14:paraId="165EB2E8" w14:textId="77777777" w:rsidR="00592B84" w:rsidRDefault="00592B84" w:rsidP="008E00CD">
            <w:pPr>
              <w:pStyle w:val="TableBody"/>
              <w:spacing w:after="80"/>
            </w:pPr>
            <w:r>
              <w:t>1920–1980 MHz / 2110–2170 MHz</w:t>
            </w:r>
          </w:p>
          <w:p w14:paraId="4A021CBD" w14:textId="77777777" w:rsidR="00592B84" w:rsidRDefault="00592B84" w:rsidP="00AE7BAB">
            <w:pPr>
              <w:pStyle w:val="TableBody"/>
            </w:pPr>
            <w:r>
              <w:t>(2 x 60 MHz paired)</w:t>
            </w:r>
          </w:p>
        </w:tc>
        <w:tc>
          <w:tcPr>
            <w:tcW w:w="0" w:type="dxa"/>
          </w:tcPr>
          <w:p w14:paraId="4E1549D0" w14:textId="77777777" w:rsidR="00592B84" w:rsidRDefault="00592B84" w:rsidP="00AE7BAB">
            <w:pPr>
              <w:pStyle w:val="TableBody"/>
            </w:pPr>
            <w:r>
              <w:t xml:space="preserve">Metropolitan areas including Canberra, </w:t>
            </w:r>
            <w:proofErr w:type="gramStart"/>
            <w:r>
              <w:t>Darwin</w:t>
            </w:r>
            <w:proofErr w:type="gramEnd"/>
            <w:r>
              <w:t xml:space="preserve"> and Hobart</w:t>
            </w:r>
          </w:p>
        </w:tc>
        <w:tc>
          <w:tcPr>
            <w:tcW w:w="0" w:type="dxa"/>
            <w:vMerge w:val="restart"/>
          </w:tcPr>
          <w:p w14:paraId="21BD9186" w14:textId="77777777" w:rsidR="00592B84" w:rsidRDefault="00592B84" w:rsidP="00AE7BAB">
            <w:pPr>
              <w:pStyle w:val="TableBody"/>
            </w:pPr>
            <w:r>
              <w:t>11 October 2032</w:t>
            </w:r>
          </w:p>
        </w:tc>
      </w:tr>
      <w:tr w:rsidR="00592B84" w14:paraId="28B80BFB"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vMerge/>
          </w:tcPr>
          <w:p w14:paraId="74CE8E5B" w14:textId="77777777" w:rsidR="00592B84" w:rsidRDefault="00592B84" w:rsidP="00AE7BAB">
            <w:pPr>
              <w:pStyle w:val="TableBody"/>
            </w:pPr>
          </w:p>
        </w:tc>
        <w:tc>
          <w:tcPr>
            <w:tcW w:w="0" w:type="dxa"/>
          </w:tcPr>
          <w:p w14:paraId="33382AE1" w14:textId="77777777" w:rsidR="00592B84" w:rsidRDefault="00592B84" w:rsidP="008E00CD">
            <w:pPr>
              <w:pStyle w:val="TableBody"/>
              <w:spacing w:after="80"/>
            </w:pPr>
            <w:r>
              <w:t>1960–1980 MHz / 2150–2170 MHz</w:t>
            </w:r>
          </w:p>
          <w:p w14:paraId="0CD1B576" w14:textId="77777777" w:rsidR="00592B84" w:rsidRDefault="00592B84" w:rsidP="00AE7BAB">
            <w:pPr>
              <w:pStyle w:val="TableBody"/>
            </w:pPr>
            <w:r>
              <w:t>(2 x 20 MHz paired)</w:t>
            </w:r>
          </w:p>
        </w:tc>
        <w:tc>
          <w:tcPr>
            <w:tcW w:w="0" w:type="dxa"/>
          </w:tcPr>
          <w:p w14:paraId="642B1A6D" w14:textId="77777777" w:rsidR="00592B84" w:rsidRDefault="00592B84" w:rsidP="00AE7BAB">
            <w:pPr>
              <w:pStyle w:val="TableBody"/>
            </w:pPr>
            <w:r>
              <w:t>Regional areas</w:t>
            </w:r>
          </w:p>
        </w:tc>
        <w:tc>
          <w:tcPr>
            <w:tcW w:w="0" w:type="dxa"/>
            <w:vMerge/>
          </w:tcPr>
          <w:p w14:paraId="64A1A807" w14:textId="77777777" w:rsidR="00592B84" w:rsidRDefault="00592B84" w:rsidP="00AE7BAB">
            <w:pPr>
              <w:pStyle w:val="TableBody"/>
            </w:pPr>
          </w:p>
        </w:tc>
      </w:tr>
      <w:tr w:rsidR="00592B84" w14:paraId="716D2C91" w14:textId="77777777" w:rsidTr="008E00CD">
        <w:trPr>
          <w:cnfStyle w:val="000000010000" w:firstRow="0" w:lastRow="0" w:firstColumn="0" w:lastColumn="0" w:oddVBand="0" w:evenVBand="0" w:oddHBand="0" w:evenHBand="1" w:firstRowFirstColumn="0" w:firstRowLastColumn="0" w:lastRowFirstColumn="0" w:lastRowLastColumn="0"/>
          <w:trHeight w:val="480"/>
        </w:trPr>
        <w:tc>
          <w:tcPr>
            <w:tcW w:w="0" w:type="dxa"/>
            <w:vMerge w:val="restart"/>
          </w:tcPr>
          <w:p w14:paraId="37B06431" w14:textId="77777777" w:rsidR="00592B84" w:rsidRDefault="00592B84" w:rsidP="00AE7BAB">
            <w:pPr>
              <w:pStyle w:val="TableBody"/>
            </w:pPr>
            <w:r>
              <w:t>2.3 GHz</w:t>
            </w:r>
          </w:p>
        </w:tc>
        <w:tc>
          <w:tcPr>
            <w:tcW w:w="0" w:type="dxa"/>
          </w:tcPr>
          <w:p w14:paraId="050074A3" w14:textId="77777777" w:rsidR="00592B84" w:rsidRDefault="00592B84" w:rsidP="00AE7BAB">
            <w:pPr>
              <w:pStyle w:val="TableBody"/>
              <w:spacing w:after="80"/>
            </w:pPr>
            <w:r>
              <w:t xml:space="preserve">2302–2400 MHz </w:t>
            </w:r>
          </w:p>
          <w:p w14:paraId="7D87339A" w14:textId="77777777" w:rsidR="00592B84" w:rsidRDefault="00592B84" w:rsidP="008E00CD">
            <w:pPr>
              <w:pStyle w:val="TableBody"/>
            </w:pPr>
            <w:r>
              <w:t>(98 MHz unpaired)</w:t>
            </w:r>
          </w:p>
        </w:tc>
        <w:tc>
          <w:tcPr>
            <w:tcW w:w="0" w:type="dxa"/>
          </w:tcPr>
          <w:p w14:paraId="46D3A975" w14:textId="77777777" w:rsidR="00592B84" w:rsidRDefault="00592B84" w:rsidP="00AE7BAB">
            <w:pPr>
              <w:pStyle w:val="TableBody"/>
            </w:pPr>
            <w:r>
              <w:t>Metropolitan and regional areas</w:t>
            </w:r>
          </w:p>
        </w:tc>
        <w:tc>
          <w:tcPr>
            <w:tcW w:w="0" w:type="dxa"/>
            <w:vMerge w:val="restart"/>
          </w:tcPr>
          <w:p w14:paraId="4118D9ED" w14:textId="77777777" w:rsidR="00592B84" w:rsidRDefault="00592B84" w:rsidP="00AE7BAB">
            <w:pPr>
              <w:pStyle w:val="TableBody"/>
            </w:pPr>
            <w:r>
              <w:t>24 July 2030</w:t>
            </w:r>
          </w:p>
        </w:tc>
      </w:tr>
      <w:tr w:rsidR="00592B84" w14:paraId="584D1763"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vMerge/>
          </w:tcPr>
          <w:p w14:paraId="04539DDB" w14:textId="77777777" w:rsidR="00592B84" w:rsidRDefault="00592B84" w:rsidP="00AE7BAB">
            <w:pPr>
              <w:pStyle w:val="TableBody"/>
            </w:pPr>
          </w:p>
        </w:tc>
        <w:tc>
          <w:tcPr>
            <w:tcW w:w="0" w:type="dxa"/>
          </w:tcPr>
          <w:p w14:paraId="16DB92AF" w14:textId="77777777" w:rsidR="00592B84" w:rsidRDefault="00592B84" w:rsidP="008E00CD">
            <w:pPr>
              <w:pStyle w:val="TableBody"/>
              <w:spacing w:after="80"/>
            </w:pPr>
            <w:r>
              <w:t>2330–2400 MHz</w:t>
            </w:r>
          </w:p>
          <w:p w14:paraId="0096F8ED" w14:textId="77777777" w:rsidR="00592B84" w:rsidRDefault="00592B84" w:rsidP="00AE7BAB">
            <w:pPr>
              <w:pStyle w:val="TableBody"/>
            </w:pPr>
            <w:r>
              <w:t>(70 MHz unpaired)</w:t>
            </w:r>
          </w:p>
        </w:tc>
        <w:tc>
          <w:tcPr>
            <w:tcW w:w="0" w:type="dxa"/>
          </w:tcPr>
          <w:p w14:paraId="3AD85C29" w14:textId="77777777" w:rsidR="00592B84" w:rsidRDefault="00592B84" w:rsidP="00AE7BAB">
            <w:pPr>
              <w:pStyle w:val="TableBody"/>
            </w:pPr>
            <w:r>
              <w:t>Canberra</w:t>
            </w:r>
          </w:p>
        </w:tc>
        <w:tc>
          <w:tcPr>
            <w:tcW w:w="0" w:type="dxa"/>
            <w:vMerge/>
          </w:tcPr>
          <w:p w14:paraId="1954765A" w14:textId="77777777" w:rsidR="00592B84" w:rsidRDefault="00592B84" w:rsidP="00AE7BAB">
            <w:pPr>
              <w:pStyle w:val="TableBody"/>
            </w:pPr>
          </w:p>
        </w:tc>
      </w:tr>
      <w:tr w:rsidR="00592B84" w14:paraId="64F7E76E" w14:textId="77777777" w:rsidTr="008E00CD">
        <w:trPr>
          <w:cnfStyle w:val="000000010000" w:firstRow="0" w:lastRow="0" w:firstColumn="0" w:lastColumn="0" w:oddVBand="0" w:evenVBand="0" w:oddHBand="0" w:evenHBand="1" w:firstRowFirstColumn="0" w:firstRowLastColumn="0" w:lastRowFirstColumn="0" w:lastRowLastColumn="0"/>
          <w:trHeight w:val="480"/>
        </w:trPr>
        <w:tc>
          <w:tcPr>
            <w:tcW w:w="0" w:type="dxa"/>
          </w:tcPr>
          <w:p w14:paraId="20870FC0" w14:textId="77777777" w:rsidR="00592B84" w:rsidRDefault="00592B84" w:rsidP="00AE7BAB">
            <w:pPr>
              <w:pStyle w:val="TableBody"/>
            </w:pPr>
            <w:r>
              <w:t>2.5 GHz</w:t>
            </w:r>
          </w:p>
        </w:tc>
        <w:tc>
          <w:tcPr>
            <w:tcW w:w="0" w:type="dxa"/>
          </w:tcPr>
          <w:p w14:paraId="787409F8" w14:textId="77777777" w:rsidR="00592B84" w:rsidRDefault="00592B84" w:rsidP="008E00CD">
            <w:pPr>
              <w:pStyle w:val="TableBody"/>
              <w:spacing w:after="80"/>
            </w:pPr>
            <w:r>
              <w:t>2500–2570 MHz / 2620–2690 MHz</w:t>
            </w:r>
          </w:p>
          <w:p w14:paraId="16AF6B67" w14:textId="77777777" w:rsidR="00592B84" w:rsidRDefault="00592B84" w:rsidP="00AE7BAB">
            <w:pPr>
              <w:pStyle w:val="TableBody"/>
            </w:pPr>
            <w:r>
              <w:t>(2 x 70 MHz paired)</w:t>
            </w:r>
          </w:p>
        </w:tc>
        <w:tc>
          <w:tcPr>
            <w:tcW w:w="0" w:type="dxa"/>
          </w:tcPr>
          <w:p w14:paraId="62B80F14" w14:textId="77777777" w:rsidR="00592B84" w:rsidRDefault="00592B84" w:rsidP="00AE7BAB">
            <w:pPr>
              <w:pStyle w:val="TableBody"/>
            </w:pPr>
            <w:r>
              <w:t>Australia-wide</w:t>
            </w:r>
          </w:p>
        </w:tc>
        <w:tc>
          <w:tcPr>
            <w:tcW w:w="0" w:type="dxa"/>
          </w:tcPr>
          <w:p w14:paraId="4A27691A" w14:textId="77777777" w:rsidR="00592B84" w:rsidRDefault="00592B84" w:rsidP="00AE7BAB">
            <w:pPr>
              <w:pStyle w:val="TableBody"/>
            </w:pPr>
            <w:r>
              <w:t>30 September 2029</w:t>
            </w:r>
          </w:p>
        </w:tc>
      </w:tr>
      <w:tr w:rsidR="00592B84" w14:paraId="4564FDA5"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tcPr>
          <w:p w14:paraId="157650C3" w14:textId="77777777" w:rsidR="00592B84" w:rsidRDefault="00592B84" w:rsidP="00AE7BAB">
            <w:pPr>
              <w:pStyle w:val="TableBody"/>
            </w:pPr>
            <w:r>
              <w:t>2.5 GHz mid-band gap</w:t>
            </w:r>
          </w:p>
        </w:tc>
        <w:tc>
          <w:tcPr>
            <w:tcW w:w="0" w:type="dxa"/>
          </w:tcPr>
          <w:p w14:paraId="77050E98" w14:textId="77777777" w:rsidR="00592B84" w:rsidRDefault="00592B84" w:rsidP="008E00CD">
            <w:pPr>
              <w:pStyle w:val="TableBody"/>
              <w:spacing w:after="80"/>
            </w:pPr>
            <w:r>
              <w:t>2570–2620 MHz</w:t>
            </w:r>
          </w:p>
          <w:p w14:paraId="180DE18B" w14:textId="77777777" w:rsidR="00592B84" w:rsidRDefault="00592B84" w:rsidP="00AE7BAB">
            <w:pPr>
              <w:pStyle w:val="TableBody"/>
            </w:pPr>
            <w:r>
              <w:t>(50 MHz unpaired)</w:t>
            </w:r>
          </w:p>
        </w:tc>
        <w:tc>
          <w:tcPr>
            <w:tcW w:w="0" w:type="dxa"/>
          </w:tcPr>
          <w:p w14:paraId="679262F1" w14:textId="77777777" w:rsidR="00592B84" w:rsidRDefault="00592B84" w:rsidP="00AE7BAB">
            <w:pPr>
              <w:pStyle w:val="TableBody"/>
            </w:pPr>
            <w:r>
              <w:t>Australia-wide</w:t>
            </w:r>
          </w:p>
        </w:tc>
        <w:tc>
          <w:tcPr>
            <w:tcW w:w="0" w:type="dxa"/>
          </w:tcPr>
          <w:p w14:paraId="75EAA265" w14:textId="77777777" w:rsidR="00592B84" w:rsidRDefault="00592B84" w:rsidP="00AE7BAB">
            <w:pPr>
              <w:pStyle w:val="TableBody"/>
            </w:pPr>
            <w:r>
              <w:t>30 September 2029</w:t>
            </w:r>
          </w:p>
        </w:tc>
      </w:tr>
      <w:tr w:rsidR="00592B84" w14:paraId="76588F0F" w14:textId="77777777" w:rsidTr="008E00CD">
        <w:trPr>
          <w:cnfStyle w:val="000000010000" w:firstRow="0" w:lastRow="0" w:firstColumn="0" w:lastColumn="0" w:oddVBand="0" w:evenVBand="0" w:oddHBand="0" w:evenHBand="1" w:firstRowFirstColumn="0" w:firstRowLastColumn="0" w:lastRowFirstColumn="0" w:lastRowLastColumn="0"/>
          <w:trHeight w:val="198"/>
        </w:trPr>
        <w:tc>
          <w:tcPr>
            <w:tcW w:w="0" w:type="dxa"/>
            <w:vMerge w:val="restart"/>
          </w:tcPr>
          <w:p w14:paraId="4E636DA5" w14:textId="77777777" w:rsidR="00592B84" w:rsidRDefault="00592B84" w:rsidP="008E00CD">
            <w:pPr>
              <w:pStyle w:val="TableBody"/>
              <w:keepNext/>
              <w:keepLines/>
            </w:pPr>
            <w:r>
              <w:lastRenderedPageBreak/>
              <w:t>3.4 GHz</w:t>
            </w:r>
          </w:p>
        </w:tc>
        <w:tc>
          <w:tcPr>
            <w:tcW w:w="0" w:type="dxa"/>
          </w:tcPr>
          <w:p w14:paraId="57723073" w14:textId="77777777" w:rsidR="00592B84" w:rsidRDefault="00592B84" w:rsidP="008E00CD">
            <w:pPr>
              <w:pStyle w:val="TableBody"/>
              <w:keepNext/>
              <w:keepLines/>
              <w:spacing w:after="80"/>
            </w:pPr>
            <w:r>
              <w:t>3475–3700 MHz</w:t>
            </w:r>
          </w:p>
          <w:p w14:paraId="52B99FFE" w14:textId="77777777" w:rsidR="00592B84" w:rsidRDefault="00592B84" w:rsidP="008E00CD">
            <w:pPr>
              <w:pStyle w:val="TableBody"/>
              <w:keepNext/>
              <w:keepLines/>
            </w:pPr>
            <w:r>
              <w:t>(225 MHz unpaired)</w:t>
            </w:r>
          </w:p>
        </w:tc>
        <w:tc>
          <w:tcPr>
            <w:tcW w:w="0" w:type="dxa"/>
          </w:tcPr>
          <w:p w14:paraId="363BA28C" w14:textId="77777777" w:rsidR="00592B84" w:rsidRDefault="00592B84" w:rsidP="008E00CD">
            <w:pPr>
              <w:pStyle w:val="TableBody"/>
              <w:keepNext/>
              <w:keepLines/>
            </w:pPr>
            <w:r>
              <w:t>Urban excise areas</w:t>
            </w:r>
          </w:p>
        </w:tc>
        <w:tc>
          <w:tcPr>
            <w:tcW w:w="0" w:type="dxa"/>
            <w:vMerge w:val="restart"/>
          </w:tcPr>
          <w:p w14:paraId="28D7B572" w14:textId="77777777" w:rsidR="00592B84" w:rsidRDefault="00592B84" w:rsidP="00AE7BAB">
            <w:pPr>
              <w:pStyle w:val="TableBody"/>
            </w:pPr>
            <w:r>
              <w:t>13 December 2030</w:t>
            </w:r>
          </w:p>
        </w:tc>
      </w:tr>
      <w:tr w:rsidR="00592B84" w14:paraId="312E618A" w14:textId="77777777" w:rsidTr="008E00CD">
        <w:trPr>
          <w:cnfStyle w:val="000000100000" w:firstRow="0" w:lastRow="0" w:firstColumn="0" w:lastColumn="0" w:oddVBand="0" w:evenVBand="0" w:oddHBand="1" w:evenHBand="0" w:firstRowFirstColumn="0" w:firstRowLastColumn="0" w:lastRowFirstColumn="0" w:lastRowLastColumn="0"/>
          <w:trHeight w:val="480"/>
        </w:trPr>
        <w:tc>
          <w:tcPr>
            <w:tcW w:w="0" w:type="dxa"/>
            <w:vMerge/>
          </w:tcPr>
          <w:p w14:paraId="3E751894" w14:textId="77777777" w:rsidR="00592B84" w:rsidRDefault="00592B84" w:rsidP="008E00CD">
            <w:pPr>
              <w:pStyle w:val="TableBody"/>
              <w:keepNext/>
              <w:keepLines/>
            </w:pPr>
          </w:p>
        </w:tc>
        <w:tc>
          <w:tcPr>
            <w:tcW w:w="0" w:type="dxa"/>
          </w:tcPr>
          <w:p w14:paraId="2D3CAF6C" w14:textId="77777777" w:rsidR="00592B84" w:rsidRDefault="00592B84" w:rsidP="008E00CD">
            <w:pPr>
              <w:pStyle w:val="TableBody"/>
              <w:keepNext/>
              <w:keepLines/>
              <w:spacing w:after="80"/>
            </w:pPr>
            <w:r>
              <w:t>3400–3700 MHz**</w:t>
            </w:r>
          </w:p>
          <w:p w14:paraId="0C228AEB" w14:textId="77777777" w:rsidR="00592B84" w:rsidRDefault="00592B84" w:rsidP="008E00CD">
            <w:pPr>
              <w:pStyle w:val="TableBody"/>
              <w:keepNext/>
              <w:keepLines/>
            </w:pPr>
            <w:r>
              <w:t>(300 MHz unpaired)</w:t>
            </w:r>
          </w:p>
        </w:tc>
        <w:tc>
          <w:tcPr>
            <w:tcW w:w="0" w:type="dxa"/>
          </w:tcPr>
          <w:p w14:paraId="24381431" w14:textId="77777777" w:rsidR="00592B84" w:rsidRDefault="00592B84" w:rsidP="008E00CD">
            <w:pPr>
              <w:pStyle w:val="TableBody"/>
              <w:keepNext/>
              <w:keepLines/>
            </w:pPr>
            <w:r>
              <w:t xml:space="preserve">Metropolitan and regional areas </w:t>
            </w:r>
          </w:p>
        </w:tc>
        <w:tc>
          <w:tcPr>
            <w:tcW w:w="0" w:type="dxa"/>
            <w:vMerge/>
          </w:tcPr>
          <w:p w14:paraId="166B65D5" w14:textId="77777777" w:rsidR="00592B84" w:rsidRDefault="00592B84" w:rsidP="00AE7BAB">
            <w:pPr>
              <w:pStyle w:val="TableBody"/>
            </w:pPr>
          </w:p>
        </w:tc>
      </w:tr>
    </w:tbl>
    <w:p w14:paraId="6C316B73" w14:textId="77777777" w:rsidR="00592B84" w:rsidRDefault="00592B84" w:rsidP="0080627C">
      <w:pPr>
        <w:pStyle w:val="Tableorfigurenotemultiple"/>
      </w:pPr>
    </w:p>
    <w:p w14:paraId="6B0E9513" w14:textId="5C5D736C" w:rsidR="0080627C" w:rsidRDefault="003C5E7D" w:rsidP="008E00CD">
      <w:pPr>
        <w:pStyle w:val="Tableorfigurenotemultiple"/>
      </w:pPr>
      <w:r>
        <w:t>* Geographical descriptions vary between bands</w:t>
      </w:r>
      <w:r w:rsidR="0080627C">
        <w:t>, t</w:t>
      </w:r>
      <w:r>
        <w:t xml:space="preserve">hat is, the areas described as metropolitan and regional may not be consistent between different bands. </w:t>
      </w:r>
      <w:r w:rsidR="0080627C">
        <w:t>Specific geographic areas subject to spectrum licensing can be identified through the RRL.</w:t>
      </w:r>
    </w:p>
    <w:p w14:paraId="2979F2D7" w14:textId="78A56333" w:rsidR="0080627C" w:rsidRDefault="0080627C" w:rsidP="0080627C">
      <w:pPr>
        <w:pStyle w:val="Tableorfigurenote"/>
      </w:pPr>
      <w:r>
        <w:t xml:space="preserve">** In parts of regional NSW, </w:t>
      </w:r>
      <w:proofErr w:type="gramStart"/>
      <w:r>
        <w:t>SA</w:t>
      </w:r>
      <w:proofErr w:type="gramEnd"/>
      <w:r>
        <w:t xml:space="preserve"> and Vic, between 5 and 15 MHz is unallocated in </w:t>
      </w:r>
      <w:r w:rsidR="000F22F7">
        <w:t xml:space="preserve">the </w:t>
      </w:r>
      <w:r>
        <w:t>3.4 GHz band.</w:t>
      </w:r>
    </w:p>
    <w:p w14:paraId="6D942CBB" w14:textId="751EABA6" w:rsidR="003C5E7D" w:rsidRDefault="003C5E7D" w:rsidP="003C5E7D">
      <w:pPr>
        <w:pStyle w:val="Tableheading"/>
      </w:pPr>
      <w:r>
        <w:t xml:space="preserve">Renewal application dates for </w:t>
      </w:r>
      <w:r w:rsidR="004F3DCD">
        <w:t>ESLs</w:t>
      </w:r>
    </w:p>
    <w:tbl>
      <w:tblPr>
        <w:tblStyle w:val="ACMAtablestyle"/>
        <w:tblW w:w="5640" w:type="pct"/>
        <w:tblLook w:val="01E0" w:firstRow="1" w:lastRow="1" w:firstColumn="1" w:lastColumn="1" w:noHBand="0" w:noVBand="0"/>
        <w:tblCaption w:val="Table title to go here"/>
        <w:tblDescription w:val="Table description to go here"/>
      </w:tblPr>
      <w:tblGrid>
        <w:gridCol w:w="3823"/>
        <w:gridCol w:w="2553"/>
        <w:gridCol w:w="2266"/>
      </w:tblGrid>
      <w:tr w:rsidR="007238B3" w:rsidRPr="00E162C4" w14:paraId="3DAA2861" w14:textId="77777777" w:rsidTr="00E65C02">
        <w:trPr>
          <w:cnfStyle w:val="100000000000" w:firstRow="1" w:lastRow="0" w:firstColumn="0" w:lastColumn="0" w:oddVBand="0" w:evenVBand="0" w:oddHBand="0" w:evenHBand="0" w:firstRowFirstColumn="0" w:firstRowLastColumn="0" w:lastRowFirstColumn="0" w:lastRowLastColumn="0"/>
          <w:trHeight w:val="480"/>
        </w:trPr>
        <w:tc>
          <w:tcPr>
            <w:tcW w:w="0" w:type="pct"/>
          </w:tcPr>
          <w:p w14:paraId="17497663" w14:textId="77777777" w:rsidR="007238B3" w:rsidRPr="00E162C4" w:rsidRDefault="007238B3" w:rsidP="00AE7BAB">
            <w:pPr>
              <w:pStyle w:val="Tableheaderrow"/>
            </w:pPr>
            <w:r>
              <w:t>Band</w:t>
            </w:r>
          </w:p>
        </w:tc>
        <w:tc>
          <w:tcPr>
            <w:tcW w:w="0" w:type="pct"/>
          </w:tcPr>
          <w:p w14:paraId="784F78D2" w14:textId="77777777" w:rsidR="007238B3" w:rsidRPr="00E162C4" w:rsidRDefault="007238B3" w:rsidP="00AE7BAB">
            <w:pPr>
              <w:pStyle w:val="Tableheaderrow"/>
            </w:pPr>
            <w:r>
              <w:t>Earliest date renewal application can be made</w:t>
            </w:r>
          </w:p>
        </w:tc>
        <w:tc>
          <w:tcPr>
            <w:tcW w:w="1311" w:type="pct"/>
          </w:tcPr>
          <w:p w14:paraId="1BDB0DB9" w14:textId="77777777" w:rsidR="007238B3" w:rsidRPr="00A85C35" w:rsidRDefault="007238B3" w:rsidP="00AE7BAB">
            <w:pPr>
              <w:pStyle w:val="Tableheaderrow"/>
            </w:pPr>
            <w:r>
              <w:t>Licence expiry</w:t>
            </w:r>
          </w:p>
        </w:tc>
      </w:tr>
      <w:tr w:rsidR="007238B3" w:rsidRPr="00E162C4" w14:paraId="5164C4DA" w14:textId="77777777" w:rsidTr="00E65C02">
        <w:trPr>
          <w:cnfStyle w:val="000000100000" w:firstRow="0" w:lastRow="0" w:firstColumn="0" w:lastColumn="0" w:oddVBand="0" w:evenVBand="0" w:oddHBand="1" w:evenHBand="0" w:firstRowFirstColumn="0" w:firstRowLastColumn="0" w:lastRowFirstColumn="0" w:lastRowLastColumn="0"/>
          <w:trHeight w:val="248"/>
        </w:trPr>
        <w:tc>
          <w:tcPr>
            <w:tcW w:w="0" w:type="pct"/>
          </w:tcPr>
          <w:p w14:paraId="43DBF797" w14:textId="77777777" w:rsidR="007238B3" w:rsidRPr="00E162C4" w:rsidRDefault="007238B3" w:rsidP="00AE7BAB">
            <w:pPr>
              <w:pStyle w:val="TableBody"/>
            </w:pPr>
            <w:r>
              <w:t>850 MHz (including downshift licence)</w:t>
            </w:r>
          </w:p>
        </w:tc>
        <w:tc>
          <w:tcPr>
            <w:tcW w:w="0" w:type="pct"/>
          </w:tcPr>
          <w:p w14:paraId="68B63A56" w14:textId="77777777" w:rsidR="007238B3" w:rsidRPr="00E162C4" w:rsidRDefault="007238B3" w:rsidP="00AE7BAB">
            <w:pPr>
              <w:pStyle w:val="TableBody"/>
            </w:pPr>
            <w:r>
              <w:t>18 June 2026</w:t>
            </w:r>
          </w:p>
        </w:tc>
        <w:tc>
          <w:tcPr>
            <w:tcW w:w="1311" w:type="pct"/>
          </w:tcPr>
          <w:p w14:paraId="31E8F752" w14:textId="77777777" w:rsidR="007238B3" w:rsidRPr="00E162C4" w:rsidRDefault="007238B3" w:rsidP="00AE7BAB">
            <w:pPr>
              <w:pStyle w:val="TableBody"/>
            </w:pPr>
            <w:r>
              <w:t>17 June 2028</w:t>
            </w:r>
          </w:p>
        </w:tc>
      </w:tr>
      <w:tr w:rsidR="007238B3" w:rsidRPr="00E162C4" w14:paraId="7DBF7034" w14:textId="77777777" w:rsidTr="00E65C02">
        <w:tblPrEx>
          <w:tblLook w:val="01C0" w:firstRow="0"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158"/>
        </w:trPr>
        <w:tc>
          <w:tcPr>
            <w:tcW w:w="2212" w:type="pct"/>
          </w:tcPr>
          <w:p w14:paraId="21E0C4A6" w14:textId="77777777" w:rsidR="007238B3" w:rsidRPr="00E162C4" w:rsidRDefault="007238B3" w:rsidP="00AE7BAB">
            <w:pPr>
              <w:pStyle w:val="TableBody"/>
            </w:pPr>
            <w:r>
              <w:t>1800 MHz</w:t>
            </w:r>
          </w:p>
        </w:tc>
        <w:tc>
          <w:tcPr>
            <w:tcW w:w="1477" w:type="pct"/>
          </w:tcPr>
          <w:p w14:paraId="46E4EBE5" w14:textId="77777777" w:rsidR="007238B3" w:rsidRPr="00E162C4" w:rsidRDefault="007238B3" w:rsidP="00AE7BAB">
            <w:pPr>
              <w:pStyle w:val="TableBody"/>
            </w:pPr>
            <w:r>
              <w:t>18 June 2026</w:t>
            </w:r>
          </w:p>
        </w:tc>
        <w:tc>
          <w:tcPr>
            <w:tcW w:w="1311" w:type="pct"/>
          </w:tcPr>
          <w:p w14:paraId="573A96FE" w14:textId="77777777" w:rsidR="007238B3" w:rsidRPr="00E162C4" w:rsidRDefault="007238B3" w:rsidP="00AE7BAB">
            <w:pPr>
              <w:pStyle w:val="TableBody"/>
            </w:pPr>
            <w:r>
              <w:t>17 June 2028</w:t>
            </w:r>
          </w:p>
        </w:tc>
      </w:tr>
      <w:tr w:rsidR="007238B3" w:rsidRPr="00E162C4" w14:paraId="3F03A902" w14:textId="77777777" w:rsidTr="00E65C02">
        <w:tblPrEx>
          <w:tblLook w:val="01C0" w:firstRow="0"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16"/>
        </w:trPr>
        <w:tc>
          <w:tcPr>
            <w:tcW w:w="0" w:type="pct"/>
          </w:tcPr>
          <w:p w14:paraId="3440643E" w14:textId="77777777" w:rsidR="007238B3" w:rsidRDefault="007238B3" w:rsidP="00AE7BAB">
            <w:pPr>
              <w:pStyle w:val="TableBody"/>
            </w:pPr>
            <w:r>
              <w:t>2.5 GHz</w:t>
            </w:r>
          </w:p>
        </w:tc>
        <w:tc>
          <w:tcPr>
            <w:tcW w:w="0" w:type="pct"/>
          </w:tcPr>
          <w:p w14:paraId="255260FD" w14:textId="77777777" w:rsidR="007238B3" w:rsidRPr="00E162C4" w:rsidRDefault="007238B3" w:rsidP="00AE7BAB">
            <w:pPr>
              <w:pStyle w:val="TableBody"/>
            </w:pPr>
            <w:r>
              <w:t>1 October 2027</w:t>
            </w:r>
          </w:p>
        </w:tc>
        <w:tc>
          <w:tcPr>
            <w:tcW w:w="1311" w:type="pct"/>
          </w:tcPr>
          <w:p w14:paraId="645F81CE" w14:textId="77777777" w:rsidR="007238B3" w:rsidRPr="00E162C4" w:rsidRDefault="007238B3" w:rsidP="00AE7BAB">
            <w:pPr>
              <w:pStyle w:val="TableBody"/>
            </w:pPr>
            <w:r>
              <w:t>30 September 2029</w:t>
            </w:r>
          </w:p>
        </w:tc>
      </w:tr>
      <w:tr w:rsidR="007238B3" w:rsidRPr="00E162C4" w14:paraId="75B32922" w14:textId="77777777" w:rsidTr="00E65C02">
        <w:tblPrEx>
          <w:tblLook w:val="01C0" w:firstRow="0"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16"/>
        </w:trPr>
        <w:tc>
          <w:tcPr>
            <w:tcW w:w="0" w:type="pct"/>
          </w:tcPr>
          <w:p w14:paraId="0A777E28" w14:textId="77777777" w:rsidR="007238B3" w:rsidRDefault="007238B3" w:rsidP="00AE7BAB">
            <w:pPr>
              <w:pStyle w:val="TableBody"/>
            </w:pPr>
            <w:r>
              <w:t>2.5 GHz mid-band gap</w:t>
            </w:r>
          </w:p>
        </w:tc>
        <w:tc>
          <w:tcPr>
            <w:tcW w:w="0" w:type="pct"/>
          </w:tcPr>
          <w:p w14:paraId="252F8280" w14:textId="77777777" w:rsidR="007238B3" w:rsidRPr="00E162C4" w:rsidRDefault="007238B3" w:rsidP="00AE7BAB">
            <w:pPr>
              <w:pStyle w:val="TableBody"/>
            </w:pPr>
            <w:r>
              <w:t>1 October 2027</w:t>
            </w:r>
          </w:p>
        </w:tc>
        <w:tc>
          <w:tcPr>
            <w:tcW w:w="1311" w:type="pct"/>
          </w:tcPr>
          <w:p w14:paraId="2AAE244B" w14:textId="77777777" w:rsidR="007238B3" w:rsidRPr="00E162C4" w:rsidRDefault="007238B3" w:rsidP="00AE7BAB">
            <w:pPr>
              <w:pStyle w:val="TableBody"/>
            </w:pPr>
            <w:r>
              <w:t>30 September 2029</w:t>
            </w:r>
          </w:p>
        </w:tc>
      </w:tr>
      <w:tr w:rsidR="007238B3" w:rsidRPr="00E162C4" w14:paraId="1F5D55F0" w14:textId="77777777" w:rsidTr="00E65C02">
        <w:tblPrEx>
          <w:tblLook w:val="01C0" w:firstRow="0"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16"/>
        </w:trPr>
        <w:tc>
          <w:tcPr>
            <w:tcW w:w="0" w:type="pct"/>
          </w:tcPr>
          <w:p w14:paraId="753E0006" w14:textId="77777777" w:rsidR="007238B3" w:rsidRDefault="007238B3" w:rsidP="00AE7BAB">
            <w:pPr>
              <w:pStyle w:val="TableBody"/>
            </w:pPr>
            <w:r>
              <w:t>700 MHz</w:t>
            </w:r>
          </w:p>
        </w:tc>
        <w:tc>
          <w:tcPr>
            <w:tcW w:w="0" w:type="pct"/>
          </w:tcPr>
          <w:p w14:paraId="6693DDFD" w14:textId="77777777" w:rsidR="007238B3" w:rsidRPr="00E162C4" w:rsidRDefault="007238B3" w:rsidP="00AE7BAB">
            <w:pPr>
              <w:pStyle w:val="TableBody"/>
            </w:pPr>
            <w:r>
              <w:t xml:space="preserve">1 January 2028 </w:t>
            </w:r>
          </w:p>
        </w:tc>
        <w:tc>
          <w:tcPr>
            <w:tcW w:w="1311" w:type="pct"/>
          </w:tcPr>
          <w:p w14:paraId="51B81DD5" w14:textId="77777777" w:rsidR="007238B3" w:rsidRPr="00E162C4" w:rsidRDefault="007238B3" w:rsidP="00AE7BAB">
            <w:pPr>
              <w:pStyle w:val="TableBody"/>
            </w:pPr>
            <w:r>
              <w:t>31 December 2029</w:t>
            </w:r>
          </w:p>
        </w:tc>
      </w:tr>
      <w:tr w:rsidR="007238B3" w:rsidRPr="00E162C4" w14:paraId="13B0596D" w14:textId="77777777" w:rsidTr="00E65C02">
        <w:tblPrEx>
          <w:tblLook w:val="01C0" w:firstRow="0"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16"/>
        </w:trPr>
        <w:tc>
          <w:tcPr>
            <w:tcW w:w="0" w:type="pct"/>
          </w:tcPr>
          <w:p w14:paraId="5AB69EB2" w14:textId="77777777" w:rsidR="007238B3" w:rsidRDefault="007238B3" w:rsidP="00AE7BAB">
            <w:pPr>
              <w:pStyle w:val="TableBody"/>
            </w:pPr>
            <w:r>
              <w:t>2.3 GHz</w:t>
            </w:r>
          </w:p>
        </w:tc>
        <w:tc>
          <w:tcPr>
            <w:tcW w:w="0" w:type="pct"/>
          </w:tcPr>
          <w:p w14:paraId="2AF2E995" w14:textId="77777777" w:rsidR="007238B3" w:rsidRPr="00E162C4" w:rsidRDefault="007238B3" w:rsidP="00AE7BAB">
            <w:pPr>
              <w:pStyle w:val="TableBody"/>
            </w:pPr>
            <w:r>
              <w:t>25 July 2028</w:t>
            </w:r>
          </w:p>
        </w:tc>
        <w:tc>
          <w:tcPr>
            <w:tcW w:w="1311" w:type="pct"/>
          </w:tcPr>
          <w:p w14:paraId="43F7C794" w14:textId="77777777" w:rsidR="007238B3" w:rsidRPr="00E162C4" w:rsidRDefault="007238B3" w:rsidP="00AE7BAB">
            <w:pPr>
              <w:pStyle w:val="TableBody"/>
            </w:pPr>
            <w:r>
              <w:t>24 July 2030</w:t>
            </w:r>
          </w:p>
        </w:tc>
      </w:tr>
      <w:tr w:rsidR="007238B3" w:rsidRPr="00E162C4" w14:paraId="2890AAD2" w14:textId="77777777" w:rsidTr="00E65C02">
        <w:tblPrEx>
          <w:tblLook w:val="01C0" w:firstRow="0"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Height w:val="16"/>
        </w:trPr>
        <w:tc>
          <w:tcPr>
            <w:tcW w:w="0" w:type="pct"/>
          </w:tcPr>
          <w:p w14:paraId="6F636A36" w14:textId="77777777" w:rsidR="007238B3" w:rsidRDefault="007238B3" w:rsidP="00AE7BAB">
            <w:pPr>
              <w:pStyle w:val="TableBody"/>
            </w:pPr>
            <w:r>
              <w:t>3.4 GHz (including new 3.4 GHz licences)</w:t>
            </w:r>
          </w:p>
        </w:tc>
        <w:tc>
          <w:tcPr>
            <w:tcW w:w="0" w:type="pct"/>
          </w:tcPr>
          <w:p w14:paraId="53EE7B9F" w14:textId="77777777" w:rsidR="007238B3" w:rsidRPr="00E162C4" w:rsidRDefault="007238B3" w:rsidP="00AE7BAB">
            <w:pPr>
              <w:pStyle w:val="TableBody"/>
            </w:pPr>
            <w:r>
              <w:t>14 December 2028</w:t>
            </w:r>
          </w:p>
        </w:tc>
        <w:tc>
          <w:tcPr>
            <w:tcW w:w="1311" w:type="pct"/>
          </w:tcPr>
          <w:p w14:paraId="7F097313" w14:textId="77777777" w:rsidR="007238B3" w:rsidRPr="00E162C4" w:rsidRDefault="007238B3" w:rsidP="00AE7BAB">
            <w:pPr>
              <w:pStyle w:val="TableBody"/>
            </w:pPr>
            <w:r>
              <w:t>13 December 2030</w:t>
            </w:r>
          </w:p>
        </w:tc>
      </w:tr>
      <w:tr w:rsidR="007238B3" w:rsidRPr="00E162C4" w14:paraId="4222CFEA" w14:textId="77777777" w:rsidTr="00E65C02">
        <w:tblPrEx>
          <w:tblLook w:val="01C0" w:firstRow="0"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Height w:val="16"/>
        </w:trPr>
        <w:tc>
          <w:tcPr>
            <w:tcW w:w="0" w:type="pct"/>
          </w:tcPr>
          <w:p w14:paraId="50F60B23" w14:textId="77777777" w:rsidR="007238B3" w:rsidRDefault="007238B3" w:rsidP="00AE7BAB">
            <w:pPr>
              <w:pStyle w:val="TableBody"/>
            </w:pPr>
            <w:r>
              <w:t>2 GHz</w:t>
            </w:r>
          </w:p>
        </w:tc>
        <w:tc>
          <w:tcPr>
            <w:tcW w:w="0" w:type="pct"/>
          </w:tcPr>
          <w:p w14:paraId="0A16172F" w14:textId="77777777" w:rsidR="007238B3" w:rsidRPr="00E162C4" w:rsidRDefault="007238B3" w:rsidP="00AE7BAB">
            <w:pPr>
              <w:pStyle w:val="TableBody"/>
            </w:pPr>
            <w:r>
              <w:t>12 October 2030</w:t>
            </w:r>
          </w:p>
        </w:tc>
        <w:tc>
          <w:tcPr>
            <w:tcW w:w="1311" w:type="pct"/>
          </w:tcPr>
          <w:p w14:paraId="0C8414E8" w14:textId="77777777" w:rsidR="007238B3" w:rsidRPr="00E162C4" w:rsidRDefault="007238B3" w:rsidP="00AE7BAB">
            <w:pPr>
              <w:pStyle w:val="TableBody"/>
            </w:pPr>
            <w:r>
              <w:t>11 October 2032</w:t>
            </w:r>
          </w:p>
        </w:tc>
      </w:tr>
    </w:tbl>
    <w:p w14:paraId="55CDBCA5" w14:textId="77777777" w:rsidR="007B634F" w:rsidRDefault="007B634F">
      <w:pPr>
        <w:spacing w:after="0" w:line="240" w:lineRule="auto"/>
      </w:pPr>
    </w:p>
    <w:p w14:paraId="554C2F60" w14:textId="2AC1B91A" w:rsidR="000A46FB" w:rsidRPr="001F2F5D" w:rsidRDefault="003C5E7D" w:rsidP="000A46FB">
      <w:pPr>
        <w:pStyle w:val="Heading1"/>
      </w:pPr>
      <w:bookmarkStart w:id="27" w:name="_Toc149065112"/>
      <w:bookmarkStart w:id="28" w:name="_Toc153795071"/>
      <w:r>
        <w:lastRenderedPageBreak/>
        <w:t>A</w:t>
      </w:r>
      <w:r w:rsidRPr="001F2F5D">
        <w:t xml:space="preserve">ppendix B: </w:t>
      </w:r>
      <w:r w:rsidR="000A46FB" w:rsidRPr="001F2F5D">
        <w:t>Response to submissions</w:t>
      </w:r>
      <w:bookmarkEnd w:id="27"/>
      <w:bookmarkEnd w:id="28"/>
    </w:p>
    <w:p w14:paraId="4986F97C" w14:textId="2B6CAC51" w:rsidR="000A46FB" w:rsidRPr="001F2F5D" w:rsidRDefault="000A46FB" w:rsidP="000A46FB">
      <w:pPr>
        <w:pStyle w:val="Paragraphbeforelist"/>
      </w:pPr>
      <w:r w:rsidRPr="001F2F5D">
        <w:t>We received 17 submissions from a range of stakeholders, including incumbent licen</w:t>
      </w:r>
      <w:r w:rsidR="00BE68AB" w:rsidRPr="001F2F5D">
        <w:t>s</w:t>
      </w:r>
      <w:r w:rsidRPr="001F2F5D">
        <w:t>e</w:t>
      </w:r>
      <w:r w:rsidR="00017B2D" w:rsidRPr="001F2F5D">
        <w:t>e</w:t>
      </w:r>
      <w:r w:rsidRPr="001F2F5D">
        <w:t xml:space="preserve">s, prospective alternative users of the spectrum, and other interested stakeholders. Submissions were received from: </w:t>
      </w:r>
    </w:p>
    <w:p w14:paraId="5A1DF08C" w14:textId="74DC8CF6" w:rsidR="000A46FB" w:rsidRPr="001F2F5D" w:rsidRDefault="000A46FB" w:rsidP="000A46FB">
      <w:pPr>
        <w:pStyle w:val="Bulletlevel1"/>
        <w:rPr>
          <w:szCs w:val="20"/>
        </w:rPr>
      </w:pPr>
      <w:r w:rsidRPr="001F2F5D">
        <w:t>Australian Communications Consumer Action Network</w:t>
      </w:r>
      <w:r w:rsidRPr="001F2F5D">
        <w:rPr>
          <w:szCs w:val="20"/>
        </w:rPr>
        <w:t xml:space="preserve"> </w:t>
      </w:r>
    </w:p>
    <w:p w14:paraId="49A21748" w14:textId="3E704AF5" w:rsidR="000A46FB" w:rsidRPr="001F2F5D" w:rsidRDefault="000A46FB" w:rsidP="000A46FB">
      <w:pPr>
        <w:pStyle w:val="Bulletlevel1"/>
        <w:rPr>
          <w:szCs w:val="20"/>
        </w:rPr>
      </w:pPr>
      <w:r w:rsidRPr="001F2F5D">
        <w:t>Australian Competition and Consumer Commission</w:t>
      </w:r>
    </w:p>
    <w:p w14:paraId="6A63F8A0" w14:textId="6F9F57FF" w:rsidR="000A46FB" w:rsidRPr="001F2F5D" w:rsidRDefault="000A46FB" w:rsidP="000A46FB">
      <w:pPr>
        <w:pStyle w:val="Bulletlevel1"/>
        <w:rPr>
          <w:szCs w:val="20"/>
        </w:rPr>
      </w:pPr>
      <w:r w:rsidRPr="001F2F5D">
        <w:t>Australian Mobile Telecommunications Association</w:t>
      </w:r>
    </w:p>
    <w:p w14:paraId="1845F94E" w14:textId="42CAE0C5" w:rsidR="000A46FB" w:rsidRPr="001F2F5D" w:rsidRDefault="000A46FB" w:rsidP="000A46FB">
      <w:pPr>
        <w:pStyle w:val="Bulletlevel1"/>
        <w:rPr>
          <w:szCs w:val="20"/>
        </w:rPr>
      </w:pPr>
      <w:r w:rsidRPr="001F2F5D">
        <w:t>Australasian Railway Association</w:t>
      </w:r>
    </w:p>
    <w:p w14:paraId="4F79DD62" w14:textId="20FEB83A" w:rsidR="000A46FB" w:rsidRPr="001F2F5D" w:rsidRDefault="000A46FB" w:rsidP="000A46FB">
      <w:pPr>
        <w:pStyle w:val="Bulletlevel1"/>
        <w:rPr>
          <w:szCs w:val="20"/>
        </w:rPr>
      </w:pPr>
      <w:r w:rsidRPr="001F2F5D">
        <w:t>Australian Radio Communications Industry Association</w:t>
      </w:r>
    </w:p>
    <w:p w14:paraId="112ECD59" w14:textId="5CE0B444" w:rsidR="000A46FB" w:rsidRPr="001F2F5D" w:rsidRDefault="000A46FB" w:rsidP="000A46FB">
      <w:pPr>
        <w:pStyle w:val="Bulletlevel1"/>
        <w:rPr>
          <w:szCs w:val="20"/>
          <w:u w:val="single"/>
        </w:rPr>
      </w:pPr>
      <w:r w:rsidRPr="001F2F5D">
        <w:t>Communications Alliance Satellite Services Working Group</w:t>
      </w:r>
    </w:p>
    <w:p w14:paraId="51901408" w14:textId="77777777" w:rsidR="000A46FB" w:rsidRPr="001F2F5D" w:rsidRDefault="000A46FB" w:rsidP="000A46FB">
      <w:pPr>
        <w:pStyle w:val="Bulletlevel1"/>
        <w:rPr>
          <w:szCs w:val="20"/>
        </w:rPr>
      </w:pPr>
      <w:r w:rsidRPr="001F2F5D">
        <w:t>FreeTV</w:t>
      </w:r>
    </w:p>
    <w:p w14:paraId="1F5D5205" w14:textId="4BD1E87E" w:rsidR="000A46FB" w:rsidRPr="001F2F5D" w:rsidRDefault="000A46FB" w:rsidP="000A46FB">
      <w:pPr>
        <w:pStyle w:val="Bulletlevel1"/>
        <w:rPr>
          <w:szCs w:val="20"/>
          <w:u w:val="single"/>
        </w:rPr>
      </w:pPr>
      <w:r w:rsidRPr="001F2F5D">
        <w:t>NBN Co</w:t>
      </w:r>
    </w:p>
    <w:p w14:paraId="5A205EDC" w14:textId="6CCD4445" w:rsidR="000A46FB" w:rsidRPr="001F2F5D" w:rsidRDefault="000A46FB" w:rsidP="000A46FB">
      <w:pPr>
        <w:pStyle w:val="Bulletlevel1"/>
        <w:rPr>
          <w:szCs w:val="20"/>
        </w:rPr>
      </w:pPr>
      <w:r w:rsidRPr="001F2F5D">
        <w:t>NSW Telco Authority</w:t>
      </w:r>
    </w:p>
    <w:p w14:paraId="26E3FDFB" w14:textId="77777777" w:rsidR="000A46FB" w:rsidRPr="001F2F5D" w:rsidRDefault="000A46FB" w:rsidP="000A46FB">
      <w:pPr>
        <w:pStyle w:val="Bulletlevel1"/>
        <w:rPr>
          <w:szCs w:val="20"/>
        </w:rPr>
      </w:pPr>
      <w:r w:rsidRPr="001F2F5D">
        <w:t>Optus</w:t>
      </w:r>
    </w:p>
    <w:p w14:paraId="13935AC8" w14:textId="77777777" w:rsidR="000A46FB" w:rsidRPr="001F2F5D" w:rsidRDefault="000A46FB" w:rsidP="000A46FB">
      <w:pPr>
        <w:pStyle w:val="Bulletlevel1"/>
        <w:rPr>
          <w:szCs w:val="20"/>
        </w:rPr>
      </w:pPr>
      <w:r w:rsidRPr="001F2F5D">
        <w:t>Pivotel</w:t>
      </w:r>
    </w:p>
    <w:p w14:paraId="170E60E8" w14:textId="549DD39B" w:rsidR="000A46FB" w:rsidRPr="001F2F5D" w:rsidRDefault="000A46FB" w:rsidP="000A46FB">
      <w:pPr>
        <w:pStyle w:val="Bulletlevel1"/>
        <w:rPr>
          <w:szCs w:val="20"/>
        </w:rPr>
      </w:pPr>
      <w:r w:rsidRPr="001F2F5D">
        <w:t>Queensland Department of Transport and Main Roads</w:t>
      </w:r>
    </w:p>
    <w:p w14:paraId="1DA86B3E" w14:textId="77777777" w:rsidR="000A46FB" w:rsidRPr="001F2F5D" w:rsidRDefault="000A46FB" w:rsidP="000A46FB">
      <w:pPr>
        <w:pStyle w:val="Bulletlevel1"/>
        <w:rPr>
          <w:szCs w:val="20"/>
        </w:rPr>
      </w:pPr>
      <w:r w:rsidRPr="001F2F5D">
        <w:t>Telstra</w:t>
      </w:r>
    </w:p>
    <w:p w14:paraId="6126DD86" w14:textId="77777777" w:rsidR="000A46FB" w:rsidRPr="001F2F5D" w:rsidRDefault="000A46FB" w:rsidP="000A46FB">
      <w:pPr>
        <w:pStyle w:val="Bulletlevel1"/>
        <w:rPr>
          <w:szCs w:val="20"/>
          <w:u w:val="single"/>
        </w:rPr>
      </w:pPr>
      <w:r w:rsidRPr="001F2F5D">
        <w:t>TPG Telecom</w:t>
      </w:r>
    </w:p>
    <w:p w14:paraId="7793A2AE" w14:textId="71C7FEEB" w:rsidR="00194E66" w:rsidRPr="001F2F5D" w:rsidRDefault="000A46FB" w:rsidP="008E00CD">
      <w:pPr>
        <w:pStyle w:val="Bulletlevel1"/>
        <w:rPr>
          <w:szCs w:val="20"/>
          <w:u w:val="single"/>
        </w:rPr>
      </w:pPr>
      <w:r w:rsidRPr="001F2F5D">
        <w:t>Victorian Department of Government Services (Confidential)</w:t>
      </w:r>
    </w:p>
    <w:p w14:paraId="2B0D39C5" w14:textId="531D10B8" w:rsidR="000A46FB" w:rsidRPr="001F2F5D" w:rsidRDefault="00194E66" w:rsidP="00560F82">
      <w:pPr>
        <w:pStyle w:val="Bulletlevel1last"/>
        <w:rPr>
          <w:u w:val="single"/>
        </w:rPr>
      </w:pPr>
      <w:r w:rsidRPr="001F2F5D">
        <w:t>2 individual members of the public</w:t>
      </w:r>
      <w:r w:rsidR="00BE68AB" w:rsidRPr="001F2F5D">
        <w:t>.</w:t>
      </w:r>
    </w:p>
    <w:p w14:paraId="2F8FF84F" w14:textId="77777777" w:rsidR="00107217" w:rsidRPr="001F2F5D" w:rsidRDefault="00107217" w:rsidP="00107217">
      <w:pPr>
        <w:pStyle w:val="Paragraph"/>
      </w:pPr>
      <w:r w:rsidRPr="001F2F5D">
        <w:t>Submissions that were not provided on a commercial-in-confidence basis can be found on our website.</w:t>
      </w:r>
    </w:p>
    <w:p w14:paraId="1A6404B7" w14:textId="112B610E" w:rsidR="00052C38" w:rsidRPr="001F2F5D" w:rsidRDefault="00052C38" w:rsidP="00052C38">
      <w:pPr>
        <w:pStyle w:val="Paragraph"/>
      </w:pPr>
      <w:r w:rsidRPr="001F2F5D">
        <w:t xml:space="preserve">In this paper, we identified how our consideration of submissions informed changes to, and confirmation of, the process. Some additional commentary offered in submissions, and our response, follows. </w:t>
      </w:r>
    </w:p>
    <w:p w14:paraId="356DF71C" w14:textId="32012560" w:rsidR="000A46FB" w:rsidRPr="001F2F5D" w:rsidRDefault="000A46FB" w:rsidP="000A46FB">
      <w:pPr>
        <w:pStyle w:val="Paragraph"/>
      </w:pPr>
      <w:r w:rsidRPr="001F2F5D">
        <w:t xml:space="preserve">Overall, stakeholders were very engaged on the proposed ESL process. There was broad support for the 4-stage </w:t>
      </w:r>
      <w:r w:rsidR="005A39CC" w:rsidRPr="001F2F5D">
        <w:t>process</w:t>
      </w:r>
      <w:r w:rsidR="00E00C97" w:rsidRPr="001F2F5D">
        <w:t xml:space="preserve"> p</w:t>
      </w:r>
      <w:r w:rsidR="00E95F7B" w:rsidRPr="001F2F5D">
        <w:t>roposed</w:t>
      </w:r>
      <w:r w:rsidR="00E00C97" w:rsidRPr="001F2F5D">
        <w:t xml:space="preserve"> by the ACMA</w:t>
      </w:r>
      <w:r w:rsidRPr="001F2F5D">
        <w:t xml:space="preserve">, and for a public-interest </w:t>
      </w:r>
      <w:r w:rsidR="009E20D5" w:rsidRPr="001F2F5D">
        <w:t>assessment of</w:t>
      </w:r>
      <w:r w:rsidRPr="001F2F5D">
        <w:t xml:space="preserve"> options for the spectrum covered by ESLs, and for considering applications for renewal.</w:t>
      </w:r>
    </w:p>
    <w:p w14:paraId="3833EDE6" w14:textId="77777777" w:rsidR="005A4CF0" w:rsidRPr="001F2F5D" w:rsidRDefault="000A46FB" w:rsidP="000A46FB">
      <w:pPr>
        <w:pStyle w:val="Paragraph"/>
      </w:pPr>
      <w:r w:rsidRPr="001F2F5D">
        <w:t>Views expressed in submissions largely fell across 7 main themes:</w:t>
      </w:r>
    </w:p>
    <w:p w14:paraId="069C5829" w14:textId="355E1CF9" w:rsidR="00E14AA4" w:rsidRPr="001F2F5D" w:rsidRDefault="000A46FB" w:rsidP="008E00CD">
      <w:pPr>
        <w:pStyle w:val="Bulletlevel1"/>
      </w:pPr>
      <w:r w:rsidRPr="001F2F5D">
        <w:t>ESL process</w:t>
      </w:r>
    </w:p>
    <w:p w14:paraId="0901AC45" w14:textId="60E10BB6" w:rsidR="00E14AA4" w:rsidRPr="001F2F5D" w:rsidRDefault="000A46FB" w:rsidP="008E00CD">
      <w:pPr>
        <w:pStyle w:val="Bulletlevel1"/>
      </w:pPr>
      <w:r w:rsidRPr="001F2F5D">
        <w:t>ESL outcomes</w:t>
      </w:r>
    </w:p>
    <w:p w14:paraId="08B7E24E" w14:textId="67B17027" w:rsidR="00E14AA4" w:rsidRPr="001F2F5D" w:rsidRDefault="000A46FB" w:rsidP="008E00CD">
      <w:pPr>
        <w:pStyle w:val="Bulletlevel1"/>
      </w:pPr>
      <w:r w:rsidRPr="001F2F5D">
        <w:t>public interest criteria</w:t>
      </w:r>
    </w:p>
    <w:p w14:paraId="73F054BE" w14:textId="107E906A" w:rsidR="00D56325" w:rsidRPr="001F2F5D" w:rsidRDefault="000A46FB" w:rsidP="008E00CD">
      <w:pPr>
        <w:pStyle w:val="Bulletlevel1"/>
      </w:pPr>
      <w:r w:rsidRPr="001F2F5D">
        <w:t>pricing</w:t>
      </w:r>
    </w:p>
    <w:p w14:paraId="2079B184" w14:textId="47A9348D" w:rsidR="00D56325" w:rsidRPr="001F2F5D" w:rsidRDefault="000A46FB" w:rsidP="008E00CD">
      <w:pPr>
        <w:pStyle w:val="Bulletlevel1"/>
      </w:pPr>
      <w:r w:rsidRPr="001F2F5D">
        <w:t>examining use and information gathering</w:t>
      </w:r>
    </w:p>
    <w:p w14:paraId="65101563" w14:textId="054AD8C3" w:rsidR="00D56325" w:rsidRPr="001F2F5D" w:rsidRDefault="003779AA" w:rsidP="008E00CD">
      <w:pPr>
        <w:pStyle w:val="Bulletlevel1"/>
      </w:pPr>
      <w:r w:rsidRPr="001F2F5D">
        <w:t>a</w:t>
      </w:r>
      <w:r w:rsidR="000A46FB" w:rsidRPr="001F2F5D">
        <w:t>lternative demand</w:t>
      </w:r>
    </w:p>
    <w:p w14:paraId="56ADBE05" w14:textId="236A6990" w:rsidR="000A46FB" w:rsidRPr="001F2F5D" w:rsidRDefault="000A46FB" w:rsidP="008E00CD">
      <w:pPr>
        <w:pStyle w:val="Bulletlevel1"/>
      </w:pPr>
      <w:r w:rsidRPr="001F2F5D">
        <w:t>and band-specific issues.</w:t>
      </w:r>
    </w:p>
    <w:p w14:paraId="096E625A" w14:textId="77777777" w:rsidR="000A46FB" w:rsidRPr="001F2F5D" w:rsidRDefault="000A46FB" w:rsidP="000A46FB">
      <w:pPr>
        <w:pStyle w:val="Heading2"/>
      </w:pPr>
      <w:bookmarkStart w:id="29" w:name="_Toc149065113"/>
      <w:bookmarkStart w:id="30" w:name="_Toc153795072"/>
      <w:r w:rsidRPr="001F2F5D">
        <w:lastRenderedPageBreak/>
        <w:t>ESL process</w:t>
      </w:r>
      <w:bookmarkEnd w:id="29"/>
      <w:bookmarkEnd w:id="30"/>
    </w:p>
    <w:p w14:paraId="6ABFDE53" w14:textId="436D724B" w:rsidR="000A46FB" w:rsidRPr="001F2F5D" w:rsidRDefault="000A46FB" w:rsidP="000A46FB">
      <w:pPr>
        <w:pStyle w:val="Paragraph"/>
      </w:pPr>
      <w:r w:rsidRPr="001F2F5D">
        <w:t xml:space="preserve">Our stage 1 </w:t>
      </w:r>
      <w:r w:rsidR="00BE68AB" w:rsidRPr="001F2F5D">
        <w:t xml:space="preserve">consultation </w:t>
      </w:r>
      <w:r w:rsidRPr="001F2F5D">
        <w:t>set out a proposed 4-stage ESL process, inclu</w:t>
      </w:r>
      <w:r w:rsidR="00E32072" w:rsidRPr="001F2F5D">
        <w:t>ding</w:t>
      </w:r>
      <w:r w:rsidRPr="001F2F5D">
        <w:t xml:space="preserve"> outputs, </w:t>
      </w:r>
      <w:r w:rsidR="00E32072" w:rsidRPr="001F2F5D">
        <w:t xml:space="preserve">future </w:t>
      </w:r>
      <w:r w:rsidRPr="001F2F5D">
        <w:t>consultation</w:t>
      </w:r>
      <w:r w:rsidR="00E32072" w:rsidRPr="001F2F5D">
        <w:t>s</w:t>
      </w:r>
      <w:r w:rsidRPr="001F2F5D">
        <w:t xml:space="preserve">, project milestones, and </w:t>
      </w:r>
      <w:r w:rsidR="00FA63A0" w:rsidRPr="001F2F5D">
        <w:t>high-level</w:t>
      </w:r>
      <w:r w:rsidRPr="001F2F5D">
        <w:t xml:space="preserve"> timeframes.</w:t>
      </w:r>
    </w:p>
    <w:p w14:paraId="517E0A02" w14:textId="77777777" w:rsidR="000A46FB" w:rsidRPr="001F2F5D" w:rsidRDefault="000A46FB" w:rsidP="000A46FB">
      <w:pPr>
        <w:pStyle w:val="Heading3"/>
      </w:pPr>
      <w:bookmarkStart w:id="31" w:name="_Toc149065114"/>
      <w:r w:rsidRPr="001F2F5D">
        <w:rPr>
          <w:szCs w:val="20"/>
        </w:rPr>
        <w:t xml:space="preserve">What stakeholders told </w:t>
      </w:r>
      <w:proofErr w:type="gramStart"/>
      <w:r w:rsidRPr="001F2F5D">
        <w:rPr>
          <w:szCs w:val="20"/>
        </w:rPr>
        <w:t>us</w:t>
      </w:r>
      <w:bookmarkEnd w:id="31"/>
      <w:proofErr w:type="gramEnd"/>
    </w:p>
    <w:p w14:paraId="6B52D500" w14:textId="6817DA0D" w:rsidR="000A46FB" w:rsidRPr="001F2F5D" w:rsidRDefault="000A46FB" w:rsidP="000A46FB">
      <w:pPr>
        <w:pStyle w:val="Paragraph"/>
      </w:pPr>
      <w:r w:rsidRPr="001F2F5D">
        <w:t>Submitters broadly supported the proposed 4-stage process and its progression from holistic considerations to narrower preliminary and preferred views on the spectrum covered by ESLs. Many stakeholders noted that the work to be conducted between now and 2025 was significant for both the ACMA and stakeholders, and some</w:t>
      </w:r>
      <w:r w:rsidR="00654D97" w:rsidRPr="001F2F5D">
        <w:t xml:space="preserve"> </w:t>
      </w:r>
      <w:r w:rsidRPr="001F2F5D">
        <w:t xml:space="preserve">suggested that </w:t>
      </w:r>
      <w:r w:rsidR="001C35BD" w:rsidRPr="001F2F5D">
        <w:t xml:space="preserve">the </w:t>
      </w:r>
      <w:r w:rsidRPr="001F2F5D">
        <w:t>scope of work in some of the steps could be narrowed.</w:t>
      </w:r>
    </w:p>
    <w:p w14:paraId="63C25EE1" w14:textId="4AF06128" w:rsidR="000A46FB" w:rsidRPr="001F2F5D" w:rsidRDefault="00480F47" w:rsidP="000A46FB">
      <w:pPr>
        <w:pStyle w:val="Paragraph"/>
      </w:pPr>
      <w:r w:rsidRPr="001F2F5D">
        <w:t>T</w:t>
      </w:r>
      <w:r w:rsidR="000A46FB" w:rsidRPr="001F2F5D">
        <w:t xml:space="preserve">here were strong views about the </w:t>
      </w:r>
      <w:r w:rsidRPr="001F2F5D">
        <w:t>timeframes for release of views from the ACMA</w:t>
      </w:r>
      <w:r w:rsidR="000A46FB" w:rsidRPr="001F2F5D">
        <w:t xml:space="preserve"> – particularly views that provided certainty – about outcomes for ESLs and related pricing.</w:t>
      </w:r>
    </w:p>
    <w:p w14:paraId="32BEBD93" w14:textId="1C4C5255" w:rsidR="000A46FB" w:rsidRPr="001F2F5D" w:rsidRDefault="000A46FB" w:rsidP="000A46FB">
      <w:pPr>
        <w:pStyle w:val="Paragraph"/>
      </w:pPr>
      <w:r w:rsidRPr="001F2F5D">
        <w:t>Some stakeholders suggested amendments to the ESL process, mainly to bring certain outputs forward, and to significantly increase</w:t>
      </w:r>
      <w:r w:rsidR="00BA56A1" w:rsidRPr="001F2F5D">
        <w:t xml:space="preserve"> </w:t>
      </w:r>
      <w:r w:rsidR="00127A37" w:rsidRPr="001F2F5D">
        <w:t>the number of</w:t>
      </w:r>
      <w:r w:rsidR="00BA56A1" w:rsidRPr="001F2F5D">
        <w:t xml:space="preserve"> both</w:t>
      </w:r>
      <w:r w:rsidRPr="001F2F5D">
        <w:t xml:space="preserve"> formal consultations and less formal interactions between stakeholders and the ACMA</w:t>
      </w:r>
      <w:r w:rsidR="00CC264F" w:rsidRPr="001F2F5D">
        <w:t>. Others</w:t>
      </w:r>
      <w:r w:rsidR="00654D97" w:rsidRPr="001F2F5D">
        <w:t xml:space="preserve"> </w:t>
      </w:r>
      <w:r w:rsidRPr="001F2F5D">
        <w:t xml:space="preserve">suggested additional consultation for stage 2. There were also views about the optimal timing of interventions from the </w:t>
      </w:r>
      <w:r w:rsidR="00223EAD" w:rsidRPr="001F2F5D">
        <w:t>m</w:t>
      </w:r>
      <w:r w:rsidRPr="001F2F5D">
        <w:t>in</w:t>
      </w:r>
      <w:r w:rsidR="00F416B2" w:rsidRPr="001F2F5D">
        <w:t>i</w:t>
      </w:r>
      <w:r w:rsidRPr="001F2F5D">
        <w:t>ster, and suggestions about how the ACMA could use the deem</w:t>
      </w:r>
      <w:r w:rsidR="006743B6" w:rsidRPr="001F2F5D">
        <w:t>ed application</w:t>
      </w:r>
      <w:r w:rsidRPr="001F2F5D">
        <w:t xml:space="preserve"> provisions at subsection 77A(10) of the Act to initiate the renewal process and provide additional confidence </w:t>
      </w:r>
      <w:r w:rsidR="00A427E4" w:rsidRPr="001F2F5D">
        <w:t xml:space="preserve">about </w:t>
      </w:r>
      <w:r w:rsidRPr="001F2F5D">
        <w:t>the ACMA’s disposition.</w:t>
      </w:r>
    </w:p>
    <w:p w14:paraId="5A7B7017" w14:textId="77777777" w:rsidR="000A46FB" w:rsidRPr="001F2F5D" w:rsidRDefault="000A46FB" w:rsidP="000A46FB">
      <w:pPr>
        <w:pStyle w:val="Heading3"/>
      </w:pPr>
      <w:bookmarkStart w:id="32" w:name="_Toc149065115"/>
      <w:r w:rsidRPr="001F2F5D">
        <w:t>Our response</w:t>
      </w:r>
      <w:bookmarkEnd w:id="32"/>
    </w:p>
    <w:p w14:paraId="78A8080B" w14:textId="39AB284E" w:rsidR="000A46FB" w:rsidRPr="001F2F5D" w:rsidRDefault="000A46FB" w:rsidP="000A46FB">
      <w:pPr>
        <w:pStyle w:val="Paragraph"/>
      </w:pPr>
      <w:r w:rsidRPr="001F2F5D">
        <w:t>We have considered the alternative processes offered by stakeholders, which were, in part, informed by interpretations of how the public interest criteria would function and how much certainty the ACMA would be able to provide for incumbents before an application for renewal is submitted.</w:t>
      </w:r>
    </w:p>
    <w:p w14:paraId="61498189" w14:textId="63DECB7F" w:rsidR="000A46FB" w:rsidRPr="001F2F5D" w:rsidRDefault="000A46FB" w:rsidP="000A46FB">
      <w:pPr>
        <w:pStyle w:val="Paragraph"/>
      </w:pPr>
      <w:r w:rsidRPr="001F2F5D">
        <w:t xml:space="preserve">We note that </w:t>
      </w:r>
      <w:r w:rsidR="00A427E4" w:rsidRPr="001F2F5D">
        <w:t xml:space="preserve">the </w:t>
      </w:r>
      <w:r w:rsidRPr="001F2F5D">
        <w:t>sequencing of additional or earlier outputs</w:t>
      </w:r>
      <w:r w:rsidR="00A427E4" w:rsidRPr="001F2F5D">
        <w:t xml:space="preserve"> as proposed by some </w:t>
      </w:r>
      <w:proofErr w:type="gramStart"/>
      <w:r w:rsidR="00A427E4" w:rsidRPr="001F2F5D">
        <w:t>stakeholders</w:t>
      </w:r>
      <w:r w:rsidRPr="001F2F5D">
        <w:t>, and</w:t>
      </w:r>
      <w:proofErr w:type="gramEnd"/>
      <w:r w:rsidRPr="001F2F5D">
        <w:t xml:space="preserve"> increases </w:t>
      </w:r>
      <w:r w:rsidR="00D4764D" w:rsidRPr="001F2F5D">
        <w:t xml:space="preserve">to </w:t>
      </w:r>
      <w:r w:rsidRPr="001F2F5D">
        <w:t>the number of formal and informal interactions</w:t>
      </w:r>
      <w:r w:rsidR="009B30E0" w:rsidRPr="001F2F5D">
        <w:t>,</w:t>
      </w:r>
      <w:r w:rsidRPr="001F2F5D">
        <w:t xml:space="preserve"> would likely be very resource intensive for the ACMA and stakeholders alike. </w:t>
      </w:r>
      <w:r w:rsidR="00B05050" w:rsidRPr="001F2F5D">
        <w:t xml:space="preserve">We do not consider that </w:t>
      </w:r>
      <w:r w:rsidRPr="001F2F5D">
        <w:t xml:space="preserve">there </w:t>
      </w:r>
      <w:r w:rsidR="00305D7D" w:rsidRPr="001F2F5D">
        <w:t>w</w:t>
      </w:r>
      <w:r w:rsidR="00675EDB" w:rsidRPr="001F2F5D">
        <w:t>ill</w:t>
      </w:r>
      <w:r w:rsidR="00305D7D" w:rsidRPr="001F2F5D">
        <w:t xml:space="preserve"> </w:t>
      </w:r>
      <w:r w:rsidRPr="001F2F5D">
        <w:t xml:space="preserve">be sufficient time between those outputs and interactions for </w:t>
      </w:r>
      <w:r w:rsidR="00B05050" w:rsidRPr="001F2F5D">
        <w:t xml:space="preserve">us </w:t>
      </w:r>
      <w:r w:rsidRPr="001F2F5D">
        <w:t xml:space="preserve">to develop </w:t>
      </w:r>
      <w:r w:rsidR="00B05050" w:rsidRPr="001F2F5D">
        <w:t xml:space="preserve">new, </w:t>
      </w:r>
      <w:r w:rsidRPr="001F2F5D">
        <w:t xml:space="preserve">substantive positions, </w:t>
      </w:r>
      <w:r w:rsidR="00B05050" w:rsidRPr="001F2F5D">
        <w:t xml:space="preserve">or </w:t>
      </w:r>
      <w:r w:rsidRPr="001F2F5D">
        <w:t xml:space="preserve">for those positions to be informed by consultation, which would limit the practical utility of those changes. </w:t>
      </w:r>
    </w:p>
    <w:p w14:paraId="5BFB4234" w14:textId="6D9C698A" w:rsidR="000A46FB" w:rsidRPr="001F2F5D" w:rsidRDefault="000A46FB" w:rsidP="000A46FB">
      <w:pPr>
        <w:pStyle w:val="Paragraph"/>
      </w:pPr>
      <w:r w:rsidRPr="001F2F5D">
        <w:t xml:space="preserve">We will consider whether the deemed application process </w:t>
      </w:r>
      <w:r w:rsidR="005A5739" w:rsidRPr="001F2F5D">
        <w:t xml:space="preserve">could provide </w:t>
      </w:r>
      <w:r w:rsidRPr="001F2F5D">
        <w:t xml:space="preserve">additional confidence </w:t>
      </w:r>
      <w:r w:rsidR="005A5739" w:rsidRPr="001F2F5D">
        <w:t xml:space="preserve">for </w:t>
      </w:r>
      <w:r w:rsidRPr="001F2F5D">
        <w:t xml:space="preserve">incumbents. However, we note that </w:t>
      </w:r>
      <w:r w:rsidR="00E51332" w:rsidRPr="001F2F5D">
        <w:t xml:space="preserve">the </w:t>
      </w:r>
      <w:r w:rsidRPr="001F2F5D">
        <w:t xml:space="preserve">deemed application process does not </w:t>
      </w:r>
      <w:r w:rsidR="002533C2" w:rsidRPr="001F2F5D">
        <w:t xml:space="preserve">remove </w:t>
      </w:r>
      <w:r w:rsidRPr="001F2F5D">
        <w:t xml:space="preserve">any requirements to consider a renewal application on its </w:t>
      </w:r>
      <w:proofErr w:type="gramStart"/>
      <w:r w:rsidRPr="001F2F5D">
        <w:t>merits, or</w:t>
      </w:r>
      <w:proofErr w:type="gramEnd"/>
      <w:r w:rsidRPr="001F2F5D">
        <w:t xml:space="preserve"> provide an alternative to the 2-year application period, or </w:t>
      </w:r>
      <w:r w:rsidR="006037FE" w:rsidRPr="001F2F5D">
        <w:t xml:space="preserve">change </w:t>
      </w:r>
      <w:r w:rsidRPr="001F2F5D">
        <w:t>the 6</w:t>
      </w:r>
      <w:r w:rsidR="006037FE" w:rsidRPr="001F2F5D">
        <w:t>-</w:t>
      </w:r>
      <w:r w:rsidRPr="001F2F5D">
        <w:t>month period during which the ACMA must arrive at a decision</w:t>
      </w:r>
      <w:r w:rsidR="001612E2" w:rsidRPr="001F2F5D">
        <w:t>, as required under the Act</w:t>
      </w:r>
      <w:r w:rsidRPr="001F2F5D">
        <w:t>.</w:t>
      </w:r>
    </w:p>
    <w:p w14:paraId="5127B223" w14:textId="35A5B65C" w:rsidR="000A46FB" w:rsidRPr="001F2F5D" w:rsidRDefault="000A46FB" w:rsidP="000A46FB">
      <w:pPr>
        <w:pStyle w:val="Paragraph"/>
      </w:pPr>
      <w:r w:rsidRPr="001F2F5D">
        <w:t xml:space="preserve">Many stakeholders </w:t>
      </w:r>
      <w:r w:rsidR="001F06C9" w:rsidRPr="001F2F5D">
        <w:t xml:space="preserve">wanted </w:t>
      </w:r>
      <w:r w:rsidRPr="001F2F5D">
        <w:t xml:space="preserve">to meet with the ACMA individually, or in fora with similar stakeholders. </w:t>
      </w:r>
      <w:r w:rsidR="00123CAB" w:rsidRPr="001F2F5D">
        <w:t>We</w:t>
      </w:r>
      <w:r w:rsidRPr="001F2F5D">
        <w:t xml:space="preserve"> welcome discussions with stakeholders and invite stakeholders to communicate with us via </w:t>
      </w:r>
      <w:hyperlink r:id="rId58" w:history="1">
        <w:r w:rsidRPr="001F2F5D">
          <w:rPr>
            <w:rStyle w:val="Hyperlink"/>
          </w:rPr>
          <w:t>ESL@acma.gov.au</w:t>
        </w:r>
      </w:hyperlink>
      <w:r w:rsidRPr="001F2F5D">
        <w:t>. However, we have a strong preference for substantive communications to be conducted transparent</w:t>
      </w:r>
      <w:r w:rsidR="007E2C14" w:rsidRPr="001F2F5D">
        <w:t>ly</w:t>
      </w:r>
      <w:r w:rsidRPr="001F2F5D">
        <w:t>, and written responses to consultation processes are designed to facilitate that transparency.</w:t>
      </w:r>
      <w:r w:rsidR="00345B34" w:rsidRPr="001F2F5D">
        <w:t xml:space="preserve"> Similarly, </w:t>
      </w:r>
      <w:r w:rsidR="002725E4" w:rsidRPr="001F2F5D">
        <w:t xml:space="preserve">while we will accept </w:t>
      </w:r>
      <w:r w:rsidR="000F41D5" w:rsidRPr="001F2F5D">
        <w:t>in-confidence</w:t>
      </w:r>
      <w:r w:rsidR="002725E4" w:rsidRPr="001F2F5D">
        <w:t xml:space="preserve"> submissions </w:t>
      </w:r>
      <w:r w:rsidR="000F41D5" w:rsidRPr="001F2F5D">
        <w:t>to</w:t>
      </w:r>
      <w:r w:rsidR="002725E4" w:rsidRPr="001F2F5D">
        <w:t xml:space="preserve"> </w:t>
      </w:r>
      <w:r w:rsidR="00F416B2" w:rsidRPr="001F2F5D">
        <w:t xml:space="preserve">our public consultation processes, we </w:t>
      </w:r>
      <w:r w:rsidR="001F44CD" w:rsidRPr="001F2F5D">
        <w:t xml:space="preserve">encourage stakeholders to provide public submissions as </w:t>
      </w:r>
      <w:r w:rsidR="00C16B4E" w:rsidRPr="001F2F5D">
        <w:t xml:space="preserve">much </w:t>
      </w:r>
      <w:r w:rsidR="001F44CD" w:rsidRPr="001F2F5D">
        <w:t xml:space="preserve">as possible, </w:t>
      </w:r>
      <w:r w:rsidR="00F1154B" w:rsidRPr="001F2F5D">
        <w:t xml:space="preserve">which we will publish </w:t>
      </w:r>
      <w:r w:rsidR="002301B9" w:rsidRPr="001F2F5D">
        <w:t xml:space="preserve">in the interests of </w:t>
      </w:r>
      <w:r w:rsidR="000F5DF5" w:rsidRPr="001F2F5D">
        <w:t>openness</w:t>
      </w:r>
      <w:r w:rsidR="002301B9" w:rsidRPr="001F2F5D">
        <w:t>.</w:t>
      </w:r>
    </w:p>
    <w:p w14:paraId="7AE9BC1B" w14:textId="77777777" w:rsidR="000A46FB" w:rsidRPr="001F2F5D" w:rsidRDefault="000A46FB" w:rsidP="000A46FB">
      <w:pPr>
        <w:pStyle w:val="Heading2"/>
      </w:pPr>
      <w:bookmarkStart w:id="33" w:name="_Toc149065116"/>
      <w:bookmarkStart w:id="34" w:name="_Toc153795073"/>
      <w:r w:rsidRPr="001F2F5D">
        <w:t>ESL outcomes</w:t>
      </w:r>
      <w:bookmarkEnd w:id="33"/>
      <w:bookmarkEnd w:id="34"/>
    </w:p>
    <w:p w14:paraId="4E4B91C5" w14:textId="3D541DD2" w:rsidR="000A46FB" w:rsidRPr="001F2F5D" w:rsidRDefault="000A46FB" w:rsidP="000A46FB">
      <w:pPr>
        <w:pStyle w:val="Paragraph"/>
      </w:pPr>
      <w:r w:rsidRPr="001F2F5D">
        <w:t xml:space="preserve">In our stage 1 consultation, we set out a process that allows us </w:t>
      </w:r>
      <w:r w:rsidR="009A284C" w:rsidRPr="001F2F5D">
        <w:t xml:space="preserve">and </w:t>
      </w:r>
      <w:r w:rsidRPr="001F2F5D">
        <w:t>incumbents to navigate the new legislative provisions applicable to ESL</w:t>
      </w:r>
      <w:r w:rsidR="00675EDB" w:rsidRPr="001F2F5D">
        <w:t>s</w:t>
      </w:r>
      <w:r w:rsidRPr="001F2F5D">
        <w:t xml:space="preserve">. We framed the ESL </w:t>
      </w:r>
      <w:r w:rsidRPr="001F2F5D">
        <w:lastRenderedPageBreak/>
        <w:t>process</w:t>
      </w:r>
      <w:r w:rsidR="009A284C" w:rsidRPr="001F2F5D">
        <w:t>,</w:t>
      </w:r>
      <w:r w:rsidRPr="001F2F5D">
        <w:t xml:space="preserve"> and outcomes it could achieve</w:t>
      </w:r>
      <w:r w:rsidR="009A284C" w:rsidRPr="001F2F5D">
        <w:t>,</w:t>
      </w:r>
      <w:r w:rsidRPr="001F2F5D">
        <w:t xml:space="preserve"> in broad terms, with reference to proposed public interest criteria (which are</w:t>
      </w:r>
      <w:r w:rsidR="00927AED" w:rsidRPr="001F2F5D">
        <w:t>,</w:t>
      </w:r>
      <w:r w:rsidRPr="001F2F5D">
        <w:t xml:space="preserve"> in turn</w:t>
      </w:r>
      <w:r w:rsidR="00927AED" w:rsidRPr="001F2F5D">
        <w:t>,</w:t>
      </w:r>
      <w:r w:rsidRPr="001F2F5D">
        <w:t xml:space="preserve"> informed by the object of the Act).</w:t>
      </w:r>
    </w:p>
    <w:p w14:paraId="44240703" w14:textId="1187AE25" w:rsidR="000A46FB" w:rsidRPr="001F2F5D" w:rsidRDefault="000A46FB" w:rsidP="000A46FB">
      <w:pPr>
        <w:pStyle w:val="Paragraph"/>
      </w:pPr>
      <w:r w:rsidRPr="001F2F5D">
        <w:t xml:space="preserve">We also noted that there could be a wide range of outcomes </w:t>
      </w:r>
      <w:r w:rsidR="001B15BC" w:rsidRPr="001F2F5D">
        <w:t xml:space="preserve">arising </w:t>
      </w:r>
      <w:r w:rsidRPr="001F2F5D">
        <w:t>from the 3 options available for ESLs (renewal, partial renewal, refusal</w:t>
      </w:r>
      <w:r w:rsidR="0012707A" w:rsidRPr="001F2F5D">
        <w:t>)</w:t>
      </w:r>
      <w:r w:rsidRPr="001F2F5D">
        <w:t xml:space="preserve"> and</w:t>
      </w:r>
      <w:r w:rsidR="002672CC" w:rsidRPr="001F2F5D">
        <w:t>,</w:t>
      </w:r>
      <w:r w:rsidRPr="001F2F5D">
        <w:t xml:space="preserve"> potentially</w:t>
      </w:r>
      <w:r w:rsidR="002672CC" w:rsidRPr="001F2F5D">
        <w:t>,</w:t>
      </w:r>
      <w:r w:rsidRPr="001F2F5D">
        <w:t xml:space="preserve"> some specific outcomes arising from guidance or direction from the </w:t>
      </w:r>
      <w:r w:rsidR="00071368" w:rsidRPr="001F2F5D">
        <w:t>m</w:t>
      </w:r>
      <w:r w:rsidRPr="001F2F5D">
        <w:t>inister.</w:t>
      </w:r>
    </w:p>
    <w:p w14:paraId="352DCCC4" w14:textId="012F81DA" w:rsidR="000A46FB" w:rsidRPr="001F2F5D" w:rsidRDefault="003C2A5F" w:rsidP="000A46FB">
      <w:pPr>
        <w:pStyle w:val="Paragraph"/>
      </w:pPr>
      <w:r w:rsidRPr="001F2F5D">
        <w:t>W</w:t>
      </w:r>
      <w:r w:rsidR="000A46FB" w:rsidRPr="001F2F5D">
        <w:t xml:space="preserve">e identified a key feature of the ESL process: that while the process is designed to progressively develop a public interest context – which </w:t>
      </w:r>
      <w:r w:rsidR="00FA063A" w:rsidRPr="001F2F5D">
        <w:t xml:space="preserve">will </w:t>
      </w:r>
      <w:r w:rsidR="000A46FB" w:rsidRPr="001F2F5D">
        <w:t>now be referred to as a policy and decision-making framework – decisions on individual ESLs need ultimately to be made on the merits of a renewal application.</w:t>
      </w:r>
    </w:p>
    <w:p w14:paraId="39154A67" w14:textId="77777777" w:rsidR="000A46FB" w:rsidRPr="001F2F5D" w:rsidRDefault="000A46FB" w:rsidP="000A46FB">
      <w:pPr>
        <w:pStyle w:val="Heading3"/>
      </w:pPr>
      <w:bookmarkStart w:id="35" w:name="_Toc149065117"/>
      <w:r w:rsidRPr="001F2F5D">
        <w:t xml:space="preserve">What stakeholders told </w:t>
      </w:r>
      <w:proofErr w:type="gramStart"/>
      <w:r w:rsidRPr="001F2F5D">
        <w:t>us</w:t>
      </w:r>
      <w:bookmarkEnd w:id="35"/>
      <w:proofErr w:type="gramEnd"/>
    </w:p>
    <w:p w14:paraId="00D42B09" w14:textId="54448051" w:rsidR="000A46FB" w:rsidRPr="001F2F5D" w:rsidRDefault="000A46FB" w:rsidP="000A46FB">
      <w:pPr>
        <w:pStyle w:val="Paragraph"/>
      </w:pPr>
      <w:r w:rsidRPr="001F2F5D">
        <w:t>Overall, stakeholders expressed strong, although very different, views about the outcomes that the ESL process should deliver.</w:t>
      </w:r>
    </w:p>
    <w:p w14:paraId="6683B509" w14:textId="21552AC1" w:rsidR="000A46FB" w:rsidRPr="001F2F5D" w:rsidRDefault="002A661D" w:rsidP="000A46FB">
      <w:pPr>
        <w:pStyle w:val="Paragraph"/>
      </w:pPr>
      <w:r w:rsidRPr="001F2F5D">
        <w:t>W</w:t>
      </w:r>
      <w:r w:rsidR="00025C43" w:rsidRPr="001F2F5D">
        <w:t>ireless broadband</w:t>
      </w:r>
      <w:r w:rsidR="000A46FB" w:rsidRPr="001F2F5D">
        <w:t xml:space="preserve"> operators drew attention to what they described as a mature mobile market</w:t>
      </w:r>
      <w:r w:rsidR="00710E2A" w:rsidRPr="001F2F5D">
        <w:t xml:space="preserve"> and</w:t>
      </w:r>
      <w:r w:rsidR="000A46FB" w:rsidRPr="001F2F5D">
        <w:t xml:space="preserve"> </w:t>
      </w:r>
      <w:r w:rsidR="00F179C7" w:rsidRPr="001F2F5D">
        <w:t>grow</w:t>
      </w:r>
      <w:r w:rsidR="00710E2A" w:rsidRPr="001F2F5D">
        <w:t>ing</w:t>
      </w:r>
      <w:r w:rsidR="000A46FB" w:rsidRPr="001F2F5D">
        <w:t xml:space="preserve"> consumer demand for </w:t>
      </w:r>
      <w:proofErr w:type="gramStart"/>
      <w:r w:rsidR="000A46FB" w:rsidRPr="001F2F5D">
        <w:t>data, and</w:t>
      </w:r>
      <w:proofErr w:type="gramEnd"/>
      <w:r w:rsidR="000A46FB" w:rsidRPr="001F2F5D">
        <w:t xml:space="preserve"> submitted that ongoing provision of </w:t>
      </w:r>
      <w:r w:rsidR="00025C43" w:rsidRPr="001F2F5D">
        <w:t xml:space="preserve">wireless broadband </w:t>
      </w:r>
      <w:r w:rsidR="000A46FB" w:rsidRPr="001F2F5D">
        <w:t xml:space="preserve">services within a reasonably stable market was in the public interest. Some stakeholders noted that high barriers to entry meant that new entrants to the </w:t>
      </w:r>
      <w:r w:rsidR="00B12CBA" w:rsidRPr="001F2F5D">
        <w:t>mobile network operator (</w:t>
      </w:r>
      <w:r w:rsidR="000A46FB" w:rsidRPr="001F2F5D">
        <w:t>MNO</w:t>
      </w:r>
      <w:r w:rsidR="00B12CBA" w:rsidRPr="001F2F5D">
        <w:t>)</w:t>
      </w:r>
      <w:r w:rsidR="000A46FB" w:rsidRPr="001F2F5D">
        <w:t xml:space="preserve"> market were unlikely, and other stakeholders noted that they were not aware of any prospective new entrants</w:t>
      </w:r>
      <w:r w:rsidR="0012707A" w:rsidRPr="001F2F5D">
        <w:t xml:space="preserve"> to the national MNO market</w:t>
      </w:r>
      <w:r w:rsidR="000A46FB" w:rsidRPr="001F2F5D">
        <w:t xml:space="preserve">. </w:t>
      </w:r>
      <w:r w:rsidR="00025C43" w:rsidRPr="001F2F5D">
        <w:t>Wireless broadband</w:t>
      </w:r>
      <w:r w:rsidR="000A46FB" w:rsidRPr="001F2F5D">
        <w:t xml:space="preserve"> operators conveyed there was not a strong rationale for refusing to renew</w:t>
      </w:r>
      <w:r w:rsidR="00A20C68" w:rsidRPr="001F2F5D">
        <w:t xml:space="preserve"> ESLs</w:t>
      </w:r>
      <w:r w:rsidR="000A46FB" w:rsidRPr="001F2F5D">
        <w:t>, and subsequently re-a</w:t>
      </w:r>
      <w:r w:rsidR="00E25D6E" w:rsidRPr="001F2F5D">
        <w:t xml:space="preserve">llocating </w:t>
      </w:r>
      <w:r w:rsidR="000A46FB" w:rsidRPr="001F2F5D">
        <w:t xml:space="preserve">the spectrum, or transitioning the relevant spectrum to a different licensing framework. </w:t>
      </w:r>
      <w:r w:rsidR="00025C43" w:rsidRPr="001F2F5D">
        <w:t>Wireless broadband</w:t>
      </w:r>
      <w:r w:rsidR="00432134" w:rsidRPr="001F2F5D">
        <w:t xml:space="preserve"> </w:t>
      </w:r>
      <w:r w:rsidR="000A46FB" w:rsidRPr="001F2F5D">
        <w:t xml:space="preserve">stakeholders encouraged the ACMA to form views that supported full </w:t>
      </w:r>
      <w:proofErr w:type="gramStart"/>
      <w:r w:rsidR="000A46FB" w:rsidRPr="001F2F5D">
        <w:t>renewal, and</w:t>
      </w:r>
      <w:proofErr w:type="gramEnd"/>
      <w:r w:rsidR="000A46FB" w:rsidRPr="001F2F5D">
        <w:t xml:space="preserve"> </w:t>
      </w:r>
      <w:r w:rsidR="00C719E7" w:rsidRPr="001F2F5D">
        <w:t>submitted</w:t>
      </w:r>
      <w:r w:rsidR="000A46FB" w:rsidRPr="001F2F5D">
        <w:t xml:space="preserve"> that outcomes associated with partial renewal should be initiated by incumbents, with any residual spectrum put back to market (</w:t>
      </w:r>
      <w:r w:rsidR="00C719E7" w:rsidRPr="001F2F5D">
        <w:t>that is,</w:t>
      </w:r>
      <w:r w:rsidR="000A46FB" w:rsidRPr="001F2F5D">
        <w:t xml:space="preserve"> re-allocated)</w:t>
      </w:r>
      <w:r w:rsidR="000A46FB" w:rsidRPr="001F2F5D" w:rsidDel="0012707A">
        <w:t>.</w:t>
      </w:r>
    </w:p>
    <w:p w14:paraId="65C50005" w14:textId="2BC57999" w:rsidR="000A46FB" w:rsidRPr="001F2F5D" w:rsidRDefault="000A46FB" w:rsidP="000A46FB">
      <w:pPr>
        <w:pStyle w:val="Paragraph"/>
      </w:pPr>
      <w:r w:rsidRPr="001F2F5D">
        <w:t xml:space="preserve">Stakeholders who operate </w:t>
      </w:r>
      <w:r w:rsidR="00BA47B1" w:rsidRPr="001F2F5D">
        <w:t xml:space="preserve">rail </w:t>
      </w:r>
      <w:r w:rsidRPr="001F2F5D">
        <w:t>services, and bodies who support or advocate for those operators</w:t>
      </w:r>
      <w:r w:rsidR="0012707A" w:rsidRPr="001F2F5D">
        <w:t>,</w:t>
      </w:r>
      <w:r w:rsidR="0022739D" w:rsidRPr="001F2F5D">
        <w:t xml:space="preserve"> </w:t>
      </w:r>
      <w:r w:rsidRPr="001F2F5D">
        <w:t xml:space="preserve">submitted that the optimal ESL outcome would see full renewal of incumbent licences, on the basis that the ongoing provision of </w:t>
      </w:r>
      <w:r w:rsidR="00A51C70" w:rsidRPr="001F2F5D">
        <w:t xml:space="preserve">communications for </w:t>
      </w:r>
      <w:r w:rsidRPr="001F2F5D">
        <w:t>rail services, and the economic</w:t>
      </w:r>
      <w:r w:rsidR="00CC5BAB" w:rsidRPr="001F2F5D">
        <w:t xml:space="preserve"> and social</w:t>
      </w:r>
      <w:r w:rsidRPr="001F2F5D">
        <w:t xml:space="preserve"> benefits the </w:t>
      </w:r>
      <w:r w:rsidR="002E6D2B" w:rsidRPr="001F2F5D">
        <w:t xml:space="preserve">rail </w:t>
      </w:r>
      <w:r w:rsidRPr="001F2F5D">
        <w:t xml:space="preserve">industry generates, mean that ongoing access to the spectrum </w:t>
      </w:r>
      <w:r w:rsidR="00A51C70" w:rsidRPr="001F2F5D">
        <w:t xml:space="preserve">serves </w:t>
      </w:r>
      <w:r w:rsidRPr="001F2F5D">
        <w:t>the public interest.</w:t>
      </w:r>
    </w:p>
    <w:p w14:paraId="519EBEBF" w14:textId="16078AA7" w:rsidR="000A46FB" w:rsidRPr="001F2F5D" w:rsidRDefault="000A46FB" w:rsidP="000A46FB">
      <w:pPr>
        <w:pStyle w:val="Paragraph"/>
      </w:pPr>
      <w:r w:rsidRPr="001F2F5D">
        <w:t>One stakeholder</w:t>
      </w:r>
      <w:r w:rsidR="00654D97" w:rsidRPr="001F2F5D">
        <w:t xml:space="preserve"> </w:t>
      </w:r>
      <w:r w:rsidRPr="001F2F5D">
        <w:t xml:space="preserve">indicated that the broadcasting licensees </w:t>
      </w:r>
      <w:r w:rsidR="007E6FEB" w:rsidRPr="001F2F5D">
        <w:t xml:space="preserve">it </w:t>
      </w:r>
      <w:r w:rsidRPr="001F2F5D">
        <w:t>represent</w:t>
      </w:r>
      <w:r w:rsidR="007E6FEB" w:rsidRPr="001F2F5D">
        <w:t>s</w:t>
      </w:r>
      <w:r w:rsidRPr="001F2F5D">
        <w:t xml:space="preserve"> are interested in the potential to align licensing arrangements with their existing apparatus licensing arrangements in other bands. This would reduce </w:t>
      </w:r>
      <w:r w:rsidR="007E6FEB" w:rsidRPr="001F2F5D">
        <w:t xml:space="preserve">costs </w:t>
      </w:r>
      <w:r w:rsidRPr="001F2F5D">
        <w:t xml:space="preserve">and allow for annual renewals. This was the only submission that did not expressly convey that renewal was the optimal outcome </w:t>
      </w:r>
      <w:r w:rsidR="00125402" w:rsidRPr="001F2F5D">
        <w:t xml:space="preserve">for </w:t>
      </w:r>
      <w:r w:rsidRPr="001F2F5D">
        <w:t xml:space="preserve">their licences, although we note that this </w:t>
      </w:r>
      <w:r w:rsidR="00D42B6B" w:rsidRPr="001F2F5D">
        <w:t xml:space="preserve">suggested </w:t>
      </w:r>
      <w:r w:rsidRPr="001F2F5D">
        <w:t xml:space="preserve">outcome would not necessarily </w:t>
      </w:r>
      <w:r w:rsidR="00D42B6B" w:rsidRPr="001F2F5D">
        <w:t xml:space="preserve">facilitate </w:t>
      </w:r>
      <w:r w:rsidRPr="001F2F5D">
        <w:t xml:space="preserve">alternative </w:t>
      </w:r>
      <w:r w:rsidR="00341B66" w:rsidRPr="001F2F5D">
        <w:t>uses</w:t>
      </w:r>
      <w:r w:rsidRPr="001F2F5D">
        <w:t xml:space="preserve"> </w:t>
      </w:r>
      <w:r w:rsidR="00D42B6B" w:rsidRPr="001F2F5D">
        <w:t xml:space="preserve">or users </w:t>
      </w:r>
      <w:r w:rsidRPr="001F2F5D">
        <w:t>for the spectrum.</w:t>
      </w:r>
    </w:p>
    <w:p w14:paraId="520873B0" w14:textId="4A9DD0BE" w:rsidR="000A46FB" w:rsidRPr="001F2F5D" w:rsidRDefault="000A46FB" w:rsidP="000A46FB">
      <w:pPr>
        <w:pStyle w:val="Paragraph"/>
      </w:pPr>
      <w:r w:rsidRPr="001F2F5D">
        <w:t xml:space="preserve">While most submissions acknowledged that the outcomes of ESL decisions would have </w:t>
      </w:r>
      <w:proofErr w:type="gramStart"/>
      <w:r w:rsidRPr="001F2F5D">
        <w:t>enduring</w:t>
      </w:r>
      <w:proofErr w:type="gramEnd"/>
      <w:r w:rsidRPr="001F2F5D">
        <w:t xml:space="preserve"> and significant implications for the communications sector, one submission emphasised that the ESL process provided a unique opportunity to evaluate current spectrum holdings, and potentially influence positive changes in the mobile market, segments of which have been in place since 2013. </w:t>
      </w:r>
    </w:p>
    <w:p w14:paraId="294AF9A9" w14:textId="4719A50F" w:rsidR="000A46FB" w:rsidRPr="001F2F5D" w:rsidRDefault="000A46FB" w:rsidP="000A46FB">
      <w:pPr>
        <w:pStyle w:val="Paragraph"/>
      </w:pPr>
      <w:r w:rsidRPr="001F2F5D">
        <w:t xml:space="preserve">A mix of incumbents and </w:t>
      </w:r>
      <w:r w:rsidR="00CC5BAB" w:rsidRPr="001F2F5D">
        <w:t xml:space="preserve">prospective </w:t>
      </w:r>
      <w:r w:rsidRPr="001F2F5D">
        <w:t>licensees submit</w:t>
      </w:r>
      <w:r w:rsidR="00BB100F" w:rsidRPr="001F2F5D">
        <w:t>ted</w:t>
      </w:r>
      <w:r w:rsidRPr="001F2F5D">
        <w:t xml:space="preserve"> that the ESL process should deliver an outcome where spectrum </w:t>
      </w:r>
      <w:r w:rsidR="00CA463C" w:rsidRPr="001F2F5D">
        <w:t xml:space="preserve">is </w:t>
      </w:r>
      <w:r w:rsidRPr="001F2F5D">
        <w:t xml:space="preserve">set aside for alternative </w:t>
      </w:r>
      <w:r w:rsidR="00A04695" w:rsidRPr="001F2F5D">
        <w:t xml:space="preserve">uses, </w:t>
      </w:r>
      <w:r w:rsidR="0042631A" w:rsidRPr="001F2F5D">
        <w:t xml:space="preserve">users or </w:t>
      </w:r>
      <w:r w:rsidRPr="001F2F5D">
        <w:t>use cases that deliver against public policy outcomes, such as Public Safety Mobile Broadband (PSMB)</w:t>
      </w:r>
      <w:r w:rsidR="00E61345" w:rsidRPr="001F2F5D">
        <w:t>,</w:t>
      </w:r>
      <w:r w:rsidRPr="001F2F5D">
        <w:t xml:space="preserve"> local area </w:t>
      </w:r>
      <w:r w:rsidR="008A0649" w:rsidRPr="001F2F5D">
        <w:t xml:space="preserve">wireless broadband </w:t>
      </w:r>
      <w:r w:rsidRPr="001F2F5D">
        <w:t>, and regional coverage</w:t>
      </w:r>
      <w:r w:rsidR="00E61345" w:rsidRPr="001F2F5D">
        <w:t>,</w:t>
      </w:r>
      <w:r w:rsidRPr="001F2F5D">
        <w:t xml:space="preserve"> including via satellite services. Such outcomes would require non-renewal or partial renewal of one or more ESLs</w:t>
      </w:r>
      <w:r w:rsidRPr="001F2F5D">
        <w:rPr>
          <w:rStyle w:val="normaltextrun"/>
          <w:color w:val="000000"/>
          <w:szCs w:val="20"/>
          <w:shd w:val="clear" w:color="auto" w:fill="FFFFFF"/>
        </w:rPr>
        <w:t>.</w:t>
      </w:r>
    </w:p>
    <w:p w14:paraId="3C589040" w14:textId="77777777" w:rsidR="000A46FB" w:rsidRPr="001F2F5D" w:rsidRDefault="000A46FB" w:rsidP="000A46FB">
      <w:pPr>
        <w:pStyle w:val="Heading3"/>
      </w:pPr>
      <w:bookmarkStart w:id="36" w:name="_Toc149065118"/>
      <w:r w:rsidRPr="001F2F5D">
        <w:lastRenderedPageBreak/>
        <w:t>Our response</w:t>
      </w:r>
      <w:bookmarkEnd w:id="36"/>
    </w:p>
    <w:p w14:paraId="2CA2C882" w14:textId="77C89529" w:rsidR="000A46FB" w:rsidRPr="001F2F5D" w:rsidRDefault="000A46FB" w:rsidP="000A46FB">
      <w:pPr>
        <w:pStyle w:val="Paragraph"/>
      </w:pPr>
      <w:r w:rsidRPr="001F2F5D">
        <w:t xml:space="preserve">The principal outcome we are seeking </w:t>
      </w:r>
      <w:r w:rsidR="00026711" w:rsidRPr="001F2F5D">
        <w:t xml:space="preserve">to </w:t>
      </w:r>
      <w:r w:rsidRPr="001F2F5D">
        <w:t xml:space="preserve">achieve </w:t>
      </w:r>
      <w:r w:rsidR="00812724" w:rsidRPr="001F2F5D">
        <w:t xml:space="preserve">at this stage is </w:t>
      </w:r>
      <w:r w:rsidR="00841BFC" w:rsidRPr="001F2F5D">
        <w:t xml:space="preserve">the design and implementation of the ESL process. A key element of that is the progressive and consultative delivery of the </w:t>
      </w:r>
      <w:r w:rsidRPr="001F2F5D">
        <w:t xml:space="preserve">policy and decision-making framework. </w:t>
      </w:r>
    </w:p>
    <w:p w14:paraId="7BF2F439" w14:textId="0AD07964" w:rsidR="000A46FB" w:rsidRPr="001F2F5D" w:rsidRDefault="000A46FB" w:rsidP="000A46FB">
      <w:pPr>
        <w:pStyle w:val="Paragraph"/>
      </w:pPr>
      <w:r w:rsidRPr="001F2F5D">
        <w:t xml:space="preserve">The process we are implementing </w:t>
      </w:r>
      <w:r w:rsidR="003F798D" w:rsidRPr="001F2F5D">
        <w:t xml:space="preserve">will allow us to </w:t>
      </w:r>
      <w:r w:rsidRPr="001F2F5D" w:rsidDel="001831F2">
        <w:t>provide</w:t>
      </w:r>
      <w:r w:rsidRPr="001F2F5D">
        <w:t>, at stage</w:t>
      </w:r>
      <w:r w:rsidR="0075365E" w:rsidRPr="001F2F5D">
        <w:t>s</w:t>
      </w:r>
      <w:r w:rsidRPr="001F2F5D">
        <w:t xml:space="preserve"> 3</w:t>
      </w:r>
      <w:r w:rsidR="0075365E" w:rsidRPr="001F2F5D">
        <w:t xml:space="preserve"> and 4</w:t>
      </w:r>
      <w:r w:rsidRPr="001F2F5D">
        <w:t xml:space="preserve">, </w:t>
      </w:r>
      <w:r w:rsidR="00913305" w:rsidRPr="001F2F5D">
        <w:t xml:space="preserve">preliminary and preferred </w:t>
      </w:r>
      <w:r w:rsidR="0075365E" w:rsidRPr="001F2F5D">
        <w:t>views</w:t>
      </w:r>
      <w:r w:rsidRPr="001F2F5D">
        <w:t xml:space="preserve"> on whether renewal, partial </w:t>
      </w:r>
      <w:proofErr w:type="gramStart"/>
      <w:r w:rsidRPr="001F2F5D">
        <w:t>renewal</w:t>
      </w:r>
      <w:proofErr w:type="gramEnd"/>
      <w:r w:rsidRPr="001F2F5D">
        <w:t xml:space="preserve"> or re-allocation of licences in each band, or re-allocation of the spectrum covered by ESLs in each band, serves the long-term public interest. </w:t>
      </w:r>
    </w:p>
    <w:p w14:paraId="5CACFD1F" w14:textId="6D7A91D8" w:rsidR="000A46FB" w:rsidRPr="001F2F5D" w:rsidRDefault="000A46FB" w:rsidP="000A46FB">
      <w:pPr>
        <w:pStyle w:val="Paragraph"/>
      </w:pPr>
      <w:r w:rsidRPr="001F2F5D">
        <w:t>Guidance or express direction</w:t>
      </w:r>
      <w:r w:rsidR="005E01BF" w:rsidRPr="001F2F5D">
        <w:t>s</w:t>
      </w:r>
      <w:r w:rsidRPr="001F2F5D">
        <w:t xml:space="preserve"> from the </w:t>
      </w:r>
      <w:r w:rsidR="00BB2068" w:rsidRPr="001F2F5D">
        <w:t>m</w:t>
      </w:r>
      <w:r w:rsidRPr="001F2F5D">
        <w:t xml:space="preserve">inister may bring about a circumstance where we give effect to a specific outcome for </w:t>
      </w:r>
      <w:proofErr w:type="gramStart"/>
      <w:r w:rsidR="00E4491C" w:rsidRPr="001F2F5D">
        <w:t xml:space="preserve">particular </w:t>
      </w:r>
      <w:r w:rsidRPr="001F2F5D">
        <w:t>licence</w:t>
      </w:r>
      <w:r w:rsidR="006C442A" w:rsidRPr="001F2F5D">
        <w:t>s</w:t>
      </w:r>
      <w:proofErr w:type="gramEnd"/>
      <w:r w:rsidRPr="001F2F5D">
        <w:t xml:space="preserve">. </w:t>
      </w:r>
    </w:p>
    <w:p w14:paraId="73777D01" w14:textId="3F114DF1" w:rsidR="000A46FB" w:rsidRPr="001F2F5D" w:rsidRDefault="000A46FB" w:rsidP="000A46FB">
      <w:pPr>
        <w:pStyle w:val="Paragraph"/>
        <w:rPr>
          <w:szCs w:val="20"/>
        </w:rPr>
      </w:pPr>
      <w:r w:rsidRPr="001F2F5D">
        <w:rPr>
          <w:szCs w:val="20"/>
        </w:rPr>
        <w:t>We encourage all stakeholders to engage with the stage 2 information</w:t>
      </w:r>
      <w:r w:rsidR="00D144A7" w:rsidRPr="001F2F5D">
        <w:rPr>
          <w:szCs w:val="20"/>
        </w:rPr>
        <w:t>-</w:t>
      </w:r>
      <w:r w:rsidRPr="001F2F5D">
        <w:rPr>
          <w:szCs w:val="20"/>
        </w:rPr>
        <w:t xml:space="preserve">gathering exercise, and to frame their </w:t>
      </w:r>
      <w:r w:rsidR="00D144A7" w:rsidRPr="001F2F5D">
        <w:rPr>
          <w:szCs w:val="20"/>
        </w:rPr>
        <w:t xml:space="preserve">submissions to stage 2 </w:t>
      </w:r>
      <w:r w:rsidRPr="001F2F5D">
        <w:rPr>
          <w:szCs w:val="20"/>
        </w:rPr>
        <w:t>with reference to the public interest criteria.</w:t>
      </w:r>
    </w:p>
    <w:p w14:paraId="4A037B09" w14:textId="4AA05F62" w:rsidR="000A46FB" w:rsidRPr="001F2F5D" w:rsidRDefault="00D144A7" w:rsidP="000A46FB">
      <w:pPr>
        <w:pStyle w:val="Paragraph"/>
      </w:pPr>
      <w:r w:rsidRPr="001F2F5D">
        <w:rPr>
          <w:szCs w:val="20"/>
        </w:rPr>
        <w:t xml:space="preserve">In terms of </w:t>
      </w:r>
      <w:r w:rsidR="007E30DB" w:rsidRPr="001F2F5D">
        <w:rPr>
          <w:szCs w:val="20"/>
        </w:rPr>
        <w:t xml:space="preserve">spectrum for a national PSMB capability, we </w:t>
      </w:r>
      <w:r w:rsidR="00C4691C" w:rsidRPr="001F2F5D">
        <w:rPr>
          <w:szCs w:val="20"/>
        </w:rPr>
        <w:t xml:space="preserve">note that the development of a PSMB capability is subject to separate </w:t>
      </w:r>
      <w:r w:rsidR="00B92167" w:rsidRPr="001F2F5D">
        <w:rPr>
          <w:szCs w:val="20"/>
        </w:rPr>
        <w:t>g</w:t>
      </w:r>
      <w:r w:rsidR="00C4691C" w:rsidRPr="001F2F5D">
        <w:rPr>
          <w:szCs w:val="20"/>
        </w:rPr>
        <w:t xml:space="preserve">overnment considerations. </w:t>
      </w:r>
      <w:r w:rsidR="0088461F" w:rsidRPr="001F2F5D">
        <w:t xml:space="preserve">The </w:t>
      </w:r>
      <w:r w:rsidR="00A33551" w:rsidRPr="001F2F5D">
        <w:t xml:space="preserve">independent </w:t>
      </w:r>
      <w:hyperlink r:id="rId59" w:history="1">
        <w:r w:rsidR="0088461F" w:rsidRPr="001F2F5D">
          <w:rPr>
            <w:rStyle w:val="Hyperlink"/>
          </w:rPr>
          <w:t>2022 PSMB strategic review</w:t>
        </w:r>
      </w:hyperlink>
      <w:r w:rsidR="0088461F" w:rsidRPr="001F2F5D">
        <w:t xml:space="preserve"> made </w:t>
      </w:r>
      <w:r w:rsidR="00FC4A04" w:rsidRPr="001F2F5D">
        <w:t>findings and recommendations about paths forward for PSMB capability</w:t>
      </w:r>
      <w:r w:rsidR="0088461F" w:rsidRPr="001F2F5D">
        <w:t xml:space="preserve">. </w:t>
      </w:r>
      <w:r w:rsidR="00C4691C" w:rsidRPr="001F2F5D">
        <w:rPr>
          <w:szCs w:val="20"/>
        </w:rPr>
        <w:t xml:space="preserve">In our spectrum management work, we </w:t>
      </w:r>
      <w:r w:rsidR="00FB747A" w:rsidRPr="001F2F5D">
        <w:rPr>
          <w:szCs w:val="20"/>
        </w:rPr>
        <w:t>wil</w:t>
      </w:r>
      <w:r w:rsidR="00023F38" w:rsidRPr="001F2F5D">
        <w:rPr>
          <w:szCs w:val="20"/>
        </w:rPr>
        <w:t>l</w:t>
      </w:r>
      <w:r w:rsidR="007E30DB" w:rsidRPr="001F2F5D">
        <w:rPr>
          <w:szCs w:val="20"/>
        </w:rPr>
        <w:t xml:space="preserve"> </w:t>
      </w:r>
      <w:r w:rsidR="002000D5" w:rsidRPr="001F2F5D">
        <w:rPr>
          <w:szCs w:val="20"/>
        </w:rPr>
        <w:t xml:space="preserve">take into account relevant outcomes from </w:t>
      </w:r>
      <w:r w:rsidR="00AA1A03" w:rsidRPr="001F2F5D">
        <w:rPr>
          <w:szCs w:val="20"/>
        </w:rPr>
        <w:t xml:space="preserve">the PSMB Taskforce that was </w:t>
      </w:r>
      <w:hyperlink r:id="rId60" w:history="1">
        <w:r w:rsidR="00AA1A03" w:rsidRPr="001F2F5D">
          <w:rPr>
            <w:rStyle w:val="Hyperlink"/>
            <w:szCs w:val="20"/>
          </w:rPr>
          <w:t>established</w:t>
        </w:r>
      </w:hyperlink>
      <w:r w:rsidR="00AA1A03" w:rsidRPr="001F2F5D">
        <w:rPr>
          <w:szCs w:val="20"/>
        </w:rPr>
        <w:t xml:space="preserve"> in September 2023</w:t>
      </w:r>
      <w:r w:rsidR="002000D5" w:rsidRPr="001F2F5D">
        <w:rPr>
          <w:szCs w:val="20"/>
        </w:rPr>
        <w:t xml:space="preserve">. </w:t>
      </w:r>
      <w:r w:rsidR="005C03F9" w:rsidRPr="001F2F5D">
        <w:rPr>
          <w:szCs w:val="20"/>
        </w:rPr>
        <w:t xml:space="preserve">We note that there is an existing reservation of </w:t>
      </w:r>
      <w:r w:rsidR="00AA3B2B" w:rsidRPr="001F2F5D">
        <w:rPr>
          <w:szCs w:val="20"/>
        </w:rPr>
        <w:t>2</w:t>
      </w:r>
      <w:r w:rsidR="00EF5A40" w:rsidRPr="001F2F5D">
        <w:rPr>
          <w:szCs w:val="20"/>
        </w:rPr>
        <w:t xml:space="preserve"> </w:t>
      </w:r>
      <w:r w:rsidR="00AA3B2B" w:rsidRPr="001F2F5D">
        <w:rPr>
          <w:szCs w:val="20"/>
        </w:rPr>
        <w:t>x</w:t>
      </w:r>
      <w:r w:rsidR="00EF5A40" w:rsidRPr="001F2F5D">
        <w:rPr>
          <w:szCs w:val="20"/>
        </w:rPr>
        <w:t xml:space="preserve"> </w:t>
      </w:r>
      <w:r w:rsidR="00AA3B2B" w:rsidRPr="001F2F5D">
        <w:rPr>
          <w:szCs w:val="20"/>
        </w:rPr>
        <w:t xml:space="preserve">5 MHz of spectrum </w:t>
      </w:r>
      <w:r w:rsidR="005C03F9" w:rsidRPr="001F2F5D">
        <w:rPr>
          <w:szCs w:val="20"/>
        </w:rPr>
        <w:t>for PSMB</w:t>
      </w:r>
      <w:r w:rsidR="009E7905" w:rsidRPr="001F2F5D">
        <w:rPr>
          <w:szCs w:val="20"/>
        </w:rPr>
        <w:t xml:space="preserve"> </w:t>
      </w:r>
      <w:r w:rsidR="00AA3B2B" w:rsidRPr="001F2F5D">
        <w:rPr>
          <w:szCs w:val="20"/>
        </w:rPr>
        <w:t>in the 850 MHz band</w:t>
      </w:r>
      <w:r w:rsidR="009E7905" w:rsidRPr="001F2F5D">
        <w:rPr>
          <w:szCs w:val="20"/>
        </w:rPr>
        <w:t>.</w:t>
      </w:r>
      <w:r w:rsidR="005C03F9" w:rsidRPr="001F2F5D">
        <w:rPr>
          <w:szCs w:val="20"/>
        </w:rPr>
        <w:t xml:space="preserve"> </w:t>
      </w:r>
      <w:r w:rsidR="00CF63A1" w:rsidRPr="001F2F5D">
        <w:t xml:space="preserve">Noting these separate </w:t>
      </w:r>
      <w:r w:rsidR="0037367D" w:rsidRPr="001F2F5D">
        <w:t>g</w:t>
      </w:r>
      <w:r w:rsidR="00CF63A1" w:rsidRPr="001F2F5D">
        <w:t xml:space="preserve">overnment mechanisms </w:t>
      </w:r>
      <w:r w:rsidR="00635978" w:rsidRPr="001F2F5D">
        <w:t xml:space="preserve">for furthering PSMB outcomes, </w:t>
      </w:r>
      <w:r w:rsidR="00FC4A04" w:rsidRPr="001F2F5D">
        <w:t xml:space="preserve">we </w:t>
      </w:r>
      <w:r w:rsidR="00331738" w:rsidRPr="001F2F5D">
        <w:t xml:space="preserve">are not contemplating specific inclusion of PSMB outcomes in the </w:t>
      </w:r>
      <w:r w:rsidR="00A544B2" w:rsidRPr="001F2F5D">
        <w:t xml:space="preserve">ESL policy and decision-making framework. </w:t>
      </w:r>
      <w:r w:rsidR="00331738" w:rsidRPr="001F2F5D">
        <w:t>However</w:t>
      </w:r>
      <w:r w:rsidR="00A544B2" w:rsidRPr="001F2F5D">
        <w:t xml:space="preserve">, </w:t>
      </w:r>
      <w:r w:rsidR="00F474C0" w:rsidRPr="001F2F5D">
        <w:t xml:space="preserve">our framework in general, and criterion </w:t>
      </w:r>
      <w:proofErr w:type="gramStart"/>
      <w:r w:rsidR="00F474C0" w:rsidRPr="001F2F5D">
        <w:t>4 in particular, have</w:t>
      </w:r>
      <w:proofErr w:type="gramEnd"/>
      <w:r w:rsidR="00F474C0" w:rsidRPr="001F2F5D">
        <w:t xml:space="preserve"> been designed to </w:t>
      </w:r>
      <w:r w:rsidR="00D44392" w:rsidRPr="001F2F5D">
        <w:t>allow us and stakeholders to</w:t>
      </w:r>
      <w:r w:rsidR="00620AD2" w:rsidRPr="001F2F5D">
        <w:t xml:space="preserve"> engage with </w:t>
      </w:r>
      <w:r w:rsidR="00A544B2" w:rsidRPr="001F2F5D">
        <w:t>public safety</w:t>
      </w:r>
      <w:r w:rsidR="003F3801" w:rsidRPr="001F2F5D">
        <w:t xml:space="preserve"> and similar public-interest considerations</w:t>
      </w:r>
      <w:r w:rsidR="00D44392" w:rsidRPr="001F2F5D">
        <w:t>, and the ways in which spectrum can support them.</w:t>
      </w:r>
      <w:r w:rsidR="00331738" w:rsidRPr="001F2F5D">
        <w:t xml:space="preserve"> </w:t>
      </w:r>
    </w:p>
    <w:p w14:paraId="0293E2DD" w14:textId="1E30591E" w:rsidR="000A46FB" w:rsidRPr="001F2F5D" w:rsidRDefault="000A46FB" w:rsidP="000A46FB">
      <w:pPr>
        <w:pStyle w:val="Heading2"/>
      </w:pPr>
      <w:bookmarkStart w:id="37" w:name="_Toc153795074"/>
      <w:bookmarkStart w:id="38" w:name="_Toc149065119"/>
      <w:r w:rsidRPr="001F2F5D">
        <w:t>Public interest criteria</w:t>
      </w:r>
      <w:bookmarkEnd w:id="37"/>
      <w:r w:rsidRPr="001F2F5D">
        <w:t xml:space="preserve"> </w:t>
      </w:r>
      <w:bookmarkEnd w:id="38"/>
    </w:p>
    <w:p w14:paraId="7E72DC8C" w14:textId="559EF141" w:rsidR="000A46FB" w:rsidRPr="001F2F5D" w:rsidRDefault="000A46FB" w:rsidP="000A46FB">
      <w:pPr>
        <w:pStyle w:val="Paragraph"/>
      </w:pPr>
      <w:r w:rsidRPr="001F2F5D">
        <w:t>The public interest criteria will underpin the broader policy and decision-making framework in which we</w:t>
      </w:r>
      <w:r w:rsidR="0012166F" w:rsidRPr="001F2F5D">
        <w:t xml:space="preserve"> will</w:t>
      </w:r>
      <w:r w:rsidRPr="001F2F5D">
        <w:t xml:space="preserve"> develop preliminary</w:t>
      </w:r>
      <w:r w:rsidR="008D0E9D" w:rsidRPr="001F2F5D">
        <w:t xml:space="preserve"> and preferred</w:t>
      </w:r>
      <w:r w:rsidRPr="001F2F5D">
        <w:t xml:space="preserve"> views and consider applications for renewal</w:t>
      </w:r>
      <w:r w:rsidR="0012166F" w:rsidRPr="001F2F5D">
        <w:t xml:space="preserve"> (</w:t>
      </w:r>
      <w:r w:rsidRPr="001F2F5D">
        <w:t>and</w:t>
      </w:r>
      <w:r w:rsidR="00D267B0" w:rsidRPr="001F2F5D">
        <w:t>, where relevant,</w:t>
      </w:r>
      <w:r w:rsidRPr="001F2F5D">
        <w:t xml:space="preserve"> licence term</w:t>
      </w:r>
      <w:r w:rsidR="0012166F" w:rsidRPr="001F2F5D">
        <w:t>s of 10 or more years)</w:t>
      </w:r>
      <w:r w:rsidRPr="001F2F5D">
        <w:t xml:space="preserve">. </w:t>
      </w:r>
    </w:p>
    <w:p w14:paraId="1783E3C5" w14:textId="0A0C60EC" w:rsidR="000A46FB" w:rsidRPr="001F2F5D" w:rsidRDefault="006459D7" w:rsidP="000A46FB">
      <w:pPr>
        <w:pStyle w:val="Paragraph"/>
      </w:pPr>
      <w:r w:rsidRPr="001F2F5D">
        <w:t>F</w:t>
      </w:r>
      <w:r w:rsidR="000A46FB" w:rsidRPr="001F2F5D">
        <w:t xml:space="preserve">urther summaries of submissions and remarks </w:t>
      </w:r>
      <w:r w:rsidRPr="001F2F5D">
        <w:t xml:space="preserve">are provided </w:t>
      </w:r>
      <w:r w:rsidR="000A46FB" w:rsidRPr="001F2F5D">
        <w:t>below.</w:t>
      </w:r>
    </w:p>
    <w:p w14:paraId="39C5BF2E" w14:textId="77777777" w:rsidR="000A46FB" w:rsidRPr="001F2F5D" w:rsidRDefault="000A46FB" w:rsidP="000A46FB">
      <w:pPr>
        <w:pStyle w:val="Heading3"/>
        <w:rPr>
          <w:rFonts w:cstheme="minorHAnsi"/>
          <w:i/>
          <w:u w:val="single"/>
        </w:rPr>
      </w:pPr>
      <w:bookmarkStart w:id="39" w:name="_Toc149065120"/>
      <w:r w:rsidRPr="001F2F5D">
        <w:t xml:space="preserve">What stakeholders told </w:t>
      </w:r>
      <w:proofErr w:type="gramStart"/>
      <w:r w:rsidRPr="001F2F5D">
        <w:t>us</w:t>
      </w:r>
      <w:bookmarkEnd w:id="39"/>
      <w:proofErr w:type="gramEnd"/>
    </w:p>
    <w:p w14:paraId="72440D8B" w14:textId="77777777" w:rsidR="000A46FB" w:rsidRPr="001F2F5D" w:rsidRDefault="000A46FB" w:rsidP="000A46FB">
      <w:pPr>
        <w:pStyle w:val="Paragraph"/>
      </w:pPr>
      <w:r w:rsidRPr="001F2F5D">
        <w:t xml:space="preserve">Stakeholders were, on the whole, supportive of the proposed public interest criteria. </w:t>
      </w:r>
    </w:p>
    <w:p w14:paraId="37C8726D" w14:textId="20CB19C7" w:rsidR="000A46FB" w:rsidRPr="001F2F5D" w:rsidRDefault="000A46FB" w:rsidP="000A46FB">
      <w:pPr>
        <w:pStyle w:val="Paragraph"/>
        <w:rPr>
          <w:szCs w:val="20"/>
        </w:rPr>
      </w:pPr>
      <w:r w:rsidRPr="001F2F5D">
        <w:rPr>
          <w:szCs w:val="20"/>
        </w:rPr>
        <w:t xml:space="preserve">Some stakeholders observed that </w:t>
      </w:r>
      <w:r w:rsidR="00FB723D" w:rsidRPr="001F2F5D">
        <w:rPr>
          <w:szCs w:val="20"/>
        </w:rPr>
        <w:t xml:space="preserve">some </w:t>
      </w:r>
      <w:r w:rsidRPr="001F2F5D">
        <w:rPr>
          <w:szCs w:val="20"/>
        </w:rPr>
        <w:t>of the proposed criteria overlap</w:t>
      </w:r>
      <w:r w:rsidR="00EC6CE5" w:rsidRPr="001F2F5D">
        <w:rPr>
          <w:szCs w:val="20"/>
        </w:rPr>
        <w:t>ped</w:t>
      </w:r>
      <w:r w:rsidRPr="001F2F5D">
        <w:rPr>
          <w:szCs w:val="20"/>
        </w:rPr>
        <w:t xml:space="preserve">, and </w:t>
      </w:r>
      <w:r w:rsidRPr="001F2F5D">
        <w:t xml:space="preserve">offered views </w:t>
      </w:r>
      <w:r w:rsidR="00D267B0" w:rsidRPr="001F2F5D">
        <w:t xml:space="preserve">on </w:t>
      </w:r>
      <w:r w:rsidR="000A1925" w:rsidRPr="001F2F5D">
        <w:t xml:space="preserve">how </w:t>
      </w:r>
      <w:r w:rsidRPr="001F2F5D">
        <w:t>certain criteria could be merged or adjusted. One stakeholder took the view that criteria 1</w:t>
      </w:r>
      <w:r w:rsidR="000B6D26" w:rsidRPr="001F2F5D">
        <w:t xml:space="preserve"> to </w:t>
      </w:r>
      <w:r w:rsidRPr="001F2F5D">
        <w:t xml:space="preserve">3 were mutually </w:t>
      </w:r>
      <w:proofErr w:type="gramStart"/>
      <w:r w:rsidRPr="001F2F5D">
        <w:t>reinforcing</w:t>
      </w:r>
      <w:r w:rsidR="00CE319F" w:rsidRPr="001F2F5D">
        <w:t>, but</w:t>
      </w:r>
      <w:proofErr w:type="gramEnd"/>
      <w:r w:rsidR="00CE319F" w:rsidRPr="001F2F5D">
        <w:t xml:space="preserve"> </w:t>
      </w:r>
      <w:r w:rsidR="00904D49" w:rsidRPr="001F2F5D">
        <w:t>noted that</w:t>
      </w:r>
      <w:r w:rsidRPr="001F2F5D">
        <w:t xml:space="preserve"> enhancing competition </w:t>
      </w:r>
      <w:r w:rsidRPr="001F2F5D">
        <w:rPr>
          <w:szCs w:val="20"/>
        </w:rPr>
        <w:t xml:space="preserve">would </w:t>
      </w:r>
      <w:r w:rsidRPr="001F2F5D">
        <w:rPr>
          <w:rStyle w:val="normaltextrun"/>
          <w:color w:val="000000"/>
          <w:szCs w:val="20"/>
          <w:shd w:val="clear" w:color="auto" w:fill="FFFFFF"/>
        </w:rPr>
        <w:t>ultimately lead to improvement of efficiency, as well as investment and innovation.</w:t>
      </w:r>
    </w:p>
    <w:p w14:paraId="1FDA8CDA" w14:textId="1C87B568" w:rsidR="000A46FB" w:rsidRPr="001F2F5D" w:rsidRDefault="000A46FB" w:rsidP="000A46FB">
      <w:pPr>
        <w:pStyle w:val="Paragraph"/>
        <w:rPr>
          <w:szCs w:val="20"/>
        </w:rPr>
      </w:pPr>
      <w:r w:rsidRPr="001F2F5D">
        <w:rPr>
          <w:szCs w:val="20"/>
        </w:rPr>
        <w:t xml:space="preserve">Some submissions </w:t>
      </w:r>
      <w:r w:rsidR="00912648" w:rsidRPr="001F2F5D">
        <w:rPr>
          <w:szCs w:val="20"/>
        </w:rPr>
        <w:t>conveyed</w:t>
      </w:r>
      <w:r w:rsidRPr="001F2F5D">
        <w:rPr>
          <w:szCs w:val="20"/>
        </w:rPr>
        <w:t xml:space="preserve"> that there should be additional criteria. One stakeholder submitted that </w:t>
      </w:r>
      <w:r w:rsidR="004E2CC1" w:rsidRPr="001F2F5D">
        <w:rPr>
          <w:szCs w:val="20"/>
        </w:rPr>
        <w:t>‘</w:t>
      </w:r>
      <w:r w:rsidRPr="001F2F5D">
        <w:rPr>
          <w:szCs w:val="20"/>
        </w:rPr>
        <w:t>Appropriate rate of return to the community</w:t>
      </w:r>
      <w:r w:rsidR="004E2CC1" w:rsidRPr="001F2F5D">
        <w:rPr>
          <w:szCs w:val="20"/>
        </w:rPr>
        <w:t>’</w:t>
      </w:r>
      <w:r w:rsidRPr="001F2F5D">
        <w:rPr>
          <w:szCs w:val="20"/>
        </w:rPr>
        <w:t xml:space="preserve"> should be a criterion, as this featured in the previous ESL process</w:t>
      </w:r>
      <w:r w:rsidR="00031FA8" w:rsidRPr="001F2F5D">
        <w:rPr>
          <w:szCs w:val="20"/>
        </w:rPr>
        <w:t>,</w:t>
      </w:r>
      <w:r w:rsidRPr="001F2F5D">
        <w:rPr>
          <w:szCs w:val="20"/>
        </w:rPr>
        <w:t xml:space="preserve"> and was used</w:t>
      </w:r>
      <w:r w:rsidR="006A25EE" w:rsidRPr="001F2F5D">
        <w:rPr>
          <w:szCs w:val="20"/>
        </w:rPr>
        <w:t xml:space="preserve"> to</w:t>
      </w:r>
      <w:r w:rsidRPr="001F2F5D">
        <w:rPr>
          <w:szCs w:val="20"/>
        </w:rPr>
        <w:t xml:space="preserve"> inform decisions about pricing. Another stakeholder submitted that </w:t>
      </w:r>
      <w:r w:rsidR="00031FA8" w:rsidRPr="001F2F5D">
        <w:rPr>
          <w:szCs w:val="20"/>
        </w:rPr>
        <w:t>‘p</w:t>
      </w:r>
      <w:r w:rsidRPr="001F2F5D">
        <w:rPr>
          <w:szCs w:val="20"/>
        </w:rPr>
        <w:t>ublic safety</w:t>
      </w:r>
      <w:r w:rsidR="00031FA8" w:rsidRPr="001F2F5D">
        <w:rPr>
          <w:szCs w:val="20"/>
        </w:rPr>
        <w:t>’</w:t>
      </w:r>
      <w:r w:rsidRPr="001F2F5D">
        <w:rPr>
          <w:szCs w:val="20"/>
        </w:rPr>
        <w:t xml:space="preserve"> should be a </w:t>
      </w:r>
      <w:proofErr w:type="gramStart"/>
      <w:r w:rsidRPr="001F2F5D">
        <w:rPr>
          <w:szCs w:val="20"/>
        </w:rPr>
        <w:t>criterion, and</w:t>
      </w:r>
      <w:proofErr w:type="gramEnd"/>
      <w:r w:rsidRPr="001F2F5D">
        <w:rPr>
          <w:szCs w:val="20"/>
        </w:rPr>
        <w:t xml:space="preserve"> should also be the primary criterion used to evaluate the public interest. Another stakeholder supported inclusion of an additional criterion, </w:t>
      </w:r>
      <w:r w:rsidR="00031FA8" w:rsidRPr="001F2F5D">
        <w:rPr>
          <w:szCs w:val="20"/>
        </w:rPr>
        <w:t>‘</w:t>
      </w:r>
      <w:r w:rsidRPr="001F2F5D">
        <w:rPr>
          <w:szCs w:val="20"/>
        </w:rPr>
        <w:t>non-monetary benefits</w:t>
      </w:r>
      <w:r w:rsidR="0063156F" w:rsidRPr="001F2F5D">
        <w:rPr>
          <w:szCs w:val="20"/>
        </w:rPr>
        <w:t>,</w:t>
      </w:r>
      <w:r w:rsidR="00031FA8" w:rsidRPr="001F2F5D">
        <w:rPr>
          <w:szCs w:val="20"/>
        </w:rPr>
        <w:t>’</w:t>
      </w:r>
      <w:r w:rsidR="0063156F" w:rsidRPr="001F2F5D">
        <w:rPr>
          <w:szCs w:val="20"/>
        </w:rPr>
        <w:t xml:space="preserve"> and other stakeholders</w:t>
      </w:r>
      <w:r w:rsidRPr="001F2F5D">
        <w:rPr>
          <w:szCs w:val="20"/>
        </w:rPr>
        <w:t xml:space="preserve"> submitted that the criteria should be expanded to include relevant policy priorities</w:t>
      </w:r>
      <w:r w:rsidR="00BE5B96" w:rsidRPr="001F2F5D">
        <w:rPr>
          <w:szCs w:val="20"/>
        </w:rPr>
        <w:t>, some of which were</w:t>
      </w:r>
      <w:r w:rsidRPr="001F2F5D">
        <w:rPr>
          <w:szCs w:val="20"/>
        </w:rPr>
        <w:t xml:space="preserve"> outside the communications portfolio</w:t>
      </w:r>
      <w:r w:rsidR="00BE5B96" w:rsidRPr="001F2F5D">
        <w:rPr>
          <w:szCs w:val="20"/>
        </w:rPr>
        <w:t>.</w:t>
      </w:r>
    </w:p>
    <w:p w14:paraId="1E5A4517" w14:textId="0DC7FF43" w:rsidR="000A46FB" w:rsidRPr="001F2F5D" w:rsidRDefault="000A46FB" w:rsidP="000A46FB">
      <w:pPr>
        <w:pStyle w:val="Paragraph"/>
        <w:rPr>
          <w:szCs w:val="20"/>
        </w:rPr>
      </w:pPr>
      <w:r w:rsidRPr="001F2F5D">
        <w:rPr>
          <w:szCs w:val="20"/>
        </w:rPr>
        <w:lastRenderedPageBreak/>
        <w:t>Rail users express</w:t>
      </w:r>
      <w:r w:rsidR="00A51408" w:rsidRPr="001F2F5D">
        <w:rPr>
          <w:szCs w:val="20"/>
        </w:rPr>
        <w:t>ed</w:t>
      </w:r>
      <w:r w:rsidRPr="001F2F5D">
        <w:rPr>
          <w:szCs w:val="20"/>
        </w:rPr>
        <w:t xml:space="preserve"> concern</w:t>
      </w:r>
      <w:r w:rsidR="00A51408" w:rsidRPr="001F2F5D">
        <w:rPr>
          <w:szCs w:val="20"/>
        </w:rPr>
        <w:t>s about</w:t>
      </w:r>
      <w:r w:rsidRPr="001F2F5D">
        <w:rPr>
          <w:szCs w:val="20"/>
        </w:rPr>
        <w:t xml:space="preserve"> their ability to meet certain criteria, particularly around investment and efficiency, and that </w:t>
      </w:r>
      <w:r w:rsidR="004A63D9" w:rsidRPr="001F2F5D">
        <w:rPr>
          <w:szCs w:val="20"/>
        </w:rPr>
        <w:t xml:space="preserve">some </w:t>
      </w:r>
      <w:r w:rsidRPr="001F2F5D">
        <w:rPr>
          <w:szCs w:val="20"/>
        </w:rPr>
        <w:t xml:space="preserve">criteria </w:t>
      </w:r>
      <w:r w:rsidR="004A63D9" w:rsidRPr="001F2F5D">
        <w:rPr>
          <w:szCs w:val="20"/>
        </w:rPr>
        <w:t xml:space="preserve">were better suited to evaluating </w:t>
      </w:r>
      <w:r w:rsidR="00BE5B96" w:rsidRPr="001F2F5D">
        <w:rPr>
          <w:szCs w:val="20"/>
        </w:rPr>
        <w:t xml:space="preserve">wireless broadband </w:t>
      </w:r>
      <w:r w:rsidRPr="001F2F5D">
        <w:rPr>
          <w:szCs w:val="20"/>
        </w:rPr>
        <w:t>incumbent</w:t>
      </w:r>
      <w:r w:rsidR="006A108D" w:rsidRPr="001F2F5D">
        <w:rPr>
          <w:szCs w:val="20"/>
        </w:rPr>
        <w:t>s</w:t>
      </w:r>
      <w:r w:rsidRPr="001F2F5D">
        <w:rPr>
          <w:szCs w:val="20"/>
        </w:rPr>
        <w:t xml:space="preserve">. </w:t>
      </w:r>
      <w:r w:rsidR="0096772E" w:rsidRPr="001F2F5D">
        <w:rPr>
          <w:szCs w:val="20"/>
        </w:rPr>
        <w:t>T</w:t>
      </w:r>
      <w:r w:rsidRPr="001F2F5D">
        <w:rPr>
          <w:szCs w:val="20"/>
        </w:rPr>
        <w:t>hey proposed a new criterion</w:t>
      </w:r>
      <w:r w:rsidR="003A3F4D" w:rsidRPr="001F2F5D">
        <w:rPr>
          <w:szCs w:val="20"/>
        </w:rPr>
        <w:t>,</w:t>
      </w:r>
      <w:r w:rsidRPr="001F2F5D">
        <w:rPr>
          <w:szCs w:val="20"/>
        </w:rPr>
        <w:t xml:space="preserve"> whereby the ACMA should consider whether a particular use case had previously been determined (</w:t>
      </w:r>
      <w:r w:rsidR="006B20C8" w:rsidRPr="001F2F5D">
        <w:rPr>
          <w:szCs w:val="20"/>
        </w:rPr>
        <w:t>that is</w:t>
      </w:r>
      <w:r w:rsidRPr="001F2F5D">
        <w:rPr>
          <w:szCs w:val="20"/>
        </w:rPr>
        <w:t>, in the previous ESL process) to be in the public interest</w:t>
      </w:r>
      <w:r w:rsidR="00A0011A" w:rsidRPr="001F2F5D">
        <w:rPr>
          <w:szCs w:val="20"/>
        </w:rPr>
        <w:t>,</w:t>
      </w:r>
      <w:r w:rsidRPr="001F2F5D">
        <w:rPr>
          <w:szCs w:val="20"/>
        </w:rPr>
        <w:t xml:space="preserve"> and whether th</w:t>
      </w:r>
      <w:r w:rsidR="00A0011A" w:rsidRPr="001F2F5D">
        <w:rPr>
          <w:szCs w:val="20"/>
        </w:rPr>
        <w:t>at</w:t>
      </w:r>
      <w:r w:rsidRPr="001F2F5D">
        <w:rPr>
          <w:szCs w:val="20"/>
        </w:rPr>
        <w:t xml:space="preserve"> rationale was still applicable. By contrast, another stakeholder expressed the view that criterion 4, </w:t>
      </w:r>
      <w:r w:rsidR="007C4443" w:rsidRPr="001F2F5D">
        <w:rPr>
          <w:szCs w:val="20"/>
        </w:rPr>
        <w:t>‘</w:t>
      </w:r>
      <w:r w:rsidR="001F35A3" w:rsidRPr="001F2F5D">
        <w:rPr>
          <w:szCs w:val="20"/>
        </w:rPr>
        <w:t>b</w:t>
      </w:r>
      <w:r w:rsidRPr="001F2F5D">
        <w:rPr>
          <w:szCs w:val="20"/>
        </w:rPr>
        <w:t>alances public benefits and impacts</w:t>
      </w:r>
      <w:r w:rsidR="007C4443" w:rsidRPr="001F2F5D">
        <w:rPr>
          <w:szCs w:val="20"/>
        </w:rPr>
        <w:t>’</w:t>
      </w:r>
      <w:r w:rsidRPr="001F2F5D">
        <w:rPr>
          <w:szCs w:val="20"/>
        </w:rPr>
        <w:t xml:space="preserve"> </w:t>
      </w:r>
      <w:r w:rsidR="006025F6" w:rsidRPr="001F2F5D">
        <w:rPr>
          <w:szCs w:val="20"/>
        </w:rPr>
        <w:t xml:space="preserve">favours </w:t>
      </w:r>
      <w:r w:rsidRPr="001F2F5D">
        <w:rPr>
          <w:szCs w:val="20"/>
        </w:rPr>
        <w:t>‘special circumstances’ use</w:t>
      </w:r>
      <w:r w:rsidR="00BE5B96" w:rsidRPr="001F2F5D">
        <w:rPr>
          <w:szCs w:val="20"/>
        </w:rPr>
        <w:t>s</w:t>
      </w:r>
      <w:r w:rsidRPr="001F2F5D">
        <w:rPr>
          <w:szCs w:val="20"/>
        </w:rPr>
        <w:t xml:space="preserve"> </w:t>
      </w:r>
      <w:r w:rsidR="00BE5B96" w:rsidRPr="001F2F5D">
        <w:rPr>
          <w:szCs w:val="20"/>
        </w:rPr>
        <w:t xml:space="preserve">of </w:t>
      </w:r>
      <w:r w:rsidR="00F20D27" w:rsidRPr="001F2F5D">
        <w:rPr>
          <w:szCs w:val="20"/>
        </w:rPr>
        <w:t>the spectrum</w:t>
      </w:r>
      <w:r w:rsidRPr="001F2F5D">
        <w:rPr>
          <w:szCs w:val="20"/>
        </w:rPr>
        <w:t xml:space="preserve">, such as rail </w:t>
      </w:r>
      <w:r w:rsidR="00F20D27" w:rsidRPr="001F2F5D">
        <w:rPr>
          <w:szCs w:val="20"/>
        </w:rPr>
        <w:t xml:space="preserve">safety </w:t>
      </w:r>
      <w:r w:rsidRPr="001F2F5D">
        <w:rPr>
          <w:szCs w:val="20"/>
        </w:rPr>
        <w:t xml:space="preserve">and </w:t>
      </w:r>
      <w:r w:rsidR="00F20D27" w:rsidRPr="001F2F5D">
        <w:rPr>
          <w:szCs w:val="20"/>
        </w:rPr>
        <w:t xml:space="preserve">television outside </w:t>
      </w:r>
      <w:r w:rsidRPr="001F2F5D">
        <w:rPr>
          <w:szCs w:val="20"/>
        </w:rPr>
        <w:t>broadcasting.</w:t>
      </w:r>
    </w:p>
    <w:p w14:paraId="4A8D18B9" w14:textId="0FB656AE" w:rsidR="000A46FB" w:rsidRPr="001F2F5D" w:rsidRDefault="000A46FB" w:rsidP="000A46FB">
      <w:pPr>
        <w:pStyle w:val="Paragraph"/>
        <w:rPr>
          <w:szCs w:val="20"/>
        </w:rPr>
      </w:pPr>
      <w:r w:rsidRPr="001F2F5D">
        <w:rPr>
          <w:szCs w:val="20"/>
        </w:rPr>
        <w:t>Another stakeholder considered that the criteria would form a sound basis for assessments of ESLs against the public interest, but also submitted that there were additional key priorities that should be considered</w:t>
      </w:r>
      <w:r w:rsidR="00452405" w:rsidRPr="001F2F5D">
        <w:rPr>
          <w:szCs w:val="20"/>
        </w:rPr>
        <w:t xml:space="preserve"> – </w:t>
      </w:r>
      <w:r w:rsidRPr="001F2F5D">
        <w:rPr>
          <w:szCs w:val="20"/>
        </w:rPr>
        <w:t>namely, industry sustainability, service continuity, and effective risk management.</w:t>
      </w:r>
    </w:p>
    <w:p w14:paraId="4B6756AC" w14:textId="42B5B577" w:rsidR="00E730E2" w:rsidRPr="001F2F5D" w:rsidRDefault="000A46FB" w:rsidP="000A46FB">
      <w:pPr>
        <w:pStyle w:val="Paragraph"/>
        <w:rPr>
          <w:szCs w:val="20"/>
        </w:rPr>
      </w:pPr>
      <w:r w:rsidRPr="001F2F5D">
        <w:t xml:space="preserve">Many submissions expressed the view that, without elaboration, the criteria were broad, and there was a need for greater </w:t>
      </w:r>
      <w:r w:rsidRPr="001F2F5D">
        <w:rPr>
          <w:szCs w:val="20"/>
        </w:rPr>
        <w:t xml:space="preserve">clarity on how the criteria </w:t>
      </w:r>
      <w:r w:rsidR="00653227" w:rsidRPr="001F2F5D">
        <w:rPr>
          <w:szCs w:val="20"/>
        </w:rPr>
        <w:t xml:space="preserve">would </w:t>
      </w:r>
      <w:r w:rsidRPr="001F2F5D">
        <w:rPr>
          <w:szCs w:val="20"/>
        </w:rPr>
        <w:t>be practically implemented and applied to evaluate use of spectrum</w:t>
      </w:r>
      <w:r w:rsidR="00E730E2" w:rsidRPr="001F2F5D">
        <w:rPr>
          <w:szCs w:val="20"/>
        </w:rPr>
        <w:t xml:space="preserve"> and</w:t>
      </w:r>
      <w:r w:rsidRPr="001F2F5D">
        <w:rPr>
          <w:szCs w:val="20"/>
        </w:rPr>
        <w:t xml:space="preserve"> renewal applications. </w:t>
      </w:r>
    </w:p>
    <w:p w14:paraId="21FA4D25" w14:textId="522E2F8C" w:rsidR="000A46FB" w:rsidRPr="001F2F5D" w:rsidRDefault="000A46FB" w:rsidP="000A46FB">
      <w:pPr>
        <w:pStyle w:val="Paragraph"/>
        <w:rPr>
          <w:szCs w:val="20"/>
        </w:rPr>
      </w:pPr>
      <w:r w:rsidRPr="001F2F5D">
        <w:rPr>
          <w:szCs w:val="20"/>
        </w:rPr>
        <w:t xml:space="preserve">MNO stakeholders </w:t>
      </w:r>
      <w:proofErr w:type="gramStart"/>
      <w:r w:rsidRPr="001F2F5D">
        <w:rPr>
          <w:szCs w:val="20"/>
        </w:rPr>
        <w:t xml:space="preserve">in particular </w:t>
      </w:r>
      <w:r w:rsidR="00953156" w:rsidRPr="001F2F5D">
        <w:rPr>
          <w:szCs w:val="20"/>
        </w:rPr>
        <w:t>requested</w:t>
      </w:r>
      <w:proofErr w:type="gramEnd"/>
      <w:r w:rsidR="00953156" w:rsidRPr="001F2F5D">
        <w:rPr>
          <w:szCs w:val="20"/>
        </w:rPr>
        <w:t xml:space="preserve"> that</w:t>
      </w:r>
      <w:r w:rsidRPr="001F2F5D">
        <w:rPr>
          <w:szCs w:val="20"/>
        </w:rPr>
        <w:t xml:space="preserve"> the criteria be clearly defined, objective, </w:t>
      </w:r>
      <w:r w:rsidRPr="001F2F5D">
        <w:t>transparent and weighted, and that guidelines should be developed to enable them to identify how the ACMA would test an incumbent licensees’ ability to meet the criteria.</w:t>
      </w:r>
    </w:p>
    <w:p w14:paraId="1A6E596A" w14:textId="5675958B" w:rsidR="000A46FB" w:rsidRPr="001F2F5D" w:rsidRDefault="000A46FB" w:rsidP="000A46FB">
      <w:pPr>
        <w:pStyle w:val="Paragraph"/>
        <w:rPr>
          <w:szCs w:val="20"/>
        </w:rPr>
      </w:pPr>
      <w:r w:rsidRPr="001F2F5D">
        <w:rPr>
          <w:szCs w:val="20"/>
        </w:rPr>
        <w:t>One stakeholder took the view that the criteria – as well as our proposal to examine use – could be interpreted as a way</w:t>
      </w:r>
      <w:r w:rsidR="00E730E2" w:rsidRPr="001F2F5D">
        <w:rPr>
          <w:szCs w:val="20"/>
        </w:rPr>
        <w:t xml:space="preserve"> of</w:t>
      </w:r>
      <w:r w:rsidRPr="001F2F5D">
        <w:rPr>
          <w:szCs w:val="20"/>
        </w:rPr>
        <w:t xml:space="preserve"> evaluating licensees against requirements that were not contemplated on licence issue, such as service coverage.</w:t>
      </w:r>
    </w:p>
    <w:p w14:paraId="1668EA3D" w14:textId="2BF3DCE2" w:rsidR="000A46FB" w:rsidRPr="001F2F5D" w:rsidRDefault="000A46FB" w:rsidP="000A46FB">
      <w:pPr>
        <w:pStyle w:val="Paragraph"/>
        <w:rPr>
          <w:szCs w:val="20"/>
        </w:rPr>
      </w:pPr>
      <w:r w:rsidRPr="001F2F5D">
        <w:rPr>
          <w:szCs w:val="20"/>
        </w:rPr>
        <w:t xml:space="preserve">Stakeholders expressed particular interest in criterion </w:t>
      </w:r>
      <w:proofErr w:type="gramStart"/>
      <w:r w:rsidRPr="001F2F5D">
        <w:rPr>
          <w:szCs w:val="20"/>
        </w:rPr>
        <w:t>5, and</w:t>
      </w:r>
      <w:proofErr w:type="gramEnd"/>
      <w:r w:rsidRPr="001F2F5D">
        <w:rPr>
          <w:szCs w:val="20"/>
        </w:rPr>
        <w:t xml:space="preserve"> asked that we identify </w:t>
      </w:r>
      <w:r w:rsidR="00AD32C5" w:rsidRPr="001F2F5D">
        <w:rPr>
          <w:szCs w:val="20"/>
        </w:rPr>
        <w:t xml:space="preserve">relevant </w:t>
      </w:r>
      <w:r w:rsidRPr="001F2F5D">
        <w:rPr>
          <w:szCs w:val="20"/>
        </w:rPr>
        <w:t>government policies. Another submitter state</w:t>
      </w:r>
      <w:r w:rsidR="00E730E2" w:rsidRPr="001F2F5D">
        <w:rPr>
          <w:szCs w:val="20"/>
        </w:rPr>
        <w:t>d</w:t>
      </w:r>
      <w:r w:rsidR="00FC7A49" w:rsidRPr="001F2F5D">
        <w:rPr>
          <w:szCs w:val="20"/>
        </w:rPr>
        <w:t xml:space="preserve"> that</w:t>
      </w:r>
      <w:r w:rsidRPr="001F2F5D">
        <w:rPr>
          <w:szCs w:val="20"/>
        </w:rPr>
        <w:t xml:space="preserve"> the ACMA should base its decisions on the object of the Act, and not the SoE. Submissions from other stakeholders were supportive of criteria that included the policy objectives identified in the SoE, such as regional connectivity and </w:t>
      </w:r>
      <w:r w:rsidR="00C468AF" w:rsidRPr="001F2F5D">
        <w:rPr>
          <w:szCs w:val="20"/>
        </w:rPr>
        <w:t>C</w:t>
      </w:r>
      <w:r w:rsidRPr="001F2F5D">
        <w:rPr>
          <w:szCs w:val="20"/>
        </w:rPr>
        <w:t xml:space="preserve">losing the </w:t>
      </w:r>
      <w:r w:rsidR="00C468AF" w:rsidRPr="001F2F5D">
        <w:rPr>
          <w:szCs w:val="20"/>
        </w:rPr>
        <w:t>G</w:t>
      </w:r>
      <w:r w:rsidRPr="001F2F5D">
        <w:rPr>
          <w:szCs w:val="20"/>
        </w:rPr>
        <w:t>ap. There was also support</w:t>
      </w:r>
      <w:r w:rsidRPr="001F2F5D">
        <w:rPr>
          <w:rStyle w:val="normaltextrun"/>
          <w:szCs w:val="20"/>
          <w:shd w:val="clear" w:color="auto" w:fill="FFFFFF"/>
        </w:rPr>
        <w:t xml:space="preserve"> for incorporation of other government policy objectives within and outside the communications portfolio </w:t>
      </w:r>
      <w:r w:rsidR="008B5462" w:rsidRPr="001F2F5D">
        <w:rPr>
          <w:rStyle w:val="normaltextrun"/>
          <w:szCs w:val="20"/>
          <w:shd w:val="clear" w:color="auto" w:fill="FFFFFF"/>
        </w:rPr>
        <w:t xml:space="preserve">that </w:t>
      </w:r>
      <w:r w:rsidRPr="001F2F5D">
        <w:rPr>
          <w:rStyle w:val="normaltextrun"/>
          <w:szCs w:val="20"/>
          <w:shd w:val="clear" w:color="auto" w:fill="FFFFFF"/>
        </w:rPr>
        <w:t xml:space="preserve">the ACMA should </w:t>
      </w:r>
      <w:r w:rsidR="0097285A" w:rsidRPr="001F2F5D">
        <w:rPr>
          <w:rStyle w:val="normaltextrun"/>
          <w:szCs w:val="20"/>
          <w:shd w:val="clear" w:color="auto" w:fill="FFFFFF"/>
        </w:rPr>
        <w:t>consider</w:t>
      </w:r>
      <w:r w:rsidRPr="001F2F5D">
        <w:rPr>
          <w:rStyle w:val="normaltextrun"/>
          <w:szCs w:val="20"/>
          <w:shd w:val="clear" w:color="auto" w:fill="FFFFFF"/>
        </w:rPr>
        <w:t xml:space="preserve">. </w:t>
      </w:r>
    </w:p>
    <w:p w14:paraId="51EED883" w14:textId="77777777" w:rsidR="000A46FB" w:rsidRPr="001F2F5D" w:rsidRDefault="000A46FB" w:rsidP="000A46FB">
      <w:pPr>
        <w:pStyle w:val="Heading3"/>
      </w:pPr>
      <w:bookmarkStart w:id="40" w:name="_Toc149065121"/>
      <w:r w:rsidRPr="001F2F5D">
        <w:t>Our response</w:t>
      </w:r>
      <w:bookmarkEnd w:id="40"/>
    </w:p>
    <w:p w14:paraId="52F4F5D3" w14:textId="5835F0BC" w:rsidR="000A46FB" w:rsidRPr="001F2F5D" w:rsidRDefault="007318F0" w:rsidP="000A46FB">
      <w:pPr>
        <w:pStyle w:val="Paragraph"/>
      </w:pPr>
      <w:r w:rsidRPr="001F2F5D">
        <w:t>In this paper</w:t>
      </w:r>
      <w:r w:rsidR="00DE1F93" w:rsidRPr="001F2F5D">
        <w:t>,</w:t>
      </w:r>
      <w:r w:rsidRPr="001F2F5D">
        <w:t xml:space="preserve"> w</w:t>
      </w:r>
      <w:r w:rsidR="000A46FB" w:rsidRPr="001F2F5D">
        <w:t xml:space="preserve">e </w:t>
      </w:r>
      <w:r w:rsidR="00747F87" w:rsidRPr="001F2F5D">
        <w:t>affirm and expand on</w:t>
      </w:r>
      <w:r w:rsidR="000A46FB" w:rsidRPr="001F2F5D">
        <w:t xml:space="preserve"> the criteria, and clarify how they are intended to operate – not as a test, but as an overall policy and decision-making framework. </w:t>
      </w:r>
    </w:p>
    <w:p w14:paraId="1A87907F" w14:textId="45BDE809" w:rsidR="000A46FB" w:rsidRPr="001F2F5D" w:rsidRDefault="000A46FB" w:rsidP="000A46FB">
      <w:pPr>
        <w:pStyle w:val="Paragraph"/>
      </w:pPr>
      <w:r w:rsidRPr="001F2F5D">
        <w:t>In response to stakeholder views, we have offered additional commentary</w:t>
      </w:r>
      <w:r w:rsidR="004C19B4" w:rsidRPr="001F2F5D">
        <w:t xml:space="preserve"> and</w:t>
      </w:r>
      <w:r w:rsidRPr="001F2F5D">
        <w:t xml:space="preserve"> reference points for the criteria</w:t>
      </w:r>
      <w:r w:rsidR="004D3982" w:rsidRPr="001F2F5D">
        <w:t>. O</w:t>
      </w:r>
      <w:r w:rsidRPr="001F2F5D">
        <w:t>n balance, we</w:t>
      </w:r>
      <w:r w:rsidRPr="001F2F5D" w:rsidDel="00950344">
        <w:t xml:space="preserve"> </w:t>
      </w:r>
      <w:r w:rsidR="00950344" w:rsidRPr="001F2F5D">
        <w:t xml:space="preserve">consider </w:t>
      </w:r>
      <w:r w:rsidRPr="001F2F5D">
        <w:t xml:space="preserve">that certain </w:t>
      </w:r>
      <w:r w:rsidR="00F20D27" w:rsidRPr="001F2F5D">
        <w:t xml:space="preserve">spectrum uses and </w:t>
      </w:r>
      <w:r w:rsidRPr="001F2F5D">
        <w:t>use cases will interact with one or more criteri</w:t>
      </w:r>
      <w:r w:rsidR="009F600F" w:rsidRPr="001F2F5D">
        <w:t>on</w:t>
      </w:r>
      <w:r w:rsidRPr="001F2F5D">
        <w:t xml:space="preserve"> in a unique way, and that this will influence how </w:t>
      </w:r>
      <w:r w:rsidR="008F7E8C" w:rsidRPr="001F2F5D">
        <w:t xml:space="preserve">that use </w:t>
      </w:r>
      <w:r w:rsidR="003F2EC8" w:rsidRPr="001F2F5D">
        <w:t xml:space="preserve">or </w:t>
      </w:r>
      <w:r w:rsidR="008F7E8C" w:rsidRPr="001F2F5D">
        <w:t>use case</w:t>
      </w:r>
      <w:r w:rsidRPr="001F2F5D">
        <w:t xml:space="preserve"> fulfils</w:t>
      </w:r>
      <w:r w:rsidR="00680CC2" w:rsidRPr="001F2F5D">
        <w:t>,</w:t>
      </w:r>
      <w:r w:rsidRPr="001F2F5D">
        <w:t xml:space="preserve"> to a greater or lesser extent</w:t>
      </w:r>
      <w:r w:rsidR="00680CC2" w:rsidRPr="001F2F5D">
        <w:t>,</w:t>
      </w:r>
      <w:r w:rsidRPr="001F2F5D">
        <w:t xml:space="preserve"> another criterion. We do not consider this to be a weakness of in the criteria; rather, it will mean that the overall framework will have some </w:t>
      </w:r>
      <w:r w:rsidR="00DC7000" w:rsidRPr="001F2F5D">
        <w:t xml:space="preserve">flexibility in </w:t>
      </w:r>
      <w:r w:rsidRPr="001F2F5D">
        <w:t>how options for the spectrum, and for individual licences, are considered and weighed.</w:t>
      </w:r>
    </w:p>
    <w:p w14:paraId="766D954A" w14:textId="50054404" w:rsidR="008B1342" w:rsidRPr="001F2F5D" w:rsidRDefault="000A46FB" w:rsidP="008B1342">
      <w:pPr>
        <w:pStyle w:val="Paragraph"/>
      </w:pPr>
      <w:r w:rsidRPr="001F2F5D">
        <w:t>We consider the additional criteria put forward by stakeholders are sufficien</w:t>
      </w:r>
      <w:r w:rsidR="00CD6995" w:rsidRPr="001F2F5D">
        <w:t>tl</w:t>
      </w:r>
      <w:r w:rsidRPr="001F2F5D">
        <w:t>y provided for in the existing criteria</w:t>
      </w:r>
      <w:r w:rsidR="00124BA7" w:rsidRPr="001F2F5D">
        <w:t>.</w:t>
      </w:r>
      <w:r w:rsidR="00915403" w:rsidRPr="001F2F5D">
        <w:t xml:space="preserve"> </w:t>
      </w:r>
      <w:r w:rsidR="008B1342" w:rsidRPr="001F2F5D">
        <w:t xml:space="preserve">For example, </w:t>
      </w:r>
      <w:r w:rsidR="00452F14" w:rsidRPr="001F2F5D">
        <w:t>the benefits of non-commercial services</w:t>
      </w:r>
      <w:r w:rsidR="00FD1BF6" w:rsidRPr="001F2F5D">
        <w:t xml:space="preserve"> (including public safety)</w:t>
      </w:r>
      <w:r w:rsidR="00452F14" w:rsidRPr="001F2F5D">
        <w:t xml:space="preserve">, </w:t>
      </w:r>
      <w:r w:rsidR="00452F14" w:rsidRPr="001F2F5D">
        <w:rPr>
          <w:szCs w:val="20"/>
        </w:rPr>
        <w:t>industry sustainability, service continuity, and effective risk management are provided for by the fourth criterion</w:t>
      </w:r>
      <w:r w:rsidR="00207CC3" w:rsidRPr="001F2F5D">
        <w:rPr>
          <w:szCs w:val="20"/>
        </w:rPr>
        <w:t xml:space="preserve">, which would also allow us to consider </w:t>
      </w:r>
      <w:r w:rsidR="00FD1BF6" w:rsidRPr="001F2F5D">
        <w:rPr>
          <w:rStyle w:val="normaltextrun"/>
          <w:szCs w:val="20"/>
          <w:shd w:val="clear" w:color="auto" w:fill="FFFFFF"/>
        </w:rPr>
        <w:t>policy objectives within and outside the communications portfolio as relevant.</w:t>
      </w:r>
    </w:p>
    <w:p w14:paraId="5DBF20BE" w14:textId="65268850" w:rsidR="000A46FB" w:rsidRPr="001F2F5D" w:rsidRDefault="008F5215" w:rsidP="000A46FB">
      <w:pPr>
        <w:pStyle w:val="Paragraph"/>
      </w:pPr>
      <w:r w:rsidRPr="001F2F5D">
        <w:t xml:space="preserve">Creating </w:t>
      </w:r>
      <w:r w:rsidR="00124BA7" w:rsidRPr="001F2F5D">
        <w:t xml:space="preserve">new criteria </w:t>
      </w:r>
      <w:r w:rsidR="008F7EB6" w:rsidRPr="001F2F5D">
        <w:t>as suggested</w:t>
      </w:r>
      <w:r w:rsidR="00124BA7" w:rsidRPr="001F2F5D">
        <w:t xml:space="preserve"> by stakeholder</w:t>
      </w:r>
      <w:r w:rsidR="00C14DD5" w:rsidRPr="001F2F5D">
        <w:t xml:space="preserve">s </w:t>
      </w:r>
      <w:r w:rsidR="000A46FB" w:rsidRPr="001F2F5D">
        <w:t>could unduly orient the framework in favour of certain outcomes.</w:t>
      </w:r>
      <w:r w:rsidR="00EB1CB3" w:rsidRPr="001F2F5D">
        <w:t xml:space="preserve"> Similarly, </w:t>
      </w:r>
      <w:proofErr w:type="gramStart"/>
      <w:r w:rsidR="00EB1CB3" w:rsidRPr="001F2F5D">
        <w:t>according</w:t>
      </w:r>
      <w:proofErr w:type="gramEnd"/>
      <w:r w:rsidR="000A46FB" w:rsidRPr="001F2F5D">
        <w:t xml:space="preserve"> particular weightings to </w:t>
      </w:r>
      <w:r w:rsidR="00EB1CB3" w:rsidRPr="001F2F5D">
        <w:t>the</w:t>
      </w:r>
      <w:r w:rsidR="00C55176" w:rsidRPr="001F2F5D">
        <w:t xml:space="preserve"> </w:t>
      </w:r>
      <w:r w:rsidR="000A46FB" w:rsidRPr="001F2F5D">
        <w:t xml:space="preserve">criteria </w:t>
      </w:r>
      <w:r w:rsidR="00EB1CB3" w:rsidRPr="001F2F5D">
        <w:lastRenderedPageBreak/>
        <w:t xml:space="preserve">would likely </w:t>
      </w:r>
      <w:r w:rsidR="000A46FB" w:rsidRPr="001F2F5D">
        <w:t>make the criteria under-</w:t>
      </w:r>
      <w:r w:rsidR="00A23214" w:rsidRPr="001F2F5D">
        <w:t xml:space="preserve"> </w:t>
      </w:r>
      <w:r w:rsidR="00400A96" w:rsidRPr="001F2F5D">
        <w:t>or over-</w:t>
      </w:r>
      <w:r w:rsidR="000A46FB" w:rsidRPr="001F2F5D">
        <w:t xml:space="preserve">inclusive, limiting their utility in assessing the overall public </w:t>
      </w:r>
      <w:r w:rsidR="0045213A" w:rsidRPr="001F2F5D">
        <w:t>interest</w:t>
      </w:r>
      <w:r w:rsidR="000A46FB" w:rsidRPr="001F2F5D">
        <w:t>.</w:t>
      </w:r>
    </w:p>
    <w:p w14:paraId="0857F33E" w14:textId="123353A8" w:rsidR="000A46FB" w:rsidRPr="001F2F5D" w:rsidRDefault="00B82343" w:rsidP="000A46FB">
      <w:pPr>
        <w:pStyle w:val="Paragraph"/>
      </w:pPr>
      <w:r w:rsidRPr="001F2F5D">
        <w:t>In terms of</w:t>
      </w:r>
      <w:r w:rsidR="000A46FB" w:rsidRPr="001F2F5D">
        <w:t xml:space="preserve"> the </w:t>
      </w:r>
      <w:r w:rsidR="003F0DF0" w:rsidRPr="001F2F5D">
        <w:t xml:space="preserve">view that </w:t>
      </w:r>
      <w:r w:rsidR="000A46FB" w:rsidRPr="001F2F5D">
        <w:t>application of the criteria</w:t>
      </w:r>
      <w:r w:rsidR="002B0FD1" w:rsidRPr="001F2F5D">
        <w:t>,</w:t>
      </w:r>
      <w:r w:rsidR="000A46FB" w:rsidRPr="001F2F5D">
        <w:t xml:space="preserve"> and our examination of use</w:t>
      </w:r>
      <w:r w:rsidR="002B0FD1" w:rsidRPr="001F2F5D">
        <w:t xml:space="preserve">, </w:t>
      </w:r>
      <w:r w:rsidR="000A46FB" w:rsidRPr="001F2F5D">
        <w:t xml:space="preserve">could assess licences against requirements or outcomes </w:t>
      </w:r>
      <w:r w:rsidR="008F6A3B" w:rsidRPr="001F2F5D">
        <w:t xml:space="preserve">that </w:t>
      </w:r>
      <w:r w:rsidR="000A46FB" w:rsidRPr="001F2F5D">
        <w:t xml:space="preserve">were not envisaged when licences were allocated, we clarify that, while spectrum licences are not typically issued with any kind of obligation attached, they are allocated consistent with our broader spectrum management framework </w:t>
      </w:r>
      <w:r w:rsidR="005C050D" w:rsidRPr="001F2F5D">
        <w:t xml:space="preserve">and </w:t>
      </w:r>
      <w:r w:rsidR="000A46FB" w:rsidRPr="001F2F5D">
        <w:t>our administration of the spectrum in accordance with the object of the Act</w:t>
      </w:r>
      <w:r w:rsidR="004E643D" w:rsidRPr="001F2F5D">
        <w:t>.</w:t>
      </w:r>
      <w:r w:rsidR="000A46FB" w:rsidRPr="001F2F5D">
        <w:t xml:space="preserve"> </w:t>
      </w:r>
      <w:r w:rsidR="004E643D" w:rsidRPr="001F2F5D">
        <w:t>T</w:t>
      </w:r>
      <w:r w:rsidR="000A46FB" w:rsidRPr="001F2F5D">
        <w:t xml:space="preserve">hese </w:t>
      </w:r>
      <w:r w:rsidR="00631545" w:rsidRPr="001F2F5D">
        <w:t>2</w:t>
      </w:r>
      <w:r w:rsidR="000A46FB" w:rsidRPr="001F2F5D">
        <w:t xml:space="preserve"> systems work in tandem to promote the long-term public interest.</w:t>
      </w:r>
      <w:r w:rsidR="000A46FB" w:rsidRPr="001F2F5D">
        <w:rPr>
          <w:rStyle w:val="FootnoteReference"/>
        </w:rPr>
        <w:footnoteReference w:id="50"/>
      </w:r>
    </w:p>
    <w:p w14:paraId="7C7276D8" w14:textId="4E302831" w:rsidR="000A46FB" w:rsidRPr="001F2F5D" w:rsidRDefault="000A46FB" w:rsidP="000A46FB">
      <w:pPr>
        <w:pStyle w:val="Heading2"/>
      </w:pPr>
      <w:bookmarkStart w:id="41" w:name="_Toc153795075"/>
      <w:bookmarkStart w:id="42" w:name="_Toc149065122"/>
      <w:r w:rsidRPr="001F2F5D">
        <w:t>Pricing</w:t>
      </w:r>
      <w:bookmarkEnd w:id="41"/>
      <w:r w:rsidRPr="001F2F5D">
        <w:t xml:space="preserve"> </w:t>
      </w:r>
      <w:bookmarkEnd w:id="42"/>
    </w:p>
    <w:p w14:paraId="4E4632EE" w14:textId="1C0A9000" w:rsidR="000A46FB" w:rsidRPr="001F2F5D" w:rsidRDefault="000A46FB" w:rsidP="000A46FB">
      <w:pPr>
        <w:pStyle w:val="Paragraph"/>
      </w:pPr>
      <w:r w:rsidRPr="001F2F5D">
        <w:t xml:space="preserve">In our stage 1 consultation, we noted that there </w:t>
      </w:r>
      <w:r w:rsidR="00E91D47" w:rsidRPr="001F2F5D">
        <w:t xml:space="preserve">is </w:t>
      </w:r>
      <w:r w:rsidRPr="001F2F5D">
        <w:t>a range of ways to determine the price and value of spectrum, and that we will undertake valuations of the spectrum covered by ESLs</w:t>
      </w:r>
      <w:r w:rsidR="0047684A" w:rsidRPr="001F2F5D">
        <w:t>. These valuations</w:t>
      </w:r>
      <w:r w:rsidRPr="001F2F5D">
        <w:t xml:space="preserve"> could be used to derive the formula used to calculate the spectrum access charge applicable to a licence that is renewed. We signalled that preliminary views put forward for consultation as part of stage 3 would include a proposed valuation and payment terms. We noted that there </w:t>
      </w:r>
      <w:r w:rsidR="00E91D47" w:rsidRPr="001F2F5D">
        <w:t xml:space="preserve">is </w:t>
      </w:r>
      <w:r w:rsidRPr="001F2F5D">
        <w:t>a range of relevant considerations for valuations, not all of which may be relevant for each band or licence, including domestic and international allocation or auction results, auction avoidance</w:t>
      </w:r>
      <w:r w:rsidRPr="001F2F5D">
        <w:rPr>
          <w:rStyle w:val="FootnoteReference"/>
          <w:szCs w:val="20"/>
        </w:rPr>
        <w:footnoteReference w:id="51"/>
      </w:r>
      <w:r w:rsidRPr="001F2F5D">
        <w:t xml:space="preserve"> and public interest pricing, and the inclusion of any </w:t>
      </w:r>
      <w:proofErr w:type="gramStart"/>
      <w:r w:rsidRPr="001F2F5D">
        <w:t>particular conditions</w:t>
      </w:r>
      <w:proofErr w:type="gramEnd"/>
      <w:r w:rsidRPr="001F2F5D">
        <w:t xml:space="preserve"> in a licence.</w:t>
      </w:r>
    </w:p>
    <w:p w14:paraId="761CB50A" w14:textId="0206B6D6" w:rsidR="000A46FB" w:rsidRPr="001F2F5D" w:rsidRDefault="000A46FB" w:rsidP="000A46FB">
      <w:pPr>
        <w:pStyle w:val="Paragraph"/>
      </w:pPr>
      <w:r w:rsidRPr="001F2F5D">
        <w:t>There would be further pricing considerations for spectrum covered by ESLs that are not renewed</w:t>
      </w:r>
      <w:r w:rsidR="00A670F7" w:rsidRPr="001F2F5D">
        <w:t xml:space="preserve"> or partially renewed</w:t>
      </w:r>
      <w:r w:rsidRPr="001F2F5D">
        <w:t>.</w:t>
      </w:r>
    </w:p>
    <w:p w14:paraId="465A4601" w14:textId="77777777" w:rsidR="000A46FB" w:rsidRPr="001F2F5D" w:rsidRDefault="000A46FB" w:rsidP="000A46FB">
      <w:pPr>
        <w:pStyle w:val="Heading3"/>
        <w:rPr>
          <w:i/>
          <w:iCs/>
          <w:sz w:val="28"/>
          <w:szCs w:val="28"/>
        </w:rPr>
      </w:pPr>
      <w:bookmarkStart w:id="43" w:name="_Toc149065123"/>
      <w:r w:rsidRPr="001F2F5D">
        <w:t xml:space="preserve">What stakeholders told </w:t>
      </w:r>
      <w:proofErr w:type="gramStart"/>
      <w:r w:rsidRPr="001F2F5D">
        <w:t>us</w:t>
      </w:r>
      <w:bookmarkEnd w:id="43"/>
      <w:proofErr w:type="gramEnd"/>
    </w:p>
    <w:p w14:paraId="7B33FD5A" w14:textId="70DD725E" w:rsidR="000A46FB" w:rsidRPr="001F2F5D" w:rsidRDefault="000A46FB" w:rsidP="000A38E5">
      <w:pPr>
        <w:pStyle w:val="Paragraph"/>
        <w:rPr>
          <w:rStyle w:val="normaltextrun"/>
          <w:color w:val="000000"/>
          <w:szCs w:val="20"/>
          <w:shd w:val="clear" w:color="auto" w:fill="FFFFFF"/>
        </w:rPr>
      </w:pPr>
      <w:r w:rsidRPr="001F2F5D">
        <w:rPr>
          <w:rStyle w:val="normaltextrun"/>
          <w:color w:val="000000"/>
          <w:szCs w:val="20"/>
          <w:shd w:val="clear" w:color="auto" w:fill="FFFFFF"/>
        </w:rPr>
        <w:t xml:space="preserve">Overall, </w:t>
      </w:r>
      <w:r w:rsidR="0047684A" w:rsidRPr="001F2F5D">
        <w:rPr>
          <w:rStyle w:val="normaltextrun"/>
          <w:color w:val="000000"/>
          <w:szCs w:val="20"/>
          <w:shd w:val="clear" w:color="auto" w:fill="FFFFFF"/>
        </w:rPr>
        <w:t xml:space="preserve">stakeholders </w:t>
      </w:r>
      <w:r w:rsidRPr="001F2F5D">
        <w:rPr>
          <w:rStyle w:val="normaltextrun"/>
          <w:color w:val="000000"/>
          <w:szCs w:val="20"/>
          <w:shd w:val="clear" w:color="auto" w:fill="FFFFFF"/>
        </w:rPr>
        <w:t xml:space="preserve">viewed pricing as a critical element of the ESL </w:t>
      </w:r>
      <w:proofErr w:type="gramStart"/>
      <w:r w:rsidRPr="001F2F5D">
        <w:rPr>
          <w:rStyle w:val="normaltextrun"/>
          <w:color w:val="000000"/>
          <w:szCs w:val="20"/>
          <w:shd w:val="clear" w:color="auto" w:fill="FFFFFF"/>
        </w:rPr>
        <w:t>process, and</w:t>
      </w:r>
      <w:proofErr w:type="gramEnd"/>
      <w:r w:rsidRPr="001F2F5D">
        <w:rPr>
          <w:rStyle w:val="normaltextrun"/>
          <w:color w:val="000000"/>
          <w:szCs w:val="20"/>
          <w:shd w:val="clear" w:color="auto" w:fill="FFFFFF"/>
        </w:rPr>
        <w:t xml:space="preserve"> conveyed that pricing would play a role in supporting the current and future operation of their businesses and services. Given the maximum spectrum licence term of 20 years, some stakeholders noted that renewal of licences would support evolution to the next generations of current technology.</w:t>
      </w:r>
    </w:p>
    <w:p w14:paraId="318E0B8A" w14:textId="6A1EBEF4" w:rsidR="000A46FB" w:rsidRPr="001F2F5D" w:rsidRDefault="000A46FB" w:rsidP="000A38E5">
      <w:pPr>
        <w:pStyle w:val="Paragraph"/>
        <w:rPr>
          <w:rStyle w:val="normaltextrun"/>
          <w:color w:val="000000"/>
          <w:szCs w:val="20"/>
          <w:shd w:val="clear" w:color="auto" w:fill="FFFFFF"/>
        </w:rPr>
      </w:pPr>
      <w:r w:rsidRPr="001F2F5D">
        <w:rPr>
          <w:rStyle w:val="normaltextrun"/>
          <w:color w:val="000000"/>
          <w:szCs w:val="20"/>
          <w:shd w:val="clear" w:color="auto" w:fill="FFFFFF"/>
        </w:rPr>
        <w:t xml:space="preserve">Views on pricing were diverse. Some </w:t>
      </w:r>
      <w:r w:rsidR="00AA4B35" w:rsidRPr="001F2F5D">
        <w:rPr>
          <w:rStyle w:val="normaltextrun"/>
          <w:color w:val="000000"/>
          <w:szCs w:val="20"/>
          <w:shd w:val="clear" w:color="auto" w:fill="FFFFFF"/>
        </w:rPr>
        <w:t>submitters</w:t>
      </w:r>
      <w:r w:rsidRPr="001F2F5D">
        <w:rPr>
          <w:rStyle w:val="normaltextrun"/>
          <w:color w:val="000000"/>
          <w:szCs w:val="20"/>
          <w:shd w:val="clear" w:color="auto" w:fill="FFFFFF"/>
        </w:rPr>
        <w:t xml:space="preserve"> acknowledged that arriving at a valuation for a given band was difficult, and </w:t>
      </w:r>
      <w:r w:rsidR="00C7089D" w:rsidRPr="001F2F5D">
        <w:rPr>
          <w:rStyle w:val="normaltextrun"/>
          <w:color w:val="000000"/>
          <w:szCs w:val="20"/>
          <w:shd w:val="clear" w:color="auto" w:fill="FFFFFF"/>
        </w:rPr>
        <w:t xml:space="preserve">that </w:t>
      </w:r>
      <w:r w:rsidR="00EA06A2" w:rsidRPr="001F2F5D">
        <w:rPr>
          <w:rStyle w:val="normaltextrun"/>
          <w:color w:val="000000"/>
          <w:szCs w:val="20"/>
          <w:shd w:val="clear" w:color="auto" w:fill="FFFFFF"/>
        </w:rPr>
        <w:t xml:space="preserve">different </w:t>
      </w:r>
      <w:r w:rsidRPr="001F2F5D">
        <w:rPr>
          <w:rStyle w:val="normaltextrun"/>
          <w:color w:val="000000"/>
          <w:szCs w:val="20"/>
          <w:shd w:val="clear" w:color="auto" w:fill="FFFFFF"/>
        </w:rPr>
        <w:t xml:space="preserve">models and approaches had their own strengths, </w:t>
      </w:r>
      <w:proofErr w:type="gramStart"/>
      <w:r w:rsidRPr="001F2F5D">
        <w:rPr>
          <w:rStyle w:val="normaltextrun"/>
          <w:color w:val="000000"/>
          <w:szCs w:val="20"/>
          <w:shd w:val="clear" w:color="auto" w:fill="FFFFFF"/>
        </w:rPr>
        <w:t>weaknesses</w:t>
      </w:r>
      <w:proofErr w:type="gramEnd"/>
      <w:r w:rsidRPr="001F2F5D">
        <w:rPr>
          <w:rStyle w:val="normaltextrun"/>
          <w:color w:val="000000"/>
          <w:szCs w:val="20"/>
          <w:shd w:val="clear" w:color="auto" w:fill="FFFFFF"/>
        </w:rPr>
        <w:t xml:space="preserve"> and sensitivities. Most incumbents and prospective licensees offered a view as to wh</w:t>
      </w:r>
      <w:r w:rsidR="00AA4B35" w:rsidRPr="001F2F5D">
        <w:rPr>
          <w:rStyle w:val="normaltextrun"/>
          <w:color w:val="000000"/>
          <w:szCs w:val="20"/>
          <w:shd w:val="clear" w:color="auto" w:fill="FFFFFF"/>
        </w:rPr>
        <w:t xml:space="preserve">ether </w:t>
      </w:r>
      <w:r w:rsidRPr="001F2F5D">
        <w:rPr>
          <w:rStyle w:val="normaltextrun"/>
          <w:color w:val="000000"/>
          <w:szCs w:val="20"/>
          <w:shd w:val="clear" w:color="auto" w:fill="FFFFFF"/>
        </w:rPr>
        <w:t>a particular pricing approach or outcome was</w:t>
      </w:r>
      <w:r w:rsidR="00353645" w:rsidRPr="001F2F5D">
        <w:rPr>
          <w:rStyle w:val="normaltextrun"/>
          <w:color w:val="000000"/>
          <w:szCs w:val="20"/>
          <w:shd w:val="clear" w:color="auto" w:fill="FFFFFF"/>
        </w:rPr>
        <w:t xml:space="preserve"> </w:t>
      </w:r>
      <w:r w:rsidRPr="001F2F5D">
        <w:rPr>
          <w:rStyle w:val="normaltextrun"/>
          <w:color w:val="000000"/>
          <w:szCs w:val="20"/>
          <w:shd w:val="clear" w:color="auto" w:fill="FFFFFF"/>
        </w:rPr>
        <w:t xml:space="preserve">appropriate for their </w:t>
      </w:r>
      <w:r w:rsidR="00EA06A2" w:rsidRPr="001F2F5D">
        <w:rPr>
          <w:rStyle w:val="normaltextrun"/>
          <w:color w:val="000000"/>
          <w:szCs w:val="20"/>
          <w:shd w:val="clear" w:color="auto" w:fill="FFFFFF"/>
        </w:rPr>
        <w:t>circumstances</w:t>
      </w:r>
      <w:r w:rsidRPr="001F2F5D">
        <w:rPr>
          <w:rStyle w:val="normaltextrun"/>
          <w:color w:val="000000"/>
          <w:szCs w:val="20"/>
          <w:shd w:val="clear" w:color="auto" w:fill="FFFFFF"/>
        </w:rPr>
        <w:t xml:space="preserve">. In some cases, this was because the </w:t>
      </w:r>
      <w:r w:rsidR="0025052E" w:rsidRPr="001F2F5D">
        <w:rPr>
          <w:rStyle w:val="normaltextrun"/>
          <w:color w:val="000000"/>
          <w:szCs w:val="20"/>
          <w:shd w:val="clear" w:color="auto" w:fill="FFFFFF"/>
        </w:rPr>
        <w:t>use</w:t>
      </w:r>
      <w:r w:rsidR="00E91D47" w:rsidRPr="001F2F5D">
        <w:rPr>
          <w:rStyle w:val="normaltextrun"/>
          <w:color w:val="000000"/>
          <w:szCs w:val="20"/>
          <w:shd w:val="clear" w:color="auto" w:fill="FFFFFF"/>
        </w:rPr>
        <w:t xml:space="preserve"> to which they put the spectrum</w:t>
      </w:r>
      <w:r w:rsidR="0025052E" w:rsidRPr="001F2F5D">
        <w:rPr>
          <w:rStyle w:val="normaltextrun"/>
          <w:color w:val="000000"/>
          <w:szCs w:val="20"/>
          <w:shd w:val="clear" w:color="auto" w:fill="FFFFFF"/>
        </w:rPr>
        <w:t xml:space="preserve"> </w:t>
      </w:r>
      <w:r w:rsidRPr="001F2F5D">
        <w:rPr>
          <w:rStyle w:val="normaltextrun"/>
          <w:color w:val="000000"/>
          <w:szCs w:val="20"/>
          <w:shd w:val="clear" w:color="auto" w:fill="FFFFFF"/>
        </w:rPr>
        <w:t>was a public good</w:t>
      </w:r>
      <w:r w:rsidR="00DA0E65" w:rsidRPr="001F2F5D">
        <w:rPr>
          <w:rStyle w:val="normaltextrun"/>
          <w:color w:val="000000"/>
          <w:szCs w:val="20"/>
          <w:shd w:val="clear" w:color="auto" w:fill="FFFFFF"/>
        </w:rPr>
        <w:t>,</w:t>
      </w:r>
      <w:r w:rsidRPr="001F2F5D">
        <w:rPr>
          <w:rStyle w:val="normaltextrun"/>
          <w:color w:val="000000"/>
          <w:szCs w:val="20"/>
          <w:shd w:val="clear" w:color="auto" w:fill="FFFFFF"/>
        </w:rPr>
        <w:t xml:space="preserve"> and the user was not expected to operate on commercial </w:t>
      </w:r>
      <w:proofErr w:type="gramStart"/>
      <w:r w:rsidRPr="001F2F5D">
        <w:rPr>
          <w:rStyle w:val="normaltextrun"/>
          <w:color w:val="000000"/>
          <w:szCs w:val="20"/>
          <w:shd w:val="clear" w:color="auto" w:fill="FFFFFF"/>
        </w:rPr>
        <w:t>terms</w:t>
      </w:r>
      <w:r w:rsidR="00883699" w:rsidRPr="001F2F5D">
        <w:rPr>
          <w:rStyle w:val="normaltextrun"/>
          <w:color w:val="000000"/>
          <w:szCs w:val="20"/>
          <w:shd w:val="clear" w:color="auto" w:fill="FFFFFF"/>
        </w:rPr>
        <w:t>,</w:t>
      </w:r>
      <w:r w:rsidRPr="001F2F5D">
        <w:rPr>
          <w:rStyle w:val="normaltextrun"/>
          <w:color w:val="000000"/>
          <w:szCs w:val="20"/>
          <w:shd w:val="clear" w:color="auto" w:fill="FFFFFF"/>
        </w:rPr>
        <w:t xml:space="preserve"> or</w:t>
      </w:r>
      <w:proofErr w:type="gramEnd"/>
      <w:r w:rsidRPr="001F2F5D">
        <w:rPr>
          <w:rStyle w:val="normaltextrun"/>
          <w:color w:val="000000"/>
          <w:szCs w:val="20"/>
          <w:shd w:val="clear" w:color="auto" w:fill="FFFFFF"/>
        </w:rPr>
        <w:t xml:space="preserve"> was limited in its </w:t>
      </w:r>
      <w:r w:rsidR="0025052E" w:rsidRPr="001F2F5D">
        <w:rPr>
          <w:rStyle w:val="normaltextrun"/>
          <w:color w:val="000000"/>
          <w:szCs w:val="20"/>
          <w:shd w:val="clear" w:color="auto" w:fill="FFFFFF"/>
        </w:rPr>
        <w:t xml:space="preserve">operation </w:t>
      </w:r>
      <w:r w:rsidRPr="001F2F5D">
        <w:rPr>
          <w:rStyle w:val="normaltextrun"/>
          <w:color w:val="000000"/>
          <w:szCs w:val="20"/>
          <w:shd w:val="clear" w:color="auto" w:fill="FFFFFF"/>
        </w:rPr>
        <w:t>by the conditions of a licence</w:t>
      </w:r>
      <w:r w:rsidR="00414ADC" w:rsidRPr="001F2F5D">
        <w:rPr>
          <w:rStyle w:val="normaltextrun"/>
          <w:color w:val="000000"/>
          <w:szCs w:val="20"/>
          <w:shd w:val="clear" w:color="auto" w:fill="FFFFFF"/>
        </w:rPr>
        <w:t>.</w:t>
      </w:r>
      <w:r w:rsidRPr="001F2F5D">
        <w:rPr>
          <w:rStyle w:val="normaltextrun"/>
          <w:color w:val="000000"/>
          <w:szCs w:val="20"/>
          <w:shd w:val="clear" w:color="auto" w:fill="FFFFFF"/>
        </w:rPr>
        <w:t xml:space="preserve"> MNO stakeholders cited overall declining levels of industry profitability, making conservative pricing approaches an appropriate way to support the industry.</w:t>
      </w:r>
    </w:p>
    <w:p w14:paraId="315D71B2" w14:textId="6038E149" w:rsidR="000A46FB" w:rsidRPr="001F2F5D" w:rsidRDefault="000A46FB" w:rsidP="000A38E5">
      <w:pPr>
        <w:pStyle w:val="Paragraph"/>
        <w:rPr>
          <w:rStyle w:val="normaltextrun"/>
        </w:rPr>
      </w:pPr>
      <w:r w:rsidRPr="001F2F5D">
        <w:rPr>
          <w:rStyle w:val="normaltextrun"/>
        </w:rPr>
        <w:t xml:space="preserve">Many </w:t>
      </w:r>
      <w:r w:rsidR="00AD7B30" w:rsidRPr="001F2F5D">
        <w:rPr>
          <w:rStyle w:val="normaltextrun"/>
        </w:rPr>
        <w:t xml:space="preserve">stakeholders </w:t>
      </w:r>
      <w:r w:rsidRPr="001F2F5D">
        <w:rPr>
          <w:rStyle w:val="normaltextrun"/>
        </w:rPr>
        <w:t xml:space="preserve">identified that there were arguments available </w:t>
      </w:r>
      <w:r w:rsidR="00B66AE6" w:rsidRPr="001F2F5D">
        <w:rPr>
          <w:rStyle w:val="normaltextrun"/>
        </w:rPr>
        <w:t xml:space="preserve">to </w:t>
      </w:r>
      <w:r w:rsidRPr="001F2F5D">
        <w:rPr>
          <w:rStyle w:val="normaltextrun"/>
        </w:rPr>
        <w:t xml:space="preserve">support cost-recovery and public-interest pricing approaches, or prices that were based on discounts on a fair market value. There was broad consensus that higher prices could harm overall investment, and that knowing prices early was a way that the ACMA could provide investment certainty and promote service continuity. There was also a view that the risks associated with higher </w:t>
      </w:r>
      <w:r w:rsidR="00D34D6C" w:rsidRPr="001F2F5D">
        <w:rPr>
          <w:rStyle w:val="normaltextrun"/>
        </w:rPr>
        <w:t xml:space="preserve">prices </w:t>
      </w:r>
      <w:r w:rsidRPr="001F2F5D">
        <w:rPr>
          <w:rStyle w:val="normaltextrun"/>
        </w:rPr>
        <w:t>are greater</w:t>
      </w:r>
      <w:r w:rsidR="00AD07B8" w:rsidRPr="001F2F5D">
        <w:rPr>
          <w:rStyle w:val="normaltextrun"/>
        </w:rPr>
        <w:t xml:space="preserve"> than those associated with</w:t>
      </w:r>
      <w:r w:rsidRPr="001F2F5D">
        <w:rPr>
          <w:rStyle w:val="normaltextrun"/>
        </w:rPr>
        <w:t xml:space="preserve"> </w:t>
      </w:r>
      <w:r w:rsidR="00D34D6C" w:rsidRPr="001F2F5D">
        <w:rPr>
          <w:rStyle w:val="normaltextrun"/>
        </w:rPr>
        <w:t>lower prices</w:t>
      </w:r>
      <w:r w:rsidRPr="001F2F5D">
        <w:rPr>
          <w:rStyle w:val="normaltextrun"/>
        </w:rPr>
        <w:t xml:space="preserve">. </w:t>
      </w:r>
    </w:p>
    <w:p w14:paraId="5F92E26E" w14:textId="041870EF" w:rsidR="000A46FB" w:rsidRPr="001F2F5D" w:rsidRDefault="000A46FB" w:rsidP="000A38E5">
      <w:pPr>
        <w:pStyle w:val="Paragraph"/>
        <w:rPr>
          <w:rStyle w:val="eop"/>
        </w:rPr>
      </w:pPr>
      <w:r w:rsidRPr="001F2F5D">
        <w:rPr>
          <w:rStyle w:val="normaltextrun"/>
        </w:rPr>
        <w:lastRenderedPageBreak/>
        <w:t xml:space="preserve">There was broad agreement that the approach to valuation should be transparent and consultative, with some </w:t>
      </w:r>
      <w:r w:rsidR="00CE1F00" w:rsidRPr="001F2F5D">
        <w:rPr>
          <w:rStyle w:val="normaltextrun"/>
        </w:rPr>
        <w:t>submitters</w:t>
      </w:r>
      <w:r w:rsidRPr="001F2F5D">
        <w:rPr>
          <w:rStyle w:val="normaltextrun"/>
        </w:rPr>
        <w:t xml:space="preserve"> </w:t>
      </w:r>
      <w:r w:rsidR="00CE1F00" w:rsidRPr="001F2F5D">
        <w:rPr>
          <w:rStyle w:val="normaltextrun"/>
        </w:rPr>
        <w:t xml:space="preserve">citing </w:t>
      </w:r>
      <w:r w:rsidRPr="001F2F5D">
        <w:rPr>
          <w:rStyle w:val="normaltextrun"/>
        </w:rPr>
        <w:t>separate and early consultation o</w:t>
      </w:r>
      <w:r w:rsidR="004A4AE5" w:rsidRPr="001F2F5D">
        <w:rPr>
          <w:rStyle w:val="normaltextrun"/>
        </w:rPr>
        <w:t>n</w:t>
      </w:r>
      <w:r w:rsidRPr="001F2F5D">
        <w:rPr>
          <w:rStyle w:val="normaltextrun"/>
        </w:rPr>
        <w:t xml:space="preserve"> pricing should </w:t>
      </w:r>
      <w:r w:rsidR="00A740C1" w:rsidRPr="001F2F5D">
        <w:rPr>
          <w:rStyle w:val="normaltextrun"/>
        </w:rPr>
        <w:t xml:space="preserve">start </w:t>
      </w:r>
      <w:r w:rsidRPr="001F2F5D">
        <w:rPr>
          <w:rStyle w:val="normaltextrun"/>
        </w:rPr>
        <w:t>as part of stage 2.</w:t>
      </w:r>
    </w:p>
    <w:p w14:paraId="64DC8C18" w14:textId="3A8D0232" w:rsidR="000A46FB" w:rsidRPr="001F2F5D" w:rsidRDefault="00A91F16" w:rsidP="000A38E5">
      <w:pPr>
        <w:pStyle w:val="Paragraph"/>
        <w:rPr>
          <w:rStyle w:val="eop"/>
        </w:rPr>
      </w:pPr>
      <w:r w:rsidRPr="001F2F5D">
        <w:rPr>
          <w:rStyle w:val="normaltextrun"/>
        </w:rPr>
        <w:t xml:space="preserve">Submitters </w:t>
      </w:r>
      <w:r w:rsidR="000A46FB" w:rsidRPr="001F2F5D">
        <w:rPr>
          <w:rStyle w:val="normaltextrun"/>
        </w:rPr>
        <w:t xml:space="preserve">did not widely </w:t>
      </w:r>
      <w:r w:rsidR="00395F8C" w:rsidRPr="001F2F5D">
        <w:rPr>
          <w:rStyle w:val="normaltextrun"/>
        </w:rPr>
        <w:t xml:space="preserve">comment on </w:t>
      </w:r>
      <w:r w:rsidR="000A46FB" w:rsidRPr="001F2F5D">
        <w:rPr>
          <w:rStyle w:val="normaltextrun"/>
        </w:rPr>
        <w:t>payment terms, although one advocated for instalment payments.</w:t>
      </w:r>
    </w:p>
    <w:p w14:paraId="7BF75AB1" w14:textId="77777777" w:rsidR="000A46FB" w:rsidRPr="001F2F5D" w:rsidRDefault="000A46FB" w:rsidP="000F4C13">
      <w:pPr>
        <w:pStyle w:val="Heading3"/>
        <w:rPr>
          <w:rStyle w:val="normaltextrun"/>
        </w:rPr>
      </w:pPr>
      <w:bookmarkStart w:id="44" w:name="_Toc149065124"/>
      <w:r w:rsidRPr="001F2F5D">
        <w:rPr>
          <w:rStyle w:val="normaltextrun"/>
          <w:color w:val="000000"/>
          <w:szCs w:val="20"/>
        </w:rPr>
        <w:t>Our response</w:t>
      </w:r>
      <w:bookmarkEnd w:id="44"/>
    </w:p>
    <w:p w14:paraId="5B5F40AB" w14:textId="7E487565" w:rsidR="000A46FB" w:rsidRPr="001F2F5D" w:rsidRDefault="000A46FB" w:rsidP="000F4C13">
      <w:pPr>
        <w:pStyle w:val="Paragraph"/>
      </w:pPr>
      <w:r w:rsidRPr="001F2F5D">
        <w:t xml:space="preserve">We </w:t>
      </w:r>
      <w:r w:rsidR="0088641A" w:rsidRPr="001F2F5D">
        <w:t xml:space="preserve">consider </w:t>
      </w:r>
      <w:r w:rsidRPr="001F2F5D">
        <w:t>that setting appropriate prices is a key element of the ESL process</w:t>
      </w:r>
      <w:r w:rsidR="0088641A" w:rsidRPr="001F2F5D">
        <w:t xml:space="preserve"> to encourage efficient use of the spectrum</w:t>
      </w:r>
      <w:r w:rsidRPr="001F2F5D">
        <w:t>. In the broader spectrum-management framework, prices are one of the tools that we use to</w:t>
      </w:r>
      <w:r w:rsidR="002B0F1B" w:rsidRPr="001F2F5D">
        <w:t xml:space="preserve"> allocate spectrum in a way that incentivises </w:t>
      </w:r>
      <w:r w:rsidR="00613C96" w:rsidRPr="001F2F5D">
        <w:t xml:space="preserve">efficient </w:t>
      </w:r>
      <w:r w:rsidR="00B05C71" w:rsidRPr="001F2F5D">
        <w:t xml:space="preserve">use of the </w:t>
      </w:r>
      <w:r w:rsidR="00613C96" w:rsidRPr="001F2F5D">
        <w:t>spectrum resource in a manner that promotes that long-term public interest</w:t>
      </w:r>
      <w:r w:rsidRPr="001F2F5D">
        <w:t xml:space="preserve">. </w:t>
      </w:r>
    </w:p>
    <w:p w14:paraId="7040D070" w14:textId="0123C1D9" w:rsidR="000A46FB" w:rsidRPr="001F2F5D" w:rsidRDefault="00612D7E" w:rsidP="000F4C13">
      <w:pPr>
        <w:pStyle w:val="Paragraph"/>
      </w:pPr>
      <w:r w:rsidRPr="001F2F5D">
        <w:t xml:space="preserve">We note that different </w:t>
      </w:r>
      <w:r w:rsidR="001C7F21" w:rsidRPr="001F2F5D">
        <w:t xml:space="preserve">valuation </w:t>
      </w:r>
      <w:r w:rsidRPr="001F2F5D">
        <w:t>approaches</w:t>
      </w:r>
      <w:r w:rsidR="00977612" w:rsidRPr="001F2F5D">
        <w:t>,</w:t>
      </w:r>
      <w:r w:rsidRPr="001F2F5D">
        <w:t xml:space="preserve"> </w:t>
      </w:r>
      <w:r w:rsidR="00B2599F" w:rsidRPr="001F2F5D">
        <w:t>such as benchmarking</w:t>
      </w:r>
      <w:r w:rsidR="005A5256" w:rsidRPr="001F2F5D">
        <w:t>, econometrics and costs and enterprise</w:t>
      </w:r>
      <w:r w:rsidRPr="001F2F5D">
        <w:t xml:space="preserve"> </w:t>
      </w:r>
      <w:r w:rsidR="005C540C" w:rsidRPr="001F2F5D">
        <w:t>valuations</w:t>
      </w:r>
      <w:r w:rsidR="00977612" w:rsidRPr="001F2F5D">
        <w:t>,</w:t>
      </w:r>
      <w:r w:rsidRPr="001F2F5D">
        <w:t xml:space="preserve"> each have their advantages and disadvantages, particularly with </w:t>
      </w:r>
      <w:r w:rsidR="00BD7CDB" w:rsidRPr="001F2F5D">
        <w:t xml:space="preserve">for </w:t>
      </w:r>
      <w:r w:rsidRPr="001F2F5D">
        <w:t>data requirements and variability depending on input assumptions.</w:t>
      </w:r>
      <w:r w:rsidR="004D4EC2" w:rsidRPr="001F2F5D">
        <w:t xml:space="preserve"> </w:t>
      </w:r>
      <w:r w:rsidR="000A46FB" w:rsidRPr="001F2F5D">
        <w:t xml:space="preserve">At this stage, we do not </w:t>
      </w:r>
      <w:proofErr w:type="gramStart"/>
      <w:r w:rsidR="000A46FB" w:rsidRPr="001F2F5D">
        <w:t>have a preference for</w:t>
      </w:r>
      <w:proofErr w:type="gramEnd"/>
      <w:r w:rsidR="000A46FB" w:rsidRPr="001F2F5D">
        <w:t xml:space="preserve"> </w:t>
      </w:r>
      <w:r w:rsidR="0067770B" w:rsidRPr="001F2F5D">
        <w:t xml:space="preserve">any </w:t>
      </w:r>
      <w:r w:rsidR="000A46FB" w:rsidRPr="001F2F5D">
        <w:t>particular valuation methodolog</w:t>
      </w:r>
      <w:r w:rsidR="0036507E" w:rsidRPr="001F2F5D">
        <w:t>y</w:t>
      </w:r>
      <w:r w:rsidR="00071E12" w:rsidRPr="001F2F5D">
        <w:t>,</w:t>
      </w:r>
      <w:r w:rsidR="000A46FB" w:rsidRPr="001F2F5D">
        <w:t xml:space="preserve"> although</w:t>
      </w:r>
      <w:r w:rsidR="000E5A3C" w:rsidRPr="001F2F5D">
        <w:t>,</w:t>
      </w:r>
      <w:r w:rsidR="000A46FB" w:rsidRPr="001F2F5D">
        <w:t xml:space="preserve"> as a starting </w:t>
      </w:r>
      <w:r w:rsidR="00351608" w:rsidRPr="001F2F5D">
        <w:t>point,</w:t>
      </w:r>
      <w:r w:rsidR="000A46FB" w:rsidRPr="001F2F5D">
        <w:t xml:space="preserve"> we would not normally consider that cost recovery-based pricing promotes efficient use of the spectrum. </w:t>
      </w:r>
    </w:p>
    <w:p w14:paraId="08FF4460" w14:textId="4C7FEBCF" w:rsidR="000A46FB" w:rsidRPr="001F2F5D" w:rsidRDefault="000A46FB" w:rsidP="000F4C13">
      <w:pPr>
        <w:pStyle w:val="Paragraph"/>
      </w:pPr>
      <w:r w:rsidRPr="001F2F5D">
        <w:t xml:space="preserve">As some stakeholders expressly acknowledged, pricing work is both important and complex. While we </w:t>
      </w:r>
      <w:r w:rsidR="00A9593D" w:rsidRPr="001F2F5D">
        <w:t xml:space="preserve">recognise </w:t>
      </w:r>
      <w:r w:rsidRPr="001F2F5D">
        <w:t>that views</w:t>
      </w:r>
      <w:r w:rsidR="009C3817" w:rsidRPr="001F2F5D">
        <w:t xml:space="preserve">, and timing of views, </w:t>
      </w:r>
      <w:r w:rsidRPr="001F2F5D">
        <w:t>on prices</w:t>
      </w:r>
      <w:r w:rsidRPr="001F2F5D" w:rsidDel="009C3817">
        <w:t xml:space="preserve"> </w:t>
      </w:r>
      <w:r w:rsidRPr="001F2F5D">
        <w:t xml:space="preserve">can support investor confidence and strategic planning, </w:t>
      </w:r>
      <w:r w:rsidR="009C3817" w:rsidRPr="001F2F5D">
        <w:t xml:space="preserve">those </w:t>
      </w:r>
      <w:r w:rsidRPr="001F2F5D">
        <w:t xml:space="preserve">views need to be robustly informed. One of the inputs into our pricing work will be the information gathered during stage 2, where we will ask for information </w:t>
      </w:r>
      <w:r w:rsidR="00277877" w:rsidRPr="001F2F5D">
        <w:t xml:space="preserve">about </w:t>
      </w:r>
      <w:r w:rsidRPr="001F2F5D">
        <w:t xml:space="preserve">and evidence </w:t>
      </w:r>
      <w:r w:rsidR="00277877" w:rsidRPr="001F2F5D">
        <w:t>of</w:t>
      </w:r>
      <w:r w:rsidRPr="001F2F5D">
        <w:t xml:space="preserve"> historical and expected investment. We also note that discussions about pricing and approaches for some spectrum covered by ESLs would not be appropriate while our mid-band allocation processes are underway. To that end, we do not propose to release views on pricing earlier than stage 3 (Q4 2024). </w:t>
      </w:r>
    </w:p>
    <w:p w14:paraId="43EEC9FA" w14:textId="7A6984E3" w:rsidR="000A46FB" w:rsidRPr="001F2F5D" w:rsidRDefault="000A46FB" w:rsidP="000F4C13">
      <w:pPr>
        <w:pStyle w:val="Paragraph"/>
      </w:pPr>
      <w:r w:rsidRPr="001F2F5D">
        <w:t xml:space="preserve">While there was little </w:t>
      </w:r>
      <w:r w:rsidR="0003283F" w:rsidRPr="001F2F5D">
        <w:t xml:space="preserve">feedback about </w:t>
      </w:r>
      <w:r w:rsidRPr="001F2F5D">
        <w:t>payment terms, we acknowledge that stakeholders are likely to express views at a later stage in the ESL process. While the ACMA has favoured upfront payments for spectrum licences, we will consider the benefits of alternatives.</w:t>
      </w:r>
    </w:p>
    <w:p w14:paraId="3AC75C84" w14:textId="77777777" w:rsidR="000A46FB" w:rsidRPr="001F2F5D" w:rsidRDefault="000A46FB" w:rsidP="000A46FB">
      <w:pPr>
        <w:pStyle w:val="Heading2"/>
      </w:pPr>
      <w:bookmarkStart w:id="45" w:name="_Toc149065125"/>
      <w:bookmarkStart w:id="46" w:name="_Toc153795076"/>
      <w:r w:rsidRPr="001F2F5D">
        <w:t>Examining use and information gathering</w:t>
      </w:r>
      <w:bookmarkEnd w:id="45"/>
      <w:bookmarkEnd w:id="46"/>
    </w:p>
    <w:p w14:paraId="0D350A46" w14:textId="727F5D8E" w:rsidR="000A46FB" w:rsidRPr="001F2F5D" w:rsidRDefault="000A46FB" w:rsidP="000F4C13">
      <w:pPr>
        <w:pStyle w:val="Paragraph"/>
      </w:pPr>
      <w:r w:rsidRPr="001F2F5D">
        <w:t xml:space="preserve">Our stage 1 consultation paper sought views on how we might approach examining use </w:t>
      </w:r>
      <w:r w:rsidR="0083026A" w:rsidRPr="001F2F5D">
        <w:t xml:space="preserve">for </w:t>
      </w:r>
      <w:r w:rsidRPr="001F2F5D">
        <w:t>ESLs. In previous iterations of our FYSO, we also consider</w:t>
      </w:r>
      <w:r w:rsidR="0082248E" w:rsidRPr="001F2F5D">
        <w:t>ed</w:t>
      </w:r>
      <w:r w:rsidRPr="001F2F5D">
        <w:t xml:space="preserve"> that examining use may be a relevant consideration for apparatus-licensed use cases.</w:t>
      </w:r>
    </w:p>
    <w:p w14:paraId="6232CF66" w14:textId="77777777" w:rsidR="000A46FB" w:rsidRPr="001F2F5D" w:rsidRDefault="000A46FB" w:rsidP="000F4C13">
      <w:pPr>
        <w:pStyle w:val="Heading3"/>
      </w:pPr>
      <w:r w:rsidRPr="001F2F5D">
        <w:t xml:space="preserve">What stakeholders told </w:t>
      </w:r>
      <w:proofErr w:type="gramStart"/>
      <w:r w:rsidRPr="001F2F5D">
        <w:t>us</w:t>
      </w:r>
      <w:proofErr w:type="gramEnd"/>
    </w:p>
    <w:p w14:paraId="524B5F09" w14:textId="03AF581E" w:rsidR="000A46FB" w:rsidRPr="001F2F5D" w:rsidRDefault="00A3054C" w:rsidP="000F4C13">
      <w:pPr>
        <w:pStyle w:val="Paragraph"/>
      </w:pPr>
      <w:r w:rsidRPr="001F2F5D">
        <w:t>T</w:t>
      </w:r>
      <w:r w:rsidR="000A46FB" w:rsidRPr="001F2F5D">
        <w:t xml:space="preserve">here was strong support </w:t>
      </w:r>
      <w:r w:rsidRPr="001F2F5D">
        <w:t xml:space="preserve">from some stakeholders </w:t>
      </w:r>
      <w:r w:rsidR="000674C3" w:rsidRPr="001F2F5D">
        <w:t xml:space="preserve">for </w:t>
      </w:r>
      <w:r w:rsidR="000A46FB" w:rsidRPr="001F2F5D">
        <w:t xml:space="preserve">the ACMA </w:t>
      </w:r>
      <w:r w:rsidRPr="001F2F5D">
        <w:t xml:space="preserve">to </w:t>
      </w:r>
      <w:r w:rsidR="000A46FB" w:rsidRPr="001F2F5D">
        <w:t xml:space="preserve">implement examinations of use to support decisions about re-allocation of spectrum, particularly </w:t>
      </w:r>
      <w:r w:rsidR="00AD46C0" w:rsidRPr="001F2F5D">
        <w:t xml:space="preserve">if </w:t>
      </w:r>
      <w:r w:rsidR="000A46FB" w:rsidRPr="001F2F5D">
        <w:t xml:space="preserve">that spectrum </w:t>
      </w:r>
      <w:r w:rsidR="0088087B" w:rsidRPr="001F2F5D">
        <w:t>is unused</w:t>
      </w:r>
      <w:r w:rsidR="000A46FB" w:rsidRPr="001F2F5D">
        <w:t xml:space="preserve">, and that this approach would be compatible with public interest criteria relating to efficiency, </w:t>
      </w:r>
      <w:proofErr w:type="gramStart"/>
      <w:r w:rsidR="000A46FB" w:rsidRPr="001F2F5D">
        <w:t>competition</w:t>
      </w:r>
      <w:proofErr w:type="gramEnd"/>
      <w:r w:rsidR="000A46FB" w:rsidRPr="001F2F5D">
        <w:t xml:space="preserve"> and innovation. </w:t>
      </w:r>
      <w:r w:rsidR="0088087B" w:rsidRPr="001F2F5D">
        <w:t>Other</w:t>
      </w:r>
      <w:r w:rsidR="000A46FB" w:rsidRPr="001F2F5D">
        <w:t xml:space="preserve"> stakeholders conveyed that a framework for examining use would represent a new addition to the radiocommunications regulatory framework (especially </w:t>
      </w:r>
      <w:r w:rsidR="002C37C6" w:rsidRPr="001F2F5D">
        <w:t>for</w:t>
      </w:r>
      <w:r w:rsidR="000A46FB" w:rsidRPr="001F2F5D">
        <w:t xml:space="preserve"> spectrum licences), could be very onerous, and would require further consultation.</w:t>
      </w:r>
    </w:p>
    <w:p w14:paraId="2DCE8556" w14:textId="7DAF1BDE" w:rsidR="000A46FB" w:rsidRPr="001F2F5D" w:rsidRDefault="000A46FB" w:rsidP="000F4C13">
      <w:pPr>
        <w:pStyle w:val="Paragraph"/>
        <w:rPr>
          <w:rStyle w:val="eop"/>
          <w:color w:val="000000"/>
          <w:szCs w:val="20"/>
        </w:rPr>
      </w:pPr>
      <w:r w:rsidRPr="001F2F5D">
        <w:rPr>
          <w:rStyle w:val="normaltextrun"/>
          <w:color w:val="000000"/>
          <w:szCs w:val="20"/>
          <w:shd w:val="clear" w:color="auto" w:fill="FFFFFF"/>
        </w:rPr>
        <w:t xml:space="preserve">In response to the proposal to request coverage maps relating to incumbent licences, </w:t>
      </w:r>
      <w:r w:rsidR="000A0E1E" w:rsidRPr="001F2F5D">
        <w:rPr>
          <w:rStyle w:val="normaltextrun"/>
          <w:color w:val="000000"/>
          <w:szCs w:val="20"/>
          <w:shd w:val="clear" w:color="auto" w:fill="FFFFFF"/>
        </w:rPr>
        <w:t xml:space="preserve">wireless broadband </w:t>
      </w:r>
      <w:r w:rsidRPr="001F2F5D">
        <w:rPr>
          <w:rStyle w:val="normaltextrun"/>
          <w:color w:val="000000"/>
          <w:szCs w:val="20"/>
          <w:shd w:val="clear" w:color="auto" w:fill="FFFFFF"/>
        </w:rPr>
        <w:t>stakeholders noted that they are subject to a separate requirement as part of the ACCC’s infrastructure record</w:t>
      </w:r>
      <w:r w:rsidR="008C15F4" w:rsidRPr="001F2F5D">
        <w:rPr>
          <w:rStyle w:val="normaltextrun"/>
          <w:color w:val="000000"/>
          <w:szCs w:val="20"/>
          <w:shd w:val="clear" w:color="auto" w:fill="FFFFFF"/>
        </w:rPr>
        <w:t>-</w:t>
      </w:r>
      <w:r w:rsidRPr="001F2F5D">
        <w:rPr>
          <w:rStyle w:val="normaltextrun"/>
          <w:color w:val="000000"/>
          <w:szCs w:val="20"/>
          <w:shd w:val="clear" w:color="auto" w:fill="FFFFFF"/>
        </w:rPr>
        <w:t xml:space="preserve">keeping requirements, and that it may be onerous to provide information that is </w:t>
      </w:r>
      <w:r w:rsidR="00DC5B40" w:rsidRPr="001F2F5D">
        <w:rPr>
          <w:rStyle w:val="normaltextrun"/>
          <w:color w:val="000000"/>
          <w:szCs w:val="20"/>
          <w:shd w:val="clear" w:color="auto" w:fill="FFFFFF"/>
        </w:rPr>
        <w:t xml:space="preserve">already </w:t>
      </w:r>
      <w:r w:rsidRPr="001F2F5D">
        <w:rPr>
          <w:rStyle w:val="normaltextrun"/>
          <w:color w:val="000000"/>
          <w:szCs w:val="20"/>
          <w:shd w:val="clear" w:color="auto" w:fill="FFFFFF"/>
        </w:rPr>
        <w:t>in the</w:t>
      </w:r>
      <w:r w:rsidR="0021493C" w:rsidRPr="001F2F5D">
        <w:rPr>
          <w:rStyle w:val="normaltextrun"/>
          <w:color w:val="000000"/>
          <w:szCs w:val="20"/>
          <w:shd w:val="clear" w:color="auto" w:fill="FFFFFF"/>
        </w:rPr>
        <w:t xml:space="preserve"> </w:t>
      </w:r>
      <w:hyperlink r:id="rId61" w:history="1">
        <w:r w:rsidR="0021493C" w:rsidRPr="001F2F5D">
          <w:rPr>
            <w:rStyle w:val="Hyperlink"/>
            <w:szCs w:val="20"/>
            <w:shd w:val="clear" w:color="auto" w:fill="FFFFFF"/>
          </w:rPr>
          <w:t>public domain</w:t>
        </w:r>
      </w:hyperlink>
      <w:r w:rsidR="003A6140" w:rsidRPr="001F2F5D">
        <w:rPr>
          <w:rStyle w:val="normaltextrun"/>
          <w:color w:val="000000"/>
        </w:rPr>
        <w:t xml:space="preserve">. They </w:t>
      </w:r>
      <w:r w:rsidR="003A6140" w:rsidRPr="001F2F5D">
        <w:rPr>
          <w:rStyle w:val="normaltextrun"/>
          <w:color w:val="000000"/>
        </w:rPr>
        <w:lastRenderedPageBreak/>
        <w:t>submitted</w:t>
      </w:r>
      <w:r w:rsidR="003A6140" w:rsidRPr="001F2F5D">
        <w:rPr>
          <w:rStyle w:val="Hyperlink"/>
          <w:szCs w:val="20"/>
          <w:shd w:val="clear" w:color="auto" w:fill="FFFFFF"/>
        </w:rPr>
        <w:t xml:space="preserve"> </w:t>
      </w:r>
      <w:r w:rsidRPr="001F2F5D">
        <w:rPr>
          <w:rStyle w:val="normaltextrun"/>
          <w:color w:val="000000"/>
          <w:szCs w:val="20"/>
          <w:shd w:val="clear" w:color="auto" w:fill="FFFFFF"/>
        </w:rPr>
        <w:t xml:space="preserve">that generating granular or bespoke data could be resource </w:t>
      </w:r>
      <w:proofErr w:type="gramStart"/>
      <w:r w:rsidRPr="001F2F5D">
        <w:rPr>
          <w:rStyle w:val="normaltextrun"/>
          <w:color w:val="000000"/>
          <w:szCs w:val="20"/>
          <w:shd w:val="clear" w:color="auto" w:fill="FFFFFF"/>
        </w:rPr>
        <w:t>intensive, and</w:t>
      </w:r>
      <w:proofErr w:type="gramEnd"/>
      <w:r w:rsidRPr="001F2F5D">
        <w:rPr>
          <w:rStyle w:val="normaltextrun"/>
          <w:color w:val="000000"/>
          <w:szCs w:val="20"/>
          <w:shd w:val="clear" w:color="auto" w:fill="FFFFFF"/>
        </w:rPr>
        <w:t xml:space="preserve"> may not offer better insights than considering current licence boundaries.</w:t>
      </w:r>
    </w:p>
    <w:p w14:paraId="6F2B34AB" w14:textId="72DF989F" w:rsidR="000A46FB" w:rsidRPr="001F2F5D" w:rsidRDefault="000A46FB" w:rsidP="000F4C13">
      <w:pPr>
        <w:pStyle w:val="Paragraph"/>
        <w:rPr>
          <w:rStyle w:val="eop"/>
          <w:color w:val="000000"/>
          <w:szCs w:val="20"/>
        </w:rPr>
      </w:pPr>
      <w:r w:rsidRPr="001F2F5D">
        <w:rPr>
          <w:rStyle w:val="normaltextrun"/>
          <w:color w:val="000000"/>
          <w:szCs w:val="20"/>
          <w:shd w:val="clear" w:color="auto" w:fill="FFFFFF"/>
        </w:rPr>
        <w:t>Other stakeholders supported the ACMA setting standardised assumptions in propagation modelling to allow for service comparison, as existing data sets have been generated on different assumptions and did not</w:t>
      </w:r>
      <w:r w:rsidR="00786724" w:rsidRPr="001F2F5D">
        <w:rPr>
          <w:rStyle w:val="normaltextrun"/>
          <w:color w:val="000000"/>
          <w:szCs w:val="20"/>
          <w:shd w:val="clear" w:color="auto" w:fill="FFFFFF"/>
        </w:rPr>
        <w:t>,</w:t>
      </w:r>
      <w:r w:rsidRPr="001F2F5D">
        <w:rPr>
          <w:rStyle w:val="normaltextrun"/>
          <w:color w:val="000000"/>
          <w:szCs w:val="20"/>
          <w:shd w:val="clear" w:color="auto" w:fill="FFFFFF"/>
        </w:rPr>
        <w:t xml:space="preserve"> in all cases</w:t>
      </w:r>
      <w:r w:rsidR="00786724" w:rsidRPr="001F2F5D">
        <w:rPr>
          <w:rStyle w:val="normaltextrun"/>
          <w:color w:val="000000"/>
          <w:szCs w:val="20"/>
          <w:shd w:val="clear" w:color="auto" w:fill="FFFFFF"/>
        </w:rPr>
        <w:t>,</w:t>
      </w:r>
      <w:r w:rsidRPr="001F2F5D">
        <w:rPr>
          <w:rStyle w:val="normaltextrun"/>
          <w:color w:val="000000"/>
          <w:szCs w:val="20"/>
          <w:shd w:val="clear" w:color="auto" w:fill="FFFFFF"/>
        </w:rPr>
        <w:t xml:space="preserve"> provide for direct comparison</w:t>
      </w:r>
      <w:r w:rsidR="00443EF7" w:rsidRPr="001F2F5D">
        <w:rPr>
          <w:rStyle w:val="normaltextrun"/>
          <w:color w:val="000000"/>
          <w:szCs w:val="20"/>
          <w:shd w:val="clear" w:color="auto" w:fill="FFFFFF"/>
        </w:rPr>
        <w:t>s</w:t>
      </w:r>
      <w:r w:rsidRPr="001F2F5D">
        <w:rPr>
          <w:rStyle w:val="normaltextrun"/>
          <w:color w:val="000000"/>
          <w:szCs w:val="20"/>
          <w:shd w:val="clear" w:color="auto" w:fill="FFFFFF"/>
        </w:rPr>
        <w:t>.</w:t>
      </w:r>
    </w:p>
    <w:p w14:paraId="2ED50E74" w14:textId="4FDCDA32" w:rsidR="000A46FB" w:rsidRPr="001F2F5D" w:rsidRDefault="000A46FB" w:rsidP="000F4C13">
      <w:pPr>
        <w:pStyle w:val="Paragraph"/>
        <w:rPr>
          <w:rStyle w:val="normaltextrun"/>
          <w:color w:val="000000"/>
          <w:szCs w:val="20"/>
          <w:shd w:val="clear" w:color="auto" w:fill="FFFFFF"/>
        </w:rPr>
      </w:pPr>
      <w:r w:rsidRPr="001F2F5D">
        <w:rPr>
          <w:rStyle w:val="normaltextrun"/>
          <w:color w:val="000000"/>
          <w:szCs w:val="20"/>
          <w:shd w:val="clear" w:color="auto" w:fill="FFFFFF"/>
        </w:rPr>
        <w:t xml:space="preserve">Outside of coverage issues, </w:t>
      </w:r>
      <w:r w:rsidR="000A0E1E" w:rsidRPr="001F2F5D">
        <w:rPr>
          <w:rStyle w:val="normaltextrun"/>
          <w:color w:val="000000"/>
          <w:szCs w:val="20"/>
          <w:shd w:val="clear" w:color="auto" w:fill="FFFFFF"/>
        </w:rPr>
        <w:t xml:space="preserve">wireless broadband </w:t>
      </w:r>
      <w:r w:rsidRPr="001F2F5D">
        <w:rPr>
          <w:rStyle w:val="normaltextrun"/>
          <w:color w:val="000000"/>
          <w:szCs w:val="20"/>
          <w:shd w:val="clear" w:color="auto" w:fill="FFFFFF"/>
        </w:rPr>
        <w:t>incumbents</w:t>
      </w:r>
      <w:r w:rsidR="00635407" w:rsidRPr="001F2F5D">
        <w:rPr>
          <w:rStyle w:val="normaltextrun"/>
          <w:color w:val="000000"/>
          <w:szCs w:val="20"/>
          <w:shd w:val="clear" w:color="auto" w:fill="FFFFFF"/>
        </w:rPr>
        <w:t xml:space="preserve"> </w:t>
      </w:r>
      <w:r w:rsidRPr="001F2F5D">
        <w:rPr>
          <w:rStyle w:val="normaltextrun"/>
          <w:color w:val="000000"/>
          <w:szCs w:val="20"/>
          <w:shd w:val="clear" w:color="auto" w:fill="FFFFFF"/>
        </w:rPr>
        <w:t xml:space="preserve">and other stakeholders commented on other potential information to be gathered, such as investment information. It </w:t>
      </w:r>
      <w:r w:rsidR="00786724" w:rsidRPr="001F2F5D">
        <w:rPr>
          <w:rStyle w:val="normaltextrun"/>
          <w:color w:val="000000"/>
          <w:szCs w:val="20"/>
          <w:shd w:val="clear" w:color="auto" w:fill="FFFFFF"/>
        </w:rPr>
        <w:t>w</w:t>
      </w:r>
      <w:r w:rsidRPr="001F2F5D">
        <w:rPr>
          <w:rStyle w:val="normaltextrun"/>
          <w:color w:val="000000"/>
          <w:szCs w:val="20"/>
          <w:shd w:val="clear" w:color="auto" w:fill="FFFFFF"/>
        </w:rPr>
        <w:t xml:space="preserve">as noted that historical information would be available, but future and planned investment </w:t>
      </w:r>
      <w:r w:rsidR="00574859" w:rsidRPr="001F2F5D">
        <w:rPr>
          <w:rStyle w:val="normaltextrun"/>
          <w:color w:val="000000"/>
          <w:szCs w:val="20"/>
          <w:shd w:val="clear" w:color="auto" w:fill="FFFFFF"/>
        </w:rPr>
        <w:t xml:space="preserve">details </w:t>
      </w:r>
      <w:r w:rsidRPr="001F2F5D">
        <w:rPr>
          <w:rStyle w:val="normaltextrun"/>
          <w:color w:val="000000"/>
          <w:szCs w:val="20"/>
          <w:shd w:val="clear" w:color="auto" w:fill="FFFFFF"/>
        </w:rPr>
        <w:t>would be more difficult</w:t>
      </w:r>
      <w:r w:rsidR="00574859" w:rsidRPr="001F2F5D">
        <w:rPr>
          <w:rStyle w:val="normaltextrun"/>
          <w:color w:val="000000"/>
          <w:szCs w:val="20"/>
          <w:shd w:val="clear" w:color="auto" w:fill="FFFFFF"/>
        </w:rPr>
        <w:t xml:space="preserve"> to ascertain</w:t>
      </w:r>
      <w:r w:rsidRPr="001F2F5D">
        <w:rPr>
          <w:rStyle w:val="normaltextrun"/>
          <w:color w:val="000000"/>
          <w:szCs w:val="20"/>
          <w:shd w:val="clear" w:color="auto" w:fill="FFFFFF"/>
        </w:rPr>
        <w:t>, noting that planned investment is responsive to a range of rapidly changing inputs, such as government initiatives and changing demand. Incumbents also noted that planned investment information was commercially sensitive. </w:t>
      </w:r>
    </w:p>
    <w:p w14:paraId="73C784C7" w14:textId="3AB06DDF" w:rsidR="000A46FB" w:rsidRPr="001F2F5D" w:rsidRDefault="000A46FB" w:rsidP="000F4C13">
      <w:pPr>
        <w:pStyle w:val="Paragraph"/>
        <w:rPr>
          <w:color w:val="000000"/>
          <w:szCs w:val="20"/>
          <w:shd w:val="clear" w:color="auto" w:fill="FFFFFF"/>
        </w:rPr>
      </w:pPr>
      <w:r w:rsidRPr="001F2F5D">
        <w:rPr>
          <w:rStyle w:val="normaltextrun"/>
          <w:color w:val="000000"/>
          <w:szCs w:val="20"/>
          <w:shd w:val="clear" w:color="auto" w:fill="FFFFFF"/>
        </w:rPr>
        <w:t xml:space="preserve">One stakeholder conveyed support </w:t>
      </w:r>
      <w:r w:rsidRPr="001F2F5D">
        <w:rPr>
          <w:rStyle w:val="eop"/>
          <w:color w:val="000000"/>
          <w:szCs w:val="20"/>
        </w:rPr>
        <w:t>for gathering information about licence trades to better understand the secondary market.</w:t>
      </w:r>
    </w:p>
    <w:p w14:paraId="01824F84" w14:textId="040EE069" w:rsidR="000A46FB" w:rsidRPr="001F2F5D" w:rsidRDefault="00D40400" w:rsidP="000F4C13">
      <w:pPr>
        <w:pStyle w:val="Paragraph"/>
        <w:rPr>
          <w:color w:val="000000"/>
          <w:szCs w:val="20"/>
        </w:rPr>
      </w:pPr>
      <w:r w:rsidRPr="001F2F5D">
        <w:t>Wireless broadband</w:t>
      </w:r>
      <w:r w:rsidR="000A46FB" w:rsidRPr="001F2F5D" w:rsidDel="00D40400">
        <w:t xml:space="preserve"> </w:t>
      </w:r>
      <w:r w:rsidR="000A46FB" w:rsidRPr="001F2F5D">
        <w:rPr>
          <w:rStyle w:val="normaltextrun"/>
          <w:color w:val="000000"/>
          <w:szCs w:val="20"/>
          <w:shd w:val="clear" w:color="auto" w:fill="FFFFFF"/>
        </w:rPr>
        <w:t xml:space="preserve">stakeholders indicated that information gathered should be limited to the minimum necessary to </w:t>
      </w:r>
      <w:r w:rsidR="00C2252D" w:rsidRPr="001F2F5D">
        <w:rPr>
          <w:rStyle w:val="normaltextrun"/>
          <w:color w:val="000000"/>
          <w:szCs w:val="20"/>
          <w:shd w:val="clear" w:color="auto" w:fill="FFFFFF"/>
        </w:rPr>
        <w:t xml:space="preserve">determine </w:t>
      </w:r>
      <w:r w:rsidR="000A46FB" w:rsidRPr="001F2F5D">
        <w:rPr>
          <w:rStyle w:val="normaltextrun"/>
          <w:color w:val="000000"/>
          <w:szCs w:val="20"/>
          <w:shd w:val="clear" w:color="auto" w:fill="FFFFFF"/>
        </w:rPr>
        <w:t xml:space="preserve">the public interest, and there was a common concern from incumbents about how information gathered could be used to inform decisions about outcomes for ESLs, such as changes to spectrum licence boundaries or </w:t>
      </w:r>
      <w:r w:rsidR="00EC6AF1" w:rsidRPr="001F2F5D">
        <w:rPr>
          <w:rStyle w:val="normaltextrun"/>
          <w:color w:val="000000"/>
          <w:szCs w:val="20"/>
          <w:shd w:val="clear" w:color="auto" w:fill="FFFFFF"/>
        </w:rPr>
        <w:t xml:space="preserve">planned uses </w:t>
      </w:r>
      <w:r w:rsidR="000A46FB" w:rsidRPr="001F2F5D">
        <w:rPr>
          <w:rStyle w:val="normaltextrun"/>
          <w:color w:val="000000"/>
          <w:szCs w:val="20"/>
          <w:shd w:val="clear" w:color="auto" w:fill="FFFFFF"/>
        </w:rPr>
        <w:t>for the spectrum. Conversely, other stakeholders submitted that an examination of use should inform decisions about making unused spectrum available after set timeframes, or if certain outcomes (such as coverage) were not being met.</w:t>
      </w:r>
    </w:p>
    <w:p w14:paraId="42D94DE7" w14:textId="01310BBE" w:rsidR="002E78EC" w:rsidRPr="001F2F5D" w:rsidRDefault="000A46FB" w:rsidP="000F4C13">
      <w:pPr>
        <w:pStyle w:val="Paragraph"/>
        <w:rPr>
          <w:color w:val="000000"/>
          <w:szCs w:val="20"/>
        </w:rPr>
      </w:pPr>
      <w:r w:rsidRPr="001F2F5D">
        <w:rPr>
          <w:rStyle w:val="normaltextrun"/>
          <w:color w:val="000000"/>
          <w:szCs w:val="20"/>
          <w:shd w:val="clear" w:color="auto" w:fill="FFFFFF"/>
        </w:rPr>
        <w:t>Rail</w:t>
      </w:r>
      <w:r w:rsidRPr="001F2F5D" w:rsidDel="00231846">
        <w:rPr>
          <w:rStyle w:val="normaltextrun"/>
          <w:color w:val="000000"/>
          <w:szCs w:val="20"/>
          <w:shd w:val="clear" w:color="auto" w:fill="FFFFFF"/>
        </w:rPr>
        <w:t xml:space="preserve"> </w:t>
      </w:r>
      <w:r w:rsidRPr="001F2F5D">
        <w:rPr>
          <w:rStyle w:val="normaltextrun"/>
          <w:color w:val="000000"/>
          <w:szCs w:val="20"/>
          <w:shd w:val="clear" w:color="auto" w:fill="FFFFFF"/>
        </w:rPr>
        <w:t xml:space="preserve">and broadcasting stakeholders conveyed concerns that they would not necessarily be able to demonstrate use of spectrum under their licences in the same way as </w:t>
      </w:r>
      <w:r w:rsidR="000A0E1E" w:rsidRPr="001F2F5D">
        <w:rPr>
          <w:rStyle w:val="normaltextrun"/>
          <w:color w:val="000000"/>
          <w:szCs w:val="20"/>
          <w:shd w:val="clear" w:color="auto" w:fill="FFFFFF"/>
        </w:rPr>
        <w:t xml:space="preserve">wireless broadband </w:t>
      </w:r>
      <w:r w:rsidRPr="001F2F5D">
        <w:rPr>
          <w:rStyle w:val="normaltextrun"/>
          <w:color w:val="000000"/>
          <w:szCs w:val="20"/>
          <w:shd w:val="clear" w:color="auto" w:fill="FFFFFF"/>
        </w:rPr>
        <w:t xml:space="preserve">licensees, as their respective </w:t>
      </w:r>
      <w:r w:rsidR="008333FD" w:rsidRPr="001F2F5D">
        <w:rPr>
          <w:rStyle w:val="normaltextrun"/>
          <w:color w:val="000000"/>
          <w:szCs w:val="20"/>
          <w:shd w:val="clear" w:color="auto" w:fill="FFFFFF"/>
        </w:rPr>
        <w:t xml:space="preserve">uses </w:t>
      </w:r>
      <w:r w:rsidRPr="001F2F5D">
        <w:rPr>
          <w:rStyle w:val="normaltextrun"/>
          <w:color w:val="000000"/>
          <w:szCs w:val="20"/>
          <w:shd w:val="clear" w:color="auto" w:fill="FFFFFF"/>
        </w:rPr>
        <w:t xml:space="preserve">rely on different networks and deployments. Broadcasters also noted that electronic newsgathering is often </w:t>
      </w:r>
      <w:proofErr w:type="gramStart"/>
      <w:r w:rsidRPr="001F2F5D">
        <w:rPr>
          <w:rStyle w:val="normaltextrun"/>
          <w:color w:val="000000"/>
          <w:szCs w:val="20"/>
          <w:shd w:val="clear" w:color="auto" w:fill="FFFFFF"/>
        </w:rPr>
        <w:t>sporadic, because</w:t>
      </w:r>
      <w:proofErr w:type="gramEnd"/>
      <w:r w:rsidRPr="001F2F5D">
        <w:rPr>
          <w:rStyle w:val="normaltextrun"/>
          <w:color w:val="000000"/>
          <w:szCs w:val="20"/>
          <w:shd w:val="clear" w:color="auto" w:fill="FFFFFF"/>
        </w:rPr>
        <w:t xml:space="preserve"> it responds to developments and events across Australia, while rail stakeholders indicated that their use of the spectrum is generally confined to rail corridors.</w:t>
      </w:r>
    </w:p>
    <w:p w14:paraId="74BF4C41" w14:textId="77777777" w:rsidR="000A46FB" w:rsidRPr="001F2F5D" w:rsidRDefault="000A46FB" w:rsidP="000F4C13">
      <w:pPr>
        <w:pStyle w:val="Heading3"/>
        <w:rPr>
          <w:rStyle w:val="normaltextrun"/>
          <w:b w:val="0"/>
          <w:bCs w:val="0"/>
          <w:color w:val="000000"/>
          <w:szCs w:val="20"/>
          <w:shd w:val="clear" w:color="auto" w:fill="FFFFFF"/>
        </w:rPr>
      </w:pPr>
      <w:r w:rsidRPr="001F2F5D">
        <w:rPr>
          <w:rStyle w:val="normaltextrun"/>
          <w:color w:val="000000"/>
          <w:szCs w:val="20"/>
          <w:shd w:val="clear" w:color="auto" w:fill="FFFFFF"/>
        </w:rPr>
        <w:t xml:space="preserve">Our response </w:t>
      </w:r>
    </w:p>
    <w:p w14:paraId="19D1F67D" w14:textId="6488938D" w:rsidR="00E57C14" w:rsidRPr="001F2F5D" w:rsidRDefault="000A46FB" w:rsidP="00E57C14">
      <w:pPr>
        <w:pStyle w:val="Paragraph"/>
      </w:pPr>
      <w:r w:rsidRPr="001F2F5D">
        <w:t>Historically, a framework for examining use has not been a core feature of the radiocommunications regulatory framework. Our approach to designing and allocating spectrum licences has also not historically contemplated use</w:t>
      </w:r>
      <w:r w:rsidR="00E57C14" w:rsidRPr="001F2F5D">
        <w:t xml:space="preserve"> – </w:t>
      </w:r>
      <w:r w:rsidRPr="001F2F5D">
        <w:t xml:space="preserve">while spectrum licences are designed to be optimised for </w:t>
      </w:r>
      <w:proofErr w:type="gramStart"/>
      <w:r w:rsidRPr="001F2F5D">
        <w:t>particular technologies</w:t>
      </w:r>
      <w:proofErr w:type="gramEnd"/>
      <w:r w:rsidRPr="001F2F5D">
        <w:t xml:space="preserve"> or </w:t>
      </w:r>
      <w:r w:rsidR="00266B55" w:rsidRPr="001F2F5D">
        <w:t>uses</w:t>
      </w:r>
      <w:r w:rsidRPr="001F2F5D">
        <w:t xml:space="preserve"> </w:t>
      </w:r>
      <w:r w:rsidR="00E57C14" w:rsidRPr="001F2F5D">
        <w:t>(</w:t>
      </w:r>
      <w:r w:rsidRPr="001F2F5D">
        <w:t>with the exception of a small number of spectrum licences issued for rail communications and broadcasting services</w:t>
      </w:r>
      <w:r w:rsidR="00E57C14" w:rsidRPr="001F2F5D">
        <w:t>),</w:t>
      </w:r>
      <w:r w:rsidRPr="001F2F5D">
        <w:t xml:space="preserve"> spectrum licences are generally technology agnostic, meaning that licensees may use them as they wish. </w:t>
      </w:r>
      <w:r w:rsidR="00E57C14" w:rsidRPr="001F2F5D">
        <w:t>Additionally, spectrum licences have not historically placed obligations on licensees to, for example, achieve certain levels of geographical or population coverage, or to achieve quality of service targets.</w:t>
      </w:r>
    </w:p>
    <w:p w14:paraId="7ECD7593" w14:textId="66AB8EB9" w:rsidR="00A510DB" w:rsidRPr="001F2F5D" w:rsidRDefault="00D67968" w:rsidP="000F4C13">
      <w:pPr>
        <w:pStyle w:val="Paragraph"/>
      </w:pPr>
      <w:r w:rsidRPr="001F2F5D">
        <w:t>W</w:t>
      </w:r>
      <w:r w:rsidR="00A510DB" w:rsidRPr="001F2F5D">
        <w:t xml:space="preserve">e </w:t>
      </w:r>
      <w:r w:rsidRPr="001F2F5D">
        <w:t xml:space="preserve">have </w:t>
      </w:r>
      <w:r w:rsidR="00A510DB" w:rsidRPr="001F2F5D">
        <w:t xml:space="preserve">clarified how </w:t>
      </w:r>
      <w:r w:rsidR="001E23EB" w:rsidRPr="001F2F5D">
        <w:t xml:space="preserve">we </w:t>
      </w:r>
      <w:r w:rsidRPr="001F2F5D">
        <w:t>intend to examine</w:t>
      </w:r>
      <w:r w:rsidR="0060114F" w:rsidRPr="001F2F5D">
        <w:t xml:space="preserve"> </w:t>
      </w:r>
      <w:r w:rsidRPr="001F2F5D">
        <w:t>spectrum</w:t>
      </w:r>
      <w:r w:rsidR="00A510DB" w:rsidRPr="001F2F5D">
        <w:t xml:space="preserve"> use in the context of stage 2 of the ESL process.</w:t>
      </w:r>
      <w:r w:rsidR="00F81E0B" w:rsidRPr="001F2F5D">
        <w:t xml:space="preserve"> </w:t>
      </w:r>
      <w:r w:rsidR="00615A77" w:rsidRPr="001F2F5D">
        <w:t xml:space="preserve">Our approach will strike </w:t>
      </w:r>
      <w:r w:rsidR="002504C4" w:rsidRPr="001F2F5D">
        <w:t xml:space="preserve">a </w:t>
      </w:r>
      <w:r w:rsidR="00615A77" w:rsidRPr="001F2F5D">
        <w:t xml:space="preserve">balance </w:t>
      </w:r>
      <w:r w:rsidR="002504C4" w:rsidRPr="001F2F5D">
        <w:t>that will allow us to gather information and evidence t</w:t>
      </w:r>
      <w:r w:rsidR="00E57C14" w:rsidRPr="001F2F5D">
        <w:t>o</w:t>
      </w:r>
      <w:r w:rsidR="002504C4" w:rsidRPr="001F2F5D">
        <w:t xml:space="preserve"> inform a preliminary view about the </w:t>
      </w:r>
      <w:r w:rsidR="005213F5" w:rsidRPr="001F2F5D">
        <w:t>long-term</w:t>
      </w:r>
      <w:r w:rsidR="002504C4" w:rsidRPr="001F2F5D">
        <w:t xml:space="preserve"> use of the spectrum (</w:t>
      </w:r>
      <w:proofErr w:type="gramStart"/>
      <w:r w:rsidR="002504C4" w:rsidRPr="001F2F5D">
        <w:t>taking into account</w:t>
      </w:r>
      <w:proofErr w:type="gramEnd"/>
      <w:r w:rsidR="002504C4" w:rsidRPr="001F2F5D">
        <w:t xml:space="preserve"> </w:t>
      </w:r>
      <w:r w:rsidR="00C10AE4" w:rsidRPr="001F2F5D">
        <w:t>representations and data from both incumbents and prospective alternative users) without being onerous on stakeholders.</w:t>
      </w:r>
      <w:r w:rsidR="004137F3" w:rsidRPr="001F2F5D">
        <w:t xml:space="preserve"> </w:t>
      </w:r>
    </w:p>
    <w:p w14:paraId="1A0BFF89" w14:textId="77777777" w:rsidR="000A46FB" w:rsidRPr="001F2F5D" w:rsidRDefault="000A46FB" w:rsidP="000A46FB">
      <w:pPr>
        <w:pStyle w:val="Heading2"/>
        <w:rPr>
          <w:b w:val="0"/>
          <w:bCs w:val="0"/>
        </w:rPr>
      </w:pPr>
      <w:bookmarkStart w:id="47" w:name="_Toc149065126"/>
      <w:bookmarkStart w:id="48" w:name="_Toc153795077"/>
      <w:r w:rsidRPr="001F2F5D">
        <w:t>Alternative demand</w:t>
      </w:r>
      <w:bookmarkEnd w:id="47"/>
      <w:bookmarkEnd w:id="48"/>
      <w:r w:rsidRPr="001F2F5D">
        <w:t xml:space="preserve"> </w:t>
      </w:r>
    </w:p>
    <w:p w14:paraId="5956DBEC" w14:textId="720C76C1" w:rsidR="000A46FB" w:rsidRPr="001F2F5D" w:rsidRDefault="000A46FB" w:rsidP="000F4C13">
      <w:pPr>
        <w:pStyle w:val="Paragraph"/>
      </w:pPr>
      <w:r w:rsidRPr="001F2F5D">
        <w:t xml:space="preserve">Alternative demand – that is, alternative </w:t>
      </w:r>
      <w:r w:rsidR="00134518" w:rsidRPr="001F2F5D">
        <w:t>uses</w:t>
      </w:r>
      <w:r w:rsidR="004B39D5" w:rsidRPr="001F2F5D">
        <w:t>, use cases</w:t>
      </w:r>
      <w:r w:rsidRPr="001F2F5D">
        <w:t xml:space="preserve"> and users for the spectrum covered by ESLs – was not directly addressed in our stage 1 consultation</w:t>
      </w:r>
      <w:r w:rsidR="000C53FC" w:rsidRPr="001F2F5D">
        <w:t>. However,</w:t>
      </w:r>
      <w:r w:rsidRPr="001F2F5D">
        <w:t xml:space="preserve"> it </w:t>
      </w:r>
      <w:r w:rsidRPr="001F2F5D">
        <w:lastRenderedPageBreak/>
        <w:t xml:space="preserve">will be relevant to stage 2, and a consideration when we develop preliminary views at stage 3. </w:t>
      </w:r>
    </w:p>
    <w:p w14:paraId="743FCC91" w14:textId="77777777" w:rsidR="000A46FB" w:rsidRPr="001F2F5D" w:rsidRDefault="000A46FB" w:rsidP="00B210DA">
      <w:pPr>
        <w:pStyle w:val="Heading3"/>
      </w:pPr>
      <w:bookmarkStart w:id="49" w:name="_Toc149065127"/>
      <w:r w:rsidRPr="001F2F5D">
        <w:t xml:space="preserve">What stakeholders told </w:t>
      </w:r>
      <w:proofErr w:type="gramStart"/>
      <w:r w:rsidRPr="001F2F5D">
        <w:t>us</w:t>
      </w:r>
      <w:bookmarkEnd w:id="49"/>
      <w:proofErr w:type="gramEnd"/>
    </w:p>
    <w:p w14:paraId="40C2EFFE" w14:textId="145B1B13" w:rsidR="004A401E" w:rsidRPr="001F2F5D" w:rsidRDefault="000A46FB" w:rsidP="00B210DA">
      <w:pPr>
        <w:pStyle w:val="Paragraph"/>
        <w:rPr>
          <w:rStyle w:val="normaltextrun"/>
        </w:rPr>
      </w:pPr>
      <w:r w:rsidRPr="001F2F5D">
        <w:rPr>
          <w:rStyle w:val="normaltextrun"/>
        </w:rPr>
        <w:t xml:space="preserve">Prospective licensees and relevant representative bodies expressed views </w:t>
      </w:r>
      <w:r w:rsidR="005364A6" w:rsidRPr="001F2F5D">
        <w:rPr>
          <w:rStyle w:val="normaltextrun"/>
        </w:rPr>
        <w:t>o</w:t>
      </w:r>
      <w:r w:rsidRPr="001F2F5D">
        <w:rPr>
          <w:rStyle w:val="normaltextrun"/>
        </w:rPr>
        <w:t>n alternative uses of the spectrum covered by the ESLs. Many submissions frame</w:t>
      </w:r>
      <w:r w:rsidR="005364A6" w:rsidRPr="001F2F5D">
        <w:rPr>
          <w:rStyle w:val="normaltextrun"/>
        </w:rPr>
        <w:t>d</w:t>
      </w:r>
      <w:r w:rsidRPr="001F2F5D">
        <w:rPr>
          <w:rStyle w:val="normaltextrun"/>
        </w:rPr>
        <w:t xml:space="preserve"> the ESL process as an opportunity to reconfigure</w:t>
      </w:r>
      <w:r w:rsidR="00E47652" w:rsidRPr="001F2F5D">
        <w:rPr>
          <w:rStyle w:val="normaltextrun"/>
        </w:rPr>
        <w:t xml:space="preserve"> licensing </w:t>
      </w:r>
      <w:proofErr w:type="gramStart"/>
      <w:r w:rsidR="00E47652" w:rsidRPr="001F2F5D">
        <w:rPr>
          <w:rStyle w:val="normaltextrun"/>
        </w:rPr>
        <w:t>arrangements,</w:t>
      </w:r>
      <w:r w:rsidR="00F809A9" w:rsidRPr="001F2F5D">
        <w:rPr>
          <w:rStyle w:val="normaltextrun"/>
        </w:rPr>
        <w:t xml:space="preserve"> </w:t>
      </w:r>
      <w:r w:rsidR="00B56A04" w:rsidRPr="001F2F5D">
        <w:rPr>
          <w:rStyle w:val="normaltextrun"/>
        </w:rPr>
        <w:t>or</w:t>
      </w:r>
      <w:proofErr w:type="gramEnd"/>
      <w:r w:rsidR="00B56A04" w:rsidRPr="001F2F5D">
        <w:rPr>
          <w:rStyle w:val="normaltextrun"/>
        </w:rPr>
        <w:t xml:space="preserve"> </w:t>
      </w:r>
      <w:r w:rsidR="00AD7932" w:rsidRPr="001F2F5D">
        <w:rPr>
          <w:rStyle w:val="normaltextrun"/>
        </w:rPr>
        <w:t>repurpose</w:t>
      </w:r>
      <w:r w:rsidRPr="001F2F5D">
        <w:rPr>
          <w:rStyle w:val="normaltextrun"/>
        </w:rPr>
        <w:t xml:space="preserve"> </w:t>
      </w:r>
      <w:r w:rsidR="00AD7932" w:rsidRPr="001F2F5D">
        <w:rPr>
          <w:rStyle w:val="normaltextrun"/>
        </w:rPr>
        <w:t xml:space="preserve">the relevant </w:t>
      </w:r>
      <w:r w:rsidRPr="001F2F5D">
        <w:rPr>
          <w:rStyle w:val="normaltextrun"/>
        </w:rPr>
        <w:t xml:space="preserve">spectrum. </w:t>
      </w:r>
      <w:r w:rsidR="00D53956" w:rsidRPr="001F2F5D">
        <w:rPr>
          <w:rStyle w:val="normaltextrun"/>
        </w:rPr>
        <w:t>Some submi</w:t>
      </w:r>
      <w:r w:rsidR="00D3711C" w:rsidRPr="001F2F5D">
        <w:rPr>
          <w:rStyle w:val="normaltextrun"/>
        </w:rPr>
        <w:t>tters</w:t>
      </w:r>
      <w:r w:rsidR="00D53956" w:rsidRPr="001F2F5D">
        <w:rPr>
          <w:rStyle w:val="normaltextrun"/>
        </w:rPr>
        <w:t xml:space="preserve"> raised some of the licensing conditions </w:t>
      </w:r>
      <w:r w:rsidR="00911EFB" w:rsidRPr="001F2F5D">
        <w:rPr>
          <w:rStyle w:val="normaltextrun"/>
        </w:rPr>
        <w:t>that were subsequently</w:t>
      </w:r>
      <w:r w:rsidR="00D53956" w:rsidRPr="001F2F5D">
        <w:rPr>
          <w:rStyle w:val="normaltextrun"/>
        </w:rPr>
        <w:t xml:space="preserve"> included in the </w:t>
      </w:r>
      <w:r w:rsidR="00A90EF9" w:rsidRPr="001F2F5D">
        <w:rPr>
          <w:rStyle w:val="normaltextrun"/>
        </w:rPr>
        <w:t>m</w:t>
      </w:r>
      <w:r w:rsidR="00D53956" w:rsidRPr="001F2F5D">
        <w:rPr>
          <w:rStyle w:val="normaltextrun"/>
        </w:rPr>
        <w:t xml:space="preserve">inister’s letter. </w:t>
      </w:r>
      <w:r w:rsidRPr="001F2F5D">
        <w:rPr>
          <w:rStyle w:val="normaltextrun"/>
        </w:rPr>
        <w:t xml:space="preserve">They </w:t>
      </w:r>
      <w:r w:rsidR="000214BD" w:rsidRPr="001F2F5D">
        <w:rPr>
          <w:rStyle w:val="normaltextrun"/>
        </w:rPr>
        <w:t xml:space="preserve">described </w:t>
      </w:r>
      <w:r w:rsidRPr="001F2F5D">
        <w:rPr>
          <w:rStyle w:val="normaltextrun"/>
        </w:rPr>
        <w:t xml:space="preserve">outcomes that could, in their view, increase competition by making ESL spectrum available to alternative uses and under different licensing frameworks. </w:t>
      </w:r>
    </w:p>
    <w:p w14:paraId="2E3014B2" w14:textId="3B9997A6" w:rsidR="000A46FB" w:rsidRPr="001F2F5D" w:rsidRDefault="000A46FB" w:rsidP="00B210DA">
      <w:pPr>
        <w:pStyle w:val="Paragraph"/>
        <w:rPr>
          <w:rStyle w:val="normaltextrun"/>
        </w:rPr>
      </w:pPr>
      <w:r w:rsidRPr="001F2F5D">
        <w:rPr>
          <w:rStyle w:val="normaltextrun"/>
        </w:rPr>
        <w:t>LEO</w:t>
      </w:r>
      <w:r w:rsidR="00395FE5" w:rsidRPr="001F2F5D">
        <w:rPr>
          <w:rStyle w:val="normaltextrun"/>
        </w:rPr>
        <w:t>s</w:t>
      </w:r>
      <w:r w:rsidRPr="001F2F5D">
        <w:rPr>
          <w:rStyle w:val="normaltextrun"/>
        </w:rPr>
        <w:t xml:space="preserve">ats and </w:t>
      </w:r>
      <w:r w:rsidR="008802CE" w:rsidRPr="001F2F5D">
        <w:rPr>
          <w:rStyle w:val="normaltextrun"/>
        </w:rPr>
        <w:t xml:space="preserve">local area </w:t>
      </w:r>
      <w:r w:rsidR="00F45163" w:rsidRPr="001F2F5D">
        <w:t xml:space="preserve">wireless broadband </w:t>
      </w:r>
      <w:r w:rsidRPr="001F2F5D">
        <w:rPr>
          <w:rStyle w:val="normaltextrun"/>
        </w:rPr>
        <w:t xml:space="preserve">were put forward </w:t>
      </w:r>
      <w:r w:rsidR="008A6AFF" w:rsidRPr="001F2F5D">
        <w:rPr>
          <w:rStyle w:val="normaltextrun"/>
        </w:rPr>
        <w:t xml:space="preserve">as </w:t>
      </w:r>
      <w:r w:rsidRPr="001F2F5D">
        <w:rPr>
          <w:rStyle w:val="normaltextrun"/>
        </w:rPr>
        <w:t>hav</w:t>
      </w:r>
      <w:r w:rsidR="00D80F4C" w:rsidRPr="001F2F5D">
        <w:rPr>
          <w:rStyle w:val="normaltextrun"/>
        </w:rPr>
        <w:t>ing th</w:t>
      </w:r>
      <w:r w:rsidR="00AD7932" w:rsidRPr="001F2F5D">
        <w:rPr>
          <w:rStyle w:val="normaltextrun"/>
        </w:rPr>
        <w:t>e</w:t>
      </w:r>
      <w:r w:rsidR="00D80F4C" w:rsidRPr="001F2F5D">
        <w:rPr>
          <w:rStyle w:val="normaltextrun"/>
        </w:rPr>
        <w:t xml:space="preserve"> </w:t>
      </w:r>
      <w:r w:rsidR="003E7C1E" w:rsidRPr="001F2F5D">
        <w:rPr>
          <w:rStyle w:val="normaltextrun"/>
        </w:rPr>
        <w:t>ability to</w:t>
      </w:r>
      <w:r w:rsidRPr="001F2F5D">
        <w:rPr>
          <w:rStyle w:val="normaltextrun"/>
        </w:rPr>
        <w:t xml:space="preserve"> improv</w:t>
      </w:r>
      <w:r w:rsidR="003E7C1E" w:rsidRPr="001F2F5D">
        <w:rPr>
          <w:rStyle w:val="normaltextrun"/>
        </w:rPr>
        <w:t>e</w:t>
      </w:r>
      <w:r w:rsidRPr="001F2F5D">
        <w:rPr>
          <w:rStyle w:val="normaltextrun"/>
        </w:rPr>
        <w:t xml:space="preserve"> coverage for regional and remote areas. </w:t>
      </w:r>
    </w:p>
    <w:p w14:paraId="03FAB304" w14:textId="462691A2" w:rsidR="000A46FB" w:rsidRPr="001F2F5D" w:rsidRDefault="000A46FB" w:rsidP="00B210DA">
      <w:pPr>
        <w:pStyle w:val="Paragraph"/>
        <w:rPr>
          <w:rStyle w:val="eop"/>
        </w:rPr>
      </w:pPr>
      <w:r w:rsidRPr="001F2F5D">
        <w:rPr>
          <w:rStyle w:val="normaltextrun"/>
        </w:rPr>
        <w:t xml:space="preserve">One </w:t>
      </w:r>
      <w:r w:rsidR="000B3CF5" w:rsidRPr="001F2F5D">
        <w:rPr>
          <w:rStyle w:val="normaltextrun"/>
        </w:rPr>
        <w:t>stakeholder</w:t>
      </w:r>
      <w:r w:rsidRPr="001F2F5D">
        <w:rPr>
          <w:rStyle w:val="normaltextrun"/>
        </w:rPr>
        <w:t xml:space="preserve"> made </w:t>
      </w:r>
      <w:proofErr w:type="gramStart"/>
      <w:r w:rsidRPr="001F2F5D">
        <w:rPr>
          <w:rStyle w:val="normaltextrun"/>
        </w:rPr>
        <w:t>a number of</w:t>
      </w:r>
      <w:proofErr w:type="gramEnd"/>
      <w:r w:rsidRPr="001F2F5D">
        <w:rPr>
          <w:rStyle w:val="normaltextrun"/>
        </w:rPr>
        <w:t xml:space="preserve"> suggestions for alternative arrangements to facilitate regional connectivity and other outcomes, </w:t>
      </w:r>
      <w:r w:rsidR="004F7281" w:rsidRPr="001F2F5D">
        <w:rPr>
          <w:rStyle w:val="normaltextrun"/>
        </w:rPr>
        <w:t>including</w:t>
      </w:r>
      <w:r w:rsidRPr="001F2F5D">
        <w:rPr>
          <w:rStyle w:val="normaltextrun"/>
        </w:rPr>
        <w:t xml:space="preserve"> introducing area-wide licences into sub-1 GHz spectrum in regional areas to support</w:t>
      </w:r>
      <w:r w:rsidR="008802CE" w:rsidRPr="001F2F5D">
        <w:t xml:space="preserve"> local area wireless broadband</w:t>
      </w:r>
      <w:r w:rsidRPr="001F2F5D">
        <w:rPr>
          <w:rStyle w:val="normaltextrun"/>
        </w:rPr>
        <w:t>, reserving spectrum for neutral hosting, and reserving spectrum for dynamic spectrum access applications.</w:t>
      </w:r>
      <w:r w:rsidRPr="001F2F5D">
        <w:rPr>
          <w:rStyle w:val="eop"/>
        </w:rPr>
        <w:t> </w:t>
      </w:r>
      <w:r w:rsidR="00987F7A" w:rsidRPr="001F2F5D">
        <w:rPr>
          <w:rStyle w:val="eop"/>
        </w:rPr>
        <w:t>That submission conten</w:t>
      </w:r>
      <w:r w:rsidR="005213F5" w:rsidRPr="001F2F5D">
        <w:rPr>
          <w:rStyle w:val="eop"/>
        </w:rPr>
        <w:t>ded</w:t>
      </w:r>
      <w:r w:rsidR="00987F7A" w:rsidRPr="001F2F5D">
        <w:rPr>
          <w:rStyle w:val="eop"/>
        </w:rPr>
        <w:t xml:space="preserve"> that </w:t>
      </w:r>
      <w:r w:rsidR="00E92CF3" w:rsidRPr="001F2F5D">
        <w:rPr>
          <w:rStyle w:val="eop"/>
        </w:rPr>
        <w:t xml:space="preserve">LEOsat connectivity </w:t>
      </w:r>
      <w:r w:rsidR="00DF44D8" w:rsidRPr="001F2F5D">
        <w:rPr>
          <w:rStyle w:val="eop"/>
        </w:rPr>
        <w:t xml:space="preserve">as a service </w:t>
      </w:r>
      <w:r w:rsidR="00E92CF3" w:rsidRPr="001F2F5D">
        <w:rPr>
          <w:rStyle w:val="eop"/>
        </w:rPr>
        <w:t>is yet to be proven</w:t>
      </w:r>
      <w:r w:rsidR="00DF44D8" w:rsidRPr="001F2F5D">
        <w:rPr>
          <w:rStyle w:val="eop"/>
        </w:rPr>
        <w:t>, and</w:t>
      </w:r>
      <w:r w:rsidR="005213F5" w:rsidRPr="001F2F5D">
        <w:rPr>
          <w:rStyle w:val="eop"/>
        </w:rPr>
        <w:t xml:space="preserve"> that</w:t>
      </w:r>
      <w:r w:rsidR="00DF44D8" w:rsidRPr="001F2F5D">
        <w:rPr>
          <w:rStyle w:val="eop"/>
        </w:rPr>
        <w:t xml:space="preserve"> </w:t>
      </w:r>
      <w:r w:rsidR="00E860A6" w:rsidRPr="001F2F5D">
        <w:rPr>
          <w:rStyle w:val="eop"/>
        </w:rPr>
        <w:t>access to sub-1 GHz for new entrants should be a key consideration.</w:t>
      </w:r>
    </w:p>
    <w:p w14:paraId="79384C12" w14:textId="35BD5A8E" w:rsidR="00575DD1" w:rsidRPr="001F2F5D" w:rsidRDefault="004F7281" w:rsidP="00B210DA">
      <w:pPr>
        <w:pStyle w:val="Paragraph"/>
        <w:rPr>
          <w:rStyle w:val="eop"/>
        </w:rPr>
      </w:pPr>
      <w:r w:rsidRPr="001F2F5D">
        <w:rPr>
          <w:rStyle w:val="eop"/>
        </w:rPr>
        <w:t>Several</w:t>
      </w:r>
      <w:r w:rsidR="00575DD1" w:rsidRPr="001F2F5D">
        <w:rPr>
          <w:rStyle w:val="eop"/>
        </w:rPr>
        <w:t xml:space="preserve"> submissions</w:t>
      </w:r>
      <w:r w:rsidR="007F3A64" w:rsidRPr="001F2F5D">
        <w:rPr>
          <w:rStyle w:val="eop"/>
        </w:rPr>
        <w:t xml:space="preserve"> suggested that </w:t>
      </w:r>
      <w:r w:rsidR="00BE6B09" w:rsidRPr="001F2F5D">
        <w:rPr>
          <w:rStyle w:val="eop"/>
        </w:rPr>
        <w:t xml:space="preserve">provision of </w:t>
      </w:r>
      <w:r w:rsidR="007F3A64" w:rsidRPr="001F2F5D">
        <w:rPr>
          <w:rStyle w:val="eop"/>
        </w:rPr>
        <w:t xml:space="preserve">roaming </w:t>
      </w:r>
      <w:r w:rsidR="00BE6B09" w:rsidRPr="001F2F5D">
        <w:rPr>
          <w:rStyle w:val="eop"/>
        </w:rPr>
        <w:t xml:space="preserve">capability </w:t>
      </w:r>
      <w:r w:rsidR="007F3A64" w:rsidRPr="001F2F5D">
        <w:rPr>
          <w:rStyle w:val="eop"/>
        </w:rPr>
        <w:t xml:space="preserve">should be </w:t>
      </w:r>
      <w:r w:rsidR="00BE6B09" w:rsidRPr="001F2F5D">
        <w:rPr>
          <w:rStyle w:val="eop"/>
        </w:rPr>
        <w:t xml:space="preserve">included in spectrum licences, </w:t>
      </w:r>
      <w:r w:rsidR="00F275D7" w:rsidRPr="001F2F5D">
        <w:rPr>
          <w:rStyle w:val="eop"/>
        </w:rPr>
        <w:t>as a general</w:t>
      </w:r>
      <w:r w:rsidR="00BE6B09" w:rsidRPr="001F2F5D">
        <w:rPr>
          <w:rStyle w:val="eop"/>
        </w:rPr>
        <w:t xml:space="preserve"> </w:t>
      </w:r>
      <w:r w:rsidR="00F275D7" w:rsidRPr="001F2F5D">
        <w:rPr>
          <w:rStyle w:val="eop"/>
        </w:rPr>
        <w:t xml:space="preserve">requirement to </w:t>
      </w:r>
      <w:r w:rsidR="00D60553" w:rsidRPr="001F2F5D">
        <w:rPr>
          <w:rStyle w:val="eop"/>
        </w:rPr>
        <w:t>increase coverage and competition in regional areas</w:t>
      </w:r>
      <w:r w:rsidR="00E46BB8" w:rsidRPr="001F2F5D">
        <w:rPr>
          <w:rStyle w:val="eop"/>
        </w:rPr>
        <w:t>,</w:t>
      </w:r>
      <w:r w:rsidR="00F275D7" w:rsidRPr="001F2F5D">
        <w:rPr>
          <w:rStyle w:val="eop"/>
        </w:rPr>
        <w:t xml:space="preserve"> as a public safety measure for emergencies, or </w:t>
      </w:r>
      <w:r w:rsidR="00810055" w:rsidRPr="001F2F5D">
        <w:rPr>
          <w:rStyle w:val="eop"/>
        </w:rPr>
        <w:t>in relation to public safety agencies (rather than the public).</w:t>
      </w:r>
      <w:r w:rsidR="00E46BB8" w:rsidRPr="001F2F5D">
        <w:rPr>
          <w:rStyle w:val="eop"/>
        </w:rPr>
        <w:t xml:space="preserve"> </w:t>
      </w:r>
    </w:p>
    <w:p w14:paraId="6BA56420" w14:textId="3E0F4BF4" w:rsidR="000A46FB" w:rsidRPr="001F2F5D" w:rsidRDefault="001E3C18" w:rsidP="00B210DA">
      <w:pPr>
        <w:pStyle w:val="Paragraph"/>
      </w:pPr>
      <w:r w:rsidRPr="001F2F5D">
        <w:rPr>
          <w:rStyle w:val="normaltextrun"/>
        </w:rPr>
        <w:t xml:space="preserve">Some </w:t>
      </w:r>
      <w:r w:rsidR="000A46FB" w:rsidRPr="001F2F5D">
        <w:rPr>
          <w:rStyle w:val="normaltextrun"/>
        </w:rPr>
        <w:t xml:space="preserve">submissions conveyed support for </w:t>
      </w:r>
      <w:r w:rsidR="00ED2246" w:rsidRPr="001F2F5D">
        <w:rPr>
          <w:rStyle w:val="normaltextrun"/>
        </w:rPr>
        <w:t xml:space="preserve">UIOLI </w:t>
      </w:r>
      <w:r w:rsidR="000A46FB" w:rsidRPr="001F2F5D">
        <w:rPr>
          <w:rStyle w:val="normaltextrun"/>
        </w:rPr>
        <w:t xml:space="preserve">or </w:t>
      </w:r>
      <w:r w:rsidR="00ED2246" w:rsidRPr="001F2F5D">
        <w:rPr>
          <w:rStyle w:val="normaltextrun"/>
        </w:rPr>
        <w:t xml:space="preserve">UIOSI </w:t>
      </w:r>
      <w:r w:rsidR="000A46FB" w:rsidRPr="001F2F5D">
        <w:rPr>
          <w:rStyle w:val="normaltextrun"/>
        </w:rPr>
        <w:t xml:space="preserve">conditions </w:t>
      </w:r>
      <w:r w:rsidR="00AB49AF" w:rsidRPr="001F2F5D">
        <w:rPr>
          <w:rStyle w:val="normaltextrun"/>
        </w:rPr>
        <w:t xml:space="preserve">to be </w:t>
      </w:r>
      <w:r w:rsidR="000A46FB" w:rsidRPr="001F2F5D">
        <w:rPr>
          <w:rStyle w:val="normaltextrun"/>
        </w:rPr>
        <w:t>included in renewed or new spectrum licences</w:t>
      </w:r>
      <w:r w:rsidR="00BF348B" w:rsidRPr="001F2F5D">
        <w:rPr>
          <w:rStyle w:val="normaltextrun"/>
        </w:rPr>
        <w:t>,</w:t>
      </w:r>
      <w:r w:rsidR="000A46FB" w:rsidRPr="001F2F5D">
        <w:rPr>
          <w:rStyle w:val="normaltextrun"/>
        </w:rPr>
        <w:t xml:space="preserve"> as a way of </w:t>
      </w:r>
      <w:r w:rsidR="00D8576A" w:rsidRPr="001F2F5D">
        <w:rPr>
          <w:rStyle w:val="normaltextrun"/>
        </w:rPr>
        <w:t xml:space="preserve">ensuring </w:t>
      </w:r>
      <w:r w:rsidR="000A46FB" w:rsidRPr="001F2F5D">
        <w:rPr>
          <w:rStyle w:val="normaltextrun"/>
        </w:rPr>
        <w:t>that spectrum is utilised,</w:t>
      </w:r>
      <w:r w:rsidR="00064FBD" w:rsidRPr="001F2F5D">
        <w:rPr>
          <w:rStyle w:val="normaltextrun"/>
        </w:rPr>
        <w:t xml:space="preserve"> and competition outcomes are realised,</w:t>
      </w:r>
      <w:r w:rsidR="000A46FB" w:rsidRPr="001F2F5D">
        <w:rPr>
          <w:rStyle w:val="normaltextrun"/>
        </w:rPr>
        <w:t xml:space="preserve"> particularly in regional areas.</w:t>
      </w:r>
      <w:r w:rsidR="007A3782" w:rsidRPr="001F2F5D">
        <w:rPr>
          <w:rStyle w:val="normaltextrun"/>
        </w:rPr>
        <w:t xml:space="preserve"> Some submissions</w:t>
      </w:r>
      <w:r w:rsidR="00BF6F3E" w:rsidRPr="001F2F5D">
        <w:rPr>
          <w:rStyle w:val="normaltextrun"/>
        </w:rPr>
        <w:t xml:space="preserve"> </w:t>
      </w:r>
      <w:r w:rsidR="007A3782" w:rsidRPr="001F2F5D">
        <w:rPr>
          <w:rStyle w:val="normaltextrun"/>
        </w:rPr>
        <w:t>suggested that E</w:t>
      </w:r>
      <w:r w:rsidR="00EE0BF3" w:rsidRPr="001F2F5D">
        <w:rPr>
          <w:rStyle w:val="normaltextrun"/>
        </w:rPr>
        <w:t>S</w:t>
      </w:r>
      <w:r w:rsidR="007A3782" w:rsidRPr="001F2F5D">
        <w:rPr>
          <w:rStyle w:val="normaltextrun"/>
        </w:rPr>
        <w:t>L</w:t>
      </w:r>
      <w:r w:rsidR="005A4FF6" w:rsidRPr="001F2F5D">
        <w:rPr>
          <w:rStyle w:val="normaltextrun"/>
        </w:rPr>
        <w:t>s</w:t>
      </w:r>
      <w:r w:rsidR="001D05C3" w:rsidRPr="001F2F5D">
        <w:rPr>
          <w:rStyle w:val="normaltextrun"/>
        </w:rPr>
        <w:t xml:space="preserve"> should</w:t>
      </w:r>
      <w:r w:rsidR="007A3782" w:rsidRPr="001F2F5D">
        <w:rPr>
          <w:rStyle w:val="normaltextrun"/>
        </w:rPr>
        <w:t xml:space="preserve"> include coverage </w:t>
      </w:r>
      <w:r w:rsidR="00BF6F3E" w:rsidRPr="001F2F5D">
        <w:rPr>
          <w:rStyle w:val="normaltextrun"/>
        </w:rPr>
        <w:t xml:space="preserve">targets </w:t>
      </w:r>
      <w:r w:rsidR="0031297E" w:rsidRPr="001F2F5D">
        <w:rPr>
          <w:rStyle w:val="normaltextrun"/>
        </w:rPr>
        <w:t>(or, as we describe them</w:t>
      </w:r>
      <w:r w:rsidR="0005519C" w:rsidRPr="001F2F5D">
        <w:rPr>
          <w:rStyle w:val="normaltextrun"/>
        </w:rPr>
        <w:t xml:space="preserve"> in this paper, rollout obligations) </w:t>
      </w:r>
      <w:r w:rsidR="00BF6F3E" w:rsidRPr="001F2F5D">
        <w:rPr>
          <w:rStyle w:val="normaltextrun"/>
        </w:rPr>
        <w:t xml:space="preserve">in regional areas, in some cases </w:t>
      </w:r>
      <w:r w:rsidR="00C3530F" w:rsidRPr="001F2F5D">
        <w:rPr>
          <w:rStyle w:val="normaltextrun"/>
        </w:rPr>
        <w:t xml:space="preserve">with </w:t>
      </w:r>
      <w:r w:rsidR="00BF6F3E" w:rsidRPr="001F2F5D">
        <w:rPr>
          <w:rStyle w:val="normaltextrun"/>
        </w:rPr>
        <w:t>specified timeframes</w:t>
      </w:r>
      <w:r w:rsidR="00C3530F" w:rsidRPr="001F2F5D">
        <w:rPr>
          <w:rStyle w:val="normaltextrun"/>
        </w:rPr>
        <w:t xml:space="preserve"> or </w:t>
      </w:r>
      <w:r w:rsidR="0031297E" w:rsidRPr="001F2F5D">
        <w:rPr>
          <w:rStyle w:val="normaltextrun"/>
        </w:rPr>
        <w:t xml:space="preserve">higher prices used to compel or encourage meeting </w:t>
      </w:r>
      <w:r w:rsidR="00652335" w:rsidRPr="001F2F5D">
        <w:rPr>
          <w:rStyle w:val="normaltextrun"/>
        </w:rPr>
        <w:t xml:space="preserve">those </w:t>
      </w:r>
      <w:r w:rsidR="0031297E" w:rsidRPr="001F2F5D">
        <w:rPr>
          <w:rStyle w:val="normaltextrun"/>
        </w:rPr>
        <w:t>target</w:t>
      </w:r>
      <w:r w:rsidR="00652335" w:rsidRPr="001F2F5D">
        <w:rPr>
          <w:rStyle w:val="normaltextrun"/>
        </w:rPr>
        <w:t>s</w:t>
      </w:r>
      <w:r w:rsidR="00BF6F3E" w:rsidRPr="001F2F5D">
        <w:rPr>
          <w:rStyle w:val="normaltextrun"/>
        </w:rPr>
        <w:t>.</w:t>
      </w:r>
      <w:r w:rsidR="000A46FB" w:rsidRPr="001F2F5D">
        <w:rPr>
          <w:rStyle w:val="normaltextrun"/>
        </w:rPr>
        <w:t xml:space="preserve"> </w:t>
      </w:r>
      <w:r w:rsidR="000A46FB" w:rsidRPr="001F2F5D">
        <w:t xml:space="preserve">Views were also </w:t>
      </w:r>
      <w:r w:rsidR="000A46FB" w:rsidRPr="001F2F5D">
        <w:rPr>
          <w:rStyle w:val="normaltextrun"/>
        </w:rPr>
        <w:t>put that low</w:t>
      </w:r>
      <w:r w:rsidR="005A4FF6" w:rsidRPr="001F2F5D">
        <w:rPr>
          <w:rStyle w:val="normaltextrun"/>
        </w:rPr>
        <w:t>-</w:t>
      </w:r>
      <w:r w:rsidR="000A46FB" w:rsidRPr="001F2F5D">
        <w:rPr>
          <w:rStyle w:val="normaltextrun"/>
        </w:rPr>
        <w:t>band spectrum should be repurposed for PSMB</w:t>
      </w:r>
      <w:r w:rsidR="00820E8B" w:rsidRPr="001F2F5D">
        <w:rPr>
          <w:rStyle w:val="normaltextrun"/>
        </w:rPr>
        <w:t xml:space="preserve"> (see ‘ESL outcomes’ above)</w:t>
      </w:r>
      <w:r w:rsidR="000A46FB" w:rsidRPr="001F2F5D">
        <w:rPr>
          <w:rStyle w:val="normaltextrun"/>
        </w:rPr>
        <w:t>.</w:t>
      </w:r>
    </w:p>
    <w:p w14:paraId="42FEFF02" w14:textId="399D1329" w:rsidR="000A46FB" w:rsidRPr="001F2F5D" w:rsidRDefault="00EE0BF3" w:rsidP="00B210DA">
      <w:pPr>
        <w:pStyle w:val="Paragraph"/>
        <w:rPr>
          <w:rStyle w:val="eop"/>
        </w:rPr>
      </w:pPr>
      <w:r w:rsidRPr="001F2F5D">
        <w:t>Wireless broadband</w:t>
      </w:r>
      <w:r w:rsidR="000A46FB" w:rsidRPr="001F2F5D">
        <w:t xml:space="preserve"> stakeholders generally cautioned against outcomes that could lead to spectrum covered by their licences being repurposed for alternative use cases or alternative users.</w:t>
      </w:r>
      <w:r w:rsidR="00AC21FB" w:rsidRPr="001F2F5D">
        <w:t xml:space="preserve"> </w:t>
      </w:r>
      <w:r w:rsidR="000A46FB" w:rsidRPr="001F2F5D">
        <w:rPr>
          <w:rStyle w:val="normaltextrun"/>
        </w:rPr>
        <w:t>The</w:t>
      </w:r>
      <w:r w:rsidR="00F21548" w:rsidRPr="001F2F5D">
        <w:rPr>
          <w:rStyle w:val="normaltextrun"/>
        </w:rPr>
        <w:t>y</w:t>
      </w:r>
      <w:r w:rsidR="000A46FB" w:rsidRPr="001F2F5D">
        <w:rPr>
          <w:rStyle w:val="normaltextrun"/>
        </w:rPr>
        <w:t xml:space="preserve"> argued that any alternative uses or users should satisfy – with compelling evidence – </w:t>
      </w:r>
      <w:r w:rsidR="00DB68B9" w:rsidRPr="001F2F5D">
        <w:rPr>
          <w:rStyle w:val="normaltextrun"/>
        </w:rPr>
        <w:t xml:space="preserve">the </w:t>
      </w:r>
      <w:r w:rsidR="000A46FB" w:rsidRPr="001F2F5D">
        <w:rPr>
          <w:rStyle w:val="normaltextrun"/>
        </w:rPr>
        <w:t xml:space="preserve">public interest criteria to at least the same degree as </w:t>
      </w:r>
      <w:r w:rsidR="009F3B56" w:rsidRPr="001F2F5D">
        <w:rPr>
          <w:rStyle w:val="normaltextrun"/>
        </w:rPr>
        <w:t>existing uses and users</w:t>
      </w:r>
      <w:r w:rsidR="000A46FB" w:rsidRPr="001F2F5D">
        <w:rPr>
          <w:rStyle w:val="normaltextrun"/>
        </w:rPr>
        <w:t xml:space="preserve">, </w:t>
      </w:r>
      <w:r w:rsidR="00663C29" w:rsidRPr="001F2F5D">
        <w:rPr>
          <w:rStyle w:val="normaltextrun"/>
        </w:rPr>
        <w:t>and</w:t>
      </w:r>
      <w:r w:rsidR="000A46FB" w:rsidRPr="001F2F5D">
        <w:rPr>
          <w:rStyle w:val="normaltextrun"/>
        </w:rPr>
        <w:t xml:space="preserve"> </w:t>
      </w:r>
      <w:r w:rsidR="009818DA" w:rsidRPr="001F2F5D">
        <w:rPr>
          <w:rStyle w:val="normaltextrun"/>
        </w:rPr>
        <w:t xml:space="preserve">that the benefits associated </w:t>
      </w:r>
      <w:r w:rsidR="007057B0" w:rsidRPr="001F2F5D">
        <w:rPr>
          <w:rStyle w:val="normaltextrun"/>
        </w:rPr>
        <w:t xml:space="preserve">with alternatives would also need to be weighed against incumbent </w:t>
      </w:r>
      <w:r w:rsidR="000A46FB" w:rsidRPr="001F2F5D">
        <w:rPr>
          <w:rStyle w:val="normaltextrun"/>
        </w:rPr>
        <w:t>investments. Illustrating the point, one submi</w:t>
      </w:r>
      <w:r w:rsidR="00906903" w:rsidRPr="001F2F5D">
        <w:rPr>
          <w:rStyle w:val="normaltextrun"/>
        </w:rPr>
        <w:t>tter</w:t>
      </w:r>
      <w:r w:rsidR="004864E1" w:rsidRPr="001F2F5D">
        <w:rPr>
          <w:rStyle w:val="normaltextrun"/>
        </w:rPr>
        <w:t xml:space="preserve"> </w:t>
      </w:r>
      <w:r w:rsidR="000A46FB" w:rsidRPr="001F2F5D">
        <w:rPr>
          <w:rStyle w:val="normaltextrun"/>
        </w:rPr>
        <w:t>argue</w:t>
      </w:r>
      <w:r w:rsidR="004864E1" w:rsidRPr="001F2F5D">
        <w:rPr>
          <w:rStyle w:val="normaltextrun"/>
        </w:rPr>
        <w:t>d</w:t>
      </w:r>
      <w:r w:rsidR="000A46FB" w:rsidRPr="001F2F5D">
        <w:rPr>
          <w:rStyle w:val="normaltextrun"/>
        </w:rPr>
        <w:t xml:space="preserve"> that re-allocating spectrum for private networks </w:t>
      </w:r>
      <w:r w:rsidR="00AC21FB" w:rsidRPr="001F2F5D">
        <w:rPr>
          <w:rStyle w:val="normaltextrun"/>
        </w:rPr>
        <w:t xml:space="preserve">would not be </w:t>
      </w:r>
      <w:r w:rsidR="000A46FB" w:rsidRPr="001F2F5D">
        <w:rPr>
          <w:rStyle w:val="normaltextrun"/>
        </w:rPr>
        <w:t xml:space="preserve">in </w:t>
      </w:r>
      <w:r w:rsidR="00AC21FB" w:rsidRPr="001F2F5D">
        <w:rPr>
          <w:rStyle w:val="normaltextrun"/>
        </w:rPr>
        <w:t xml:space="preserve">the </w:t>
      </w:r>
      <w:r w:rsidR="000A46FB" w:rsidRPr="001F2F5D">
        <w:rPr>
          <w:rStyle w:val="normaltextrun"/>
        </w:rPr>
        <w:t>public interest, citing sources that conten</w:t>
      </w:r>
      <w:r w:rsidR="001E133A" w:rsidRPr="001F2F5D">
        <w:rPr>
          <w:rStyle w:val="normaltextrun"/>
        </w:rPr>
        <w:t>d</w:t>
      </w:r>
      <w:r w:rsidR="000A46FB" w:rsidRPr="001F2F5D">
        <w:rPr>
          <w:rStyle w:val="normaltextrun"/>
        </w:rPr>
        <w:t xml:space="preserve"> that such allocation approaches offer no strong advantages to operator-supplied private networks and can create significant costs, ultimately resulting in inefficient use of the spectrum.</w:t>
      </w:r>
      <w:r w:rsidR="000A46FB" w:rsidRPr="001F2F5D">
        <w:rPr>
          <w:rStyle w:val="eop"/>
        </w:rPr>
        <w:t xml:space="preserve"> They made generally similar observations regarding repurposing ESL spectrum for new users and PSMB. </w:t>
      </w:r>
    </w:p>
    <w:p w14:paraId="4B89D268" w14:textId="12B42814" w:rsidR="000A46FB" w:rsidRPr="001F2F5D" w:rsidRDefault="000A46FB" w:rsidP="00B210DA">
      <w:pPr>
        <w:pStyle w:val="Paragraph"/>
      </w:pPr>
      <w:r w:rsidRPr="001F2F5D">
        <w:t>Several submission</w:t>
      </w:r>
      <w:r w:rsidR="009F3B56" w:rsidRPr="001F2F5D">
        <w:t>s</w:t>
      </w:r>
      <w:r w:rsidRPr="001F2F5D">
        <w:t xml:space="preserve"> encouraged the ACMA publish </w:t>
      </w:r>
      <w:r w:rsidRPr="001F2F5D">
        <w:rPr>
          <w:rStyle w:val="normaltextrun"/>
        </w:rPr>
        <w:t>a notice under section 78 of the Act</w:t>
      </w:r>
      <w:r w:rsidR="00906903" w:rsidRPr="001F2F5D">
        <w:rPr>
          <w:rStyle w:val="normaltextrun"/>
        </w:rPr>
        <w:t xml:space="preserve"> </w:t>
      </w:r>
      <w:r w:rsidRPr="001F2F5D">
        <w:rPr>
          <w:rStyle w:val="normaltextrun"/>
        </w:rPr>
        <w:t xml:space="preserve">to invite and identify stakeholders with propositions for alternative </w:t>
      </w:r>
      <w:r w:rsidR="00DC7A11" w:rsidRPr="001F2F5D">
        <w:rPr>
          <w:rStyle w:val="normaltextrun"/>
        </w:rPr>
        <w:t xml:space="preserve">uses </w:t>
      </w:r>
      <w:r w:rsidR="008A268A" w:rsidRPr="001F2F5D">
        <w:rPr>
          <w:rStyle w:val="normaltextrun"/>
        </w:rPr>
        <w:t xml:space="preserve">or users </w:t>
      </w:r>
      <w:r w:rsidR="00DC7A11" w:rsidRPr="001F2F5D">
        <w:rPr>
          <w:rStyle w:val="normaltextrun"/>
        </w:rPr>
        <w:t>for the spectrum</w:t>
      </w:r>
      <w:r w:rsidRPr="001F2F5D">
        <w:rPr>
          <w:rStyle w:val="normaltextrun"/>
        </w:rPr>
        <w:t>.</w:t>
      </w:r>
    </w:p>
    <w:p w14:paraId="6B77ABD1" w14:textId="77777777" w:rsidR="000A46FB" w:rsidRPr="001F2F5D" w:rsidRDefault="000A46FB" w:rsidP="00B210DA">
      <w:pPr>
        <w:pStyle w:val="Heading3"/>
      </w:pPr>
      <w:bookmarkStart w:id="50" w:name="_Toc149065128"/>
      <w:r w:rsidRPr="001F2F5D">
        <w:rPr>
          <w:rStyle w:val="normaltextrun"/>
        </w:rPr>
        <w:t>Our response</w:t>
      </w:r>
      <w:bookmarkEnd w:id="50"/>
    </w:p>
    <w:p w14:paraId="6E976AF4" w14:textId="54D82B47" w:rsidR="00724DCE" w:rsidRPr="001F2F5D" w:rsidRDefault="00724DCE" w:rsidP="00724DCE">
      <w:pPr>
        <w:pStyle w:val="Paragraph"/>
      </w:pPr>
      <w:r w:rsidRPr="001F2F5D">
        <w:rPr>
          <w:rStyle w:val="normaltextrun"/>
        </w:rPr>
        <w:t>We note that</w:t>
      </w:r>
      <w:r w:rsidR="00652335" w:rsidRPr="001F2F5D">
        <w:rPr>
          <w:rStyle w:val="normaltextrun"/>
        </w:rPr>
        <w:t>,</w:t>
      </w:r>
      <w:r w:rsidRPr="001F2F5D">
        <w:rPr>
          <w:rStyle w:val="normaltextrun"/>
        </w:rPr>
        <w:t xml:space="preserve"> while </w:t>
      </w:r>
      <w:r w:rsidR="004F3DCD" w:rsidRPr="001F2F5D">
        <w:rPr>
          <w:rStyle w:val="normaltextrun"/>
        </w:rPr>
        <w:t xml:space="preserve">the </w:t>
      </w:r>
      <w:r w:rsidRPr="001F2F5D">
        <w:rPr>
          <w:rStyle w:val="normaltextrun"/>
        </w:rPr>
        <w:t xml:space="preserve">government has several levers at its disposal to </w:t>
      </w:r>
      <w:r w:rsidR="004F3DCD" w:rsidRPr="001F2F5D">
        <w:rPr>
          <w:rStyle w:val="normaltextrun"/>
        </w:rPr>
        <w:t>carry out</w:t>
      </w:r>
      <w:r w:rsidR="00906903" w:rsidRPr="001F2F5D">
        <w:rPr>
          <w:rStyle w:val="normaltextrun"/>
        </w:rPr>
        <w:t xml:space="preserve"> </w:t>
      </w:r>
      <w:r w:rsidRPr="001F2F5D">
        <w:rPr>
          <w:rStyle w:val="normaltextrun"/>
        </w:rPr>
        <w:t>communications policy, th</w:t>
      </w:r>
      <w:r w:rsidR="00652335" w:rsidRPr="001F2F5D">
        <w:rPr>
          <w:rStyle w:val="normaltextrun"/>
        </w:rPr>
        <w:t>e</w:t>
      </w:r>
      <w:r w:rsidRPr="001F2F5D">
        <w:rPr>
          <w:rStyle w:val="normaltextrun"/>
        </w:rPr>
        <w:t xml:space="preserve"> ESL process represents a relatively rare window in which </w:t>
      </w:r>
      <w:r w:rsidRPr="001F2F5D">
        <w:rPr>
          <w:rStyle w:val="normaltextrun"/>
        </w:rPr>
        <w:lastRenderedPageBreak/>
        <w:t>a broad range of spectrum bands could be considered as potential inputs into supporting policy objectives.</w:t>
      </w:r>
      <w:r w:rsidRPr="001F2F5D">
        <w:rPr>
          <w:rStyle w:val="eop"/>
        </w:rPr>
        <w:t> </w:t>
      </w:r>
    </w:p>
    <w:p w14:paraId="72FAF3AB" w14:textId="7217A3F2" w:rsidR="003B29A2" w:rsidRPr="001F2F5D" w:rsidRDefault="003B29A2" w:rsidP="00B210DA">
      <w:pPr>
        <w:pStyle w:val="Paragraph"/>
        <w:rPr>
          <w:rStyle w:val="normaltextrun"/>
        </w:rPr>
      </w:pPr>
      <w:r w:rsidRPr="001F2F5D">
        <w:rPr>
          <w:rStyle w:val="normaltextrun"/>
        </w:rPr>
        <w:t xml:space="preserve">As outlined above, </w:t>
      </w:r>
      <w:r w:rsidR="00122CA6" w:rsidRPr="001F2F5D">
        <w:rPr>
          <w:rStyle w:val="normaltextrun"/>
        </w:rPr>
        <w:t>as part of stage 2</w:t>
      </w:r>
      <w:r w:rsidRPr="001F2F5D">
        <w:rPr>
          <w:rStyle w:val="normaltextrun"/>
        </w:rPr>
        <w:t xml:space="preserve">, </w:t>
      </w:r>
      <w:r w:rsidR="00030310" w:rsidRPr="001F2F5D">
        <w:rPr>
          <w:rStyle w:val="normaltextrun"/>
        </w:rPr>
        <w:t xml:space="preserve">we will </w:t>
      </w:r>
      <w:r w:rsidR="00BC3468" w:rsidRPr="001F2F5D">
        <w:rPr>
          <w:rStyle w:val="normaltextrun"/>
        </w:rPr>
        <w:t xml:space="preserve">develop a considered view on licensing arrangements identified by the </w:t>
      </w:r>
      <w:r w:rsidR="00906903" w:rsidRPr="001F2F5D">
        <w:rPr>
          <w:rStyle w:val="normaltextrun"/>
        </w:rPr>
        <w:t>m</w:t>
      </w:r>
      <w:r w:rsidR="00BC3468" w:rsidRPr="001F2F5D">
        <w:rPr>
          <w:rStyle w:val="normaltextrun"/>
        </w:rPr>
        <w:t xml:space="preserve">inister in </w:t>
      </w:r>
      <w:r w:rsidR="00B3519D" w:rsidRPr="001F2F5D">
        <w:rPr>
          <w:rStyle w:val="normaltextrun"/>
        </w:rPr>
        <w:t xml:space="preserve">her </w:t>
      </w:r>
      <w:r w:rsidR="00BC3468" w:rsidRPr="001F2F5D">
        <w:rPr>
          <w:rStyle w:val="normaltextrun"/>
        </w:rPr>
        <w:t xml:space="preserve">letter, and </w:t>
      </w:r>
      <w:r w:rsidR="00ED2246" w:rsidRPr="001F2F5D">
        <w:rPr>
          <w:rStyle w:val="normaltextrun"/>
        </w:rPr>
        <w:t>by stakeholders, including UIOLI and UIOSI</w:t>
      </w:r>
      <w:r w:rsidR="0031681D" w:rsidRPr="001F2F5D">
        <w:rPr>
          <w:rStyle w:val="normaltextrun"/>
        </w:rPr>
        <w:t xml:space="preserve"> conditions, </w:t>
      </w:r>
      <w:r w:rsidR="003331A8" w:rsidRPr="001F2F5D">
        <w:rPr>
          <w:rStyle w:val="normaltextrun"/>
        </w:rPr>
        <w:t xml:space="preserve">and </w:t>
      </w:r>
      <w:r w:rsidR="0031681D" w:rsidRPr="001F2F5D">
        <w:rPr>
          <w:rStyle w:val="normaltextrun"/>
        </w:rPr>
        <w:t>rollout obligations</w:t>
      </w:r>
      <w:r w:rsidR="00ED2246" w:rsidRPr="001F2F5D">
        <w:rPr>
          <w:rStyle w:val="normaltextrun"/>
        </w:rPr>
        <w:t>.</w:t>
      </w:r>
      <w:r w:rsidR="003D6E1A" w:rsidRPr="001F2F5D">
        <w:rPr>
          <w:rStyle w:val="normaltextrun"/>
        </w:rPr>
        <w:t xml:space="preserve"> </w:t>
      </w:r>
      <w:r w:rsidR="00C80345" w:rsidRPr="001F2F5D">
        <w:rPr>
          <w:rStyle w:val="normaltextrun"/>
        </w:rPr>
        <w:t xml:space="preserve">We will consider the broad policy intent of these conditions, </w:t>
      </w:r>
      <w:r w:rsidR="002C6D15" w:rsidRPr="001F2F5D">
        <w:rPr>
          <w:rStyle w:val="normaltextrun"/>
        </w:rPr>
        <w:t xml:space="preserve">the types of outcomes they are intended to achieve, and </w:t>
      </w:r>
      <w:r w:rsidR="00BD45DF" w:rsidRPr="001F2F5D">
        <w:rPr>
          <w:rStyle w:val="normaltextrun"/>
        </w:rPr>
        <w:t>how they might be implemented under the Act</w:t>
      </w:r>
      <w:r w:rsidR="002C6D15" w:rsidRPr="001F2F5D">
        <w:rPr>
          <w:rStyle w:val="normaltextrun"/>
        </w:rPr>
        <w:t>.</w:t>
      </w:r>
      <w:r w:rsidR="00283C74" w:rsidRPr="001F2F5D">
        <w:rPr>
          <w:rStyle w:val="normaltextrun"/>
        </w:rPr>
        <w:t xml:space="preserve"> We will invite stakeholders to respond to our views on these licensing conditions.</w:t>
      </w:r>
    </w:p>
    <w:p w14:paraId="21D6D44C" w14:textId="1DDA05C9" w:rsidR="008223EB" w:rsidRPr="001F2F5D" w:rsidRDefault="00906903" w:rsidP="008223EB">
      <w:pPr>
        <w:pStyle w:val="Paragraph"/>
        <w:rPr>
          <w:rStyle w:val="normaltextrun"/>
        </w:rPr>
      </w:pPr>
      <w:r w:rsidRPr="001F2F5D">
        <w:rPr>
          <w:rStyle w:val="normaltextrun"/>
        </w:rPr>
        <w:t>In terms of</w:t>
      </w:r>
      <w:r w:rsidR="002C6D15" w:rsidRPr="001F2F5D">
        <w:rPr>
          <w:rStyle w:val="normaltextrun"/>
        </w:rPr>
        <w:t xml:space="preserve"> roaming,</w:t>
      </w:r>
      <w:r w:rsidR="00D91DF2" w:rsidRPr="001F2F5D">
        <w:rPr>
          <w:rStyle w:val="normaltextrun"/>
        </w:rPr>
        <w:t xml:space="preserve"> </w:t>
      </w:r>
      <w:r w:rsidR="00877E5A" w:rsidRPr="001F2F5D">
        <w:rPr>
          <w:rStyle w:val="normaltextrun"/>
        </w:rPr>
        <w:t xml:space="preserve">we would not normally consider the Act in general, or licence conditions in individual spectrum licences, to be the </w:t>
      </w:r>
      <w:r w:rsidR="00A3635F" w:rsidRPr="001F2F5D">
        <w:rPr>
          <w:rStyle w:val="normaltextrun"/>
        </w:rPr>
        <w:t xml:space="preserve">appropriate mechanisms to achieve </w:t>
      </w:r>
      <w:r w:rsidR="0095526E" w:rsidRPr="001F2F5D">
        <w:rPr>
          <w:rStyle w:val="normaltextrun"/>
        </w:rPr>
        <w:t>roaming</w:t>
      </w:r>
      <w:r w:rsidR="00A3635F" w:rsidRPr="001F2F5D">
        <w:rPr>
          <w:rStyle w:val="normaltextrun"/>
        </w:rPr>
        <w:t xml:space="preserve"> outcomes</w:t>
      </w:r>
      <w:r w:rsidR="000A0DE2" w:rsidRPr="001F2F5D">
        <w:rPr>
          <w:rStyle w:val="normaltextrun"/>
        </w:rPr>
        <w:t xml:space="preserve"> – nor would we </w:t>
      </w:r>
      <w:r w:rsidR="009838A2" w:rsidRPr="001F2F5D">
        <w:rPr>
          <w:rStyle w:val="normaltextrun"/>
        </w:rPr>
        <w:t xml:space="preserve">necessarily </w:t>
      </w:r>
      <w:r w:rsidR="000A0DE2" w:rsidRPr="001F2F5D">
        <w:rPr>
          <w:rStyle w:val="normaltextrun"/>
        </w:rPr>
        <w:t xml:space="preserve">consider the Act to be a barrier to achieving them. For example, </w:t>
      </w:r>
      <w:r w:rsidR="00E206E5" w:rsidRPr="001F2F5D">
        <w:rPr>
          <w:rStyle w:val="normaltextrun"/>
        </w:rPr>
        <w:t>t</w:t>
      </w:r>
      <w:r w:rsidR="008223EB" w:rsidRPr="001F2F5D">
        <w:rPr>
          <w:rStyle w:val="normaltextrun"/>
        </w:rPr>
        <w:t xml:space="preserve">he ACCC’s </w:t>
      </w:r>
      <w:r w:rsidR="000A0DE2" w:rsidRPr="001F2F5D">
        <w:rPr>
          <w:rStyle w:val="normaltextrun"/>
        </w:rPr>
        <w:t xml:space="preserve">RMII </w:t>
      </w:r>
      <w:r w:rsidR="008223EB" w:rsidRPr="001F2F5D">
        <w:rPr>
          <w:rStyle w:val="normaltextrun"/>
        </w:rPr>
        <w:t xml:space="preserve">identified </w:t>
      </w:r>
      <w:r w:rsidR="000A0DE2" w:rsidRPr="001F2F5D">
        <w:rPr>
          <w:rStyle w:val="normaltextrun"/>
        </w:rPr>
        <w:t>‘</w:t>
      </w:r>
      <w:r w:rsidR="008223EB" w:rsidRPr="001F2F5D">
        <w:rPr>
          <w:rStyle w:val="normaltextrun"/>
        </w:rPr>
        <w:t>temporary roaming</w:t>
      </w:r>
      <w:r w:rsidR="000A0DE2" w:rsidRPr="001F2F5D">
        <w:rPr>
          <w:rStyle w:val="normaltextrun"/>
        </w:rPr>
        <w:t>’</w:t>
      </w:r>
      <w:r w:rsidR="008223EB" w:rsidRPr="001F2F5D">
        <w:rPr>
          <w:rStyle w:val="normaltextrun"/>
        </w:rPr>
        <w:t xml:space="preserve"> in emergencies is notionally possible, but that elements of the regulatory framewor</w:t>
      </w:r>
      <w:r w:rsidR="00E206E5" w:rsidRPr="001F2F5D">
        <w:rPr>
          <w:rStyle w:val="normaltextrun"/>
        </w:rPr>
        <w:t xml:space="preserve">k – </w:t>
      </w:r>
      <w:r w:rsidR="008223EB" w:rsidRPr="001F2F5D">
        <w:rPr>
          <w:rStyle w:val="normaltextrun"/>
        </w:rPr>
        <w:t>which does not include the Act – need to be considered.</w:t>
      </w:r>
    </w:p>
    <w:p w14:paraId="4FC6001F" w14:textId="44620751" w:rsidR="005E6507" w:rsidRPr="001F2F5D" w:rsidRDefault="00BC7130" w:rsidP="008223EB">
      <w:pPr>
        <w:pStyle w:val="Paragraph"/>
        <w:rPr>
          <w:rStyle w:val="normaltextrun"/>
        </w:rPr>
      </w:pPr>
      <w:r w:rsidRPr="001F2F5D">
        <w:rPr>
          <w:rStyle w:val="normaltextrun"/>
        </w:rPr>
        <w:t>For</w:t>
      </w:r>
      <w:r w:rsidR="00CB5EC4" w:rsidRPr="001F2F5D">
        <w:rPr>
          <w:rStyle w:val="normaltextrun"/>
        </w:rPr>
        <w:t xml:space="preserve"> incumbents providing </w:t>
      </w:r>
      <w:r w:rsidR="00F26813" w:rsidRPr="001F2F5D">
        <w:t xml:space="preserve">wireless broadband </w:t>
      </w:r>
      <w:r w:rsidR="00CB5EC4" w:rsidRPr="001F2F5D">
        <w:rPr>
          <w:rStyle w:val="normaltextrun"/>
        </w:rPr>
        <w:t>services, r</w:t>
      </w:r>
      <w:r w:rsidR="000A0DE2" w:rsidRPr="001F2F5D">
        <w:rPr>
          <w:rStyle w:val="normaltextrun"/>
        </w:rPr>
        <w:t xml:space="preserve">oaming capability is likely </w:t>
      </w:r>
      <w:r w:rsidR="009E2106" w:rsidRPr="001F2F5D">
        <w:rPr>
          <w:rStyle w:val="normaltextrun"/>
        </w:rPr>
        <w:t xml:space="preserve">best considered from a whole-of-network perspective, rather than </w:t>
      </w:r>
      <w:r w:rsidR="000A6280" w:rsidRPr="001F2F5D">
        <w:rPr>
          <w:rStyle w:val="normaltextrun"/>
        </w:rPr>
        <w:t xml:space="preserve">as a condition </w:t>
      </w:r>
      <w:r w:rsidR="005E6507" w:rsidRPr="001F2F5D">
        <w:rPr>
          <w:rStyle w:val="normaltextrun"/>
        </w:rPr>
        <w:t xml:space="preserve">specified across a </w:t>
      </w:r>
      <w:r w:rsidR="000A6280" w:rsidRPr="001F2F5D">
        <w:rPr>
          <w:rStyle w:val="normaltextrun"/>
        </w:rPr>
        <w:t>l</w:t>
      </w:r>
      <w:r w:rsidR="005E6507" w:rsidRPr="001F2F5D">
        <w:rPr>
          <w:rStyle w:val="normaltextrun"/>
        </w:rPr>
        <w:t>icensee</w:t>
      </w:r>
      <w:r w:rsidR="000A6280" w:rsidRPr="001F2F5D">
        <w:rPr>
          <w:rStyle w:val="normaltextrun"/>
        </w:rPr>
        <w:t>’</w:t>
      </w:r>
      <w:r w:rsidR="005E6507" w:rsidRPr="001F2F5D">
        <w:rPr>
          <w:rStyle w:val="normaltextrun"/>
        </w:rPr>
        <w:t xml:space="preserve">s spectrum holdings (and we note that the ESL process is necessarily limited by the </w:t>
      </w:r>
      <w:r w:rsidR="00F72FEC" w:rsidRPr="001F2F5D">
        <w:rPr>
          <w:rStyle w:val="normaltextrun"/>
        </w:rPr>
        <w:t xml:space="preserve">specific licences subject to expiration between 2028 and 2032). </w:t>
      </w:r>
    </w:p>
    <w:p w14:paraId="499B207B" w14:textId="35A3A797" w:rsidR="008223EB" w:rsidRPr="001F2F5D" w:rsidRDefault="003D7B40" w:rsidP="0095526E">
      <w:pPr>
        <w:pStyle w:val="Paragraph"/>
        <w:rPr>
          <w:rStyle w:val="normaltextrun"/>
        </w:rPr>
      </w:pPr>
      <w:r w:rsidRPr="001F2F5D">
        <w:rPr>
          <w:rStyle w:val="normaltextrun"/>
        </w:rPr>
        <w:t>Importantly, t</w:t>
      </w:r>
      <w:r w:rsidR="005D3CC7" w:rsidRPr="001F2F5D">
        <w:rPr>
          <w:rStyle w:val="normaltextrun"/>
        </w:rPr>
        <w:t>here are complex pricing and competition issues raised by roaming capability</w:t>
      </w:r>
      <w:r w:rsidR="0095526E" w:rsidRPr="001F2F5D">
        <w:rPr>
          <w:rStyle w:val="normaltextrun"/>
        </w:rPr>
        <w:t>.</w:t>
      </w:r>
      <w:r w:rsidR="005D3CC7" w:rsidRPr="001F2F5D">
        <w:rPr>
          <w:rStyle w:val="normaltextrun"/>
        </w:rPr>
        <w:t xml:space="preserve"> </w:t>
      </w:r>
      <w:r w:rsidR="0095526E" w:rsidRPr="001F2F5D">
        <w:rPr>
          <w:rStyle w:val="normaltextrun"/>
        </w:rPr>
        <w:t>T</w:t>
      </w:r>
      <w:r w:rsidR="005D3CC7" w:rsidRPr="001F2F5D">
        <w:rPr>
          <w:rStyle w:val="normaltextrun"/>
        </w:rPr>
        <w:t xml:space="preserve">he ACCC has the </w:t>
      </w:r>
      <w:r w:rsidR="0095526E" w:rsidRPr="001F2F5D">
        <w:rPr>
          <w:rStyle w:val="normaltextrun"/>
        </w:rPr>
        <w:t xml:space="preserve">power to make declarations </w:t>
      </w:r>
      <w:r w:rsidR="000F01C4" w:rsidRPr="001F2F5D">
        <w:rPr>
          <w:rStyle w:val="normaltextrun"/>
        </w:rPr>
        <w:t xml:space="preserve">about </w:t>
      </w:r>
      <w:r w:rsidR="0095526E" w:rsidRPr="001F2F5D">
        <w:rPr>
          <w:rStyle w:val="normaltextrun"/>
        </w:rPr>
        <w:t>roaming, a</w:t>
      </w:r>
      <w:r w:rsidRPr="001F2F5D">
        <w:rPr>
          <w:rStyle w:val="normaltextrun"/>
        </w:rPr>
        <w:t>nd it</w:t>
      </w:r>
      <w:r w:rsidR="0095526E" w:rsidRPr="001F2F5D">
        <w:rPr>
          <w:rStyle w:val="normaltextrun"/>
        </w:rPr>
        <w:t xml:space="preserve"> </w:t>
      </w:r>
      <w:r w:rsidR="008223EB" w:rsidRPr="001F2F5D">
        <w:rPr>
          <w:rStyle w:val="normaltextrun"/>
        </w:rPr>
        <w:t>has previously decided not to declare</w:t>
      </w:r>
      <w:r w:rsidR="00E601B9" w:rsidRPr="001F2F5D">
        <w:rPr>
          <w:rStyle w:val="normaltextrun"/>
        </w:rPr>
        <w:t xml:space="preserve"> – and thereby require implementation of –</w:t>
      </w:r>
      <w:r w:rsidR="008223EB" w:rsidRPr="001F2F5D">
        <w:rPr>
          <w:rStyle w:val="normaltextrun"/>
        </w:rPr>
        <w:t xml:space="preserve"> domestic roaming, on the basis that it would likely not lead to lower prices or better coverage or quality of services for regional Australians.</w:t>
      </w:r>
    </w:p>
    <w:p w14:paraId="00D3B5F5" w14:textId="0C1F3C4B" w:rsidR="00105D63" w:rsidRPr="001F2F5D" w:rsidRDefault="00105D63" w:rsidP="0095526E">
      <w:pPr>
        <w:pStyle w:val="Paragraph"/>
        <w:rPr>
          <w:rStyle w:val="normaltextrun"/>
        </w:rPr>
      </w:pPr>
      <w:r w:rsidRPr="001F2F5D">
        <w:rPr>
          <w:rStyle w:val="normaltextrun"/>
        </w:rPr>
        <w:t xml:space="preserve">We will seek feedback from stakeholders </w:t>
      </w:r>
      <w:r w:rsidRPr="001F2F5D">
        <w:t>on issues around resilience and temporary disaster responses</w:t>
      </w:r>
      <w:r w:rsidR="00AC0AD5" w:rsidRPr="001F2F5D">
        <w:t>, and their relevance for the ESL process, as part of stage 2.</w:t>
      </w:r>
    </w:p>
    <w:p w14:paraId="5CAE8628" w14:textId="3CAF3CFB" w:rsidR="000A46FB" w:rsidRPr="001F2F5D" w:rsidRDefault="00BD45DF" w:rsidP="00B210DA">
      <w:pPr>
        <w:pStyle w:val="Paragraph"/>
        <w:rPr>
          <w:rStyle w:val="eop"/>
        </w:rPr>
      </w:pPr>
      <w:r w:rsidRPr="001F2F5D">
        <w:rPr>
          <w:rStyle w:val="normaltextrun"/>
        </w:rPr>
        <w:t xml:space="preserve">We </w:t>
      </w:r>
      <w:r w:rsidR="000A46FB" w:rsidRPr="001F2F5D">
        <w:rPr>
          <w:rStyle w:val="normaltextrun"/>
        </w:rPr>
        <w:t>acknowledge consumer demand and technology has evolved over the course of the life of the ESLs and</w:t>
      </w:r>
      <w:r w:rsidR="00680234" w:rsidRPr="001F2F5D">
        <w:rPr>
          <w:rStyle w:val="normaltextrun"/>
        </w:rPr>
        <w:t>,</w:t>
      </w:r>
      <w:r w:rsidR="000A46FB" w:rsidRPr="001F2F5D">
        <w:rPr>
          <w:rStyle w:val="normaltextrun"/>
        </w:rPr>
        <w:t xml:space="preserve"> in some case</w:t>
      </w:r>
      <w:r w:rsidR="0096698F" w:rsidRPr="001F2F5D">
        <w:rPr>
          <w:rStyle w:val="normaltextrun"/>
        </w:rPr>
        <w:t>s</w:t>
      </w:r>
      <w:r w:rsidR="00680234" w:rsidRPr="001F2F5D">
        <w:rPr>
          <w:rStyle w:val="normaltextrun"/>
        </w:rPr>
        <w:t>,</w:t>
      </w:r>
      <w:r w:rsidR="000A46FB" w:rsidRPr="001F2F5D">
        <w:rPr>
          <w:rStyle w:val="normaltextrun"/>
        </w:rPr>
        <w:t xml:space="preserve"> </w:t>
      </w:r>
      <w:r w:rsidR="00D168E3" w:rsidRPr="001F2F5D">
        <w:rPr>
          <w:rStyle w:val="normaltextrun"/>
        </w:rPr>
        <w:t xml:space="preserve">of </w:t>
      </w:r>
      <w:r w:rsidR="000A46FB" w:rsidRPr="001F2F5D">
        <w:rPr>
          <w:rStyle w:val="normaltextrun"/>
        </w:rPr>
        <w:t xml:space="preserve">ESLs </w:t>
      </w:r>
      <w:r w:rsidR="00D168E3" w:rsidRPr="001F2F5D">
        <w:rPr>
          <w:rStyle w:val="normaltextrun"/>
        </w:rPr>
        <w:t xml:space="preserve">that </w:t>
      </w:r>
      <w:r w:rsidR="000A46FB" w:rsidRPr="001F2F5D">
        <w:rPr>
          <w:rStyle w:val="normaltextrun"/>
        </w:rPr>
        <w:t xml:space="preserve">have been previously renewed. Stakeholders with proposals for alternative use cases or users, as well as incumbent users, are encouraged to engage with the ESL process to provide views </w:t>
      </w:r>
      <w:r w:rsidR="000B2512" w:rsidRPr="001F2F5D">
        <w:rPr>
          <w:rStyle w:val="normaltextrun"/>
        </w:rPr>
        <w:t xml:space="preserve">about </w:t>
      </w:r>
      <w:r w:rsidR="000A46FB" w:rsidRPr="001F2F5D">
        <w:rPr>
          <w:rStyle w:val="normaltextrun"/>
        </w:rPr>
        <w:t xml:space="preserve">how use of the relevant spectrum can be optimised in the long term to </w:t>
      </w:r>
      <w:r w:rsidR="004F3DCD" w:rsidRPr="001F2F5D">
        <w:rPr>
          <w:rStyle w:val="normaltextrun"/>
        </w:rPr>
        <w:t xml:space="preserve">serve </w:t>
      </w:r>
      <w:r w:rsidR="000A46FB" w:rsidRPr="001F2F5D">
        <w:rPr>
          <w:rStyle w:val="normaltextrun"/>
        </w:rPr>
        <w:t>the public interest. Noting that the Act does not provide for a presumption of renewal, and that the ESL process offers an opportunity to evaluate how the spectrum is used</w:t>
      </w:r>
      <w:r w:rsidR="003B3C41" w:rsidRPr="001F2F5D">
        <w:rPr>
          <w:rStyle w:val="normaltextrun"/>
        </w:rPr>
        <w:t>,</w:t>
      </w:r>
      <w:r w:rsidR="000A46FB" w:rsidRPr="001F2F5D">
        <w:rPr>
          <w:rStyle w:val="normaltextrun"/>
        </w:rPr>
        <w:t xml:space="preserve"> and could be used, the proposed ESL process has been developed to consider the ways in which both incumbent</w:t>
      </w:r>
      <w:r w:rsidR="008A268A" w:rsidRPr="001F2F5D">
        <w:rPr>
          <w:rStyle w:val="normaltextrun"/>
        </w:rPr>
        <w:t>s</w:t>
      </w:r>
      <w:r w:rsidR="000A46FB" w:rsidRPr="001F2F5D">
        <w:rPr>
          <w:rStyle w:val="normaltextrun"/>
        </w:rPr>
        <w:t xml:space="preserve"> and alternative</w:t>
      </w:r>
      <w:r w:rsidR="008A268A" w:rsidRPr="001F2F5D">
        <w:rPr>
          <w:rStyle w:val="normaltextrun"/>
        </w:rPr>
        <w:t>s</w:t>
      </w:r>
      <w:r w:rsidR="002F26E4" w:rsidRPr="001F2F5D">
        <w:rPr>
          <w:rStyle w:val="normaltextrun"/>
        </w:rPr>
        <w:t xml:space="preserve"> </w:t>
      </w:r>
      <w:r w:rsidR="004F3DCD" w:rsidRPr="001F2F5D">
        <w:rPr>
          <w:rStyle w:val="normaltextrun"/>
        </w:rPr>
        <w:t xml:space="preserve">serve </w:t>
      </w:r>
      <w:r w:rsidR="000A46FB" w:rsidRPr="001F2F5D">
        <w:rPr>
          <w:rStyle w:val="normaltextrun"/>
        </w:rPr>
        <w:t>the public interest.</w:t>
      </w:r>
      <w:r w:rsidR="000A46FB" w:rsidRPr="001F2F5D">
        <w:rPr>
          <w:rStyle w:val="eop"/>
        </w:rPr>
        <w:t> </w:t>
      </w:r>
    </w:p>
    <w:p w14:paraId="7EE15141" w14:textId="586A24A5" w:rsidR="00724DCE" w:rsidRPr="001F2F5D" w:rsidRDefault="00F31D89" w:rsidP="00B210DA">
      <w:pPr>
        <w:pStyle w:val="Paragraph"/>
      </w:pPr>
      <w:r w:rsidRPr="001F2F5D">
        <w:rPr>
          <w:rStyle w:val="eop"/>
        </w:rPr>
        <w:t>We will identify and assess alternate demand for the spectrum covered by ESLs in a range of ways</w:t>
      </w:r>
      <w:r w:rsidR="00F31328" w:rsidRPr="001F2F5D">
        <w:rPr>
          <w:rStyle w:val="eop"/>
        </w:rPr>
        <w:t>,</w:t>
      </w:r>
      <w:r w:rsidRPr="001F2F5D">
        <w:rPr>
          <w:rStyle w:val="eop"/>
        </w:rPr>
        <w:t xml:space="preserve"> </w:t>
      </w:r>
      <w:r w:rsidR="00371C2E" w:rsidRPr="001F2F5D">
        <w:rPr>
          <w:rStyle w:val="eop"/>
        </w:rPr>
        <w:t xml:space="preserve">including </w:t>
      </w:r>
      <w:r w:rsidR="00595F92" w:rsidRPr="001F2F5D">
        <w:rPr>
          <w:rStyle w:val="eop"/>
        </w:rPr>
        <w:t>via</w:t>
      </w:r>
      <w:r w:rsidR="00371C2E" w:rsidRPr="001F2F5D">
        <w:rPr>
          <w:rStyle w:val="eop"/>
        </w:rPr>
        <w:t xml:space="preserve"> market and technology environmental scanning and studies, </w:t>
      </w:r>
      <w:r w:rsidR="00595F92" w:rsidRPr="001F2F5D">
        <w:rPr>
          <w:rStyle w:val="eop"/>
        </w:rPr>
        <w:t xml:space="preserve">examining </w:t>
      </w:r>
      <w:r w:rsidR="00371C2E" w:rsidRPr="001F2F5D">
        <w:rPr>
          <w:rStyle w:val="eop"/>
        </w:rPr>
        <w:t>international developments in spectrum allocations</w:t>
      </w:r>
      <w:r w:rsidR="00F31328" w:rsidRPr="001F2F5D">
        <w:rPr>
          <w:rStyle w:val="eop"/>
        </w:rPr>
        <w:t>, and through our stage 2 information gathering exercise.</w:t>
      </w:r>
    </w:p>
    <w:p w14:paraId="0BC15B97" w14:textId="77777777" w:rsidR="000A46FB" w:rsidRPr="001F2F5D" w:rsidRDefault="000A46FB" w:rsidP="000A46FB">
      <w:pPr>
        <w:pStyle w:val="Heading2"/>
        <w:rPr>
          <w:b w:val="0"/>
          <w:bCs w:val="0"/>
          <w:iCs w:val="0"/>
          <w:sz w:val="32"/>
          <w:szCs w:val="32"/>
        </w:rPr>
      </w:pPr>
      <w:bookmarkStart w:id="51" w:name="_Toc149065129"/>
      <w:bookmarkStart w:id="52" w:name="_Toc153795078"/>
      <w:bookmarkStart w:id="53" w:name="_Toc139356626"/>
      <w:r w:rsidRPr="001F2F5D">
        <w:t>Band-specific issues</w:t>
      </w:r>
      <w:bookmarkEnd w:id="51"/>
      <w:bookmarkEnd w:id="52"/>
    </w:p>
    <w:p w14:paraId="13E3582B" w14:textId="661D416F" w:rsidR="000A46FB" w:rsidRPr="001F2F5D" w:rsidRDefault="000A46FB" w:rsidP="000A46FB">
      <w:pPr>
        <w:pStyle w:val="Paragraphbeforelist"/>
      </w:pPr>
      <w:r w:rsidRPr="001F2F5D">
        <w:t xml:space="preserve">In our stage 1 consultation, we noted that there may be existing band-specific issues relevant to a consideration of the long-term public interest, </w:t>
      </w:r>
      <w:r w:rsidR="00595F92" w:rsidRPr="001F2F5D">
        <w:t xml:space="preserve">if </w:t>
      </w:r>
      <w:r w:rsidRPr="001F2F5D">
        <w:t xml:space="preserve">those issues constrain efficiency, investment and innovation or competition. Examples of such issues may include: </w:t>
      </w:r>
    </w:p>
    <w:p w14:paraId="13BA38D3" w14:textId="77777777" w:rsidR="000A46FB" w:rsidRPr="001F2F5D" w:rsidRDefault="000A46FB" w:rsidP="000A46FB">
      <w:pPr>
        <w:pStyle w:val="Bulletlevel1"/>
      </w:pPr>
      <w:r w:rsidRPr="001F2F5D">
        <w:t>fragmentation within a band</w:t>
      </w:r>
    </w:p>
    <w:p w14:paraId="6A22A9E7" w14:textId="77777777" w:rsidR="000A46FB" w:rsidRPr="001F2F5D" w:rsidRDefault="000A46FB" w:rsidP="000A46FB">
      <w:pPr>
        <w:pStyle w:val="Bulletlevel1"/>
      </w:pPr>
      <w:r w:rsidRPr="001F2F5D">
        <w:t>lack of regional connectivity</w:t>
      </w:r>
    </w:p>
    <w:p w14:paraId="4EDCE60C" w14:textId="1A7D6381" w:rsidR="000A46FB" w:rsidRPr="001F2F5D" w:rsidRDefault="000A46FB" w:rsidP="000A46FB">
      <w:pPr>
        <w:pStyle w:val="Bulletlevel1last"/>
      </w:pPr>
      <w:r w:rsidRPr="001F2F5D">
        <w:t xml:space="preserve">lack of available spectrum for alternative </w:t>
      </w:r>
      <w:r w:rsidR="00CE38BC" w:rsidRPr="001F2F5D">
        <w:t>uses and users</w:t>
      </w:r>
      <w:r w:rsidRPr="001F2F5D">
        <w:t>.</w:t>
      </w:r>
    </w:p>
    <w:p w14:paraId="0B72401E" w14:textId="77777777" w:rsidR="000A46FB" w:rsidRPr="001F2F5D" w:rsidRDefault="000A46FB" w:rsidP="000A46FB">
      <w:pPr>
        <w:pStyle w:val="Heading3"/>
      </w:pPr>
      <w:bookmarkStart w:id="54" w:name="_Toc149065130"/>
      <w:r w:rsidRPr="001F2F5D">
        <w:lastRenderedPageBreak/>
        <w:t xml:space="preserve">What stakeholders told </w:t>
      </w:r>
      <w:proofErr w:type="gramStart"/>
      <w:r w:rsidRPr="001F2F5D">
        <w:t>us</w:t>
      </w:r>
      <w:bookmarkEnd w:id="54"/>
      <w:proofErr w:type="gramEnd"/>
    </w:p>
    <w:p w14:paraId="11D1F489" w14:textId="5C5450CF" w:rsidR="000A46FB" w:rsidRPr="001F2F5D" w:rsidRDefault="000A46FB" w:rsidP="00B210DA">
      <w:pPr>
        <w:pStyle w:val="Paragraph"/>
        <w:rPr>
          <w:rStyle w:val="eop"/>
          <w:szCs w:val="20"/>
        </w:rPr>
      </w:pPr>
      <w:r w:rsidRPr="001F2F5D">
        <w:rPr>
          <w:rStyle w:val="normaltextrun"/>
          <w:szCs w:val="20"/>
        </w:rPr>
        <w:t xml:space="preserve">A </w:t>
      </w:r>
      <w:r w:rsidR="009865BC" w:rsidRPr="001F2F5D">
        <w:t xml:space="preserve">wireless broadband </w:t>
      </w:r>
      <w:r w:rsidRPr="001F2F5D">
        <w:rPr>
          <w:rStyle w:val="normaltextrun"/>
          <w:szCs w:val="20"/>
        </w:rPr>
        <w:t>stakeholder noted that the 700 MHz band is heavily utilised</w:t>
      </w:r>
      <w:r w:rsidR="004A51F1" w:rsidRPr="001F2F5D">
        <w:rPr>
          <w:rStyle w:val="normaltextrun"/>
          <w:szCs w:val="20"/>
        </w:rPr>
        <w:t>,</w:t>
      </w:r>
      <w:r w:rsidRPr="001F2F5D">
        <w:rPr>
          <w:rStyle w:val="normaltextrun"/>
          <w:szCs w:val="20"/>
        </w:rPr>
        <w:t xml:space="preserve"> </w:t>
      </w:r>
      <w:r w:rsidR="004A51F1" w:rsidRPr="001F2F5D">
        <w:rPr>
          <w:rStyle w:val="normaltextrun"/>
          <w:szCs w:val="20"/>
        </w:rPr>
        <w:t xml:space="preserve">and is key to supporting </w:t>
      </w:r>
      <w:r w:rsidRPr="001F2F5D">
        <w:rPr>
          <w:rStyle w:val="normaltextrun"/>
          <w:szCs w:val="20"/>
        </w:rPr>
        <w:t>5</w:t>
      </w:r>
      <w:r w:rsidR="00A8341E" w:rsidRPr="001F2F5D">
        <w:rPr>
          <w:rStyle w:val="normaltextrun"/>
          <w:szCs w:val="20"/>
        </w:rPr>
        <w:t>G</w:t>
      </w:r>
      <w:r w:rsidRPr="001F2F5D">
        <w:rPr>
          <w:rStyle w:val="normaltextrun"/>
          <w:szCs w:val="20"/>
        </w:rPr>
        <w:t xml:space="preserve"> and 6</w:t>
      </w:r>
      <w:r w:rsidR="00A8341E" w:rsidRPr="001F2F5D">
        <w:rPr>
          <w:rStyle w:val="normaltextrun"/>
          <w:szCs w:val="20"/>
        </w:rPr>
        <w:t>G</w:t>
      </w:r>
      <w:r w:rsidR="003A295B" w:rsidRPr="001F2F5D">
        <w:rPr>
          <w:rStyle w:val="normaltextrun"/>
          <w:szCs w:val="20"/>
        </w:rPr>
        <w:t>,</w:t>
      </w:r>
      <w:r w:rsidRPr="001F2F5D">
        <w:rPr>
          <w:rStyle w:val="normaltextrun"/>
          <w:szCs w:val="20"/>
        </w:rPr>
        <w:t xml:space="preserve"> and </w:t>
      </w:r>
      <w:r w:rsidR="000515FD" w:rsidRPr="001F2F5D">
        <w:rPr>
          <w:rStyle w:val="normaltextrun"/>
          <w:szCs w:val="20"/>
        </w:rPr>
        <w:t xml:space="preserve">wireless broadband </w:t>
      </w:r>
      <w:r w:rsidR="00392719" w:rsidRPr="001F2F5D">
        <w:rPr>
          <w:rStyle w:val="normaltextrun"/>
          <w:szCs w:val="20"/>
        </w:rPr>
        <w:t>into the future</w:t>
      </w:r>
      <w:r w:rsidRPr="001F2F5D">
        <w:rPr>
          <w:rStyle w:val="normaltextrun"/>
          <w:szCs w:val="20"/>
        </w:rPr>
        <w:t xml:space="preserve">. There was interest from a range of other stakeholders </w:t>
      </w:r>
      <w:r w:rsidRPr="001F2F5D">
        <w:rPr>
          <w:rStyle w:val="eop"/>
          <w:szCs w:val="20"/>
        </w:rPr>
        <w:t xml:space="preserve">in this and other sub-1GHz </w:t>
      </w:r>
      <w:r w:rsidR="006A3C86" w:rsidRPr="001F2F5D">
        <w:rPr>
          <w:rStyle w:val="eop"/>
          <w:szCs w:val="20"/>
        </w:rPr>
        <w:t xml:space="preserve">spectrum </w:t>
      </w:r>
      <w:r w:rsidRPr="001F2F5D">
        <w:rPr>
          <w:rStyle w:val="eop"/>
          <w:szCs w:val="20"/>
        </w:rPr>
        <w:t>and ho</w:t>
      </w:r>
      <w:r w:rsidR="006A3C86" w:rsidRPr="001F2F5D">
        <w:rPr>
          <w:rStyle w:val="eop"/>
          <w:szCs w:val="20"/>
        </w:rPr>
        <w:t>w</w:t>
      </w:r>
      <w:r w:rsidRPr="001F2F5D">
        <w:rPr>
          <w:rStyle w:val="eop"/>
          <w:szCs w:val="20"/>
        </w:rPr>
        <w:t xml:space="preserve"> it could be used by a range of alternative users, or </w:t>
      </w:r>
      <w:r w:rsidR="00A83649" w:rsidRPr="001F2F5D">
        <w:rPr>
          <w:rStyle w:val="eop"/>
          <w:szCs w:val="20"/>
        </w:rPr>
        <w:t xml:space="preserve">to provide </w:t>
      </w:r>
      <w:r w:rsidR="009865BC" w:rsidRPr="001F2F5D">
        <w:rPr>
          <w:rStyle w:val="eop"/>
          <w:szCs w:val="20"/>
        </w:rPr>
        <w:t>local area</w:t>
      </w:r>
      <w:r w:rsidRPr="001F2F5D">
        <w:rPr>
          <w:rStyle w:val="eop"/>
          <w:szCs w:val="20"/>
        </w:rPr>
        <w:t xml:space="preserve"> </w:t>
      </w:r>
      <w:r w:rsidR="009865BC" w:rsidRPr="001F2F5D">
        <w:t xml:space="preserve">wireless broadband </w:t>
      </w:r>
      <w:r w:rsidR="00886AD0" w:rsidRPr="001F2F5D">
        <w:rPr>
          <w:rStyle w:val="eop"/>
          <w:szCs w:val="20"/>
        </w:rPr>
        <w:t>services</w:t>
      </w:r>
      <w:r w:rsidRPr="001F2F5D">
        <w:rPr>
          <w:rStyle w:val="eop"/>
          <w:szCs w:val="20"/>
        </w:rPr>
        <w:t xml:space="preserve">. </w:t>
      </w:r>
    </w:p>
    <w:p w14:paraId="71573501" w14:textId="4E5BC904" w:rsidR="000A46FB" w:rsidRPr="001F2F5D" w:rsidRDefault="000A46FB" w:rsidP="00B210DA">
      <w:pPr>
        <w:pStyle w:val="Paragraph"/>
      </w:pPr>
      <w:r w:rsidRPr="001F2F5D">
        <w:rPr>
          <w:rStyle w:val="eop"/>
          <w:szCs w:val="20"/>
        </w:rPr>
        <w:t xml:space="preserve">One stakeholder argued that spectrum in 850 MHz reserved </w:t>
      </w:r>
      <w:r w:rsidR="009C1F8F" w:rsidRPr="001F2F5D">
        <w:rPr>
          <w:rStyle w:val="eop"/>
          <w:szCs w:val="20"/>
        </w:rPr>
        <w:t>(</w:t>
      </w:r>
      <w:r w:rsidRPr="001F2F5D">
        <w:rPr>
          <w:rStyle w:val="eop"/>
          <w:szCs w:val="20"/>
        </w:rPr>
        <w:t>but not allocated</w:t>
      </w:r>
      <w:r w:rsidR="009C1F8F" w:rsidRPr="001F2F5D">
        <w:rPr>
          <w:rStyle w:val="eop"/>
          <w:szCs w:val="20"/>
        </w:rPr>
        <w:t>)</w:t>
      </w:r>
      <w:r w:rsidRPr="001F2F5D">
        <w:rPr>
          <w:rStyle w:val="eop"/>
          <w:szCs w:val="20"/>
        </w:rPr>
        <w:t xml:space="preserve"> for PSMB</w:t>
      </w:r>
      <w:r w:rsidR="00DE3E0A" w:rsidRPr="001F2F5D">
        <w:rPr>
          <w:rStyle w:val="eop"/>
          <w:szCs w:val="20"/>
        </w:rPr>
        <w:t>,</w:t>
      </w:r>
      <w:r w:rsidRPr="001F2F5D">
        <w:rPr>
          <w:rStyle w:val="eop"/>
          <w:szCs w:val="20"/>
        </w:rPr>
        <w:t xml:space="preserve"> is currently underutilised and could be repurposed to support regional connectivity</w:t>
      </w:r>
      <w:r w:rsidRPr="001F2F5D">
        <w:rPr>
          <w:rStyle w:val="normaltextrun"/>
          <w:color w:val="000000"/>
          <w:szCs w:val="20"/>
          <w:shd w:val="clear" w:color="auto" w:fill="FFFFFF"/>
        </w:rPr>
        <w:t>.</w:t>
      </w:r>
    </w:p>
    <w:p w14:paraId="48C5E9DC" w14:textId="7A3BAD19" w:rsidR="000A46FB" w:rsidRPr="001F2F5D" w:rsidRDefault="000A46FB" w:rsidP="00B210DA">
      <w:pPr>
        <w:pStyle w:val="Paragraph"/>
        <w:rPr>
          <w:szCs w:val="20"/>
        </w:rPr>
      </w:pPr>
      <w:r w:rsidRPr="001F2F5D">
        <w:rPr>
          <w:rStyle w:val="normaltextrun"/>
          <w:szCs w:val="20"/>
        </w:rPr>
        <w:t>Rail stakeholder</w:t>
      </w:r>
      <w:r w:rsidR="00F03908" w:rsidRPr="001F2F5D">
        <w:rPr>
          <w:rStyle w:val="normaltextrun"/>
          <w:szCs w:val="20"/>
        </w:rPr>
        <w:t>s</w:t>
      </w:r>
      <w:r w:rsidRPr="001F2F5D">
        <w:rPr>
          <w:rStyle w:val="normaltextrun"/>
          <w:szCs w:val="20"/>
        </w:rPr>
        <w:t xml:space="preserve"> drew attention </w:t>
      </w:r>
      <w:r w:rsidR="000515FD" w:rsidRPr="001F2F5D">
        <w:rPr>
          <w:rStyle w:val="normaltextrun"/>
          <w:szCs w:val="20"/>
        </w:rPr>
        <w:t xml:space="preserve">to </w:t>
      </w:r>
      <w:r w:rsidRPr="001F2F5D">
        <w:rPr>
          <w:rStyle w:val="normaltextrun"/>
          <w:szCs w:val="20"/>
        </w:rPr>
        <w:t xml:space="preserve">government actions (consistent with the Council of Australian Governments’ 2011 </w:t>
      </w:r>
      <w:hyperlink r:id="rId62" w:history="1">
        <w:r w:rsidRPr="001F2F5D">
          <w:rPr>
            <w:rStyle w:val="Hyperlink"/>
            <w:szCs w:val="20"/>
          </w:rPr>
          <w:t>Intergovernmental Agreement on Rail Safety Regulation and Investigation Reform</w:t>
        </w:r>
      </w:hyperlink>
      <w:r w:rsidRPr="001F2F5D">
        <w:rPr>
          <w:rStyle w:val="normaltextrun"/>
          <w:szCs w:val="20"/>
        </w:rPr>
        <w:t xml:space="preserve">) to promote nationally consistent allocation of spectrum to the rail authorities for both freight and consumer travel in the 1800 MHz band. These stakeholders drew attention to international harmonisation and equipment standardisation considerations </w:t>
      </w:r>
      <w:r w:rsidR="0091732A" w:rsidRPr="001F2F5D">
        <w:rPr>
          <w:rStyle w:val="normaltextrun"/>
          <w:szCs w:val="20"/>
        </w:rPr>
        <w:t>that may</w:t>
      </w:r>
      <w:r w:rsidRPr="001F2F5D">
        <w:rPr>
          <w:rStyle w:val="normaltextrun"/>
          <w:szCs w:val="20"/>
        </w:rPr>
        <w:t xml:space="preserve"> limit adoption of spectrally efficient approaches.</w:t>
      </w:r>
    </w:p>
    <w:p w14:paraId="5F9CC43E" w14:textId="33E786AA" w:rsidR="000A46FB" w:rsidRPr="001F2F5D" w:rsidRDefault="000A46FB" w:rsidP="00B210DA">
      <w:pPr>
        <w:pStyle w:val="Paragraph"/>
        <w:rPr>
          <w:rStyle w:val="eop"/>
          <w:szCs w:val="20"/>
        </w:rPr>
      </w:pPr>
      <w:r w:rsidRPr="001F2F5D">
        <w:rPr>
          <w:rStyle w:val="normaltextrun"/>
          <w:szCs w:val="20"/>
        </w:rPr>
        <w:t xml:space="preserve">One </w:t>
      </w:r>
      <w:r w:rsidR="005332AF" w:rsidRPr="001F2F5D">
        <w:t xml:space="preserve">wireless broadband </w:t>
      </w:r>
      <w:r w:rsidRPr="001F2F5D">
        <w:rPr>
          <w:rStyle w:val="normaltextrun"/>
          <w:szCs w:val="20"/>
        </w:rPr>
        <w:t xml:space="preserve">incumbent noted that the 1800 MHz and 2100 MHz bands were close functional substitutes, </w:t>
      </w:r>
      <w:proofErr w:type="gramStart"/>
      <w:r w:rsidRPr="001F2F5D">
        <w:rPr>
          <w:rStyle w:val="normaltextrun"/>
          <w:szCs w:val="20"/>
        </w:rPr>
        <w:t>and also</w:t>
      </w:r>
      <w:proofErr w:type="gramEnd"/>
      <w:r w:rsidRPr="001F2F5D">
        <w:rPr>
          <w:rStyle w:val="normaltextrun"/>
          <w:szCs w:val="20"/>
        </w:rPr>
        <w:t xml:space="preserve"> noted ongoing interference issues in the 2.3</w:t>
      </w:r>
      <w:r w:rsidR="00AE1853" w:rsidRPr="001F2F5D">
        <w:rPr>
          <w:rStyle w:val="normaltextrun"/>
          <w:szCs w:val="20"/>
        </w:rPr>
        <w:t xml:space="preserve"> </w:t>
      </w:r>
      <w:r w:rsidRPr="001F2F5D">
        <w:rPr>
          <w:rStyle w:val="normaltextrun"/>
          <w:szCs w:val="20"/>
        </w:rPr>
        <w:t xml:space="preserve">GHz band. </w:t>
      </w:r>
    </w:p>
    <w:p w14:paraId="48D71BF8" w14:textId="2D98815B" w:rsidR="000A46FB" w:rsidRPr="001F2F5D" w:rsidRDefault="000A46FB" w:rsidP="00B210DA">
      <w:pPr>
        <w:pStyle w:val="Paragraph"/>
        <w:rPr>
          <w:szCs w:val="20"/>
        </w:rPr>
      </w:pPr>
      <w:r w:rsidRPr="001F2F5D">
        <w:rPr>
          <w:rStyle w:val="eop"/>
          <w:szCs w:val="20"/>
        </w:rPr>
        <w:t xml:space="preserve">A stakeholder representing broadcasting incumbents suggested that the </w:t>
      </w:r>
      <w:r w:rsidR="0056065E" w:rsidRPr="001F2F5D">
        <w:rPr>
          <w:rStyle w:val="eop"/>
          <w:szCs w:val="20"/>
        </w:rPr>
        <w:t>use of the</w:t>
      </w:r>
      <w:r w:rsidRPr="001F2F5D">
        <w:rPr>
          <w:rStyle w:val="eop"/>
          <w:szCs w:val="20"/>
        </w:rPr>
        <w:t xml:space="preserve"> 2.5 GHz mid-band gap </w:t>
      </w:r>
      <w:r w:rsidR="00053FF2" w:rsidRPr="001F2F5D">
        <w:rPr>
          <w:rStyle w:val="eop"/>
          <w:szCs w:val="20"/>
        </w:rPr>
        <w:t xml:space="preserve">is </w:t>
      </w:r>
      <w:r w:rsidRPr="001F2F5D">
        <w:rPr>
          <w:rStyle w:val="eop"/>
          <w:szCs w:val="20"/>
        </w:rPr>
        <w:t xml:space="preserve">a special case, with a range of technology considerations relevant to the future of broadcasting services, and that there was a lack of adequate substitute spectrum. </w:t>
      </w:r>
    </w:p>
    <w:p w14:paraId="7F58E5F6" w14:textId="5B5EEB7F" w:rsidR="000A46FB" w:rsidRPr="001F2F5D" w:rsidRDefault="000A46FB" w:rsidP="00B210DA">
      <w:pPr>
        <w:pStyle w:val="Paragraph"/>
      </w:pPr>
      <w:r w:rsidRPr="001F2F5D">
        <w:rPr>
          <w:rStyle w:val="normaltextrun"/>
          <w:szCs w:val="20"/>
        </w:rPr>
        <w:t xml:space="preserve">A </w:t>
      </w:r>
      <w:r w:rsidR="005332AF" w:rsidRPr="001F2F5D">
        <w:t>wireless broadband</w:t>
      </w:r>
      <w:r w:rsidR="005332AF" w:rsidRPr="001F2F5D">
        <w:rPr>
          <w:rStyle w:val="normaltextrun"/>
          <w:szCs w:val="20"/>
        </w:rPr>
        <w:t xml:space="preserve"> </w:t>
      </w:r>
      <w:r w:rsidRPr="001F2F5D">
        <w:rPr>
          <w:rStyle w:val="normaltextrun"/>
          <w:szCs w:val="20"/>
        </w:rPr>
        <w:t xml:space="preserve">stakeholder noted that regional licences in the 3.6 GHz band are still subject to a reallocation period </w:t>
      </w:r>
      <w:r w:rsidR="004F3DCD" w:rsidRPr="001F2F5D">
        <w:rPr>
          <w:rStyle w:val="normaltextrun"/>
          <w:szCs w:val="20"/>
        </w:rPr>
        <w:t xml:space="preserve">that ends in </w:t>
      </w:r>
      <w:r w:rsidRPr="001F2F5D">
        <w:rPr>
          <w:rStyle w:val="normaltextrun"/>
          <w:szCs w:val="20"/>
        </w:rPr>
        <w:t>2025, which has delayed efficient utilisation.</w:t>
      </w:r>
    </w:p>
    <w:p w14:paraId="107B0BA7" w14:textId="77777777" w:rsidR="000A46FB" w:rsidRPr="001F2F5D" w:rsidRDefault="000A46FB" w:rsidP="00B210DA">
      <w:pPr>
        <w:pStyle w:val="Heading3"/>
      </w:pPr>
      <w:bookmarkStart w:id="55" w:name="_Toc149065131"/>
      <w:r w:rsidRPr="001F2F5D">
        <w:t>Our response</w:t>
      </w:r>
      <w:bookmarkEnd w:id="55"/>
    </w:p>
    <w:bookmarkEnd w:id="53"/>
    <w:p w14:paraId="7603F3BB" w14:textId="25F8D31D" w:rsidR="007320E5" w:rsidRDefault="000A46FB" w:rsidP="003B6801">
      <w:pPr>
        <w:pStyle w:val="Paragraph"/>
      </w:pPr>
      <w:r w:rsidRPr="001F2F5D">
        <w:t xml:space="preserve">We will </w:t>
      </w:r>
      <w:proofErr w:type="gramStart"/>
      <w:r w:rsidRPr="001F2F5D">
        <w:t>take into account</w:t>
      </w:r>
      <w:proofErr w:type="gramEnd"/>
      <w:r w:rsidRPr="001F2F5D">
        <w:t xml:space="preserve"> band-specific issues as we develop preliminary views, and we encourage stakeholders to draw our attention to any band-specific issues in </w:t>
      </w:r>
      <w:r w:rsidR="0056065E" w:rsidRPr="001F2F5D">
        <w:t xml:space="preserve">their </w:t>
      </w:r>
      <w:r w:rsidRPr="001F2F5D">
        <w:t>stage 2</w:t>
      </w:r>
      <w:r w:rsidR="0056065E" w:rsidRPr="001F2F5D">
        <w:t xml:space="preserve"> responses</w:t>
      </w:r>
      <w:r w:rsidRPr="001F2F5D">
        <w:t>.</w:t>
      </w:r>
      <w:r w:rsidR="003B6801" w:rsidRPr="001F2F5D">
        <w:t xml:space="preserve"> </w:t>
      </w:r>
      <w:r w:rsidR="0055781F" w:rsidRPr="001F2F5D">
        <w:t>W</w:t>
      </w:r>
      <w:r w:rsidRPr="001F2F5D">
        <w:t xml:space="preserve">e do not consider that the ESL process is an appropriate vehicle to address </w:t>
      </w:r>
      <w:r w:rsidR="00510E3E" w:rsidRPr="001F2F5D">
        <w:t xml:space="preserve">relatively </w:t>
      </w:r>
      <w:r w:rsidRPr="001F2F5D">
        <w:t xml:space="preserve">minor </w:t>
      </w:r>
      <w:r w:rsidR="00510E3E" w:rsidRPr="001F2F5D">
        <w:t xml:space="preserve">issues </w:t>
      </w:r>
      <w:r w:rsidRPr="001F2F5D">
        <w:t>in a band. Band-specific issues may form part of the policy and decision-making framework, but it is likely that</w:t>
      </w:r>
      <w:r w:rsidR="0004301A" w:rsidRPr="001F2F5D">
        <w:t xml:space="preserve"> </w:t>
      </w:r>
      <w:r w:rsidRPr="001F2F5D">
        <w:t>they would need to have significant bearing on the overall public interest.</w:t>
      </w:r>
      <w:r w:rsidR="006F7F4D" w:rsidRPr="001F2F5D">
        <w:t xml:space="preserve"> Our</w:t>
      </w:r>
      <w:r w:rsidR="008A64AE" w:rsidRPr="001F2F5D">
        <w:t xml:space="preserve"> regular </w:t>
      </w:r>
      <w:r w:rsidR="006F7F4D" w:rsidRPr="001F2F5D">
        <w:t>technical framework reviews, and FYSO work program</w:t>
      </w:r>
      <w:r w:rsidR="000515FD" w:rsidRPr="001F2F5D">
        <w:t>,</w:t>
      </w:r>
      <w:r w:rsidR="006F7F4D" w:rsidRPr="001F2F5D">
        <w:t xml:space="preserve"> may be more appropriate mechanisms for </w:t>
      </w:r>
      <w:r w:rsidR="00DA0F19" w:rsidRPr="001F2F5D">
        <w:t>band-specific issues that do not have a significant bearing on the public interest.</w:t>
      </w:r>
    </w:p>
    <w:sectPr w:rsidR="007320E5" w:rsidSect="00C77380">
      <w:headerReference w:type="even" r:id="rId63"/>
      <w:headerReference w:type="default" r:id="rId64"/>
      <w:footerReference w:type="even" r:id="rId65"/>
      <w:footerReference w:type="default" r:id="rId66"/>
      <w:headerReference w:type="first" r:id="rId6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C6C3" w14:textId="77777777" w:rsidR="00A6671F" w:rsidRDefault="00A6671F">
      <w:r>
        <w:separator/>
      </w:r>
    </w:p>
  </w:endnote>
  <w:endnote w:type="continuationSeparator" w:id="0">
    <w:p w14:paraId="519A6D9F" w14:textId="77777777" w:rsidR="00A6671F" w:rsidRDefault="00A6671F">
      <w:r>
        <w:continuationSeparator/>
      </w:r>
    </w:p>
  </w:endnote>
  <w:endnote w:type="continuationNotice" w:id="1">
    <w:p w14:paraId="534FF76C" w14:textId="77777777" w:rsidR="00A6671F" w:rsidRDefault="00A66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DB9" w14:textId="77777777" w:rsidR="008527BB" w:rsidRDefault="008527B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63B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5CBD3D2"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F7F6" w14:textId="77777777" w:rsidR="005E250B" w:rsidRDefault="005E250B" w:rsidP="005E250B">
    <w:pPr>
      <w:pStyle w:val="Footer"/>
      <w:jc w:val="right"/>
    </w:pPr>
    <w:r w:rsidRPr="005E250B">
      <w:rPr>
        <w:noProof/>
        <w:vertAlign w:val="subscript"/>
      </w:rPr>
      <w:drawing>
        <wp:inline distT="0" distB="0" distL="0" distR="0" wp14:anchorId="65C4F5A6" wp14:editId="5010CBE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A590" w14:textId="77777777" w:rsidR="008527BB" w:rsidRDefault="008527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EA9C" w14:textId="77777777" w:rsidR="00C053A1" w:rsidRDefault="00C05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B262" w14:textId="77777777" w:rsidR="00C053A1" w:rsidRDefault="00C053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845C"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8048726"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D8FC"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F922C51"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126"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1A8DDC95" w14:textId="77777777" w:rsidR="00C053A1" w:rsidRPr="00A5474E" w:rsidRDefault="00C053A1"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F77F"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D036D5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9DD8" w14:textId="77777777" w:rsidR="00A6671F" w:rsidRDefault="00A6671F" w:rsidP="00EA0969">
      <w:pPr>
        <w:spacing w:after="0"/>
      </w:pPr>
      <w:r>
        <w:separator/>
      </w:r>
    </w:p>
  </w:footnote>
  <w:footnote w:type="continuationSeparator" w:id="0">
    <w:p w14:paraId="11171291" w14:textId="77777777" w:rsidR="00A6671F" w:rsidRDefault="00A6671F">
      <w:r>
        <w:continuationSeparator/>
      </w:r>
    </w:p>
  </w:footnote>
  <w:footnote w:type="continuationNotice" w:id="1">
    <w:p w14:paraId="73FF4575" w14:textId="77777777" w:rsidR="00A6671F" w:rsidRDefault="00A6671F">
      <w:pPr>
        <w:spacing w:after="0" w:line="240" w:lineRule="auto"/>
      </w:pPr>
    </w:p>
  </w:footnote>
  <w:footnote w:id="2">
    <w:p w14:paraId="7C5AA628" w14:textId="68131515" w:rsidR="006F56A5" w:rsidRPr="007B634F" w:rsidRDefault="006F56A5" w:rsidP="007B634F">
      <w:pPr>
        <w:pStyle w:val="FootnoteText"/>
      </w:pPr>
      <w:r w:rsidRPr="00AD5A5A">
        <w:rPr>
          <w:rStyle w:val="FootnoteReference"/>
        </w:rPr>
        <w:footnoteRef/>
      </w:r>
      <w:r w:rsidRPr="007B634F">
        <w:t xml:space="preserve"> Bands covered are 700 MHz, 850 MHz 1800 MHz, 2 GHz, 2.3 GHz, 2.5 GHz, 2.5 GHz </w:t>
      </w:r>
      <w:r w:rsidR="00560F82">
        <w:t>m</w:t>
      </w:r>
      <w:r w:rsidRPr="007B634F">
        <w:t>id</w:t>
      </w:r>
      <w:r w:rsidR="00560F82">
        <w:t>-b</w:t>
      </w:r>
      <w:r w:rsidRPr="007B634F">
        <w:t xml:space="preserve">and </w:t>
      </w:r>
      <w:r w:rsidR="00560F82">
        <w:t>g</w:t>
      </w:r>
      <w:r w:rsidRPr="007B634F">
        <w:t>ap, and 3.4 GHz. In this paper, ‘850 MHz’ refers to the licences held by TPG Telecom and Telstra across 825 MHz to 890 MHz, as well as the 2 x 1 MHz ‘downshift’ spectrum licence allocated to Optus commencing 1 July 2024</w:t>
      </w:r>
      <w:r w:rsidR="008F1BA1">
        <w:t>.</w:t>
      </w:r>
    </w:p>
  </w:footnote>
  <w:footnote w:id="3">
    <w:p w14:paraId="3CA55666" w14:textId="63ABED56" w:rsidR="006F56A5" w:rsidRPr="007B634F" w:rsidRDefault="006F56A5" w:rsidP="007B634F">
      <w:pPr>
        <w:pStyle w:val="FootnoteText"/>
      </w:pPr>
      <w:r w:rsidRPr="00AD5A5A">
        <w:rPr>
          <w:rStyle w:val="FootnoteReference"/>
        </w:rPr>
        <w:footnoteRef/>
      </w:r>
      <w:r w:rsidRPr="007B634F">
        <w:t xml:space="preserve"> By the </w:t>
      </w:r>
      <w:hyperlink r:id="rId1" w:history="1">
        <w:r w:rsidRPr="0009517C">
          <w:rPr>
            <w:rStyle w:val="Hyperlink"/>
            <w:i/>
            <w:iCs/>
          </w:rPr>
          <w:t>Radiocommunications Legislation Amendment (Reform and Modernisation) Act 2020</w:t>
        </w:r>
      </w:hyperlink>
      <w:r w:rsidR="00AD5A5A">
        <w:t xml:space="preserve"> (the</w:t>
      </w:r>
      <w:r w:rsidR="0009517C">
        <w:t xml:space="preserve"> </w:t>
      </w:r>
      <w:r w:rsidR="00AD5A5A">
        <w:t>Modernisation Act)</w:t>
      </w:r>
      <w:r w:rsidRPr="007B634F">
        <w:t>.</w:t>
      </w:r>
    </w:p>
  </w:footnote>
  <w:footnote w:id="4">
    <w:p w14:paraId="313E63BE" w14:textId="7874BCC0" w:rsidR="009665FC" w:rsidRDefault="009665FC">
      <w:pPr>
        <w:pStyle w:val="FootnoteText"/>
      </w:pPr>
      <w:r>
        <w:rPr>
          <w:rStyle w:val="FootnoteReference"/>
        </w:rPr>
        <w:footnoteRef/>
      </w:r>
      <w:r>
        <w:t xml:space="preserve"> </w:t>
      </w:r>
      <w:r w:rsidR="00464047">
        <w:t xml:space="preserve">Throughout this paper, we distinguish between </w:t>
      </w:r>
      <w:r w:rsidR="00EC5E17">
        <w:t>broad</w:t>
      </w:r>
      <w:r w:rsidR="00464047">
        <w:t xml:space="preserve"> </w:t>
      </w:r>
      <w:r w:rsidR="00FB576F">
        <w:t xml:space="preserve">categories of </w:t>
      </w:r>
      <w:r w:rsidR="00464047">
        <w:t xml:space="preserve">‘uses’ of the spectrum and </w:t>
      </w:r>
      <w:r w:rsidR="00E404EE">
        <w:t xml:space="preserve">narrower </w:t>
      </w:r>
      <w:r w:rsidR="00464047">
        <w:t xml:space="preserve">‘use-cases’ </w:t>
      </w:r>
      <w:r w:rsidR="00152AEB">
        <w:t>to which licensees may wish to apply the spectrum.</w:t>
      </w:r>
      <w:r w:rsidR="00280134">
        <w:t xml:space="preserve"> </w:t>
      </w:r>
      <w:r w:rsidR="00E404EE">
        <w:t>Fo</w:t>
      </w:r>
      <w:r w:rsidR="008663C1">
        <w:t>r example,</w:t>
      </w:r>
      <w:r w:rsidR="00151768">
        <w:t xml:space="preserve"> </w:t>
      </w:r>
      <w:r w:rsidR="00507131">
        <w:t xml:space="preserve">a use like </w:t>
      </w:r>
      <w:r w:rsidR="00151768">
        <w:t>wireless broadband</w:t>
      </w:r>
      <w:r w:rsidR="00E404EE">
        <w:t xml:space="preserve"> </w:t>
      </w:r>
      <w:r w:rsidR="00BA2DBB">
        <w:t xml:space="preserve">may include </w:t>
      </w:r>
      <w:r w:rsidR="00700BB8">
        <w:t>wide area and local area use cases</w:t>
      </w:r>
      <w:r w:rsidR="0017497E">
        <w:t xml:space="preserve">. </w:t>
      </w:r>
    </w:p>
  </w:footnote>
  <w:footnote w:id="5">
    <w:p w14:paraId="571CDA2B" w14:textId="77777777" w:rsidR="008E11DF" w:rsidRDefault="008E11DF" w:rsidP="008E11DF">
      <w:pPr>
        <w:pStyle w:val="FootnoteText"/>
      </w:pPr>
      <w:r>
        <w:rPr>
          <w:rStyle w:val="FootnoteReference"/>
        </w:rPr>
        <w:footnoteRef/>
      </w:r>
      <w:r>
        <w:t xml:space="preserve"> An MPS is made under section 28B of the Act. In performing its spectrum management functions, and exercising its spectrum management duties, the ACMA must have regard to any relevant MPS.</w:t>
      </w:r>
    </w:p>
  </w:footnote>
  <w:footnote w:id="6">
    <w:p w14:paraId="1FF993B9" w14:textId="01904D17" w:rsidR="006F56A5" w:rsidRPr="007B634F" w:rsidRDefault="006F56A5" w:rsidP="007B634F">
      <w:pPr>
        <w:pStyle w:val="FootnoteText"/>
      </w:pPr>
      <w:r w:rsidRPr="00FE24C8">
        <w:rPr>
          <w:rStyle w:val="FootnoteReference"/>
        </w:rPr>
        <w:footnoteRef/>
      </w:r>
      <w:r w:rsidRPr="007B634F">
        <w:t xml:space="preserve"> Some ESLs were also issued by converting existing apparatus licences</w:t>
      </w:r>
      <w:r w:rsidR="00896A48">
        <w:t>, under a process remove</w:t>
      </w:r>
      <w:r w:rsidR="000F22F7">
        <w:t>d</w:t>
      </w:r>
      <w:r w:rsidR="00896A48">
        <w:t xml:space="preserve"> from the Act in 2021</w:t>
      </w:r>
    </w:p>
  </w:footnote>
  <w:footnote w:id="7">
    <w:p w14:paraId="255B2A4E" w14:textId="6B9FC25B" w:rsidR="006F56A5" w:rsidRPr="007B634F" w:rsidRDefault="006F56A5" w:rsidP="007B634F">
      <w:pPr>
        <w:pStyle w:val="FootnoteText"/>
      </w:pPr>
      <w:r w:rsidRPr="00FE24C8">
        <w:rPr>
          <w:rStyle w:val="FootnoteReference"/>
        </w:rPr>
        <w:footnoteRef/>
      </w:r>
      <w:r w:rsidRPr="007B634F">
        <w:t xml:space="preserve"> See subsection 77A(3) of the Act. There are, however, </w:t>
      </w:r>
      <w:proofErr w:type="gramStart"/>
      <w:r w:rsidRPr="007B634F">
        <w:t>a number of</w:t>
      </w:r>
      <w:proofErr w:type="gramEnd"/>
      <w:r w:rsidRPr="007B634F">
        <w:t xml:space="preserve"> spectrum licences issued after the 2021 reforms that are within the scope of the ESL work (the 850 MHz downshift licence and 3.4 GHz </w:t>
      </w:r>
      <w:r w:rsidR="00B85064">
        <w:t xml:space="preserve">spectrum </w:t>
      </w:r>
      <w:r w:rsidRPr="007B634F">
        <w:t xml:space="preserve">licences) and the holders of these licences may apply for the renewal of those licences during the period specified in the licence, as per subsection 77A(2). See our </w:t>
      </w:r>
      <w:hyperlink r:id="rId2" w:history="1">
        <w:r w:rsidR="009F15B5" w:rsidRPr="00C41856">
          <w:rPr>
            <w:rStyle w:val="Hyperlink"/>
          </w:rPr>
          <w:t>stage</w:t>
        </w:r>
        <w:r w:rsidR="009F15B5">
          <w:rPr>
            <w:rStyle w:val="Hyperlink"/>
          </w:rPr>
          <w:t> </w:t>
        </w:r>
        <w:r w:rsidR="009F15B5" w:rsidRPr="00C41856">
          <w:rPr>
            <w:rStyle w:val="Hyperlink"/>
          </w:rPr>
          <w:t>1 consultation paper</w:t>
        </w:r>
      </w:hyperlink>
      <w:r w:rsidRPr="007B634F">
        <w:t xml:space="preserve"> for further background.</w:t>
      </w:r>
    </w:p>
  </w:footnote>
  <w:footnote w:id="8">
    <w:p w14:paraId="3572B5D9" w14:textId="61374CFE" w:rsidR="006F56A5" w:rsidRPr="007B634F" w:rsidRDefault="006F56A5" w:rsidP="007B634F">
      <w:pPr>
        <w:pStyle w:val="FootnoteText"/>
      </w:pPr>
      <w:r w:rsidRPr="00611486">
        <w:rPr>
          <w:rStyle w:val="FootnoteReference"/>
        </w:rPr>
        <w:footnoteRef/>
      </w:r>
      <w:r w:rsidRPr="007B634F">
        <w:t xml:space="preserve"> See subsection 286(6) of the Act. If we request additional information under section 77B of the Act from the applicant to assist us in </w:t>
      </w:r>
      <w:proofErr w:type="gramStart"/>
      <w:r w:rsidRPr="007B634F">
        <w:t>making a decision</w:t>
      </w:r>
      <w:proofErr w:type="gramEnd"/>
      <w:r w:rsidRPr="007B634F">
        <w:t>, we have 6 months to make a decision after receiving that further information, as per paragraph 286(6)(b).</w:t>
      </w:r>
    </w:p>
  </w:footnote>
  <w:footnote w:id="9">
    <w:p w14:paraId="0CB71290" w14:textId="77777777" w:rsidR="006F56A5" w:rsidRPr="007B634F" w:rsidRDefault="006F56A5" w:rsidP="007B634F">
      <w:pPr>
        <w:pStyle w:val="FootnoteText"/>
      </w:pPr>
      <w:r w:rsidRPr="00611486">
        <w:rPr>
          <w:rStyle w:val="FootnoteReference"/>
        </w:rPr>
        <w:footnoteRef/>
      </w:r>
      <w:r w:rsidRPr="007B634F">
        <w:t xml:space="preserve"> See subsection 77C(7) of the Act. </w:t>
      </w:r>
    </w:p>
  </w:footnote>
  <w:footnote w:id="10">
    <w:p w14:paraId="664FD1C9" w14:textId="5A78CEBC" w:rsidR="006F56A5" w:rsidRPr="007B634F" w:rsidRDefault="006F56A5" w:rsidP="007B634F">
      <w:pPr>
        <w:pStyle w:val="FootnoteText"/>
      </w:pPr>
      <w:r w:rsidRPr="00611486">
        <w:rPr>
          <w:rStyle w:val="FootnoteReference"/>
        </w:rPr>
        <w:footnoteRef/>
      </w:r>
      <w:r w:rsidRPr="007B634F">
        <w:t xml:space="preserve"> See subsection 77C(5) of the Act. The Act also outlines some matters we may consider, such as outstanding tax liabilities or spectrum access charges, whether the applicant has contravened any licence conditions or whether the applicant has had a licence cancelled in the previous 2 years (such as for contravening licence conditions, but not because of re-allocation under Part 3.6 of the Act).</w:t>
      </w:r>
    </w:p>
  </w:footnote>
  <w:footnote w:id="11">
    <w:p w14:paraId="1F30040F" w14:textId="77777777" w:rsidR="006F56A5" w:rsidRPr="007B634F" w:rsidRDefault="006F56A5" w:rsidP="007B634F">
      <w:pPr>
        <w:pStyle w:val="FootnoteText"/>
      </w:pPr>
      <w:r w:rsidRPr="00611486">
        <w:rPr>
          <w:rStyle w:val="FootnoteReference"/>
        </w:rPr>
        <w:footnoteRef/>
      </w:r>
      <w:r w:rsidRPr="007B634F">
        <w:t xml:space="preserve"> See subsection 77C(10) of the Act. </w:t>
      </w:r>
    </w:p>
  </w:footnote>
  <w:footnote w:id="12">
    <w:p w14:paraId="1018667B" w14:textId="77777777" w:rsidR="006F56A5" w:rsidRPr="007B634F" w:rsidRDefault="006F56A5" w:rsidP="007B634F">
      <w:pPr>
        <w:pStyle w:val="FootnoteText"/>
      </w:pPr>
      <w:r w:rsidRPr="00611486">
        <w:rPr>
          <w:rStyle w:val="FootnoteReference"/>
        </w:rPr>
        <w:footnoteRef/>
      </w:r>
      <w:r w:rsidRPr="007B634F">
        <w:t xml:space="preserve"> See section 77D of the Act.</w:t>
      </w:r>
    </w:p>
  </w:footnote>
  <w:footnote w:id="13">
    <w:p w14:paraId="33AFDEBA" w14:textId="283C4EA9" w:rsidR="006F56A5" w:rsidRPr="007B634F" w:rsidRDefault="006F56A5" w:rsidP="007B634F">
      <w:pPr>
        <w:pStyle w:val="FootnoteText"/>
      </w:pPr>
      <w:r w:rsidRPr="00F57AAF">
        <w:rPr>
          <w:rStyle w:val="FootnoteReference"/>
        </w:rPr>
        <w:footnoteRef/>
      </w:r>
      <w:r w:rsidRPr="007B634F">
        <w:t xml:space="preserve"> The Explanatory Memorandum to the </w:t>
      </w:r>
      <w:hyperlink r:id="rId3" w:history="1">
        <w:r w:rsidRPr="00803EC3">
          <w:rPr>
            <w:rStyle w:val="Hyperlink"/>
          </w:rPr>
          <w:t>Radiocommunications Legislation Amendment (Reform and Modernisation) Bill 2020</w:t>
        </w:r>
      </w:hyperlink>
      <w:r w:rsidRPr="007B634F">
        <w:t xml:space="preserve"> notes that </w:t>
      </w:r>
      <w:r w:rsidR="00F91905">
        <w:t>‘</w:t>
      </w:r>
      <w:r w:rsidRPr="007B634F">
        <w:t>there is no presumption that a further [apparatus or spectrum] licence will be issued</w:t>
      </w:r>
      <w:r w:rsidR="00F91905">
        <w:t>’</w:t>
      </w:r>
      <w:r w:rsidRPr="007B634F">
        <w:t xml:space="preserve"> once the licence expires.</w:t>
      </w:r>
    </w:p>
  </w:footnote>
  <w:footnote w:id="14">
    <w:p w14:paraId="0122E6AD" w14:textId="77777777" w:rsidR="00247DF7" w:rsidRDefault="00247DF7" w:rsidP="00247DF7">
      <w:pPr>
        <w:pStyle w:val="FootnoteText"/>
      </w:pPr>
      <w:r>
        <w:rPr>
          <w:rStyle w:val="FootnoteReference"/>
        </w:rPr>
        <w:footnoteRef/>
      </w:r>
      <w:r>
        <w:t xml:space="preserve"> See paragraphs 284S(1)(d) and (e) of the Act.</w:t>
      </w:r>
    </w:p>
  </w:footnote>
  <w:footnote w:id="15">
    <w:p w14:paraId="0EB062A7" w14:textId="77777777" w:rsidR="006F56A5" w:rsidRPr="007B634F" w:rsidRDefault="006F56A5" w:rsidP="007B634F">
      <w:pPr>
        <w:pStyle w:val="FootnoteText"/>
      </w:pPr>
      <w:r w:rsidRPr="00803EC3">
        <w:rPr>
          <w:rStyle w:val="FootnoteReference"/>
        </w:rPr>
        <w:footnoteRef/>
      </w:r>
      <w:r w:rsidRPr="007B634F">
        <w:t xml:space="preserve"> Made under either or both of subsections 77A(6) and (7).</w:t>
      </w:r>
    </w:p>
  </w:footnote>
  <w:footnote w:id="16">
    <w:p w14:paraId="1FC5563E" w14:textId="035B3F95" w:rsidR="006F56A5" w:rsidRPr="007B634F" w:rsidRDefault="006F56A5" w:rsidP="007B634F">
      <w:pPr>
        <w:pStyle w:val="FootnoteText"/>
      </w:pPr>
      <w:r w:rsidRPr="00803EC3">
        <w:rPr>
          <w:rStyle w:val="FootnoteReference"/>
        </w:rPr>
        <w:footnoteRef/>
      </w:r>
      <w:r w:rsidRPr="007B634F">
        <w:t xml:space="preserve"> For example, radiocommunications advisory guidelines made under section 262 of the Act are used to help manage interference to and from spectrum</w:t>
      </w:r>
      <w:r w:rsidR="003962FD">
        <w:t>-</w:t>
      </w:r>
      <w:r w:rsidRPr="007B634F">
        <w:t>licensed receivers and transmitters</w:t>
      </w:r>
      <w:r w:rsidR="00623977">
        <w:t>.</w:t>
      </w:r>
    </w:p>
  </w:footnote>
  <w:footnote w:id="17">
    <w:p w14:paraId="708A5D7D" w14:textId="77777777" w:rsidR="00DB0F76" w:rsidRDefault="00DB0F76">
      <w:pPr>
        <w:pStyle w:val="FootnoteText"/>
      </w:pPr>
      <w:r>
        <w:rPr>
          <w:rStyle w:val="FootnoteReference"/>
        </w:rPr>
        <w:footnoteRef/>
      </w:r>
      <w:r>
        <w:t xml:space="preserve"> Pursuant to Division 4 of Part 3.2 of the Act.</w:t>
      </w:r>
    </w:p>
  </w:footnote>
  <w:footnote w:id="18">
    <w:p w14:paraId="02DAE82C" w14:textId="77777777" w:rsidR="006F56A5" w:rsidRPr="007B634F" w:rsidRDefault="006F56A5" w:rsidP="007B634F">
      <w:pPr>
        <w:pStyle w:val="FootnoteText"/>
      </w:pPr>
      <w:r w:rsidRPr="00576421">
        <w:rPr>
          <w:rStyle w:val="FootnoteReference"/>
        </w:rPr>
        <w:footnoteRef/>
      </w:r>
      <w:r w:rsidRPr="007B634F">
        <w:t xml:space="preserve"> A decision to renew or partially renew an ESL does not result in a new licence </w:t>
      </w:r>
      <w:r w:rsidR="007B634F" w:rsidRPr="007B634F">
        <w:t>immediately coming into force</w:t>
      </w:r>
      <w:r w:rsidRPr="007B634F">
        <w:t xml:space="preserve">. Subsection 77C(9) provides that a new spectrum licence comes into force, or is taken to have come into force, immediately after the expiration of the licence that it replaces. </w:t>
      </w:r>
    </w:p>
  </w:footnote>
  <w:footnote w:id="19">
    <w:p w14:paraId="657FFFB9" w14:textId="77777777" w:rsidR="008E36FE" w:rsidRDefault="008E36FE" w:rsidP="008E36FE">
      <w:pPr>
        <w:pStyle w:val="FootnoteText"/>
      </w:pPr>
      <w:r>
        <w:rPr>
          <w:rStyle w:val="FootnoteReference"/>
        </w:rPr>
        <w:footnoteRef/>
      </w:r>
      <w:r>
        <w:t xml:space="preserve"> S</w:t>
      </w:r>
      <w:r w:rsidRPr="007B634F">
        <w:t>ubsection 77C(5) provides that the ACMA must not renew a spectrum licence with a duration of 10 or more years unless the ACMA is satisfied that it is in the public interest to do so</w:t>
      </w:r>
      <w:r>
        <w:t>.</w:t>
      </w:r>
    </w:p>
  </w:footnote>
  <w:footnote w:id="20">
    <w:p w14:paraId="37AC9750" w14:textId="77777777" w:rsidR="008D30CE" w:rsidRDefault="008D30CE" w:rsidP="008D30CE">
      <w:pPr>
        <w:pStyle w:val="FootnoteText"/>
      </w:pPr>
      <w:r>
        <w:rPr>
          <w:rStyle w:val="FootnoteReference"/>
        </w:rPr>
        <w:footnoteRef/>
      </w:r>
      <w:r>
        <w:t xml:space="preserve"> The stage 1 consultation sometimes used the term ‘assessment framework’ to describe this construction.</w:t>
      </w:r>
    </w:p>
  </w:footnote>
  <w:footnote w:id="21">
    <w:p w14:paraId="0F49F58F" w14:textId="2A57EE49" w:rsidR="007B634F" w:rsidRPr="007B634F" w:rsidRDefault="007B634F" w:rsidP="007B634F">
      <w:pPr>
        <w:pStyle w:val="FootnoteText"/>
      </w:pPr>
      <w:r w:rsidRPr="00576421">
        <w:rPr>
          <w:rStyle w:val="FootnoteReference"/>
        </w:rPr>
        <w:footnoteRef/>
      </w:r>
      <w:r w:rsidRPr="007B634F">
        <w:t xml:space="preserve"> The Act further provide</w:t>
      </w:r>
      <w:r w:rsidR="000F22F7">
        <w:t>s</w:t>
      </w:r>
      <w:r w:rsidRPr="007B634F">
        <w:t xml:space="preserve"> that, without limiting the requirement that we must have regard to all matters that we consider relevant, we must have regard to the effect on radiocommunications of the proposed operation of the radiocommunications devices that would be authorised under the new spectrum licence; and that we may have regard to other matters relating broadly relating to or arising from breaches of the Act or licence conditions.</w:t>
      </w:r>
    </w:p>
  </w:footnote>
  <w:footnote w:id="22">
    <w:p w14:paraId="235E323D" w14:textId="6E70B3D7" w:rsidR="007B634F" w:rsidRPr="007B634F" w:rsidRDefault="007B634F" w:rsidP="00A93034">
      <w:pPr>
        <w:pStyle w:val="FootnoteText"/>
      </w:pPr>
      <w:r w:rsidRPr="00576421">
        <w:rPr>
          <w:rStyle w:val="FootnoteReference"/>
        </w:rPr>
        <w:footnoteRef/>
      </w:r>
      <w:r w:rsidRPr="007B634F">
        <w:t xml:space="preserve"> The</w:t>
      </w:r>
      <w:r w:rsidR="001E3FB6">
        <w:t xml:space="preserve"> 2023</w:t>
      </w:r>
      <w:r w:rsidRPr="007B634F">
        <w:t xml:space="preserve"> </w:t>
      </w:r>
      <w:hyperlink r:id="rId4" w:history="1">
        <w:r w:rsidRPr="001E3FB6">
          <w:rPr>
            <w:rStyle w:val="Hyperlink"/>
          </w:rPr>
          <w:t>Measuring What Matters</w:t>
        </w:r>
      </w:hyperlink>
      <w:r w:rsidRPr="007B634F">
        <w:t xml:space="preserve"> framework, for example, identifies metrics beyond traditional economic indicators as being important to informing public debate and policy, and identifies a range of recreational and social activities can be realised by wireless connectivity. With respect to spectrum, </w:t>
      </w:r>
      <w:r w:rsidR="00623977">
        <w:t>‘</w:t>
      </w:r>
      <w:r w:rsidRPr="007B634F">
        <w:t>It is difficult to quantify services providing social benefits such as broadcasting offering education, training, news, recreation, better information dissemination, preservation [of] diversity, improved access to public services, greater social inclusion; emergency services providing a link to the police, accident and rescue services, including disaster control facilities; academic research and preservation of wildlife; personal services: home health care/nursing, home security for the elderly; meteorology and radio astronomy</w:t>
      </w:r>
      <w:r w:rsidR="00D20603">
        <w:t>.</w:t>
      </w:r>
      <w:r w:rsidRPr="007B634F">
        <w:t>’</w:t>
      </w:r>
      <w:r w:rsidR="00002BFC">
        <w:t xml:space="preserve"> </w:t>
      </w:r>
      <w:r w:rsidR="00004033">
        <w:t>Haim M</w:t>
      </w:r>
      <w:r w:rsidR="006F0366">
        <w:t xml:space="preserve">azar, </w:t>
      </w:r>
      <w:r w:rsidR="006F0366">
        <w:rPr>
          <w:i/>
          <w:iCs/>
        </w:rPr>
        <w:t>Radio Spectrum Management: Policies, Regulations and Techniques</w:t>
      </w:r>
      <w:r w:rsidR="006F0366">
        <w:t xml:space="preserve">, </w:t>
      </w:r>
      <w:r w:rsidR="00782A2D">
        <w:t>John Wiley &amp; Sons, 2016,</w:t>
      </w:r>
      <w:r w:rsidRPr="007B634F">
        <w:t xml:space="preserve"> p. 130</w:t>
      </w:r>
      <w:r w:rsidR="00782A2D">
        <w:t>.</w:t>
      </w:r>
      <w:r w:rsidRPr="007B634F">
        <w:t xml:space="preserve"> </w:t>
      </w:r>
    </w:p>
  </w:footnote>
  <w:footnote w:id="23">
    <w:p w14:paraId="6FBA05FB" w14:textId="0E15EB52" w:rsidR="007B634F" w:rsidRPr="007B634F" w:rsidRDefault="007B634F" w:rsidP="007B634F">
      <w:pPr>
        <w:pStyle w:val="FootnoteText"/>
      </w:pPr>
      <w:r w:rsidRPr="00782A2D">
        <w:rPr>
          <w:rStyle w:val="FootnoteReference"/>
        </w:rPr>
        <w:footnoteRef/>
      </w:r>
      <w:r w:rsidRPr="007B634F">
        <w:t xml:space="preserve"> Such a</w:t>
      </w:r>
      <w:r w:rsidR="000A4748">
        <w:t>s a</w:t>
      </w:r>
      <w:r w:rsidR="00B76AAE">
        <w:t>n MPS</w:t>
      </w:r>
      <w:r w:rsidRPr="007B634F">
        <w:t xml:space="preserve">, or directions made by the </w:t>
      </w:r>
      <w:r w:rsidR="00A65790">
        <w:t>m</w:t>
      </w:r>
      <w:r w:rsidRPr="007B634F">
        <w:t xml:space="preserve">inister under section 14 of the </w:t>
      </w:r>
      <w:hyperlink r:id="rId5" w:history="1">
        <w:r w:rsidRPr="000F0060">
          <w:rPr>
            <w:rStyle w:val="Hyperlink"/>
            <w:i/>
            <w:iCs/>
          </w:rPr>
          <w:t>Australian Communications and Media Authority Act 2005</w:t>
        </w:r>
      </w:hyperlink>
      <w:r w:rsidR="00EA7882">
        <w:t xml:space="preserve"> </w:t>
      </w:r>
      <w:r w:rsidRPr="007B634F">
        <w:t>or subsection 294(2) of the Act.</w:t>
      </w:r>
    </w:p>
  </w:footnote>
  <w:footnote w:id="24">
    <w:p w14:paraId="7EB01532" w14:textId="0E1F0332" w:rsidR="00146DF7" w:rsidRDefault="00146DF7">
      <w:pPr>
        <w:pStyle w:val="FootnoteText"/>
      </w:pPr>
      <w:r>
        <w:rPr>
          <w:rStyle w:val="FootnoteReference"/>
        </w:rPr>
        <w:footnoteRef/>
      </w:r>
      <w:r>
        <w:t xml:space="preserve"> </w:t>
      </w:r>
      <w:r w:rsidRPr="00146DF7">
        <w:t>We also note that there is a linkage between SoE and the object of the Act: The Commonwealth’s communications policy is expressed in the SoE, and the object of the Act refers to facilitating use of spectrum in a manner that supports Commonwealth policy objectives.</w:t>
      </w:r>
    </w:p>
  </w:footnote>
  <w:footnote w:id="25">
    <w:p w14:paraId="2702634B" w14:textId="6C89DF3A" w:rsidR="007B634F" w:rsidRDefault="007B634F" w:rsidP="007B634F">
      <w:pPr>
        <w:pStyle w:val="FootnoteText"/>
      </w:pPr>
      <w:r>
        <w:rPr>
          <w:rStyle w:val="FootnoteReference"/>
        </w:rPr>
        <w:footnoteRef/>
      </w:r>
      <w:r>
        <w:t xml:space="preserve"> These </w:t>
      </w:r>
      <w:r w:rsidR="00723939">
        <w:t>3</w:t>
      </w:r>
      <w:r>
        <w:t xml:space="preserve"> concepts are considered to constitute Pareto or economic efficiency, whereby resources are allocated in a way that does not better one consumer or firm to the detriment of anothe</w:t>
      </w:r>
      <w:r w:rsidR="00FF7733">
        <w:t>r. See</w:t>
      </w:r>
      <w:r w:rsidR="003064FA">
        <w:t xml:space="preserve"> Martin Cave, Chris Doyle and William Webb, </w:t>
      </w:r>
      <w:r w:rsidR="003064FA">
        <w:rPr>
          <w:i/>
          <w:iCs/>
        </w:rPr>
        <w:t>Essentials of Modern Spectrum Management</w:t>
      </w:r>
      <w:r w:rsidR="006E3DB0">
        <w:t>, Cambridge University Press, 2007, p. 88 and p. 169</w:t>
      </w:r>
      <w:r>
        <w:t>.</w:t>
      </w:r>
    </w:p>
  </w:footnote>
  <w:footnote w:id="26">
    <w:p w14:paraId="21A80CE3" w14:textId="2148A4F0" w:rsidR="007B634F" w:rsidRPr="004942B4" w:rsidRDefault="007B634F" w:rsidP="007B634F">
      <w:pPr>
        <w:pStyle w:val="FootnoteText"/>
      </w:pPr>
      <w:r>
        <w:rPr>
          <w:rStyle w:val="FootnoteReference"/>
        </w:rPr>
        <w:footnoteRef/>
      </w:r>
      <w:r>
        <w:t xml:space="preserve"> </w:t>
      </w:r>
      <w:r w:rsidR="006E3DB0">
        <w:t xml:space="preserve">See </w:t>
      </w:r>
      <w:r>
        <w:t xml:space="preserve">Mazar, </w:t>
      </w:r>
      <w:r>
        <w:rPr>
          <w:i/>
          <w:iCs/>
        </w:rPr>
        <w:t>Radio Spectrum Management</w:t>
      </w:r>
      <w:r>
        <w:t>, p. 128.</w:t>
      </w:r>
    </w:p>
  </w:footnote>
  <w:footnote w:id="27">
    <w:p w14:paraId="470335BC" w14:textId="0F616581" w:rsidR="007B634F" w:rsidRDefault="007B634F" w:rsidP="007B634F">
      <w:pPr>
        <w:pStyle w:val="FootnoteText"/>
      </w:pPr>
      <w:r>
        <w:rPr>
          <w:rStyle w:val="FootnoteReference"/>
        </w:rPr>
        <w:footnoteRef/>
      </w:r>
      <w:r>
        <w:t xml:space="preserve"> Mazar</w:t>
      </w:r>
      <w:r w:rsidR="006E3DB0">
        <w:t xml:space="preserve">, </w:t>
      </w:r>
      <w:r w:rsidR="006E3DB0">
        <w:rPr>
          <w:i/>
          <w:iCs/>
        </w:rPr>
        <w:t>Radio Spectrum Management</w:t>
      </w:r>
      <w:r w:rsidR="006E3DB0">
        <w:t>,</w:t>
      </w:r>
      <w:r>
        <w:t xml:space="preserve"> p. 133. Similarly, the design of </w:t>
      </w:r>
      <w:r w:rsidR="0064360D">
        <w:t xml:space="preserve">licences </w:t>
      </w:r>
      <w:r>
        <w:t xml:space="preserve">should be guided by economic efficiency, whereby </w:t>
      </w:r>
      <w:r w:rsidR="00DE0372">
        <w:t xml:space="preserve">a licence </w:t>
      </w:r>
      <w:r>
        <w:t>is considered an input and that, as an input, it should be used in a way that does not restrict the economy’s potential</w:t>
      </w:r>
      <w:r w:rsidR="00A67A21">
        <w:t xml:space="preserve"> </w:t>
      </w:r>
      <w:r>
        <w:t xml:space="preserve">– </w:t>
      </w:r>
      <w:r w:rsidR="00E503AD">
        <w:t>s</w:t>
      </w:r>
      <w:r w:rsidR="00A67A21">
        <w:t xml:space="preserve">ee Cave, Doyle and Webb, </w:t>
      </w:r>
      <w:r w:rsidR="00A67A21">
        <w:rPr>
          <w:i/>
          <w:iCs/>
        </w:rPr>
        <w:t xml:space="preserve">Modern Spectrum </w:t>
      </w:r>
      <w:r w:rsidR="00A67A21" w:rsidRPr="006B3862">
        <w:t>Management</w:t>
      </w:r>
      <w:r w:rsidR="006B3862">
        <w:t xml:space="preserve">, </w:t>
      </w:r>
      <w:r w:rsidRPr="006B3862">
        <w:t>p</w:t>
      </w:r>
      <w:r>
        <w:t>. 124.</w:t>
      </w:r>
    </w:p>
  </w:footnote>
  <w:footnote w:id="28">
    <w:p w14:paraId="61313BE5" w14:textId="4B507E9B" w:rsidR="007B634F" w:rsidRPr="007C3C12" w:rsidRDefault="007B634F" w:rsidP="007B634F">
      <w:pPr>
        <w:pStyle w:val="FootnoteText"/>
      </w:pPr>
      <w:r>
        <w:rPr>
          <w:rStyle w:val="FootnoteReference"/>
        </w:rPr>
        <w:footnoteRef/>
      </w:r>
      <w:r>
        <w:t xml:space="preserve"> See </w:t>
      </w:r>
      <w:r w:rsidR="00324C32">
        <w:t xml:space="preserve">Martin Cave </w:t>
      </w:r>
      <w:r>
        <w:t xml:space="preserve">and </w:t>
      </w:r>
      <w:r w:rsidR="00324C32">
        <w:t xml:space="preserve">William </w:t>
      </w:r>
      <w:r>
        <w:t xml:space="preserve">Webb, </w:t>
      </w:r>
      <w:r>
        <w:rPr>
          <w:i/>
          <w:iCs/>
        </w:rPr>
        <w:t>Spectrum Management</w:t>
      </w:r>
      <w:r w:rsidR="00324C32" w:rsidRPr="00324C32">
        <w:rPr>
          <w:i/>
          <w:iCs/>
        </w:rPr>
        <w:t>: Using the Airwaves for Maximum Social and Economic Benefit</w:t>
      </w:r>
      <w:r w:rsidR="00324C32">
        <w:t xml:space="preserve">, </w:t>
      </w:r>
      <w:r w:rsidR="00DC3072">
        <w:t>Cambridge University Press, 2015,</w:t>
      </w:r>
      <w:r>
        <w:t xml:space="preserve"> p. 42.</w:t>
      </w:r>
    </w:p>
  </w:footnote>
  <w:footnote w:id="29">
    <w:p w14:paraId="28D045ED" w14:textId="77777777" w:rsidR="007B634F" w:rsidRDefault="007B634F" w:rsidP="007B634F">
      <w:pPr>
        <w:pStyle w:val="FootnoteText"/>
      </w:pPr>
      <w:r>
        <w:rPr>
          <w:rStyle w:val="FootnoteReference"/>
        </w:rPr>
        <w:footnoteRef/>
      </w:r>
      <w:r>
        <w:t xml:space="preserve"> </w:t>
      </w:r>
      <w:proofErr w:type="spellStart"/>
      <w:r>
        <w:t>GlobalData</w:t>
      </w:r>
      <w:proofErr w:type="spellEnd"/>
      <w:r>
        <w:t xml:space="preserve">, </w:t>
      </w:r>
      <w:r w:rsidRPr="007C5CC4">
        <w:rPr>
          <w:i/>
          <w:iCs/>
        </w:rPr>
        <w:t xml:space="preserve">Australian Mobile Operator </w:t>
      </w:r>
      <w:proofErr w:type="spellStart"/>
      <w:r w:rsidRPr="007C5CC4">
        <w:rPr>
          <w:i/>
          <w:iCs/>
        </w:rPr>
        <w:t>KPI</w:t>
      </w:r>
      <w:proofErr w:type="spellEnd"/>
      <w:r w:rsidRPr="007C5CC4">
        <w:rPr>
          <w:i/>
          <w:iCs/>
        </w:rPr>
        <w:t xml:space="preserve"> Forecast for Australia</w:t>
      </w:r>
      <w:r>
        <w:rPr>
          <w:i/>
          <w:iCs/>
        </w:rPr>
        <w:t xml:space="preserve"> </w:t>
      </w:r>
      <w:r w:rsidRPr="00CE32A2">
        <w:t>[database]</w:t>
      </w:r>
      <w:r>
        <w:t>, March 2023</w:t>
      </w:r>
      <w:r w:rsidRPr="000D7A4F">
        <w:t>,</w:t>
      </w:r>
      <w:r>
        <w:t xml:space="preserve"> accessed March 28, 2023. Forecast excludes device sales. </w:t>
      </w:r>
    </w:p>
  </w:footnote>
  <w:footnote w:id="30">
    <w:p w14:paraId="59175071" w14:textId="6D0F2780" w:rsidR="007B634F" w:rsidRDefault="007B634F" w:rsidP="007B634F">
      <w:pPr>
        <w:pStyle w:val="FootnoteText"/>
      </w:pPr>
      <w:r>
        <w:rPr>
          <w:rStyle w:val="FootnoteReference"/>
        </w:rPr>
        <w:footnoteRef/>
      </w:r>
      <w:r>
        <w:t xml:space="preserve"> </w:t>
      </w:r>
      <w:r w:rsidR="006A598C">
        <w:t xml:space="preserve">See our </w:t>
      </w:r>
      <w:hyperlink r:id="rId6" w:history="1">
        <w:r w:rsidR="00603CBE" w:rsidRPr="0047330A">
          <w:rPr>
            <w:rStyle w:val="Hyperlink"/>
          </w:rPr>
          <w:t>Market study: private wireless networks using 4G and 5G</w:t>
        </w:r>
      </w:hyperlink>
      <w:r w:rsidR="00603CBE">
        <w:t>.</w:t>
      </w:r>
    </w:p>
  </w:footnote>
  <w:footnote w:id="31">
    <w:p w14:paraId="6E75D37E" w14:textId="77777777" w:rsidR="007B634F" w:rsidRDefault="007B634F" w:rsidP="007B634F">
      <w:pPr>
        <w:pStyle w:val="FootnoteText"/>
      </w:pPr>
      <w:r>
        <w:rPr>
          <w:rStyle w:val="FootnoteReference"/>
        </w:rPr>
        <w:footnoteRef/>
      </w:r>
      <w:r>
        <w:t xml:space="preserve"> </w:t>
      </w:r>
      <w:r w:rsidRPr="00097A9E">
        <w:t xml:space="preserve">Mordor Intelligence, </w:t>
      </w:r>
      <w:r w:rsidRPr="007C5CC4">
        <w:rPr>
          <w:i/>
          <w:iCs/>
        </w:rPr>
        <w:t xml:space="preserve">Australian Private wireless network Landscape </w:t>
      </w:r>
      <w:r>
        <w:rPr>
          <w:i/>
          <w:iCs/>
        </w:rPr>
        <w:t>(2022-2027)</w:t>
      </w:r>
      <w:r w:rsidRPr="00097A9E">
        <w:t>.</w:t>
      </w:r>
    </w:p>
  </w:footnote>
  <w:footnote w:id="32">
    <w:p w14:paraId="393F7DD0" w14:textId="77777777" w:rsidR="007B634F" w:rsidRDefault="007B634F" w:rsidP="007B634F">
      <w:pPr>
        <w:pStyle w:val="FootnoteText"/>
      </w:pPr>
      <w:r>
        <w:rPr>
          <w:rStyle w:val="FootnoteReference"/>
        </w:rPr>
        <w:footnoteRef/>
      </w:r>
      <w:r>
        <w:t xml:space="preserve"> For example, the United States has reserved spectrum available at 3.5–3.7 GHz, Germany at 3.7–3.8 GHz and Japan at 1.9 GHz and between 4.6 GHz and 4.9 GHz. </w:t>
      </w:r>
    </w:p>
  </w:footnote>
  <w:footnote w:id="33">
    <w:p w14:paraId="53CA63E9" w14:textId="7BC33A5B" w:rsidR="007B634F" w:rsidRDefault="007B634F" w:rsidP="007B634F">
      <w:pPr>
        <w:pStyle w:val="FootnoteText"/>
      </w:pPr>
      <w:r w:rsidRPr="007B634F">
        <w:rPr>
          <w:vertAlign w:val="superscript"/>
        </w:rPr>
        <w:footnoteRef/>
      </w:r>
      <w:r>
        <w:t xml:space="preserve"> </w:t>
      </w:r>
      <w:r w:rsidRPr="00AC0089">
        <w:t xml:space="preserve">GSA, Private Mobile Networks: May 2023 Member Report, GSA, 2023. p.10, accessed 14 June 2023. As part of our broader spectrum allocation activities, we support private network use cases through licensing arrangements for </w:t>
      </w:r>
      <w:r w:rsidR="00CD0298">
        <w:t>local area wireless broadband</w:t>
      </w:r>
      <w:r w:rsidRPr="00AC0089">
        <w:t xml:space="preserve">. Recently, the ACMA introduced area-wide licences in response to changes in technology and requests from spectrum users for additional flexibility within the apparatus licensing system - see </w:t>
      </w:r>
      <w:hyperlink r:id="rId7" w:history="1">
        <w:r w:rsidRPr="00AC0089">
          <w:rPr>
            <w:rStyle w:val="Hyperlink"/>
          </w:rPr>
          <w:t>Area-wide licensing: ACMA approach to introducing area-wide licences</w:t>
        </w:r>
      </w:hyperlink>
      <w:r w:rsidR="00AC0089">
        <w:t xml:space="preserve">. </w:t>
      </w:r>
      <w:r w:rsidRPr="00AC0089">
        <w:t>We also note allocation exercises in 3.4</w:t>
      </w:r>
      <w:r w:rsidR="006A4F2E">
        <w:t>–</w:t>
      </w:r>
      <w:r w:rsidR="006A4F2E" w:rsidRPr="00AC0089">
        <w:t xml:space="preserve">4 GHz </w:t>
      </w:r>
      <w:r w:rsidRPr="00AC0089">
        <w:t>for 2023 and 2024.</w:t>
      </w:r>
    </w:p>
  </w:footnote>
  <w:footnote w:id="34">
    <w:p w14:paraId="269E5E0E" w14:textId="764DFD16" w:rsidR="007B634F" w:rsidRDefault="007B634F" w:rsidP="007B634F">
      <w:pPr>
        <w:pStyle w:val="FootnoteText"/>
      </w:pPr>
      <w:r>
        <w:rPr>
          <w:rStyle w:val="FootnoteReference"/>
        </w:rPr>
        <w:footnoteRef/>
      </w:r>
      <w:r>
        <w:t xml:space="preserve"> See </w:t>
      </w:r>
      <w:hyperlink r:id="rId8" w:history="1">
        <w:r w:rsidR="005E0C02">
          <w:rPr>
            <w:rStyle w:val="Hyperlink"/>
          </w:rPr>
          <w:t>A more dynamic and competitive economy</w:t>
        </w:r>
      </w:hyperlink>
    </w:p>
  </w:footnote>
  <w:footnote w:id="35">
    <w:p w14:paraId="248AFF3A" w14:textId="24A70EF9" w:rsidR="007B634F" w:rsidRPr="002D7723" w:rsidRDefault="007B634F" w:rsidP="007B634F">
      <w:pPr>
        <w:pStyle w:val="FootnoteText"/>
        <w:rPr>
          <w:i/>
          <w:iCs/>
        </w:rPr>
      </w:pPr>
      <w:r>
        <w:rPr>
          <w:rStyle w:val="FootnoteReference"/>
        </w:rPr>
        <w:footnoteRef/>
      </w:r>
      <w:r>
        <w:t xml:space="preserve"> Cave, Doyle</w:t>
      </w:r>
      <w:r w:rsidR="00AC0089">
        <w:t xml:space="preserve"> and</w:t>
      </w:r>
      <w:r>
        <w:t xml:space="preserve"> Webb</w:t>
      </w:r>
      <w:r w:rsidR="00AC0089">
        <w:t xml:space="preserve">, </w:t>
      </w:r>
      <w:r w:rsidR="0076396A">
        <w:rPr>
          <w:i/>
          <w:iCs/>
        </w:rPr>
        <w:t>Modern Spectrum Management</w:t>
      </w:r>
      <w:r w:rsidR="0076396A">
        <w:t xml:space="preserve">, </w:t>
      </w:r>
      <w:r>
        <w:t>p. 85.</w:t>
      </w:r>
    </w:p>
  </w:footnote>
  <w:footnote w:id="36">
    <w:p w14:paraId="036E1A22" w14:textId="37F619A2" w:rsidR="007B634F" w:rsidRDefault="007B634F" w:rsidP="007B634F">
      <w:pPr>
        <w:pStyle w:val="FootnoteText"/>
      </w:pPr>
      <w:r>
        <w:rPr>
          <w:rStyle w:val="FootnoteReference"/>
        </w:rPr>
        <w:footnoteRef/>
      </w:r>
      <w:r>
        <w:t xml:space="preserve"> Additionally, the economic efficiency gains intended to be realised by tradable and technology-flexible licences, and low transaction costs imposed by regulation, can go unrealised where the behaviour of market players is not competitive – see Cave, Doyle and Webb, </w:t>
      </w:r>
      <w:r>
        <w:rPr>
          <w:i/>
          <w:iCs/>
        </w:rPr>
        <w:t>Modern Spectrum Management</w:t>
      </w:r>
      <w:r>
        <w:t xml:space="preserve">, p. 39. </w:t>
      </w:r>
    </w:p>
  </w:footnote>
  <w:footnote w:id="37">
    <w:p w14:paraId="74756AAD" w14:textId="3A8E2059" w:rsidR="007B634F" w:rsidRDefault="007B634F" w:rsidP="007B634F">
      <w:pPr>
        <w:pStyle w:val="FootnoteText"/>
      </w:pPr>
      <w:r>
        <w:rPr>
          <w:rStyle w:val="FootnoteReference"/>
        </w:rPr>
        <w:footnoteRef/>
      </w:r>
      <w:r>
        <w:t xml:space="preserve"> </w:t>
      </w:r>
      <w:r w:rsidR="00D159D0">
        <w:t xml:space="preserve">See </w:t>
      </w:r>
      <w:hyperlink r:id="rId9" w:history="1">
        <w:r w:rsidR="00D159D0" w:rsidRPr="0020278E">
          <w:rPr>
            <w:rStyle w:val="Hyperlink"/>
          </w:rPr>
          <w:t xml:space="preserve">Venture </w:t>
        </w:r>
        <w:r w:rsidR="0020278E" w:rsidRPr="0020278E">
          <w:rPr>
            <w:rStyle w:val="Hyperlink"/>
          </w:rPr>
          <w:t>Insights State of the Australian Telecommunications Industry</w:t>
        </w:r>
      </w:hyperlink>
      <w:r w:rsidR="0020278E">
        <w:t>.</w:t>
      </w:r>
    </w:p>
  </w:footnote>
  <w:footnote w:id="38">
    <w:p w14:paraId="34F44D33" w14:textId="7DA3CFBC" w:rsidR="002D0D7D" w:rsidRDefault="002D0D7D" w:rsidP="002D0D7D">
      <w:pPr>
        <w:pStyle w:val="FootnoteText"/>
      </w:pPr>
      <w:r w:rsidRPr="002D7723">
        <w:rPr>
          <w:rStyle w:val="FootnoteReference"/>
        </w:rPr>
        <w:footnoteRef/>
      </w:r>
      <w:r w:rsidRPr="002D7723">
        <w:t xml:space="preserve"> Recommendations arising from the </w:t>
      </w:r>
      <w:hyperlink r:id="rId10" w:history="1">
        <w:r w:rsidRPr="00396E06">
          <w:rPr>
            <w:rStyle w:val="Hyperlink"/>
          </w:rPr>
          <w:t>2021 Regional Telecommunications Review</w:t>
        </w:r>
      </w:hyperlink>
      <w:r w:rsidRPr="002D7723">
        <w:t xml:space="preserve"> do not specifically focus on spectrum management, but do recommend, among other things, new or continued funding for new mobile coverage and</w:t>
      </w:r>
      <w:r>
        <w:t xml:space="preserve"> shared network access models (including neutral hosting models).</w:t>
      </w:r>
      <w:r w:rsidRPr="003B2310">
        <w:t xml:space="preserve"> </w:t>
      </w:r>
      <w:r w:rsidR="00572BF1" w:rsidRPr="002C2B7E">
        <w:t>Telstra</w:t>
      </w:r>
      <w:r w:rsidR="00572BF1">
        <w:t xml:space="preserve"> has noted that ‘Because of the challenging economics, there are likely to be few new economically viable sites in regional and remote areas, without support from government co-funding’; and that ‘Difficult terrain and low population density means there will always be large parts of Australia’s land mass that will not get terrestrial based mobile coverage, even with co-funding initiatives.’ See Telstra’s </w:t>
      </w:r>
      <w:hyperlink r:id="rId11" w:history="1">
        <w:r w:rsidR="00572BF1" w:rsidRPr="00847BAA">
          <w:rPr>
            <w:rStyle w:val="Hyperlink"/>
          </w:rPr>
          <w:t>submission</w:t>
        </w:r>
      </w:hyperlink>
      <w:r w:rsidR="00572BF1">
        <w:t xml:space="preserve"> to the Inquiry into Co-Investment in Multi-carrier Regional Mobile Infrastructure (the Inquiry into Co-Investment). The ACCC noted similar stakeholder views in its RMII. Similarly, the </w:t>
      </w:r>
      <w:hyperlink r:id="rId12" w:history="1">
        <w:r w:rsidR="00572BF1" w:rsidRPr="007212C9">
          <w:rPr>
            <w:rStyle w:val="Hyperlink"/>
          </w:rPr>
          <w:t>Australian Broadband Advisory Council has commented</w:t>
        </w:r>
      </w:hyperlink>
      <w:r w:rsidR="00572BF1">
        <w:t xml:space="preserve"> that ‘It is not reasonable to expect that the national carrier business models, even with the stepped up “push-pull” approaches from government, will solve what is essentially a local problem;’ and that ‘’While carrier fixed and mobile broadband networks can “do everything”, they are over-engineered for many </w:t>
      </w:r>
      <w:proofErr w:type="spellStart"/>
      <w:r w:rsidR="00572BF1">
        <w:t>agri</w:t>
      </w:r>
      <w:proofErr w:type="spellEnd"/>
      <w:r w:rsidR="00572BF1">
        <w:t xml:space="preserve">-tech applications, and still won’t necessary resolve’ coverage problems. The Council cites a range of technologies and approaches that are being deployed, and notes that access to fibre backhaul and access to spectrum – including potential allocation and licensing </w:t>
      </w:r>
      <w:hyperlink r:id="rId13" w:history="1">
        <w:r w:rsidR="00572BF1" w:rsidRPr="007212C9">
          <w:rPr>
            <w:rStyle w:val="Hyperlink"/>
          </w:rPr>
          <w:t>options for the 6 GHz</w:t>
        </w:r>
      </w:hyperlink>
      <w:r w:rsidR="00572BF1">
        <w:t xml:space="preserve"> band being considered by the ACMA – are critical inputs into developing a robust and multi-tiered market for services in these regions.</w:t>
      </w:r>
    </w:p>
  </w:footnote>
  <w:footnote w:id="39">
    <w:p w14:paraId="211F1462" w14:textId="3D83A4A0" w:rsidR="00940F68" w:rsidRDefault="00940F68">
      <w:pPr>
        <w:pStyle w:val="FootnoteText"/>
      </w:pPr>
      <w:r>
        <w:rPr>
          <w:rStyle w:val="FootnoteReference"/>
        </w:rPr>
        <w:footnoteRef/>
      </w:r>
      <w:r>
        <w:t xml:space="preserve"> </w:t>
      </w:r>
      <w:r w:rsidR="0003291E">
        <w:t xml:space="preserve">See </w:t>
      </w:r>
      <w:r w:rsidR="00E403E6">
        <w:t xml:space="preserve">the House of </w:t>
      </w:r>
      <w:r w:rsidR="00B32388" w:rsidRPr="00B32388">
        <w:rPr>
          <w:rFonts w:cs="Arial"/>
        </w:rPr>
        <w:t>Representatives</w:t>
      </w:r>
      <w:r w:rsidR="00E403E6" w:rsidRPr="001631AD">
        <w:rPr>
          <w:rFonts w:cs="Arial"/>
          <w:color w:val="222222"/>
          <w:shd w:val="clear" w:color="auto" w:fill="FFFFFF"/>
        </w:rPr>
        <w:t xml:space="preserve"> Standing Committee on Communications and the Arts</w:t>
      </w:r>
      <w:r w:rsidR="00665C18">
        <w:rPr>
          <w:rFonts w:cs="Arial"/>
          <w:color w:val="222222"/>
          <w:shd w:val="clear" w:color="auto" w:fill="FFFFFF"/>
        </w:rPr>
        <w:t>’ 2023 report</w:t>
      </w:r>
      <w:r w:rsidR="00665394">
        <w:rPr>
          <w:rFonts w:cs="Arial"/>
          <w:color w:val="222222"/>
          <w:shd w:val="clear" w:color="auto" w:fill="FFFFFF"/>
        </w:rPr>
        <w:t xml:space="preserve"> </w:t>
      </w:r>
      <w:hyperlink r:id="rId14" w:history="1">
        <w:r w:rsidR="00665394" w:rsidRPr="00854EF5">
          <w:rPr>
            <w:rStyle w:val="Hyperlink"/>
          </w:rPr>
          <w:t>Connecting the country: Mission critical Inquiry into co-investment in multi-carrier regional mobile infrastructure</w:t>
        </w:r>
        <w:r w:rsidR="00AD7418" w:rsidRPr="00854EF5">
          <w:rPr>
            <w:rStyle w:val="Hyperlink"/>
          </w:rPr>
          <w:t>.</w:t>
        </w:r>
      </w:hyperlink>
    </w:p>
  </w:footnote>
  <w:footnote w:id="40">
    <w:p w14:paraId="7C4297E0" w14:textId="77777777" w:rsidR="003C2056" w:rsidRDefault="003C2056" w:rsidP="003C2056">
      <w:pPr>
        <w:pStyle w:val="FootnoteText"/>
      </w:pPr>
      <w:r>
        <w:rPr>
          <w:rStyle w:val="FootnoteReference"/>
        </w:rPr>
        <w:footnoteRef/>
      </w:r>
      <w:r>
        <w:t xml:space="preserve"> </w:t>
      </w:r>
      <w:r w:rsidRPr="00AA4BF2">
        <w:t>In th</w:t>
      </w:r>
      <w:r>
        <w:t>e</w:t>
      </w:r>
      <w:r w:rsidRPr="00AA4BF2">
        <w:t xml:space="preserve"> SoI, we also indicate that we will have regard to and contribute, where we are able, to broader policy priorities, including First Nations Australians and Closing the Gap targets.</w:t>
      </w:r>
    </w:p>
  </w:footnote>
  <w:footnote w:id="41">
    <w:p w14:paraId="53C394D6" w14:textId="77777777" w:rsidR="002948F6" w:rsidRDefault="002948F6" w:rsidP="002948F6">
      <w:pPr>
        <w:pStyle w:val="FootnoteText"/>
      </w:pPr>
      <w:r>
        <w:rPr>
          <w:rStyle w:val="FootnoteReference"/>
        </w:rPr>
        <w:footnoteRef/>
      </w:r>
      <w:r>
        <w:t xml:space="preserve"> See the ACCC’s </w:t>
      </w:r>
      <w:hyperlink r:id="rId15" w:history="1">
        <w:r w:rsidRPr="000F0060">
          <w:rPr>
            <w:rStyle w:val="Hyperlink"/>
            <w:i/>
          </w:rPr>
          <w:t>Mobile Infrastructure Report 2022</w:t>
        </w:r>
      </w:hyperlink>
      <w:r>
        <w:t>.</w:t>
      </w:r>
    </w:p>
  </w:footnote>
  <w:footnote w:id="42">
    <w:p w14:paraId="3E513AE7" w14:textId="77777777" w:rsidR="00326127" w:rsidRDefault="00326127" w:rsidP="00326127">
      <w:pPr>
        <w:pStyle w:val="FootnoteText"/>
      </w:pPr>
      <w:r>
        <w:rPr>
          <w:rStyle w:val="FootnoteReference"/>
        </w:rPr>
        <w:footnoteRef/>
      </w:r>
      <w:r>
        <w:t xml:space="preserve"> See the</w:t>
      </w:r>
      <w:r w:rsidRPr="002D7723">
        <w:t xml:space="preserve"> ACCC’s 2023 </w:t>
      </w:r>
      <w:hyperlink r:id="rId16" w:history="1">
        <w:r w:rsidRPr="005726BE">
          <w:rPr>
            <w:rStyle w:val="Hyperlink"/>
          </w:rPr>
          <w:t>Regional mobile infrastructure inquiry – Final report</w:t>
        </w:r>
      </w:hyperlink>
      <w:r>
        <w:t>, p.1 and p. 5.</w:t>
      </w:r>
    </w:p>
  </w:footnote>
  <w:footnote w:id="43">
    <w:p w14:paraId="046426C9" w14:textId="6D0D2E63" w:rsidR="00EF1F9E" w:rsidRPr="002D7723" w:rsidRDefault="00EF1F9E" w:rsidP="00EF1F9E">
      <w:pPr>
        <w:pStyle w:val="FootnoteText"/>
      </w:pPr>
      <w:r>
        <w:rPr>
          <w:rStyle w:val="FootnoteReference"/>
        </w:rPr>
        <w:footnoteRef/>
      </w:r>
      <w:r>
        <w:t xml:space="preserve"> In this context, we </w:t>
      </w:r>
      <w:r w:rsidRPr="002D7723">
        <w:t xml:space="preserve">understand digital inclusion, and the digital gap (that is, the ‘difference in levels of digital inclusion between First Nations people and other Australians’) as </w:t>
      </w:r>
      <w:r w:rsidR="00F67988">
        <w:t xml:space="preserve">considering </w:t>
      </w:r>
      <w:r w:rsidRPr="002D7723">
        <w:t xml:space="preserve">the availability and affordability of communications options, as well as a range of social factors. This understanding is consistent with the </w:t>
      </w:r>
      <w:hyperlink r:id="rId17" w:history="1">
        <w:r w:rsidRPr="000F0060">
          <w:rPr>
            <w:rStyle w:val="Hyperlink"/>
            <w:i/>
            <w:iCs/>
          </w:rPr>
          <w:t>Mapping the Digital Gap 2023 Outcomes Report</w:t>
        </w:r>
      </w:hyperlink>
      <w:r w:rsidRPr="002D7723">
        <w:t>.</w:t>
      </w:r>
    </w:p>
  </w:footnote>
  <w:footnote w:id="44">
    <w:p w14:paraId="33292376" w14:textId="71EF9BD2" w:rsidR="00326127" w:rsidRPr="002D7723" w:rsidRDefault="00326127" w:rsidP="00326127">
      <w:pPr>
        <w:pStyle w:val="FootnoteText"/>
      </w:pPr>
      <w:r w:rsidRPr="002D7723">
        <w:rPr>
          <w:rStyle w:val="FootnoteReference"/>
        </w:rPr>
        <w:footnoteRef/>
      </w:r>
      <w:r w:rsidRPr="002D7723">
        <w:t xml:space="preserve"> </w:t>
      </w:r>
      <w:hyperlink r:id="rId18" w:history="1">
        <w:r w:rsidR="003D1AB2" w:rsidRPr="000F0060">
          <w:rPr>
            <w:rStyle w:val="Hyperlink"/>
            <w:i/>
            <w:iCs/>
          </w:rPr>
          <w:t>2023 First Nations Digital Inclusion Advisory Group Initial Report</w:t>
        </w:r>
      </w:hyperlink>
      <w:r w:rsidR="000F0060">
        <w:t xml:space="preserve">, </w:t>
      </w:r>
      <w:r w:rsidRPr="002D7723">
        <w:t>p. 8</w:t>
      </w:r>
      <w:r>
        <w:t xml:space="preserve"> and</w:t>
      </w:r>
      <w:r w:rsidRPr="002D7723">
        <w:t xml:space="preserve"> p</w:t>
      </w:r>
      <w:r w:rsidR="00EA3D32">
        <w:t>p</w:t>
      </w:r>
      <w:r w:rsidRPr="002D7723">
        <w:t xml:space="preserve">. 11-12. These findings are echoed in the Mapping the Digital Gap </w:t>
      </w:r>
      <w:r>
        <w:t>2023 Outcomes R</w:t>
      </w:r>
      <w:r w:rsidRPr="002D7723">
        <w:t>eport.</w:t>
      </w:r>
    </w:p>
  </w:footnote>
  <w:footnote w:id="45">
    <w:p w14:paraId="1EE27D2D" w14:textId="724709D8" w:rsidR="00A91A4E" w:rsidRPr="002D7723" w:rsidRDefault="00A91A4E" w:rsidP="00A91A4E">
      <w:pPr>
        <w:pStyle w:val="FootnoteText"/>
      </w:pPr>
      <w:r w:rsidRPr="002D7723">
        <w:rPr>
          <w:rStyle w:val="FootnoteReference"/>
        </w:rPr>
        <w:footnoteRef/>
      </w:r>
      <w:r w:rsidRPr="002D7723">
        <w:t xml:space="preserve"> Outcome 17 of the </w:t>
      </w:r>
      <w:hyperlink r:id="rId19" w:anchor=":~:text=Aboriginal%20and%20Torres%20Strait%20Islander%20people%20from%20across%20the%20country,Torres%20Strait%20Islander%20peoples'%20priorities." w:history="1">
        <w:r w:rsidRPr="00B36766">
          <w:rPr>
            <w:rStyle w:val="Hyperlink"/>
          </w:rPr>
          <w:t>National Partnership Agreement on Closing the Gap</w:t>
        </w:r>
      </w:hyperlink>
      <w:r w:rsidRPr="002D7723">
        <w:t xml:space="preserve"> is </w:t>
      </w:r>
      <w:r>
        <w:t>‘</w:t>
      </w:r>
      <w:r w:rsidRPr="002D7723">
        <w:t>Aboriginal and Torres Strait Islander people have access to information and services enabling participation in informed decision-making regarding their own lives.</w:t>
      </w:r>
      <w:r>
        <w:t>’</w:t>
      </w:r>
      <w:r w:rsidR="00AB2047">
        <w:t xml:space="preserve"> The </w:t>
      </w:r>
      <w:hyperlink r:id="rId20" w:history="1">
        <w:r w:rsidR="00AB2047" w:rsidRPr="00A25652">
          <w:rPr>
            <w:rStyle w:val="Hyperlink"/>
          </w:rPr>
          <w:t>target</w:t>
        </w:r>
      </w:hyperlink>
      <w:r w:rsidR="00AB2047">
        <w:t xml:space="preserve"> associated with Outcome 17 is ‘By 2026, Aboriginal and Torres Strait Islander people have equal levels of digital inclusion.’ We note that the timeframes for ESL</w:t>
      </w:r>
      <w:r w:rsidR="00EA3D32">
        <w:t>s</w:t>
      </w:r>
      <w:r w:rsidR="00AB2047">
        <w:t xml:space="preserve"> are not necessarily conducive to achieving that target, and we propose to have regard to the outcome.</w:t>
      </w:r>
    </w:p>
  </w:footnote>
  <w:footnote w:id="46">
    <w:p w14:paraId="7FE969E5" w14:textId="77777777" w:rsidR="00EC656B" w:rsidRDefault="00EC656B" w:rsidP="00EC656B">
      <w:pPr>
        <w:pStyle w:val="FootnoteText"/>
      </w:pPr>
      <w:r>
        <w:rPr>
          <w:rStyle w:val="FootnoteReference"/>
        </w:rPr>
        <w:footnoteRef/>
      </w:r>
      <w:r>
        <w:t xml:space="preserve"> The ACCC finding was that ‘To the extent that regional-focused operators can develop alternative means of providing mobile coverage in regional Australia, there may be benefit in providing those operators with access to [currently allocated, and particularly low-band] spectrum, particularly where the spectrum may be not currently used.’ The ACCC also noted that, while it had ‘not been provided with more detailed information on the proposed alternative use-cases, the ACCC understands that some international jurisdictions have a “use it or lose it” licence obligation on spectrum licences. “Use it or lose it” provisions could potentially promote more efficient use of spectrum including by incentivising licensees to share spectrum that they do not use. However, “use it or lose it” obligations may lead to inefficiencies where there are, for example, legitimate reasons for a company to delay rolling out services.’</w:t>
      </w:r>
    </w:p>
  </w:footnote>
  <w:footnote w:id="47">
    <w:p w14:paraId="7FBDB1E1" w14:textId="0AD54CDF" w:rsidR="00847BAA" w:rsidRDefault="00847BAA">
      <w:pPr>
        <w:pStyle w:val="FootnoteText"/>
      </w:pPr>
      <w:r>
        <w:rPr>
          <w:rStyle w:val="FootnoteReference"/>
        </w:rPr>
        <w:footnoteRef/>
      </w:r>
      <w:r w:rsidR="00136231" w:rsidRPr="00136231">
        <w:t xml:space="preserve"> </w:t>
      </w:r>
      <w:r w:rsidR="00136231">
        <w:t xml:space="preserve">See our </w:t>
      </w:r>
      <w:hyperlink r:id="rId21" w:history="1">
        <w:r w:rsidR="00136231" w:rsidRPr="0086032D">
          <w:rPr>
            <w:rStyle w:val="Hyperlink"/>
          </w:rPr>
          <w:t>submission</w:t>
        </w:r>
      </w:hyperlink>
      <w:r w:rsidR="00136231">
        <w:t xml:space="preserve"> to the Inquiry into Co-Investment</w:t>
      </w:r>
      <w:r w:rsidR="00F34886">
        <w:t>.</w:t>
      </w:r>
      <w:r w:rsidR="00136231">
        <w:t xml:space="preserve"> </w:t>
      </w:r>
      <w:r w:rsidR="00136231" w:rsidRPr="00AA4BF2">
        <w:t xml:space="preserve">The Department of Infrastructure, Transport, Regional </w:t>
      </w:r>
      <w:r w:rsidR="00592F5A">
        <w:t>D</w:t>
      </w:r>
      <w:r w:rsidR="00136231" w:rsidRPr="00AA4BF2">
        <w:t xml:space="preserve">evelopment, </w:t>
      </w:r>
      <w:proofErr w:type="gramStart"/>
      <w:r w:rsidR="00136231" w:rsidRPr="00AA4BF2">
        <w:t>Communications</w:t>
      </w:r>
      <w:proofErr w:type="gramEnd"/>
      <w:r w:rsidR="00136231" w:rsidRPr="00AA4BF2">
        <w:t xml:space="preserve"> and the Arts</w:t>
      </w:r>
      <w:r w:rsidR="00136231">
        <w:t>, in its submission to the Inquiry into Co-Investment</w:t>
      </w:r>
      <w:r w:rsidR="00136231" w:rsidRPr="00AA4BF2">
        <w:t xml:space="preserve"> </w:t>
      </w:r>
      <w:r w:rsidR="00136231" w:rsidRPr="002C2B7E">
        <w:t>similarly observed that</w:t>
      </w:r>
      <w:r w:rsidR="00136231" w:rsidRPr="00AA4BF2">
        <w:t xml:space="preserve"> ‘There is no clear evidence that spectrum access is a barrier to expanding coverage in regional and remote areas for the major mobile carriers. All the major mobile carriers own national spectrum licences for low band and have holdings of medium and high band spectrum.’ The ACCC</w:t>
      </w:r>
      <w:r w:rsidR="00136231">
        <w:t>’s RMII report</w:t>
      </w:r>
      <w:r w:rsidR="00136231" w:rsidRPr="00AA4BF2">
        <w:t xml:space="preserve"> notes that it </w:t>
      </w:r>
      <w:r w:rsidR="00136231">
        <w:t>‘</w:t>
      </w:r>
      <w:r w:rsidR="00136231" w:rsidRPr="00AA4BF2">
        <w:t>consider[s] that Telstra, Optus and TPG Telecom all currently have sufficient spectrum to supply mobile network services in rural, regional, remote and peri-urban areas</w:t>
      </w:r>
      <w:r w:rsidR="00136231">
        <w:t>,</w:t>
      </w:r>
      <w:r w:rsidR="00136231" w:rsidRPr="00AA4BF2">
        <w:t xml:space="preserve">’ </w:t>
      </w:r>
      <w:r w:rsidR="00136231">
        <w:t>p</w:t>
      </w:r>
      <w:r w:rsidR="00136231" w:rsidRPr="00AA4BF2">
        <w:t>. 80.</w:t>
      </w:r>
    </w:p>
  </w:footnote>
  <w:footnote w:id="48">
    <w:p w14:paraId="164DE379" w14:textId="72F3B90C" w:rsidR="002D16D9" w:rsidRDefault="002D16D9">
      <w:pPr>
        <w:pStyle w:val="FootnoteText"/>
      </w:pPr>
      <w:r>
        <w:rPr>
          <w:rStyle w:val="FootnoteReference"/>
        </w:rPr>
        <w:footnoteRef/>
      </w:r>
      <w:r>
        <w:t xml:space="preserve"> See </w:t>
      </w:r>
      <w:r w:rsidR="00313F71">
        <w:t xml:space="preserve">the </w:t>
      </w:r>
      <w:r w:rsidR="00D66ACB">
        <w:t xml:space="preserve">government’s </w:t>
      </w:r>
      <w:r w:rsidR="00313F71">
        <w:t xml:space="preserve">2023 </w:t>
      </w:r>
      <w:hyperlink r:id="rId22" w:history="1">
        <w:r w:rsidR="00313F71" w:rsidRPr="00E65C02">
          <w:rPr>
            <w:rStyle w:val="Hyperlink"/>
            <w:i/>
          </w:rPr>
          <w:t xml:space="preserve">Better delivery of </w:t>
        </w:r>
        <w:r w:rsidR="003D49A7" w:rsidRPr="00E65C02">
          <w:rPr>
            <w:rStyle w:val="Hyperlink"/>
            <w:i/>
          </w:rPr>
          <w:t>universal services</w:t>
        </w:r>
        <w:r w:rsidR="00D66ACB" w:rsidRPr="00E65C02">
          <w:rPr>
            <w:rStyle w:val="Hyperlink"/>
            <w:i/>
          </w:rPr>
          <w:t xml:space="preserve"> discussion paper</w:t>
        </w:r>
      </w:hyperlink>
      <w:r w:rsidR="00D66ACB">
        <w:t>.</w:t>
      </w:r>
    </w:p>
  </w:footnote>
  <w:footnote w:id="49">
    <w:p w14:paraId="307070CF" w14:textId="6FB426A2" w:rsidR="00E83ED4" w:rsidRDefault="00E83ED4" w:rsidP="00E83ED4">
      <w:pPr>
        <w:pStyle w:val="FootnoteText"/>
      </w:pPr>
      <w:r>
        <w:rPr>
          <w:rStyle w:val="FootnoteReference"/>
        </w:rPr>
        <w:footnoteRef/>
      </w:r>
      <w:r>
        <w:t xml:space="preserve"> See our FYSO 2023</w:t>
      </w:r>
      <w:r w:rsidR="00C85BDF">
        <w:t xml:space="preserve">–28 </w:t>
      </w:r>
      <w:r>
        <w:t>for more on this topic.</w:t>
      </w:r>
      <w:r w:rsidR="00D939F4">
        <w:t xml:space="preserve"> </w:t>
      </w:r>
    </w:p>
  </w:footnote>
  <w:footnote w:id="50">
    <w:p w14:paraId="047098F3" w14:textId="3E80AC6F" w:rsidR="000A46FB" w:rsidRPr="000A46FB" w:rsidRDefault="000A46FB" w:rsidP="000A46FB">
      <w:pPr>
        <w:pStyle w:val="FootnoteText"/>
        <w:rPr>
          <w:rStyle w:val="FootnoteReference"/>
          <w:vertAlign w:val="baseline"/>
        </w:rPr>
      </w:pPr>
      <w:r w:rsidRPr="000A46FB">
        <w:rPr>
          <w:rStyle w:val="FootnoteReference"/>
        </w:rPr>
        <w:footnoteRef/>
      </w:r>
      <w:r w:rsidRPr="000A46FB">
        <w:rPr>
          <w:rStyle w:val="FootnoteReference"/>
          <w:vertAlign w:val="baseline"/>
        </w:rPr>
        <w:t xml:space="preserve"> See our stage 1 consultation paper and </w:t>
      </w:r>
      <w:r w:rsidR="00A25652">
        <w:t xml:space="preserve">FYSO </w:t>
      </w:r>
      <w:r w:rsidR="00E91D47">
        <w:t>20</w:t>
      </w:r>
      <w:r w:rsidR="00A25652">
        <w:t>23</w:t>
      </w:r>
      <w:r w:rsidR="00AA4B35">
        <w:t xml:space="preserve">–28 </w:t>
      </w:r>
      <w:r w:rsidRPr="000A46FB">
        <w:rPr>
          <w:rStyle w:val="FootnoteReference"/>
          <w:vertAlign w:val="baseline"/>
        </w:rPr>
        <w:t>for additional context.</w:t>
      </w:r>
    </w:p>
  </w:footnote>
  <w:footnote w:id="51">
    <w:p w14:paraId="6EA85800" w14:textId="77777777" w:rsidR="000A46FB" w:rsidRDefault="000A46FB" w:rsidP="000A46FB">
      <w:pPr>
        <w:pStyle w:val="FootnoteText"/>
      </w:pPr>
      <w:r w:rsidRPr="000A46FB">
        <w:rPr>
          <w:rStyle w:val="FootnoteReference"/>
        </w:rPr>
        <w:footnoteRef/>
      </w:r>
      <w:r w:rsidRPr="000A46FB">
        <w:rPr>
          <w:rStyle w:val="FootnoteReference"/>
          <w:vertAlign w:val="baseline"/>
        </w:rPr>
        <w:t xml:space="preserve"> That is, where the spectrum access charge has taken into account the value to the licensee of renewing spectrum licences and avoiding the uncertainty and the potential costs of gaining access to the spectrum via an auction.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AFF0" w14:textId="0BCE05F7" w:rsidR="008527BB" w:rsidRDefault="008527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6F07" w14:textId="7E2F51D2" w:rsidR="00C053A1" w:rsidRDefault="00C053A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2E00" w14:textId="7862E543" w:rsidR="00C053A1" w:rsidRDefault="00C053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FE4" w14:textId="596B231F" w:rsidR="008527BB" w:rsidRDefault="00852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7284" w14:textId="79C782CF" w:rsidR="00C053A1" w:rsidRPr="00A5474E" w:rsidRDefault="0021426C" w:rsidP="00A5474E">
    <w:pPr>
      <w:pStyle w:val="Header"/>
    </w:pPr>
    <w:r>
      <w:rPr>
        <w:noProof/>
      </w:rPr>
      <w:drawing>
        <wp:inline distT="0" distB="0" distL="0" distR="0" wp14:anchorId="21EF60B5" wp14:editId="775DD518">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353" w14:textId="1544CF36" w:rsidR="00C053A1" w:rsidRPr="00A5474E" w:rsidRDefault="00C053A1"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8935" w14:textId="77777777" w:rsidR="00B65EE5" w:rsidRDefault="00B65EE5">
    <w:pPr>
      <w:pStyle w:val="Header"/>
      <w:rPr>
        <w:noProof/>
      </w:rPr>
    </w:pPr>
  </w:p>
  <w:p w14:paraId="47B502F6" w14:textId="67CAD782"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03B6" w14:textId="6BBA7DDA" w:rsidR="00C053A1" w:rsidRDefault="00C05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297B" w14:textId="75F2343C" w:rsidR="008527BB" w:rsidRDefault="008527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A5D57B1" w14:textId="77777777">
      <w:trPr>
        <w:trHeight w:hRule="exact" w:val="988"/>
      </w:trPr>
      <w:tc>
        <w:tcPr>
          <w:tcW w:w="7678" w:type="dxa"/>
          <w:shd w:val="clear" w:color="auto" w:fill="auto"/>
        </w:tcPr>
        <w:p w14:paraId="2C357885" w14:textId="4029889E" w:rsidR="00971914" w:rsidRDefault="00971914" w:rsidP="00971914">
          <w:pPr>
            <w:pStyle w:val="Header"/>
          </w:pPr>
        </w:p>
      </w:tc>
    </w:tr>
    <w:tr w:rsidR="00971914" w14:paraId="51E5D6A2" w14:textId="77777777">
      <w:tc>
        <w:tcPr>
          <w:tcW w:w="7678" w:type="dxa"/>
          <w:shd w:val="clear" w:color="auto" w:fill="auto"/>
        </w:tcPr>
        <w:p w14:paraId="09F9DED2" w14:textId="77777777" w:rsidR="00971914" w:rsidRDefault="00971914" w:rsidP="00971914">
          <w:pPr>
            <w:pStyle w:val="GridTable31"/>
          </w:pPr>
          <w:r>
            <w:t xml:space="preserve">Contents </w:t>
          </w:r>
          <w:r w:rsidRPr="00915B1C">
            <w:rPr>
              <w:b w:val="0"/>
              <w:spacing w:val="0"/>
              <w:sz w:val="28"/>
              <w:szCs w:val="28"/>
            </w:rPr>
            <w:t>(Continued)</w:t>
          </w:r>
        </w:p>
      </w:tc>
    </w:tr>
    <w:tr w:rsidR="00971914" w14:paraId="2440D6A9" w14:textId="77777777">
      <w:trPr>
        <w:trHeight w:val="1220"/>
      </w:trPr>
      <w:tc>
        <w:tcPr>
          <w:tcW w:w="7678" w:type="dxa"/>
          <w:shd w:val="clear" w:color="auto" w:fill="auto"/>
        </w:tcPr>
        <w:p w14:paraId="7967F577" w14:textId="77777777" w:rsidR="00971914" w:rsidRDefault="00971914" w:rsidP="00971914"/>
      </w:tc>
    </w:tr>
  </w:tbl>
  <w:p w14:paraId="6677D1C2" w14:textId="443E3341" w:rsidR="00971914" w:rsidRDefault="00971914" w:rsidP="009719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7652ED5" w14:textId="77777777">
      <w:trPr>
        <w:trHeight w:hRule="exact" w:val="988"/>
      </w:trPr>
      <w:tc>
        <w:tcPr>
          <w:tcW w:w="7678" w:type="dxa"/>
          <w:shd w:val="clear" w:color="auto" w:fill="auto"/>
        </w:tcPr>
        <w:p w14:paraId="0AE6E829" w14:textId="77777777" w:rsidR="00971914" w:rsidRDefault="00971914" w:rsidP="00971914">
          <w:pPr>
            <w:pStyle w:val="Header"/>
          </w:pPr>
        </w:p>
      </w:tc>
    </w:tr>
    <w:tr w:rsidR="00971914" w14:paraId="4217EF5D" w14:textId="77777777">
      <w:tc>
        <w:tcPr>
          <w:tcW w:w="7678" w:type="dxa"/>
          <w:shd w:val="clear" w:color="auto" w:fill="auto"/>
        </w:tcPr>
        <w:p w14:paraId="5FC27539" w14:textId="77777777" w:rsidR="00971914" w:rsidRDefault="00971914" w:rsidP="00971914">
          <w:pPr>
            <w:pStyle w:val="GridTable31"/>
          </w:pPr>
          <w:r>
            <w:t xml:space="preserve">Contents </w:t>
          </w:r>
          <w:r w:rsidRPr="00915B1C">
            <w:rPr>
              <w:b w:val="0"/>
              <w:spacing w:val="0"/>
              <w:sz w:val="28"/>
              <w:szCs w:val="28"/>
            </w:rPr>
            <w:t>(Continued)</w:t>
          </w:r>
        </w:p>
      </w:tc>
    </w:tr>
    <w:tr w:rsidR="00971914" w14:paraId="4C8C5379" w14:textId="77777777">
      <w:trPr>
        <w:trHeight w:val="1220"/>
      </w:trPr>
      <w:tc>
        <w:tcPr>
          <w:tcW w:w="7678" w:type="dxa"/>
          <w:shd w:val="clear" w:color="auto" w:fill="auto"/>
        </w:tcPr>
        <w:p w14:paraId="2B468C97" w14:textId="77777777" w:rsidR="00971914" w:rsidRDefault="00971914" w:rsidP="00971914"/>
      </w:tc>
    </w:tr>
  </w:tbl>
  <w:p w14:paraId="3E6B21E6" w14:textId="2141190F" w:rsidR="00C053A1" w:rsidRPr="00A5474E" w:rsidRDefault="00C053A1" w:rsidP="00A547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467F" w14:textId="6C7AF60D" w:rsidR="008527BB" w:rsidRDefault="00852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09116F"/>
    <w:multiLevelType w:val="hybridMultilevel"/>
    <w:tmpl w:val="F3A8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1C16917"/>
    <w:multiLevelType w:val="hybridMultilevel"/>
    <w:tmpl w:val="D9A8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3E0A70"/>
    <w:multiLevelType w:val="hybridMultilevel"/>
    <w:tmpl w:val="1D96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62A35"/>
    <w:multiLevelType w:val="hybridMultilevel"/>
    <w:tmpl w:val="BCA2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8407D5"/>
    <w:multiLevelType w:val="hybridMultilevel"/>
    <w:tmpl w:val="8C4C9FDA"/>
    <w:lvl w:ilvl="0" w:tplc="9500A77A">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C0B34"/>
    <w:multiLevelType w:val="hybridMultilevel"/>
    <w:tmpl w:val="1B9C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C07DB"/>
    <w:multiLevelType w:val="hybridMultilevel"/>
    <w:tmpl w:val="1BAA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E3313"/>
    <w:multiLevelType w:val="hybridMultilevel"/>
    <w:tmpl w:val="22300F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F5498"/>
    <w:multiLevelType w:val="hybridMultilevel"/>
    <w:tmpl w:val="320EB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7"/>
  </w:num>
  <w:num w:numId="6" w16cid:durableId="1170756036">
    <w:abstractNumId w:val="17"/>
  </w:num>
  <w:num w:numId="7" w16cid:durableId="1179462982">
    <w:abstractNumId w:val="13"/>
  </w:num>
  <w:num w:numId="8" w16cid:durableId="2010865431">
    <w:abstractNumId w:val="16"/>
  </w:num>
  <w:num w:numId="9" w16cid:durableId="153958827">
    <w:abstractNumId w:val="19"/>
  </w:num>
  <w:num w:numId="10" w16cid:durableId="770122694">
    <w:abstractNumId w:val="5"/>
  </w:num>
  <w:num w:numId="11" w16cid:durableId="1981958685">
    <w:abstractNumId w:val="4"/>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8"/>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598899889">
    <w:abstractNumId w:val="11"/>
  </w:num>
  <w:num w:numId="21" w16cid:durableId="601063017">
    <w:abstractNumId w:val="15"/>
  </w:num>
  <w:num w:numId="22" w16cid:durableId="1431855976">
    <w:abstractNumId w:val="9"/>
  </w:num>
  <w:num w:numId="23" w16cid:durableId="1739400906">
    <w:abstractNumId w:val="6"/>
  </w:num>
  <w:num w:numId="24" w16cid:durableId="1252473896">
    <w:abstractNumId w:val="20"/>
  </w:num>
  <w:num w:numId="25" w16cid:durableId="430979514">
    <w:abstractNumId w:val="10"/>
  </w:num>
  <w:num w:numId="26" w16cid:durableId="1640988071">
    <w:abstractNumId w:val="14"/>
  </w:num>
  <w:num w:numId="27" w16cid:durableId="1889225283">
    <w:abstractNumId w:val="12"/>
  </w:num>
  <w:num w:numId="28" w16cid:durableId="1401363456">
    <w:abstractNumId w:val="18"/>
  </w:num>
  <w:num w:numId="29" w16cid:durableId="100154689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5"/>
    <w:rsid w:val="0000030A"/>
    <w:rsid w:val="00000EA7"/>
    <w:rsid w:val="000013CC"/>
    <w:rsid w:val="00001B75"/>
    <w:rsid w:val="00001FC2"/>
    <w:rsid w:val="00002208"/>
    <w:rsid w:val="0000258C"/>
    <w:rsid w:val="0000259B"/>
    <w:rsid w:val="00002B03"/>
    <w:rsid w:val="00002BFC"/>
    <w:rsid w:val="00002EFA"/>
    <w:rsid w:val="00003A5C"/>
    <w:rsid w:val="00004033"/>
    <w:rsid w:val="00004AFF"/>
    <w:rsid w:val="00005917"/>
    <w:rsid w:val="00005FEA"/>
    <w:rsid w:val="00006476"/>
    <w:rsid w:val="0001021D"/>
    <w:rsid w:val="00010667"/>
    <w:rsid w:val="00011009"/>
    <w:rsid w:val="000129D5"/>
    <w:rsid w:val="000139B9"/>
    <w:rsid w:val="00014441"/>
    <w:rsid w:val="00014D4C"/>
    <w:rsid w:val="00015AE7"/>
    <w:rsid w:val="0001616C"/>
    <w:rsid w:val="00016736"/>
    <w:rsid w:val="000168DD"/>
    <w:rsid w:val="00016E21"/>
    <w:rsid w:val="0001719C"/>
    <w:rsid w:val="000176EB"/>
    <w:rsid w:val="00017B2D"/>
    <w:rsid w:val="00017EB2"/>
    <w:rsid w:val="00020E6C"/>
    <w:rsid w:val="0002126C"/>
    <w:rsid w:val="000213CE"/>
    <w:rsid w:val="000214BD"/>
    <w:rsid w:val="0002224E"/>
    <w:rsid w:val="000227D8"/>
    <w:rsid w:val="0002303F"/>
    <w:rsid w:val="0002308F"/>
    <w:rsid w:val="000231A9"/>
    <w:rsid w:val="000231E8"/>
    <w:rsid w:val="00023295"/>
    <w:rsid w:val="00023A36"/>
    <w:rsid w:val="00023B22"/>
    <w:rsid w:val="00023F38"/>
    <w:rsid w:val="00023F4B"/>
    <w:rsid w:val="0002457B"/>
    <w:rsid w:val="000245E5"/>
    <w:rsid w:val="00024AB2"/>
    <w:rsid w:val="00024CC9"/>
    <w:rsid w:val="000253C9"/>
    <w:rsid w:val="00025C43"/>
    <w:rsid w:val="000261A4"/>
    <w:rsid w:val="00026711"/>
    <w:rsid w:val="00026F91"/>
    <w:rsid w:val="0002775B"/>
    <w:rsid w:val="00030310"/>
    <w:rsid w:val="000311F6"/>
    <w:rsid w:val="00031538"/>
    <w:rsid w:val="000318EF"/>
    <w:rsid w:val="00031FA8"/>
    <w:rsid w:val="00032621"/>
    <w:rsid w:val="0003283F"/>
    <w:rsid w:val="0003291E"/>
    <w:rsid w:val="00033D25"/>
    <w:rsid w:val="00034323"/>
    <w:rsid w:val="0003458B"/>
    <w:rsid w:val="000349F9"/>
    <w:rsid w:val="00035196"/>
    <w:rsid w:val="00036AD5"/>
    <w:rsid w:val="000376B3"/>
    <w:rsid w:val="000379A1"/>
    <w:rsid w:val="00037E62"/>
    <w:rsid w:val="0004090F"/>
    <w:rsid w:val="00040FFE"/>
    <w:rsid w:val="000412B3"/>
    <w:rsid w:val="0004301A"/>
    <w:rsid w:val="000437BC"/>
    <w:rsid w:val="00043BCE"/>
    <w:rsid w:val="00043C11"/>
    <w:rsid w:val="00044B72"/>
    <w:rsid w:val="00045278"/>
    <w:rsid w:val="00045382"/>
    <w:rsid w:val="000454C1"/>
    <w:rsid w:val="00046077"/>
    <w:rsid w:val="00046702"/>
    <w:rsid w:val="00047508"/>
    <w:rsid w:val="0004764C"/>
    <w:rsid w:val="0005011A"/>
    <w:rsid w:val="0005045A"/>
    <w:rsid w:val="00050909"/>
    <w:rsid w:val="000515FD"/>
    <w:rsid w:val="00051C1E"/>
    <w:rsid w:val="00051E32"/>
    <w:rsid w:val="00051F32"/>
    <w:rsid w:val="0005256B"/>
    <w:rsid w:val="00052BD0"/>
    <w:rsid w:val="00052C38"/>
    <w:rsid w:val="00053491"/>
    <w:rsid w:val="0005395E"/>
    <w:rsid w:val="000539F9"/>
    <w:rsid w:val="00053FF2"/>
    <w:rsid w:val="000540A4"/>
    <w:rsid w:val="0005423C"/>
    <w:rsid w:val="00054BFA"/>
    <w:rsid w:val="00054C27"/>
    <w:rsid w:val="00055188"/>
    <w:rsid w:val="0005519C"/>
    <w:rsid w:val="00055215"/>
    <w:rsid w:val="000553A7"/>
    <w:rsid w:val="00055A54"/>
    <w:rsid w:val="00055EC3"/>
    <w:rsid w:val="0005615C"/>
    <w:rsid w:val="0005618C"/>
    <w:rsid w:val="000563CE"/>
    <w:rsid w:val="00056CC3"/>
    <w:rsid w:val="00057E13"/>
    <w:rsid w:val="00060DE2"/>
    <w:rsid w:val="000632F5"/>
    <w:rsid w:val="000638A0"/>
    <w:rsid w:val="00063C54"/>
    <w:rsid w:val="00063F8B"/>
    <w:rsid w:val="0006444F"/>
    <w:rsid w:val="00064BA1"/>
    <w:rsid w:val="00064CA5"/>
    <w:rsid w:val="00064FBD"/>
    <w:rsid w:val="00065919"/>
    <w:rsid w:val="000659B6"/>
    <w:rsid w:val="00065BAE"/>
    <w:rsid w:val="00065C70"/>
    <w:rsid w:val="00065F3B"/>
    <w:rsid w:val="000661EB"/>
    <w:rsid w:val="000666EE"/>
    <w:rsid w:val="0006686F"/>
    <w:rsid w:val="0006722A"/>
    <w:rsid w:val="000672AF"/>
    <w:rsid w:val="000674C3"/>
    <w:rsid w:val="00067E58"/>
    <w:rsid w:val="00070077"/>
    <w:rsid w:val="00070A00"/>
    <w:rsid w:val="00071337"/>
    <w:rsid w:val="00071368"/>
    <w:rsid w:val="0007136E"/>
    <w:rsid w:val="000717AF"/>
    <w:rsid w:val="00071E12"/>
    <w:rsid w:val="00072734"/>
    <w:rsid w:val="000732CF"/>
    <w:rsid w:val="00073476"/>
    <w:rsid w:val="0007496F"/>
    <w:rsid w:val="00074E4F"/>
    <w:rsid w:val="00075307"/>
    <w:rsid w:val="00075B96"/>
    <w:rsid w:val="00075E65"/>
    <w:rsid w:val="0007620F"/>
    <w:rsid w:val="00076269"/>
    <w:rsid w:val="00076984"/>
    <w:rsid w:val="00077CF8"/>
    <w:rsid w:val="00080403"/>
    <w:rsid w:val="00080D3C"/>
    <w:rsid w:val="00081044"/>
    <w:rsid w:val="0008196A"/>
    <w:rsid w:val="00082139"/>
    <w:rsid w:val="0008218F"/>
    <w:rsid w:val="00082318"/>
    <w:rsid w:val="000825AE"/>
    <w:rsid w:val="00082B4F"/>
    <w:rsid w:val="00082EE4"/>
    <w:rsid w:val="000831E7"/>
    <w:rsid w:val="0008370C"/>
    <w:rsid w:val="00084E30"/>
    <w:rsid w:val="000850CE"/>
    <w:rsid w:val="00085463"/>
    <w:rsid w:val="000859C1"/>
    <w:rsid w:val="00085B54"/>
    <w:rsid w:val="00085E0D"/>
    <w:rsid w:val="000868CF"/>
    <w:rsid w:val="00086CF1"/>
    <w:rsid w:val="00086DB2"/>
    <w:rsid w:val="00087564"/>
    <w:rsid w:val="00087AFD"/>
    <w:rsid w:val="00087D48"/>
    <w:rsid w:val="000915ED"/>
    <w:rsid w:val="00091EC6"/>
    <w:rsid w:val="0009209D"/>
    <w:rsid w:val="0009369B"/>
    <w:rsid w:val="00093ACA"/>
    <w:rsid w:val="0009463C"/>
    <w:rsid w:val="00094CBD"/>
    <w:rsid w:val="0009517C"/>
    <w:rsid w:val="000951E0"/>
    <w:rsid w:val="000956D2"/>
    <w:rsid w:val="000969BD"/>
    <w:rsid w:val="000969BF"/>
    <w:rsid w:val="0009739A"/>
    <w:rsid w:val="000975FA"/>
    <w:rsid w:val="00097B2A"/>
    <w:rsid w:val="00097FF6"/>
    <w:rsid w:val="000A06CC"/>
    <w:rsid w:val="000A096D"/>
    <w:rsid w:val="000A0C22"/>
    <w:rsid w:val="000A0DE2"/>
    <w:rsid w:val="000A0E1E"/>
    <w:rsid w:val="000A11B8"/>
    <w:rsid w:val="000A13A7"/>
    <w:rsid w:val="000A1400"/>
    <w:rsid w:val="000A17B7"/>
    <w:rsid w:val="000A185C"/>
    <w:rsid w:val="000A1925"/>
    <w:rsid w:val="000A2036"/>
    <w:rsid w:val="000A24C4"/>
    <w:rsid w:val="000A3159"/>
    <w:rsid w:val="000A38E5"/>
    <w:rsid w:val="000A3C43"/>
    <w:rsid w:val="000A46FB"/>
    <w:rsid w:val="000A4748"/>
    <w:rsid w:val="000A4A51"/>
    <w:rsid w:val="000A577A"/>
    <w:rsid w:val="000A5D2B"/>
    <w:rsid w:val="000A5F16"/>
    <w:rsid w:val="000A6280"/>
    <w:rsid w:val="000A699C"/>
    <w:rsid w:val="000A6BB7"/>
    <w:rsid w:val="000A6D55"/>
    <w:rsid w:val="000A6E79"/>
    <w:rsid w:val="000A779F"/>
    <w:rsid w:val="000A7AED"/>
    <w:rsid w:val="000B0848"/>
    <w:rsid w:val="000B1C86"/>
    <w:rsid w:val="000B2512"/>
    <w:rsid w:val="000B2544"/>
    <w:rsid w:val="000B27F4"/>
    <w:rsid w:val="000B3703"/>
    <w:rsid w:val="000B3AFC"/>
    <w:rsid w:val="000B3BE1"/>
    <w:rsid w:val="000B3CF5"/>
    <w:rsid w:val="000B3DD2"/>
    <w:rsid w:val="000B4306"/>
    <w:rsid w:val="000B4664"/>
    <w:rsid w:val="000B48B0"/>
    <w:rsid w:val="000B48F8"/>
    <w:rsid w:val="000B5116"/>
    <w:rsid w:val="000B5163"/>
    <w:rsid w:val="000B58FD"/>
    <w:rsid w:val="000B5DE3"/>
    <w:rsid w:val="000B60DF"/>
    <w:rsid w:val="000B6763"/>
    <w:rsid w:val="000B6913"/>
    <w:rsid w:val="000B6D26"/>
    <w:rsid w:val="000C00FF"/>
    <w:rsid w:val="000C0A57"/>
    <w:rsid w:val="000C11C8"/>
    <w:rsid w:val="000C11E2"/>
    <w:rsid w:val="000C230C"/>
    <w:rsid w:val="000C2887"/>
    <w:rsid w:val="000C31E0"/>
    <w:rsid w:val="000C340B"/>
    <w:rsid w:val="000C3ED3"/>
    <w:rsid w:val="000C3F14"/>
    <w:rsid w:val="000C3F99"/>
    <w:rsid w:val="000C4258"/>
    <w:rsid w:val="000C4A4F"/>
    <w:rsid w:val="000C5033"/>
    <w:rsid w:val="000C53FC"/>
    <w:rsid w:val="000C58E2"/>
    <w:rsid w:val="000C6242"/>
    <w:rsid w:val="000C649A"/>
    <w:rsid w:val="000C68D0"/>
    <w:rsid w:val="000C6AB4"/>
    <w:rsid w:val="000D008F"/>
    <w:rsid w:val="000D077B"/>
    <w:rsid w:val="000D0B43"/>
    <w:rsid w:val="000D0BDA"/>
    <w:rsid w:val="000D1B47"/>
    <w:rsid w:val="000D2ACC"/>
    <w:rsid w:val="000D3734"/>
    <w:rsid w:val="000D41F9"/>
    <w:rsid w:val="000D43C1"/>
    <w:rsid w:val="000D5239"/>
    <w:rsid w:val="000D5CDD"/>
    <w:rsid w:val="000D5D70"/>
    <w:rsid w:val="000D643A"/>
    <w:rsid w:val="000D66B8"/>
    <w:rsid w:val="000D7134"/>
    <w:rsid w:val="000D71D9"/>
    <w:rsid w:val="000D76E0"/>
    <w:rsid w:val="000D7E8B"/>
    <w:rsid w:val="000D7F23"/>
    <w:rsid w:val="000D7FCC"/>
    <w:rsid w:val="000E07DB"/>
    <w:rsid w:val="000E0831"/>
    <w:rsid w:val="000E191F"/>
    <w:rsid w:val="000E1FD6"/>
    <w:rsid w:val="000E2693"/>
    <w:rsid w:val="000E26E5"/>
    <w:rsid w:val="000E37FC"/>
    <w:rsid w:val="000E38DD"/>
    <w:rsid w:val="000E3A5D"/>
    <w:rsid w:val="000E3C69"/>
    <w:rsid w:val="000E3D46"/>
    <w:rsid w:val="000E4419"/>
    <w:rsid w:val="000E4449"/>
    <w:rsid w:val="000E4E55"/>
    <w:rsid w:val="000E59B0"/>
    <w:rsid w:val="000E5A3C"/>
    <w:rsid w:val="000E5F4A"/>
    <w:rsid w:val="000E6097"/>
    <w:rsid w:val="000E6DA1"/>
    <w:rsid w:val="000E7305"/>
    <w:rsid w:val="000F0060"/>
    <w:rsid w:val="000F01C4"/>
    <w:rsid w:val="000F0635"/>
    <w:rsid w:val="000F0D20"/>
    <w:rsid w:val="000F0EE4"/>
    <w:rsid w:val="000F13F1"/>
    <w:rsid w:val="000F1C72"/>
    <w:rsid w:val="000F22F7"/>
    <w:rsid w:val="000F28B7"/>
    <w:rsid w:val="000F2E4F"/>
    <w:rsid w:val="000F343E"/>
    <w:rsid w:val="000F3A8B"/>
    <w:rsid w:val="000F3B2C"/>
    <w:rsid w:val="000F41D5"/>
    <w:rsid w:val="000F459A"/>
    <w:rsid w:val="000F48FE"/>
    <w:rsid w:val="000F4C13"/>
    <w:rsid w:val="000F58CA"/>
    <w:rsid w:val="000F5DF5"/>
    <w:rsid w:val="000F6257"/>
    <w:rsid w:val="000F65B8"/>
    <w:rsid w:val="000F70C4"/>
    <w:rsid w:val="000F71FE"/>
    <w:rsid w:val="000F73B7"/>
    <w:rsid w:val="000F7670"/>
    <w:rsid w:val="000F7C9E"/>
    <w:rsid w:val="00100137"/>
    <w:rsid w:val="00100462"/>
    <w:rsid w:val="0010049A"/>
    <w:rsid w:val="00100F99"/>
    <w:rsid w:val="0010111E"/>
    <w:rsid w:val="00102053"/>
    <w:rsid w:val="001021E3"/>
    <w:rsid w:val="001027D7"/>
    <w:rsid w:val="00102C6E"/>
    <w:rsid w:val="00103716"/>
    <w:rsid w:val="00103829"/>
    <w:rsid w:val="00103BE2"/>
    <w:rsid w:val="00104DEC"/>
    <w:rsid w:val="00105576"/>
    <w:rsid w:val="001055AB"/>
    <w:rsid w:val="0010583A"/>
    <w:rsid w:val="00105D63"/>
    <w:rsid w:val="001060DE"/>
    <w:rsid w:val="00107217"/>
    <w:rsid w:val="00107546"/>
    <w:rsid w:val="0010757A"/>
    <w:rsid w:val="00107BC9"/>
    <w:rsid w:val="00110591"/>
    <w:rsid w:val="001111A4"/>
    <w:rsid w:val="0011155C"/>
    <w:rsid w:val="00111BB3"/>
    <w:rsid w:val="00111D24"/>
    <w:rsid w:val="00111FCE"/>
    <w:rsid w:val="00112E37"/>
    <w:rsid w:val="00113215"/>
    <w:rsid w:val="00113BF7"/>
    <w:rsid w:val="00113ED9"/>
    <w:rsid w:val="001141F7"/>
    <w:rsid w:val="00115F7B"/>
    <w:rsid w:val="001163CE"/>
    <w:rsid w:val="00116C77"/>
    <w:rsid w:val="0011704F"/>
    <w:rsid w:val="00117429"/>
    <w:rsid w:val="00117FE4"/>
    <w:rsid w:val="0012166F"/>
    <w:rsid w:val="001219FA"/>
    <w:rsid w:val="00121A88"/>
    <w:rsid w:val="0012211B"/>
    <w:rsid w:val="00122653"/>
    <w:rsid w:val="001229A5"/>
    <w:rsid w:val="00122CA6"/>
    <w:rsid w:val="001230A8"/>
    <w:rsid w:val="0012397D"/>
    <w:rsid w:val="00123CAB"/>
    <w:rsid w:val="00123E67"/>
    <w:rsid w:val="0012449A"/>
    <w:rsid w:val="001245AF"/>
    <w:rsid w:val="00124691"/>
    <w:rsid w:val="0012489B"/>
    <w:rsid w:val="0012496D"/>
    <w:rsid w:val="00124B03"/>
    <w:rsid w:val="00124BA7"/>
    <w:rsid w:val="00125402"/>
    <w:rsid w:val="00125DED"/>
    <w:rsid w:val="001267CD"/>
    <w:rsid w:val="00126AF2"/>
    <w:rsid w:val="00126E95"/>
    <w:rsid w:val="0012707A"/>
    <w:rsid w:val="00127992"/>
    <w:rsid w:val="00127A37"/>
    <w:rsid w:val="00130017"/>
    <w:rsid w:val="001301D4"/>
    <w:rsid w:val="001306BA"/>
    <w:rsid w:val="00130F91"/>
    <w:rsid w:val="00131AEF"/>
    <w:rsid w:val="00131FFE"/>
    <w:rsid w:val="00132004"/>
    <w:rsid w:val="00132489"/>
    <w:rsid w:val="00132504"/>
    <w:rsid w:val="0013299B"/>
    <w:rsid w:val="00132E71"/>
    <w:rsid w:val="00132E84"/>
    <w:rsid w:val="00133065"/>
    <w:rsid w:val="001343BB"/>
    <w:rsid w:val="00134518"/>
    <w:rsid w:val="00134839"/>
    <w:rsid w:val="001349ED"/>
    <w:rsid w:val="001360AB"/>
    <w:rsid w:val="00136231"/>
    <w:rsid w:val="0013639F"/>
    <w:rsid w:val="001369D9"/>
    <w:rsid w:val="00137424"/>
    <w:rsid w:val="00137E2E"/>
    <w:rsid w:val="00140318"/>
    <w:rsid w:val="001413C5"/>
    <w:rsid w:val="0014155E"/>
    <w:rsid w:val="00141930"/>
    <w:rsid w:val="00141AD9"/>
    <w:rsid w:val="0014236E"/>
    <w:rsid w:val="001425A8"/>
    <w:rsid w:val="00143355"/>
    <w:rsid w:val="00143D9C"/>
    <w:rsid w:val="00145180"/>
    <w:rsid w:val="001454FB"/>
    <w:rsid w:val="00145DF7"/>
    <w:rsid w:val="001460F4"/>
    <w:rsid w:val="00146594"/>
    <w:rsid w:val="001466D8"/>
    <w:rsid w:val="00146977"/>
    <w:rsid w:val="00146CC0"/>
    <w:rsid w:val="00146CE6"/>
    <w:rsid w:val="00146DF7"/>
    <w:rsid w:val="00146F81"/>
    <w:rsid w:val="00147A73"/>
    <w:rsid w:val="001516F6"/>
    <w:rsid w:val="00151768"/>
    <w:rsid w:val="0015220C"/>
    <w:rsid w:val="001525AC"/>
    <w:rsid w:val="00152903"/>
    <w:rsid w:val="00152AEB"/>
    <w:rsid w:val="00153A1B"/>
    <w:rsid w:val="00153F0F"/>
    <w:rsid w:val="00153FD5"/>
    <w:rsid w:val="00154554"/>
    <w:rsid w:val="001546BA"/>
    <w:rsid w:val="00154B92"/>
    <w:rsid w:val="0015614F"/>
    <w:rsid w:val="001566DF"/>
    <w:rsid w:val="001568A3"/>
    <w:rsid w:val="001575FE"/>
    <w:rsid w:val="00157616"/>
    <w:rsid w:val="001576C2"/>
    <w:rsid w:val="001577C2"/>
    <w:rsid w:val="00160036"/>
    <w:rsid w:val="00160071"/>
    <w:rsid w:val="0016017C"/>
    <w:rsid w:val="0016057C"/>
    <w:rsid w:val="0016067F"/>
    <w:rsid w:val="00160ACD"/>
    <w:rsid w:val="0016106D"/>
    <w:rsid w:val="001612E2"/>
    <w:rsid w:val="00162736"/>
    <w:rsid w:val="00162D38"/>
    <w:rsid w:val="00163096"/>
    <w:rsid w:val="001631AD"/>
    <w:rsid w:val="001633C4"/>
    <w:rsid w:val="00163814"/>
    <w:rsid w:val="00164AC3"/>
    <w:rsid w:val="00164B19"/>
    <w:rsid w:val="00164D38"/>
    <w:rsid w:val="00166015"/>
    <w:rsid w:val="00166065"/>
    <w:rsid w:val="00166DB1"/>
    <w:rsid w:val="00167502"/>
    <w:rsid w:val="001678DF"/>
    <w:rsid w:val="00167B59"/>
    <w:rsid w:val="001704D5"/>
    <w:rsid w:val="0017097A"/>
    <w:rsid w:val="00170B1F"/>
    <w:rsid w:val="00170E3B"/>
    <w:rsid w:val="0017135D"/>
    <w:rsid w:val="00171591"/>
    <w:rsid w:val="00171FAC"/>
    <w:rsid w:val="00172916"/>
    <w:rsid w:val="00173981"/>
    <w:rsid w:val="00173A8D"/>
    <w:rsid w:val="00173AC9"/>
    <w:rsid w:val="00174066"/>
    <w:rsid w:val="001741FD"/>
    <w:rsid w:val="0017497E"/>
    <w:rsid w:val="00174FE0"/>
    <w:rsid w:val="001750A9"/>
    <w:rsid w:val="001753FD"/>
    <w:rsid w:val="00175B74"/>
    <w:rsid w:val="00175D45"/>
    <w:rsid w:val="00176276"/>
    <w:rsid w:val="001766A1"/>
    <w:rsid w:val="0017719D"/>
    <w:rsid w:val="00177318"/>
    <w:rsid w:val="001774B3"/>
    <w:rsid w:val="00180279"/>
    <w:rsid w:val="00180965"/>
    <w:rsid w:val="0018120F"/>
    <w:rsid w:val="00181217"/>
    <w:rsid w:val="00182519"/>
    <w:rsid w:val="00182620"/>
    <w:rsid w:val="0018299C"/>
    <w:rsid w:val="00182F2D"/>
    <w:rsid w:val="001831F2"/>
    <w:rsid w:val="00183FD7"/>
    <w:rsid w:val="001844E8"/>
    <w:rsid w:val="0018596B"/>
    <w:rsid w:val="00185B71"/>
    <w:rsid w:val="00185C80"/>
    <w:rsid w:val="00185CAB"/>
    <w:rsid w:val="001860BB"/>
    <w:rsid w:val="00186287"/>
    <w:rsid w:val="0018678F"/>
    <w:rsid w:val="001868CF"/>
    <w:rsid w:val="00186A47"/>
    <w:rsid w:val="001871C7"/>
    <w:rsid w:val="001875B7"/>
    <w:rsid w:val="00187CB3"/>
    <w:rsid w:val="0019050A"/>
    <w:rsid w:val="001910D4"/>
    <w:rsid w:val="001922BD"/>
    <w:rsid w:val="001927BA"/>
    <w:rsid w:val="00192D35"/>
    <w:rsid w:val="001937D5"/>
    <w:rsid w:val="00193BA8"/>
    <w:rsid w:val="00193D69"/>
    <w:rsid w:val="00193E57"/>
    <w:rsid w:val="001943BA"/>
    <w:rsid w:val="00194E66"/>
    <w:rsid w:val="00194ECE"/>
    <w:rsid w:val="00196057"/>
    <w:rsid w:val="0019684E"/>
    <w:rsid w:val="00196DBD"/>
    <w:rsid w:val="001976E3"/>
    <w:rsid w:val="00197749"/>
    <w:rsid w:val="00197852"/>
    <w:rsid w:val="00197E80"/>
    <w:rsid w:val="001A0464"/>
    <w:rsid w:val="001A0AEE"/>
    <w:rsid w:val="001A0B15"/>
    <w:rsid w:val="001A2738"/>
    <w:rsid w:val="001A2C6B"/>
    <w:rsid w:val="001A371D"/>
    <w:rsid w:val="001A3995"/>
    <w:rsid w:val="001A411A"/>
    <w:rsid w:val="001A4403"/>
    <w:rsid w:val="001A44EC"/>
    <w:rsid w:val="001A4518"/>
    <w:rsid w:val="001A45A8"/>
    <w:rsid w:val="001A47F0"/>
    <w:rsid w:val="001A4E6D"/>
    <w:rsid w:val="001A601C"/>
    <w:rsid w:val="001A6375"/>
    <w:rsid w:val="001A6564"/>
    <w:rsid w:val="001A68D1"/>
    <w:rsid w:val="001A6B26"/>
    <w:rsid w:val="001A721C"/>
    <w:rsid w:val="001A72EA"/>
    <w:rsid w:val="001A7650"/>
    <w:rsid w:val="001A7E85"/>
    <w:rsid w:val="001B02F2"/>
    <w:rsid w:val="001B0968"/>
    <w:rsid w:val="001B0E7D"/>
    <w:rsid w:val="001B13E1"/>
    <w:rsid w:val="001B15BC"/>
    <w:rsid w:val="001B1915"/>
    <w:rsid w:val="001B197D"/>
    <w:rsid w:val="001B1AF0"/>
    <w:rsid w:val="001B1CF4"/>
    <w:rsid w:val="001B1F37"/>
    <w:rsid w:val="001B20DE"/>
    <w:rsid w:val="001B3692"/>
    <w:rsid w:val="001B395A"/>
    <w:rsid w:val="001B4570"/>
    <w:rsid w:val="001B4EBA"/>
    <w:rsid w:val="001B58AA"/>
    <w:rsid w:val="001B5BAE"/>
    <w:rsid w:val="001B65E2"/>
    <w:rsid w:val="001B665D"/>
    <w:rsid w:val="001B66DB"/>
    <w:rsid w:val="001B68B8"/>
    <w:rsid w:val="001B6D7B"/>
    <w:rsid w:val="001B6DE3"/>
    <w:rsid w:val="001B7D83"/>
    <w:rsid w:val="001B7E48"/>
    <w:rsid w:val="001C00E2"/>
    <w:rsid w:val="001C01BA"/>
    <w:rsid w:val="001C01E1"/>
    <w:rsid w:val="001C0770"/>
    <w:rsid w:val="001C0936"/>
    <w:rsid w:val="001C109D"/>
    <w:rsid w:val="001C163D"/>
    <w:rsid w:val="001C17CE"/>
    <w:rsid w:val="001C19CE"/>
    <w:rsid w:val="001C1F17"/>
    <w:rsid w:val="001C205A"/>
    <w:rsid w:val="001C2AFC"/>
    <w:rsid w:val="001C2DC6"/>
    <w:rsid w:val="001C35BD"/>
    <w:rsid w:val="001C36CA"/>
    <w:rsid w:val="001C3858"/>
    <w:rsid w:val="001C3DB8"/>
    <w:rsid w:val="001C40EA"/>
    <w:rsid w:val="001C44D1"/>
    <w:rsid w:val="001C4DE6"/>
    <w:rsid w:val="001C5186"/>
    <w:rsid w:val="001C5FE3"/>
    <w:rsid w:val="001C6082"/>
    <w:rsid w:val="001C6AEE"/>
    <w:rsid w:val="001C7354"/>
    <w:rsid w:val="001C73BA"/>
    <w:rsid w:val="001C7630"/>
    <w:rsid w:val="001C7F21"/>
    <w:rsid w:val="001D05C3"/>
    <w:rsid w:val="001D05C5"/>
    <w:rsid w:val="001D148C"/>
    <w:rsid w:val="001D1B79"/>
    <w:rsid w:val="001D1BD9"/>
    <w:rsid w:val="001D2E02"/>
    <w:rsid w:val="001D2E46"/>
    <w:rsid w:val="001D3415"/>
    <w:rsid w:val="001D4241"/>
    <w:rsid w:val="001D425F"/>
    <w:rsid w:val="001D4407"/>
    <w:rsid w:val="001D4A28"/>
    <w:rsid w:val="001D4C2C"/>
    <w:rsid w:val="001D5392"/>
    <w:rsid w:val="001D57EE"/>
    <w:rsid w:val="001D631D"/>
    <w:rsid w:val="001D66CD"/>
    <w:rsid w:val="001D6C67"/>
    <w:rsid w:val="001D6D15"/>
    <w:rsid w:val="001D6F89"/>
    <w:rsid w:val="001D7F0C"/>
    <w:rsid w:val="001E133A"/>
    <w:rsid w:val="001E186A"/>
    <w:rsid w:val="001E1D5F"/>
    <w:rsid w:val="001E23EB"/>
    <w:rsid w:val="001E33AE"/>
    <w:rsid w:val="001E3833"/>
    <w:rsid w:val="001E3C18"/>
    <w:rsid w:val="001E3C3A"/>
    <w:rsid w:val="001E3FB6"/>
    <w:rsid w:val="001E5765"/>
    <w:rsid w:val="001E576A"/>
    <w:rsid w:val="001E5789"/>
    <w:rsid w:val="001E5DC5"/>
    <w:rsid w:val="001E7252"/>
    <w:rsid w:val="001E7721"/>
    <w:rsid w:val="001E7747"/>
    <w:rsid w:val="001F02FF"/>
    <w:rsid w:val="001F06C9"/>
    <w:rsid w:val="001F0A7F"/>
    <w:rsid w:val="001F0ECC"/>
    <w:rsid w:val="001F1D1A"/>
    <w:rsid w:val="001F1ED0"/>
    <w:rsid w:val="001F2065"/>
    <w:rsid w:val="001F2252"/>
    <w:rsid w:val="001F2F5D"/>
    <w:rsid w:val="001F336A"/>
    <w:rsid w:val="001F35A3"/>
    <w:rsid w:val="001F3980"/>
    <w:rsid w:val="001F3C3A"/>
    <w:rsid w:val="001F44CD"/>
    <w:rsid w:val="001F489E"/>
    <w:rsid w:val="001F5047"/>
    <w:rsid w:val="001F50F7"/>
    <w:rsid w:val="001F5211"/>
    <w:rsid w:val="001F56A8"/>
    <w:rsid w:val="001F6006"/>
    <w:rsid w:val="001F6369"/>
    <w:rsid w:val="001F6BE9"/>
    <w:rsid w:val="001F6CD6"/>
    <w:rsid w:val="001F71C1"/>
    <w:rsid w:val="001F7558"/>
    <w:rsid w:val="002000D5"/>
    <w:rsid w:val="00200114"/>
    <w:rsid w:val="002002EF"/>
    <w:rsid w:val="0020129B"/>
    <w:rsid w:val="002019DB"/>
    <w:rsid w:val="00201D71"/>
    <w:rsid w:val="00201DDA"/>
    <w:rsid w:val="00201EE2"/>
    <w:rsid w:val="0020278E"/>
    <w:rsid w:val="00202ADD"/>
    <w:rsid w:val="0020324E"/>
    <w:rsid w:val="002034C6"/>
    <w:rsid w:val="002036FA"/>
    <w:rsid w:val="00204F08"/>
    <w:rsid w:val="00205B57"/>
    <w:rsid w:val="00205D26"/>
    <w:rsid w:val="002063D1"/>
    <w:rsid w:val="002066A1"/>
    <w:rsid w:val="00206DA4"/>
    <w:rsid w:val="00206F1F"/>
    <w:rsid w:val="00207CC3"/>
    <w:rsid w:val="00207F57"/>
    <w:rsid w:val="00210FE3"/>
    <w:rsid w:val="00211132"/>
    <w:rsid w:val="00211B1E"/>
    <w:rsid w:val="00211D8C"/>
    <w:rsid w:val="00211E5A"/>
    <w:rsid w:val="00211EE3"/>
    <w:rsid w:val="00212830"/>
    <w:rsid w:val="0021358E"/>
    <w:rsid w:val="002140E6"/>
    <w:rsid w:val="0021426C"/>
    <w:rsid w:val="00214629"/>
    <w:rsid w:val="002146C6"/>
    <w:rsid w:val="0021493C"/>
    <w:rsid w:val="00214DF2"/>
    <w:rsid w:val="0021510E"/>
    <w:rsid w:val="00215567"/>
    <w:rsid w:val="002157E0"/>
    <w:rsid w:val="00215C3A"/>
    <w:rsid w:val="00216047"/>
    <w:rsid w:val="002166F2"/>
    <w:rsid w:val="00216A57"/>
    <w:rsid w:val="002172A4"/>
    <w:rsid w:val="00217448"/>
    <w:rsid w:val="002177EB"/>
    <w:rsid w:val="0022022E"/>
    <w:rsid w:val="00220255"/>
    <w:rsid w:val="00221FF6"/>
    <w:rsid w:val="0022312F"/>
    <w:rsid w:val="0022334F"/>
    <w:rsid w:val="00223EAD"/>
    <w:rsid w:val="00223F75"/>
    <w:rsid w:val="0022411A"/>
    <w:rsid w:val="0022430A"/>
    <w:rsid w:val="00224687"/>
    <w:rsid w:val="0022469F"/>
    <w:rsid w:val="00224D0B"/>
    <w:rsid w:val="00225124"/>
    <w:rsid w:val="00225763"/>
    <w:rsid w:val="0022605E"/>
    <w:rsid w:val="002260A2"/>
    <w:rsid w:val="00226819"/>
    <w:rsid w:val="002269B3"/>
    <w:rsid w:val="00226F12"/>
    <w:rsid w:val="0022739D"/>
    <w:rsid w:val="002301B9"/>
    <w:rsid w:val="002301E2"/>
    <w:rsid w:val="0023049C"/>
    <w:rsid w:val="00231846"/>
    <w:rsid w:val="002319DF"/>
    <w:rsid w:val="0023230B"/>
    <w:rsid w:val="00232383"/>
    <w:rsid w:val="00232434"/>
    <w:rsid w:val="00232D71"/>
    <w:rsid w:val="00232EB0"/>
    <w:rsid w:val="00233044"/>
    <w:rsid w:val="00233101"/>
    <w:rsid w:val="002333EF"/>
    <w:rsid w:val="00233817"/>
    <w:rsid w:val="002339EF"/>
    <w:rsid w:val="0023408F"/>
    <w:rsid w:val="0023539A"/>
    <w:rsid w:val="00235D73"/>
    <w:rsid w:val="00236292"/>
    <w:rsid w:val="00236347"/>
    <w:rsid w:val="002367FF"/>
    <w:rsid w:val="0023689C"/>
    <w:rsid w:val="002369EE"/>
    <w:rsid w:val="002371A1"/>
    <w:rsid w:val="002374E9"/>
    <w:rsid w:val="00237604"/>
    <w:rsid w:val="00237810"/>
    <w:rsid w:val="00240CE9"/>
    <w:rsid w:val="00241C27"/>
    <w:rsid w:val="00241CBD"/>
    <w:rsid w:val="002434BA"/>
    <w:rsid w:val="00243763"/>
    <w:rsid w:val="00244656"/>
    <w:rsid w:val="00244723"/>
    <w:rsid w:val="00244824"/>
    <w:rsid w:val="00245057"/>
    <w:rsid w:val="002454E0"/>
    <w:rsid w:val="00245731"/>
    <w:rsid w:val="00245F32"/>
    <w:rsid w:val="00246089"/>
    <w:rsid w:val="00246093"/>
    <w:rsid w:val="002460C8"/>
    <w:rsid w:val="00246702"/>
    <w:rsid w:val="00246D54"/>
    <w:rsid w:val="002476E7"/>
    <w:rsid w:val="00247C59"/>
    <w:rsid w:val="00247DE4"/>
    <w:rsid w:val="00247DF7"/>
    <w:rsid w:val="00247F2E"/>
    <w:rsid w:val="002504C4"/>
    <w:rsid w:val="0025052E"/>
    <w:rsid w:val="00250ADC"/>
    <w:rsid w:val="00250B07"/>
    <w:rsid w:val="00250E3E"/>
    <w:rsid w:val="00251199"/>
    <w:rsid w:val="00252007"/>
    <w:rsid w:val="00252449"/>
    <w:rsid w:val="002528E0"/>
    <w:rsid w:val="00252D4B"/>
    <w:rsid w:val="002533C2"/>
    <w:rsid w:val="00253DF2"/>
    <w:rsid w:val="002546C4"/>
    <w:rsid w:val="00254E0D"/>
    <w:rsid w:val="00255465"/>
    <w:rsid w:val="00256D8C"/>
    <w:rsid w:val="00257553"/>
    <w:rsid w:val="00260984"/>
    <w:rsid w:val="00260FB2"/>
    <w:rsid w:val="00261336"/>
    <w:rsid w:val="00262128"/>
    <w:rsid w:val="002633B5"/>
    <w:rsid w:val="0026480F"/>
    <w:rsid w:val="0026496B"/>
    <w:rsid w:val="00265553"/>
    <w:rsid w:val="00265BAF"/>
    <w:rsid w:val="00265E64"/>
    <w:rsid w:val="002666AF"/>
    <w:rsid w:val="00266AE5"/>
    <w:rsid w:val="00266B55"/>
    <w:rsid w:val="0026701A"/>
    <w:rsid w:val="002672CC"/>
    <w:rsid w:val="00267D83"/>
    <w:rsid w:val="00267E21"/>
    <w:rsid w:val="002702E0"/>
    <w:rsid w:val="00270C61"/>
    <w:rsid w:val="002712B9"/>
    <w:rsid w:val="0027165D"/>
    <w:rsid w:val="00271FBD"/>
    <w:rsid w:val="00272289"/>
    <w:rsid w:val="002725E4"/>
    <w:rsid w:val="00272760"/>
    <w:rsid w:val="00272BE6"/>
    <w:rsid w:val="0027388C"/>
    <w:rsid w:val="00273CEB"/>
    <w:rsid w:val="00274800"/>
    <w:rsid w:val="00274DE4"/>
    <w:rsid w:val="00274FFA"/>
    <w:rsid w:val="00275D53"/>
    <w:rsid w:val="0027627C"/>
    <w:rsid w:val="002770BB"/>
    <w:rsid w:val="00277157"/>
    <w:rsid w:val="0027782F"/>
    <w:rsid w:val="00277877"/>
    <w:rsid w:val="00277B80"/>
    <w:rsid w:val="00277EF1"/>
    <w:rsid w:val="00280134"/>
    <w:rsid w:val="00280A7C"/>
    <w:rsid w:val="00281C89"/>
    <w:rsid w:val="0028215C"/>
    <w:rsid w:val="0028271E"/>
    <w:rsid w:val="0028282F"/>
    <w:rsid w:val="00282838"/>
    <w:rsid w:val="00282E88"/>
    <w:rsid w:val="002831EF"/>
    <w:rsid w:val="00283C24"/>
    <w:rsid w:val="00283C74"/>
    <w:rsid w:val="00284E48"/>
    <w:rsid w:val="00284EAB"/>
    <w:rsid w:val="00284FFA"/>
    <w:rsid w:val="00286362"/>
    <w:rsid w:val="00286D1F"/>
    <w:rsid w:val="00286D4A"/>
    <w:rsid w:val="00286DCD"/>
    <w:rsid w:val="00287450"/>
    <w:rsid w:val="0028745D"/>
    <w:rsid w:val="00290490"/>
    <w:rsid w:val="00290672"/>
    <w:rsid w:val="002908D8"/>
    <w:rsid w:val="00290A4B"/>
    <w:rsid w:val="00290F9A"/>
    <w:rsid w:val="002919DC"/>
    <w:rsid w:val="00292535"/>
    <w:rsid w:val="0029261C"/>
    <w:rsid w:val="00292F14"/>
    <w:rsid w:val="00293AC9"/>
    <w:rsid w:val="00293DCC"/>
    <w:rsid w:val="00293F57"/>
    <w:rsid w:val="00294813"/>
    <w:rsid w:val="002948F6"/>
    <w:rsid w:val="00294E05"/>
    <w:rsid w:val="0029593B"/>
    <w:rsid w:val="00295F55"/>
    <w:rsid w:val="0029603C"/>
    <w:rsid w:val="00296551"/>
    <w:rsid w:val="002975FD"/>
    <w:rsid w:val="00297FC5"/>
    <w:rsid w:val="002A026C"/>
    <w:rsid w:val="002A0417"/>
    <w:rsid w:val="002A06E7"/>
    <w:rsid w:val="002A0F7F"/>
    <w:rsid w:val="002A16D8"/>
    <w:rsid w:val="002A19E2"/>
    <w:rsid w:val="002A1BC8"/>
    <w:rsid w:val="002A235C"/>
    <w:rsid w:val="002A3AB6"/>
    <w:rsid w:val="002A3EF2"/>
    <w:rsid w:val="002A45EF"/>
    <w:rsid w:val="002A49EE"/>
    <w:rsid w:val="002A607D"/>
    <w:rsid w:val="002A661D"/>
    <w:rsid w:val="002A6C1B"/>
    <w:rsid w:val="002A7389"/>
    <w:rsid w:val="002A75A6"/>
    <w:rsid w:val="002A75DD"/>
    <w:rsid w:val="002A79EB"/>
    <w:rsid w:val="002A7C07"/>
    <w:rsid w:val="002A7DC4"/>
    <w:rsid w:val="002B0DED"/>
    <w:rsid w:val="002B0F1B"/>
    <w:rsid w:val="002B0F65"/>
    <w:rsid w:val="002B0FD1"/>
    <w:rsid w:val="002B19A2"/>
    <w:rsid w:val="002B381A"/>
    <w:rsid w:val="002B38AE"/>
    <w:rsid w:val="002B428E"/>
    <w:rsid w:val="002B4FCC"/>
    <w:rsid w:val="002B5002"/>
    <w:rsid w:val="002B55E6"/>
    <w:rsid w:val="002B58E8"/>
    <w:rsid w:val="002B671F"/>
    <w:rsid w:val="002B6A3C"/>
    <w:rsid w:val="002B7408"/>
    <w:rsid w:val="002B7CFD"/>
    <w:rsid w:val="002B7D4E"/>
    <w:rsid w:val="002B7E71"/>
    <w:rsid w:val="002C0530"/>
    <w:rsid w:val="002C07BF"/>
    <w:rsid w:val="002C10E1"/>
    <w:rsid w:val="002C113D"/>
    <w:rsid w:val="002C125C"/>
    <w:rsid w:val="002C210F"/>
    <w:rsid w:val="002C27AA"/>
    <w:rsid w:val="002C2B01"/>
    <w:rsid w:val="002C2B7E"/>
    <w:rsid w:val="002C314D"/>
    <w:rsid w:val="002C374D"/>
    <w:rsid w:val="002C37C6"/>
    <w:rsid w:val="002C3BCB"/>
    <w:rsid w:val="002C41EE"/>
    <w:rsid w:val="002C474E"/>
    <w:rsid w:val="002C4CC5"/>
    <w:rsid w:val="002C4F13"/>
    <w:rsid w:val="002C4FEA"/>
    <w:rsid w:val="002C5204"/>
    <w:rsid w:val="002C5D89"/>
    <w:rsid w:val="002C5E99"/>
    <w:rsid w:val="002C5FDE"/>
    <w:rsid w:val="002C693C"/>
    <w:rsid w:val="002C6D15"/>
    <w:rsid w:val="002C713F"/>
    <w:rsid w:val="002C7977"/>
    <w:rsid w:val="002C7BCF"/>
    <w:rsid w:val="002D0D7D"/>
    <w:rsid w:val="002D16D9"/>
    <w:rsid w:val="002D2272"/>
    <w:rsid w:val="002D2483"/>
    <w:rsid w:val="002D268C"/>
    <w:rsid w:val="002D2B78"/>
    <w:rsid w:val="002D3561"/>
    <w:rsid w:val="002D3600"/>
    <w:rsid w:val="002D373F"/>
    <w:rsid w:val="002D5CF8"/>
    <w:rsid w:val="002D6D3C"/>
    <w:rsid w:val="002D7A32"/>
    <w:rsid w:val="002E01AF"/>
    <w:rsid w:val="002E042C"/>
    <w:rsid w:val="002E0ACD"/>
    <w:rsid w:val="002E1236"/>
    <w:rsid w:val="002E14D3"/>
    <w:rsid w:val="002E26AD"/>
    <w:rsid w:val="002E2E4A"/>
    <w:rsid w:val="002E34D0"/>
    <w:rsid w:val="002E3ABA"/>
    <w:rsid w:val="002E4DDC"/>
    <w:rsid w:val="002E4EC0"/>
    <w:rsid w:val="002E5BF0"/>
    <w:rsid w:val="002E5C96"/>
    <w:rsid w:val="002E672D"/>
    <w:rsid w:val="002E68F0"/>
    <w:rsid w:val="002E6D2B"/>
    <w:rsid w:val="002E78EC"/>
    <w:rsid w:val="002E7DF0"/>
    <w:rsid w:val="002E7E96"/>
    <w:rsid w:val="002F000F"/>
    <w:rsid w:val="002F013F"/>
    <w:rsid w:val="002F052B"/>
    <w:rsid w:val="002F0AE0"/>
    <w:rsid w:val="002F0BEC"/>
    <w:rsid w:val="002F21C2"/>
    <w:rsid w:val="002F26E4"/>
    <w:rsid w:val="002F2B4E"/>
    <w:rsid w:val="002F2E8F"/>
    <w:rsid w:val="002F329F"/>
    <w:rsid w:val="002F386E"/>
    <w:rsid w:val="002F3A0D"/>
    <w:rsid w:val="002F3A7E"/>
    <w:rsid w:val="002F4771"/>
    <w:rsid w:val="002F6B97"/>
    <w:rsid w:val="002F71B5"/>
    <w:rsid w:val="00300F11"/>
    <w:rsid w:val="00300F59"/>
    <w:rsid w:val="003013FA"/>
    <w:rsid w:val="00301B8D"/>
    <w:rsid w:val="00302480"/>
    <w:rsid w:val="003025C2"/>
    <w:rsid w:val="00302758"/>
    <w:rsid w:val="00302917"/>
    <w:rsid w:val="00303392"/>
    <w:rsid w:val="003036A3"/>
    <w:rsid w:val="00303992"/>
    <w:rsid w:val="00304B5C"/>
    <w:rsid w:val="0030570C"/>
    <w:rsid w:val="00305B45"/>
    <w:rsid w:val="00305D7D"/>
    <w:rsid w:val="003064FA"/>
    <w:rsid w:val="00306F54"/>
    <w:rsid w:val="00306F60"/>
    <w:rsid w:val="003078F8"/>
    <w:rsid w:val="003079E6"/>
    <w:rsid w:val="00311119"/>
    <w:rsid w:val="00311A19"/>
    <w:rsid w:val="003125C4"/>
    <w:rsid w:val="0031297E"/>
    <w:rsid w:val="00312FA2"/>
    <w:rsid w:val="00313F71"/>
    <w:rsid w:val="003165E6"/>
    <w:rsid w:val="0031675D"/>
    <w:rsid w:val="003167F4"/>
    <w:rsid w:val="0031681D"/>
    <w:rsid w:val="00316AA4"/>
    <w:rsid w:val="00317BC8"/>
    <w:rsid w:val="00317C4C"/>
    <w:rsid w:val="00317CF6"/>
    <w:rsid w:val="003215B5"/>
    <w:rsid w:val="00321DFD"/>
    <w:rsid w:val="003220F0"/>
    <w:rsid w:val="003221CF"/>
    <w:rsid w:val="003228FA"/>
    <w:rsid w:val="00322DCC"/>
    <w:rsid w:val="003233ED"/>
    <w:rsid w:val="00323446"/>
    <w:rsid w:val="00323EE1"/>
    <w:rsid w:val="00324370"/>
    <w:rsid w:val="00324C32"/>
    <w:rsid w:val="00324C78"/>
    <w:rsid w:val="00324D9F"/>
    <w:rsid w:val="00324E84"/>
    <w:rsid w:val="003253EE"/>
    <w:rsid w:val="00325B6A"/>
    <w:rsid w:val="00325BFE"/>
    <w:rsid w:val="00326127"/>
    <w:rsid w:val="00326447"/>
    <w:rsid w:val="00326FE6"/>
    <w:rsid w:val="0032737C"/>
    <w:rsid w:val="00327871"/>
    <w:rsid w:val="00327948"/>
    <w:rsid w:val="0033000F"/>
    <w:rsid w:val="003301B3"/>
    <w:rsid w:val="003307CF"/>
    <w:rsid w:val="00331738"/>
    <w:rsid w:val="00332011"/>
    <w:rsid w:val="0033202A"/>
    <w:rsid w:val="00332518"/>
    <w:rsid w:val="00332925"/>
    <w:rsid w:val="00332E3F"/>
    <w:rsid w:val="00332EEF"/>
    <w:rsid w:val="003331A8"/>
    <w:rsid w:val="003332ED"/>
    <w:rsid w:val="003333F1"/>
    <w:rsid w:val="00334232"/>
    <w:rsid w:val="00334362"/>
    <w:rsid w:val="0033455E"/>
    <w:rsid w:val="00334684"/>
    <w:rsid w:val="0033514B"/>
    <w:rsid w:val="00336530"/>
    <w:rsid w:val="003368DC"/>
    <w:rsid w:val="003377F7"/>
    <w:rsid w:val="0033783D"/>
    <w:rsid w:val="00337BE6"/>
    <w:rsid w:val="0034024B"/>
    <w:rsid w:val="00340C1F"/>
    <w:rsid w:val="00340CA9"/>
    <w:rsid w:val="00341973"/>
    <w:rsid w:val="00341B66"/>
    <w:rsid w:val="00341BB9"/>
    <w:rsid w:val="00341FA8"/>
    <w:rsid w:val="003437F9"/>
    <w:rsid w:val="00344081"/>
    <w:rsid w:val="00344903"/>
    <w:rsid w:val="0034490B"/>
    <w:rsid w:val="00345703"/>
    <w:rsid w:val="00345927"/>
    <w:rsid w:val="003459CC"/>
    <w:rsid w:val="00345B34"/>
    <w:rsid w:val="00345FD7"/>
    <w:rsid w:val="003460B5"/>
    <w:rsid w:val="00346485"/>
    <w:rsid w:val="00346950"/>
    <w:rsid w:val="00347BA5"/>
    <w:rsid w:val="00350186"/>
    <w:rsid w:val="003502B4"/>
    <w:rsid w:val="0035037D"/>
    <w:rsid w:val="00350584"/>
    <w:rsid w:val="00350C13"/>
    <w:rsid w:val="00351608"/>
    <w:rsid w:val="0035161C"/>
    <w:rsid w:val="00351857"/>
    <w:rsid w:val="00352F5A"/>
    <w:rsid w:val="00352F70"/>
    <w:rsid w:val="00353314"/>
    <w:rsid w:val="00353327"/>
    <w:rsid w:val="00353645"/>
    <w:rsid w:val="00354126"/>
    <w:rsid w:val="003541FA"/>
    <w:rsid w:val="003545E8"/>
    <w:rsid w:val="00356605"/>
    <w:rsid w:val="00356A24"/>
    <w:rsid w:val="003573E1"/>
    <w:rsid w:val="00357797"/>
    <w:rsid w:val="00357A4B"/>
    <w:rsid w:val="003607ED"/>
    <w:rsid w:val="003610E1"/>
    <w:rsid w:val="003616F5"/>
    <w:rsid w:val="00361846"/>
    <w:rsid w:val="0036197B"/>
    <w:rsid w:val="00361EBC"/>
    <w:rsid w:val="00362292"/>
    <w:rsid w:val="00362398"/>
    <w:rsid w:val="003630AC"/>
    <w:rsid w:val="003635A0"/>
    <w:rsid w:val="00363AC2"/>
    <w:rsid w:val="003640F4"/>
    <w:rsid w:val="00364A0D"/>
    <w:rsid w:val="00364E6C"/>
    <w:rsid w:val="0036507E"/>
    <w:rsid w:val="00365157"/>
    <w:rsid w:val="0036525F"/>
    <w:rsid w:val="00366CB9"/>
    <w:rsid w:val="00366CDE"/>
    <w:rsid w:val="003670B8"/>
    <w:rsid w:val="003671BE"/>
    <w:rsid w:val="0036741D"/>
    <w:rsid w:val="003674DB"/>
    <w:rsid w:val="003674F9"/>
    <w:rsid w:val="00367643"/>
    <w:rsid w:val="00367D57"/>
    <w:rsid w:val="00370004"/>
    <w:rsid w:val="00371C2E"/>
    <w:rsid w:val="00371D77"/>
    <w:rsid w:val="003723BD"/>
    <w:rsid w:val="00372485"/>
    <w:rsid w:val="00372713"/>
    <w:rsid w:val="00373200"/>
    <w:rsid w:val="0037367D"/>
    <w:rsid w:val="00373F48"/>
    <w:rsid w:val="00373F83"/>
    <w:rsid w:val="00374811"/>
    <w:rsid w:val="0037488A"/>
    <w:rsid w:val="00375152"/>
    <w:rsid w:val="00375E0E"/>
    <w:rsid w:val="00375EF5"/>
    <w:rsid w:val="00376220"/>
    <w:rsid w:val="003767A5"/>
    <w:rsid w:val="00376D8A"/>
    <w:rsid w:val="00376EF4"/>
    <w:rsid w:val="00377904"/>
    <w:rsid w:val="003779AA"/>
    <w:rsid w:val="00377ABA"/>
    <w:rsid w:val="00377C91"/>
    <w:rsid w:val="003800EB"/>
    <w:rsid w:val="003803BD"/>
    <w:rsid w:val="00380E8F"/>
    <w:rsid w:val="00380F1F"/>
    <w:rsid w:val="00381AFD"/>
    <w:rsid w:val="00381D15"/>
    <w:rsid w:val="00382169"/>
    <w:rsid w:val="0038229D"/>
    <w:rsid w:val="003828F8"/>
    <w:rsid w:val="00383C65"/>
    <w:rsid w:val="00384234"/>
    <w:rsid w:val="00384290"/>
    <w:rsid w:val="003842BB"/>
    <w:rsid w:val="00384C17"/>
    <w:rsid w:val="00385050"/>
    <w:rsid w:val="00385254"/>
    <w:rsid w:val="003857B1"/>
    <w:rsid w:val="00385DFD"/>
    <w:rsid w:val="00385F7A"/>
    <w:rsid w:val="0038638B"/>
    <w:rsid w:val="00386C39"/>
    <w:rsid w:val="0038764D"/>
    <w:rsid w:val="003878DE"/>
    <w:rsid w:val="00387F3C"/>
    <w:rsid w:val="00387F6A"/>
    <w:rsid w:val="00390AEC"/>
    <w:rsid w:val="00390D91"/>
    <w:rsid w:val="00390E3B"/>
    <w:rsid w:val="003916A6"/>
    <w:rsid w:val="003918F5"/>
    <w:rsid w:val="0039194C"/>
    <w:rsid w:val="00391ABF"/>
    <w:rsid w:val="00392719"/>
    <w:rsid w:val="0039293E"/>
    <w:rsid w:val="00393178"/>
    <w:rsid w:val="003933E8"/>
    <w:rsid w:val="003938F0"/>
    <w:rsid w:val="00393A36"/>
    <w:rsid w:val="00394031"/>
    <w:rsid w:val="00394187"/>
    <w:rsid w:val="003941A5"/>
    <w:rsid w:val="003953FE"/>
    <w:rsid w:val="00395C69"/>
    <w:rsid w:val="00395F8C"/>
    <w:rsid w:val="00395FE5"/>
    <w:rsid w:val="00395FF7"/>
    <w:rsid w:val="0039626D"/>
    <w:rsid w:val="003962FD"/>
    <w:rsid w:val="00396427"/>
    <w:rsid w:val="00396A1A"/>
    <w:rsid w:val="00396DC2"/>
    <w:rsid w:val="00396E06"/>
    <w:rsid w:val="00397768"/>
    <w:rsid w:val="00397ACD"/>
    <w:rsid w:val="003A04DB"/>
    <w:rsid w:val="003A0859"/>
    <w:rsid w:val="003A1E68"/>
    <w:rsid w:val="003A239C"/>
    <w:rsid w:val="003A295B"/>
    <w:rsid w:val="003A3086"/>
    <w:rsid w:val="003A3513"/>
    <w:rsid w:val="003A3588"/>
    <w:rsid w:val="003A35BA"/>
    <w:rsid w:val="003A3AFA"/>
    <w:rsid w:val="003A3EB9"/>
    <w:rsid w:val="003A3F4D"/>
    <w:rsid w:val="003A48C7"/>
    <w:rsid w:val="003A4F8C"/>
    <w:rsid w:val="003A55D8"/>
    <w:rsid w:val="003A565D"/>
    <w:rsid w:val="003A5F5B"/>
    <w:rsid w:val="003A6140"/>
    <w:rsid w:val="003A6449"/>
    <w:rsid w:val="003A663E"/>
    <w:rsid w:val="003A69C5"/>
    <w:rsid w:val="003A6E38"/>
    <w:rsid w:val="003A71F3"/>
    <w:rsid w:val="003A7761"/>
    <w:rsid w:val="003A789A"/>
    <w:rsid w:val="003A7BFB"/>
    <w:rsid w:val="003B011A"/>
    <w:rsid w:val="003B12EC"/>
    <w:rsid w:val="003B1E05"/>
    <w:rsid w:val="003B2865"/>
    <w:rsid w:val="003B29A2"/>
    <w:rsid w:val="003B3713"/>
    <w:rsid w:val="003B38CE"/>
    <w:rsid w:val="003B396A"/>
    <w:rsid w:val="003B3C41"/>
    <w:rsid w:val="003B4769"/>
    <w:rsid w:val="003B4F18"/>
    <w:rsid w:val="003B5CD8"/>
    <w:rsid w:val="003B60B7"/>
    <w:rsid w:val="003B6801"/>
    <w:rsid w:val="003B6D5A"/>
    <w:rsid w:val="003B7B50"/>
    <w:rsid w:val="003C03B8"/>
    <w:rsid w:val="003C051B"/>
    <w:rsid w:val="003C0636"/>
    <w:rsid w:val="003C07B8"/>
    <w:rsid w:val="003C0E27"/>
    <w:rsid w:val="003C14B4"/>
    <w:rsid w:val="003C1A92"/>
    <w:rsid w:val="003C2056"/>
    <w:rsid w:val="003C239D"/>
    <w:rsid w:val="003C2769"/>
    <w:rsid w:val="003C2A5F"/>
    <w:rsid w:val="003C31A0"/>
    <w:rsid w:val="003C324B"/>
    <w:rsid w:val="003C3460"/>
    <w:rsid w:val="003C3637"/>
    <w:rsid w:val="003C3E28"/>
    <w:rsid w:val="003C4401"/>
    <w:rsid w:val="003C4580"/>
    <w:rsid w:val="003C4825"/>
    <w:rsid w:val="003C4888"/>
    <w:rsid w:val="003C4946"/>
    <w:rsid w:val="003C4FDE"/>
    <w:rsid w:val="003C5609"/>
    <w:rsid w:val="003C5E7D"/>
    <w:rsid w:val="003C6196"/>
    <w:rsid w:val="003C6E9F"/>
    <w:rsid w:val="003C77E0"/>
    <w:rsid w:val="003C7C67"/>
    <w:rsid w:val="003D016E"/>
    <w:rsid w:val="003D17D7"/>
    <w:rsid w:val="003D1A6E"/>
    <w:rsid w:val="003D1AB2"/>
    <w:rsid w:val="003D1E6E"/>
    <w:rsid w:val="003D23D3"/>
    <w:rsid w:val="003D2678"/>
    <w:rsid w:val="003D33FD"/>
    <w:rsid w:val="003D39CB"/>
    <w:rsid w:val="003D3C4B"/>
    <w:rsid w:val="003D3C82"/>
    <w:rsid w:val="003D3EDF"/>
    <w:rsid w:val="003D49A7"/>
    <w:rsid w:val="003D5DC5"/>
    <w:rsid w:val="003D6D95"/>
    <w:rsid w:val="003D6E1A"/>
    <w:rsid w:val="003D6F04"/>
    <w:rsid w:val="003D71A3"/>
    <w:rsid w:val="003D792B"/>
    <w:rsid w:val="003D7B40"/>
    <w:rsid w:val="003E0179"/>
    <w:rsid w:val="003E0836"/>
    <w:rsid w:val="003E0EBB"/>
    <w:rsid w:val="003E103E"/>
    <w:rsid w:val="003E175D"/>
    <w:rsid w:val="003E197B"/>
    <w:rsid w:val="003E24D1"/>
    <w:rsid w:val="003E262C"/>
    <w:rsid w:val="003E26A9"/>
    <w:rsid w:val="003E2B8A"/>
    <w:rsid w:val="003E316F"/>
    <w:rsid w:val="003E3F7C"/>
    <w:rsid w:val="003E4677"/>
    <w:rsid w:val="003E49B9"/>
    <w:rsid w:val="003E5465"/>
    <w:rsid w:val="003E56DC"/>
    <w:rsid w:val="003E65BC"/>
    <w:rsid w:val="003E6B25"/>
    <w:rsid w:val="003E7062"/>
    <w:rsid w:val="003E761B"/>
    <w:rsid w:val="003E7C1E"/>
    <w:rsid w:val="003F0547"/>
    <w:rsid w:val="003F08E4"/>
    <w:rsid w:val="003F0B5A"/>
    <w:rsid w:val="003F0DF0"/>
    <w:rsid w:val="003F10EE"/>
    <w:rsid w:val="003F16F6"/>
    <w:rsid w:val="003F18FF"/>
    <w:rsid w:val="003F1D2F"/>
    <w:rsid w:val="003F2350"/>
    <w:rsid w:val="003F2505"/>
    <w:rsid w:val="003F2EC8"/>
    <w:rsid w:val="003F319A"/>
    <w:rsid w:val="003F319D"/>
    <w:rsid w:val="003F32BD"/>
    <w:rsid w:val="003F36B1"/>
    <w:rsid w:val="003F3801"/>
    <w:rsid w:val="003F3DD9"/>
    <w:rsid w:val="003F40C2"/>
    <w:rsid w:val="003F42C7"/>
    <w:rsid w:val="003F43CF"/>
    <w:rsid w:val="003F4DC7"/>
    <w:rsid w:val="003F520F"/>
    <w:rsid w:val="003F5235"/>
    <w:rsid w:val="003F5697"/>
    <w:rsid w:val="003F59EB"/>
    <w:rsid w:val="003F5D25"/>
    <w:rsid w:val="003F61CF"/>
    <w:rsid w:val="003F62B1"/>
    <w:rsid w:val="003F6837"/>
    <w:rsid w:val="003F70F1"/>
    <w:rsid w:val="003F7848"/>
    <w:rsid w:val="003F789A"/>
    <w:rsid w:val="003F793D"/>
    <w:rsid w:val="003F798D"/>
    <w:rsid w:val="003F7B33"/>
    <w:rsid w:val="003F7D96"/>
    <w:rsid w:val="003F7EFB"/>
    <w:rsid w:val="003F7F61"/>
    <w:rsid w:val="0040019F"/>
    <w:rsid w:val="0040043A"/>
    <w:rsid w:val="00400990"/>
    <w:rsid w:val="00400A96"/>
    <w:rsid w:val="00400CAE"/>
    <w:rsid w:val="00400D3B"/>
    <w:rsid w:val="004014C5"/>
    <w:rsid w:val="004019DE"/>
    <w:rsid w:val="00401B74"/>
    <w:rsid w:val="004020E6"/>
    <w:rsid w:val="00402590"/>
    <w:rsid w:val="004027E4"/>
    <w:rsid w:val="00402840"/>
    <w:rsid w:val="00402F90"/>
    <w:rsid w:val="00403C81"/>
    <w:rsid w:val="00404ADA"/>
    <w:rsid w:val="00404DAD"/>
    <w:rsid w:val="004053E0"/>
    <w:rsid w:val="0040554E"/>
    <w:rsid w:val="00406606"/>
    <w:rsid w:val="00406980"/>
    <w:rsid w:val="004075E2"/>
    <w:rsid w:val="0041071D"/>
    <w:rsid w:val="0041092E"/>
    <w:rsid w:val="00410C7B"/>
    <w:rsid w:val="00411B01"/>
    <w:rsid w:val="00412B02"/>
    <w:rsid w:val="00412E25"/>
    <w:rsid w:val="00413759"/>
    <w:rsid w:val="004137CB"/>
    <w:rsid w:val="004137DB"/>
    <w:rsid w:val="004137F3"/>
    <w:rsid w:val="00413911"/>
    <w:rsid w:val="00413D4C"/>
    <w:rsid w:val="00413F90"/>
    <w:rsid w:val="004145F4"/>
    <w:rsid w:val="004148DA"/>
    <w:rsid w:val="00414ADC"/>
    <w:rsid w:val="00414AFC"/>
    <w:rsid w:val="00414DAE"/>
    <w:rsid w:val="004151A7"/>
    <w:rsid w:val="00415310"/>
    <w:rsid w:val="00415441"/>
    <w:rsid w:val="00415514"/>
    <w:rsid w:val="0041572E"/>
    <w:rsid w:val="0041588B"/>
    <w:rsid w:val="00415DB4"/>
    <w:rsid w:val="00416312"/>
    <w:rsid w:val="004168DF"/>
    <w:rsid w:val="00417E19"/>
    <w:rsid w:val="0042090C"/>
    <w:rsid w:val="00420E42"/>
    <w:rsid w:val="00420E6B"/>
    <w:rsid w:val="0042165A"/>
    <w:rsid w:val="00421709"/>
    <w:rsid w:val="00422262"/>
    <w:rsid w:val="00422D63"/>
    <w:rsid w:val="004232C5"/>
    <w:rsid w:val="004235AD"/>
    <w:rsid w:val="004236DD"/>
    <w:rsid w:val="00423763"/>
    <w:rsid w:val="00423CA7"/>
    <w:rsid w:val="00423EB7"/>
    <w:rsid w:val="00424B2C"/>
    <w:rsid w:val="00424CAA"/>
    <w:rsid w:val="00424D6C"/>
    <w:rsid w:val="00425AC0"/>
    <w:rsid w:val="00425B13"/>
    <w:rsid w:val="0042631A"/>
    <w:rsid w:val="0042660C"/>
    <w:rsid w:val="0042762F"/>
    <w:rsid w:val="004279F9"/>
    <w:rsid w:val="00427DC7"/>
    <w:rsid w:val="00427F23"/>
    <w:rsid w:val="00430712"/>
    <w:rsid w:val="00431613"/>
    <w:rsid w:val="00431792"/>
    <w:rsid w:val="00432134"/>
    <w:rsid w:val="0043297A"/>
    <w:rsid w:val="004329C3"/>
    <w:rsid w:val="00432A7A"/>
    <w:rsid w:val="00432EB2"/>
    <w:rsid w:val="0043353B"/>
    <w:rsid w:val="0043357C"/>
    <w:rsid w:val="00433913"/>
    <w:rsid w:val="0043481B"/>
    <w:rsid w:val="00436109"/>
    <w:rsid w:val="0043644C"/>
    <w:rsid w:val="00436943"/>
    <w:rsid w:val="00436975"/>
    <w:rsid w:val="00436BC9"/>
    <w:rsid w:val="0043714F"/>
    <w:rsid w:val="00437350"/>
    <w:rsid w:val="004407A4"/>
    <w:rsid w:val="00441A99"/>
    <w:rsid w:val="004422F9"/>
    <w:rsid w:val="004425BA"/>
    <w:rsid w:val="00442DD7"/>
    <w:rsid w:val="00443006"/>
    <w:rsid w:val="004433CB"/>
    <w:rsid w:val="0044376E"/>
    <w:rsid w:val="004438B5"/>
    <w:rsid w:val="00443EF7"/>
    <w:rsid w:val="00443FE1"/>
    <w:rsid w:val="0044431F"/>
    <w:rsid w:val="0044459A"/>
    <w:rsid w:val="00445322"/>
    <w:rsid w:val="00447017"/>
    <w:rsid w:val="00447037"/>
    <w:rsid w:val="0044795E"/>
    <w:rsid w:val="00450F09"/>
    <w:rsid w:val="0045124D"/>
    <w:rsid w:val="00451421"/>
    <w:rsid w:val="004517E2"/>
    <w:rsid w:val="00451853"/>
    <w:rsid w:val="0045213A"/>
    <w:rsid w:val="00452255"/>
    <w:rsid w:val="00452405"/>
    <w:rsid w:val="0045279D"/>
    <w:rsid w:val="004528B2"/>
    <w:rsid w:val="00452F14"/>
    <w:rsid w:val="0045333F"/>
    <w:rsid w:val="00453D80"/>
    <w:rsid w:val="004543F3"/>
    <w:rsid w:val="00454596"/>
    <w:rsid w:val="00454E57"/>
    <w:rsid w:val="00455F56"/>
    <w:rsid w:val="0045605D"/>
    <w:rsid w:val="0045634B"/>
    <w:rsid w:val="00456416"/>
    <w:rsid w:val="0045661F"/>
    <w:rsid w:val="00456658"/>
    <w:rsid w:val="00456B60"/>
    <w:rsid w:val="00457697"/>
    <w:rsid w:val="0046089B"/>
    <w:rsid w:val="0046135B"/>
    <w:rsid w:val="004616F8"/>
    <w:rsid w:val="00461D47"/>
    <w:rsid w:val="00462CA9"/>
    <w:rsid w:val="00462E9D"/>
    <w:rsid w:val="00463167"/>
    <w:rsid w:val="0046365F"/>
    <w:rsid w:val="00464047"/>
    <w:rsid w:val="00464177"/>
    <w:rsid w:val="004642C7"/>
    <w:rsid w:val="00464BA5"/>
    <w:rsid w:val="0046577B"/>
    <w:rsid w:val="00465C77"/>
    <w:rsid w:val="00466145"/>
    <w:rsid w:val="0046640C"/>
    <w:rsid w:val="00466861"/>
    <w:rsid w:val="00466AFF"/>
    <w:rsid w:val="00467882"/>
    <w:rsid w:val="00470471"/>
    <w:rsid w:val="00470B92"/>
    <w:rsid w:val="00470CBF"/>
    <w:rsid w:val="00470D02"/>
    <w:rsid w:val="00471563"/>
    <w:rsid w:val="004716A5"/>
    <w:rsid w:val="004718CC"/>
    <w:rsid w:val="00471ACD"/>
    <w:rsid w:val="00471C55"/>
    <w:rsid w:val="004721F0"/>
    <w:rsid w:val="00472447"/>
    <w:rsid w:val="00472CF4"/>
    <w:rsid w:val="0047330A"/>
    <w:rsid w:val="004733F3"/>
    <w:rsid w:val="00473460"/>
    <w:rsid w:val="00473BF8"/>
    <w:rsid w:val="00474B6E"/>
    <w:rsid w:val="00475401"/>
    <w:rsid w:val="00475410"/>
    <w:rsid w:val="0047611D"/>
    <w:rsid w:val="00476322"/>
    <w:rsid w:val="00476753"/>
    <w:rsid w:val="0047684A"/>
    <w:rsid w:val="00476CAD"/>
    <w:rsid w:val="00476F50"/>
    <w:rsid w:val="004804AD"/>
    <w:rsid w:val="00480B5C"/>
    <w:rsid w:val="00480F47"/>
    <w:rsid w:val="00481695"/>
    <w:rsid w:val="0048211A"/>
    <w:rsid w:val="00482269"/>
    <w:rsid w:val="0048248B"/>
    <w:rsid w:val="0048250A"/>
    <w:rsid w:val="004835C8"/>
    <w:rsid w:val="00484A35"/>
    <w:rsid w:val="00484E05"/>
    <w:rsid w:val="00484F69"/>
    <w:rsid w:val="0048559C"/>
    <w:rsid w:val="00486022"/>
    <w:rsid w:val="004864E1"/>
    <w:rsid w:val="00486516"/>
    <w:rsid w:val="00486FF6"/>
    <w:rsid w:val="00487A2D"/>
    <w:rsid w:val="00487C89"/>
    <w:rsid w:val="00490314"/>
    <w:rsid w:val="004903BA"/>
    <w:rsid w:val="00490E55"/>
    <w:rsid w:val="00490F1D"/>
    <w:rsid w:val="0049162A"/>
    <w:rsid w:val="00492398"/>
    <w:rsid w:val="00492769"/>
    <w:rsid w:val="00492A84"/>
    <w:rsid w:val="0049480D"/>
    <w:rsid w:val="00494B66"/>
    <w:rsid w:val="004958BA"/>
    <w:rsid w:val="00495A96"/>
    <w:rsid w:val="00495BB3"/>
    <w:rsid w:val="00496F49"/>
    <w:rsid w:val="00497094"/>
    <w:rsid w:val="004970F5"/>
    <w:rsid w:val="00497256"/>
    <w:rsid w:val="004A044B"/>
    <w:rsid w:val="004A056F"/>
    <w:rsid w:val="004A073B"/>
    <w:rsid w:val="004A0ACF"/>
    <w:rsid w:val="004A0B5F"/>
    <w:rsid w:val="004A17EE"/>
    <w:rsid w:val="004A1832"/>
    <w:rsid w:val="004A1C53"/>
    <w:rsid w:val="004A2414"/>
    <w:rsid w:val="004A346B"/>
    <w:rsid w:val="004A3551"/>
    <w:rsid w:val="004A3601"/>
    <w:rsid w:val="004A401E"/>
    <w:rsid w:val="004A432D"/>
    <w:rsid w:val="004A4AE5"/>
    <w:rsid w:val="004A51F1"/>
    <w:rsid w:val="004A56BB"/>
    <w:rsid w:val="004A63C3"/>
    <w:rsid w:val="004A63D9"/>
    <w:rsid w:val="004A6B13"/>
    <w:rsid w:val="004A6DB1"/>
    <w:rsid w:val="004A6FD4"/>
    <w:rsid w:val="004A70D6"/>
    <w:rsid w:val="004A73F4"/>
    <w:rsid w:val="004A7AF8"/>
    <w:rsid w:val="004A7FDB"/>
    <w:rsid w:val="004B0CB3"/>
    <w:rsid w:val="004B0EE7"/>
    <w:rsid w:val="004B12D0"/>
    <w:rsid w:val="004B1751"/>
    <w:rsid w:val="004B19E4"/>
    <w:rsid w:val="004B1AB1"/>
    <w:rsid w:val="004B1DDC"/>
    <w:rsid w:val="004B20E7"/>
    <w:rsid w:val="004B2763"/>
    <w:rsid w:val="004B3239"/>
    <w:rsid w:val="004B39D5"/>
    <w:rsid w:val="004B4A7C"/>
    <w:rsid w:val="004B523A"/>
    <w:rsid w:val="004B529C"/>
    <w:rsid w:val="004B5DAB"/>
    <w:rsid w:val="004B5EFC"/>
    <w:rsid w:val="004B6C5B"/>
    <w:rsid w:val="004B6FC8"/>
    <w:rsid w:val="004B7C70"/>
    <w:rsid w:val="004B7D47"/>
    <w:rsid w:val="004B7ED1"/>
    <w:rsid w:val="004C00CC"/>
    <w:rsid w:val="004C0253"/>
    <w:rsid w:val="004C09CF"/>
    <w:rsid w:val="004C0ACE"/>
    <w:rsid w:val="004C0C16"/>
    <w:rsid w:val="004C1936"/>
    <w:rsid w:val="004C19B4"/>
    <w:rsid w:val="004C1DFF"/>
    <w:rsid w:val="004C214A"/>
    <w:rsid w:val="004C2B12"/>
    <w:rsid w:val="004C3608"/>
    <w:rsid w:val="004C373C"/>
    <w:rsid w:val="004C45E1"/>
    <w:rsid w:val="004C5042"/>
    <w:rsid w:val="004C52E2"/>
    <w:rsid w:val="004C55DE"/>
    <w:rsid w:val="004C5BA4"/>
    <w:rsid w:val="004C5E4E"/>
    <w:rsid w:val="004C6629"/>
    <w:rsid w:val="004C6E07"/>
    <w:rsid w:val="004D07AD"/>
    <w:rsid w:val="004D0EEF"/>
    <w:rsid w:val="004D1830"/>
    <w:rsid w:val="004D1B5A"/>
    <w:rsid w:val="004D1BC9"/>
    <w:rsid w:val="004D1F84"/>
    <w:rsid w:val="004D26A1"/>
    <w:rsid w:val="004D2829"/>
    <w:rsid w:val="004D341D"/>
    <w:rsid w:val="004D34C3"/>
    <w:rsid w:val="004D37FB"/>
    <w:rsid w:val="004D3919"/>
    <w:rsid w:val="004D397C"/>
    <w:rsid w:val="004D3982"/>
    <w:rsid w:val="004D3A15"/>
    <w:rsid w:val="004D3AF8"/>
    <w:rsid w:val="004D4124"/>
    <w:rsid w:val="004D4CAE"/>
    <w:rsid w:val="004D4E85"/>
    <w:rsid w:val="004D4E89"/>
    <w:rsid w:val="004D4EC2"/>
    <w:rsid w:val="004D56FF"/>
    <w:rsid w:val="004D5E23"/>
    <w:rsid w:val="004D6B14"/>
    <w:rsid w:val="004D768C"/>
    <w:rsid w:val="004D775D"/>
    <w:rsid w:val="004D7F1D"/>
    <w:rsid w:val="004E01D3"/>
    <w:rsid w:val="004E0DCB"/>
    <w:rsid w:val="004E0DFB"/>
    <w:rsid w:val="004E285C"/>
    <w:rsid w:val="004E2C4D"/>
    <w:rsid w:val="004E2CC1"/>
    <w:rsid w:val="004E2DCD"/>
    <w:rsid w:val="004E30C3"/>
    <w:rsid w:val="004E39D3"/>
    <w:rsid w:val="004E4206"/>
    <w:rsid w:val="004E4C07"/>
    <w:rsid w:val="004E508A"/>
    <w:rsid w:val="004E5467"/>
    <w:rsid w:val="004E5BE2"/>
    <w:rsid w:val="004E5EB9"/>
    <w:rsid w:val="004E616D"/>
    <w:rsid w:val="004E643D"/>
    <w:rsid w:val="004E661D"/>
    <w:rsid w:val="004E6782"/>
    <w:rsid w:val="004E6788"/>
    <w:rsid w:val="004E6DB4"/>
    <w:rsid w:val="004E7B0C"/>
    <w:rsid w:val="004F02A2"/>
    <w:rsid w:val="004F0380"/>
    <w:rsid w:val="004F1BDE"/>
    <w:rsid w:val="004F1E9E"/>
    <w:rsid w:val="004F2050"/>
    <w:rsid w:val="004F29C1"/>
    <w:rsid w:val="004F2A0F"/>
    <w:rsid w:val="004F2CEE"/>
    <w:rsid w:val="004F2EAB"/>
    <w:rsid w:val="004F35D8"/>
    <w:rsid w:val="004F3DCD"/>
    <w:rsid w:val="004F3F89"/>
    <w:rsid w:val="004F4AAA"/>
    <w:rsid w:val="004F556E"/>
    <w:rsid w:val="004F591C"/>
    <w:rsid w:val="004F6CFB"/>
    <w:rsid w:val="004F7281"/>
    <w:rsid w:val="004F7D1D"/>
    <w:rsid w:val="004F7F44"/>
    <w:rsid w:val="00500416"/>
    <w:rsid w:val="005011BB"/>
    <w:rsid w:val="00501D11"/>
    <w:rsid w:val="005024CA"/>
    <w:rsid w:val="005034AA"/>
    <w:rsid w:val="005035AB"/>
    <w:rsid w:val="005037B4"/>
    <w:rsid w:val="00505C48"/>
    <w:rsid w:val="0050654B"/>
    <w:rsid w:val="00506597"/>
    <w:rsid w:val="00506B9B"/>
    <w:rsid w:val="00507131"/>
    <w:rsid w:val="00507593"/>
    <w:rsid w:val="005076A8"/>
    <w:rsid w:val="005079BF"/>
    <w:rsid w:val="00507C2D"/>
    <w:rsid w:val="00510985"/>
    <w:rsid w:val="00510E3E"/>
    <w:rsid w:val="005125BD"/>
    <w:rsid w:val="0051269A"/>
    <w:rsid w:val="00512A38"/>
    <w:rsid w:val="00513243"/>
    <w:rsid w:val="0051352F"/>
    <w:rsid w:val="00513DFE"/>
    <w:rsid w:val="00513E98"/>
    <w:rsid w:val="00514C4B"/>
    <w:rsid w:val="00515285"/>
    <w:rsid w:val="0051554B"/>
    <w:rsid w:val="00515869"/>
    <w:rsid w:val="00515A4D"/>
    <w:rsid w:val="00516983"/>
    <w:rsid w:val="0051728D"/>
    <w:rsid w:val="00520171"/>
    <w:rsid w:val="00520397"/>
    <w:rsid w:val="0052053D"/>
    <w:rsid w:val="005213F5"/>
    <w:rsid w:val="005219E3"/>
    <w:rsid w:val="005219E7"/>
    <w:rsid w:val="00521E55"/>
    <w:rsid w:val="005222F7"/>
    <w:rsid w:val="00522BBC"/>
    <w:rsid w:val="00524839"/>
    <w:rsid w:val="005253A9"/>
    <w:rsid w:val="005256F8"/>
    <w:rsid w:val="005259A0"/>
    <w:rsid w:val="005262C3"/>
    <w:rsid w:val="00526D3C"/>
    <w:rsid w:val="0052725E"/>
    <w:rsid w:val="005306E1"/>
    <w:rsid w:val="00531A65"/>
    <w:rsid w:val="00531B9A"/>
    <w:rsid w:val="00531D15"/>
    <w:rsid w:val="00531D65"/>
    <w:rsid w:val="00532283"/>
    <w:rsid w:val="00532D43"/>
    <w:rsid w:val="005332AF"/>
    <w:rsid w:val="00533391"/>
    <w:rsid w:val="00533461"/>
    <w:rsid w:val="0053368A"/>
    <w:rsid w:val="005339D4"/>
    <w:rsid w:val="005351DE"/>
    <w:rsid w:val="00536016"/>
    <w:rsid w:val="005364A6"/>
    <w:rsid w:val="00536AAD"/>
    <w:rsid w:val="00536C69"/>
    <w:rsid w:val="00536CEB"/>
    <w:rsid w:val="00537604"/>
    <w:rsid w:val="005409AB"/>
    <w:rsid w:val="00541983"/>
    <w:rsid w:val="00541AB4"/>
    <w:rsid w:val="00541B04"/>
    <w:rsid w:val="00541CDE"/>
    <w:rsid w:val="00541CE6"/>
    <w:rsid w:val="0054203C"/>
    <w:rsid w:val="00542377"/>
    <w:rsid w:val="00542A85"/>
    <w:rsid w:val="00543F61"/>
    <w:rsid w:val="005443CB"/>
    <w:rsid w:val="00546685"/>
    <w:rsid w:val="00546A29"/>
    <w:rsid w:val="0054729E"/>
    <w:rsid w:val="00547383"/>
    <w:rsid w:val="0054755E"/>
    <w:rsid w:val="005476EB"/>
    <w:rsid w:val="00547E72"/>
    <w:rsid w:val="0055037E"/>
    <w:rsid w:val="00551782"/>
    <w:rsid w:val="00552C3E"/>
    <w:rsid w:val="0055319A"/>
    <w:rsid w:val="00553A3F"/>
    <w:rsid w:val="005540F9"/>
    <w:rsid w:val="00554A14"/>
    <w:rsid w:val="0055529C"/>
    <w:rsid w:val="00555740"/>
    <w:rsid w:val="00555B9D"/>
    <w:rsid w:val="005573B6"/>
    <w:rsid w:val="00557594"/>
    <w:rsid w:val="0055781F"/>
    <w:rsid w:val="0056065E"/>
    <w:rsid w:val="00560CCF"/>
    <w:rsid w:val="00560F82"/>
    <w:rsid w:val="00561934"/>
    <w:rsid w:val="00561CF7"/>
    <w:rsid w:val="00561D87"/>
    <w:rsid w:val="00563456"/>
    <w:rsid w:val="005639A2"/>
    <w:rsid w:val="00563E85"/>
    <w:rsid w:val="00563EF1"/>
    <w:rsid w:val="00563FE8"/>
    <w:rsid w:val="005640B7"/>
    <w:rsid w:val="005645CC"/>
    <w:rsid w:val="00564C41"/>
    <w:rsid w:val="00565252"/>
    <w:rsid w:val="00565726"/>
    <w:rsid w:val="00565844"/>
    <w:rsid w:val="00565A28"/>
    <w:rsid w:val="00565DA0"/>
    <w:rsid w:val="005665F6"/>
    <w:rsid w:val="00566641"/>
    <w:rsid w:val="00566AB4"/>
    <w:rsid w:val="00566E29"/>
    <w:rsid w:val="00567201"/>
    <w:rsid w:val="00567389"/>
    <w:rsid w:val="005676D8"/>
    <w:rsid w:val="00567737"/>
    <w:rsid w:val="00567924"/>
    <w:rsid w:val="00570386"/>
    <w:rsid w:val="00571FEA"/>
    <w:rsid w:val="005723D8"/>
    <w:rsid w:val="005726BE"/>
    <w:rsid w:val="005729C8"/>
    <w:rsid w:val="00572A5B"/>
    <w:rsid w:val="00572BF1"/>
    <w:rsid w:val="005730C8"/>
    <w:rsid w:val="005731B8"/>
    <w:rsid w:val="005733EC"/>
    <w:rsid w:val="00573812"/>
    <w:rsid w:val="00573E24"/>
    <w:rsid w:val="00574859"/>
    <w:rsid w:val="005752E5"/>
    <w:rsid w:val="00575407"/>
    <w:rsid w:val="00575662"/>
    <w:rsid w:val="00575848"/>
    <w:rsid w:val="00575AC5"/>
    <w:rsid w:val="00575DD1"/>
    <w:rsid w:val="0057605D"/>
    <w:rsid w:val="00576421"/>
    <w:rsid w:val="005773F2"/>
    <w:rsid w:val="00577D1F"/>
    <w:rsid w:val="005800D8"/>
    <w:rsid w:val="00580637"/>
    <w:rsid w:val="00581347"/>
    <w:rsid w:val="00581AC9"/>
    <w:rsid w:val="00581D7C"/>
    <w:rsid w:val="0058421C"/>
    <w:rsid w:val="005845D3"/>
    <w:rsid w:val="0058474F"/>
    <w:rsid w:val="005849F8"/>
    <w:rsid w:val="00584B51"/>
    <w:rsid w:val="00585CF6"/>
    <w:rsid w:val="00585FCC"/>
    <w:rsid w:val="005864B3"/>
    <w:rsid w:val="0058698F"/>
    <w:rsid w:val="0058721C"/>
    <w:rsid w:val="00587291"/>
    <w:rsid w:val="005874FD"/>
    <w:rsid w:val="00590F67"/>
    <w:rsid w:val="00591425"/>
    <w:rsid w:val="0059155C"/>
    <w:rsid w:val="00591A6F"/>
    <w:rsid w:val="00591A70"/>
    <w:rsid w:val="00591F58"/>
    <w:rsid w:val="00592308"/>
    <w:rsid w:val="005925A3"/>
    <w:rsid w:val="00592B84"/>
    <w:rsid w:val="00592D5E"/>
    <w:rsid w:val="00592F5A"/>
    <w:rsid w:val="00593396"/>
    <w:rsid w:val="005938DF"/>
    <w:rsid w:val="00594406"/>
    <w:rsid w:val="00594BEA"/>
    <w:rsid w:val="00594E9C"/>
    <w:rsid w:val="005953C7"/>
    <w:rsid w:val="00595529"/>
    <w:rsid w:val="00595632"/>
    <w:rsid w:val="00595D88"/>
    <w:rsid w:val="00595F92"/>
    <w:rsid w:val="00596F19"/>
    <w:rsid w:val="005A06D5"/>
    <w:rsid w:val="005A099B"/>
    <w:rsid w:val="005A154B"/>
    <w:rsid w:val="005A1962"/>
    <w:rsid w:val="005A1C0B"/>
    <w:rsid w:val="005A1D35"/>
    <w:rsid w:val="005A1FC4"/>
    <w:rsid w:val="005A2A91"/>
    <w:rsid w:val="005A2D9C"/>
    <w:rsid w:val="005A3262"/>
    <w:rsid w:val="005A39CC"/>
    <w:rsid w:val="005A40D3"/>
    <w:rsid w:val="005A4B36"/>
    <w:rsid w:val="005A4CF0"/>
    <w:rsid w:val="005A4F35"/>
    <w:rsid w:val="005A4FF6"/>
    <w:rsid w:val="005A5256"/>
    <w:rsid w:val="005A5268"/>
    <w:rsid w:val="005A5586"/>
    <w:rsid w:val="005A55FE"/>
    <w:rsid w:val="005A5739"/>
    <w:rsid w:val="005A57CC"/>
    <w:rsid w:val="005A5B72"/>
    <w:rsid w:val="005A5C84"/>
    <w:rsid w:val="005A5E32"/>
    <w:rsid w:val="005A6A11"/>
    <w:rsid w:val="005A6A2E"/>
    <w:rsid w:val="005A6AC5"/>
    <w:rsid w:val="005A6E77"/>
    <w:rsid w:val="005A6ECC"/>
    <w:rsid w:val="005B0210"/>
    <w:rsid w:val="005B0D85"/>
    <w:rsid w:val="005B14F4"/>
    <w:rsid w:val="005B25E9"/>
    <w:rsid w:val="005B29BC"/>
    <w:rsid w:val="005B2C21"/>
    <w:rsid w:val="005B2F0D"/>
    <w:rsid w:val="005B34A3"/>
    <w:rsid w:val="005B37AF"/>
    <w:rsid w:val="005B3C1D"/>
    <w:rsid w:val="005B3E66"/>
    <w:rsid w:val="005B4AED"/>
    <w:rsid w:val="005B5FF9"/>
    <w:rsid w:val="005B6284"/>
    <w:rsid w:val="005B6461"/>
    <w:rsid w:val="005B69D1"/>
    <w:rsid w:val="005B6B49"/>
    <w:rsid w:val="005B6F28"/>
    <w:rsid w:val="005B777D"/>
    <w:rsid w:val="005B77BE"/>
    <w:rsid w:val="005B7FCC"/>
    <w:rsid w:val="005C002D"/>
    <w:rsid w:val="005C03F9"/>
    <w:rsid w:val="005C0418"/>
    <w:rsid w:val="005C050D"/>
    <w:rsid w:val="005C062F"/>
    <w:rsid w:val="005C1624"/>
    <w:rsid w:val="005C34EF"/>
    <w:rsid w:val="005C49DB"/>
    <w:rsid w:val="005C4AC7"/>
    <w:rsid w:val="005C4F4E"/>
    <w:rsid w:val="005C540C"/>
    <w:rsid w:val="005C6399"/>
    <w:rsid w:val="005C65E5"/>
    <w:rsid w:val="005C65F2"/>
    <w:rsid w:val="005C664C"/>
    <w:rsid w:val="005C671C"/>
    <w:rsid w:val="005C6781"/>
    <w:rsid w:val="005C7D94"/>
    <w:rsid w:val="005D0120"/>
    <w:rsid w:val="005D0630"/>
    <w:rsid w:val="005D0D93"/>
    <w:rsid w:val="005D16FE"/>
    <w:rsid w:val="005D1CD0"/>
    <w:rsid w:val="005D2369"/>
    <w:rsid w:val="005D2502"/>
    <w:rsid w:val="005D2A11"/>
    <w:rsid w:val="005D3AC2"/>
    <w:rsid w:val="005D3CC7"/>
    <w:rsid w:val="005D3DE2"/>
    <w:rsid w:val="005D40BB"/>
    <w:rsid w:val="005D412B"/>
    <w:rsid w:val="005D47F3"/>
    <w:rsid w:val="005D498C"/>
    <w:rsid w:val="005D49BF"/>
    <w:rsid w:val="005D4AA5"/>
    <w:rsid w:val="005D6F4E"/>
    <w:rsid w:val="005D7388"/>
    <w:rsid w:val="005D7C37"/>
    <w:rsid w:val="005D7C73"/>
    <w:rsid w:val="005E01BF"/>
    <w:rsid w:val="005E0968"/>
    <w:rsid w:val="005E0B03"/>
    <w:rsid w:val="005E0C02"/>
    <w:rsid w:val="005E1104"/>
    <w:rsid w:val="005E12EA"/>
    <w:rsid w:val="005E1C99"/>
    <w:rsid w:val="005E23D8"/>
    <w:rsid w:val="005E250B"/>
    <w:rsid w:val="005E25A1"/>
    <w:rsid w:val="005E2940"/>
    <w:rsid w:val="005E35C7"/>
    <w:rsid w:val="005E3A14"/>
    <w:rsid w:val="005E3ACD"/>
    <w:rsid w:val="005E41F5"/>
    <w:rsid w:val="005E44E6"/>
    <w:rsid w:val="005E4E97"/>
    <w:rsid w:val="005E5956"/>
    <w:rsid w:val="005E6507"/>
    <w:rsid w:val="005E6EAB"/>
    <w:rsid w:val="005E7226"/>
    <w:rsid w:val="005E77C5"/>
    <w:rsid w:val="005E7A57"/>
    <w:rsid w:val="005F02B7"/>
    <w:rsid w:val="005F0780"/>
    <w:rsid w:val="005F2156"/>
    <w:rsid w:val="005F24B0"/>
    <w:rsid w:val="005F2AB8"/>
    <w:rsid w:val="005F2E97"/>
    <w:rsid w:val="005F3563"/>
    <w:rsid w:val="005F35B1"/>
    <w:rsid w:val="005F43F1"/>
    <w:rsid w:val="005F49C7"/>
    <w:rsid w:val="005F5191"/>
    <w:rsid w:val="005F6B53"/>
    <w:rsid w:val="005F6ECD"/>
    <w:rsid w:val="005F6F8A"/>
    <w:rsid w:val="005F7747"/>
    <w:rsid w:val="00600097"/>
    <w:rsid w:val="0060114F"/>
    <w:rsid w:val="00601155"/>
    <w:rsid w:val="00602579"/>
    <w:rsid w:val="006025F6"/>
    <w:rsid w:val="00602617"/>
    <w:rsid w:val="00602EE9"/>
    <w:rsid w:val="006034E7"/>
    <w:rsid w:val="006037FE"/>
    <w:rsid w:val="00603CBE"/>
    <w:rsid w:val="0060426E"/>
    <w:rsid w:val="00604315"/>
    <w:rsid w:val="006043F0"/>
    <w:rsid w:val="00604425"/>
    <w:rsid w:val="0060482D"/>
    <w:rsid w:val="00604C59"/>
    <w:rsid w:val="00604E26"/>
    <w:rsid w:val="00604F34"/>
    <w:rsid w:val="0060523F"/>
    <w:rsid w:val="006052CF"/>
    <w:rsid w:val="0060670C"/>
    <w:rsid w:val="00606836"/>
    <w:rsid w:val="00606884"/>
    <w:rsid w:val="00607B8D"/>
    <w:rsid w:val="0061017E"/>
    <w:rsid w:val="00611486"/>
    <w:rsid w:val="006116A0"/>
    <w:rsid w:val="00611F5C"/>
    <w:rsid w:val="00612306"/>
    <w:rsid w:val="00612748"/>
    <w:rsid w:val="00612C65"/>
    <w:rsid w:val="00612D7E"/>
    <w:rsid w:val="00613494"/>
    <w:rsid w:val="006138C5"/>
    <w:rsid w:val="00613BB6"/>
    <w:rsid w:val="00613C96"/>
    <w:rsid w:val="00614140"/>
    <w:rsid w:val="00614358"/>
    <w:rsid w:val="00614407"/>
    <w:rsid w:val="00614ABB"/>
    <w:rsid w:val="00614BF4"/>
    <w:rsid w:val="00615A77"/>
    <w:rsid w:val="00615B54"/>
    <w:rsid w:val="006161ED"/>
    <w:rsid w:val="0061625F"/>
    <w:rsid w:val="00616E09"/>
    <w:rsid w:val="00616E45"/>
    <w:rsid w:val="0061751F"/>
    <w:rsid w:val="00617862"/>
    <w:rsid w:val="00617A7F"/>
    <w:rsid w:val="00620AD2"/>
    <w:rsid w:val="00620B86"/>
    <w:rsid w:val="0062101E"/>
    <w:rsid w:val="006210B6"/>
    <w:rsid w:val="00621765"/>
    <w:rsid w:val="00621B6E"/>
    <w:rsid w:val="006225C2"/>
    <w:rsid w:val="00622A3B"/>
    <w:rsid w:val="00622C60"/>
    <w:rsid w:val="00622EEA"/>
    <w:rsid w:val="0062396C"/>
    <w:rsid w:val="00623977"/>
    <w:rsid w:val="00623FF9"/>
    <w:rsid w:val="00624223"/>
    <w:rsid w:val="0062437D"/>
    <w:rsid w:val="006248E3"/>
    <w:rsid w:val="00624FEA"/>
    <w:rsid w:val="00626FCD"/>
    <w:rsid w:val="006272E4"/>
    <w:rsid w:val="006274AF"/>
    <w:rsid w:val="00627D4E"/>
    <w:rsid w:val="0063017F"/>
    <w:rsid w:val="00631545"/>
    <w:rsid w:val="0063156F"/>
    <w:rsid w:val="00631B25"/>
    <w:rsid w:val="00632174"/>
    <w:rsid w:val="00632A60"/>
    <w:rsid w:val="00632B89"/>
    <w:rsid w:val="00633199"/>
    <w:rsid w:val="0063335A"/>
    <w:rsid w:val="0063346D"/>
    <w:rsid w:val="0063375F"/>
    <w:rsid w:val="00634478"/>
    <w:rsid w:val="006344B9"/>
    <w:rsid w:val="00634A00"/>
    <w:rsid w:val="00635407"/>
    <w:rsid w:val="0063561F"/>
    <w:rsid w:val="00635881"/>
    <w:rsid w:val="00635978"/>
    <w:rsid w:val="006365E8"/>
    <w:rsid w:val="00636A61"/>
    <w:rsid w:val="00636E71"/>
    <w:rsid w:val="00637C39"/>
    <w:rsid w:val="00640DC3"/>
    <w:rsid w:val="00641C22"/>
    <w:rsid w:val="00642283"/>
    <w:rsid w:val="00643153"/>
    <w:rsid w:val="0064320C"/>
    <w:rsid w:val="0064360D"/>
    <w:rsid w:val="00643727"/>
    <w:rsid w:val="006438B7"/>
    <w:rsid w:val="00643D99"/>
    <w:rsid w:val="00643EC6"/>
    <w:rsid w:val="00644324"/>
    <w:rsid w:val="00644373"/>
    <w:rsid w:val="00644545"/>
    <w:rsid w:val="006445CA"/>
    <w:rsid w:val="006456FE"/>
    <w:rsid w:val="00645862"/>
    <w:rsid w:val="00645915"/>
    <w:rsid w:val="006459D7"/>
    <w:rsid w:val="00645F2C"/>
    <w:rsid w:val="00645FFB"/>
    <w:rsid w:val="0064604A"/>
    <w:rsid w:val="006466CB"/>
    <w:rsid w:val="00646A48"/>
    <w:rsid w:val="00646CC4"/>
    <w:rsid w:val="00647269"/>
    <w:rsid w:val="0064772F"/>
    <w:rsid w:val="006478E1"/>
    <w:rsid w:val="00647947"/>
    <w:rsid w:val="006502A7"/>
    <w:rsid w:val="00650DA8"/>
    <w:rsid w:val="006519C3"/>
    <w:rsid w:val="00651C3D"/>
    <w:rsid w:val="00651FA8"/>
    <w:rsid w:val="00652335"/>
    <w:rsid w:val="00652460"/>
    <w:rsid w:val="00652488"/>
    <w:rsid w:val="00652B30"/>
    <w:rsid w:val="00652B4A"/>
    <w:rsid w:val="00652CEF"/>
    <w:rsid w:val="00653227"/>
    <w:rsid w:val="006538B6"/>
    <w:rsid w:val="0065399F"/>
    <w:rsid w:val="00653A8E"/>
    <w:rsid w:val="0065421F"/>
    <w:rsid w:val="00654D97"/>
    <w:rsid w:val="006561F8"/>
    <w:rsid w:val="00656345"/>
    <w:rsid w:val="0065635A"/>
    <w:rsid w:val="00656514"/>
    <w:rsid w:val="00656DC6"/>
    <w:rsid w:val="00656F78"/>
    <w:rsid w:val="00657D4F"/>
    <w:rsid w:val="006604FA"/>
    <w:rsid w:val="00660EC6"/>
    <w:rsid w:val="006611D5"/>
    <w:rsid w:val="0066310B"/>
    <w:rsid w:val="006631E8"/>
    <w:rsid w:val="00663301"/>
    <w:rsid w:val="00663A37"/>
    <w:rsid w:val="00663C29"/>
    <w:rsid w:val="00663FB3"/>
    <w:rsid w:val="00664110"/>
    <w:rsid w:val="0066454A"/>
    <w:rsid w:val="00664D17"/>
    <w:rsid w:val="00664E24"/>
    <w:rsid w:val="00665394"/>
    <w:rsid w:val="006655DF"/>
    <w:rsid w:val="00665C18"/>
    <w:rsid w:val="00665F20"/>
    <w:rsid w:val="006661B5"/>
    <w:rsid w:val="006664A4"/>
    <w:rsid w:val="00666520"/>
    <w:rsid w:val="006668B8"/>
    <w:rsid w:val="006668DB"/>
    <w:rsid w:val="006669CE"/>
    <w:rsid w:val="00666E20"/>
    <w:rsid w:val="006672CA"/>
    <w:rsid w:val="00667C5B"/>
    <w:rsid w:val="0067034D"/>
    <w:rsid w:val="0067039D"/>
    <w:rsid w:val="00670462"/>
    <w:rsid w:val="00670E5A"/>
    <w:rsid w:val="00670E78"/>
    <w:rsid w:val="00671E80"/>
    <w:rsid w:val="006720CB"/>
    <w:rsid w:val="00672EF3"/>
    <w:rsid w:val="006742BB"/>
    <w:rsid w:val="006743B6"/>
    <w:rsid w:val="00674B07"/>
    <w:rsid w:val="006751C5"/>
    <w:rsid w:val="00675545"/>
    <w:rsid w:val="00675AE0"/>
    <w:rsid w:val="00675EDB"/>
    <w:rsid w:val="00676594"/>
    <w:rsid w:val="00676CFC"/>
    <w:rsid w:val="0067770B"/>
    <w:rsid w:val="00677BFB"/>
    <w:rsid w:val="00677F10"/>
    <w:rsid w:val="00680083"/>
    <w:rsid w:val="00680234"/>
    <w:rsid w:val="006802C0"/>
    <w:rsid w:val="00680CC2"/>
    <w:rsid w:val="00680DD8"/>
    <w:rsid w:val="00681449"/>
    <w:rsid w:val="00681CB9"/>
    <w:rsid w:val="00681FFA"/>
    <w:rsid w:val="00682A66"/>
    <w:rsid w:val="0068332A"/>
    <w:rsid w:val="00683642"/>
    <w:rsid w:val="00684012"/>
    <w:rsid w:val="00684EAC"/>
    <w:rsid w:val="00685BC2"/>
    <w:rsid w:val="00685C33"/>
    <w:rsid w:val="00685D8B"/>
    <w:rsid w:val="00686303"/>
    <w:rsid w:val="006868E6"/>
    <w:rsid w:val="00686BAE"/>
    <w:rsid w:val="006905B1"/>
    <w:rsid w:val="00690718"/>
    <w:rsid w:val="00690D81"/>
    <w:rsid w:val="00690E89"/>
    <w:rsid w:val="00691EB8"/>
    <w:rsid w:val="00692297"/>
    <w:rsid w:val="0069231E"/>
    <w:rsid w:val="00692CDE"/>
    <w:rsid w:val="0069301A"/>
    <w:rsid w:val="00693073"/>
    <w:rsid w:val="0069425B"/>
    <w:rsid w:val="00694F75"/>
    <w:rsid w:val="00695201"/>
    <w:rsid w:val="006958E7"/>
    <w:rsid w:val="00696F40"/>
    <w:rsid w:val="006977FF"/>
    <w:rsid w:val="00697E64"/>
    <w:rsid w:val="00697FDC"/>
    <w:rsid w:val="006A01FA"/>
    <w:rsid w:val="006A0600"/>
    <w:rsid w:val="006A0E88"/>
    <w:rsid w:val="006A0E9E"/>
    <w:rsid w:val="006A108D"/>
    <w:rsid w:val="006A1F61"/>
    <w:rsid w:val="006A2328"/>
    <w:rsid w:val="006A25C7"/>
    <w:rsid w:val="006A25EE"/>
    <w:rsid w:val="006A29A5"/>
    <w:rsid w:val="006A2AF1"/>
    <w:rsid w:val="006A2D63"/>
    <w:rsid w:val="006A30C4"/>
    <w:rsid w:val="006A359D"/>
    <w:rsid w:val="006A3853"/>
    <w:rsid w:val="006A3C86"/>
    <w:rsid w:val="006A3ECF"/>
    <w:rsid w:val="006A4190"/>
    <w:rsid w:val="006A4A90"/>
    <w:rsid w:val="006A4AAD"/>
    <w:rsid w:val="006A4CCA"/>
    <w:rsid w:val="006A4F2E"/>
    <w:rsid w:val="006A51BD"/>
    <w:rsid w:val="006A598C"/>
    <w:rsid w:val="006A5ED4"/>
    <w:rsid w:val="006A6049"/>
    <w:rsid w:val="006A6DA2"/>
    <w:rsid w:val="006A70D2"/>
    <w:rsid w:val="006A7AB2"/>
    <w:rsid w:val="006B0765"/>
    <w:rsid w:val="006B085A"/>
    <w:rsid w:val="006B0912"/>
    <w:rsid w:val="006B1BEF"/>
    <w:rsid w:val="006B20C8"/>
    <w:rsid w:val="006B24DA"/>
    <w:rsid w:val="006B2808"/>
    <w:rsid w:val="006B3862"/>
    <w:rsid w:val="006B460C"/>
    <w:rsid w:val="006B465D"/>
    <w:rsid w:val="006B4E17"/>
    <w:rsid w:val="006B4F64"/>
    <w:rsid w:val="006B52DE"/>
    <w:rsid w:val="006B5717"/>
    <w:rsid w:val="006B582F"/>
    <w:rsid w:val="006B59E8"/>
    <w:rsid w:val="006B5CB0"/>
    <w:rsid w:val="006B5EB2"/>
    <w:rsid w:val="006B6070"/>
    <w:rsid w:val="006B61A7"/>
    <w:rsid w:val="006B6DF0"/>
    <w:rsid w:val="006B6EC1"/>
    <w:rsid w:val="006B70B9"/>
    <w:rsid w:val="006B7CBD"/>
    <w:rsid w:val="006B7F93"/>
    <w:rsid w:val="006B7FF1"/>
    <w:rsid w:val="006C02AE"/>
    <w:rsid w:val="006C083D"/>
    <w:rsid w:val="006C0878"/>
    <w:rsid w:val="006C0C70"/>
    <w:rsid w:val="006C0CEB"/>
    <w:rsid w:val="006C11DC"/>
    <w:rsid w:val="006C1631"/>
    <w:rsid w:val="006C1828"/>
    <w:rsid w:val="006C2F65"/>
    <w:rsid w:val="006C3881"/>
    <w:rsid w:val="006C3B1E"/>
    <w:rsid w:val="006C442A"/>
    <w:rsid w:val="006C4686"/>
    <w:rsid w:val="006C47FD"/>
    <w:rsid w:val="006C49D0"/>
    <w:rsid w:val="006C4FA1"/>
    <w:rsid w:val="006C50FF"/>
    <w:rsid w:val="006C51A4"/>
    <w:rsid w:val="006C5473"/>
    <w:rsid w:val="006C55AA"/>
    <w:rsid w:val="006C5891"/>
    <w:rsid w:val="006C5C19"/>
    <w:rsid w:val="006C5D84"/>
    <w:rsid w:val="006C5E05"/>
    <w:rsid w:val="006C5FD4"/>
    <w:rsid w:val="006C6DBE"/>
    <w:rsid w:val="006C70A0"/>
    <w:rsid w:val="006C7C65"/>
    <w:rsid w:val="006D06EF"/>
    <w:rsid w:val="006D0A6F"/>
    <w:rsid w:val="006D0DCC"/>
    <w:rsid w:val="006D10AD"/>
    <w:rsid w:val="006D14F6"/>
    <w:rsid w:val="006D25D1"/>
    <w:rsid w:val="006D27CB"/>
    <w:rsid w:val="006D2C7C"/>
    <w:rsid w:val="006D2E96"/>
    <w:rsid w:val="006D2F08"/>
    <w:rsid w:val="006D3897"/>
    <w:rsid w:val="006D4374"/>
    <w:rsid w:val="006D4409"/>
    <w:rsid w:val="006D4572"/>
    <w:rsid w:val="006D5263"/>
    <w:rsid w:val="006D576C"/>
    <w:rsid w:val="006D5865"/>
    <w:rsid w:val="006D66F4"/>
    <w:rsid w:val="006D6980"/>
    <w:rsid w:val="006D6C21"/>
    <w:rsid w:val="006D7579"/>
    <w:rsid w:val="006D78B9"/>
    <w:rsid w:val="006E0716"/>
    <w:rsid w:val="006E1086"/>
    <w:rsid w:val="006E1B31"/>
    <w:rsid w:val="006E201F"/>
    <w:rsid w:val="006E3932"/>
    <w:rsid w:val="006E3DB0"/>
    <w:rsid w:val="006E44E4"/>
    <w:rsid w:val="006E4A3F"/>
    <w:rsid w:val="006E4B1B"/>
    <w:rsid w:val="006E4DAB"/>
    <w:rsid w:val="006E51ED"/>
    <w:rsid w:val="006E5445"/>
    <w:rsid w:val="006E5506"/>
    <w:rsid w:val="006E559A"/>
    <w:rsid w:val="006E61E0"/>
    <w:rsid w:val="006E7D93"/>
    <w:rsid w:val="006F00D4"/>
    <w:rsid w:val="006F0366"/>
    <w:rsid w:val="006F0B62"/>
    <w:rsid w:val="006F0EAE"/>
    <w:rsid w:val="006F0FC2"/>
    <w:rsid w:val="006F14AF"/>
    <w:rsid w:val="006F1EAC"/>
    <w:rsid w:val="006F2AA9"/>
    <w:rsid w:val="006F301A"/>
    <w:rsid w:val="006F3C38"/>
    <w:rsid w:val="006F435E"/>
    <w:rsid w:val="006F4C7C"/>
    <w:rsid w:val="006F4F4B"/>
    <w:rsid w:val="006F5618"/>
    <w:rsid w:val="006F56A5"/>
    <w:rsid w:val="006F581A"/>
    <w:rsid w:val="006F5FB0"/>
    <w:rsid w:val="006F612E"/>
    <w:rsid w:val="006F6F41"/>
    <w:rsid w:val="006F701C"/>
    <w:rsid w:val="006F702C"/>
    <w:rsid w:val="006F7052"/>
    <w:rsid w:val="006F70C7"/>
    <w:rsid w:val="006F789A"/>
    <w:rsid w:val="006F7F4D"/>
    <w:rsid w:val="006F7F77"/>
    <w:rsid w:val="0070008A"/>
    <w:rsid w:val="00700BB8"/>
    <w:rsid w:val="00700FBB"/>
    <w:rsid w:val="0070133D"/>
    <w:rsid w:val="00701A4E"/>
    <w:rsid w:val="00701CAA"/>
    <w:rsid w:val="00701D30"/>
    <w:rsid w:val="007021B8"/>
    <w:rsid w:val="007029A3"/>
    <w:rsid w:val="007039EC"/>
    <w:rsid w:val="007041BE"/>
    <w:rsid w:val="007047CA"/>
    <w:rsid w:val="00704B83"/>
    <w:rsid w:val="00704CE9"/>
    <w:rsid w:val="00704EDB"/>
    <w:rsid w:val="007057B0"/>
    <w:rsid w:val="00705A55"/>
    <w:rsid w:val="00706283"/>
    <w:rsid w:val="00706E4E"/>
    <w:rsid w:val="00707262"/>
    <w:rsid w:val="0070791C"/>
    <w:rsid w:val="00710138"/>
    <w:rsid w:val="00710A42"/>
    <w:rsid w:val="00710E2A"/>
    <w:rsid w:val="00712A80"/>
    <w:rsid w:val="00712F95"/>
    <w:rsid w:val="0071383C"/>
    <w:rsid w:val="007141A7"/>
    <w:rsid w:val="00714FD3"/>
    <w:rsid w:val="00715398"/>
    <w:rsid w:val="00715722"/>
    <w:rsid w:val="00715AD6"/>
    <w:rsid w:val="00715BA4"/>
    <w:rsid w:val="00715BAF"/>
    <w:rsid w:val="00716964"/>
    <w:rsid w:val="007170DB"/>
    <w:rsid w:val="007178FB"/>
    <w:rsid w:val="00720272"/>
    <w:rsid w:val="0072098D"/>
    <w:rsid w:val="007209EC"/>
    <w:rsid w:val="00720A02"/>
    <w:rsid w:val="00720E92"/>
    <w:rsid w:val="00721032"/>
    <w:rsid w:val="007212C9"/>
    <w:rsid w:val="00721995"/>
    <w:rsid w:val="00721B55"/>
    <w:rsid w:val="00723544"/>
    <w:rsid w:val="007238B3"/>
    <w:rsid w:val="00723939"/>
    <w:rsid w:val="00723DF6"/>
    <w:rsid w:val="00723F1B"/>
    <w:rsid w:val="00724DCE"/>
    <w:rsid w:val="00724FB1"/>
    <w:rsid w:val="007255A8"/>
    <w:rsid w:val="007269C4"/>
    <w:rsid w:val="00726CAD"/>
    <w:rsid w:val="00726CE4"/>
    <w:rsid w:val="00726F49"/>
    <w:rsid w:val="007279D5"/>
    <w:rsid w:val="00730100"/>
    <w:rsid w:val="007303C2"/>
    <w:rsid w:val="00730929"/>
    <w:rsid w:val="00730C86"/>
    <w:rsid w:val="00730D06"/>
    <w:rsid w:val="00730DC0"/>
    <w:rsid w:val="00730E8D"/>
    <w:rsid w:val="007318F0"/>
    <w:rsid w:val="007320E5"/>
    <w:rsid w:val="00732236"/>
    <w:rsid w:val="007324D1"/>
    <w:rsid w:val="00732D40"/>
    <w:rsid w:val="00733FB4"/>
    <w:rsid w:val="0073409B"/>
    <w:rsid w:val="00734143"/>
    <w:rsid w:val="00735594"/>
    <w:rsid w:val="007358F1"/>
    <w:rsid w:val="007359AF"/>
    <w:rsid w:val="00735BF2"/>
    <w:rsid w:val="00737200"/>
    <w:rsid w:val="00737395"/>
    <w:rsid w:val="007374DE"/>
    <w:rsid w:val="00737E47"/>
    <w:rsid w:val="00740EAC"/>
    <w:rsid w:val="007410BE"/>
    <w:rsid w:val="007417D6"/>
    <w:rsid w:val="00741FBE"/>
    <w:rsid w:val="00741FEA"/>
    <w:rsid w:val="0074287B"/>
    <w:rsid w:val="00743237"/>
    <w:rsid w:val="00744956"/>
    <w:rsid w:val="0074565C"/>
    <w:rsid w:val="00745A5C"/>
    <w:rsid w:val="0074605F"/>
    <w:rsid w:val="007467C3"/>
    <w:rsid w:val="00746AFD"/>
    <w:rsid w:val="0074702E"/>
    <w:rsid w:val="0074739B"/>
    <w:rsid w:val="00747635"/>
    <w:rsid w:val="00747A10"/>
    <w:rsid w:val="00747E94"/>
    <w:rsid w:val="00747F87"/>
    <w:rsid w:val="0075064D"/>
    <w:rsid w:val="007512C9"/>
    <w:rsid w:val="00752A21"/>
    <w:rsid w:val="0075365E"/>
    <w:rsid w:val="007538FA"/>
    <w:rsid w:val="00753CD8"/>
    <w:rsid w:val="00753F26"/>
    <w:rsid w:val="007542D5"/>
    <w:rsid w:val="007546A5"/>
    <w:rsid w:val="00754C83"/>
    <w:rsid w:val="007553C7"/>
    <w:rsid w:val="007558C6"/>
    <w:rsid w:val="00755E22"/>
    <w:rsid w:val="00756435"/>
    <w:rsid w:val="0075680B"/>
    <w:rsid w:val="00756C61"/>
    <w:rsid w:val="00756C84"/>
    <w:rsid w:val="00760093"/>
    <w:rsid w:val="00760BE9"/>
    <w:rsid w:val="00760C77"/>
    <w:rsid w:val="00761ABE"/>
    <w:rsid w:val="00761E5C"/>
    <w:rsid w:val="007620AB"/>
    <w:rsid w:val="00762640"/>
    <w:rsid w:val="00762878"/>
    <w:rsid w:val="007629FB"/>
    <w:rsid w:val="0076396A"/>
    <w:rsid w:val="00763B62"/>
    <w:rsid w:val="00763B76"/>
    <w:rsid w:val="00764D56"/>
    <w:rsid w:val="007654D0"/>
    <w:rsid w:val="00765837"/>
    <w:rsid w:val="00765DF8"/>
    <w:rsid w:val="0076634A"/>
    <w:rsid w:val="00766749"/>
    <w:rsid w:val="0076679D"/>
    <w:rsid w:val="00767220"/>
    <w:rsid w:val="007678A7"/>
    <w:rsid w:val="00767C1B"/>
    <w:rsid w:val="00767C68"/>
    <w:rsid w:val="00767FD9"/>
    <w:rsid w:val="0077008E"/>
    <w:rsid w:val="007708CA"/>
    <w:rsid w:val="00770B3F"/>
    <w:rsid w:val="00770BDA"/>
    <w:rsid w:val="00770CB3"/>
    <w:rsid w:val="00770FE4"/>
    <w:rsid w:val="007711BB"/>
    <w:rsid w:val="00771266"/>
    <w:rsid w:val="007714A9"/>
    <w:rsid w:val="00771894"/>
    <w:rsid w:val="00771A20"/>
    <w:rsid w:val="00771BFF"/>
    <w:rsid w:val="00771D28"/>
    <w:rsid w:val="00771FE0"/>
    <w:rsid w:val="0077223B"/>
    <w:rsid w:val="00772347"/>
    <w:rsid w:val="007725FB"/>
    <w:rsid w:val="00773231"/>
    <w:rsid w:val="0077333E"/>
    <w:rsid w:val="00774736"/>
    <w:rsid w:val="00774F88"/>
    <w:rsid w:val="00774FDB"/>
    <w:rsid w:val="00774FEF"/>
    <w:rsid w:val="00775FA1"/>
    <w:rsid w:val="00776005"/>
    <w:rsid w:val="00776D46"/>
    <w:rsid w:val="00776DA6"/>
    <w:rsid w:val="00777BA2"/>
    <w:rsid w:val="007807E4"/>
    <w:rsid w:val="00780865"/>
    <w:rsid w:val="00781408"/>
    <w:rsid w:val="007817F1"/>
    <w:rsid w:val="00781B19"/>
    <w:rsid w:val="00782431"/>
    <w:rsid w:val="0078273D"/>
    <w:rsid w:val="0078296A"/>
    <w:rsid w:val="00782A2D"/>
    <w:rsid w:val="00782C22"/>
    <w:rsid w:val="00782CC8"/>
    <w:rsid w:val="00782F36"/>
    <w:rsid w:val="00783D8F"/>
    <w:rsid w:val="00784B24"/>
    <w:rsid w:val="00784F7F"/>
    <w:rsid w:val="00785011"/>
    <w:rsid w:val="0078537F"/>
    <w:rsid w:val="0078542A"/>
    <w:rsid w:val="007859D3"/>
    <w:rsid w:val="007862D4"/>
    <w:rsid w:val="00786724"/>
    <w:rsid w:val="0078683D"/>
    <w:rsid w:val="00786BFD"/>
    <w:rsid w:val="00786DE4"/>
    <w:rsid w:val="00787521"/>
    <w:rsid w:val="007878BD"/>
    <w:rsid w:val="007904B8"/>
    <w:rsid w:val="007912C6"/>
    <w:rsid w:val="00791546"/>
    <w:rsid w:val="00791DDF"/>
    <w:rsid w:val="00791DF3"/>
    <w:rsid w:val="00792D45"/>
    <w:rsid w:val="007931D7"/>
    <w:rsid w:val="007936B6"/>
    <w:rsid w:val="007948F4"/>
    <w:rsid w:val="00794E1A"/>
    <w:rsid w:val="007950DF"/>
    <w:rsid w:val="00795438"/>
    <w:rsid w:val="00795DB5"/>
    <w:rsid w:val="00795EDF"/>
    <w:rsid w:val="00795FC3"/>
    <w:rsid w:val="0079633A"/>
    <w:rsid w:val="0079682E"/>
    <w:rsid w:val="00796D89"/>
    <w:rsid w:val="00796E00"/>
    <w:rsid w:val="00796F25"/>
    <w:rsid w:val="00797372"/>
    <w:rsid w:val="00797F41"/>
    <w:rsid w:val="007A08EF"/>
    <w:rsid w:val="007A123F"/>
    <w:rsid w:val="007A1779"/>
    <w:rsid w:val="007A2974"/>
    <w:rsid w:val="007A2E98"/>
    <w:rsid w:val="007A2F72"/>
    <w:rsid w:val="007A3782"/>
    <w:rsid w:val="007A396D"/>
    <w:rsid w:val="007A3BA3"/>
    <w:rsid w:val="007A41AA"/>
    <w:rsid w:val="007A4E3D"/>
    <w:rsid w:val="007A508E"/>
    <w:rsid w:val="007A54E4"/>
    <w:rsid w:val="007A63D8"/>
    <w:rsid w:val="007A6CC0"/>
    <w:rsid w:val="007A6CCC"/>
    <w:rsid w:val="007A7671"/>
    <w:rsid w:val="007A78A6"/>
    <w:rsid w:val="007A7FEC"/>
    <w:rsid w:val="007B0B34"/>
    <w:rsid w:val="007B1499"/>
    <w:rsid w:val="007B1BBF"/>
    <w:rsid w:val="007B2533"/>
    <w:rsid w:val="007B2960"/>
    <w:rsid w:val="007B2B93"/>
    <w:rsid w:val="007B355D"/>
    <w:rsid w:val="007B37E4"/>
    <w:rsid w:val="007B45F6"/>
    <w:rsid w:val="007B4CA4"/>
    <w:rsid w:val="007B4F31"/>
    <w:rsid w:val="007B5C67"/>
    <w:rsid w:val="007B5C6D"/>
    <w:rsid w:val="007B634F"/>
    <w:rsid w:val="007B7629"/>
    <w:rsid w:val="007B7980"/>
    <w:rsid w:val="007C0C04"/>
    <w:rsid w:val="007C0CBA"/>
    <w:rsid w:val="007C0DEF"/>
    <w:rsid w:val="007C169C"/>
    <w:rsid w:val="007C1AF4"/>
    <w:rsid w:val="007C2019"/>
    <w:rsid w:val="007C2279"/>
    <w:rsid w:val="007C2D46"/>
    <w:rsid w:val="007C3175"/>
    <w:rsid w:val="007C32CB"/>
    <w:rsid w:val="007C36CC"/>
    <w:rsid w:val="007C3D04"/>
    <w:rsid w:val="007C4443"/>
    <w:rsid w:val="007C4A61"/>
    <w:rsid w:val="007C4A89"/>
    <w:rsid w:val="007C4E95"/>
    <w:rsid w:val="007C5429"/>
    <w:rsid w:val="007C5AB4"/>
    <w:rsid w:val="007C5C77"/>
    <w:rsid w:val="007C5D5A"/>
    <w:rsid w:val="007C607F"/>
    <w:rsid w:val="007C619C"/>
    <w:rsid w:val="007C6660"/>
    <w:rsid w:val="007C78C9"/>
    <w:rsid w:val="007C79DD"/>
    <w:rsid w:val="007C7E7D"/>
    <w:rsid w:val="007C7F43"/>
    <w:rsid w:val="007D04A2"/>
    <w:rsid w:val="007D08A2"/>
    <w:rsid w:val="007D09DB"/>
    <w:rsid w:val="007D0D0A"/>
    <w:rsid w:val="007D14BA"/>
    <w:rsid w:val="007D167A"/>
    <w:rsid w:val="007D1A97"/>
    <w:rsid w:val="007D1D42"/>
    <w:rsid w:val="007D1DE5"/>
    <w:rsid w:val="007D206B"/>
    <w:rsid w:val="007D21DF"/>
    <w:rsid w:val="007D2CD6"/>
    <w:rsid w:val="007D3063"/>
    <w:rsid w:val="007D3957"/>
    <w:rsid w:val="007D3CEB"/>
    <w:rsid w:val="007D43B1"/>
    <w:rsid w:val="007D540A"/>
    <w:rsid w:val="007D61C4"/>
    <w:rsid w:val="007D6311"/>
    <w:rsid w:val="007D6FF8"/>
    <w:rsid w:val="007D7220"/>
    <w:rsid w:val="007D7A34"/>
    <w:rsid w:val="007D7B6D"/>
    <w:rsid w:val="007D7FF5"/>
    <w:rsid w:val="007E00EC"/>
    <w:rsid w:val="007E04E3"/>
    <w:rsid w:val="007E071A"/>
    <w:rsid w:val="007E08C5"/>
    <w:rsid w:val="007E147B"/>
    <w:rsid w:val="007E1AB7"/>
    <w:rsid w:val="007E2C14"/>
    <w:rsid w:val="007E30DB"/>
    <w:rsid w:val="007E35CA"/>
    <w:rsid w:val="007E395C"/>
    <w:rsid w:val="007E5C5F"/>
    <w:rsid w:val="007E6055"/>
    <w:rsid w:val="007E60C6"/>
    <w:rsid w:val="007E6516"/>
    <w:rsid w:val="007E6FEB"/>
    <w:rsid w:val="007E7298"/>
    <w:rsid w:val="007E757D"/>
    <w:rsid w:val="007E7683"/>
    <w:rsid w:val="007F070D"/>
    <w:rsid w:val="007F10B7"/>
    <w:rsid w:val="007F1385"/>
    <w:rsid w:val="007F1828"/>
    <w:rsid w:val="007F1CFC"/>
    <w:rsid w:val="007F1D9F"/>
    <w:rsid w:val="007F30E7"/>
    <w:rsid w:val="007F3432"/>
    <w:rsid w:val="007F3A64"/>
    <w:rsid w:val="007F43AD"/>
    <w:rsid w:val="007F49FA"/>
    <w:rsid w:val="007F5100"/>
    <w:rsid w:val="007F54C4"/>
    <w:rsid w:val="007F5541"/>
    <w:rsid w:val="007F6800"/>
    <w:rsid w:val="007F6AF8"/>
    <w:rsid w:val="007F6E9A"/>
    <w:rsid w:val="007F7618"/>
    <w:rsid w:val="00800CCD"/>
    <w:rsid w:val="00801FEB"/>
    <w:rsid w:val="008021B2"/>
    <w:rsid w:val="008024ED"/>
    <w:rsid w:val="00802629"/>
    <w:rsid w:val="00802AFC"/>
    <w:rsid w:val="00803379"/>
    <w:rsid w:val="008036ED"/>
    <w:rsid w:val="00803B5E"/>
    <w:rsid w:val="00803EC3"/>
    <w:rsid w:val="008044D4"/>
    <w:rsid w:val="008049DA"/>
    <w:rsid w:val="00804CA1"/>
    <w:rsid w:val="00804D23"/>
    <w:rsid w:val="0080627C"/>
    <w:rsid w:val="00806775"/>
    <w:rsid w:val="008067BE"/>
    <w:rsid w:val="00806EA9"/>
    <w:rsid w:val="00807013"/>
    <w:rsid w:val="00807D69"/>
    <w:rsid w:val="00807E46"/>
    <w:rsid w:val="00810055"/>
    <w:rsid w:val="00810AB4"/>
    <w:rsid w:val="00811161"/>
    <w:rsid w:val="0081135B"/>
    <w:rsid w:val="0081187B"/>
    <w:rsid w:val="00812724"/>
    <w:rsid w:val="0081378D"/>
    <w:rsid w:val="00813D83"/>
    <w:rsid w:val="00813E13"/>
    <w:rsid w:val="00814C4D"/>
    <w:rsid w:val="00815402"/>
    <w:rsid w:val="00815B9F"/>
    <w:rsid w:val="0081683A"/>
    <w:rsid w:val="0081734E"/>
    <w:rsid w:val="0081742B"/>
    <w:rsid w:val="00817B3F"/>
    <w:rsid w:val="00817B56"/>
    <w:rsid w:val="0082098D"/>
    <w:rsid w:val="00820AE7"/>
    <w:rsid w:val="00820E8B"/>
    <w:rsid w:val="008211C7"/>
    <w:rsid w:val="00821A88"/>
    <w:rsid w:val="00822191"/>
    <w:rsid w:val="008223EB"/>
    <w:rsid w:val="0082248E"/>
    <w:rsid w:val="008231A1"/>
    <w:rsid w:val="0082322E"/>
    <w:rsid w:val="008236B9"/>
    <w:rsid w:val="0082391F"/>
    <w:rsid w:val="0082495D"/>
    <w:rsid w:val="00824EBB"/>
    <w:rsid w:val="00825B82"/>
    <w:rsid w:val="00825DF5"/>
    <w:rsid w:val="0082651A"/>
    <w:rsid w:val="00826C32"/>
    <w:rsid w:val="00827755"/>
    <w:rsid w:val="0083026A"/>
    <w:rsid w:val="008307AA"/>
    <w:rsid w:val="00830D6D"/>
    <w:rsid w:val="00831456"/>
    <w:rsid w:val="0083175F"/>
    <w:rsid w:val="00831AC3"/>
    <w:rsid w:val="00831ADB"/>
    <w:rsid w:val="00831FCD"/>
    <w:rsid w:val="00832C1D"/>
    <w:rsid w:val="008333FD"/>
    <w:rsid w:val="00834257"/>
    <w:rsid w:val="00834834"/>
    <w:rsid w:val="00834CFD"/>
    <w:rsid w:val="00834E00"/>
    <w:rsid w:val="00835EB8"/>
    <w:rsid w:val="008364F5"/>
    <w:rsid w:val="00836618"/>
    <w:rsid w:val="00836FCE"/>
    <w:rsid w:val="00837072"/>
    <w:rsid w:val="0084084B"/>
    <w:rsid w:val="008408FF"/>
    <w:rsid w:val="00840A15"/>
    <w:rsid w:val="00840D69"/>
    <w:rsid w:val="00840DD9"/>
    <w:rsid w:val="00841077"/>
    <w:rsid w:val="00841BFC"/>
    <w:rsid w:val="00841E16"/>
    <w:rsid w:val="00842141"/>
    <w:rsid w:val="00842D62"/>
    <w:rsid w:val="00843707"/>
    <w:rsid w:val="00843C9C"/>
    <w:rsid w:val="008445D2"/>
    <w:rsid w:val="00845F53"/>
    <w:rsid w:val="00846104"/>
    <w:rsid w:val="00846A00"/>
    <w:rsid w:val="00846BC5"/>
    <w:rsid w:val="00846E4E"/>
    <w:rsid w:val="00846F96"/>
    <w:rsid w:val="00847044"/>
    <w:rsid w:val="00847BAA"/>
    <w:rsid w:val="008500E5"/>
    <w:rsid w:val="00850393"/>
    <w:rsid w:val="008506BC"/>
    <w:rsid w:val="00850E44"/>
    <w:rsid w:val="00850E93"/>
    <w:rsid w:val="00851114"/>
    <w:rsid w:val="008518CF"/>
    <w:rsid w:val="00851A8D"/>
    <w:rsid w:val="00851F3F"/>
    <w:rsid w:val="008521CA"/>
    <w:rsid w:val="008522FF"/>
    <w:rsid w:val="008525E3"/>
    <w:rsid w:val="008527BB"/>
    <w:rsid w:val="0085312E"/>
    <w:rsid w:val="00853C3B"/>
    <w:rsid w:val="0085462E"/>
    <w:rsid w:val="0085464E"/>
    <w:rsid w:val="00854B2C"/>
    <w:rsid w:val="00854EF5"/>
    <w:rsid w:val="00854F01"/>
    <w:rsid w:val="00855078"/>
    <w:rsid w:val="00855F24"/>
    <w:rsid w:val="0085611A"/>
    <w:rsid w:val="008565DB"/>
    <w:rsid w:val="00856CE3"/>
    <w:rsid w:val="00856E0B"/>
    <w:rsid w:val="00856EDC"/>
    <w:rsid w:val="0085711C"/>
    <w:rsid w:val="00857B2C"/>
    <w:rsid w:val="0086003C"/>
    <w:rsid w:val="0086032D"/>
    <w:rsid w:val="00862043"/>
    <w:rsid w:val="008622A9"/>
    <w:rsid w:val="008623B5"/>
    <w:rsid w:val="00862A0A"/>
    <w:rsid w:val="00863310"/>
    <w:rsid w:val="00863D90"/>
    <w:rsid w:val="0086588F"/>
    <w:rsid w:val="008663C1"/>
    <w:rsid w:val="008675CE"/>
    <w:rsid w:val="00870ABA"/>
    <w:rsid w:val="008710E1"/>
    <w:rsid w:val="008715EF"/>
    <w:rsid w:val="008716E5"/>
    <w:rsid w:val="008719D4"/>
    <w:rsid w:val="00872733"/>
    <w:rsid w:val="00872F3E"/>
    <w:rsid w:val="00873B89"/>
    <w:rsid w:val="008742C6"/>
    <w:rsid w:val="008744C2"/>
    <w:rsid w:val="00874606"/>
    <w:rsid w:val="008748B9"/>
    <w:rsid w:val="00874949"/>
    <w:rsid w:val="00874F99"/>
    <w:rsid w:val="00876CB3"/>
    <w:rsid w:val="00876EE3"/>
    <w:rsid w:val="00877580"/>
    <w:rsid w:val="008775D3"/>
    <w:rsid w:val="008779E6"/>
    <w:rsid w:val="00877E5A"/>
    <w:rsid w:val="00877E9E"/>
    <w:rsid w:val="008800B3"/>
    <w:rsid w:val="008802CE"/>
    <w:rsid w:val="00880611"/>
    <w:rsid w:val="0088087B"/>
    <w:rsid w:val="00880A4C"/>
    <w:rsid w:val="00880E72"/>
    <w:rsid w:val="008810C9"/>
    <w:rsid w:val="00881344"/>
    <w:rsid w:val="008816C1"/>
    <w:rsid w:val="008816FF"/>
    <w:rsid w:val="00881CA9"/>
    <w:rsid w:val="0088240F"/>
    <w:rsid w:val="00883628"/>
    <w:rsid w:val="00883699"/>
    <w:rsid w:val="00883A0E"/>
    <w:rsid w:val="0088461F"/>
    <w:rsid w:val="008849A5"/>
    <w:rsid w:val="00884DD6"/>
    <w:rsid w:val="00885544"/>
    <w:rsid w:val="008855AE"/>
    <w:rsid w:val="00885686"/>
    <w:rsid w:val="0088634E"/>
    <w:rsid w:val="0088641A"/>
    <w:rsid w:val="00886A8D"/>
    <w:rsid w:val="00886AD0"/>
    <w:rsid w:val="00886B8A"/>
    <w:rsid w:val="0088712F"/>
    <w:rsid w:val="008877E9"/>
    <w:rsid w:val="00887E74"/>
    <w:rsid w:val="008903B3"/>
    <w:rsid w:val="00890509"/>
    <w:rsid w:val="00891309"/>
    <w:rsid w:val="00891665"/>
    <w:rsid w:val="00892256"/>
    <w:rsid w:val="00892519"/>
    <w:rsid w:val="00893895"/>
    <w:rsid w:val="00893AB8"/>
    <w:rsid w:val="00893B8C"/>
    <w:rsid w:val="00893D96"/>
    <w:rsid w:val="008945BC"/>
    <w:rsid w:val="0089471E"/>
    <w:rsid w:val="00894F85"/>
    <w:rsid w:val="008954F4"/>
    <w:rsid w:val="00895625"/>
    <w:rsid w:val="00895681"/>
    <w:rsid w:val="00896A48"/>
    <w:rsid w:val="00896BBA"/>
    <w:rsid w:val="00896BF4"/>
    <w:rsid w:val="0089702D"/>
    <w:rsid w:val="00897390"/>
    <w:rsid w:val="008975CD"/>
    <w:rsid w:val="00897A48"/>
    <w:rsid w:val="008A04C8"/>
    <w:rsid w:val="008A0649"/>
    <w:rsid w:val="008A0D1D"/>
    <w:rsid w:val="008A1857"/>
    <w:rsid w:val="008A1E78"/>
    <w:rsid w:val="008A268A"/>
    <w:rsid w:val="008A2A46"/>
    <w:rsid w:val="008A3DED"/>
    <w:rsid w:val="008A4066"/>
    <w:rsid w:val="008A43A7"/>
    <w:rsid w:val="008A4984"/>
    <w:rsid w:val="008A51F7"/>
    <w:rsid w:val="008A64AE"/>
    <w:rsid w:val="008A6563"/>
    <w:rsid w:val="008A668E"/>
    <w:rsid w:val="008A685C"/>
    <w:rsid w:val="008A6913"/>
    <w:rsid w:val="008A6AFF"/>
    <w:rsid w:val="008A6B86"/>
    <w:rsid w:val="008A6DD6"/>
    <w:rsid w:val="008A7A4B"/>
    <w:rsid w:val="008A7D08"/>
    <w:rsid w:val="008B058A"/>
    <w:rsid w:val="008B0BFA"/>
    <w:rsid w:val="008B1342"/>
    <w:rsid w:val="008B28F0"/>
    <w:rsid w:val="008B3457"/>
    <w:rsid w:val="008B4093"/>
    <w:rsid w:val="008B41BA"/>
    <w:rsid w:val="008B43D0"/>
    <w:rsid w:val="008B470C"/>
    <w:rsid w:val="008B4743"/>
    <w:rsid w:val="008B47FF"/>
    <w:rsid w:val="008B51A3"/>
    <w:rsid w:val="008B5462"/>
    <w:rsid w:val="008B56AF"/>
    <w:rsid w:val="008B6013"/>
    <w:rsid w:val="008B60E0"/>
    <w:rsid w:val="008B6C95"/>
    <w:rsid w:val="008B6F62"/>
    <w:rsid w:val="008B70F3"/>
    <w:rsid w:val="008B71C4"/>
    <w:rsid w:val="008B739C"/>
    <w:rsid w:val="008B7522"/>
    <w:rsid w:val="008B7650"/>
    <w:rsid w:val="008B76DF"/>
    <w:rsid w:val="008B797C"/>
    <w:rsid w:val="008C00AC"/>
    <w:rsid w:val="008C00F8"/>
    <w:rsid w:val="008C012B"/>
    <w:rsid w:val="008C0BF7"/>
    <w:rsid w:val="008C1014"/>
    <w:rsid w:val="008C10F4"/>
    <w:rsid w:val="008C15F4"/>
    <w:rsid w:val="008C175A"/>
    <w:rsid w:val="008C1B05"/>
    <w:rsid w:val="008C1F2F"/>
    <w:rsid w:val="008C1FCD"/>
    <w:rsid w:val="008C218C"/>
    <w:rsid w:val="008C2303"/>
    <w:rsid w:val="008C26CE"/>
    <w:rsid w:val="008C32A9"/>
    <w:rsid w:val="008C39DF"/>
    <w:rsid w:val="008C413D"/>
    <w:rsid w:val="008C493E"/>
    <w:rsid w:val="008C4DCB"/>
    <w:rsid w:val="008C56F9"/>
    <w:rsid w:val="008C57DE"/>
    <w:rsid w:val="008C5ACD"/>
    <w:rsid w:val="008C5E48"/>
    <w:rsid w:val="008C5ECD"/>
    <w:rsid w:val="008C5FBC"/>
    <w:rsid w:val="008C65F7"/>
    <w:rsid w:val="008C6E0A"/>
    <w:rsid w:val="008C7B0E"/>
    <w:rsid w:val="008D0D71"/>
    <w:rsid w:val="008D0E9D"/>
    <w:rsid w:val="008D22ED"/>
    <w:rsid w:val="008D2FDF"/>
    <w:rsid w:val="008D30CE"/>
    <w:rsid w:val="008D345D"/>
    <w:rsid w:val="008D3D74"/>
    <w:rsid w:val="008D3EAD"/>
    <w:rsid w:val="008D4DF2"/>
    <w:rsid w:val="008D5E51"/>
    <w:rsid w:val="008D636A"/>
    <w:rsid w:val="008D69C8"/>
    <w:rsid w:val="008D7605"/>
    <w:rsid w:val="008D789D"/>
    <w:rsid w:val="008D7A5F"/>
    <w:rsid w:val="008E00CD"/>
    <w:rsid w:val="008E0428"/>
    <w:rsid w:val="008E0A87"/>
    <w:rsid w:val="008E11DF"/>
    <w:rsid w:val="008E14DF"/>
    <w:rsid w:val="008E16B0"/>
    <w:rsid w:val="008E1951"/>
    <w:rsid w:val="008E1A97"/>
    <w:rsid w:val="008E1C84"/>
    <w:rsid w:val="008E205B"/>
    <w:rsid w:val="008E25B6"/>
    <w:rsid w:val="008E316B"/>
    <w:rsid w:val="008E36F5"/>
    <w:rsid w:val="008E36FE"/>
    <w:rsid w:val="008E3761"/>
    <w:rsid w:val="008E4238"/>
    <w:rsid w:val="008E4253"/>
    <w:rsid w:val="008E4411"/>
    <w:rsid w:val="008E4767"/>
    <w:rsid w:val="008E5C31"/>
    <w:rsid w:val="008E6DD1"/>
    <w:rsid w:val="008E7078"/>
    <w:rsid w:val="008E781E"/>
    <w:rsid w:val="008E7A8C"/>
    <w:rsid w:val="008F02A0"/>
    <w:rsid w:val="008F0D0F"/>
    <w:rsid w:val="008F0EEA"/>
    <w:rsid w:val="008F14E7"/>
    <w:rsid w:val="008F1BA1"/>
    <w:rsid w:val="008F1CAB"/>
    <w:rsid w:val="008F1D13"/>
    <w:rsid w:val="008F1EC6"/>
    <w:rsid w:val="008F23A5"/>
    <w:rsid w:val="008F3B5E"/>
    <w:rsid w:val="008F4AD0"/>
    <w:rsid w:val="008F5215"/>
    <w:rsid w:val="008F525E"/>
    <w:rsid w:val="008F5E0E"/>
    <w:rsid w:val="008F6499"/>
    <w:rsid w:val="008F64E0"/>
    <w:rsid w:val="008F6A3B"/>
    <w:rsid w:val="008F727B"/>
    <w:rsid w:val="008F7BF5"/>
    <w:rsid w:val="008F7E8A"/>
    <w:rsid w:val="008F7E8C"/>
    <w:rsid w:val="008F7EB6"/>
    <w:rsid w:val="009000BC"/>
    <w:rsid w:val="00900292"/>
    <w:rsid w:val="00900E2A"/>
    <w:rsid w:val="009011BA"/>
    <w:rsid w:val="009016FE"/>
    <w:rsid w:val="00901D6D"/>
    <w:rsid w:val="00901F16"/>
    <w:rsid w:val="00901F41"/>
    <w:rsid w:val="0090203B"/>
    <w:rsid w:val="00902113"/>
    <w:rsid w:val="009024E6"/>
    <w:rsid w:val="00903285"/>
    <w:rsid w:val="00903A8B"/>
    <w:rsid w:val="00903BB3"/>
    <w:rsid w:val="009046BB"/>
    <w:rsid w:val="009046C6"/>
    <w:rsid w:val="0090486B"/>
    <w:rsid w:val="00904D49"/>
    <w:rsid w:val="00905240"/>
    <w:rsid w:val="0090652B"/>
    <w:rsid w:val="00906578"/>
    <w:rsid w:val="00906903"/>
    <w:rsid w:val="00906F40"/>
    <w:rsid w:val="00906F94"/>
    <w:rsid w:val="009071DA"/>
    <w:rsid w:val="0090731E"/>
    <w:rsid w:val="00907DC8"/>
    <w:rsid w:val="0091100B"/>
    <w:rsid w:val="0091125C"/>
    <w:rsid w:val="00911EFB"/>
    <w:rsid w:val="00912564"/>
    <w:rsid w:val="0091262C"/>
    <w:rsid w:val="00912648"/>
    <w:rsid w:val="00912918"/>
    <w:rsid w:val="00912EE1"/>
    <w:rsid w:val="00913305"/>
    <w:rsid w:val="009134E0"/>
    <w:rsid w:val="00913A86"/>
    <w:rsid w:val="00913C2A"/>
    <w:rsid w:val="00915403"/>
    <w:rsid w:val="00915B1C"/>
    <w:rsid w:val="00915B59"/>
    <w:rsid w:val="009165A5"/>
    <w:rsid w:val="00916AFD"/>
    <w:rsid w:val="00916B80"/>
    <w:rsid w:val="0091732A"/>
    <w:rsid w:val="009174F3"/>
    <w:rsid w:val="009176C1"/>
    <w:rsid w:val="0091797D"/>
    <w:rsid w:val="00917E92"/>
    <w:rsid w:val="009209EC"/>
    <w:rsid w:val="00920B0F"/>
    <w:rsid w:val="00921234"/>
    <w:rsid w:val="00922A88"/>
    <w:rsid w:val="00922E50"/>
    <w:rsid w:val="00923CBA"/>
    <w:rsid w:val="009246F9"/>
    <w:rsid w:val="00924B88"/>
    <w:rsid w:val="00924DBA"/>
    <w:rsid w:val="00925823"/>
    <w:rsid w:val="0092599C"/>
    <w:rsid w:val="00925A51"/>
    <w:rsid w:val="00926703"/>
    <w:rsid w:val="00926EB3"/>
    <w:rsid w:val="00927691"/>
    <w:rsid w:val="00927A5F"/>
    <w:rsid w:val="00927AED"/>
    <w:rsid w:val="00930132"/>
    <w:rsid w:val="00930510"/>
    <w:rsid w:val="00930BD4"/>
    <w:rsid w:val="009312C3"/>
    <w:rsid w:val="00931BC0"/>
    <w:rsid w:val="00932125"/>
    <w:rsid w:val="00932C23"/>
    <w:rsid w:val="009335DE"/>
    <w:rsid w:val="009338B8"/>
    <w:rsid w:val="00933B8C"/>
    <w:rsid w:val="009341D6"/>
    <w:rsid w:val="009353D2"/>
    <w:rsid w:val="00935B63"/>
    <w:rsid w:val="009365A3"/>
    <w:rsid w:val="00936E95"/>
    <w:rsid w:val="00937299"/>
    <w:rsid w:val="00937914"/>
    <w:rsid w:val="00937FFE"/>
    <w:rsid w:val="0094078F"/>
    <w:rsid w:val="00940BCC"/>
    <w:rsid w:val="00940C0B"/>
    <w:rsid w:val="00940EFA"/>
    <w:rsid w:val="00940F68"/>
    <w:rsid w:val="00940FA3"/>
    <w:rsid w:val="00941FB0"/>
    <w:rsid w:val="0094230C"/>
    <w:rsid w:val="009425CD"/>
    <w:rsid w:val="009426C1"/>
    <w:rsid w:val="009426D4"/>
    <w:rsid w:val="009427E8"/>
    <w:rsid w:val="00942BEA"/>
    <w:rsid w:val="009433AD"/>
    <w:rsid w:val="00943C4A"/>
    <w:rsid w:val="00945011"/>
    <w:rsid w:val="009464D2"/>
    <w:rsid w:val="0094673E"/>
    <w:rsid w:val="00946F2F"/>
    <w:rsid w:val="00947439"/>
    <w:rsid w:val="009474C2"/>
    <w:rsid w:val="00947F25"/>
    <w:rsid w:val="00950159"/>
    <w:rsid w:val="00950187"/>
    <w:rsid w:val="00950277"/>
    <w:rsid w:val="00950344"/>
    <w:rsid w:val="009509D3"/>
    <w:rsid w:val="00950A33"/>
    <w:rsid w:val="00950EB4"/>
    <w:rsid w:val="009511D6"/>
    <w:rsid w:val="0095139C"/>
    <w:rsid w:val="009516DA"/>
    <w:rsid w:val="009519C9"/>
    <w:rsid w:val="00951ECA"/>
    <w:rsid w:val="00951F2E"/>
    <w:rsid w:val="009524C2"/>
    <w:rsid w:val="009525FB"/>
    <w:rsid w:val="00953156"/>
    <w:rsid w:val="009548FB"/>
    <w:rsid w:val="0095490B"/>
    <w:rsid w:val="00954FA0"/>
    <w:rsid w:val="00955109"/>
    <w:rsid w:val="0095526E"/>
    <w:rsid w:val="009558A4"/>
    <w:rsid w:val="00955C35"/>
    <w:rsid w:val="00956C0B"/>
    <w:rsid w:val="00957C08"/>
    <w:rsid w:val="00957FAA"/>
    <w:rsid w:val="009601BB"/>
    <w:rsid w:val="0096031F"/>
    <w:rsid w:val="009605F5"/>
    <w:rsid w:val="009608AC"/>
    <w:rsid w:val="00960995"/>
    <w:rsid w:val="00960A33"/>
    <w:rsid w:val="00961A16"/>
    <w:rsid w:val="00962371"/>
    <w:rsid w:val="0096285B"/>
    <w:rsid w:val="00962B84"/>
    <w:rsid w:val="009631E1"/>
    <w:rsid w:val="0096501D"/>
    <w:rsid w:val="00965293"/>
    <w:rsid w:val="00965D75"/>
    <w:rsid w:val="00966232"/>
    <w:rsid w:val="009665FC"/>
    <w:rsid w:val="009668C5"/>
    <w:rsid w:val="0096698F"/>
    <w:rsid w:val="0096772E"/>
    <w:rsid w:val="00967B42"/>
    <w:rsid w:val="00967C5F"/>
    <w:rsid w:val="00967DE5"/>
    <w:rsid w:val="00970555"/>
    <w:rsid w:val="0097086E"/>
    <w:rsid w:val="00970A96"/>
    <w:rsid w:val="0097175F"/>
    <w:rsid w:val="00971914"/>
    <w:rsid w:val="009725B7"/>
    <w:rsid w:val="0097285A"/>
    <w:rsid w:val="00972C09"/>
    <w:rsid w:val="00972DF6"/>
    <w:rsid w:val="00973538"/>
    <w:rsid w:val="00973601"/>
    <w:rsid w:val="00974363"/>
    <w:rsid w:val="00974AA8"/>
    <w:rsid w:val="00974D40"/>
    <w:rsid w:val="00974D61"/>
    <w:rsid w:val="00974F57"/>
    <w:rsid w:val="009750A6"/>
    <w:rsid w:val="0097529D"/>
    <w:rsid w:val="009755FB"/>
    <w:rsid w:val="00975691"/>
    <w:rsid w:val="00975994"/>
    <w:rsid w:val="00975DEB"/>
    <w:rsid w:val="00975F14"/>
    <w:rsid w:val="00976797"/>
    <w:rsid w:val="00977162"/>
    <w:rsid w:val="00977249"/>
    <w:rsid w:val="00977612"/>
    <w:rsid w:val="00977731"/>
    <w:rsid w:val="00981898"/>
    <w:rsid w:val="009818DA"/>
    <w:rsid w:val="009834B0"/>
    <w:rsid w:val="009838A2"/>
    <w:rsid w:val="00983C1F"/>
    <w:rsid w:val="0098526C"/>
    <w:rsid w:val="00985420"/>
    <w:rsid w:val="00986448"/>
    <w:rsid w:val="009865BC"/>
    <w:rsid w:val="00986DEB"/>
    <w:rsid w:val="00987249"/>
    <w:rsid w:val="00987D6F"/>
    <w:rsid w:val="00987DAE"/>
    <w:rsid w:val="00987DDA"/>
    <w:rsid w:val="00987F7A"/>
    <w:rsid w:val="00990663"/>
    <w:rsid w:val="0099074B"/>
    <w:rsid w:val="009922AA"/>
    <w:rsid w:val="009922FC"/>
    <w:rsid w:val="00992861"/>
    <w:rsid w:val="00992BD7"/>
    <w:rsid w:val="009933A5"/>
    <w:rsid w:val="00994453"/>
    <w:rsid w:val="009947AD"/>
    <w:rsid w:val="009950EB"/>
    <w:rsid w:val="00995106"/>
    <w:rsid w:val="0099537F"/>
    <w:rsid w:val="0099577C"/>
    <w:rsid w:val="00995937"/>
    <w:rsid w:val="00996171"/>
    <w:rsid w:val="009A019F"/>
    <w:rsid w:val="009A021C"/>
    <w:rsid w:val="009A0A8E"/>
    <w:rsid w:val="009A0E39"/>
    <w:rsid w:val="009A119E"/>
    <w:rsid w:val="009A132A"/>
    <w:rsid w:val="009A1349"/>
    <w:rsid w:val="009A1862"/>
    <w:rsid w:val="009A2280"/>
    <w:rsid w:val="009A24AE"/>
    <w:rsid w:val="009A25CC"/>
    <w:rsid w:val="009A284C"/>
    <w:rsid w:val="009A3DAB"/>
    <w:rsid w:val="009A3FB2"/>
    <w:rsid w:val="009A4AE4"/>
    <w:rsid w:val="009A52FC"/>
    <w:rsid w:val="009A5861"/>
    <w:rsid w:val="009A638D"/>
    <w:rsid w:val="009A72A0"/>
    <w:rsid w:val="009A7673"/>
    <w:rsid w:val="009A7DD6"/>
    <w:rsid w:val="009B0AC7"/>
    <w:rsid w:val="009B10F1"/>
    <w:rsid w:val="009B12DB"/>
    <w:rsid w:val="009B13D6"/>
    <w:rsid w:val="009B2006"/>
    <w:rsid w:val="009B24A5"/>
    <w:rsid w:val="009B2601"/>
    <w:rsid w:val="009B269A"/>
    <w:rsid w:val="009B30E0"/>
    <w:rsid w:val="009B3155"/>
    <w:rsid w:val="009B359E"/>
    <w:rsid w:val="009B37BA"/>
    <w:rsid w:val="009B397D"/>
    <w:rsid w:val="009B41E6"/>
    <w:rsid w:val="009B4216"/>
    <w:rsid w:val="009B49B3"/>
    <w:rsid w:val="009B4E9E"/>
    <w:rsid w:val="009B524C"/>
    <w:rsid w:val="009B5285"/>
    <w:rsid w:val="009B5A2C"/>
    <w:rsid w:val="009B6400"/>
    <w:rsid w:val="009B7C12"/>
    <w:rsid w:val="009C0CF5"/>
    <w:rsid w:val="009C1240"/>
    <w:rsid w:val="009C153C"/>
    <w:rsid w:val="009C1690"/>
    <w:rsid w:val="009C1F8F"/>
    <w:rsid w:val="009C2480"/>
    <w:rsid w:val="009C3817"/>
    <w:rsid w:val="009C3A45"/>
    <w:rsid w:val="009C3FF3"/>
    <w:rsid w:val="009C431B"/>
    <w:rsid w:val="009C4505"/>
    <w:rsid w:val="009C4F4B"/>
    <w:rsid w:val="009C5305"/>
    <w:rsid w:val="009C53FE"/>
    <w:rsid w:val="009C585E"/>
    <w:rsid w:val="009C5A83"/>
    <w:rsid w:val="009C621F"/>
    <w:rsid w:val="009C66C8"/>
    <w:rsid w:val="009C6881"/>
    <w:rsid w:val="009C69C8"/>
    <w:rsid w:val="009C6B07"/>
    <w:rsid w:val="009C750B"/>
    <w:rsid w:val="009C757D"/>
    <w:rsid w:val="009C7759"/>
    <w:rsid w:val="009C7AE9"/>
    <w:rsid w:val="009C7F53"/>
    <w:rsid w:val="009D0182"/>
    <w:rsid w:val="009D01BC"/>
    <w:rsid w:val="009D043D"/>
    <w:rsid w:val="009D07C8"/>
    <w:rsid w:val="009D07E2"/>
    <w:rsid w:val="009D0A81"/>
    <w:rsid w:val="009D0AF8"/>
    <w:rsid w:val="009D0D65"/>
    <w:rsid w:val="009D0F24"/>
    <w:rsid w:val="009D1461"/>
    <w:rsid w:val="009D32D4"/>
    <w:rsid w:val="009D4312"/>
    <w:rsid w:val="009D4C85"/>
    <w:rsid w:val="009D5005"/>
    <w:rsid w:val="009D5A9D"/>
    <w:rsid w:val="009D68C5"/>
    <w:rsid w:val="009D6A0A"/>
    <w:rsid w:val="009D6C71"/>
    <w:rsid w:val="009D718D"/>
    <w:rsid w:val="009D71C7"/>
    <w:rsid w:val="009D760A"/>
    <w:rsid w:val="009D7A09"/>
    <w:rsid w:val="009E0631"/>
    <w:rsid w:val="009E0FFC"/>
    <w:rsid w:val="009E11BC"/>
    <w:rsid w:val="009E16D0"/>
    <w:rsid w:val="009E2051"/>
    <w:rsid w:val="009E20CC"/>
    <w:rsid w:val="009E20D5"/>
    <w:rsid w:val="009E2106"/>
    <w:rsid w:val="009E214A"/>
    <w:rsid w:val="009E2B73"/>
    <w:rsid w:val="009E2FF2"/>
    <w:rsid w:val="009E31ED"/>
    <w:rsid w:val="009E38FD"/>
    <w:rsid w:val="009E4372"/>
    <w:rsid w:val="009E4B35"/>
    <w:rsid w:val="009E539A"/>
    <w:rsid w:val="009E5CB0"/>
    <w:rsid w:val="009E6861"/>
    <w:rsid w:val="009E6C6C"/>
    <w:rsid w:val="009E6F8E"/>
    <w:rsid w:val="009E71BC"/>
    <w:rsid w:val="009E7723"/>
    <w:rsid w:val="009E77CA"/>
    <w:rsid w:val="009E7905"/>
    <w:rsid w:val="009E7C10"/>
    <w:rsid w:val="009E7E40"/>
    <w:rsid w:val="009F0BA1"/>
    <w:rsid w:val="009F1320"/>
    <w:rsid w:val="009F13D6"/>
    <w:rsid w:val="009F15B5"/>
    <w:rsid w:val="009F1B46"/>
    <w:rsid w:val="009F2EE6"/>
    <w:rsid w:val="009F3B56"/>
    <w:rsid w:val="009F48F0"/>
    <w:rsid w:val="009F4C6B"/>
    <w:rsid w:val="009F4D41"/>
    <w:rsid w:val="009F5132"/>
    <w:rsid w:val="009F5D41"/>
    <w:rsid w:val="009F600F"/>
    <w:rsid w:val="009F60AA"/>
    <w:rsid w:val="009F62D3"/>
    <w:rsid w:val="009F695D"/>
    <w:rsid w:val="009F78A8"/>
    <w:rsid w:val="009F7ABD"/>
    <w:rsid w:val="00A0011A"/>
    <w:rsid w:val="00A00146"/>
    <w:rsid w:val="00A014E2"/>
    <w:rsid w:val="00A017E0"/>
    <w:rsid w:val="00A01A7F"/>
    <w:rsid w:val="00A01B26"/>
    <w:rsid w:val="00A023D9"/>
    <w:rsid w:val="00A027E5"/>
    <w:rsid w:val="00A02A02"/>
    <w:rsid w:val="00A02AD6"/>
    <w:rsid w:val="00A03041"/>
    <w:rsid w:val="00A045A1"/>
    <w:rsid w:val="00A04695"/>
    <w:rsid w:val="00A04A30"/>
    <w:rsid w:val="00A04D54"/>
    <w:rsid w:val="00A05C75"/>
    <w:rsid w:val="00A06F74"/>
    <w:rsid w:val="00A07096"/>
    <w:rsid w:val="00A07318"/>
    <w:rsid w:val="00A07538"/>
    <w:rsid w:val="00A07D06"/>
    <w:rsid w:val="00A106E8"/>
    <w:rsid w:val="00A1100E"/>
    <w:rsid w:val="00A11370"/>
    <w:rsid w:val="00A11973"/>
    <w:rsid w:val="00A11E9D"/>
    <w:rsid w:val="00A12198"/>
    <w:rsid w:val="00A1262B"/>
    <w:rsid w:val="00A12B4F"/>
    <w:rsid w:val="00A12CC0"/>
    <w:rsid w:val="00A13047"/>
    <w:rsid w:val="00A1335D"/>
    <w:rsid w:val="00A1386B"/>
    <w:rsid w:val="00A14311"/>
    <w:rsid w:val="00A14548"/>
    <w:rsid w:val="00A16A49"/>
    <w:rsid w:val="00A16CE6"/>
    <w:rsid w:val="00A172D5"/>
    <w:rsid w:val="00A17496"/>
    <w:rsid w:val="00A17735"/>
    <w:rsid w:val="00A17E66"/>
    <w:rsid w:val="00A20832"/>
    <w:rsid w:val="00A20C68"/>
    <w:rsid w:val="00A224CE"/>
    <w:rsid w:val="00A22522"/>
    <w:rsid w:val="00A22E55"/>
    <w:rsid w:val="00A22E76"/>
    <w:rsid w:val="00A23214"/>
    <w:rsid w:val="00A233FD"/>
    <w:rsid w:val="00A24689"/>
    <w:rsid w:val="00A24AFD"/>
    <w:rsid w:val="00A24DE2"/>
    <w:rsid w:val="00A24E1D"/>
    <w:rsid w:val="00A24EEE"/>
    <w:rsid w:val="00A24F5C"/>
    <w:rsid w:val="00A25360"/>
    <w:rsid w:val="00A25652"/>
    <w:rsid w:val="00A26033"/>
    <w:rsid w:val="00A26F6F"/>
    <w:rsid w:val="00A271C9"/>
    <w:rsid w:val="00A272DE"/>
    <w:rsid w:val="00A276EB"/>
    <w:rsid w:val="00A300A2"/>
    <w:rsid w:val="00A3054C"/>
    <w:rsid w:val="00A313D2"/>
    <w:rsid w:val="00A31A46"/>
    <w:rsid w:val="00A326C6"/>
    <w:rsid w:val="00A32F96"/>
    <w:rsid w:val="00A3316E"/>
    <w:rsid w:val="00A333B9"/>
    <w:rsid w:val="00A33551"/>
    <w:rsid w:val="00A335C3"/>
    <w:rsid w:val="00A34ECC"/>
    <w:rsid w:val="00A3635F"/>
    <w:rsid w:val="00A368F6"/>
    <w:rsid w:val="00A36B27"/>
    <w:rsid w:val="00A36C99"/>
    <w:rsid w:val="00A36D9E"/>
    <w:rsid w:val="00A374FF"/>
    <w:rsid w:val="00A40871"/>
    <w:rsid w:val="00A40C80"/>
    <w:rsid w:val="00A40DBF"/>
    <w:rsid w:val="00A412AB"/>
    <w:rsid w:val="00A4193E"/>
    <w:rsid w:val="00A427E4"/>
    <w:rsid w:val="00A42FA3"/>
    <w:rsid w:val="00A43557"/>
    <w:rsid w:val="00A439F3"/>
    <w:rsid w:val="00A440E0"/>
    <w:rsid w:val="00A442EF"/>
    <w:rsid w:val="00A444E1"/>
    <w:rsid w:val="00A4546F"/>
    <w:rsid w:val="00A45A3E"/>
    <w:rsid w:val="00A461E0"/>
    <w:rsid w:val="00A46ED6"/>
    <w:rsid w:val="00A508CC"/>
    <w:rsid w:val="00A510DB"/>
    <w:rsid w:val="00A51408"/>
    <w:rsid w:val="00A5150B"/>
    <w:rsid w:val="00A51ABF"/>
    <w:rsid w:val="00A51C70"/>
    <w:rsid w:val="00A51D1A"/>
    <w:rsid w:val="00A53264"/>
    <w:rsid w:val="00A53D29"/>
    <w:rsid w:val="00A5418D"/>
    <w:rsid w:val="00A544B2"/>
    <w:rsid w:val="00A5474E"/>
    <w:rsid w:val="00A549ED"/>
    <w:rsid w:val="00A54CB5"/>
    <w:rsid w:val="00A54D56"/>
    <w:rsid w:val="00A54EC1"/>
    <w:rsid w:val="00A55207"/>
    <w:rsid w:val="00A56230"/>
    <w:rsid w:val="00A5776D"/>
    <w:rsid w:val="00A6026E"/>
    <w:rsid w:val="00A60F78"/>
    <w:rsid w:val="00A62096"/>
    <w:rsid w:val="00A62491"/>
    <w:rsid w:val="00A63381"/>
    <w:rsid w:val="00A634B8"/>
    <w:rsid w:val="00A64234"/>
    <w:rsid w:val="00A646EF"/>
    <w:rsid w:val="00A65790"/>
    <w:rsid w:val="00A6588C"/>
    <w:rsid w:val="00A6671F"/>
    <w:rsid w:val="00A66A8E"/>
    <w:rsid w:val="00A66C1B"/>
    <w:rsid w:val="00A66F09"/>
    <w:rsid w:val="00A670F7"/>
    <w:rsid w:val="00A67A21"/>
    <w:rsid w:val="00A70299"/>
    <w:rsid w:val="00A70A96"/>
    <w:rsid w:val="00A70ADF"/>
    <w:rsid w:val="00A711CD"/>
    <w:rsid w:val="00A71466"/>
    <w:rsid w:val="00A716F2"/>
    <w:rsid w:val="00A71D86"/>
    <w:rsid w:val="00A723F1"/>
    <w:rsid w:val="00A72DC2"/>
    <w:rsid w:val="00A740C1"/>
    <w:rsid w:val="00A747FE"/>
    <w:rsid w:val="00A74B5E"/>
    <w:rsid w:val="00A74E60"/>
    <w:rsid w:val="00A74EC7"/>
    <w:rsid w:val="00A757EA"/>
    <w:rsid w:val="00A75CB7"/>
    <w:rsid w:val="00A765CF"/>
    <w:rsid w:val="00A77AAD"/>
    <w:rsid w:val="00A80845"/>
    <w:rsid w:val="00A809AD"/>
    <w:rsid w:val="00A811CE"/>
    <w:rsid w:val="00A817A2"/>
    <w:rsid w:val="00A81BED"/>
    <w:rsid w:val="00A81BF8"/>
    <w:rsid w:val="00A81EC4"/>
    <w:rsid w:val="00A82380"/>
    <w:rsid w:val="00A824E8"/>
    <w:rsid w:val="00A82661"/>
    <w:rsid w:val="00A82A79"/>
    <w:rsid w:val="00A82FC0"/>
    <w:rsid w:val="00A8341E"/>
    <w:rsid w:val="00A83649"/>
    <w:rsid w:val="00A83B26"/>
    <w:rsid w:val="00A84155"/>
    <w:rsid w:val="00A846CA"/>
    <w:rsid w:val="00A8476E"/>
    <w:rsid w:val="00A84D01"/>
    <w:rsid w:val="00A84EB2"/>
    <w:rsid w:val="00A85C35"/>
    <w:rsid w:val="00A85FBD"/>
    <w:rsid w:val="00A862A1"/>
    <w:rsid w:val="00A866C9"/>
    <w:rsid w:val="00A874B3"/>
    <w:rsid w:val="00A87628"/>
    <w:rsid w:val="00A877F2"/>
    <w:rsid w:val="00A90B61"/>
    <w:rsid w:val="00A90EF9"/>
    <w:rsid w:val="00A91170"/>
    <w:rsid w:val="00A91A4E"/>
    <w:rsid w:val="00A91F16"/>
    <w:rsid w:val="00A92AEF"/>
    <w:rsid w:val="00A92D84"/>
    <w:rsid w:val="00A93034"/>
    <w:rsid w:val="00A93D23"/>
    <w:rsid w:val="00A9454A"/>
    <w:rsid w:val="00A94A72"/>
    <w:rsid w:val="00A9574E"/>
    <w:rsid w:val="00A9593D"/>
    <w:rsid w:val="00A96210"/>
    <w:rsid w:val="00A967CB"/>
    <w:rsid w:val="00A967FD"/>
    <w:rsid w:val="00A97894"/>
    <w:rsid w:val="00A97FF1"/>
    <w:rsid w:val="00AA087A"/>
    <w:rsid w:val="00AA0A86"/>
    <w:rsid w:val="00AA0FC6"/>
    <w:rsid w:val="00AA1032"/>
    <w:rsid w:val="00AA1A03"/>
    <w:rsid w:val="00AA238E"/>
    <w:rsid w:val="00AA2AAE"/>
    <w:rsid w:val="00AA2AEF"/>
    <w:rsid w:val="00AA2D10"/>
    <w:rsid w:val="00AA2DE5"/>
    <w:rsid w:val="00AA3011"/>
    <w:rsid w:val="00AA3199"/>
    <w:rsid w:val="00AA3B2B"/>
    <w:rsid w:val="00AA3CF2"/>
    <w:rsid w:val="00AA407C"/>
    <w:rsid w:val="00AA410D"/>
    <w:rsid w:val="00AA42C5"/>
    <w:rsid w:val="00AA49FE"/>
    <w:rsid w:val="00AA4B35"/>
    <w:rsid w:val="00AA4BF2"/>
    <w:rsid w:val="00AA600B"/>
    <w:rsid w:val="00AA6328"/>
    <w:rsid w:val="00AA633A"/>
    <w:rsid w:val="00AA64FA"/>
    <w:rsid w:val="00AA6D52"/>
    <w:rsid w:val="00AB0594"/>
    <w:rsid w:val="00AB0B5C"/>
    <w:rsid w:val="00AB13CC"/>
    <w:rsid w:val="00AB156C"/>
    <w:rsid w:val="00AB1D1D"/>
    <w:rsid w:val="00AB2047"/>
    <w:rsid w:val="00AB326F"/>
    <w:rsid w:val="00AB4010"/>
    <w:rsid w:val="00AB44BF"/>
    <w:rsid w:val="00AB4585"/>
    <w:rsid w:val="00AB4937"/>
    <w:rsid w:val="00AB49AF"/>
    <w:rsid w:val="00AB518C"/>
    <w:rsid w:val="00AB6593"/>
    <w:rsid w:val="00AB6814"/>
    <w:rsid w:val="00AB685F"/>
    <w:rsid w:val="00AB6BBD"/>
    <w:rsid w:val="00AB6C10"/>
    <w:rsid w:val="00AB7335"/>
    <w:rsid w:val="00AB75F6"/>
    <w:rsid w:val="00AB7D59"/>
    <w:rsid w:val="00AB7E13"/>
    <w:rsid w:val="00AC0089"/>
    <w:rsid w:val="00AC014A"/>
    <w:rsid w:val="00AC04BA"/>
    <w:rsid w:val="00AC0506"/>
    <w:rsid w:val="00AC086C"/>
    <w:rsid w:val="00AC0AD5"/>
    <w:rsid w:val="00AC0E39"/>
    <w:rsid w:val="00AC0FB6"/>
    <w:rsid w:val="00AC21D1"/>
    <w:rsid w:val="00AC21FB"/>
    <w:rsid w:val="00AC3A81"/>
    <w:rsid w:val="00AC3BF6"/>
    <w:rsid w:val="00AC43C7"/>
    <w:rsid w:val="00AC4AF6"/>
    <w:rsid w:val="00AC4C74"/>
    <w:rsid w:val="00AC63EF"/>
    <w:rsid w:val="00AC6D96"/>
    <w:rsid w:val="00AC729E"/>
    <w:rsid w:val="00AC7A35"/>
    <w:rsid w:val="00AC7FE0"/>
    <w:rsid w:val="00AD0473"/>
    <w:rsid w:val="00AD07B8"/>
    <w:rsid w:val="00AD0B36"/>
    <w:rsid w:val="00AD1080"/>
    <w:rsid w:val="00AD10C7"/>
    <w:rsid w:val="00AD135D"/>
    <w:rsid w:val="00AD1740"/>
    <w:rsid w:val="00AD1D4E"/>
    <w:rsid w:val="00AD3082"/>
    <w:rsid w:val="00AD32B4"/>
    <w:rsid w:val="00AD32C5"/>
    <w:rsid w:val="00AD46C0"/>
    <w:rsid w:val="00AD4AD0"/>
    <w:rsid w:val="00AD5220"/>
    <w:rsid w:val="00AD5344"/>
    <w:rsid w:val="00AD535D"/>
    <w:rsid w:val="00AD5436"/>
    <w:rsid w:val="00AD5525"/>
    <w:rsid w:val="00AD558E"/>
    <w:rsid w:val="00AD5852"/>
    <w:rsid w:val="00AD5A5A"/>
    <w:rsid w:val="00AD5B22"/>
    <w:rsid w:val="00AD5DF3"/>
    <w:rsid w:val="00AD60CD"/>
    <w:rsid w:val="00AD6441"/>
    <w:rsid w:val="00AD6C8C"/>
    <w:rsid w:val="00AD7359"/>
    <w:rsid w:val="00AD7418"/>
    <w:rsid w:val="00AD76E2"/>
    <w:rsid w:val="00AD7932"/>
    <w:rsid w:val="00AD7B30"/>
    <w:rsid w:val="00AD7D2B"/>
    <w:rsid w:val="00AD7DCE"/>
    <w:rsid w:val="00AE091D"/>
    <w:rsid w:val="00AE1853"/>
    <w:rsid w:val="00AE2333"/>
    <w:rsid w:val="00AE253F"/>
    <w:rsid w:val="00AE2841"/>
    <w:rsid w:val="00AE36F0"/>
    <w:rsid w:val="00AE3A59"/>
    <w:rsid w:val="00AE3B60"/>
    <w:rsid w:val="00AE44D9"/>
    <w:rsid w:val="00AE4598"/>
    <w:rsid w:val="00AE4711"/>
    <w:rsid w:val="00AE51B9"/>
    <w:rsid w:val="00AE53A1"/>
    <w:rsid w:val="00AE727E"/>
    <w:rsid w:val="00AE7BAB"/>
    <w:rsid w:val="00AF0347"/>
    <w:rsid w:val="00AF073E"/>
    <w:rsid w:val="00AF0A96"/>
    <w:rsid w:val="00AF0E55"/>
    <w:rsid w:val="00AF228E"/>
    <w:rsid w:val="00AF2484"/>
    <w:rsid w:val="00AF3BE4"/>
    <w:rsid w:val="00AF4426"/>
    <w:rsid w:val="00AF485E"/>
    <w:rsid w:val="00AF4933"/>
    <w:rsid w:val="00AF5730"/>
    <w:rsid w:val="00AF573B"/>
    <w:rsid w:val="00AF5978"/>
    <w:rsid w:val="00AF5A3A"/>
    <w:rsid w:val="00AF5CB1"/>
    <w:rsid w:val="00AF5E99"/>
    <w:rsid w:val="00AF609D"/>
    <w:rsid w:val="00AF63E7"/>
    <w:rsid w:val="00AF6555"/>
    <w:rsid w:val="00AF6879"/>
    <w:rsid w:val="00AF6BC5"/>
    <w:rsid w:val="00AF6E17"/>
    <w:rsid w:val="00AF7517"/>
    <w:rsid w:val="00B0013B"/>
    <w:rsid w:val="00B002ED"/>
    <w:rsid w:val="00B00AFA"/>
    <w:rsid w:val="00B0165D"/>
    <w:rsid w:val="00B01B60"/>
    <w:rsid w:val="00B028B3"/>
    <w:rsid w:val="00B02CBD"/>
    <w:rsid w:val="00B0319D"/>
    <w:rsid w:val="00B031F3"/>
    <w:rsid w:val="00B03582"/>
    <w:rsid w:val="00B03BD1"/>
    <w:rsid w:val="00B03FA5"/>
    <w:rsid w:val="00B05050"/>
    <w:rsid w:val="00B052A4"/>
    <w:rsid w:val="00B057CA"/>
    <w:rsid w:val="00B05C71"/>
    <w:rsid w:val="00B05DAC"/>
    <w:rsid w:val="00B06023"/>
    <w:rsid w:val="00B06214"/>
    <w:rsid w:val="00B10095"/>
    <w:rsid w:val="00B11625"/>
    <w:rsid w:val="00B11771"/>
    <w:rsid w:val="00B125DE"/>
    <w:rsid w:val="00B1260F"/>
    <w:rsid w:val="00B12969"/>
    <w:rsid w:val="00B12CBA"/>
    <w:rsid w:val="00B13FDD"/>
    <w:rsid w:val="00B1401B"/>
    <w:rsid w:val="00B14367"/>
    <w:rsid w:val="00B14B31"/>
    <w:rsid w:val="00B1506B"/>
    <w:rsid w:val="00B1562E"/>
    <w:rsid w:val="00B167C6"/>
    <w:rsid w:val="00B16992"/>
    <w:rsid w:val="00B17000"/>
    <w:rsid w:val="00B17037"/>
    <w:rsid w:val="00B172F5"/>
    <w:rsid w:val="00B17D40"/>
    <w:rsid w:val="00B20080"/>
    <w:rsid w:val="00B2047D"/>
    <w:rsid w:val="00B209E2"/>
    <w:rsid w:val="00B20DBC"/>
    <w:rsid w:val="00B20F87"/>
    <w:rsid w:val="00B210DA"/>
    <w:rsid w:val="00B21745"/>
    <w:rsid w:val="00B22701"/>
    <w:rsid w:val="00B22D75"/>
    <w:rsid w:val="00B22EB2"/>
    <w:rsid w:val="00B22EF1"/>
    <w:rsid w:val="00B23075"/>
    <w:rsid w:val="00B23788"/>
    <w:rsid w:val="00B2527C"/>
    <w:rsid w:val="00B258BA"/>
    <w:rsid w:val="00B2599F"/>
    <w:rsid w:val="00B25E7A"/>
    <w:rsid w:val="00B265F4"/>
    <w:rsid w:val="00B2742C"/>
    <w:rsid w:val="00B27442"/>
    <w:rsid w:val="00B278A4"/>
    <w:rsid w:val="00B27E5A"/>
    <w:rsid w:val="00B300DA"/>
    <w:rsid w:val="00B30D8C"/>
    <w:rsid w:val="00B31167"/>
    <w:rsid w:val="00B32388"/>
    <w:rsid w:val="00B329D8"/>
    <w:rsid w:val="00B32AAD"/>
    <w:rsid w:val="00B32BB9"/>
    <w:rsid w:val="00B3326D"/>
    <w:rsid w:val="00B333B2"/>
    <w:rsid w:val="00B334FF"/>
    <w:rsid w:val="00B33AE1"/>
    <w:rsid w:val="00B34018"/>
    <w:rsid w:val="00B345D9"/>
    <w:rsid w:val="00B34AA9"/>
    <w:rsid w:val="00B34F24"/>
    <w:rsid w:val="00B3519D"/>
    <w:rsid w:val="00B35210"/>
    <w:rsid w:val="00B35960"/>
    <w:rsid w:val="00B3605A"/>
    <w:rsid w:val="00B36083"/>
    <w:rsid w:val="00B36766"/>
    <w:rsid w:val="00B37406"/>
    <w:rsid w:val="00B3783B"/>
    <w:rsid w:val="00B37C38"/>
    <w:rsid w:val="00B409AB"/>
    <w:rsid w:val="00B40F48"/>
    <w:rsid w:val="00B41152"/>
    <w:rsid w:val="00B4151F"/>
    <w:rsid w:val="00B4288C"/>
    <w:rsid w:val="00B42F71"/>
    <w:rsid w:val="00B43262"/>
    <w:rsid w:val="00B433D3"/>
    <w:rsid w:val="00B4368B"/>
    <w:rsid w:val="00B43756"/>
    <w:rsid w:val="00B43B41"/>
    <w:rsid w:val="00B44100"/>
    <w:rsid w:val="00B451AA"/>
    <w:rsid w:val="00B45E37"/>
    <w:rsid w:val="00B46CBA"/>
    <w:rsid w:val="00B46F94"/>
    <w:rsid w:val="00B509B3"/>
    <w:rsid w:val="00B523E9"/>
    <w:rsid w:val="00B52B67"/>
    <w:rsid w:val="00B535CC"/>
    <w:rsid w:val="00B53686"/>
    <w:rsid w:val="00B53B20"/>
    <w:rsid w:val="00B54295"/>
    <w:rsid w:val="00B54DD2"/>
    <w:rsid w:val="00B54FA0"/>
    <w:rsid w:val="00B55371"/>
    <w:rsid w:val="00B55939"/>
    <w:rsid w:val="00B56612"/>
    <w:rsid w:val="00B56A04"/>
    <w:rsid w:val="00B579B4"/>
    <w:rsid w:val="00B57A5B"/>
    <w:rsid w:val="00B57F92"/>
    <w:rsid w:val="00B6003C"/>
    <w:rsid w:val="00B6028C"/>
    <w:rsid w:val="00B606CC"/>
    <w:rsid w:val="00B60A12"/>
    <w:rsid w:val="00B60F49"/>
    <w:rsid w:val="00B611C5"/>
    <w:rsid w:val="00B613A3"/>
    <w:rsid w:val="00B61457"/>
    <w:rsid w:val="00B61857"/>
    <w:rsid w:val="00B61F03"/>
    <w:rsid w:val="00B626E4"/>
    <w:rsid w:val="00B62C23"/>
    <w:rsid w:val="00B6309B"/>
    <w:rsid w:val="00B63C15"/>
    <w:rsid w:val="00B63CF0"/>
    <w:rsid w:val="00B63E11"/>
    <w:rsid w:val="00B63E99"/>
    <w:rsid w:val="00B644D6"/>
    <w:rsid w:val="00B64641"/>
    <w:rsid w:val="00B652C0"/>
    <w:rsid w:val="00B6586B"/>
    <w:rsid w:val="00B65888"/>
    <w:rsid w:val="00B65EE5"/>
    <w:rsid w:val="00B660C7"/>
    <w:rsid w:val="00B6639F"/>
    <w:rsid w:val="00B66AE6"/>
    <w:rsid w:val="00B67108"/>
    <w:rsid w:val="00B67DE1"/>
    <w:rsid w:val="00B67ED0"/>
    <w:rsid w:val="00B67EFE"/>
    <w:rsid w:val="00B67F1C"/>
    <w:rsid w:val="00B70D77"/>
    <w:rsid w:val="00B72A88"/>
    <w:rsid w:val="00B72F4A"/>
    <w:rsid w:val="00B74623"/>
    <w:rsid w:val="00B748D5"/>
    <w:rsid w:val="00B75888"/>
    <w:rsid w:val="00B767BD"/>
    <w:rsid w:val="00B76AAE"/>
    <w:rsid w:val="00B7715C"/>
    <w:rsid w:val="00B77267"/>
    <w:rsid w:val="00B77AB9"/>
    <w:rsid w:val="00B801F6"/>
    <w:rsid w:val="00B80930"/>
    <w:rsid w:val="00B82343"/>
    <w:rsid w:val="00B8237C"/>
    <w:rsid w:val="00B82B93"/>
    <w:rsid w:val="00B82F9E"/>
    <w:rsid w:val="00B83C27"/>
    <w:rsid w:val="00B83DFA"/>
    <w:rsid w:val="00B8434C"/>
    <w:rsid w:val="00B8440F"/>
    <w:rsid w:val="00B84734"/>
    <w:rsid w:val="00B84BC3"/>
    <w:rsid w:val="00B84BDD"/>
    <w:rsid w:val="00B84DB2"/>
    <w:rsid w:val="00B85064"/>
    <w:rsid w:val="00B850B2"/>
    <w:rsid w:val="00B851EF"/>
    <w:rsid w:val="00B857B2"/>
    <w:rsid w:val="00B862CD"/>
    <w:rsid w:val="00B872E9"/>
    <w:rsid w:val="00B87F48"/>
    <w:rsid w:val="00B903F3"/>
    <w:rsid w:val="00B907C7"/>
    <w:rsid w:val="00B90876"/>
    <w:rsid w:val="00B90AC2"/>
    <w:rsid w:val="00B90C76"/>
    <w:rsid w:val="00B92167"/>
    <w:rsid w:val="00B92812"/>
    <w:rsid w:val="00B92833"/>
    <w:rsid w:val="00B92CE8"/>
    <w:rsid w:val="00B92E41"/>
    <w:rsid w:val="00B93270"/>
    <w:rsid w:val="00B93A61"/>
    <w:rsid w:val="00B9412E"/>
    <w:rsid w:val="00B94641"/>
    <w:rsid w:val="00B94BDD"/>
    <w:rsid w:val="00B94CD9"/>
    <w:rsid w:val="00B94F18"/>
    <w:rsid w:val="00B95789"/>
    <w:rsid w:val="00B95B43"/>
    <w:rsid w:val="00B95BA9"/>
    <w:rsid w:val="00B97237"/>
    <w:rsid w:val="00BA03B7"/>
    <w:rsid w:val="00BA0968"/>
    <w:rsid w:val="00BA2569"/>
    <w:rsid w:val="00BA2DBB"/>
    <w:rsid w:val="00BA3C22"/>
    <w:rsid w:val="00BA3D69"/>
    <w:rsid w:val="00BA4681"/>
    <w:rsid w:val="00BA47B1"/>
    <w:rsid w:val="00BA4BB3"/>
    <w:rsid w:val="00BA56A1"/>
    <w:rsid w:val="00BA570F"/>
    <w:rsid w:val="00BA62B4"/>
    <w:rsid w:val="00BA66BC"/>
    <w:rsid w:val="00BA6A68"/>
    <w:rsid w:val="00BA7F81"/>
    <w:rsid w:val="00BB0CF1"/>
    <w:rsid w:val="00BB0EFD"/>
    <w:rsid w:val="00BB100F"/>
    <w:rsid w:val="00BB2068"/>
    <w:rsid w:val="00BB303B"/>
    <w:rsid w:val="00BB30EF"/>
    <w:rsid w:val="00BB324D"/>
    <w:rsid w:val="00BB36FC"/>
    <w:rsid w:val="00BB447D"/>
    <w:rsid w:val="00BB45A1"/>
    <w:rsid w:val="00BB46B0"/>
    <w:rsid w:val="00BB4828"/>
    <w:rsid w:val="00BB4865"/>
    <w:rsid w:val="00BB49C4"/>
    <w:rsid w:val="00BB501E"/>
    <w:rsid w:val="00BB5FEF"/>
    <w:rsid w:val="00BB6335"/>
    <w:rsid w:val="00BB70DF"/>
    <w:rsid w:val="00BB7219"/>
    <w:rsid w:val="00BB744D"/>
    <w:rsid w:val="00BB755F"/>
    <w:rsid w:val="00BB758C"/>
    <w:rsid w:val="00BB7686"/>
    <w:rsid w:val="00BB7739"/>
    <w:rsid w:val="00BB7802"/>
    <w:rsid w:val="00BC15BC"/>
    <w:rsid w:val="00BC1EB0"/>
    <w:rsid w:val="00BC2156"/>
    <w:rsid w:val="00BC23F9"/>
    <w:rsid w:val="00BC26C0"/>
    <w:rsid w:val="00BC2912"/>
    <w:rsid w:val="00BC2B4C"/>
    <w:rsid w:val="00BC2ED0"/>
    <w:rsid w:val="00BC3421"/>
    <w:rsid w:val="00BC3456"/>
    <w:rsid w:val="00BC3468"/>
    <w:rsid w:val="00BC34DB"/>
    <w:rsid w:val="00BC3EB0"/>
    <w:rsid w:val="00BC4A92"/>
    <w:rsid w:val="00BC4B92"/>
    <w:rsid w:val="00BC56A2"/>
    <w:rsid w:val="00BC640E"/>
    <w:rsid w:val="00BC6BAE"/>
    <w:rsid w:val="00BC70DE"/>
    <w:rsid w:val="00BC7130"/>
    <w:rsid w:val="00BC732C"/>
    <w:rsid w:val="00BC7567"/>
    <w:rsid w:val="00BC798E"/>
    <w:rsid w:val="00BC7C3B"/>
    <w:rsid w:val="00BD02BB"/>
    <w:rsid w:val="00BD0A25"/>
    <w:rsid w:val="00BD0DF7"/>
    <w:rsid w:val="00BD0E4B"/>
    <w:rsid w:val="00BD12D2"/>
    <w:rsid w:val="00BD18EA"/>
    <w:rsid w:val="00BD1BA2"/>
    <w:rsid w:val="00BD27EC"/>
    <w:rsid w:val="00BD31A1"/>
    <w:rsid w:val="00BD398A"/>
    <w:rsid w:val="00BD439C"/>
    <w:rsid w:val="00BD4421"/>
    <w:rsid w:val="00BD45DF"/>
    <w:rsid w:val="00BD4B75"/>
    <w:rsid w:val="00BD4F35"/>
    <w:rsid w:val="00BD5220"/>
    <w:rsid w:val="00BD562F"/>
    <w:rsid w:val="00BD5BA4"/>
    <w:rsid w:val="00BD5DA0"/>
    <w:rsid w:val="00BD5EE1"/>
    <w:rsid w:val="00BD694B"/>
    <w:rsid w:val="00BD7847"/>
    <w:rsid w:val="00BD78C6"/>
    <w:rsid w:val="00BD79DD"/>
    <w:rsid w:val="00BD7CDB"/>
    <w:rsid w:val="00BE00AA"/>
    <w:rsid w:val="00BE0A31"/>
    <w:rsid w:val="00BE0CFC"/>
    <w:rsid w:val="00BE12EA"/>
    <w:rsid w:val="00BE1A9E"/>
    <w:rsid w:val="00BE1ADC"/>
    <w:rsid w:val="00BE22BB"/>
    <w:rsid w:val="00BE22E0"/>
    <w:rsid w:val="00BE2580"/>
    <w:rsid w:val="00BE266D"/>
    <w:rsid w:val="00BE3577"/>
    <w:rsid w:val="00BE3938"/>
    <w:rsid w:val="00BE4770"/>
    <w:rsid w:val="00BE4C11"/>
    <w:rsid w:val="00BE5094"/>
    <w:rsid w:val="00BE5138"/>
    <w:rsid w:val="00BE549E"/>
    <w:rsid w:val="00BE5B96"/>
    <w:rsid w:val="00BE5CB4"/>
    <w:rsid w:val="00BE68AB"/>
    <w:rsid w:val="00BE6B09"/>
    <w:rsid w:val="00BE6D99"/>
    <w:rsid w:val="00BE71C0"/>
    <w:rsid w:val="00BE7206"/>
    <w:rsid w:val="00BE7302"/>
    <w:rsid w:val="00BE7AD1"/>
    <w:rsid w:val="00BE7BDE"/>
    <w:rsid w:val="00BF0241"/>
    <w:rsid w:val="00BF16D4"/>
    <w:rsid w:val="00BF2CF2"/>
    <w:rsid w:val="00BF2F4E"/>
    <w:rsid w:val="00BF348B"/>
    <w:rsid w:val="00BF395E"/>
    <w:rsid w:val="00BF3B95"/>
    <w:rsid w:val="00BF5C34"/>
    <w:rsid w:val="00BF610C"/>
    <w:rsid w:val="00BF6548"/>
    <w:rsid w:val="00BF6AC3"/>
    <w:rsid w:val="00BF6F3E"/>
    <w:rsid w:val="00BF7113"/>
    <w:rsid w:val="00BF756E"/>
    <w:rsid w:val="00C00464"/>
    <w:rsid w:val="00C0060B"/>
    <w:rsid w:val="00C00628"/>
    <w:rsid w:val="00C00630"/>
    <w:rsid w:val="00C0177C"/>
    <w:rsid w:val="00C01A6C"/>
    <w:rsid w:val="00C02732"/>
    <w:rsid w:val="00C0277D"/>
    <w:rsid w:val="00C02BCD"/>
    <w:rsid w:val="00C02F26"/>
    <w:rsid w:val="00C03D81"/>
    <w:rsid w:val="00C0452C"/>
    <w:rsid w:val="00C045A5"/>
    <w:rsid w:val="00C04DEC"/>
    <w:rsid w:val="00C053A1"/>
    <w:rsid w:val="00C053DC"/>
    <w:rsid w:val="00C05DC9"/>
    <w:rsid w:val="00C05F93"/>
    <w:rsid w:val="00C0607C"/>
    <w:rsid w:val="00C062E6"/>
    <w:rsid w:val="00C0630D"/>
    <w:rsid w:val="00C068A0"/>
    <w:rsid w:val="00C102AA"/>
    <w:rsid w:val="00C103A4"/>
    <w:rsid w:val="00C10AE4"/>
    <w:rsid w:val="00C10C0D"/>
    <w:rsid w:val="00C1111E"/>
    <w:rsid w:val="00C11497"/>
    <w:rsid w:val="00C11504"/>
    <w:rsid w:val="00C11591"/>
    <w:rsid w:val="00C11BC6"/>
    <w:rsid w:val="00C11D2E"/>
    <w:rsid w:val="00C11E24"/>
    <w:rsid w:val="00C12D92"/>
    <w:rsid w:val="00C13536"/>
    <w:rsid w:val="00C138B8"/>
    <w:rsid w:val="00C13CA7"/>
    <w:rsid w:val="00C141F7"/>
    <w:rsid w:val="00C14DD5"/>
    <w:rsid w:val="00C153B2"/>
    <w:rsid w:val="00C155F7"/>
    <w:rsid w:val="00C15632"/>
    <w:rsid w:val="00C1565A"/>
    <w:rsid w:val="00C16130"/>
    <w:rsid w:val="00C16198"/>
    <w:rsid w:val="00C1661A"/>
    <w:rsid w:val="00C16B4E"/>
    <w:rsid w:val="00C173F6"/>
    <w:rsid w:val="00C1751E"/>
    <w:rsid w:val="00C178AE"/>
    <w:rsid w:val="00C17CF7"/>
    <w:rsid w:val="00C20434"/>
    <w:rsid w:val="00C2083D"/>
    <w:rsid w:val="00C20A5C"/>
    <w:rsid w:val="00C21D03"/>
    <w:rsid w:val="00C223B7"/>
    <w:rsid w:val="00C2252D"/>
    <w:rsid w:val="00C23A16"/>
    <w:rsid w:val="00C24466"/>
    <w:rsid w:val="00C247D1"/>
    <w:rsid w:val="00C24A53"/>
    <w:rsid w:val="00C25CA1"/>
    <w:rsid w:val="00C268E8"/>
    <w:rsid w:val="00C275CF"/>
    <w:rsid w:val="00C30039"/>
    <w:rsid w:val="00C30B14"/>
    <w:rsid w:val="00C31757"/>
    <w:rsid w:val="00C319B4"/>
    <w:rsid w:val="00C32158"/>
    <w:rsid w:val="00C32555"/>
    <w:rsid w:val="00C325BB"/>
    <w:rsid w:val="00C332DC"/>
    <w:rsid w:val="00C33395"/>
    <w:rsid w:val="00C33473"/>
    <w:rsid w:val="00C341BC"/>
    <w:rsid w:val="00C34645"/>
    <w:rsid w:val="00C349C5"/>
    <w:rsid w:val="00C34A05"/>
    <w:rsid w:val="00C34F3A"/>
    <w:rsid w:val="00C3530F"/>
    <w:rsid w:val="00C35380"/>
    <w:rsid w:val="00C3557D"/>
    <w:rsid w:val="00C3574A"/>
    <w:rsid w:val="00C35BB7"/>
    <w:rsid w:val="00C35CCE"/>
    <w:rsid w:val="00C35E9E"/>
    <w:rsid w:val="00C4032F"/>
    <w:rsid w:val="00C40773"/>
    <w:rsid w:val="00C41320"/>
    <w:rsid w:val="00C41637"/>
    <w:rsid w:val="00C41CCB"/>
    <w:rsid w:val="00C41D50"/>
    <w:rsid w:val="00C41F21"/>
    <w:rsid w:val="00C41FE2"/>
    <w:rsid w:val="00C425FE"/>
    <w:rsid w:val="00C42801"/>
    <w:rsid w:val="00C42F38"/>
    <w:rsid w:val="00C432CF"/>
    <w:rsid w:val="00C4369A"/>
    <w:rsid w:val="00C43F39"/>
    <w:rsid w:val="00C44047"/>
    <w:rsid w:val="00C44368"/>
    <w:rsid w:val="00C44716"/>
    <w:rsid w:val="00C44E76"/>
    <w:rsid w:val="00C45155"/>
    <w:rsid w:val="00C45787"/>
    <w:rsid w:val="00C4594E"/>
    <w:rsid w:val="00C45A42"/>
    <w:rsid w:val="00C468AF"/>
    <w:rsid w:val="00C4691C"/>
    <w:rsid w:val="00C50220"/>
    <w:rsid w:val="00C50F7C"/>
    <w:rsid w:val="00C513AC"/>
    <w:rsid w:val="00C51503"/>
    <w:rsid w:val="00C5170D"/>
    <w:rsid w:val="00C5281B"/>
    <w:rsid w:val="00C52E47"/>
    <w:rsid w:val="00C54960"/>
    <w:rsid w:val="00C5498F"/>
    <w:rsid w:val="00C55176"/>
    <w:rsid w:val="00C551C9"/>
    <w:rsid w:val="00C55235"/>
    <w:rsid w:val="00C56005"/>
    <w:rsid w:val="00C566CB"/>
    <w:rsid w:val="00C56859"/>
    <w:rsid w:val="00C56B0B"/>
    <w:rsid w:val="00C5710D"/>
    <w:rsid w:val="00C60B4A"/>
    <w:rsid w:val="00C610FB"/>
    <w:rsid w:val="00C61EA6"/>
    <w:rsid w:val="00C64428"/>
    <w:rsid w:val="00C64862"/>
    <w:rsid w:val="00C64CD0"/>
    <w:rsid w:val="00C64D4F"/>
    <w:rsid w:val="00C65BA2"/>
    <w:rsid w:val="00C65F61"/>
    <w:rsid w:val="00C6604C"/>
    <w:rsid w:val="00C66290"/>
    <w:rsid w:val="00C6684F"/>
    <w:rsid w:val="00C67E89"/>
    <w:rsid w:val="00C7024C"/>
    <w:rsid w:val="00C7089D"/>
    <w:rsid w:val="00C709AE"/>
    <w:rsid w:val="00C70E70"/>
    <w:rsid w:val="00C7162B"/>
    <w:rsid w:val="00C719E7"/>
    <w:rsid w:val="00C71BFF"/>
    <w:rsid w:val="00C721B6"/>
    <w:rsid w:val="00C724E8"/>
    <w:rsid w:val="00C72D1A"/>
    <w:rsid w:val="00C7374A"/>
    <w:rsid w:val="00C73855"/>
    <w:rsid w:val="00C7407B"/>
    <w:rsid w:val="00C75F8D"/>
    <w:rsid w:val="00C7667D"/>
    <w:rsid w:val="00C77380"/>
    <w:rsid w:val="00C77EF9"/>
    <w:rsid w:val="00C80345"/>
    <w:rsid w:val="00C80E1F"/>
    <w:rsid w:val="00C813D7"/>
    <w:rsid w:val="00C815D2"/>
    <w:rsid w:val="00C820FF"/>
    <w:rsid w:val="00C82428"/>
    <w:rsid w:val="00C82A4D"/>
    <w:rsid w:val="00C82C60"/>
    <w:rsid w:val="00C82C82"/>
    <w:rsid w:val="00C83156"/>
    <w:rsid w:val="00C8350B"/>
    <w:rsid w:val="00C83567"/>
    <w:rsid w:val="00C83AA2"/>
    <w:rsid w:val="00C84F54"/>
    <w:rsid w:val="00C85179"/>
    <w:rsid w:val="00C85BDF"/>
    <w:rsid w:val="00C86633"/>
    <w:rsid w:val="00C86660"/>
    <w:rsid w:val="00C86879"/>
    <w:rsid w:val="00C86944"/>
    <w:rsid w:val="00C87ADE"/>
    <w:rsid w:val="00C87D28"/>
    <w:rsid w:val="00C87E8A"/>
    <w:rsid w:val="00C90A12"/>
    <w:rsid w:val="00C90B60"/>
    <w:rsid w:val="00C90B80"/>
    <w:rsid w:val="00C91257"/>
    <w:rsid w:val="00C913D6"/>
    <w:rsid w:val="00C91413"/>
    <w:rsid w:val="00C91736"/>
    <w:rsid w:val="00C9208E"/>
    <w:rsid w:val="00C921B4"/>
    <w:rsid w:val="00C92FB1"/>
    <w:rsid w:val="00C93772"/>
    <w:rsid w:val="00C93F13"/>
    <w:rsid w:val="00C956A8"/>
    <w:rsid w:val="00C958F4"/>
    <w:rsid w:val="00C95F8E"/>
    <w:rsid w:val="00C96A5C"/>
    <w:rsid w:val="00C97116"/>
    <w:rsid w:val="00C97248"/>
    <w:rsid w:val="00C97736"/>
    <w:rsid w:val="00C97D51"/>
    <w:rsid w:val="00C97FA9"/>
    <w:rsid w:val="00CA0979"/>
    <w:rsid w:val="00CA188C"/>
    <w:rsid w:val="00CA1DA7"/>
    <w:rsid w:val="00CA257B"/>
    <w:rsid w:val="00CA2ADE"/>
    <w:rsid w:val="00CA2C5E"/>
    <w:rsid w:val="00CA2DBC"/>
    <w:rsid w:val="00CA345A"/>
    <w:rsid w:val="00CA39E5"/>
    <w:rsid w:val="00CA3F44"/>
    <w:rsid w:val="00CA4086"/>
    <w:rsid w:val="00CA463C"/>
    <w:rsid w:val="00CA499B"/>
    <w:rsid w:val="00CA49CD"/>
    <w:rsid w:val="00CA4B59"/>
    <w:rsid w:val="00CA4BD1"/>
    <w:rsid w:val="00CA5A4B"/>
    <w:rsid w:val="00CA614D"/>
    <w:rsid w:val="00CA74D5"/>
    <w:rsid w:val="00CA7634"/>
    <w:rsid w:val="00CA7CDE"/>
    <w:rsid w:val="00CB00F4"/>
    <w:rsid w:val="00CB09F7"/>
    <w:rsid w:val="00CB0E92"/>
    <w:rsid w:val="00CB1585"/>
    <w:rsid w:val="00CB1797"/>
    <w:rsid w:val="00CB1E82"/>
    <w:rsid w:val="00CB2439"/>
    <w:rsid w:val="00CB287D"/>
    <w:rsid w:val="00CB2FCA"/>
    <w:rsid w:val="00CB31B9"/>
    <w:rsid w:val="00CB4BA8"/>
    <w:rsid w:val="00CB52D7"/>
    <w:rsid w:val="00CB5747"/>
    <w:rsid w:val="00CB5C71"/>
    <w:rsid w:val="00CB5EC4"/>
    <w:rsid w:val="00CB6442"/>
    <w:rsid w:val="00CB6C58"/>
    <w:rsid w:val="00CB7307"/>
    <w:rsid w:val="00CB78CE"/>
    <w:rsid w:val="00CC1FC3"/>
    <w:rsid w:val="00CC248C"/>
    <w:rsid w:val="00CC264F"/>
    <w:rsid w:val="00CC2C6C"/>
    <w:rsid w:val="00CC2EFE"/>
    <w:rsid w:val="00CC3018"/>
    <w:rsid w:val="00CC3582"/>
    <w:rsid w:val="00CC3B5D"/>
    <w:rsid w:val="00CC3C84"/>
    <w:rsid w:val="00CC3CA3"/>
    <w:rsid w:val="00CC44B4"/>
    <w:rsid w:val="00CC49C6"/>
    <w:rsid w:val="00CC5BAB"/>
    <w:rsid w:val="00CC5C81"/>
    <w:rsid w:val="00CC60C5"/>
    <w:rsid w:val="00CC6732"/>
    <w:rsid w:val="00CC6B72"/>
    <w:rsid w:val="00CC701F"/>
    <w:rsid w:val="00CC7516"/>
    <w:rsid w:val="00CC796C"/>
    <w:rsid w:val="00CD0298"/>
    <w:rsid w:val="00CD1488"/>
    <w:rsid w:val="00CD1557"/>
    <w:rsid w:val="00CD19F3"/>
    <w:rsid w:val="00CD227B"/>
    <w:rsid w:val="00CD599F"/>
    <w:rsid w:val="00CD5AB1"/>
    <w:rsid w:val="00CD6929"/>
    <w:rsid w:val="00CD6995"/>
    <w:rsid w:val="00CD6ACF"/>
    <w:rsid w:val="00CD7222"/>
    <w:rsid w:val="00CE030B"/>
    <w:rsid w:val="00CE0D9B"/>
    <w:rsid w:val="00CE0DCC"/>
    <w:rsid w:val="00CE0ED1"/>
    <w:rsid w:val="00CE1344"/>
    <w:rsid w:val="00CE1641"/>
    <w:rsid w:val="00CE1802"/>
    <w:rsid w:val="00CE1BF4"/>
    <w:rsid w:val="00CE1EF4"/>
    <w:rsid w:val="00CE1EFF"/>
    <w:rsid w:val="00CE1F00"/>
    <w:rsid w:val="00CE25A3"/>
    <w:rsid w:val="00CE2ABF"/>
    <w:rsid w:val="00CE3163"/>
    <w:rsid w:val="00CE319F"/>
    <w:rsid w:val="00CE32D6"/>
    <w:rsid w:val="00CE38BC"/>
    <w:rsid w:val="00CE3C96"/>
    <w:rsid w:val="00CE426D"/>
    <w:rsid w:val="00CE4277"/>
    <w:rsid w:val="00CE43FC"/>
    <w:rsid w:val="00CE4C9B"/>
    <w:rsid w:val="00CE50CE"/>
    <w:rsid w:val="00CE5128"/>
    <w:rsid w:val="00CE51A8"/>
    <w:rsid w:val="00CE5C88"/>
    <w:rsid w:val="00CE6ABF"/>
    <w:rsid w:val="00CE778F"/>
    <w:rsid w:val="00CF0BFE"/>
    <w:rsid w:val="00CF10CE"/>
    <w:rsid w:val="00CF1B7B"/>
    <w:rsid w:val="00CF1F2C"/>
    <w:rsid w:val="00CF2255"/>
    <w:rsid w:val="00CF2308"/>
    <w:rsid w:val="00CF2DDF"/>
    <w:rsid w:val="00CF369B"/>
    <w:rsid w:val="00CF37F4"/>
    <w:rsid w:val="00CF43C5"/>
    <w:rsid w:val="00CF4AA9"/>
    <w:rsid w:val="00CF50D6"/>
    <w:rsid w:val="00CF51F2"/>
    <w:rsid w:val="00CF592E"/>
    <w:rsid w:val="00CF5EB8"/>
    <w:rsid w:val="00CF63A1"/>
    <w:rsid w:val="00CF6639"/>
    <w:rsid w:val="00CF71BE"/>
    <w:rsid w:val="00CF7706"/>
    <w:rsid w:val="00CF7EE4"/>
    <w:rsid w:val="00D00421"/>
    <w:rsid w:val="00D00822"/>
    <w:rsid w:val="00D00DE8"/>
    <w:rsid w:val="00D00E28"/>
    <w:rsid w:val="00D00F44"/>
    <w:rsid w:val="00D0102E"/>
    <w:rsid w:val="00D01399"/>
    <w:rsid w:val="00D01BB1"/>
    <w:rsid w:val="00D0269E"/>
    <w:rsid w:val="00D0319F"/>
    <w:rsid w:val="00D03276"/>
    <w:rsid w:val="00D03E57"/>
    <w:rsid w:val="00D04002"/>
    <w:rsid w:val="00D044C0"/>
    <w:rsid w:val="00D044CB"/>
    <w:rsid w:val="00D0526D"/>
    <w:rsid w:val="00D05D6C"/>
    <w:rsid w:val="00D0689B"/>
    <w:rsid w:val="00D06978"/>
    <w:rsid w:val="00D06CF8"/>
    <w:rsid w:val="00D07325"/>
    <w:rsid w:val="00D076BE"/>
    <w:rsid w:val="00D1013C"/>
    <w:rsid w:val="00D101E0"/>
    <w:rsid w:val="00D10D44"/>
    <w:rsid w:val="00D12BBB"/>
    <w:rsid w:val="00D12E29"/>
    <w:rsid w:val="00D1327B"/>
    <w:rsid w:val="00D137A7"/>
    <w:rsid w:val="00D138F3"/>
    <w:rsid w:val="00D14121"/>
    <w:rsid w:val="00D144A7"/>
    <w:rsid w:val="00D15603"/>
    <w:rsid w:val="00D15810"/>
    <w:rsid w:val="00D159D0"/>
    <w:rsid w:val="00D168E3"/>
    <w:rsid w:val="00D16D4E"/>
    <w:rsid w:val="00D16FE3"/>
    <w:rsid w:val="00D178B7"/>
    <w:rsid w:val="00D20603"/>
    <w:rsid w:val="00D21596"/>
    <w:rsid w:val="00D217D8"/>
    <w:rsid w:val="00D21AA4"/>
    <w:rsid w:val="00D21B44"/>
    <w:rsid w:val="00D223DF"/>
    <w:rsid w:val="00D2337A"/>
    <w:rsid w:val="00D23E99"/>
    <w:rsid w:val="00D24146"/>
    <w:rsid w:val="00D244E5"/>
    <w:rsid w:val="00D24663"/>
    <w:rsid w:val="00D24921"/>
    <w:rsid w:val="00D24B43"/>
    <w:rsid w:val="00D25631"/>
    <w:rsid w:val="00D25A87"/>
    <w:rsid w:val="00D26793"/>
    <w:rsid w:val="00D267B0"/>
    <w:rsid w:val="00D268FD"/>
    <w:rsid w:val="00D26D9A"/>
    <w:rsid w:val="00D26E22"/>
    <w:rsid w:val="00D26F07"/>
    <w:rsid w:val="00D277F6"/>
    <w:rsid w:val="00D277F7"/>
    <w:rsid w:val="00D278BD"/>
    <w:rsid w:val="00D2799E"/>
    <w:rsid w:val="00D27F41"/>
    <w:rsid w:val="00D3072B"/>
    <w:rsid w:val="00D313FE"/>
    <w:rsid w:val="00D31B7C"/>
    <w:rsid w:val="00D3269F"/>
    <w:rsid w:val="00D32AE7"/>
    <w:rsid w:val="00D32B52"/>
    <w:rsid w:val="00D33B60"/>
    <w:rsid w:val="00D3456C"/>
    <w:rsid w:val="00D349D5"/>
    <w:rsid w:val="00D34D6C"/>
    <w:rsid w:val="00D34F26"/>
    <w:rsid w:val="00D35805"/>
    <w:rsid w:val="00D35998"/>
    <w:rsid w:val="00D35CE7"/>
    <w:rsid w:val="00D360A8"/>
    <w:rsid w:val="00D363BC"/>
    <w:rsid w:val="00D36441"/>
    <w:rsid w:val="00D36CDE"/>
    <w:rsid w:val="00D3711C"/>
    <w:rsid w:val="00D37407"/>
    <w:rsid w:val="00D40400"/>
    <w:rsid w:val="00D4048F"/>
    <w:rsid w:val="00D4064E"/>
    <w:rsid w:val="00D409B4"/>
    <w:rsid w:val="00D4149E"/>
    <w:rsid w:val="00D41F43"/>
    <w:rsid w:val="00D42B6B"/>
    <w:rsid w:val="00D43A95"/>
    <w:rsid w:val="00D43B47"/>
    <w:rsid w:val="00D44392"/>
    <w:rsid w:val="00D4460C"/>
    <w:rsid w:val="00D44743"/>
    <w:rsid w:val="00D44A7E"/>
    <w:rsid w:val="00D44C9C"/>
    <w:rsid w:val="00D44E9B"/>
    <w:rsid w:val="00D4529A"/>
    <w:rsid w:val="00D45314"/>
    <w:rsid w:val="00D45389"/>
    <w:rsid w:val="00D45C4B"/>
    <w:rsid w:val="00D45FCD"/>
    <w:rsid w:val="00D467F7"/>
    <w:rsid w:val="00D46914"/>
    <w:rsid w:val="00D46F20"/>
    <w:rsid w:val="00D4707D"/>
    <w:rsid w:val="00D4764D"/>
    <w:rsid w:val="00D478B1"/>
    <w:rsid w:val="00D47AEB"/>
    <w:rsid w:val="00D50995"/>
    <w:rsid w:val="00D50DB9"/>
    <w:rsid w:val="00D51191"/>
    <w:rsid w:val="00D51302"/>
    <w:rsid w:val="00D5191A"/>
    <w:rsid w:val="00D52181"/>
    <w:rsid w:val="00D52BF2"/>
    <w:rsid w:val="00D52C43"/>
    <w:rsid w:val="00D52E7C"/>
    <w:rsid w:val="00D535B3"/>
    <w:rsid w:val="00D5380E"/>
    <w:rsid w:val="00D5390C"/>
    <w:rsid w:val="00D53956"/>
    <w:rsid w:val="00D53A12"/>
    <w:rsid w:val="00D54037"/>
    <w:rsid w:val="00D54156"/>
    <w:rsid w:val="00D54864"/>
    <w:rsid w:val="00D54B67"/>
    <w:rsid w:val="00D54FC3"/>
    <w:rsid w:val="00D55FF1"/>
    <w:rsid w:val="00D5610B"/>
    <w:rsid w:val="00D56117"/>
    <w:rsid w:val="00D56325"/>
    <w:rsid w:val="00D5665E"/>
    <w:rsid w:val="00D57068"/>
    <w:rsid w:val="00D573AD"/>
    <w:rsid w:val="00D5764B"/>
    <w:rsid w:val="00D60553"/>
    <w:rsid w:val="00D60696"/>
    <w:rsid w:val="00D60873"/>
    <w:rsid w:val="00D608D6"/>
    <w:rsid w:val="00D60F03"/>
    <w:rsid w:val="00D61229"/>
    <w:rsid w:val="00D61243"/>
    <w:rsid w:val="00D613B5"/>
    <w:rsid w:val="00D61CFA"/>
    <w:rsid w:val="00D61EE9"/>
    <w:rsid w:val="00D627E4"/>
    <w:rsid w:val="00D630D1"/>
    <w:rsid w:val="00D631DD"/>
    <w:rsid w:val="00D633D4"/>
    <w:rsid w:val="00D63B21"/>
    <w:rsid w:val="00D63B2B"/>
    <w:rsid w:val="00D64DE3"/>
    <w:rsid w:val="00D65022"/>
    <w:rsid w:val="00D6507F"/>
    <w:rsid w:val="00D652EF"/>
    <w:rsid w:val="00D65341"/>
    <w:rsid w:val="00D65719"/>
    <w:rsid w:val="00D65A04"/>
    <w:rsid w:val="00D65B88"/>
    <w:rsid w:val="00D66211"/>
    <w:rsid w:val="00D664E0"/>
    <w:rsid w:val="00D66ACB"/>
    <w:rsid w:val="00D6765E"/>
    <w:rsid w:val="00D67968"/>
    <w:rsid w:val="00D67A19"/>
    <w:rsid w:val="00D70D61"/>
    <w:rsid w:val="00D714D8"/>
    <w:rsid w:val="00D723E8"/>
    <w:rsid w:val="00D730BC"/>
    <w:rsid w:val="00D73912"/>
    <w:rsid w:val="00D73CB4"/>
    <w:rsid w:val="00D74502"/>
    <w:rsid w:val="00D745F8"/>
    <w:rsid w:val="00D747F3"/>
    <w:rsid w:val="00D74CAD"/>
    <w:rsid w:val="00D75115"/>
    <w:rsid w:val="00D7525D"/>
    <w:rsid w:val="00D756AF"/>
    <w:rsid w:val="00D75AB8"/>
    <w:rsid w:val="00D76757"/>
    <w:rsid w:val="00D7742A"/>
    <w:rsid w:val="00D77819"/>
    <w:rsid w:val="00D77ACB"/>
    <w:rsid w:val="00D80B59"/>
    <w:rsid w:val="00D80F4C"/>
    <w:rsid w:val="00D81275"/>
    <w:rsid w:val="00D8347E"/>
    <w:rsid w:val="00D83748"/>
    <w:rsid w:val="00D84DC6"/>
    <w:rsid w:val="00D85226"/>
    <w:rsid w:val="00D85399"/>
    <w:rsid w:val="00D8576A"/>
    <w:rsid w:val="00D86225"/>
    <w:rsid w:val="00D87B94"/>
    <w:rsid w:val="00D87C3C"/>
    <w:rsid w:val="00D87CA2"/>
    <w:rsid w:val="00D914BB"/>
    <w:rsid w:val="00D91DF2"/>
    <w:rsid w:val="00D923D1"/>
    <w:rsid w:val="00D9279E"/>
    <w:rsid w:val="00D92D49"/>
    <w:rsid w:val="00D92EC1"/>
    <w:rsid w:val="00D93077"/>
    <w:rsid w:val="00D937C4"/>
    <w:rsid w:val="00D939F4"/>
    <w:rsid w:val="00D94431"/>
    <w:rsid w:val="00D94804"/>
    <w:rsid w:val="00D94C8F"/>
    <w:rsid w:val="00D94D10"/>
    <w:rsid w:val="00D952BF"/>
    <w:rsid w:val="00D96644"/>
    <w:rsid w:val="00D96923"/>
    <w:rsid w:val="00D96BAC"/>
    <w:rsid w:val="00D96DEA"/>
    <w:rsid w:val="00D9753D"/>
    <w:rsid w:val="00D97B0F"/>
    <w:rsid w:val="00DA02E8"/>
    <w:rsid w:val="00DA05D1"/>
    <w:rsid w:val="00DA0A8A"/>
    <w:rsid w:val="00DA0E65"/>
    <w:rsid w:val="00DA0F19"/>
    <w:rsid w:val="00DA1F5F"/>
    <w:rsid w:val="00DA4516"/>
    <w:rsid w:val="00DA4926"/>
    <w:rsid w:val="00DA4E41"/>
    <w:rsid w:val="00DA53DB"/>
    <w:rsid w:val="00DA54F8"/>
    <w:rsid w:val="00DA5B08"/>
    <w:rsid w:val="00DA6B7A"/>
    <w:rsid w:val="00DA6E52"/>
    <w:rsid w:val="00DA7E2A"/>
    <w:rsid w:val="00DA7FAA"/>
    <w:rsid w:val="00DB0F76"/>
    <w:rsid w:val="00DB117A"/>
    <w:rsid w:val="00DB1561"/>
    <w:rsid w:val="00DB1EA8"/>
    <w:rsid w:val="00DB23B8"/>
    <w:rsid w:val="00DB2717"/>
    <w:rsid w:val="00DB30D9"/>
    <w:rsid w:val="00DB3925"/>
    <w:rsid w:val="00DB5173"/>
    <w:rsid w:val="00DB543B"/>
    <w:rsid w:val="00DB55ED"/>
    <w:rsid w:val="00DB5BFF"/>
    <w:rsid w:val="00DB631C"/>
    <w:rsid w:val="00DB68B9"/>
    <w:rsid w:val="00DB6B30"/>
    <w:rsid w:val="00DB7873"/>
    <w:rsid w:val="00DB79EC"/>
    <w:rsid w:val="00DB7EB6"/>
    <w:rsid w:val="00DC187B"/>
    <w:rsid w:val="00DC18F8"/>
    <w:rsid w:val="00DC242C"/>
    <w:rsid w:val="00DC24EC"/>
    <w:rsid w:val="00DC2B01"/>
    <w:rsid w:val="00DC2E40"/>
    <w:rsid w:val="00DC302F"/>
    <w:rsid w:val="00DC3072"/>
    <w:rsid w:val="00DC38ED"/>
    <w:rsid w:val="00DC3DB3"/>
    <w:rsid w:val="00DC3EE6"/>
    <w:rsid w:val="00DC58D0"/>
    <w:rsid w:val="00DC5B40"/>
    <w:rsid w:val="00DC5D1D"/>
    <w:rsid w:val="00DC6AC3"/>
    <w:rsid w:val="00DC7000"/>
    <w:rsid w:val="00DC7A11"/>
    <w:rsid w:val="00DD04AB"/>
    <w:rsid w:val="00DD0515"/>
    <w:rsid w:val="00DD0758"/>
    <w:rsid w:val="00DD0BBE"/>
    <w:rsid w:val="00DD1A43"/>
    <w:rsid w:val="00DD2276"/>
    <w:rsid w:val="00DD26D6"/>
    <w:rsid w:val="00DD2EBF"/>
    <w:rsid w:val="00DD3215"/>
    <w:rsid w:val="00DD3501"/>
    <w:rsid w:val="00DD460E"/>
    <w:rsid w:val="00DD59D1"/>
    <w:rsid w:val="00DD5B59"/>
    <w:rsid w:val="00DD685D"/>
    <w:rsid w:val="00DD73C2"/>
    <w:rsid w:val="00DD75C2"/>
    <w:rsid w:val="00DD78BC"/>
    <w:rsid w:val="00DD78EC"/>
    <w:rsid w:val="00DD7AE2"/>
    <w:rsid w:val="00DD7CF0"/>
    <w:rsid w:val="00DD7ED5"/>
    <w:rsid w:val="00DE0372"/>
    <w:rsid w:val="00DE0949"/>
    <w:rsid w:val="00DE1014"/>
    <w:rsid w:val="00DE1B9E"/>
    <w:rsid w:val="00DE1C7C"/>
    <w:rsid w:val="00DE1D00"/>
    <w:rsid w:val="00DE1F93"/>
    <w:rsid w:val="00DE2157"/>
    <w:rsid w:val="00DE292F"/>
    <w:rsid w:val="00DE319B"/>
    <w:rsid w:val="00DE35E3"/>
    <w:rsid w:val="00DE39F1"/>
    <w:rsid w:val="00DE3AC8"/>
    <w:rsid w:val="00DE3B19"/>
    <w:rsid w:val="00DE3DE0"/>
    <w:rsid w:val="00DE3E0A"/>
    <w:rsid w:val="00DE437F"/>
    <w:rsid w:val="00DE4F49"/>
    <w:rsid w:val="00DE50EB"/>
    <w:rsid w:val="00DE650E"/>
    <w:rsid w:val="00DE6C80"/>
    <w:rsid w:val="00DE7279"/>
    <w:rsid w:val="00DE7D8D"/>
    <w:rsid w:val="00DF00C9"/>
    <w:rsid w:val="00DF0308"/>
    <w:rsid w:val="00DF065E"/>
    <w:rsid w:val="00DF0BED"/>
    <w:rsid w:val="00DF1113"/>
    <w:rsid w:val="00DF156B"/>
    <w:rsid w:val="00DF34FE"/>
    <w:rsid w:val="00DF372D"/>
    <w:rsid w:val="00DF44D8"/>
    <w:rsid w:val="00DF4F33"/>
    <w:rsid w:val="00DF5286"/>
    <w:rsid w:val="00DF569C"/>
    <w:rsid w:val="00DF56AA"/>
    <w:rsid w:val="00DF56AF"/>
    <w:rsid w:val="00DF589F"/>
    <w:rsid w:val="00DF6D7E"/>
    <w:rsid w:val="00DF78E7"/>
    <w:rsid w:val="00DF7999"/>
    <w:rsid w:val="00E008BF"/>
    <w:rsid w:val="00E00A00"/>
    <w:rsid w:val="00E00C97"/>
    <w:rsid w:val="00E01B0D"/>
    <w:rsid w:val="00E01C0C"/>
    <w:rsid w:val="00E02BA9"/>
    <w:rsid w:val="00E03824"/>
    <w:rsid w:val="00E03EBF"/>
    <w:rsid w:val="00E04942"/>
    <w:rsid w:val="00E04AD9"/>
    <w:rsid w:val="00E05875"/>
    <w:rsid w:val="00E05B7C"/>
    <w:rsid w:val="00E05E3A"/>
    <w:rsid w:val="00E06B57"/>
    <w:rsid w:val="00E06D27"/>
    <w:rsid w:val="00E06D2D"/>
    <w:rsid w:val="00E0714D"/>
    <w:rsid w:val="00E07CDD"/>
    <w:rsid w:val="00E1019C"/>
    <w:rsid w:val="00E103D2"/>
    <w:rsid w:val="00E104B9"/>
    <w:rsid w:val="00E10976"/>
    <w:rsid w:val="00E10A84"/>
    <w:rsid w:val="00E110E0"/>
    <w:rsid w:val="00E112E1"/>
    <w:rsid w:val="00E11BE3"/>
    <w:rsid w:val="00E11F81"/>
    <w:rsid w:val="00E1262C"/>
    <w:rsid w:val="00E1267D"/>
    <w:rsid w:val="00E1280D"/>
    <w:rsid w:val="00E128D6"/>
    <w:rsid w:val="00E12B77"/>
    <w:rsid w:val="00E12B9D"/>
    <w:rsid w:val="00E13E3A"/>
    <w:rsid w:val="00E14364"/>
    <w:rsid w:val="00E147CB"/>
    <w:rsid w:val="00E14AA4"/>
    <w:rsid w:val="00E15371"/>
    <w:rsid w:val="00E15713"/>
    <w:rsid w:val="00E15A8C"/>
    <w:rsid w:val="00E16089"/>
    <w:rsid w:val="00E162C4"/>
    <w:rsid w:val="00E17A89"/>
    <w:rsid w:val="00E20230"/>
    <w:rsid w:val="00E206E5"/>
    <w:rsid w:val="00E21056"/>
    <w:rsid w:val="00E21A80"/>
    <w:rsid w:val="00E22402"/>
    <w:rsid w:val="00E2264D"/>
    <w:rsid w:val="00E22C69"/>
    <w:rsid w:val="00E22CB9"/>
    <w:rsid w:val="00E22E53"/>
    <w:rsid w:val="00E23655"/>
    <w:rsid w:val="00E23C00"/>
    <w:rsid w:val="00E24104"/>
    <w:rsid w:val="00E24171"/>
    <w:rsid w:val="00E242BB"/>
    <w:rsid w:val="00E249BB"/>
    <w:rsid w:val="00E258E8"/>
    <w:rsid w:val="00E258F7"/>
    <w:rsid w:val="00E25D4D"/>
    <w:rsid w:val="00E25D6E"/>
    <w:rsid w:val="00E26229"/>
    <w:rsid w:val="00E2643B"/>
    <w:rsid w:val="00E26E0B"/>
    <w:rsid w:val="00E27030"/>
    <w:rsid w:val="00E27795"/>
    <w:rsid w:val="00E2780B"/>
    <w:rsid w:val="00E279CA"/>
    <w:rsid w:val="00E27BAB"/>
    <w:rsid w:val="00E302D0"/>
    <w:rsid w:val="00E303A6"/>
    <w:rsid w:val="00E3102D"/>
    <w:rsid w:val="00E31C8F"/>
    <w:rsid w:val="00E32072"/>
    <w:rsid w:val="00E32183"/>
    <w:rsid w:val="00E328CA"/>
    <w:rsid w:val="00E32959"/>
    <w:rsid w:val="00E32F8C"/>
    <w:rsid w:val="00E3388D"/>
    <w:rsid w:val="00E342C2"/>
    <w:rsid w:val="00E345A6"/>
    <w:rsid w:val="00E3502C"/>
    <w:rsid w:val="00E354A4"/>
    <w:rsid w:val="00E35707"/>
    <w:rsid w:val="00E35AD1"/>
    <w:rsid w:val="00E36575"/>
    <w:rsid w:val="00E365EC"/>
    <w:rsid w:val="00E36AA1"/>
    <w:rsid w:val="00E376E7"/>
    <w:rsid w:val="00E378E5"/>
    <w:rsid w:val="00E40242"/>
    <w:rsid w:val="00E403E6"/>
    <w:rsid w:val="00E404EE"/>
    <w:rsid w:val="00E408B0"/>
    <w:rsid w:val="00E41645"/>
    <w:rsid w:val="00E41659"/>
    <w:rsid w:val="00E41ECB"/>
    <w:rsid w:val="00E41F8D"/>
    <w:rsid w:val="00E42526"/>
    <w:rsid w:val="00E42676"/>
    <w:rsid w:val="00E428E1"/>
    <w:rsid w:val="00E42A19"/>
    <w:rsid w:val="00E42AE1"/>
    <w:rsid w:val="00E42B7D"/>
    <w:rsid w:val="00E43824"/>
    <w:rsid w:val="00E43DE2"/>
    <w:rsid w:val="00E4446C"/>
    <w:rsid w:val="00E4491C"/>
    <w:rsid w:val="00E44B86"/>
    <w:rsid w:val="00E469D0"/>
    <w:rsid w:val="00E46BB8"/>
    <w:rsid w:val="00E47652"/>
    <w:rsid w:val="00E47922"/>
    <w:rsid w:val="00E503AD"/>
    <w:rsid w:val="00E5081B"/>
    <w:rsid w:val="00E512E3"/>
    <w:rsid w:val="00E51332"/>
    <w:rsid w:val="00E5147F"/>
    <w:rsid w:val="00E51866"/>
    <w:rsid w:val="00E51EA8"/>
    <w:rsid w:val="00E5306D"/>
    <w:rsid w:val="00E5328F"/>
    <w:rsid w:val="00E5426D"/>
    <w:rsid w:val="00E54FDB"/>
    <w:rsid w:val="00E55F1A"/>
    <w:rsid w:val="00E5617D"/>
    <w:rsid w:val="00E56274"/>
    <w:rsid w:val="00E562AC"/>
    <w:rsid w:val="00E563D7"/>
    <w:rsid w:val="00E56453"/>
    <w:rsid w:val="00E5698D"/>
    <w:rsid w:val="00E56EB9"/>
    <w:rsid w:val="00E573E9"/>
    <w:rsid w:val="00E57C14"/>
    <w:rsid w:val="00E57D93"/>
    <w:rsid w:val="00E57F96"/>
    <w:rsid w:val="00E601B9"/>
    <w:rsid w:val="00E61345"/>
    <w:rsid w:val="00E62293"/>
    <w:rsid w:val="00E63373"/>
    <w:rsid w:val="00E633B9"/>
    <w:rsid w:val="00E63623"/>
    <w:rsid w:val="00E63761"/>
    <w:rsid w:val="00E643B1"/>
    <w:rsid w:val="00E64D5B"/>
    <w:rsid w:val="00E65C02"/>
    <w:rsid w:val="00E663F4"/>
    <w:rsid w:val="00E666F2"/>
    <w:rsid w:val="00E668F5"/>
    <w:rsid w:val="00E66DD4"/>
    <w:rsid w:val="00E67009"/>
    <w:rsid w:val="00E679E9"/>
    <w:rsid w:val="00E705FF"/>
    <w:rsid w:val="00E70A00"/>
    <w:rsid w:val="00E70A4A"/>
    <w:rsid w:val="00E70B7C"/>
    <w:rsid w:val="00E71872"/>
    <w:rsid w:val="00E72B2C"/>
    <w:rsid w:val="00E730E2"/>
    <w:rsid w:val="00E7344A"/>
    <w:rsid w:val="00E74877"/>
    <w:rsid w:val="00E748CC"/>
    <w:rsid w:val="00E74F15"/>
    <w:rsid w:val="00E7507F"/>
    <w:rsid w:val="00E752EF"/>
    <w:rsid w:val="00E75415"/>
    <w:rsid w:val="00E7564E"/>
    <w:rsid w:val="00E75717"/>
    <w:rsid w:val="00E75A34"/>
    <w:rsid w:val="00E75BA1"/>
    <w:rsid w:val="00E766D9"/>
    <w:rsid w:val="00E775B1"/>
    <w:rsid w:val="00E77682"/>
    <w:rsid w:val="00E77784"/>
    <w:rsid w:val="00E77F90"/>
    <w:rsid w:val="00E80350"/>
    <w:rsid w:val="00E80998"/>
    <w:rsid w:val="00E810A7"/>
    <w:rsid w:val="00E810E4"/>
    <w:rsid w:val="00E8152A"/>
    <w:rsid w:val="00E83301"/>
    <w:rsid w:val="00E83310"/>
    <w:rsid w:val="00E83410"/>
    <w:rsid w:val="00E83842"/>
    <w:rsid w:val="00E83BDF"/>
    <w:rsid w:val="00E83E49"/>
    <w:rsid w:val="00E83ED4"/>
    <w:rsid w:val="00E842C4"/>
    <w:rsid w:val="00E84408"/>
    <w:rsid w:val="00E847C4"/>
    <w:rsid w:val="00E85DCD"/>
    <w:rsid w:val="00E860A6"/>
    <w:rsid w:val="00E86A1C"/>
    <w:rsid w:val="00E8736C"/>
    <w:rsid w:val="00E87AFF"/>
    <w:rsid w:val="00E87F29"/>
    <w:rsid w:val="00E9042E"/>
    <w:rsid w:val="00E9098B"/>
    <w:rsid w:val="00E90B64"/>
    <w:rsid w:val="00E90DAF"/>
    <w:rsid w:val="00E91A4F"/>
    <w:rsid w:val="00E91D47"/>
    <w:rsid w:val="00E921EA"/>
    <w:rsid w:val="00E92226"/>
    <w:rsid w:val="00E92955"/>
    <w:rsid w:val="00E92CF3"/>
    <w:rsid w:val="00E931A6"/>
    <w:rsid w:val="00E93629"/>
    <w:rsid w:val="00E93B5C"/>
    <w:rsid w:val="00E93D03"/>
    <w:rsid w:val="00E94316"/>
    <w:rsid w:val="00E94357"/>
    <w:rsid w:val="00E94CEC"/>
    <w:rsid w:val="00E95BCD"/>
    <w:rsid w:val="00E95F7B"/>
    <w:rsid w:val="00E96A3F"/>
    <w:rsid w:val="00E97A46"/>
    <w:rsid w:val="00EA00E9"/>
    <w:rsid w:val="00EA04EF"/>
    <w:rsid w:val="00EA06A2"/>
    <w:rsid w:val="00EA0969"/>
    <w:rsid w:val="00EA10F4"/>
    <w:rsid w:val="00EA1870"/>
    <w:rsid w:val="00EA1930"/>
    <w:rsid w:val="00EA1B4B"/>
    <w:rsid w:val="00EA24BA"/>
    <w:rsid w:val="00EA275E"/>
    <w:rsid w:val="00EA32AC"/>
    <w:rsid w:val="00EA3556"/>
    <w:rsid w:val="00EA371F"/>
    <w:rsid w:val="00EA3D32"/>
    <w:rsid w:val="00EA4252"/>
    <w:rsid w:val="00EA4766"/>
    <w:rsid w:val="00EA47DD"/>
    <w:rsid w:val="00EA4853"/>
    <w:rsid w:val="00EA4B17"/>
    <w:rsid w:val="00EA5274"/>
    <w:rsid w:val="00EA53C3"/>
    <w:rsid w:val="00EA5C07"/>
    <w:rsid w:val="00EA6727"/>
    <w:rsid w:val="00EA6904"/>
    <w:rsid w:val="00EA6C79"/>
    <w:rsid w:val="00EA6D86"/>
    <w:rsid w:val="00EA6E64"/>
    <w:rsid w:val="00EA6F19"/>
    <w:rsid w:val="00EA6F49"/>
    <w:rsid w:val="00EA71C7"/>
    <w:rsid w:val="00EA755E"/>
    <w:rsid w:val="00EA7722"/>
    <w:rsid w:val="00EA7882"/>
    <w:rsid w:val="00EA7E50"/>
    <w:rsid w:val="00EB04EA"/>
    <w:rsid w:val="00EB10FD"/>
    <w:rsid w:val="00EB12A2"/>
    <w:rsid w:val="00EB1CB3"/>
    <w:rsid w:val="00EB2B5E"/>
    <w:rsid w:val="00EB2EE1"/>
    <w:rsid w:val="00EB3068"/>
    <w:rsid w:val="00EB3479"/>
    <w:rsid w:val="00EB3913"/>
    <w:rsid w:val="00EB489B"/>
    <w:rsid w:val="00EB5E38"/>
    <w:rsid w:val="00EB6FA4"/>
    <w:rsid w:val="00EB7090"/>
    <w:rsid w:val="00EC002F"/>
    <w:rsid w:val="00EC00D1"/>
    <w:rsid w:val="00EC09EA"/>
    <w:rsid w:val="00EC0DCC"/>
    <w:rsid w:val="00EC1BBE"/>
    <w:rsid w:val="00EC2B68"/>
    <w:rsid w:val="00EC36F7"/>
    <w:rsid w:val="00EC3AEF"/>
    <w:rsid w:val="00EC3C50"/>
    <w:rsid w:val="00EC5730"/>
    <w:rsid w:val="00EC5CD7"/>
    <w:rsid w:val="00EC5D6F"/>
    <w:rsid w:val="00EC5DA3"/>
    <w:rsid w:val="00EC5E17"/>
    <w:rsid w:val="00EC641A"/>
    <w:rsid w:val="00EC651B"/>
    <w:rsid w:val="00EC656B"/>
    <w:rsid w:val="00EC6ACB"/>
    <w:rsid w:val="00EC6AF1"/>
    <w:rsid w:val="00EC6CE5"/>
    <w:rsid w:val="00EC6FDD"/>
    <w:rsid w:val="00EC6FE5"/>
    <w:rsid w:val="00EC70F9"/>
    <w:rsid w:val="00ED02DF"/>
    <w:rsid w:val="00ED0A12"/>
    <w:rsid w:val="00ED0B49"/>
    <w:rsid w:val="00ED1B23"/>
    <w:rsid w:val="00ED1B63"/>
    <w:rsid w:val="00ED2246"/>
    <w:rsid w:val="00ED3739"/>
    <w:rsid w:val="00ED3BA2"/>
    <w:rsid w:val="00ED46C2"/>
    <w:rsid w:val="00ED4736"/>
    <w:rsid w:val="00ED4FDD"/>
    <w:rsid w:val="00ED5152"/>
    <w:rsid w:val="00ED568F"/>
    <w:rsid w:val="00ED59E8"/>
    <w:rsid w:val="00ED5D73"/>
    <w:rsid w:val="00ED6172"/>
    <w:rsid w:val="00ED7062"/>
    <w:rsid w:val="00ED7AF8"/>
    <w:rsid w:val="00EE009F"/>
    <w:rsid w:val="00EE0565"/>
    <w:rsid w:val="00EE0BF3"/>
    <w:rsid w:val="00EE19DA"/>
    <w:rsid w:val="00EE24AA"/>
    <w:rsid w:val="00EE2C59"/>
    <w:rsid w:val="00EE3034"/>
    <w:rsid w:val="00EE3240"/>
    <w:rsid w:val="00EE367F"/>
    <w:rsid w:val="00EE4037"/>
    <w:rsid w:val="00EE41EE"/>
    <w:rsid w:val="00EE5FB3"/>
    <w:rsid w:val="00EE61C2"/>
    <w:rsid w:val="00EE637D"/>
    <w:rsid w:val="00EE6924"/>
    <w:rsid w:val="00EE6D54"/>
    <w:rsid w:val="00EE7592"/>
    <w:rsid w:val="00EE7F79"/>
    <w:rsid w:val="00EF0A3F"/>
    <w:rsid w:val="00EF1032"/>
    <w:rsid w:val="00EF1187"/>
    <w:rsid w:val="00EF1314"/>
    <w:rsid w:val="00EF1602"/>
    <w:rsid w:val="00EF1F98"/>
    <w:rsid w:val="00EF1F9E"/>
    <w:rsid w:val="00EF2911"/>
    <w:rsid w:val="00EF295E"/>
    <w:rsid w:val="00EF35E0"/>
    <w:rsid w:val="00EF380C"/>
    <w:rsid w:val="00EF38F5"/>
    <w:rsid w:val="00EF3BD5"/>
    <w:rsid w:val="00EF4008"/>
    <w:rsid w:val="00EF41FC"/>
    <w:rsid w:val="00EF475F"/>
    <w:rsid w:val="00EF4ECB"/>
    <w:rsid w:val="00EF59D1"/>
    <w:rsid w:val="00EF5A40"/>
    <w:rsid w:val="00EF61FC"/>
    <w:rsid w:val="00EF715A"/>
    <w:rsid w:val="00F0020A"/>
    <w:rsid w:val="00F0082E"/>
    <w:rsid w:val="00F00971"/>
    <w:rsid w:val="00F00B28"/>
    <w:rsid w:val="00F014F7"/>
    <w:rsid w:val="00F021C2"/>
    <w:rsid w:val="00F02B98"/>
    <w:rsid w:val="00F0387E"/>
    <w:rsid w:val="00F03908"/>
    <w:rsid w:val="00F03FCE"/>
    <w:rsid w:val="00F043F9"/>
    <w:rsid w:val="00F053E0"/>
    <w:rsid w:val="00F05EBB"/>
    <w:rsid w:val="00F06361"/>
    <w:rsid w:val="00F063F6"/>
    <w:rsid w:val="00F06C88"/>
    <w:rsid w:val="00F06CD9"/>
    <w:rsid w:val="00F06E14"/>
    <w:rsid w:val="00F071C6"/>
    <w:rsid w:val="00F071CB"/>
    <w:rsid w:val="00F073B1"/>
    <w:rsid w:val="00F0762D"/>
    <w:rsid w:val="00F07D75"/>
    <w:rsid w:val="00F07D98"/>
    <w:rsid w:val="00F100FA"/>
    <w:rsid w:val="00F10691"/>
    <w:rsid w:val="00F10A8E"/>
    <w:rsid w:val="00F10C4D"/>
    <w:rsid w:val="00F1154B"/>
    <w:rsid w:val="00F1191D"/>
    <w:rsid w:val="00F11A42"/>
    <w:rsid w:val="00F11E95"/>
    <w:rsid w:val="00F12F07"/>
    <w:rsid w:val="00F13B34"/>
    <w:rsid w:val="00F15176"/>
    <w:rsid w:val="00F156A2"/>
    <w:rsid w:val="00F15C2B"/>
    <w:rsid w:val="00F15C4D"/>
    <w:rsid w:val="00F15D47"/>
    <w:rsid w:val="00F15DD5"/>
    <w:rsid w:val="00F16CBF"/>
    <w:rsid w:val="00F17622"/>
    <w:rsid w:val="00F179C7"/>
    <w:rsid w:val="00F179D4"/>
    <w:rsid w:val="00F20510"/>
    <w:rsid w:val="00F20614"/>
    <w:rsid w:val="00F20D27"/>
    <w:rsid w:val="00F2136F"/>
    <w:rsid w:val="00F21548"/>
    <w:rsid w:val="00F21B05"/>
    <w:rsid w:val="00F22A23"/>
    <w:rsid w:val="00F22E2A"/>
    <w:rsid w:val="00F22F5C"/>
    <w:rsid w:val="00F23ABB"/>
    <w:rsid w:val="00F240A3"/>
    <w:rsid w:val="00F242EF"/>
    <w:rsid w:val="00F24ECA"/>
    <w:rsid w:val="00F25792"/>
    <w:rsid w:val="00F25E18"/>
    <w:rsid w:val="00F26241"/>
    <w:rsid w:val="00F265FA"/>
    <w:rsid w:val="00F26813"/>
    <w:rsid w:val="00F269D9"/>
    <w:rsid w:val="00F26DA1"/>
    <w:rsid w:val="00F275D7"/>
    <w:rsid w:val="00F30B45"/>
    <w:rsid w:val="00F30BB4"/>
    <w:rsid w:val="00F310B7"/>
    <w:rsid w:val="00F31248"/>
    <w:rsid w:val="00F31328"/>
    <w:rsid w:val="00F3165E"/>
    <w:rsid w:val="00F31D89"/>
    <w:rsid w:val="00F32C5F"/>
    <w:rsid w:val="00F32F1E"/>
    <w:rsid w:val="00F3313F"/>
    <w:rsid w:val="00F33BD8"/>
    <w:rsid w:val="00F33C56"/>
    <w:rsid w:val="00F33DA2"/>
    <w:rsid w:val="00F33E16"/>
    <w:rsid w:val="00F33E44"/>
    <w:rsid w:val="00F341AB"/>
    <w:rsid w:val="00F346F3"/>
    <w:rsid w:val="00F34710"/>
    <w:rsid w:val="00F347BA"/>
    <w:rsid w:val="00F347C7"/>
    <w:rsid w:val="00F34848"/>
    <w:rsid w:val="00F34886"/>
    <w:rsid w:val="00F34B11"/>
    <w:rsid w:val="00F35648"/>
    <w:rsid w:val="00F357E4"/>
    <w:rsid w:val="00F361D7"/>
    <w:rsid w:val="00F36A02"/>
    <w:rsid w:val="00F36CD0"/>
    <w:rsid w:val="00F36E99"/>
    <w:rsid w:val="00F3759E"/>
    <w:rsid w:val="00F402A3"/>
    <w:rsid w:val="00F40B86"/>
    <w:rsid w:val="00F4135F"/>
    <w:rsid w:val="00F416B2"/>
    <w:rsid w:val="00F41725"/>
    <w:rsid w:val="00F41C23"/>
    <w:rsid w:val="00F41F18"/>
    <w:rsid w:val="00F42084"/>
    <w:rsid w:val="00F420ED"/>
    <w:rsid w:val="00F42422"/>
    <w:rsid w:val="00F42982"/>
    <w:rsid w:val="00F429F0"/>
    <w:rsid w:val="00F42D46"/>
    <w:rsid w:val="00F44639"/>
    <w:rsid w:val="00F4496C"/>
    <w:rsid w:val="00F44AD2"/>
    <w:rsid w:val="00F44F3A"/>
    <w:rsid w:val="00F44F91"/>
    <w:rsid w:val="00F4510D"/>
    <w:rsid w:val="00F45163"/>
    <w:rsid w:val="00F462CF"/>
    <w:rsid w:val="00F46372"/>
    <w:rsid w:val="00F465DA"/>
    <w:rsid w:val="00F47325"/>
    <w:rsid w:val="00F474C0"/>
    <w:rsid w:val="00F47BAF"/>
    <w:rsid w:val="00F47D54"/>
    <w:rsid w:val="00F50341"/>
    <w:rsid w:val="00F50490"/>
    <w:rsid w:val="00F50848"/>
    <w:rsid w:val="00F513BF"/>
    <w:rsid w:val="00F51C1B"/>
    <w:rsid w:val="00F51D7F"/>
    <w:rsid w:val="00F51F10"/>
    <w:rsid w:val="00F51FF4"/>
    <w:rsid w:val="00F529A5"/>
    <w:rsid w:val="00F52ACD"/>
    <w:rsid w:val="00F5310D"/>
    <w:rsid w:val="00F53ECE"/>
    <w:rsid w:val="00F54377"/>
    <w:rsid w:val="00F54B44"/>
    <w:rsid w:val="00F567CD"/>
    <w:rsid w:val="00F56811"/>
    <w:rsid w:val="00F56D18"/>
    <w:rsid w:val="00F56D5A"/>
    <w:rsid w:val="00F570B0"/>
    <w:rsid w:val="00F57AAF"/>
    <w:rsid w:val="00F57D0F"/>
    <w:rsid w:val="00F57D35"/>
    <w:rsid w:val="00F60302"/>
    <w:rsid w:val="00F60648"/>
    <w:rsid w:val="00F60F00"/>
    <w:rsid w:val="00F61359"/>
    <w:rsid w:val="00F614C0"/>
    <w:rsid w:val="00F623A4"/>
    <w:rsid w:val="00F627CD"/>
    <w:rsid w:val="00F62D81"/>
    <w:rsid w:val="00F62E52"/>
    <w:rsid w:val="00F636E3"/>
    <w:rsid w:val="00F6402D"/>
    <w:rsid w:val="00F649D2"/>
    <w:rsid w:val="00F6580B"/>
    <w:rsid w:val="00F65A2F"/>
    <w:rsid w:val="00F66540"/>
    <w:rsid w:val="00F66611"/>
    <w:rsid w:val="00F67412"/>
    <w:rsid w:val="00F6793C"/>
    <w:rsid w:val="00F67988"/>
    <w:rsid w:val="00F67B7B"/>
    <w:rsid w:val="00F70523"/>
    <w:rsid w:val="00F72266"/>
    <w:rsid w:val="00F72400"/>
    <w:rsid w:val="00F724A6"/>
    <w:rsid w:val="00F72BDA"/>
    <w:rsid w:val="00F72FEC"/>
    <w:rsid w:val="00F76279"/>
    <w:rsid w:val="00F76C6C"/>
    <w:rsid w:val="00F77D89"/>
    <w:rsid w:val="00F77F42"/>
    <w:rsid w:val="00F809A9"/>
    <w:rsid w:val="00F8184A"/>
    <w:rsid w:val="00F81E0B"/>
    <w:rsid w:val="00F82271"/>
    <w:rsid w:val="00F8249D"/>
    <w:rsid w:val="00F83848"/>
    <w:rsid w:val="00F8596D"/>
    <w:rsid w:val="00F862DE"/>
    <w:rsid w:val="00F86685"/>
    <w:rsid w:val="00F87DAA"/>
    <w:rsid w:val="00F90CDD"/>
    <w:rsid w:val="00F91905"/>
    <w:rsid w:val="00F93300"/>
    <w:rsid w:val="00F941E2"/>
    <w:rsid w:val="00F955A4"/>
    <w:rsid w:val="00F95A48"/>
    <w:rsid w:val="00F95BC0"/>
    <w:rsid w:val="00F96061"/>
    <w:rsid w:val="00F96BF9"/>
    <w:rsid w:val="00F96D21"/>
    <w:rsid w:val="00F9750D"/>
    <w:rsid w:val="00F975E9"/>
    <w:rsid w:val="00F97760"/>
    <w:rsid w:val="00F97852"/>
    <w:rsid w:val="00F97BAD"/>
    <w:rsid w:val="00FA014F"/>
    <w:rsid w:val="00FA063A"/>
    <w:rsid w:val="00FA1068"/>
    <w:rsid w:val="00FA1B71"/>
    <w:rsid w:val="00FA1B7D"/>
    <w:rsid w:val="00FA299E"/>
    <w:rsid w:val="00FA2E5B"/>
    <w:rsid w:val="00FA3C1E"/>
    <w:rsid w:val="00FA446B"/>
    <w:rsid w:val="00FA4474"/>
    <w:rsid w:val="00FA5320"/>
    <w:rsid w:val="00FA5FEF"/>
    <w:rsid w:val="00FA6359"/>
    <w:rsid w:val="00FA63A0"/>
    <w:rsid w:val="00FA6648"/>
    <w:rsid w:val="00FA6662"/>
    <w:rsid w:val="00FA6FA6"/>
    <w:rsid w:val="00FB073D"/>
    <w:rsid w:val="00FB0A07"/>
    <w:rsid w:val="00FB1C39"/>
    <w:rsid w:val="00FB29E7"/>
    <w:rsid w:val="00FB2B5C"/>
    <w:rsid w:val="00FB2DDA"/>
    <w:rsid w:val="00FB2EBF"/>
    <w:rsid w:val="00FB39D4"/>
    <w:rsid w:val="00FB576F"/>
    <w:rsid w:val="00FB656F"/>
    <w:rsid w:val="00FB716B"/>
    <w:rsid w:val="00FB723D"/>
    <w:rsid w:val="00FB747A"/>
    <w:rsid w:val="00FB75AB"/>
    <w:rsid w:val="00FB78C6"/>
    <w:rsid w:val="00FB7B37"/>
    <w:rsid w:val="00FC0500"/>
    <w:rsid w:val="00FC07B9"/>
    <w:rsid w:val="00FC12EA"/>
    <w:rsid w:val="00FC13D5"/>
    <w:rsid w:val="00FC1951"/>
    <w:rsid w:val="00FC19A7"/>
    <w:rsid w:val="00FC1A1C"/>
    <w:rsid w:val="00FC1D66"/>
    <w:rsid w:val="00FC211C"/>
    <w:rsid w:val="00FC2878"/>
    <w:rsid w:val="00FC2D20"/>
    <w:rsid w:val="00FC33B6"/>
    <w:rsid w:val="00FC3C3C"/>
    <w:rsid w:val="00FC405A"/>
    <w:rsid w:val="00FC4A04"/>
    <w:rsid w:val="00FC4E21"/>
    <w:rsid w:val="00FC522D"/>
    <w:rsid w:val="00FC5CDD"/>
    <w:rsid w:val="00FC5F6D"/>
    <w:rsid w:val="00FC6B2A"/>
    <w:rsid w:val="00FC6EFC"/>
    <w:rsid w:val="00FC75BE"/>
    <w:rsid w:val="00FC7A49"/>
    <w:rsid w:val="00FD0107"/>
    <w:rsid w:val="00FD0A51"/>
    <w:rsid w:val="00FD12D5"/>
    <w:rsid w:val="00FD1BF6"/>
    <w:rsid w:val="00FD1CB1"/>
    <w:rsid w:val="00FD1E5B"/>
    <w:rsid w:val="00FD27AD"/>
    <w:rsid w:val="00FD283D"/>
    <w:rsid w:val="00FD2C2F"/>
    <w:rsid w:val="00FD3B31"/>
    <w:rsid w:val="00FD5376"/>
    <w:rsid w:val="00FD5513"/>
    <w:rsid w:val="00FD5E1A"/>
    <w:rsid w:val="00FD62A6"/>
    <w:rsid w:val="00FD6844"/>
    <w:rsid w:val="00FD7E24"/>
    <w:rsid w:val="00FE005D"/>
    <w:rsid w:val="00FE0587"/>
    <w:rsid w:val="00FE16F6"/>
    <w:rsid w:val="00FE1823"/>
    <w:rsid w:val="00FE24C8"/>
    <w:rsid w:val="00FE29E9"/>
    <w:rsid w:val="00FE3586"/>
    <w:rsid w:val="00FE4341"/>
    <w:rsid w:val="00FE487A"/>
    <w:rsid w:val="00FE4EC7"/>
    <w:rsid w:val="00FE58A6"/>
    <w:rsid w:val="00FE5A4D"/>
    <w:rsid w:val="00FE5A5A"/>
    <w:rsid w:val="00FE5E57"/>
    <w:rsid w:val="00FE608A"/>
    <w:rsid w:val="00FE636D"/>
    <w:rsid w:val="00FE68B1"/>
    <w:rsid w:val="00FE6DCF"/>
    <w:rsid w:val="00FE71BB"/>
    <w:rsid w:val="00FF0569"/>
    <w:rsid w:val="00FF0A2F"/>
    <w:rsid w:val="00FF0BBE"/>
    <w:rsid w:val="00FF1C5F"/>
    <w:rsid w:val="00FF206E"/>
    <w:rsid w:val="00FF292C"/>
    <w:rsid w:val="00FF366C"/>
    <w:rsid w:val="00FF3C69"/>
    <w:rsid w:val="00FF3F2B"/>
    <w:rsid w:val="00FF41D1"/>
    <w:rsid w:val="00FF4CE1"/>
    <w:rsid w:val="00FF4D10"/>
    <w:rsid w:val="00FF5101"/>
    <w:rsid w:val="00FF5763"/>
    <w:rsid w:val="00FF60F4"/>
    <w:rsid w:val="00FF6E0A"/>
    <w:rsid w:val="00FF7733"/>
    <w:rsid w:val="00FF77AF"/>
    <w:rsid w:val="00FF79AB"/>
    <w:rsid w:val="00FF7BBA"/>
    <w:rsid w:val="052159A9"/>
    <w:rsid w:val="1D719E27"/>
    <w:rsid w:val="34C5557B"/>
    <w:rsid w:val="363B4B70"/>
    <w:rsid w:val="450726F0"/>
    <w:rsid w:val="51758B2D"/>
    <w:rsid w:val="61CEDEFA"/>
    <w:rsid w:val="66F137EC"/>
    <w:rsid w:val="6746ADF9"/>
    <w:rsid w:val="6C1B1F28"/>
    <w:rsid w:val="70158A88"/>
    <w:rsid w:val="75AA1471"/>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5256D8F"/>
  <w15:docId w15:val="{1FDB9F7F-F3BD-42E6-A300-CB7D07E8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uiPriority="2"/>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Style 13,FR"/>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link w:val="ParagraphChar"/>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6F56A5"/>
    <w:rPr>
      <w:rFonts w:ascii="Arial" w:hAnsi="Arial"/>
      <w:sz w:val="16"/>
      <w:szCs w:val="16"/>
    </w:rPr>
  </w:style>
  <w:style w:type="character" w:customStyle="1" w:styleId="ParagraphChar">
    <w:name w:val="Paragraph Char"/>
    <w:basedOn w:val="DefaultParagraphFont"/>
    <w:link w:val="Paragraph"/>
    <w:rsid w:val="006F56A5"/>
    <w:rPr>
      <w:rFonts w:ascii="Arial" w:hAnsi="Arial" w:cs="Arial"/>
      <w:sz w:val="20"/>
    </w:rPr>
  </w:style>
  <w:style w:type="character" w:customStyle="1" w:styleId="Heading4Char">
    <w:name w:val="Heading 4 Char"/>
    <w:basedOn w:val="DefaultParagraphFont"/>
    <w:link w:val="Heading4"/>
    <w:uiPriority w:val="2"/>
    <w:rsid w:val="006F56A5"/>
    <w:rPr>
      <w:rFonts w:ascii="Arial" w:hAnsi="Arial" w:cs="Arial"/>
      <w:b/>
      <w:i/>
      <w:sz w:val="20"/>
    </w:rPr>
  </w:style>
  <w:style w:type="paragraph" w:styleId="ListParagraph">
    <w:name w:val="List Paragraph"/>
    <w:basedOn w:val="Normal"/>
    <w:uiPriority w:val="34"/>
    <w:qFormat/>
    <w:rsid w:val="006F56A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ubsection">
    <w:name w:val="subsection"/>
    <w:basedOn w:val="Normal"/>
    <w:rsid w:val="007B634F"/>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B634F"/>
  </w:style>
  <w:style w:type="character" w:customStyle="1" w:styleId="eop">
    <w:name w:val="eop"/>
    <w:basedOn w:val="DefaultParagraphFont"/>
    <w:rsid w:val="007B634F"/>
  </w:style>
  <w:style w:type="character" w:customStyle="1" w:styleId="scxw139911110">
    <w:name w:val="scxw139911110"/>
    <w:basedOn w:val="DefaultParagraphFont"/>
    <w:rsid w:val="007B634F"/>
  </w:style>
  <w:style w:type="character" w:styleId="Mention">
    <w:name w:val="Mention"/>
    <w:basedOn w:val="DefaultParagraphFont"/>
    <w:uiPriority w:val="99"/>
    <w:unhideWhenUsed/>
    <w:rsid w:val="000A46FB"/>
    <w:rPr>
      <w:color w:val="2B579A"/>
      <w:shd w:val="clear" w:color="auto" w:fill="E1DFDD"/>
    </w:rPr>
  </w:style>
  <w:style w:type="paragraph" w:customStyle="1" w:styleId="paragraph0">
    <w:name w:val="paragraph"/>
    <w:basedOn w:val="Normal"/>
    <w:rsid w:val="000A46FB"/>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79767748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413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4.xml"/><Relationship Id="rId42" Type="http://schemas.openxmlformats.org/officeDocument/2006/relationships/hyperlink" Target="https://www.infrastructure.gov.au/media-communications-arts/phone/mobile-network-hardening-program" TargetMode="External"/><Relationship Id="rId47" Type="http://schemas.openxmlformats.org/officeDocument/2006/relationships/diagramColors" Target="diagrams/colors2.xml"/><Relationship Id="rId63" Type="http://schemas.openxmlformats.org/officeDocument/2006/relationships/header" Target="header10.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www.acma.gov.au/five-year-spectrum-outlook"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diagramLayout" Target="diagrams/layout2.xml"/><Relationship Id="rId53" Type="http://schemas.openxmlformats.org/officeDocument/2006/relationships/hyperlink" Target="https://www.acma.gov.au/publications/2023-09/report/market-study-private-wireless-networks-using-4g-or-5g" TargetMode="External"/><Relationship Id="rId58" Type="http://schemas.openxmlformats.org/officeDocument/2006/relationships/hyperlink" Target="mailto:ESL@acma.gov.au" TargetMode="External"/><Relationship Id="rId66"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hyperlink" Target="https://data.gov.au/dataset/ds-dga-4b472a18-d0fa-409c-994a-ab17162bcb90/details" TargetMode="External"/><Relationship Id="rId1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s://www.acma.gov.au/publications/2021-03/rules/our-approach-radcomms-licensing-and-allocation" TargetMode="External"/><Relationship Id="rId43" Type="http://schemas.openxmlformats.org/officeDocument/2006/relationships/hyperlink" Target="mailto:ESL@acma.gov.au" TargetMode="External"/><Relationship Id="rId48" Type="http://schemas.microsoft.com/office/2007/relationships/diagramDrawing" Target="diagrams/drawing2.xml"/><Relationship Id="rId56" Type="http://schemas.openxmlformats.org/officeDocument/2006/relationships/hyperlink" Target="https://www.digitalinclusion.gov.au/publications" TargetMode="External"/><Relationship Id="rId64" Type="http://schemas.openxmlformats.org/officeDocument/2006/relationships/header" Target="header1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dustry.gov.au/publications/critical-technologies-statement"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i.creativecommons.org/l/by/3.0/88x31.png" TargetMode="External"/><Relationship Id="rId25" Type="http://schemas.openxmlformats.org/officeDocument/2006/relationships/header" Target="header6.xml"/><Relationship Id="rId33" Type="http://schemas.openxmlformats.org/officeDocument/2006/relationships/hyperlink" Target="https://www.acma.gov.au/consultations/2023-05/proposed-approach-expiring-spectrum-licences" TargetMode="External"/><Relationship Id="rId38" Type="http://schemas.openxmlformats.org/officeDocument/2006/relationships/diagramLayout" Target="diagrams/layout1.xml"/><Relationship Id="rId46" Type="http://schemas.openxmlformats.org/officeDocument/2006/relationships/diagramQuickStyle" Target="diagrams/quickStyle2.xml"/><Relationship Id="rId59" Type="http://schemas.openxmlformats.org/officeDocument/2006/relationships/hyperlink" Target="https://nema.gov.au/sites/default/files/inline-files/Public%20Safety%20Mobile%20Broadband%20%28PSMB%29%20Review%20-%20Final%20Report.pdf" TargetMode="External"/><Relationship Id="rId67" Type="http://schemas.openxmlformats.org/officeDocument/2006/relationships/header" Target="header12.xml"/><Relationship Id="rId20" Type="http://schemas.openxmlformats.org/officeDocument/2006/relationships/hyperlink" Target="mailto:info@acma.gov.au" TargetMode="External"/><Relationship Id="rId41" Type="http://schemas.microsoft.com/office/2007/relationships/diagramDrawing" Target="diagrams/drawing1.xml"/><Relationship Id="rId54" Type="http://schemas.openxmlformats.org/officeDocument/2006/relationships/hyperlink" Target="https://www.acma.gov.au/consultations/2023-06/allocation-area-wide-apparatus-licences-38-ghz-band" TargetMode="External"/><Relationship Id="rId62" Type="http://schemas.openxmlformats.org/officeDocument/2006/relationships/hyperlink" Target="https://federation.gov.au/sites/default/files/about/agreements/Rail_IGA-19August201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www.legislation.gov.au/Details/C2020B00106/Explanatory%20Memorandum/Text" TargetMode="External"/><Relationship Id="rId49" Type="http://schemas.openxmlformats.org/officeDocument/2006/relationships/hyperlink" Target="https://www.acma.gov.au/sites/default/files/2023-03/ACMA-Statement-of-Intent.pdf" TargetMode="External"/><Relationship Id="rId57" Type="http://schemas.openxmlformats.org/officeDocument/2006/relationships/hyperlink" Target="https://web.acma.gov.au/rrl/browse_licences.cat_listing"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diagramData" Target="diagrams/data2.xml"/><Relationship Id="rId52" Type="http://schemas.openxmlformats.org/officeDocument/2006/relationships/hyperlink" Target="https://apo.org.au/sites/default/files/resource-files/2023-08/apo-nid324024.pdf" TargetMode="External"/><Relationship Id="rId60" Type="http://schemas.openxmlformats.org/officeDocument/2006/relationships/hyperlink" Target="https://minister.infrastructure.gov.au/rowland/media-release/taskforce-drive-high-tech-communications-first-responders" TargetMode="External"/><Relationship Id="rId65"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diagramQuickStyle" Target="diagrams/quickStyle1.xml"/><Relationship Id="rId34" Type="http://schemas.openxmlformats.org/officeDocument/2006/relationships/hyperlink" Target="https://www.infrastructure.gov.au/sites/default/files/documents/acma-statement-of-expectations-2022.pdf" TargetMode="External"/><Relationship Id="rId50" Type="http://schemas.openxmlformats.org/officeDocument/2006/relationships/hyperlink" Target="https://www.legislation.gov.au/Details/F2022N00015" TargetMode="External"/><Relationship Id="rId55" Type="http://schemas.openxmlformats.org/officeDocument/2006/relationships/hyperlink" Target="https://www.accc.gov.au/inquiries-and-consultations/regional-mobile-infrastructure-inquiry-2022-23/final-repor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inisters.treasury.gov.au/ministers/jim-chalmers-2022/media-releases/more-dynamic-and-competitive-economy" TargetMode="External"/><Relationship Id="rId13" Type="http://schemas.openxmlformats.org/officeDocument/2006/relationships/hyperlink" Target="https://www.acma.gov.au/consultations/2021-10/radio-local-area-networks-rlans-6-ghz-band-consultation-372021" TargetMode="External"/><Relationship Id="rId18" Type="http://schemas.openxmlformats.org/officeDocument/2006/relationships/hyperlink" Target="https://www.digitalinclusion.gov.au/publications" TargetMode="External"/><Relationship Id="rId3" Type="http://schemas.openxmlformats.org/officeDocument/2006/relationships/hyperlink" Target="https://www.legislation.gov.au/Details/C2020B00106/Amends" TargetMode="External"/><Relationship Id="rId21" Type="http://schemas.openxmlformats.org/officeDocument/2006/relationships/hyperlink" Target="https://www.aph.gov.au/Parliamentary_Business/Committees/House/Communications/Mobileco-investment/Submissions" TargetMode="External"/><Relationship Id="rId7" Type="http://schemas.openxmlformats.org/officeDocument/2006/relationships/hyperlink" Target="https://www.acma.gov.au/sites/default/files/2020-09/ACMA%20approach%20to%20introducing%20area-wide%20licences.pdf" TargetMode="External"/><Relationship Id="rId12" Type="http://schemas.openxmlformats.org/officeDocument/2006/relationships/hyperlink" Target="https://www.infrastructure.gov.au/department/media/publications/agri-tech-expert-working-group-report" TargetMode="External"/><Relationship Id="rId17" Type="http://schemas.openxmlformats.org/officeDocument/2006/relationships/hyperlink" Target="https://www.admscentre.org.au/mapping-the-digital-gap/" TargetMode="External"/><Relationship Id="rId2" Type="http://schemas.openxmlformats.org/officeDocument/2006/relationships/hyperlink" Target="https://www.acma.gov.au/consultations/2023-05/proposed-approach-expiring-spectrum-licences" TargetMode="External"/><Relationship Id="rId16" Type="http://schemas.openxmlformats.org/officeDocument/2006/relationships/hyperlink" Target="https://www.accc.gov.au/inquiries-and-consultations/regional-mobile-infrastructure-inquiry-2022-23/final-report" TargetMode="External"/><Relationship Id="rId20" Type="http://schemas.openxmlformats.org/officeDocument/2006/relationships/hyperlink" Target="https://www.closingthegap.gov.au/sites/default/files/2022-09/ctg-national-agreement_apr-21-comm-infra-targets-updated-24-august-2022_0.pdf" TargetMode="External"/><Relationship Id="rId1" Type="http://schemas.openxmlformats.org/officeDocument/2006/relationships/hyperlink" Target="https://www.legislation.gov.au/Details/C2020A00151" TargetMode="External"/><Relationship Id="rId6" Type="http://schemas.openxmlformats.org/officeDocument/2006/relationships/hyperlink" Target="https://www.acma.gov.au/publications/2023-09/report/market-study-private-wireless-networks-using-4g-or-5g" TargetMode="External"/><Relationship Id="rId11" Type="http://schemas.openxmlformats.org/officeDocument/2006/relationships/hyperlink" Target="https://www.aph.gov.au/Parliamentary_Business/Committees/House/Communications/Mobileco-investment/Submissions" TargetMode="External"/><Relationship Id="rId5" Type="http://schemas.openxmlformats.org/officeDocument/2006/relationships/hyperlink" Target="https://www.legislation.gov.au/Details/C2023C00343" TargetMode="External"/><Relationship Id="rId15" Type="http://schemas.openxmlformats.org/officeDocument/2006/relationships/hyperlink" Target="https://www.accc.gov.au/by-industry/telecommunications-and-internet/mobile-services-regulation/mobile-infrastructure-report/mobile-infrastructure-report-2022" TargetMode="External"/><Relationship Id="rId10" Type="http://schemas.openxmlformats.org/officeDocument/2006/relationships/hyperlink" Target="https://www.rtirc.gov.au/" TargetMode="External"/><Relationship Id="rId19" Type="http://schemas.openxmlformats.org/officeDocument/2006/relationships/hyperlink" Target="https://www.coalitionofpeaks.org.au/national-agreement-on-closing-the-gap" TargetMode="External"/><Relationship Id="rId4" Type="http://schemas.openxmlformats.org/officeDocument/2006/relationships/hyperlink" Target="https://treasury.gov.au/policy-topics/measuring-what-matters" TargetMode="External"/><Relationship Id="rId9" Type="http://schemas.openxmlformats.org/officeDocument/2006/relationships/hyperlink" Target="https://www.ventureinsights.com.au/product/report-state-of-the-australian-telecommunications-industry/" TargetMode="External"/><Relationship Id="rId14" Type="http://schemas.openxmlformats.org/officeDocument/2006/relationships/hyperlink" Target="https://www.aph.gov.au/Parliamentary_Business/Committees/House/Communications/Mobileco-investment/Report" TargetMode="External"/><Relationship Id="rId22" Type="http://schemas.openxmlformats.org/officeDocument/2006/relationships/hyperlink" Target="https://www.infrastructure.gov.au/sites/default/files/documents/better-delivery-of-universal-services-discussion-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Consultation%20Paper.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4563D3-5B36-4859-8432-5B2B17BD3C78}" type="doc">
      <dgm:prSet loTypeId="urn:microsoft.com/office/officeart/2009/3/layout/StepUpProcess" loCatId="process" qsTypeId="urn:microsoft.com/office/officeart/2005/8/quickstyle/simple3" qsCatId="simple" csTypeId="urn:microsoft.com/office/officeart/2005/8/colors/colorful1" csCatId="colorful" phldr="1"/>
      <dgm:spPr/>
      <dgm:t>
        <a:bodyPr/>
        <a:lstStyle/>
        <a:p>
          <a:endParaRPr lang="en-AU"/>
        </a:p>
      </dgm:t>
    </dgm:pt>
    <dgm:pt modelId="{EAA3FFD0-B66E-4F97-9705-41A9893BE0AB}">
      <dgm:prSet phldrT="[Text]" custT="1"/>
      <dgm:spPr>
        <a:xfrm>
          <a:off x="130083" y="1786077"/>
          <a:ext cx="1163947" cy="1020268"/>
        </a:xfrm>
        <a:prstGeom prst="rect">
          <a:avLst/>
        </a:prstGeom>
        <a:noFill/>
        <a:ln>
          <a:noFill/>
        </a:ln>
        <a:effectLst/>
      </dgm:spPr>
      <dgm:t>
        <a:bodyPr/>
        <a:lstStyle/>
        <a:p>
          <a:pPr>
            <a:buNone/>
          </a:pPr>
          <a:r>
            <a:rPr lang="en-AU" sz="800" b="1">
              <a:solidFill>
                <a:srgbClr val="262626">
                  <a:hueOff val="0"/>
                  <a:satOff val="0"/>
                  <a:lumOff val="0"/>
                  <a:alphaOff val="0"/>
                </a:srgbClr>
              </a:solidFill>
              <a:latin typeface="Arial"/>
              <a:ea typeface="+mn-ea"/>
              <a:cs typeface="+mn-cs"/>
            </a:rPr>
            <a:t>STAGE 1</a:t>
          </a:r>
        </a:p>
        <a:p>
          <a:pPr>
            <a:buNone/>
          </a:pPr>
          <a:r>
            <a:rPr lang="en-AU" sz="800" b="1">
              <a:solidFill>
                <a:srgbClr val="262626">
                  <a:hueOff val="0"/>
                  <a:satOff val="0"/>
                  <a:lumOff val="0"/>
                  <a:alphaOff val="0"/>
                </a:srgbClr>
              </a:solidFill>
              <a:latin typeface="Arial"/>
              <a:ea typeface="+mn-ea"/>
              <a:cs typeface="+mn-cs"/>
            </a:rPr>
            <a:t>Q2 2023</a:t>
          </a:r>
        </a:p>
        <a:p>
          <a:pPr>
            <a:buNone/>
          </a:pPr>
          <a:r>
            <a:rPr lang="en-AU" sz="800">
              <a:solidFill>
                <a:srgbClr val="262626">
                  <a:hueOff val="0"/>
                  <a:satOff val="0"/>
                  <a:lumOff val="0"/>
                  <a:alphaOff val="0"/>
                </a:srgbClr>
              </a:solidFill>
              <a:latin typeface="Arial"/>
              <a:ea typeface="+mn-ea"/>
              <a:cs typeface="+mn-cs"/>
            </a:rPr>
            <a:t>Consult on process</a:t>
          </a:r>
        </a:p>
        <a:p>
          <a:pPr>
            <a:buNone/>
          </a:pPr>
          <a:r>
            <a:rPr lang="en-AU" sz="800" b="1">
              <a:solidFill>
                <a:srgbClr val="262626">
                  <a:hueOff val="0"/>
                  <a:satOff val="0"/>
                  <a:lumOff val="0"/>
                  <a:alphaOff val="0"/>
                </a:srgbClr>
              </a:solidFill>
              <a:latin typeface="Arial"/>
              <a:ea typeface="+mn-ea"/>
              <a:cs typeface="+mn-cs"/>
            </a:rPr>
            <a:t>Q4 2023</a:t>
          </a:r>
        </a:p>
        <a:p>
          <a:pPr>
            <a:buNone/>
          </a:pPr>
          <a:r>
            <a:rPr lang="en-AU" sz="800">
              <a:solidFill>
                <a:srgbClr val="262626">
                  <a:hueOff val="0"/>
                  <a:satOff val="0"/>
                  <a:lumOff val="0"/>
                  <a:alphaOff val="0"/>
                </a:srgbClr>
              </a:solidFill>
              <a:latin typeface="Arial"/>
              <a:ea typeface="+mn-ea"/>
              <a:cs typeface="+mn-cs"/>
            </a:rPr>
            <a:t>Respond to submissions</a:t>
          </a:r>
        </a:p>
        <a:p>
          <a:pPr>
            <a:buNone/>
          </a:pPr>
          <a:r>
            <a:rPr lang="en-AU" sz="800">
              <a:solidFill>
                <a:srgbClr val="262626">
                  <a:hueOff val="0"/>
                  <a:satOff val="0"/>
                  <a:lumOff val="0"/>
                  <a:alphaOff val="0"/>
                </a:srgbClr>
              </a:solidFill>
              <a:latin typeface="Arial"/>
              <a:ea typeface="+mn-ea"/>
              <a:cs typeface="+mn-cs"/>
            </a:rPr>
            <a:t>Finalise process</a:t>
          </a:r>
        </a:p>
        <a:p>
          <a:pPr>
            <a:buNone/>
          </a:pPr>
          <a:r>
            <a:rPr lang="en-AU" sz="800">
              <a:solidFill>
                <a:srgbClr val="262626">
                  <a:hueOff val="0"/>
                  <a:satOff val="0"/>
                  <a:lumOff val="0"/>
                  <a:alphaOff val="0"/>
                </a:srgbClr>
              </a:solidFill>
              <a:latin typeface="Arial"/>
              <a:ea typeface="+mn-ea"/>
              <a:cs typeface="+mn-cs"/>
            </a:rPr>
            <a:t>Affirm public interest criteria</a:t>
          </a:r>
        </a:p>
        <a:p>
          <a:pPr>
            <a:buNone/>
          </a:pPr>
          <a:endParaRPr lang="en-AU" sz="800">
            <a:solidFill>
              <a:srgbClr val="262626">
                <a:hueOff val="0"/>
                <a:satOff val="0"/>
                <a:lumOff val="0"/>
                <a:alphaOff val="0"/>
              </a:srgbClr>
            </a:solidFill>
            <a:latin typeface="Arial"/>
            <a:ea typeface="+mn-ea"/>
            <a:cs typeface="+mn-cs"/>
          </a:endParaRPr>
        </a:p>
      </dgm:t>
    </dgm:pt>
    <dgm:pt modelId="{071C6C96-4D09-4311-920F-532D660CFE9B}" type="parTrans" cxnId="{019CE0DE-F5F5-4C16-A0F6-78A4BEE75FB1}">
      <dgm:prSet/>
      <dgm:spPr/>
      <dgm:t>
        <a:bodyPr/>
        <a:lstStyle/>
        <a:p>
          <a:endParaRPr lang="en-AU" sz="2400"/>
        </a:p>
      </dgm:t>
    </dgm:pt>
    <dgm:pt modelId="{0704A27A-3780-4B40-B8CA-020CD609D242}" type="sibTrans" cxnId="{019CE0DE-F5F5-4C16-A0F6-78A4BEE75FB1}">
      <dgm:prSet/>
      <dgm:spPr/>
      <dgm:t>
        <a:bodyPr/>
        <a:lstStyle/>
        <a:p>
          <a:endParaRPr lang="en-AU" sz="2400"/>
        </a:p>
      </dgm:t>
    </dgm:pt>
    <dgm:pt modelId="{29291451-B43A-434C-905D-B36681B3932A}">
      <dgm:prSet phldrT="[Text]" custT="1"/>
      <dgm:spPr>
        <a:xfrm>
          <a:off x="1554983" y="1433484"/>
          <a:ext cx="1163947" cy="1020268"/>
        </a:xfrm>
        <a:prstGeom prst="rect">
          <a:avLst/>
        </a:prstGeom>
        <a:noFill/>
        <a:ln>
          <a:noFill/>
        </a:ln>
        <a:effectLst/>
      </dgm:spPr>
      <dgm:t>
        <a:bodyPr/>
        <a:lstStyle/>
        <a:p>
          <a:pPr>
            <a:buNone/>
          </a:pPr>
          <a:r>
            <a:rPr lang="en-AU" sz="800" b="1" dirty="0">
              <a:solidFill>
                <a:srgbClr val="262626">
                  <a:hueOff val="0"/>
                  <a:satOff val="0"/>
                  <a:lumOff val="0"/>
                  <a:alphaOff val="0"/>
                </a:srgbClr>
              </a:solidFill>
              <a:latin typeface="Arial"/>
              <a:ea typeface="+mn-ea"/>
              <a:cs typeface="+mn-cs"/>
            </a:rPr>
            <a:t>STAGE 2</a:t>
          </a:r>
        </a:p>
        <a:p>
          <a:pPr>
            <a:buNone/>
          </a:pPr>
          <a:r>
            <a:rPr lang="en-AU" sz="800" b="1" dirty="0">
              <a:solidFill>
                <a:srgbClr val="262626">
                  <a:hueOff val="0"/>
                  <a:satOff val="0"/>
                  <a:lumOff val="0"/>
                  <a:alphaOff val="0"/>
                </a:srgbClr>
              </a:solidFill>
              <a:latin typeface="Arial"/>
              <a:ea typeface="+mn-ea"/>
              <a:cs typeface="+mn-cs"/>
            </a:rPr>
            <a:t>Q1 2024</a:t>
          </a:r>
        </a:p>
        <a:p>
          <a:pPr>
            <a:buNone/>
          </a:pPr>
          <a:r>
            <a:rPr lang="en-AU" sz="800" dirty="0">
              <a:solidFill>
                <a:srgbClr val="262626">
                  <a:hueOff val="0"/>
                  <a:satOff val="0"/>
                  <a:lumOff val="0"/>
                  <a:alphaOff val="0"/>
                </a:srgbClr>
              </a:solidFill>
              <a:latin typeface="Arial" panose="020B0604020202020204" pitchFamily="34" charset="0"/>
              <a:ea typeface="+mn-ea"/>
              <a:cs typeface="Arial" panose="020B0604020202020204" pitchFamily="34" charset="0"/>
            </a:rPr>
            <a:t>Information gathering</a:t>
          </a:r>
        </a:p>
        <a:p>
          <a:pPr>
            <a:buNone/>
          </a:pPr>
          <a:r>
            <a:rPr lang="en-AU" sz="800" dirty="0">
              <a:solidFill>
                <a:srgbClr val="262626">
                  <a:hueOff val="0"/>
                  <a:satOff val="0"/>
                  <a:lumOff val="0"/>
                  <a:alphaOff val="0"/>
                </a:srgbClr>
              </a:solidFill>
              <a:latin typeface="Arial" panose="020B0604020202020204" pitchFamily="34" charset="0"/>
              <a:ea typeface="+mn-ea"/>
              <a:cs typeface="Arial" panose="020B0604020202020204" pitchFamily="34" charset="0"/>
            </a:rPr>
            <a:t>Views on frequency bands</a:t>
          </a:r>
        </a:p>
        <a:p>
          <a:pPr>
            <a:buNone/>
          </a:pPr>
          <a:r>
            <a:rPr lang="en-AU" sz="800" dirty="0">
              <a:solidFill>
                <a:srgbClr val="262626">
                  <a:hueOff val="0"/>
                  <a:satOff val="0"/>
                  <a:lumOff val="0"/>
                  <a:alphaOff val="0"/>
                </a:srgbClr>
              </a:solidFill>
              <a:latin typeface="Arial" panose="020B0604020202020204" pitchFamily="34" charset="0"/>
              <a:ea typeface="+mn-ea"/>
              <a:cs typeface="Arial" panose="020B0604020202020204" pitchFamily="34" charset="0"/>
            </a:rPr>
            <a:t>Consideration of alternative licensing conditions</a:t>
          </a:r>
        </a:p>
        <a:p>
          <a:pPr>
            <a:buNone/>
          </a:pPr>
          <a:r>
            <a:rPr lang="en-AU" sz="800" dirty="0">
              <a:solidFill>
                <a:srgbClr val="262626">
                  <a:hueOff val="0"/>
                  <a:satOff val="0"/>
                  <a:lumOff val="0"/>
                  <a:alphaOff val="0"/>
                </a:srgbClr>
              </a:solidFill>
              <a:latin typeface="Arial" panose="020B0604020202020204" pitchFamily="34" charset="0"/>
              <a:ea typeface="+mn-ea"/>
              <a:cs typeface="Arial" panose="020B0604020202020204" pitchFamily="34" charset="0"/>
            </a:rPr>
            <a:t>Stakeholder feedback </a:t>
          </a:r>
          <a:r>
            <a:rPr lang="en-AU" sz="800">
              <a:latin typeface="Arial" panose="020B0604020202020204" pitchFamily="34" charset="0"/>
              <a:cs typeface="Arial" panose="020B0604020202020204" pitchFamily="34" charset="0"/>
            </a:rPr>
            <a:t>on issues around resilience and temporary disaster responses </a:t>
          </a:r>
          <a:endParaRPr lang="en-AU" sz="800" dirty="0">
            <a:solidFill>
              <a:srgbClr val="262626">
                <a:hueOff val="0"/>
                <a:satOff val="0"/>
                <a:lumOff val="0"/>
                <a:alphaOff val="0"/>
              </a:srgbClr>
            </a:solidFill>
            <a:latin typeface="Arial" panose="020B0604020202020204" pitchFamily="34" charset="0"/>
            <a:ea typeface="+mn-ea"/>
            <a:cs typeface="Arial" panose="020B0604020202020204" pitchFamily="34" charset="0"/>
          </a:endParaRPr>
        </a:p>
        <a:p>
          <a:pPr>
            <a:buNone/>
          </a:pPr>
          <a:endParaRPr lang="en-AU" sz="800" dirty="0">
            <a:solidFill>
              <a:srgbClr val="262626">
                <a:hueOff val="0"/>
                <a:satOff val="0"/>
                <a:lumOff val="0"/>
                <a:alphaOff val="0"/>
              </a:srgbClr>
            </a:solidFill>
            <a:latin typeface="Arial"/>
            <a:ea typeface="+mn-ea"/>
            <a:cs typeface="+mn-cs"/>
          </a:endParaRPr>
        </a:p>
        <a:p>
          <a:pPr>
            <a:buNone/>
          </a:pPr>
          <a:endParaRPr lang="en-AU" sz="800" dirty="0">
            <a:solidFill>
              <a:srgbClr val="262626">
                <a:hueOff val="0"/>
                <a:satOff val="0"/>
                <a:lumOff val="0"/>
                <a:alphaOff val="0"/>
              </a:srgbClr>
            </a:solidFill>
            <a:latin typeface="Arial"/>
            <a:ea typeface="+mn-ea"/>
            <a:cs typeface="+mn-cs"/>
          </a:endParaRPr>
        </a:p>
      </dgm:t>
    </dgm:pt>
    <dgm:pt modelId="{8952147C-448E-4327-A4A0-FBC42C22ACF7}" type="parTrans" cxnId="{4EBA4C9B-786D-4F8D-B1A8-BCF5BBAAEDCD}">
      <dgm:prSet/>
      <dgm:spPr/>
      <dgm:t>
        <a:bodyPr/>
        <a:lstStyle/>
        <a:p>
          <a:endParaRPr lang="en-AU" sz="2400"/>
        </a:p>
      </dgm:t>
    </dgm:pt>
    <dgm:pt modelId="{9A6EDA57-7C0D-46CC-B976-FB6CE47D9D15}" type="sibTrans" cxnId="{4EBA4C9B-786D-4F8D-B1A8-BCF5BBAAEDCD}">
      <dgm:prSet/>
      <dgm:spPr/>
      <dgm:t>
        <a:bodyPr/>
        <a:lstStyle/>
        <a:p>
          <a:endParaRPr lang="en-AU" sz="2400"/>
        </a:p>
      </dgm:t>
    </dgm:pt>
    <dgm:pt modelId="{A7C55EE1-DDC8-4A6B-99A5-B8C9790E4027}">
      <dgm:prSet phldrT="[Text]" custT="1"/>
      <dgm:spPr>
        <a:xfrm>
          <a:off x="2979882" y="1080892"/>
          <a:ext cx="1163947" cy="1020268"/>
        </a:xfrm>
        <a:prstGeom prst="rect">
          <a:avLst/>
        </a:prstGeom>
        <a:noFill/>
        <a:ln>
          <a:noFill/>
        </a:ln>
        <a:effectLst/>
      </dgm:spPr>
      <dgm:t>
        <a:bodyPr/>
        <a:lstStyle/>
        <a:p>
          <a:pPr>
            <a:buNone/>
          </a:pPr>
          <a:r>
            <a:rPr lang="en-AU" sz="800" b="1">
              <a:solidFill>
                <a:srgbClr val="262626">
                  <a:hueOff val="0"/>
                  <a:satOff val="0"/>
                  <a:lumOff val="0"/>
                  <a:alphaOff val="0"/>
                </a:srgbClr>
              </a:solidFill>
              <a:latin typeface="Arial"/>
              <a:ea typeface="+mn-ea"/>
              <a:cs typeface="+mn-cs"/>
            </a:rPr>
            <a:t>STAGE 3 </a:t>
          </a:r>
        </a:p>
        <a:p>
          <a:pPr>
            <a:buNone/>
          </a:pPr>
          <a:r>
            <a:rPr lang="en-AU" sz="800" b="1">
              <a:solidFill>
                <a:srgbClr val="262626">
                  <a:hueOff val="0"/>
                  <a:satOff val="0"/>
                  <a:lumOff val="0"/>
                  <a:alphaOff val="0"/>
                </a:srgbClr>
              </a:solidFill>
              <a:latin typeface="Arial"/>
              <a:ea typeface="+mn-ea"/>
              <a:cs typeface="+mn-cs"/>
            </a:rPr>
            <a:t>Q4 2024</a:t>
          </a:r>
        </a:p>
        <a:p>
          <a:pPr>
            <a:buNone/>
          </a:pPr>
          <a:r>
            <a:rPr lang="en-AU" sz="800">
              <a:solidFill>
                <a:srgbClr val="262626">
                  <a:hueOff val="0"/>
                  <a:satOff val="0"/>
                  <a:lumOff val="0"/>
                  <a:alphaOff val="0"/>
                </a:srgbClr>
              </a:solidFill>
              <a:latin typeface="Arial"/>
              <a:ea typeface="+mn-ea"/>
              <a:cs typeface="+mn-cs"/>
            </a:rPr>
            <a:t>Consult on preliminary views</a:t>
          </a:r>
        </a:p>
      </dgm:t>
    </dgm:pt>
    <dgm:pt modelId="{D67B6D5B-931A-4F35-8B70-C209FF10EE2E}" type="parTrans" cxnId="{CE91DA23-F4F6-43BE-BE32-76A5CBC1482F}">
      <dgm:prSet/>
      <dgm:spPr/>
      <dgm:t>
        <a:bodyPr/>
        <a:lstStyle/>
        <a:p>
          <a:endParaRPr lang="en-AU" sz="2400"/>
        </a:p>
      </dgm:t>
    </dgm:pt>
    <dgm:pt modelId="{64B63A9D-984D-4E6F-B001-240F2BB596E7}" type="sibTrans" cxnId="{CE91DA23-F4F6-43BE-BE32-76A5CBC1482F}">
      <dgm:prSet/>
      <dgm:spPr/>
      <dgm:t>
        <a:bodyPr/>
        <a:lstStyle/>
        <a:p>
          <a:endParaRPr lang="en-AU" sz="2400"/>
        </a:p>
      </dgm:t>
    </dgm:pt>
    <dgm:pt modelId="{2B78A2EE-8DA4-4562-831E-2BF41A86B167}">
      <dgm:prSet phldrT="[Text]" custT="1"/>
      <dgm:spPr>
        <a:xfrm>
          <a:off x="4404782" y="728299"/>
          <a:ext cx="1163947" cy="1020268"/>
        </a:xfrm>
        <a:prstGeom prst="rect">
          <a:avLst/>
        </a:prstGeom>
        <a:noFill/>
        <a:ln>
          <a:noFill/>
        </a:ln>
        <a:effectLst/>
      </dgm:spPr>
      <dgm:t>
        <a:bodyPr/>
        <a:lstStyle/>
        <a:p>
          <a:pPr>
            <a:buNone/>
          </a:pPr>
          <a:r>
            <a:rPr lang="en-AU" sz="800" b="1" dirty="0">
              <a:solidFill>
                <a:srgbClr val="262626">
                  <a:hueOff val="0"/>
                  <a:satOff val="0"/>
                  <a:lumOff val="0"/>
                  <a:alphaOff val="0"/>
                </a:srgbClr>
              </a:solidFill>
              <a:latin typeface="Arial"/>
              <a:ea typeface="+mn-ea"/>
              <a:cs typeface="+mn-cs"/>
            </a:rPr>
            <a:t>STAGE 4</a:t>
          </a:r>
        </a:p>
        <a:p>
          <a:pPr>
            <a:buNone/>
          </a:pPr>
          <a:r>
            <a:rPr lang="en-AU" sz="800" b="1" dirty="0">
              <a:solidFill>
                <a:srgbClr val="262626">
                  <a:hueOff val="0"/>
                  <a:satOff val="0"/>
                  <a:lumOff val="0"/>
                  <a:alphaOff val="0"/>
                </a:srgbClr>
              </a:solidFill>
              <a:latin typeface="Arial"/>
              <a:ea typeface="+mn-ea"/>
              <a:cs typeface="+mn-cs"/>
            </a:rPr>
            <a:t>2025 </a:t>
          </a:r>
        </a:p>
        <a:p>
          <a:pPr>
            <a:buNone/>
          </a:pPr>
          <a:r>
            <a:rPr lang="en-AU" sz="800" dirty="0">
              <a:solidFill>
                <a:srgbClr val="262626">
                  <a:hueOff val="0"/>
                  <a:satOff val="0"/>
                  <a:lumOff val="0"/>
                  <a:alphaOff val="0"/>
                </a:srgbClr>
              </a:solidFill>
              <a:latin typeface="Arial"/>
              <a:ea typeface="+mn-ea"/>
              <a:cs typeface="+mn-cs"/>
            </a:rPr>
            <a:t>Respond to submissions</a:t>
          </a:r>
        </a:p>
        <a:p>
          <a:pPr>
            <a:buNone/>
          </a:pPr>
          <a:r>
            <a:rPr lang="en-AU" sz="800" dirty="0">
              <a:solidFill>
                <a:srgbClr val="262626">
                  <a:hueOff val="0"/>
                  <a:satOff val="0"/>
                  <a:lumOff val="0"/>
                  <a:alphaOff val="0"/>
                </a:srgbClr>
              </a:solidFill>
              <a:latin typeface="Arial"/>
              <a:ea typeface="+mn-ea"/>
              <a:cs typeface="+mn-cs"/>
            </a:rPr>
            <a:t>Preferred views</a:t>
          </a:r>
        </a:p>
        <a:p>
          <a:pPr>
            <a:buNone/>
          </a:pPr>
          <a:r>
            <a:rPr lang="en-AU" sz="800" b="1" dirty="0">
              <a:solidFill>
                <a:srgbClr val="262626">
                  <a:hueOff val="0"/>
                  <a:satOff val="0"/>
                  <a:lumOff val="0"/>
                  <a:alphaOff val="0"/>
                </a:srgbClr>
              </a:solidFill>
              <a:latin typeface="Arial"/>
              <a:ea typeface="+mn-ea"/>
              <a:cs typeface="+mn-cs"/>
            </a:rPr>
            <a:t>2026-2032</a:t>
          </a:r>
        </a:p>
        <a:p>
          <a:pPr>
            <a:buNone/>
          </a:pPr>
          <a:r>
            <a:rPr lang="en-AU" sz="800" dirty="0">
              <a:solidFill>
                <a:srgbClr val="262626">
                  <a:hueOff val="0"/>
                  <a:satOff val="0"/>
                  <a:lumOff val="0"/>
                  <a:alphaOff val="0"/>
                </a:srgbClr>
              </a:solidFill>
              <a:latin typeface="Arial"/>
              <a:ea typeface="+mn-ea"/>
              <a:cs typeface="+mn-cs"/>
            </a:rPr>
            <a:t>Renewal applications and decision-making</a:t>
          </a:r>
        </a:p>
      </dgm:t>
    </dgm:pt>
    <dgm:pt modelId="{F5FEBC3E-6FA7-4FE3-AA8C-7B96FFADBD66}" type="parTrans" cxnId="{8A3595D7-18F8-4347-831E-54F1D881B4F3}">
      <dgm:prSet/>
      <dgm:spPr/>
      <dgm:t>
        <a:bodyPr/>
        <a:lstStyle/>
        <a:p>
          <a:endParaRPr lang="en-AU" sz="2400"/>
        </a:p>
      </dgm:t>
    </dgm:pt>
    <dgm:pt modelId="{3C706F8C-2C38-49C8-A5D0-09FE6E347CA4}" type="sibTrans" cxnId="{8A3595D7-18F8-4347-831E-54F1D881B4F3}">
      <dgm:prSet/>
      <dgm:spPr/>
      <dgm:t>
        <a:bodyPr/>
        <a:lstStyle/>
        <a:p>
          <a:endParaRPr lang="en-AU" sz="2400"/>
        </a:p>
      </dgm:t>
    </dgm:pt>
    <dgm:pt modelId="{30CCE422-BCE1-4793-AB5C-CC8D828C524F}" type="pres">
      <dgm:prSet presAssocID="{B24563D3-5B36-4859-8432-5B2B17BD3C78}" presName="rootnode" presStyleCnt="0">
        <dgm:presLayoutVars>
          <dgm:chMax/>
          <dgm:chPref/>
          <dgm:dir/>
          <dgm:animLvl val="lvl"/>
        </dgm:presLayoutVars>
      </dgm:prSet>
      <dgm:spPr/>
    </dgm:pt>
    <dgm:pt modelId="{6386280F-A8FC-43B9-919A-61ECE0A69F47}" type="pres">
      <dgm:prSet presAssocID="{EAA3FFD0-B66E-4F97-9705-41A9893BE0AB}" presName="composite" presStyleCnt="0"/>
      <dgm:spPr/>
    </dgm:pt>
    <dgm:pt modelId="{5E455DAE-2C8C-4C0D-BE38-FB4258320AAF}" type="pres">
      <dgm:prSet presAssocID="{EAA3FFD0-B66E-4F97-9705-41A9893BE0AB}" presName="LShape" presStyleLbl="alignNode1" presStyleIdx="0" presStyleCnt="7"/>
      <dgm:spPr>
        <a:xfrm rot="5400000">
          <a:off x="259417" y="1400867"/>
          <a:ext cx="774804" cy="1289256"/>
        </a:xfrm>
        <a:prstGeom prst="corner">
          <a:avLst>
            <a:gd name="adj1" fmla="val 16120"/>
            <a:gd name="adj2" fmla="val 16110"/>
          </a:avLst>
        </a:prstGeom>
        <a:gradFill rotWithShape="0">
          <a:gsLst>
            <a:gs pos="0">
              <a:srgbClr val="7C426F">
                <a:hueOff val="0"/>
                <a:satOff val="0"/>
                <a:lumOff val="0"/>
                <a:alphaOff val="0"/>
                <a:lumMod val="110000"/>
                <a:satMod val="105000"/>
                <a:tint val="67000"/>
              </a:srgbClr>
            </a:gs>
            <a:gs pos="50000">
              <a:srgbClr val="7C426F">
                <a:hueOff val="0"/>
                <a:satOff val="0"/>
                <a:lumOff val="0"/>
                <a:alphaOff val="0"/>
                <a:lumMod val="105000"/>
                <a:satMod val="103000"/>
                <a:tint val="73000"/>
              </a:srgbClr>
            </a:gs>
            <a:gs pos="100000">
              <a:srgbClr val="7C426F">
                <a:hueOff val="0"/>
                <a:satOff val="0"/>
                <a:lumOff val="0"/>
                <a:alphaOff val="0"/>
                <a:lumMod val="105000"/>
                <a:satMod val="109000"/>
                <a:tint val="81000"/>
              </a:srgbClr>
            </a:gs>
          </a:gsLst>
          <a:lin ang="5400000" scaled="0"/>
        </a:gradFill>
        <a:ln w="6350" cap="flat" cmpd="sng" algn="ctr">
          <a:solidFill>
            <a:srgbClr val="7C426F">
              <a:hueOff val="0"/>
              <a:satOff val="0"/>
              <a:lumOff val="0"/>
              <a:alphaOff val="0"/>
            </a:srgbClr>
          </a:solidFill>
          <a:prstDash val="solid"/>
          <a:miter lim="800000"/>
        </a:ln>
        <a:effectLst/>
      </dgm:spPr>
    </dgm:pt>
    <dgm:pt modelId="{50CFE7D2-3F0B-4B55-B0CD-1683E19AF57C}" type="pres">
      <dgm:prSet presAssocID="{EAA3FFD0-B66E-4F97-9705-41A9893BE0AB}" presName="ParentText" presStyleLbl="revTx" presStyleIdx="0" presStyleCnt="4">
        <dgm:presLayoutVars>
          <dgm:chMax val="0"/>
          <dgm:chPref val="0"/>
          <dgm:bulletEnabled val="1"/>
        </dgm:presLayoutVars>
      </dgm:prSet>
      <dgm:spPr/>
    </dgm:pt>
    <dgm:pt modelId="{89D0CE41-27A1-46A2-8017-0D3F0A31B752}" type="pres">
      <dgm:prSet presAssocID="{EAA3FFD0-B66E-4F97-9705-41A9893BE0AB}" presName="Triangle" presStyleLbl="alignNode1" presStyleIdx="1" presStyleCnt="7"/>
      <dgm:spPr>
        <a:xfrm>
          <a:off x="1074418" y="1305951"/>
          <a:ext cx="219612" cy="219612"/>
        </a:xfrm>
        <a:prstGeom prst="triangle">
          <a:avLst>
            <a:gd name="adj" fmla="val 100000"/>
          </a:avLst>
        </a:prstGeom>
        <a:gradFill rotWithShape="0">
          <a:gsLst>
            <a:gs pos="0">
              <a:srgbClr val="00A0A4">
                <a:hueOff val="0"/>
                <a:satOff val="0"/>
                <a:lumOff val="0"/>
                <a:alphaOff val="0"/>
                <a:lumMod val="110000"/>
                <a:satMod val="105000"/>
                <a:tint val="67000"/>
              </a:srgbClr>
            </a:gs>
            <a:gs pos="50000">
              <a:srgbClr val="00A0A4">
                <a:hueOff val="0"/>
                <a:satOff val="0"/>
                <a:lumOff val="0"/>
                <a:alphaOff val="0"/>
                <a:lumMod val="105000"/>
                <a:satMod val="103000"/>
                <a:tint val="73000"/>
              </a:srgbClr>
            </a:gs>
            <a:gs pos="100000">
              <a:srgbClr val="00A0A4">
                <a:hueOff val="0"/>
                <a:satOff val="0"/>
                <a:lumOff val="0"/>
                <a:alphaOff val="0"/>
                <a:lumMod val="105000"/>
                <a:satMod val="109000"/>
                <a:tint val="81000"/>
              </a:srgbClr>
            </a:gs>
          </a:gsLst>
          <a:lin ang="5400000" scaled="0"/>
        </a:gradFill>
        <a:ln w="6350" cap="flat" cmpd="sng" algn="ctr">
          <a:solidFill>
            <a:srgbClr val="00A0A4">
              <a:hueOff val="0"/>
              <a:satOff val="0"/>
              <a:lumOff val="0"/>
              <a:alphaOff val="0"/>
            </a:srgbClr>
          </a:solidFill>
          <a:prstDash val="solid"/>
          <a:miter lim="800000"/>
        </a:ln>
        <a:effectLst/>
      </dgm:spPr>
    </dgm:pt>
    <dgm:pt modelId="{E164BAEE-B7B9-4D02-AD81-C80F5D500D97}" type="pres">
      <dgm:prSet presAssocID="{0704A27A-3780-4B40-B8CA-020CD609D242}" presName="sibTrans" presStyleCnt="0"/>
      <dgm:spPr/>
    </dgm:pt>
    <dgm:pt modelId="{84540E78-8FDD-4482-9C24-4E480546D695}" type="pres">
      <dgm:prSet presAssocID="{0704A27A-3780-4B40-B8CA-020CD609D242}" presName="space" presStyleCnt="0"/>
      <dgm:spPr/>
    </dgm:pt>
    <dgm:pt modelId="{EB9A481C-80B7-4F8E-BDD1-7AFBEDEFCAFC}" type="pres">
      <dgm:prSet presAssocID="{29291451-B43A-434C-905D-B36681B3932A}" presName="composite" presStyleCnt="0"/>
      <dgm:spPr/>
    </dgm:pt>
    <dgm:pt modelId="{3FC05E41-6498-442C-83E2-C0F3CC73FBE8}" type="pres">
      <dgm:prSet presAssocID="{29291451-B43A-434C-905D-B36681B3932A}" presName="LShape" presStyleLbl="alignNode1" presStyleIdx="2" presStyleCnt="7"/>
      <dgm:spPr>
        <a:xfrm rot="5400000">
          <a:off x="1684317" y="1048275"/>
          <a:ext cx="774804" cy="1289256"/>
        </a:xfrm>
        <a:prstGeom prst="corner">
          <a:avLst>
            <a:gd name="adj1" fmla="val 16120"/>
            <a:gd name="adj2" fmla="val 16110"/>
          </a:avLst>
        </a:prstGeom>
        <a:gradFill rotWithShape="0">
          <a:gsLst>
            <a:gs pos="0">
              <a:srgbClr val="436AB3">
                <a:hueOff val="0"/>
                <a:satOff val="0"/>
                <a:lumOff val="0"/>
                <a:alphaOff val="0"/>
                <a:lumMod val="110000"/>
                <a:satMod val="105000"/>
                <a:tint val="67000"/>
              </a:srgbClr>
            </a:gs>
            <a:gs pos="50000">
              <a:srgbClr val="436AB3">
                <a:hueOff val="0"/>
                <a:satOff val="0"/>
                <a:lumOff val="0"/>
                <a:alphaOff val="0"/>
                <a:lumMod val="105000"/>
                <a:satMod val="103000"/>
                <a:tint val="73000"/>
              </a:srgbClr>
            </a:gs>
            <a:gs pos="100000">
              <a:srgbClr val="436AB3">
                <a:hueOff val="0"/>
                <a:satOff val="0"/>
                <a:lumOff val="0"/>
                <a:alphaOff val="0"/>
                <a:lumMod val="105000"/>
                <a:satMod val="109000"/>
                <a:tint val="81000"/>
              </a:srgbClr>
            </a:gs>
          </a:gsLst>
          <a:lin ang="5400000" scaled="0"/>
        </a:gradFill>
        <a:ln w="6350" cap="flat" cmpd="sng" algn="ctr">
          <a:solidFill>
            <a:srgbClr val="436AB3">
              <a:hueOff val="0"/>
              <a:satOff val="0"/>
              <a:lumOff val="0"/>
              <a:alphaOff val="0"/>
            </a:srgbClr>
          </a:solidFill>
          <a:prstDash val="solid"/>
          <a:miter lim="800000"/>
        </a:ln>
        <a:effectLst/>
      </dgm:spPr>
    </dgm:pt>
    <dgm:pt modelId="{BF3CDB69-88FA-4709-9828-39A76001BC65}" type="pres">
      <dgm:prSet presAssocID="{29291451-B43A-434C-905D-B36681B3932A}" presName="ParentText" presStyleLbl="revTx" presStyleIdx="1" presStyleCnt="4">
        <dgm:presLayoutVars>
          <dgm:chMax val="0"/>
          <dgm:chPref val="0"/>
          <dgm:bulletEnabled val="1"/>
        </dgm:presLayoutVars>
      </dgm:prSet>
      <dgm:spPr/>
    </dgm:pt>
    <dgm:pt modelId="{04C3B2BA-B5C0-4D4A-B345-A99EAF23AD5F}" type="pres">
      <dgm:prSet presAssocID="{29291451-B43A-434C-905D-B36681B3932A}" presName="Triangle" presStyleLbl="alignNode1" presStyleIdx="3" presStyleCnt="7"/>
      <dgm:spPr>
        <a:xfrm>
          <a:off x="2499318" y="953358"/>
          <a:ext cx="219612" cy="219612"/>
        </a:xfrm>
        <a:prstGeom prst="triangle">
          <a:avLst>
            <a:gd name="adj" fmla="val 100000"/>
          </a:avLst>
        </a:prstGeom>
        <a:gradFill rotWithShape="0">
          <a:gsLst>
            <a:gs pos="0">
              <a:srgbClr val="AA5589">
                <a:hueOff val="0"/>
                <a:satOff val="0"/>
                <a:lumOff val="0"/>
                <a:alphaOff val="0"/>
                <a:lumMod val="110000"/>
                <a:satMod val="105000"/>
                <a:tint val="67000"/>
              </a:srgbClr>
            </a:gs>
            <a:gs pos="50000">
              <a:srgbClr val="AA5589">
                <a:hueOff val="0"/>
                <a:satOff val="0"/>
                <a:lumOff val="0"/>
                <a:alphaOff val="0"/>
                <a:lumMod val="105000"/>
                <a:satMod val="103000"/>
                <a:tint val="73000"/>
              </a:srgbClr>
            </a:gs>
            <a:gs pos="100000">
              <a:srgbClr val="AA5589">
                <a:hueOff val="0"/>
                <a:satOff val="0"/>
                <a:lumOff val="0"/>
                <a:alphaOff val="0"/>
                <a:lumMod val="105000"/>
                <a:satMod val="109000"/>
                <a:tint val="81000"/>
              </a:srgbClr>
            </a:gs>
          </a:gsLst>
          <a:lin ang="5400000" scaled="0"/>
        </a:gradFill>
        <a:ln w="6350" cap="flat" cmpd="sng" algn="ctr">
          <a:solidFill>
            <a:srgbClr val="AA5589">
              <a:hueOff val="0"/>
              <a:satOff val="0"/>
              <a:lumOff val="0"/>
              <a:alphaOff val="0"/>
            </a:srgbClr>
          </a:solidFill>
          <a:prstDash val="solid"/>
          <a:miter lim="800000"/>
        </a:ln>
        <a:effectLst/>
      </dgm:spPr>
    </dgm:pt>
    <dgm:pt modelId="{4A565CAA-3042-4326-BD34-DB0F746EB70B}" type="pres">
      <dgm:prSet presAssocID="{9A6EDA57-7C0D-46CC-B976-FB6CE47D9D15}" presName="sibTrans" presStyleCnt="0"/>
      <dgm:spPr/>
    </dgm:pt>
    <dgm:pt modelId="{C5EF8E5D-4906-44E5-B9BE-A6E240096FF6}" type="pres">
      <dgm:prSet presAssocID="{9A6EDA57-7C0D-46CC-B976-FB6CE47D9D15}" presName="space" presStyleCnt="0"/>
      <dgm:spPr/>
    </dgm:pt>
    <dgm:pt modelId="{64CFE235-71FB-442C-8EAA-0A5F5F3BE45C}" type="pres">
      <dgm:prSet presAssocID="{A7C55EE1-DDC8-4A6B-99A5-B8C9790E4027}" presName="composite" presStyleCnt="0"/>
      <dgm:spPr/>
    </dgm:pt>
    <dgm:pt modelId="{041911B4-3200-40BE-9CDF-DDB381DC5968}" type="pres">
      <dgm:prSet presAssocID="{A7C55EE1-DDC8-4A6B-99A5-B8C9790E4027}" presName="LShape" presStyleLbl="alignNode1" presStyleIdx="4" presStyleCnt="7"/>
      <dgm:spPr>
        <a:xfrm rot="5400000">
          <a:off x="3109217" y="695682"/>
          <a:ext cx="774804" cy="1289256"/>
        </a:xfrm>
        <a:prstGeom prst="corner">
          <a:avLst>
            <a:gd name="adj1" fmla="val 16120"/>
            <a:gd name="adj2" fmla="val 16110"/>
          </a:avLst>
        </a:prstGeom>
        <a:gradFill rotWithShape="0">
          <a:gsLst>
            <a:gs pos="0">
              <a:srgbClr val="1EBCBE">
                <a:hueOff val="0"/>
                <a:satOff val="0"/>
                <a:lumOff val="0"/>
                <a:alphaOff val="0"/>
                <a:lumMod val="110000"/>
                <a:satMod val="105000"/>
                <a:tint val="67000"/>
              </a:srgbClr>
            </a:gs>
            <a:gs pos="50000">
              <a:srgbClr val="1EBCBE">
                <a:hueOff val="0"/>
                <a:satOff val="0"/>
                <a:lumOff val="0"/>
                <a:alphaOff val="0"/>
                <a:lumMod val="105000"/>
                <a:satMod val="103000"/>
                <a:tint val="73000"/>
              </a:srgbClr>
            </a:gs>
            <a:gs pos="100000">
              <a:srgbClr val="1EBCBE">
                <a:hueOff val="0"/>
                <a:satOff val="0"/>
                <a:lumOff val="0"/>
                <a:alphaOff val="0"/>
                <a:lumMod val="105000"/>
                <a:satMod val="109000"/>
                <a:tint val="81000"/>
              </a:srgbClr>
            </a:gs>
          </a:gsLst>
          <a:lin ang="5400000" scaled="0"/>
        </a:gradFill>
        <a:ln w="6350" cap="flat" cmpd="sng" algn="ctr">
          <a:solidFill>
            <a:srgbClr val="1EBCBE">
              <a:hueOff val="0"/>
              <a:satOff val="0"/>
              <a:lumOff val="0"/>
              <a:alphaOff val="0"/>
            </a:srgbClr>
          </a:solidFill>
          <a:prstDash val="solid"/>
          <a:miter lim="800000"/>
        </a:ln>
        <a:effectLst/>
      </dgm:spPr>
    </dgm:pt>
    <dgm:pt modelId="{6AA8EFE4-538B-4200-AEE9-D7806020F577}" type="pres">
      <dgm:prSet presAssocID="{A7C55EE1-DDC8-4A6B-99A5-B8C9790E4027}" presName="ParentText" presStyleLbl="revTx" presStyleIdx="2" presStyleCnt="4">
        <dgm:presLayoutVars>
          <dgm:chMax val="0"/>
          <dgm:chPref val="0"/>
          <dgm:bulletEnabled val="1"/>
        </dgm:presLayoutVars>
      </dgm:prSet>
      <dgm:spPr/>
    </dgm:pt>
    <dgm:pt modelId="{B32EC02E-723B-418A-8D78-E979C11D0942}" type="pres">
      <dgm:prSet presAssocID="{A7C55EE1-DDC8-4A6B-99A5-B8C9790E4027}" presName="Triangle" presStyleLbl="alignNode1" presStyleIdx="5" presStyleCnt="7"/>
      <dgm:spPr>
        <a:xfrm>
          <a:off x="3924218" y="600765"/>
          <a:ext cx="219612" cy="219612"/>
        </a:xfrm>
        <a:prstGeom prst="triangle">
          <a:avLst>
            <a:gd name="adj" fmla="val 100000"/>
          </a:avLst>
        </a:prstGeom>
        <a:gradFill rotWithShape="0">
          <a:gsLst>
            <a:gs pos="0">
              <a:srgbClr val="7C426F">
                <a:hueOff val="0"/>
                <a:satOff val="0"/>
                <a:lumOff val="0"/>
                <a:alphaOff val="0"/>
                <a:lumMod val="110000"/>
                <a:satMod val="105000"/>
                <a:tint val="67000"/>
              </a:srgbClr>
            </a:gs>
            <a:gs pos="50000">
              <a:srgbClr val="7C426F">
                <a:hueOff val="0"/>
                <a:satOff val="0"/>
                <a:lumOff val="0"/>
                <a:alphaOff val="0"/>
                <a:lumMod val="105000"/>
                <a:satMod val="103000"/>
                <a:tint val="73000"/>
              </a:srgbClr>
            </a:gs>
            <a:gs pos="100000">
              <a:srgbClr val="7C426F">
                <a:hueOff val="0"/>
                <a:satOff val="0"/>
                <a:lumOff val="0"/>
                <a:alphaOff val="0"/>
                <a:lumMod val="105000"/>
                <a:satMod val="109000"/>
                <a:tint val="81000"/>
              </a:srgbClr>
            </a:gs>
          </a:gsLst>
          <a:lin ang="5400000" scaled="0"/>
        </a:gradFill>
        <a:ln w="6350" cap="flat" cmpd="sng" algn="ctr">
          <a:solidFill>
            <a:srgbClr val="7C426F">
              <a:hueOff val="0"/>
              <a:satOff val="0"/>
              <a:lumOff val="0"/>
              <a:alphaOff val="0"/>
            </a:srgbClr>
          </a:solidFill>
          <a:prstDash val="solid"/>
          <a:miter lim="800000"/>
        </a:ln>
        <a:effectLst/>
      </dgm:spPr>
    </dgm:pt>
    <dgm:pt modelId="{DB94C922-A1D7-4EAA-AA83-8E47094E27A9}" type="pres">
      <dgm:prSet presAssocID="{64B63A9D-984D-4E6F-B001-240F2BB596E7}" presName="sibTrans" presStyleCnt="0"/>
      <dgm:spPr/>
    </dgm:pt>
    <dgm:pt modelId="{ECD34C81-D839-4C0C-BC06-A7101E64B91D}" type="pres">
      <dgm:prSet presAssocID="{64B63A9D-984D-4E6F-B001-240F2BB596E7}" presName="space" presStyleCnt="0"/>
      <dgm:spPr/>
    </dgm:pt>
    <dgm:pt modelId="{61331D24-CD84-4467-A0D7-DB6827189DD0}" type="pres">
      <dgm:prSet presAssocID="{2B78A2EE-8DA4-4562-831E-2BF41A86B167}" presName="composite" presStyleCnt="0"/>
      <dgm:spPr/>
    </dgm:pt>
    <dgm:pt modelId="{17C9C83F-50FB-43B7-AB25-BDCB937F2AA9}" type="pres">
      <dgm:prSet presAssocID="{2B78A2EE-8DA4-4562-831E-2BF41A86B167}" presName="LShape" presStyleLbl="alignNode1" presStyleIdx="6" presStyleCnt="7"/>
      <dgm:spPr>
        <a:xfrm rot="5400000">
          <a:off x="4534116" y="343089"/>
          <a:ext cx="774804" cy="1289256"/>
        </a:xfrm>
        <a:prstGeom prst="corner">
          <a:avLst>
            <a:gd name="adj1" fmla="val 16120"/>
            <a:gd name="adj2" fmla="val 16110"/>
          </a:avLst>
        </a:prstGeom>
        <a:gradFill rotWithShape="0">
          <a:gsLst>
            <a:gs pos="0">
              <a:srgbClr val="00A0A4">
                <a:hueOff val="0"/>
                <a:satOff val="0"/>
                <a:lumOff val="0"/>
                <a:alphaOff val="0"/>
                <a:lumMod val="110000"/>
                <a:satMod val="105000"/>
                <a:tint val="67000"/>
              </a:srgbClr>
            </a:gs>
            <a:gs pos="50000">
              <a:srgbClr val="00A0A4">
                <a:hueOff val="0"/>
                <a:satOff val="0"/>
                <a:lumOff val="0"/>
                <a:alphaOff val="0"/>
                <a:lumMod val="105000"/>
                <a:satMod val="103000"/>
                <a:tint val="73000"/>
              </a:srgbClr>
            </a:gs>
            <a:gs pos="100000">
              <a:srgbClr val="00A0A4">
                <a:hueOff val="0"/>
                <a:satOff val="0"/>
                <a:lumOff val="0"/>
                <a:alphaOff val="0"/>
                <a:lumMod val="105000"/>
                <a:satMod val="109000"/>
                <a:tint val="81000"/>
              </a:srgbClr>
            </a:gs>
          </a:gsLst>
          <a:lin ang="5400000" scaled="0"/>
        </a:gradFill>
        <a:ln w="6350" cap="flat" cmpd="sng" algn="ctr">
          <a:solidFill>
            <a:srgbClr val="00A0A4">
              <a:hueOff val="0"/>
              <a:satOff val="0"/>
              <a:lumOff val="0"/>
              <a:alphaOff val="0"/>
            </a:srgbClr>
          </a:solidFill>
          <a:prstDash val="solid"/>
          <a:miter lim="800000"/>
        </a:ln>
        <a:effectLst/>
      </dgm:spPr>
    </dgm:pt>
    <dgm:pt modelId="{ECFE9495-3B82-4CAF-B28F-86755853EA1A}" type="pres">
      <dgm:prSet presAssocID="{2B78A2EE-8DA4-4562-831E-2BF41A86B167}" presName="ParentText" presStyleLbl="revTx" presStyleIdx="3" presStyleCnt="4">
        <dgm:presLayoutVars>
          <dgm:chMax val="0"/>
          <dgm:chPref val="0"/>
          <dgm:bulletEnabled val="1"/>
        </dgm:presLayoutVars>
      </dgm:prSet>
      <dgm:spPr/>
    </dgm:pt>
  </dgm:ptLst>
  <dgm:cxnLst>
    <dgm:cxn modelId="{C059B020-CB8A-4AF9-8FA0-3B29887B34E4}" type="presOf" srcId="{B24563D3-5B36-4859-8432-5B2B17BD3C78}" destId="{30CCE422-BCE1-4793-AB5C-CC8D828C524F}" srcOrd="0" destOrd="0" presId="urn:microsoft.com/office/officeart/2009/3/layout/StepUpProcess"/>
    <dgm:cxn modelId="{CE91DA23-F4F6-43BE-BE32-76A5CBC1482F}" srcId="{B24563D3-5B36-4859-8432-5B2B17BD3C78}" destId="{A7C55EE1-DDC8-4A6B-99A5-B8C9790E4027}" srcOrd="2" destOrd="0" parTransId="{D67B6D5B-931A-4F35-8B70-C209FF10EE2E}" sibTransId="{64B63A9D-984D-4E6F-B001-240F2BB596E7}"/>
    <dgm:cxn modelId="{B3701628-88CB-4FF9-9424-D9EF76B108CE}" type="presOf" srcId="{2B78A2EE-8DA4-4562-831E-2BF41A86B167}" destId="{ECFE9495-3B82-4CAF-B28F-86755853EA1A}" srcOrd="0" destOrd="0" presId="urn:microsoft.com/office/officeart/2009/3/layout/StepUpProcess"/>
    <dgm:cxn modelId="{907DD22D-4C67-4855-9E68-9F3D9160A021}" type="presOf" srcId="{A7C55EE1-DDC8-4A6B-99A5-B8C9790E4027}" destId="{6AA8EFE4-538B-4200-AEE9-D7806020F577}" srcOrd="0" destOrd="0" presId="urn:microsoft.com/office/officeart/2009/3/layout/StepUpProcess"/>
    <dgm:cxn modelId="{237BF360-CEA6-48B8-A5B8-E0351A5E77E4}" type="presOf" srcId="{EAA3FFD0-B66E-4F97-9705-41A9893BE0AB}" destId="{50CFE7D2-3F0B-4B55-B0CD-1683E19AF57C}" srcOrd="0" destOrd="0" presId="urn:microsoft.com/office/officeart/2009/3/layout/StepUpProcess"/>
    <dgm:cxn modelId="{54D5C169-FE05-42CF-BB0A-6BAED2388D47}" type="presOf" srcId="{29291451-B43A-434C-905D-B36681B3932A}" destId="{BF3CDB69-88FA-4709-9828-39A76001BC65}" srcOrd="0" destOrd="0" presId="urn:microsoft.com/office/officeart/2009/3/layout/StepUpProcess"/>
    <dgm:cxn modelId="{4EBA4C9B-786D-4F8D-B1A8-BCF5BBAAEDCD}" srcId="{B24563D3-5B36-4859-8432-5B2B17BD3C78}" destId="{29291451-B43A-434C-905D-B36681B3932A}" srcOrd="1" destOrd="0" parTransId="{8952147C-448E-4327-A4A0-FBC42C22ACF7}" sibTransId="{9A6EDA57-7C0D-46CC-B976-FB6CE47D9D15}"/>
    <dgm:cxn modelId="{8A3595D7-18F8-4347-831E-54F1D881B4F3}" srcId="{B24563D3-5B36-4859-8432-5B2B17BD3C78}" destId="{2B78A2EE-8DA4-4562-831E-2BF41A86B167}" srcOrd="3" destOrd="0" parTransId="{F5FEBC3E-6FA7-4FE3-AA8C-7B96FFADBD66}" sibTransId="{3C706F8C-2C38-49C8-A5D0-09FE6E347CA4}"/>
    <dgm:cxn modelId="{019CE0DE-F5F5-4C16-A0F6-78A4BEE75FB1}" srcId="{B24563D3-5B36-4859-8432-5B2B17BD3C78}" destId="{EAA3FFD0-B66E-4F97-9705-41A9893BE0AB}" srcOrd="0" destOrd="0" parTransId="{071C6C96-4D09-4311-920F-532D660CFE9B}" sibTransId="{0704A27A-3780-4B40-B8CA-020CD609D242}"/>
    <dgm:cxn modelId="{0638CC41-6ACB-4E40-9A8D-8C02C195AD9B}" type="presParOf" srcId="{30CCE422-BCE1-4793-AB5C-CC8D828C524F}" destId="{6386280F-A8FC-43B9-919A-61ECE0A69F47}" srcOrd="0" destOrd="0" presId="urn:microsoft.com/office/officeart/2009/3/layout/StepUpProcess"/>
    <dgm:cxn modelId="{36F4E9E7-C931-4BD1-9167-9B33905ADEFC}" type="presParOf" srcId="{6386280F-A8FC-43B9-919A-61ECE0A69F47}" destId="{5E455DAE-2C8C-4C0D-BE38-FB4258320AAF}" srcOrd="0" destOrd="0" presId="urn:microsoft.com/office/officeart/2009/3/layout/StepUpProcess"/>
    <dgm:cxn modelId="{6B4106FC-4BDA-40CA-AC67-4ED3FF3BC3F2}" type="presParOf" srcId="{6386280F-A8FC-43B9-919A-61ECE0A69F47}" destId="{50CFE7D2-3F0B-4B55-B0CD-1683E19AF57C}" srcOrd="1" destOrd="0" presId="urn:microsoft.com/office/officeart/2009/3/layout/StepUpProcess"/>
    <dgm:cxn modelId="{02C57C8B-CD67-4D27-8655-930D5BA61364}" type="presParOf" srcId="{6386280F-A8FC-43B9-919A-61ECE0A69F47}" destId="{89D0CE41-27A1-46A2-8017-0D3F0A31B752}" srcOrd="2" destOrd="0" presId="urn:microsoft.com/office/officeart/2009/3/layout/StepUpProcess"/>
    <dgm:cxn modelId="{0E97B9B8-628B-4EFE-94FC-E17E205C4D00}" type="presParOf" srcId="{30CCE422-BCE1-4793-AB5C-CC8D828C524F}" destId="{E164BAEE-B7B9-4D02-AD81-C80F5D500D97}" srcOrd="1" destOrd="0" presId="urn:microsoft.com/office/officeart/2009/3/layout/StepUpProcess"/>
    <dgm:cxn modelId="{641B76F5-855B-45E6-AF5F-B0BBBBFC7652}" type="presParOf" srcId="{E164BAEE-B7B9-4D02-AD81-C80F5D500D97}" destId="{84540E78-8FDD-4482-9C24-4E480546D695}" srcOrd="0" destOrd="0" presId="urn:microsoft.com/office/officeart/2009/3/layout/StepUpProcess"/>
    <dgm:cxn modelId="{F6E99A90-FB72-40E8-A409-18C37A71E145}" type="presParOf" srcId="{30CCE422-BCE1-4793-AB5C-CC8D828C524F}" destId="{EB9A481C-80B7-4F8E-BDD1-7AFBEDEFCAFC}" srcOrd="2" destOrd="0" presId="urn:microsoft.com/office/officeart/2009/3/layout/StepUpProcess"/>
    <dgm:cxn modelId="{58B2EA51-51DE-4A13-AB37-13B5F023CB69}" type="presParOf" srcId="{EB9A481C-80B7-4F8E-BDD1-7AFBEDEFCAFC}" destId="{3FC05E41-6498-442C-83E2-C0F3CC73FBE8}" srcOrd="0" destOrd="0" presId="urn:microsoft.com/office/officeart/2009/3/layout/StepUpProcess"/>
    <dgm:cxn modelId="{DA0E6215-A9E4-455C-944C-63A578DEF77E}" type="presParOf" srcId="{EB9A481C-80B7-4F8E-BDD1-7AFBEDEFCAFC}" destId="{BF3CDB69-88FA-4709-9828-39A76001BC65}" srcOrd="1" destOrd="0" presId="urn:microsoft.com/office/officeart/2009/3/layout/StepUpProcess"/>
    <dgm:cxn modelId="{7DAE5100-0180-4BF1-B8F3-9D254C1F6353}" type="presParOf" srcId="{EB9A481C-80B7-4F8E-BDD1-7AFBEDEFCAFC}" destId="{04C3B2BA-B5C0-4D4A-B345-A99EAF23AD5F}" srcOrd="2" destOrd="0" presId="urn:microsoft.com/office/officeart/2009/3/layout/StepUpProcess"/>
    <dgm:cxn modelId="{60BD176D-7355-42E1-A146-C72F8AE91FA9}" type="presParOf" srcId="{30CCE422-BCE1-4793-AB5C-CC8D828C524F}" destId="{4A565CAA-3042-4326-BD34-DB0F746EB70B}" srcOrd="3" destOrd="0" presId="urn:microsoft.com/office/officeart/2009/3/layout/StepUpProcess"/>
    <dgm:cxn modelId="{82E4DB49-F8E7-49D8-8504-A4674D3B14D7}" type="presParOf" srcId="{4A565CAA-3042-4326-BD34-DB0F746EB70B}" destId="{C5EF8E5D-4906-44E5-B9BE-A6E240096FF6}" srcOrd="0" destOrd="0" presId="urn:microsoft.com/office/officeart/2009/3/layout/StepUpProcess"/>
    <dgm:cxn modelId="{B882A02F-00F3-4C7B-AD1D-4B3BFFC6811C}" type="presParOf" srcId="{30CCE422-BCE1-4793-AB5C-CC8D828C524F}" destId="{64CFE235-71FB-442C-8EAA-0A5F5F3BE45C}" srcOrd="4" destOrd="0" presId="urn:microsoft.com/office/officeart/2009/3/layout/StepUpProcess"/>
    <dgm:cxn modelId="{259A3EE5-EB85-4C25-8561-DD12B543424F}" type="presParOf" srcId="{64CFE235-71FB-442C-8EAA-0A5F5F3BE45C}" destId="{041911B4-3200-40BE-9CDF-DDB381DC5968}" srcOrd="0" destOrd="0" presId="urn:microsoft.com/office/officeart/2009/3/layout/StepUpProcess"/>
    <dgm:cxn modelId="{CF6839D1-2560-4F04-80E0-8FB0480F685C}" type="presParOf" srcId="{64CFE235-71FB-442C-8EAA-0A5F5F3BE45C}" destId="{6AA8EFE4-538B-4200-AEE9-D7806020F577}" srcOrd="1" destOrd="0" presId="urn:microsoft.com/office/officeart/2009/3/layout/StepUpProcess"/>
    <dgm:cxn modelId="{C819C8C2-9F3E-4CF6-B1CA-DA2F99479DEE}" type="presParOf" srcId="{64CFE235-71FB-442C-8EAA-0A5F5F3BE45C}" destId="{B32EC02E-723B-418A-8D78-E979C11D0942}" srcOrd="2" destOrd="0" presId="urn:microsoft.com/office/officeart/2009/3/layout/StepUpProcess"/>
    <dgm:cxn modelId="{D594A507-3753-4486-BB3E-D16AFD64A489}" type="presParOf" srcId="{30CCE422-BCE1-4793-AB5C-CC8D828C524F}" destId="{DB94C922-A1D7-4EAA-AA83-8E47094E27A9}" srcOrd="5" destOrd="0" presId="urn:microsoft.com/office/officeart/2009/3/layout/StepUpProcess"/>
    <dgm:cxn modelId="{C54CAB1E-B478-45BC-85A5-C9A8260A8738}" type="presParOf" srcId="{DB94C922-A1D7-4EAA-AA83-8E47094E27A9}" destId="{ECD34C81-D839-4C0C-BC06-A7101E64B91D}" srcOrd="0" destOrd="0" presId="urn:microsoft.com/office/officeart/2009/3/layout/StepUpProcess"/>
    <dgm:cxn modelId="{1906E067-A2BE-4D4E-B096-1A7D7BF3A011}" type="presParOf" srcId="{30CCE422-BCE1-4793-AB5C-CC8D828C524F}" destId="{61331D24-CD84-4467-A0D7-DB6827189DD0}" srcOrd="6" destOrd="0" presId="urn:microsoft.com/office/officeart/2009/3/layout/StepUpProcess"/>
    <dgm:cxn modelId="{D163B4CB-BBB4-4F5C-A2FB-1AD877902DEC}" type="presParOf" srcId="{61331D24-CD84-4467-A0D7-DB6827189DD0}" destId="{17C9C83F-50FB-43B7-AB25-BDCB937F2AA9}" srcOrd="0" destOrd="0" presId="urn:microsoft.com/office/officeart/2009/3/layout/StepUpProcess"/>
    <dgm:cxn modelId="{1D382801-BF1A-4105-A946-10AEB32B6808}" type="presParOf" srcId="{61331D24-CD84-4467-A0D7-DB6827189DD0}" destId="{ECFE9495-3B82-4CAF-B28F-86755853EA1A}" srcOrd="1" destOrd="0" presId="urn:microsoft.com/office/officeart/2009/3/layout/StepUpProcess"/>
  </dgm:cxnLst>
  <dgm:bg>
    <a:noFill/>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70AFCD-5961-4B19-95FA-F63CBE4EB563}" type="doc">
      <dgm:prSet loTypeId="urn:microsoft.com/office/officeart/2005/8/layout/radial6" loCatId="cycle" qsTypeId="urn:microsoft.com/office/officeart/2005/8/quickstyle/simple1" qsCatId="simple" csTypeId="urn:microsoft.com/office/officeart/2005/8/colors/accent4_2" csCatId="accent4" phldr="1"/>
      <dgm:spPr/>
      <dgm:t>
        <a:bodyPr/>
        <a:lstStyle/>
        <a:p>
          <a:endParaRPr lang="en-AU"/>
        </a:p>
      </dgm:t>
    </dgm:pt>
    <dgm:pt modelId="{8F8CA5D8-E619-49E4-9BB1-D5307E78DFC0}">
      <dgm:prSet phldrT="[Text]"/>
      <dgm:spPr/>
      <dgm:t>
        <a:bodyPr/>
        <a:lstStyle/>
        <a:p>
          <a:r>
            <a:rPr lang="en-AU" dirty="0"/>
            <a:t>Public interest</a:t>
          </a:r>
        </a:p>
      </dgm:t>
    </dgm:pt>
    <dgm:pt modelId="{A873957F-96C4-4DB0-94E0-BFFB207BA02E}" type="parTrans" cxnId="{DAEB8A04-9F13-47EF-832C-9D67C6ED93EB}">
      <dgm:prSet/>
      <dgm:spPr/>
      <dgm:t>
        <a:bodyPr/>
        <a:lstStyle/>
        <a:p>
          <a:endParaRPr lang="en-AU"/>
        </a:p>
      </dgm:t>
    </dgm:pt>
    <dgm:pt modelId="{CD5BA44E-5A6B-4B22-AB88-4F4AB82374F4}" type="sibTrans" cxnId="{DAEB8A04-9F13-47EF-832C-9D67C6ED93EB}">
      <dgm:prSet/>
      <dgm:spPr/>
      <dgm:t>
        <a:bodyPr/>
        <a:lstStyle/>
        <a:p>
          <a:endParaRPr lang="en-AU"/>
        </a:p>
      </dgm:t>
    </dgm:pt>
    <dgm:pt modelId="{F6155B5F-5038-4CA0-862E-B0A7218B1B84}">
      <dgm:prSet phldrT="[Text]"/>
      <dgm:spPr/>
      <dgm:t>
        <a:bodyPr/>
        <a:lstStyle/>
        <a:p>
          <a:r>
            <a:rPr lang="en-AU" dirty="0"/>
            <a:t>facilitates efficiency</a:t>
          </a:r>
        </a:p>
      </dgm:t>
    </dgm:pt>
    <dgm:pt modelId="{F93D202C-3FE9-45B4-8749-10E8754ECD78}" type="parTrans" cxnId="{8AFA4364-A9AD-4875-B9F9-7797718EE89A}">
      <dgm:prSet/>
      <dgm:spPr/>
      <dgm:t>
        <a:bodyPr/>
        <a:lstStyle/>
        <a:p>
          <a:endParaRPr lang="en-AU"/>
        </a:p>
      </dgm:t>
    </dgm:pt>
    <dgm:pt modelId="{3D4EA851-DA2F-484B-9109-BEC3DBFB4537}" type="sibTrans" cxnId="{8AFA4364-A9AD-4875-B9F9-7797718EE89A}">
      <dgm:prSet/>
      <dgm:spPr/>
      <dgm:t>
        <a:bodyPr/>
        <a:lstStyle/>
        <a:p>
          <a:endParaRPr lang="en-AU"/>
        </a:p>
      </dgm:t>
    </dgm:pt>
    <dgm:pt modelId="{EF290D0C-C0FA-444A-BDD4-37A4724EF120}">
      <dgm:prSet phldrT="[Text]"/>
      <dgm:spPr/>
      <dgm:t>
        <a:bodyPr/>
        <a:lstStyle/>
        <a:p>
          <a:r>
            <a:rPr lang="en-AU" dirty="0"/>
            <a:t>promotes investment and innovation</a:t>
          </a:r>
        </a:p>
      </dgm:t>
    </dgm:pt>
    <dgm:pt modelId="{FD9E1BDD-2E30-4DB1-B044-1F5F796FDDAB}" type="parTrans" cxnId="{DFF15157-52DD-4B23-BC12-F72FE3D25774}">
      <dgm:prSet/>
      <dgm:spPr/>
      <dgm:t>
        <a:bodyPr/>
        <a:lstStyle/>
        <a:p>
          <a:endParaRPr lang="en-AU"/>
        </a:p>
      </dgm:t>
    </dgm:pt>
    <dgm:pt modelId="{479E64C1-4375-4AD9-8F26-BEB85ED7C5F5}" type="sibTrans" cxnId="{DFF15157-52DD-4B23-BC12-F72FE3D25774}">
      <dgm:prSet/>
      <dgm:spPr/>
      <dgm:t>
        <a:bodyPr/>
        <a:lstStyle/>
        <a:p>
          <a:endParaRPr lang="en-AU"/>
        </a:p>
      </dgm:t>
    </dgm:pt>
    <dgm:pt modelId="{A2E63B62-0F52-444E-86FD-C0BA62012417}">
      <dgm:prSet phldrT="[Text]"/>
      <dgm:spPr/>
      <dgm:t>
        <a:bodyPr/>
        <a:lstStyle/>
        <a:p>
          <a:r>
            <a:rPr lang="en-AU" dirty="0"/>
            <a:t>enhances competition</a:t>
          </a:r>
        </a:p>
      </dgm:t>
    </dgm:pt>
    <dgm:pt modelId="{F515C5A9-E5E9-405B-B8DE-08646EE258F0}" type="parTrans" cxnId="{C5745ECF-66D6-4219-BAD7-213D1DB65E4F}">
      <dgm:prSet/>
      <dgm:spPr/>
      <dgm:t>
        <a:bodyPr/>
        <a:lstStyle/>
        <a:p>
          <a:endParaRPr lang="en-AU"/>
        </a:p>
      </dgm:t>
    </dgm:pt>
    <dgm:pt modelId="{5A77248F-3B27-44FE-99BB-034767F82B5E}" type="sibTrans" cxnId="{C5745ECF-66D6-4219-BAD7-213D1DB65E4F}">
      <dgm:prSet/>
      <dgm:spPr/>
      <dgm:t>
        <a:bodyPr/>
        <a:lstStyle/>
        <a:p>
          <a:endParaRPr lang="en-AU"/>
        </a:p>
      </dgm:t>
    </dgm:pt>
    <dgm:pt modelId="{B889FDB2-69D7-490E-A5CC-9F39DA6D23C6}">
      <dgm:prSet phldrT="[Text]"/>
      <dgm:spPr/>
      <dgm:t>
        <a:bodyPr/>
        <a:lstStyle/>
        <a:p>
          <a:r>
            <a:rPr lang="en-AU" dirty="0"/>
            <a:t>balances public benefits and Impacts</a:t>
          </a:r>
        </a:p>
      </dgm:t>
    </dgm:pt>
    <dgm:pt modelId="{31627E38-4346-4A0D-8463-969041C6BB9C}" type="parTrans" cxnId="{094A4BE1-3124-4779-A02E-E588681727A9}">
      <dgm:prSet/>
      <dgm:spPr/>
      <dgm:t>
        <a:bodyPr/>
        <a:lstStyle/>
        <a:p>
          <a:endParaRPr lang="en-AU"/>
        </a:p>
      </dgm:t>
    </dgm:pt>
    <dgm:pt modelId="{F9108A65-3A6C-4111-8F9B-DBCDFDFBFAAD}" type="sibTrans" cxnId="{094A4BE1-3124-4779-A02E-E588681727A9}">
      <dgm:prSet/>
      <dgm:spPr/>
      <dgm:t>
        <a:bodyPr/>
        <a:lstStyle/>
        <a:p>
          <a:endParaRPr lang="en-AU"/>
        </a:p>
      </dgm:t>
    </dgm:pt>
    <dgm:pt modelId="{47345C7F-318A-4EF9-859F-CAC230337531}">
      <dgm:prSet phldrT="[Text]"/>
      <dgm:spPr/>
      <dgm:t>
        <a:bodyPr/>
        <a:lstStyle/>
        <a:p>
          <a:r>
            <a:rPr lang="en-AU" dirty="0"/>
            <a:t>supports relevant policy objectives and priorities</a:t>
          </a:r>
        </a:p>
      </dgm:t>
    </dgm:pt>
    <dgm:pt modelId="{EA4E8B61-F8C6-498C-BE37-67C5894CDF1F}" type="parTrans" cxnId="{7C15B342-9D94-4CFF-8F83-B9EAC9920A95}">
      <dgm:prSet/>
      <dgm:spPr/>
      <dgm:t>
        <a:bodyPr/>
        <a:lstStyle/>
        <a:p>
          <a:endParaRPr lang="en-AU"/>
        </a:p>
      </dgm:t>
    </dgm:pt>
    <dgm:pt modelId="{4B2E077F-B290-47FB-8C35-7500126863DF}" type="sibTrans" cxnId="{7C15B342-9D94-4CFF-8F83-B9EAC9920A95}">
      <dgm:prSet/>
      <dgm:spPr/>
      <dgm:t>
        <a:bodyPr/>
        <a:lstStyle/>
        <a:p>
          <a:endParaRPr lang="en-AU"/>
        </a:p>
      </dgm:t>
    </dgm:pt>
    <dgm:pt modelId="{EA26E934-E576-4D98-958D-F623547B0418}" type="pres">
      <dgm:prSet presAssocID="{A470AFCD-5961-4B19-95FA-F63CBE4EB563}" presName="Name0" presStyleCnt="0">
        <dgm:presLayoutVars>
          <dgm:chMax val="1"/>
          <dgm:dir/>
          <dgm:animLvl val="ctr"/>
          <dgm:resizeHandles val="exact"/>
        </dgm:presLayoutVars>
      </dgm:prSet>
      <dgm:spPr/>
    </dgm:pt>
    <dgm:pt modelId="{88E933FA-97C1-445D-B4D6-A2C88B63680A}" type="pres">
      <dgm:prSet presAssocID="{8F8CA5D8-E619-49E4-9BB1-D5307E78DFC0}" presName="centerShape" presStyleLbl="node0" presStyleIdx="0" presStyleCnt="1"/>
      <dgm:spPr/>
    </dgm:pt>
    <dgm:pt modelId="{ACB52BAC-67A5-4CB6-A8FD-A1DDD11DEB0E}" type="pres">
      <dgm:prSet presAssocID="{F6155B5F-5038-4CA0-862E-B0A7218B1B84}" presName="node" presStyleLbl="node1" presStyleIdx="0" presStyleCnt="5">
        <dgm:presLayoutVars>
          <dgm:bulletEnabled val="1"/>
        </dgm:presLayoutVars>
      </dgm:prSet>
      <dgm:spPr/>
    </dgm:pt>
    <dgm:pt modelId="{A3E0BEB9-0E98-47F1-8F69-6EAD165DA6C1}" type="pres">
      <dgm:prSet presAssocID="{F6155B5F-5038-4CA0-862E-B0A7218B1B84}" presName="dummy" presStyleCnt="0"/>
      <dgm:spPr/>
    </dgm:pt>
    <dgm:pt modelId="{658C17EB-2BD2-43C2-A3B9-E286AEE50606}" type="pres">
      <dgm:prSet presAssocID="{3D4EA851-DA2F-484B-9109-BEC3DBFB4537}" presName="sibTrans" presStyleLbl="sibTrans2D1" presStyleIdx="0" presStyleCnt="5"/>
      <dgm:spPr/>
    </dgm:pt>
    <dgm:pt modelId="{84831B9C-813F-4C1F-9641-C26159988985}" type="pres">
      <dgm:prSet presAssocID="{EF290D0C-C0FA-444A-BDD4-37A4724EF120}" presName="node" presStyleLbl="node1" presStyleIdx="1" presStyleCnt="5">
        <dgm:presLayoutVars>
          <dgm:bulletEnabled val="1"/>
        </dgm:presLayoutVars>
      </dgm:prSet>
      <dgm:spPr/>
    </dgm:pt>
    <dgm:pt modelId="{EF40D320-BABF-491F-A866-70E34A2C95C2}" type="pres">
      <dgm:prSet presAssocID="{EF290D0C-C0FA-444A-BDD4-37A4724EF120}" presName="dummy" presStyleCnt="0"/>
      <dgm:spPr/>
    </dgm:pt>
    <dgm:pt modelId="{F3BD38E4-A3FB-48B3-96A3-4ADE807E22C4}" type="pres">
      <dgm:prSet presAssocID="{479E64C1-4375-4AD9-8F26-BEB85ED7C5F5}" presName="sibTrans" presStyleLbl="sibTrans2D1" presStyleIdx="1" presStyleCnt="5"/>
      <dgm:spPr/>
    </dgm:pt>
    <dgm:pt modelId="{8219F95F-13E1-4301-8F9C-1DCEC2218346}" type="pres">
      <dgm:prSet presAssocID="{A2E63B62-0F52-444E-86FD-C0BA62012417}" presName="node" presStyleLbl="node1" presStyleIdx="2" presStyleCnt="5">
        <dgm:presLayoutVars>
          <dgm:bulletEnabled val="1"/>
        </dgm:presLayoutVars>
      </dgm:prSet>
      <dgm:spPr/>
    </dgm:pt>
    <dgm:pt modelId="{40393DDA-3D69-43CD-99BB-C2A3C442F1DF}" type="pres">
      <dgm:prSet presAssocID="{A2E63B62-0F52-444E-86FD-C0BA62012417}" presName="dummy" presStyleCnt="0"/>
      <dgm:spPr/>
    </dgm:pt>
    <dgm:pt modelId="{E89EB4C8-AA37-4605-B62F-F509610B0BE8}" type="pres">
      <dgm:prSet presAssocID="{5A77248F-3B27-44FE-99BB-034767F82B5E}" presName="sibTrans" presStyleLbl="sibTrans2D1" presStyleIdx="2" presStyleCnt="5"/>
      <dgm:spPr/>
    </dgm:pt>
    <dgm:pt modelId="{1B02B729-D479-49C9-A3DD-7A6F8ACE04AE}" type="pres">
      <dgm:prSet presAssocID="{B889FDB2-69D7-490E-A5CC-9F39DA6D23C6}" presName="node" presStyleLbl="node1" presStyleIdx="3" presStyleCnt="5">
        <dgm:presLayoutVars>
          <dgm:bulletEnabled val="1"/>
        </dgm:presLayoutVars>
      </dgm:prSet>
      <dgm:spPr/>
    </dgm:pt>
    <dgm:pt modelId="{E017F94E-4434-4DBF-BF65-39B6EA83476F}" type="pres">
      <dgm:prSet presAssocID="{B889FDB2-69D7-490E-A5CC-9F39DA6D23C6}" presName="dummy" presStyleCnt="0"/>
      <dgm:spPr/>
    </dgm:pt>
    <dgm:pt modelId="{E87198DE-757F-4D62-942D-DF1FCCFA4D2F}" type="pres">
      <dgm:prSet presAssocID="{F9108A65-3A6C-4111-8F9B-DBCDFDFBFAAD}" presName="sibTrans" presStyleLbl="sibTrans2D1" presStyleIdx="3" presStyleCnt="5"/>
      <dgm:spPr/>
    </dgm:pt>
    <dgm:pt modelId="{DA83DE20-C2CD-4283-AF71-EEE1F5A5833D}" type="pres">
      <dgm:prSet presAssocID="{47345C7F-318A-4EF9-859F-CAC230337531}" presName="node" presStyleLbl="node1" presStyleIdx="4" presStyleCnt="5">
        <dgm:presLayoutVars>
          <dgm:bulletEnabled val="1"/>
        </dgm:presLayoutVars>
      </dgm:prSet>
      <dgm:spPr/>
    </dgm:pt>
    <dgm:pt modelId="{D9FE563B-C30C-4C8B-B13D-313F3892366F}" type="pres">
      <dgm:prSet presAssocID="{47345C7F-318A-4EF9-859F-CAC230337531}" presName="dummy" presStyleCnt="0"/>
      <dgm:spPr/>
    </dgm:pt>
    <dgm:pt modelId="{A355CEEC-F19E-40BD-B9CD-44557D2E98AF}" type="pres">
      <dgm:prSet presAssocID="{4B2E077F-B290-47FB-8C35-7500126863DF}" presName="sibTrans" presStyleLbl="sibTrans2D1" presStyleIdx="4" presStyleCnt="5"/>
      <dgm:spPr/>
    </dgm:pt>
  </dgm:ptLst>
  <dgm:cxnLst>
    <dgm:cxn modelId="{DAEB8A04-9F13-47EF-832C-9D67C6ED93EB}" srcId="{A470AFCD-5961-4B19-95FA-F63CBE4EB563}" destId="{8F8CA5D8-E619-49E4-9BB1-D5307E78DFC0}" srcOrd="0" destOrd="0" parTransId="{A873957F-96C4-4DB0-94E0-BFFB207BA02E}" sibTransId="{CD5BA44E-5A6B-4B22-AB88-4F4AB82374F4}"/>
    <dgm:cxn modelId="{E9788027-1651-4C16-BB45-D4AAE84B9F4E}" type="presOf" srcId="{F6155B5F-5038-4CA0-862E-B0A7218B1B84}" destId="{ACB52BAC-67A5-4CB6-A8FD-A1DDD11DEB0E}" srcOrd="0" destOrd="0" presId="urn:microsoft.com/office/officeart/2005/8/layout/radial6"/>
    <dgm:cxn modelId="{8A1DDD3A-B8F5-4E86-887A-9AA612496E4E}" type="presOf" srcId="{479E64C1-4375-4AD9-8F26-BEB85ED7C5F5}" destId="{F3BD38E4-A3FB-48B3-96A3-4ADE807E22C4}" srcOrd="0" destOrd="0" presId="urn:microsoft.com/office/officeart/2005/8/layout/radial6"/>
    <dgm:cxn modelId="{7C15B342-9D94-4CFF-8F83-B9EAC9920A95}" srcId="{8F8CA5D8-E619-49E4-9BB1-D5307E78DFC0}" destId="{47345C7F-318A-4EF9-859F-CAC230337531}" srcOrd="4" destOrd="0" parTransId="{EA4E8B61-F8C6-498C-BE37-67C5894CDF1F}" sibTransId="{4B2E077F-B290-47FB-8C35-7500126863DF}"/>
    <dgm:cxn modelId="{8AFA4364-A9AD-4875-B9F9-7797718EE89A}" srcId="{8F8CA5D8-E619-49E4-9BB1-D5307E78DFC0}" destId="{F6155B5F-5038-4CA0-862E-B0A7218B1B84}" srcOrd="0" destOrd="0" parTransId="{F93D202C-3FE9-45B4-8749-10E8754ECD78}" sibTransId="{3D4EA851-DA2F-484B-9109-BEC3DBFB4537}"/>
    <dgm:cxn modelId="{50C3EF65-3D62-4DFB-A6A3-AC05C22A01E6}" type="presOf" srcId="{3D4EA851-DA2F-484B-9109-BEC3DBFB4537}" destId="{658C17EB-2BD2-43C2-A3B9-E286AEE50606}" srcOrd="0" destOrd="0" presId="urn:microsoft.com/office/officeart/2005/8/layout/radial6"/>
    <dgm:cxn modelId="{3682186A-37F2-4526-8D91-C9B3D32B9696}" type="presOf" srcId="{F9108A65-3A6C-4111-8F9B-DBCDFDFBFAAD}" destId="{E87198DE-757F-4D62-942D-DF1FCCFA4D2F}" srcOrd="0" destOrd="0" presId="urn:microsoft.com/office/officeart/2005/8/layout/radial6"/>
    <dgm:cxn modelId="{C73C4C4C-AAE1-4605-905B-305A583D7AEE}" type="presOf" srcId="{5A77248F-3B27-44FE-99BB-034767F82B5E}" destId="{E89EB4C8-AA37-4605-B62F-F509610B0BE8}" srcOrd="0" destOrd="0" presId="urn:microsoft.com/office/officeart/2005/8/layout/radial6"/>
    <dgm:cxn modelId="{391C3A70-4BB3-492A-98B7-876174ED7B18}" type="presOf" srcId="{A470AFCD-5961-4B19-95FA-F63CBE4EB563}" destId="{EA26E934-E576-4D98-958D-F623547B0418}" srcOrd="0" destOrd="0" presId="urn:microsoft.com/office/officeart/2005/8/layout/radial6"/>
    <dgm:cxn modelId="{DFF15157-52DD-4B23-BC12-F72FE3D25774}" srcId="{8F8CA5D8-E619-49E4-9BB1-D5307E78DFC0}" destId="{EF290D0C-C0FA-444A-BDD4-37A4724EF120}" srcOrd="1" destOrd="0" parTransId="{FD9E1BDD-2E30-4DB1-B044-1F5F796FDDAB}" sibTransId="{479E64C1-4375-4AD9-8F26-BEB85ED7C5F5}"/>
    <dgm:cxn modelId="{AA11EF57-7333-4109-AF9E-B0B4059EFB74}" type="presOf" srcId="{B889FDB2-69D7-490E-A5CC-9F39DA6D23C6}" destId="{1B02B729-D479-49C9-A3DD-7A6F8ACE04AE}" srcOrd="0" destOrd="0" presId="urn:microsoft.com/office/officeart/2005/8/layout/radial6"/>
    <dgm:cxn modelId="{7210638B-D7B3-4EBE-8383-C8729ED75D99}" type="presOf" srcId="{4B2E077F-B290-47FB-8C35-7500126863DF}" destId="{A355CEEC-F19E-40BD-B9CD-44557D2E98AF}" srcOrd="0" destOrd="0" presId="urn:microsoft.com/office/officeart/2005/8/layout/radial6"/>
    <dgm:cxn modelId="{A48CF893-ED79-49BF-84B2-F371B500D388}" type="presOf" srcId="{A2E63B62-0F52-444E-86FD-C0BA62012417}" destId="{8219F95F-13E1-4301-8F9C-1DCEC2218346}" srcOrd="0" destOrd="0" presId="urn:microsoft.com/office/officeart/2005/8/layout/radial6"/>
    <dgm:cxn modelId="{AA2D25A9-2DA7-41EB-B0A3-DF9F4EB0D186}" type="presOf" srcId="{8F8CA5D8-E619-49E4-9BB1-D5307E78DFC0}" destId="{88E933FA-97C1-445D-B4D6-A2C88B63680A}" srcOrd="0" destOrd="0" presId="urn:microsoft.com/office/officeart/2005/8/layout/radial6"/>
    <dgm:cxn modelId="{637E9CAA-C2EF-45BD-AF2D-46528F5841EA}" type="presOf" srcId="{EF290D0C-C0FA-444A-BDD4-37A4724EF120}" destId="{84831B9C-813F-4C1F-9641-C26159988985}" srcOrd="0" destOrd="0" presId="urn:microsoft.com/office/officeart/2005/8/layout/radial6"/>
    <dgm:cxn modelId="{20812CE1-A0B1-4EE5-A0F0-D2F24E43AF71}" type="presOf" srcId="{47345C7F-318A-4EF9-859F-CAC230337531}" destId="{DA83DE20-C2CD-4283-AF71-EEE1F5A5833D}" srcOrd="0" destOrd="0" presId="urn:microsoft.com/office/officeart/2005/8/layout/radial6"/>
    <dgm:cxn modelId="{094A4BE1-3124-4779-A02E-E588681727A9}" srcId="{8F8CA5D8-E619-49E4-9BB1-D5307E78DFC0}" destId="{B889FDB2-69D7-490E-A5CC-9F39DA6D23C6}" srcOrd="3" destOrd="0" parTransId="{31627E38-4346-4A0D-8463-969041C6BB9C}" sibTransId="{F9108A65-3A6C-4111-8F9B-DBCDFDFBFAAD}"/>
    <dgm:cxn modelId="{C5745ECF-66D6-4219-BAD7-213D1DB65E4F}" srcId="{8F8CA5D8-E619-49E4-9BB1-D5307E78DFC0}" destId="{A2E63B62-0F52-444E-86FD-C0BA62012417}" srcOrd="2" destOrd="0" parTransId="{F515C5A9-E5E9-405B-B8DE-08646EE258F0}" sibTransId="{5A77248F-3B27-44FE-99BB-034767F82B5E}"/>
    <dgm:cxn modelId="{CA5833FF-8E0E-410A-B698-FAE570F0A941}" type="presParOf" srcId="{EA26E934-E576-4D98-958D-F623547B0418}" destId="{88E933FA-97C1-445D-B4D6-A2C88B63680A}" srcOrd="0" destOrd="0" presId="urn:microsoft.com/office/officeart/2005/8/layout/radial6"/>
    <dgm:cxn modelId="{099A7212-050D-4EFA-BE30-B18F7FFF76FC}" type="presParOf" srcId="{EA26E934-E576-4D98-958D-F623547B0418}" destId="{ACB52BAC-67A5-4CB6-A8FD-A1DDD11DEB0E}" srcOrd="1" destOrd="0" presId="urn:microsoft.com/office/officeart/2005/8/layout/radial6"/>
    <dgm:cxn modelId="{754DA50D-1975-47F0-B8D7-09027C08B8BA}" type="presParOf" srcId="{EA26E934-E576-4D98-958D-F623547B0418}" destId="{A3E0BEB9-0E98-47F1-8F69-6EAD165DA6C1}" srcOrd="2" destOrd="0" presId="urn:microsoft.com/office/officeart/2005/8/layout/radial6"/>
    <dgm:cxn modelId="{04D7F9EF-7E62-436C-A494-BBACDDC73E45}" type="presParOf" srcId="{EA26E934-E576-4D98-958D-F623547B0418}" destId="{658C17EB-2BD2-43C2-A3B9-E286AEE50606}" srcOrd="3" destOrd="0" presId="urn:microsoft.com/office/officeart/2005/8/layout/radial6"/>
    <dgm:cxn modelId="{B8AFE110-5D80-418A-8126-D5443D74B48A}" type="presParOf" srcId="{EA26E934-E576-4D98-958D-F623547B0418}" destId="{84831B9C-813F-4C1F-9641-C26159988985}" srcOrd="4" destOrd="0" presId="urn:microsoft.com/office/officeart/2005/8/layout/radial6"/>
    <dgm:cxn modelId="{6CB8D063-BE17-4D22-8C8A-0B1DBD1A807E}" type="presParOf" srcId="{EA26E934-E576-4D98-958D-F623547B0418}" destId="{EF40D320-BABF-491F-A866-70E34A2C95C2}" srcOrd="5" destOrd="0" presId="urn:microsoft.com/office/officeart/2005/8/layout/radial6"/>
    <dgm:cxn modelId="{39E5EE01-538D-49C6-9ED9-FD7D1553AEC4}" type="presParOf" srcId="{EA26E934-E576-4D98-958D-F623547B0418}" destId="{F3BD38E4-A3FB-48B3-96A3-4ADE807E22C4}" srcOrd="6" destOrd="0" presId="urn:microsoft.com/office/officeart/2005/8/layout/radial6"/>
    <dgm:cxn modelId="{120D714C-2BAB-40CF-BB91-EE6936BED180}" type="presParOf" srcId="{EA26E934-E576-4D98-958D-F623547B0418}" destId="{8219F95F-13E1-4301-8F9C-1DCEC2218346}" srcOrd="7" destOrd="0" presId="urn:microsoft.com/office/officeart/2005/8/layout/radial6"/>
    <dgm:cxn modelId="{075DA530-B84B-4E88-8261-6A0CE51CD7EC}" type="presParOf" srcId="{EA26E934-E576-4D98-958D-F623547B0418}" destId="{40393DDA-3D69-43CD-99BB-C2A3C442F1DF}" srcOrd="8" destOrd="0" presId="urn:microsoft.com/office/officeart/2005/8/layout/radial6"/>
    <dgm:cxn modelId="{363ED868-5E49-4D99-8AE8-F9A5BF0F5BC8}" type="presParOf" srcId="{EA26E934-E576-4D98-958D-F623547B0418}" destId="{E89EB4C8-AA37-4605-B62F-F509610B0BE8}" srcOrd="9" destOrd="0" presId="urn:microsoft.com/office/officeart/2005/8/layout/radial6"/>
    <dgm:cxn modelId="{5A5A0CFD-DB20-4D0D-877B-4A161080D399}" type="presParOf" srcId="{EA26E934-E576-4D98-958D-F623547B0418}" destId="{1B02B729-D479-49C9-A3DD-7A6F8ACE04AE}" srcOrd="10" destOrd="0" presId="urn:microsoft.com/office/officeart/2005/8/layout/radial6"/>
    <dgm:cxn modelId="{510222A6-C624-4E65-B584-8071A4B80E9F}" type="presParOf" srcId="{EA26E934-E576-4D98-958D-F623547B0418}" destId="{E017F94E-4434-4DBF-BF65-39B6EA83476F}" srcOrd="11" destOrd="0" presId="urn:microsoft.com/office/officeart/2005/8/layout/radial6"/>
    <dgm:cxn modelId="{BC0621A0-EF08-4F8C-9B4B-F1B909783462}" type="presParOf" srcId="{EA26E934-E576-4D98-958D-F623547B0418}" destId="{E87198DE-757F-4D62-942D-DF1FCCFA4D2F}" srcOrd="12" destOrd="0" presId="urn:microsoft.com/office/officeart/2005/8/layout/radial6"/>
    <dgm:cxn modelId="{991C08AE-275B-4C29-BEB8-A016DF1EF9A4}" type="presParOf" srcId="{EA26E934-E576-4D98-958D-F623547B0418}" destId="{DA83DE20-C2CD-4283-AF71-EEE1F5A5833D}" srcOrd="13" destOrd="0" presId="urn:microsoft.com/office/officeart/2005/8/layout/radial6"/>
    <dgm:cxn modelId="{D811E22D-9F97-48C7-81E2-F4E5395A0C62}" type="presParOf" srcId="{EA26E934-E576-4D98-958D-F623547B0418}" destId="{D9FE563B-C30C-4C8B-B13D-313F3892366F}" srcOrd="14" destOrd="0" presId="urn:microsoft.com/office/officeart/2005/8/layout/radial6"/>
    <dgm:cxn modelId="{DA794E3C-C3C7-4677-B496-37D25E24CD35}" type="presParOf" srcId="{EA26E934-E576-4D98-958D-F623547B0418}" destId="{A355CEEC-F19E-40BD-B9CD-44557D2E98AF}" srcOrd="15" destOrd="0" presId="urn:microsoft.com/office/officeart/2005/8/layout/radial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455DAE-2C8C-4C0D-BE38-FB4258320AAF}">
      <dsp:nvSpPr>
        <dsp:cNvPr id="0" name=""/>
        <dsp:cNvSpPr/>
      </dsp:nvSpPr>
      <dsp:spPr>
        <a:xfrm rot="5400000">
          <a:off x="235609" y="1269756"/>
          <a:ext cx="702287" cy="1168590"/>
        </a:xfrm>
        <a:prstGeom prst="corner">
          <a:avLst>
            <a:gd name="adj1" fmla="val 16120"/>
            <a:gd name="adj2" fmla="val 16110"/>
          </a:avLst>
        </a:prstGeom>
        <a:gradFill rotWithShape="0">
          <a:gsLst>
            <a:gs pos="0">
              <a:srgbClr val="7C426F">
                <a:hueOff val="0"/>
                <a:satOff val="0"/>
                <a:lumOff val="0"/>
                <a:alphaOff val="0"/>
                <a:lumMod val="110000"/>
                <a:satMod val="105000"/>
                <a:tint val="67000"/>
              </a:srgbClr>
            </a:gs>
            <a:gs pos="50000">
              <a:srgbClr val="7C426F">
                <a:hueOff val="0"/>
                <a:satOff val="0"/>
                <a:lumOff val="0"/>
                <a:alphaOff val="0"/>
                <a:lumMod val="105000"/>
                <a:satMod val="103000"/>
                <a:tint val="73000"/>
              </a:srgbClr>
            </a:gs>
            <a:gs pos="100000">
              <a:srgbClr val="7C426F">
                <a:hueOff val="0"/>
                <a:satOff val="0"/>
                <a:lumOff val="0"/>
                <a:alphaOff val="0"/>
                <a:lumMod val="105000"/>
                <a:satMod val="109000"/>
                <a:tint val="81000"/>
              </a:srgbClr>
            </a:gs>
          </a:gsLst>
          <a:lin ang="5400000" scaled="0"/>
        </a:gradFill>
        <a:ln w="6350" cap="flat" cmpd="sng" algn="ctr">
          <a:solidFill>
            <a:srgbClr val="7C426F">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50CFE7D2-3F0B-4B55-B0CD-1683E19AF57C}">
      <dsp:nvSpPr>
        <dsp:cNvPr id="0" name=""/>
        <dsp:cNvSpPr/>
      </dsp:nvSpPr>
      <dsp:spPr>
        <a:xfrm>
          <a:off x="118380" y="1618913"/>
          <a:ext cx="1055010" cy="9247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AU" sz="800" b="1" kern="1200">
              <a:solidFill>
                <a:srgbClr val="262626">
                  <a:hueOff val="0"/>
                  <a:satOff val="0"/>
                  <a:lumOff val="0"/>
                  <a:alphaOff val="0"/>
                </a:srgbClr>
              </a:solidFill>
              <a:latin typeface="Arial"/>
              <a:ea typeface="+mn-ea"/>
              <a:cs typeface="+mn-cs"/>
            </a:rPr>
            <a:t>STAGE 1</a:t>
          </a:r>
        </a:p>
        <a:p>
          <a:pPr marL="0" lvl="0" indent="0" algn="l" defTabSz="355600">
            <a:lnSpc>
              <a:spcPct val="90000"/>
            </a:lnSpc>
            <a:spcBef>
              <a:spcPct val="0"/>
            </a:spcBef>
            <a:spcAft>
              <a:spcPct val="35000"/>
            </a:spcAft>
            <a:buNone/>
          </a:pPr>
          <a:r>
            <a:rPr lang="en-AU" sz="800" b="1" kern="1200">
              <a:solidFill>
                <a:srgbClr val="262626">
                  <a:hueOff val="0"/>
                  <a:satOff val="0"/>
                  <a:lumOff val="0"/>
                  <a:alphaOff val="0"/>
                </a:srgbClr>
              </a:solidFill>
              <a:latin typeface="Arial"/>
              <a:ea typeface="+mn-ea"/>
              <a:cs typeface="+mn-cs"/>
            </a:rPr>
            <a:t>Q2 2023</a:t>
          </a:r>
        </a:p>
        <a:p>
          <a:pPr marL="0" lvl="0" indent="0" algn="l" defTabSz="355600">
            <a:lnSpc>
              <a:spcPct val="90000"/>
            </a:lnSpc>
            <a:spcBef>
              <a:spcPct val="0"/>
            </a:spcBef>
            <a:spcAft>
              <a:spcPct val="35000"/>
            </a:spcAft>
            <a:buNone/>
          </a:pPr>
          <a:r>
            <a:rPr lang="en-AU" sz="800" kern="1200">
              <a:solidFill>
                <a:srgbClr val="262626">
                  <a:hueOff val="0"/>
                  <a:satOff val="0"/>
                  <a:lumOff val="0"/>
                  <a:alphaOff val="0"/>
                </a:srgbClr>
              </a:solidFill>
              <a:latin typeface="Arial"/>
              <a:ea typeface="+mn-ea"/>
              <a:cs typeface="+mn-cs"/>
            </a:rPr>
            <a:t>Consult on process</a:t>
          </a:r>
        </a:p>
        <a:p>
          <a:pPr marL="0" lvl="0" indent="0" algn="l" defTabSz="355600">
            <a:lnSpc>
              <a:spcPct val="90000"/>
            </a:lnSpc>
            <a:spcBef>
              <a:spcPct val="0"/>
            </a:spcBef>
            <a:spcAft>
              <a:spcPct val="35000"/>
            </a:spcAft>
            <a:buNone/>
          </a:pPr>
          <a:r>
            <a:rPr lang="en-AU" sz="800" b="1" kern="1200">
              <a:solidFill>
                <a:srgbClr val="262626">
                  <a:hueOff val="0"/>
                  <a:satOff val="0"/>
                  <a:lumOff val="0"/>
                  <a:alphaOff val="0"/>
                </a:srgbClr>
              </a:solidFill>
              <a:latin typeface="Arial"/>
              <a:ea typeface="+mn-ea"/>
              <a:cs typeface="+mn-cs"/>
            </a:rPr>
            <a:t>Q4 2023</a:t>
          </a:r>
        </a:p>
        <a:p>
          <a:pPr marL="0" lvl="0" indent="0" algn="l" defTabSz="355600">
            <a:lnSpc>
              <a:spcPct val="90000"/>
            </a:lnSpc>
            <a:spcBef>
              <a:spcPct val="0"/>
            </a:spcBef>
            <a:spcAft>
              <a:spcPct val="35000"/>
            </a:spcAft>
            <a:buNone/>
          </a:pPr>
          <a:r>
            <a:rPr lang="en-AU" sz="800" kern="1200">
              <a:solidFill>
                <a:srgbClr val="262626">
                  <a:hueOff val="0"/>
                  <a:satOff val="0"/>
                  <a:lumOff val="0"/>
                  <a:alphaOff val="0"/>
                </a:srgbClr>
              </a:solidFill>
              <a:latin typeface="Arial"/>
              <a:ea typeface="+mn-ea"/>
              <a:cs typeface="+mn-cs"/>
            </a:rPr>
            <a:t>Respond to submissions</a:t>
          </a:r>
        </a:p>
        <a:p>
          <a:pPr marL="0" lvl="0" indent="0" algn="l" defTabSz="355600">
            <a:lnSpc>
              <a:spcPct val="90000"/>
            </a:lnSpc>
            <a:spcBef>
              <a:spcPct val="0"/>
            </a:spcBef>
            <a:spcAft>
              <a:spcPct val="35000"/>
            </a:spcAft>
            <a:buNone/>
          </a:pPr>
          <a:r>
            <a:rPr lang="en-AU" sz="800" kern="1200">
              <a:solidFill>
                <a:srgbClr val="262626">
                  <a:hueOff val="0"/>
                  <a:satOff val="0"/>
                  <a:lumOff val="0"/>
                  <a:alphaOff val="0"/>
                </a:srgbClr>
              </a:solidFill>
              <a:latin typeface="Arial"/>
              <a:ea typeface="+mn-ea"/>
              <a:cs typeface="+mn-cs"/>
            </a:rPr>
            <a:t>Finalise process</a:t>
          </a:r>
        </a:p>
        <a:p>
          <a:pPr marL="0" lvl="0" indent="0" algn="l" defTabSz="355600">
            <a:lnSpc>
              <a:spcPct val="90000"/>
            </a:lnSpc>
            <a:spcBef>
              <a:spcPct val="0"/>
            </a:spcBef>
            <a:spcAft>
              <a:spcPct val="35000"/>
            </a:spcAft>
            <a:buNone/>
          </a:pPr>
          <a:r>
            <a:rPr lang="en-AU" sz="800" kern="1200">
              <a:solidFill>
                <a:srgbClr val="262626">
                  <a:hueOff val="0"/>
                  <a:satOff val="0"/>
                  <a:lumOff val="0"/>
                  <a:alphaOff val="0"/>
                </a:srgbClr>
              </a:solidFill>
              <a:latin typeface="Arial"/>
              <a:ea typeface="+mn-ea"/>
              <a:cs typeface="+mn-cs"/>
            </a:rPr>
            <a:t>Affirm public interest criteria</a:t>
          </a:r>
        </a:p>
        <a:p>
          <a:pPr marL="0" lvl="0" indent="0" algn="l" defTabSz="355600">
            <a:lnSpc>
              <a:spcPct val="90000"/>
            </a:lnSpc>
            <a:spcBef>
              <a:spcPct val="0"/>
            </a:spcBef>
            <a:spcAft>
              <a:spcPct val="35000"/>
            </a:spcAft>
            <a:buNone/>
          </a:pPr>
          <a:endParaRPr lang="en-AU" sz="800" kern="1200">
            <a:solidFill>
              <a:srgbClr val="262626">
                <a:hueOff val="0"/>
                <a:satOff val="0"/>
                <a:lumOff val="0"/>
                <a:alphaOff val="0"/>
              </a:srgbClr>
            </a:solidFill>
            <a:latin typeface="Arial"/>
            <a:ea typeface="+mn-ea"/>
            <a:cs typeface="+mn-cs"/>
          </a:endParaRPr>
        </a:p>
      </dsp:txBody>
      <dsp:txXfrm>
        <a:off x="118380" y="1618913"/>
        <a:ext cx="1055010" cy="924778"/>
      </dsp:txXfrm>
    </dsp:sp>
    <dsp:sp modelId="{89D0CE41-27A1-46A2-8017-0D3F0A31B752}">
      <dsp:nvSpPr>
        <dsp:cNvPr id="0" name=""/>
        <dsp:cNvSpPr/>
      </dsp:nvSpPr>
      <dsp:spPr>
        <a:xfrm>
          <a:off x="974331" y="1183723"/>
          <a:ext cx="199058" cy="199058"/>
        </a:xfrm>
        <a:prstGeom prst="triangle">
          <a:avLst>
            <a:gd name="adj" fmla="val 100000"/>
          </a:avLst>
        </a:prstGeom>
        <a:gradFill rotWithShape="0">
          <a:gsLst>
            <a:gs pos="0">
              <a:srgbClr val="00A0A4">
                <a:hueOff val="0"/>
                <a:satOff val="0"/>
                <a:lumOff val="0"/>
                <a:alphaOff val="0"/>
                <a:lumMod val="110000"/>
                <a:satMod val="105000"/>
                <a:tint val="67000"/>
              </a:srgbClr>
            </a:gs>
            <a:gs pos="50000">
              <a:srgbClr val="00A0A4">
                <a:hueOff val="0"/>
                <a:satOff val="0"/>
                <a:lumOff val="0"/>
                <a:alphaOff val="0"/>
                <a:lumMod val="105000"/>
                <a:satMod val="103000"/>
                <a:tint val="73000"/>
              </a:srgbClr>
            </a:gs>
            <a:gs pos="100000">
              <a:srgbClr val="00A0A4">
                <a:hueOff val="0"/>
                <a:satOff val="0"/>
                <a:lumOff val="0"/>
                <a:alphaOff val="0"/>
                <a:lumMod val="105000"/>
                <a:satMod val="109000"/>
                <a:tint val="81000"/>
              </a:srgbClr>
            </a:gs>
          </a:gsLst>
          <a:lin ang="5400000" scaled="0"/>
        </a:gradFill>
        <a:ln w="6350" cap="flat" cmpd="sng" algn="ctr">
          <a:solidFill>
            <a:srgbClr val="00A0A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3FC05E41-6498-442C-83E2-C0F3CC73FBE8}">
      <dsp:nvSpPr>
        <dsp:cNvPr id="0" name=""/>
        <dsp:cNvSpPr/>
      </dsp:nvSpPr>
      <dsp:spPr>
        <a:xfrm rot="5400000">
          <a:off x="1527148" y="950163"/>
          <a:ext cx="702287" cy="1168590"/>
        </a:xfrm>
        <a:prstGeom prst="corner">
          <a:avLst>
            <a:gd name="adj1" fmla="val 16120"/>
            <a:gd name="adj2" fmla="val 16110"/>
          </a:avLst>
        </a:prstGeom>
        <a:gradFill rotWithShape="0">
          <a:gsLst>
            <a:gs pos="0">
              <a:srgbClr val="436AB3">
                <a:hueOff val="0"/>
                <a:satOff val="0"/>
                <a:lumOff val="0"/>
                <a:alphaOff val="0"/>
                <a:lumMod val="110000"/>
                <a:satMod val="105000"/>
                <a:tint val="67000"/>
              </a:srgbClr>
            </a:gs>
            <a:gs pos="50000">
              <a:srgbClr val="436AB3">
                <a:hueOff val="0"/>
                <a:satOff val="0"/>
                <a:lumOff val="0"/>
                <a:alphaOff val="0"/>
                <a:lumMod val="105000"/>
                <a:satMod val="103000"/>
                <a:tint val="73000"/>
              </a:srgbClr>
            </a:gs>
            <a:gs pos="100000">
              <a:srgbClr val="436AB3">
                <a:hueOff val="0"/>
                <a:satOff val="0"/>
                <a:lumOff val="0"/>
                <a:alphaOff val="0"/>
                <a:lumMod val="105000"/>
                <a:satMod val="109000"/>
                <a:tint val="81000"/>
              </a:srgbClr>
            </a:gs>
          </a:gsLst>
          <a:lin ang="5400000" scaled="0"/>
        </a:gradFill>
        <a:ln w="6350" cap="flat" cmpd="sng" algn="ctr">
          <a:solidFill>
            <a:srgbClr val="436AB3">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BF3CDB69-88FA-4709-9828-39A76001BC65}">
      <dsp:nvSpPr>
        <dsp:cNvPr id="0" name=""/>
        <dsp:cNvSpPr/>
      </dsp:nvSpPr>
      <dsp:spPr>
        <a:xfrm>
          <a:off x="1409918" y="1299320"/>
          <a:ext cx="1055010" cy="9247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AU" sz="800" b="1" kern="1200" dirty="0">
              <a:solidFill>
                <a:srgbClr val="262626">
                  <a:hueOff val="0"/>
                  <a:satOff val="0"/>
                  <a:lumOff val="0"/>
                  <a:alphaOff val="0"/>
                </a:srgbClr>
              </a:solidFill>
              <a:latin typeface="Arial"/>
              <a:ea typeface="+mn-ea"/>
              <a:cs typeface="+mn-cs"/>
            </a:rPr>
            <a:t>STAGE 2</a:t>
          </a:r>
        </a:p>
        <a:p>
          <a:pPr marL="0" lvl="0" indent="0" algn="l" defTabSz="355600">
            <a:lnSpc>
              <a:spcPct val="90000"/>
            </a:lnSpc>
            <a:spcBef>
              <a:spcPct val="0"/>
            </a:spcBef>
            <a:spcAft>
              <a:spcPct val="35000"/>
            </a:spcAft>
            <a:buNone/>
          </a:pPr>
          <a:r>
            <a:rPr lang="en-AU" sz="800" b="1" kern="1200" dirty="0">
              <a:solidFill>
                <a:srgbClr val="262626">
                  <a:hueOff val="0"/>
                  <a:satOff val="0"/>
                  <a:lumOff val="0"/>
                  <a:alphaOff val="0"/>
                </a:srgbClr>
              </a:solidFill>
              <a:latin typeface="Arial"/>
              <a:ea typeface="+mn-ea"/>
              <a:cs typeface="+mn-cs"/>
            </a:rPr>
            <a:t>Q1 2024</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panose="020B0604020202020204" pitchFamily="34" charset="0"/>
              <a:ea typeface="+mn-ea"/>
              <a:cs typeface="Arial" panose="020B0604020202020204" pitchFamily="34" charset="0"/>
            </a:rPr>
            <a:t>Information gathering</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panose="020B0604020202020204" pitchFamily="34" charset="0"/>
              <a:ea typeface="+mn-ea"/>
              <a:cs typeface="Arial" panose="020B0604020202020204" pitchFamily="34" charset="0"/>
            </a:rPr>
            <a:t>Views on frequency bands</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panose="020B0604020202020204" pitchFamily="34" charset="0"/>
              <a:ea typeface="+mn-ea"/>
              <a:cs typeface="Arial" panose="020B0604020202020204" pitchFamily="34" charset="0"/>
            </a:rPr>
            <a:t>Consideration of alternative licensing conditions</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panose="020B0604020202020204" pitchFamily="34" charset="0"/>
              <a:ea typeface="+mn-ea"/>
              <a:cs typeface="Arial" panose="020B0604020202020204" pitchFamily="34" charset="0"/>
            </a:rPr>
            <a:t>Stakeholder feedback </a:t>
          </a:r>
          <a:r>
            <a:rPr lang="en-AU" sz="800" kern="1200">
              <a:latin typeface="Arial" panose="020B0604020202020204" pitchFamily="34" charset="0"/>
              <a:cs typeface="Arial" panose="020B0604020202020204" pitchFamily="34" charset="0"/>
            </a:rPr>
            <a:t>on issues around resilience and temporary disaster responses </a:t>
          </a:r>
          <a:endParaRPr lang="en-AU" sz="800" kern="1200" dirty="0">
            <a:solidFill>
              <a:srgbClr val="262626">
                <a:hueOff val="0"/>
                <a:satOff val="0"/>
                <a:lumOff val="0"/>
                <a:alphaOff val="0"/>
              </a:srgbClr>
            </a:solidFill>
            <a:latin typeface="Arial" panose="020B0604020202020204" pitchFamily="34" charset="0"/>
            <a:ea typeface="+mn-ea"/>
            <a:cs typeface="Arial" panose="020B0604020202020204" pitchFamily="34" charset="0"/>
          </a:endParaRPr>
        </a:p>
        <a:p>
          <a:pPr marL="0" lvl="0" indent="0" algn="l" defTabSz="355600">
            <a:lnSpc>
              <a:spcPct val="90000"/>
            </a:lnSpc>
            <a:spcBef>
              <a:spcPct val="0"/>
            </a:spcBef>
            <a:spcAft>
              <a:spcPct val="35000"/>
            </a:spcAft>
            <a:buNone/>
          </a:pPr>
          <a:endParaRPr lang="en-AU" sz="800" kern="1200" dirty="0">
            <a:solidFill>
              <a:srgbClr val="262626">
                <a:hueOff val="0"/>
                <a:satOff val="0"/>
                <a:lumOff val="0"/>
                <a:alphaOff val="0"/>
              </a:srgbClr>
            </a:solidFill>
            <a:latin typeface="Arial"/>
            <a:ea typeface="+mn-ea"/>
            <a:cs typeface="+mn-cs"/>
          </a:endParaRPr>
        </a:p>
        <a:p>
          <a:pPr marL="0" lvl="0" indent="0" algn="l" defTabSz="355600">
            <a:lnSpc>
              <a:spcPct val="90000"/>
            </a:lnSpc>
            <a:spcBef>
              <a:spcPct val="0"/>
            </a:spcBef>
            <a:spcAft>
              <a:spcPct val="35000"/>
            </a:spcAft>
            <a:buNone/>
          </a:pPr>
          <a:endParaRPr lang="en-AU" sz="800" kern="1200" dirty="0">
            <a:solidFill>
              <a:srgbClr val="262626">
                <a:hueOff val="0"/>
                <a:satOff val="0"/>
                <a:lumOff val="0"/>
                <a:alphaOff val="0"/>
              </a:srgbClr>
            </a:solidFill>
            <a:latin typeface="Arial"/>
            <a:ea typeface="+mn-ea"/>
            <a:cs typeface="+mn-cs"/>
          </a:endParaRPr>
        </a:p>
      </dsp:txBody>
      <dsp:txXfrm>
        <a:off x="1409918" y="1299320"/>
        <a:ext cx="1055010" cy="924778"/>
      </dsp:txXfrm>
    </dsp:sp>
    <dsp:sp modelId="{04C3B2BA-B5C0-4D4A-B345-A99EAF23AD5F}">
      <dsp:nvSpPr>
        <dsp:cNvPr id="0" name=""/>
        <dsp:cNvSpPr/>
      </dsp:nvSpPr>
      <dsp:spPr>
        <a:xfrm>
          <a:off x="2265870" y="864130"/>
          <a:ext cx="199058" cy="199058"/>
        </a:xfrm>
        <a:prstGeom prst="triangle">
          <a:avLst>
            <a:gd name="adj" fmla="val 100000"/>
          </a:avLst>
        </a:prstGeom>
        <a:gradFill rotWithShape="0">
          <a:gsLst>
            <a:gs pos="0">
              <a:srgbClr val="AA5589">
                <a:hueOff val="0"/>
                <a:satOff val="0"/>
                <a:lumOff val="0"/>
                <a:alphaOff val="0"/>
                <a:lumMod val="110000"/>
                <a:satMod val="105000"/>
                <a:tint val="67000"/>
              </a:srgbClr>
            </a:gs>
            <a:gs pos="50000">
              <a:srgbClr val="AA5589">
                <a:hueOff val="0"/>
                <a:satOff val="0"/>
                <a:lumOff val="0"/>
                <a:alphaOff val="0"/>
                <a:lumMod val="105000"/>
                <a:satMod val="103000"/>
                <a:tint val="73000"/>
              </a:srgbClr>
            </a:gs>
            <a:gs pos="100000">
              <a:srgbClr val="AA5589">
                <a:hueOff val="0"/>
                <a:satOff val="0"/>
                <a:lumOff val="0"/>
                <a:alphaOff val="0"/>
                <a:lumMod val="105000"/>
                <a:satMod val="109000"/>
                <a:tint val="81000"/>
              </a:srgbClr>
            </a:gs>
          </a:gsLst>
          <a:lin ang="5400000" scaled="0"/>
        </a:gradFill>
        <a:ln w="6350" cap="flat" cmpd="sng" algn="ctr">
          <a:solidFill>
            <a:srgbClr val="AA5589">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041911B4-3200-40BE-9CDF-DDB381DC5968}">
      <dsp:nvSpPr>
        <dsp:cNvPr id="0" name=""/>
        <dsp:cNvSpPr/>
      </dsp:nvSpPr>
      <dsp:spPr>
        <a:xfrm rot="5400000">
          <a:off x="2818687" y="630571"/>
          <a:ext cx="702287" cy="1168590"/>
        </a:xfrm>
        <a:prstGeom prst="corner">
          <a:avLst>
            <a:gd name="adj1" fmla="val 16120"/>
            <a:gd name="adj2" fmla="val 16110"/>
          </a:avLst>
        </a:prstGeom>
        <a:gradFill rotWithShape="0">
          <a:gsLst>
            <a:gs pos="0">
              <a:srgbClr val="1EBCBE">
                <a:hueOff val="0"/>
                <a:satOff val="0"/>
                <a:lumOff val="0"/>
                <a:alphaOff val="0"/>
                <a:lumMod val="110000"/>
                <a:satMod val="105000"/>
                <a:tint val="67000"/>
              </a:srgbClr>
            </a:gs>
            <a:gs pos="50000">
              <a:srgbClr val="1EBCBE">
                <a:hueOff val="0"/>
                <a:satOff val="0"/>
                <a:lumOff val="0"/>
                <a:alphaOff val="0"/>
                <a:lumMod val="105000"/>
                <a:satMod val="103000"/>
                <a:tint val="73000"/>
              </a:srgbClr>
            </a:gs>
            <a:gs pos="100000">
              <a:srgbClr val="1EBCBE">
                <a:hueOff val="0"/>
                <a:satOff val="0"/>
                <a:lumOff val="0"/>
                <a:alphaOff val="0"/>
                <a:lumMod val="105000"/>
                <a:satMod val="109000"/>
                <a:tint val="81000"/>
              </a:srgbClr>
            </a:gs>
          </a:gsLst>
          <a:lin ang="5400000" scaled="0"/>
        </a:gradFill>
        <a:ln w="6350" cap="flat" cmpd="sng" algn="ctr">
          <a:solidFill>
            <a:srgbClr val="1EBCBE">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6AA8EFE4-538B-4200-AEE9-D7806020F577}">
      <dsp:nvSpPr>
        <dsp:cNvPr id="0" name=""/>
        <dsp:cNvSpPr/>
      </dsp:nvSpPr>
      <dsp:spPr>
        <a:xfrm>
          <a:off x="2701457" y="979728"/>
          <a:ext cx="1055010" cy="9247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AU" sz="800" b="1" kern="1200">
              <a:solidFill>
                <a:srgbClr val="262626">
                  <a:hueOff val="0"/>
                  <a:satOff val="0"/>
                  <a:lumOff val="0"/>
                  <a:alphaOff val="0"/>
                </a:srgbClr>
              </a:solidFill>
              <a:latin typeface="Arial"/>
              <a:ea typeface="+mn-ea"/>
              <a:cs typeface="+mn-cs"/>
            </a:rPr>
            <a:t>STAGE 3 </a:t>
          </a:r>
        </a:p>
        <a:p>
          <a:pPr marL="0" lvl="0" indent="0" algn="l" defTabSz="355600">
            <a:lnSpc>
              <a:spcPct val="90000"/>
            </a:lnSpc>
            <a:spcBef>
              <a:spcPct val="0"/>
            </a:spcBef>
            <a:spcAft>
              <a:spcPct val="35000"/>
            </a:spcAft>
            <a:buNone/>
          </a:pPr>
          <a:r>
            <a:rPr lang="en-AU" sz="800" b="1" kern="1200">
              <a:solidFill>
                <a:srgbClr val="262626">
                  <a:hueOff val="0"/>
                  <a:satOff val="0"/>
                  <a:lumOff val="0"/>
                  <a:alphaOff val="0"/>
                </a:srgbClr>
              </a:solidFill>
              <a:latin typeface="Arial"/>
              <a:ea typeface="+mn-ea"/>
              <a:cs typeface="+mn-cs"/>
            </a:rPr>
            <a:t>Q4 2024</a:t>
          </a:r>
        </a:p>
        <a:p>
          <a:pPr marL="0" lvl="0" indent="0" algn="l" defTabSz="355600">
            <a:lnSpc>
              <a:spcPct val="90000"/>
            </a:lnSpc>
            <a:spcBef>
              <a:spcPct val="0"/>
            </a:spcBef>
            <a:spcAft>
              <a:spcPct val="35000"/>
            </a:spcAft>
            <a:buNone/>
          </a:pPr>
          <a:r>
            <a:rPr lang="en-AU" sz="800" kern="1200">
              <a:solidFill>
                <a:srgbClr val="262626">
                  <a:hueOff val="0"/>
                  <a:satOff val="0"/>
                  <a:lumOff val="0"/>
                  <a:alphaOff val="0"/>
                </a:srgbClr>
              </a:solidFill>
              <a:latin typeface="Arial"/>
              <a:ea typeface="+mn-ea"/>
              <a:cs typeface="+mn-cs"/>
            </a:rPr>
            <a:t>Consult on preliminary views</a:t>
          </a:r>
        </a:p>
      </dsp:txBody>
      <dsp:txXfrm>
        <a:off x="2701457" y="979728"/>
        <a:ext cx="1055010" cy="924778"/>
      </dsp:txXfrm>
    </dsp:sp>
    <dsp:sp modelId="{B32EC02E-723B-418A-8D78-E979C11D0942}">
      <dsp:nvSpPr>
        <dsp:cNvPr id="0" name=""/>
        <dsp:cNvSpPr/>
      </dsp:nvSpPr>
      <dsp:spPr>
        <a:xfrm>
          <a:off x="3557409" y="544538"/>
          <a:ext cx="199058" cy="199058"/>
        </a:xfrm>
        <a:prstGeom prst="triangle">
          <a:avLst>
            <a:gd name="adj" fmla="val 100000"/>
          </a:avLst>
        </a:prstGeom>
        <a:gradFill rotWithShape="0">
          <a:gsLst>
            <a:gs pos="0">
              <a:srgbClr val="7C426F">
                <a:hueOff val="0"/>
                <a:satOff val="0"/>
                <a:lumOff val="0"/>
                <a:alphaOff val="0"/>
                <a:lumMod val="110000"/>
                <a:satMod val="105000"/>
                <a:tint val="67000"/>
              </a:srgbClr>
            </a:gs>
            <a:gs pos="50000">
              <a:srgbClr val="7C426F">
                <a:hueOff val="0"/>
                <a:satOff val="0"/>
                <a:lumOff val="0"/>
                <a:alphaOff val="0"/>
                <a:lumMod val="105000"/>
                <a:satMod val="103000"/>
                <a:tint val="73000"/>
              </a:srgbClr>
            </a:gs>
            <a:gs pos="100000">
              <a:srgbClr val="7C426F">
                <a:hueOff val="0"/>
                <a:satOff val="0"/>
                <a:lumOff val="0"/>
                <a:alphaOff val="0"/>
                <a:lumMod val="105000"/>
                <a:satMod val="109000"/>
                <a:tint val="81000"/>
              </a:srgbClr>
            </a:gs>
          </a:gsLst>
          <a:lin ang="5400000" scaled="0"/>
        </a:gradFill>
        <a:ln w="6350" cap="flat" cmpd="sng" algn="ctr">
          <a:solidFill>
            <a:srgbClr val="7C426F">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17C9C83F-50FB-43B7-AB25-BDCB937F2AA9}">
      <dsp:nvSpPr>
        <dsp:cNvPr id="0" name=""/>
        <dsp:cNvSpPr/>
      </dsp:nvSpPr>
      <dsp:spPr>
        <a:xfrm rot="5400000">
          <a:off x="4110226" y="310978"/>
          <a:ext cx="702287" cy="1168590"/>
        </a:xfrm>
        <a:prstGeom prst="corner">
          <a:avLst>
            <a:gd name="adj1" fmla="val 16120"/>
            <a:gd name="adj2" fmla="val 16110"/>
          </a:avLst>
        </a:prstGeom>
        <a:gradFill rotWithShape="0">
          <a:gsLst>
            <a:gs pos="0">
              <a:srgbClr val="00A0A4">
                <a:hueOff val="0"/>
                <a:satOff val="0"/>
                <a:lumOff val="0"/>
                <a:alphaOff val="0"/>
                <a:lumMod val="110000"/>
                <a:satMod val="105000"/>
                <a:tint val="67000"/>
              </a:srgbClr>
            </a:gs>
            <a:gs pos="50000">
              <a:srgbClr val="00A0A4">
                <a:hueOff val="0"/>
                <a:satOff val="0"/>
                <a:lumOff val="0"/>
                <a:alphaOff val="0"/>
                <a:lumMod val="105000"/>
                <a:satMod val="103000"/>
                <a:tint val="73000"/>
              </a:srgbClr>
            </a:gs>
            <a:gs pos="100000">
              <a:srgbClr val="00A0A4">
                <a:hueOff val="0"/>
                <a:satOff val="0"/>
                <a:lumOff val="0"/>
                <a:alphaOff val="0"/>
                <a:lumMod val="105000"/>
                <a:satMod val="109000"/>
                <a:tint val="81000"/>
              </a:srgbClr>
            </a:gs>
          </a:gsLst>
          <a:lin ang="5400000" scaled="0"/>
        </a:gradFill>
        <a:ln w="6350" cap="flat" cmpd="sng" algn="ctr">
          <a:solidFill>
            <a:srgbClr val="00A0A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sp>
    <dsp:sp modelId="{ECFE9495-3B82-4CAF-B28F-86755853EA1A}">
      <dsp:nvSpPr>
        <dsp:cNvPr id="0" name=""/>
        <dsp:cNvSpPr/>
      </dsp:nvSpPr>
      <dsp:spPr>
        <a:xfrm>
          <a:off x="3992996" y="660135"/>
          <a:ext cx="1055010" cy="9247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AU" sz="800" b="1" kern="1200" dirty="0">
              <a:solidFill>
                <a:srgbClr val="262626">
                  <a:hueOff val="0"/>
                  <a:satOff val="0"/>
                  <a:lumOff val="0"/>
                  <a:alphaOff val="0"/>
                </a:srgbClr>
              </a:solidFill>
              <a:latin typeface="Arial"/>
              <a:ea typeface="+mn-ea"/>
              <a:cs typeface="+mn-cs"/>
            </a:rPr>
            <a:t>STAGE 4</a:t>
          </a:r>
        </a:p>
        <a:p>
          <a:pPr marL="0" lvl="0" indent="0" algn="l" defTabSz="355600">
            <a:lnSpc>
              <a:spcPct val="90000"/>
            </a:lnSpc>
            <a:spcBef>
              <a:spcPct val="0"/>
            </a:spcBef>
            <a:spcAft>
              <a:spcPct val="35000"/>
            </a:spcAft>
            <a:buNone/>
          </a:pPr>
          <a:r>
            <a:rPr lang="en-AU" sz="800" b="1" kern="1200" dirty="0">
              <a:solidFill>
                <a:srgbClr val="262626">
                  <a:hueOff val="0"/>
                  <a:satOff val="0"/>
                  <a:lumOff val="0"/>
                  <a:alphaOff val="0"/>
                </a:srgbClr>
              </a:solidFill>
              <a:latin typeface="Arial"/>
              <a:ea typeface="+mn-ea"/>
              <a:cs typeface="+mn-cs"/>
            </a:rPr>
            <a:t>2025 </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a:ea typeface="+mn-ea"/>
              <a:cs typeface="+mn-cs"/>
            </a:rPr>
            <a:t>Respond to submissions</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a:ea typeface="+mn-ea"/>
              <a:cs typeface="+mn-cs"/>
            </a:rPr>
            <a:t>Preferred views</a:t>
          </a:r>
        </a:p>
        <a:p>
          <a:pPr marL="0" lvl="0" indent="0" algn="l" defTabSz="355600">
            <a:lnSpc>
              <a:spcPct val="90000"/>
            </a:lnSpc>
            <a:spcBef>
              <a:spcPct val="0"/>
            </a:spcBef>
            <a:spcAft>
              <a:spcPct val="35000"/>
            </a:spcAft>
            <a:buNone/>
          </a:pPr>
          <a:r>
            <a:rPr lang="en-AU" sz="800" b="1" kern="1200" dirty="0">
              <a:solidFill>
                <a:srgbClr val="262626">
                  <a:hueOff val="0"/>
                  <a:satOff val="0"/>
                  <a:lumOff val="0"/>
                  <a:alphaOff val="0"/>
                </a:srgbClr>
              </a:solidFill>
              <a:latin typeface="Arial"/>
              <a:ea typeface="+mn-ea"/>
              <a:cs typeface="+mn-cs"/>
            </a:rPr>
            <a:t>2026-2032</a:t>
          </a:r>
        </a:p>
        <a:p>
          <a:pPr marL="0" lvl="0" indent="0" algn="l" defTabSz="355600">
            <a:lnSpc>
              <a:spcPct val="90000"/>
            </a:lnSpc>
            <a:spcBef>
              <a:spcPct val="0"/>
            </a:spcBef>
            <a:spcAft>
              <a:spcPct val="35000"/>
            </a:spcAft>
            <a:buNone/>
          </a:pPr>
          <a:r>
            <a:rPr lang="en-AU" sz="800" kern="1200" dirty="0">
              <a:solidFill>
                <a:srgbClr val="262626">
                  <a:hueOff val="0"/>
                  <a:satOff val="0"/>
                  <a:lumOff val="0"/>
                  <a:alphaOff val="0"/>
                </a:srgbClr>
              </a:solidFill>
              <a:latin typeface="Arial"/>
              <a:ea typeface="+mn-ea"/>
              <a:cs typeface="+mn-cs"/>
            </a:rPr>
            <a:t>Renewal applications and decision-making</a:t>
          </a:r>
        </a:p>
      </dsp:txBody>
      <dsp:txXfrm>
        <a:off x="3992996" y="660135"/>
        <a:ext cx="1055010" cy="924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5CEEC-F19E-40BD-B9CD-44557D2E98AF}">
      <dsp:nvSpPr>
        <dsp:cNvPr id="0" name=""/>
        <dsp:cNvSpPr/>
      </dsp:nvSpPr>
      <dsp:spPr>
        <a:xfrm>
          <a:off x="1098651" y="400975"/>
          <a:ext cx="2673782" cy="2673782"/>
        </a:xfrm>
        <a:prstGeom prst="blockArc">
          <a:avLst>
            <a:gd name="adj1" fmla="val 11880000"/>
            <a:gd name="adj2" fmla="val 1620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7198DE-757F-4D62-942D-DF1FCCFA4D2F}">
      <dsp:nvSpPr>
        <dsp:cNvPr id="0" name=""/>
        <dsp:cNvSpPr/>
      </dsp:nvSpPr>
      <dsp:spPr>
        <a:xfrm>
          <a:off x="1098651" y="400975"/>
          <a:ext cx="2673782" cy="2673782"/>
        </a:xfrm>
        <a:prstGeom prst="blockArc">
          <a:avLst>
            <a:gd name="adj1" fmla="val 7560000"/>
            <a:gd name="adj2" fmla="val 1188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9EB4C8-AA37-4605-B62F-F509610B0BE8}">
      <dsp:nvSpPr>
        <dsp:cNvPr id="0" name=""/>
        <dsp:cNvSpPr/>
      </dsp:nvSpPr>
      <dsp:spPr>
        <a:xfrm>
          <a:off x="1098651" y="400975"/>
          <a:ext cx="2673782" cy="2673782"/>
        </a:xfrm>
        <a:prstGeom prst="blockArc">
          <a:avLst>
            <a:gd name="adj1" fmla="val 3240000"/>
            <a:gd name="adj2" fmla="val 756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BD38E4-A3FB-48B3-96A3-4ADE807E22C4}">
      <dsp:nvSpPr>
        <dsp:cNvPr id="0" name=""/>
        <dsp:cNvSpPr/>
      </dsp:nvSpPr>
      <dsp:spPr>
        <a:xfrm>
          <a:off x="1098651" y="400975"/>
          <a:ext cx="2673782" cy="2673782"/>
        </a:xfrm>
        <a:prstGeom prst="blockArc">
          <a:avLst>
            <a:gd name="adj1" fmla="val 20520000"/>
            <a:gd name="adj2" fmla="val 324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8C17EB-2BD2-43C2-A3B9-E286AEE50606}">
      <dsp:nvSpPr>
        <dsp:cNvPr id="0" name=""/>
        <dsp:cNvSpPr/>
      </dsp:nvSpPr>
      <dsp:spPr>
        <a:xfrm>
          <a:off x="1098651" y="400975"/>
          <a:ext cx="2673782" cy="2673782"/>
        </a:xfrm>
        <a:prstGeom prst="blockArc">
          <a:avLst>
            <a:gd name="adj1" fmla="val 16200000"/>
            <a:gd name="adj2" fmla="val 20520000"/>
            <a:gd name="adj3" fmla="val 4636"/>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933FA-97C1-445D-B4D6-A2C88B63680A}">
      <dsp:nvSpPr>
        <dsp:cNvPr id="0" name=""/>
        <dsp:cNvSpPr/>
      </dsp:nvSpPr>
      <dsp:spPr>
        <a:xfrm>
          <a:off x="1820710" y="1123034"/>
          <a:ext cx="1229663" cy="122966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AU" sz="2000" kern="1200" dirty="0"/>
            <a:t>Public interest</a:t>
          </a:r>
        </a:p>
      </dsp:txBody>
      <dsp:txXfrm>
        <a:off x="2000790" y="1303114"/>
        <a:ext cx="869503" cy="869503"/>
      </dsp:txXfrm>
    </dsp:sp>
    <dsp:sp modelId="{ACB52BAC-67A5-4CB6-A8FD-A1DDD11DEB0E}">
      <dsp:nvSpPr>
        <dsp:cNvPr id="0" name=""/>
        <dsp:cNvSpPr/>
      </dsp:nvSpPr>
      <dsp:spPr>
        <a:xfrm>
          <a:off x="2005160" y="1580"/>
          <a:ext cx="860764" cy="86076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facilitates efficiency</a:t>
          </a:r>
        </a:p>
      </dsp:txBody>
      <dsp:txXfrm>
        <a:off x="2131216" y="127636"/>
        <a:ext cx="608652" cy="608652"/>
      </dsp:txXfrm>
    </dsp:sp>
    <dsp:sp modelId="{84831B9C-813F-4C1F-9641-C26159988985}">
      <dsp:nvSpPr>
        <dsp:cNvPr id="0" name=""/>
        <dsp:cNvSpPr/>
      </dsp:nvSpPr>
      <dsp:spPr>
        <a:xfrm>
          <a:off x="3247148" y="903937"/>
          <a:ext cx="860764" cy="86076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promotes investment and innovation</a:t>
          </a:r>
        </a:p>
      </dsp:txBody>
      <dsp:txXfrm>
        <a:off x="3373204" y="1029993"/>
        <a:ext cx="608652" cy="608652"/>
      </dsp:txXfrm>
    </dsp:sp>
    <dsp:sp modelId="{8219F95F-13E1-4301-8F9C-1DCEC2218346}">
      <dsp:nvSpPr>
        <dsp:cNvPr id="0" name=""/>
        <dsp:cNvSpPr/>
      </dsp:nvSpPr>
      <dsp:spPr>
        <a:xfrm>
          <a:off x="2772751" y="2363982"/>
          <a:ext cx="860764" cy="86076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enhances competition</a:t>
          </a:r>
        </a:p>
      </dsp:txBody>
      <dsp:txXfrm>
        <a:off x="2898807" y="2490038"/>
        <a:ext cx="608652" cy="608652"/>
      </dsp:txXfrm>
    </dsp:sp>
    <dsp:sp modelId="{1B02B729-D479-49C9-A3DD-7A6F8ACE04AE}">
      <dsp:nvSpPr>
        <dsp:cNvPr id="0" name=""/>
        <dsp:cNvSpPr/>
      </dsp:nvSpPr>
      <dsp:spPr>
        <a:xfrm>
          <a:off x="1237569" y="2363982"/>
          <a:ext cx="860764" cy="86076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balances public benefits and Impacts</a:t>
          </a:r>
        </a:p>
      </dsp:txBody>
      <dsp:txXfrm>
        <a:off x="1363625" y="2490038"/>
        <a:ext cx="608652" cy="608652"/>
      </dsp:txXfrm>
    </dsp:sp>
    <dsp:sp modelId="{DA83DE20-C2CD-4283-AF71-EEE1F5A5833D}">
      <dsp:nvSpPr>
        <dsp:cNvPr id="0" name=""/>
        <dsp:cNvSpPr/>
      </dsp:nvSpPr>
      <dsp:spPr>
        <a:xfrm>
          <a:off x="763172" y="903937"/>
          <a:ext cx="860764" cy="86076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dirty="0"/>
            <a:t>supports relevant policy objectives and priorities</a:t>
          </a:r>
        </a:p>
      </dsp:txBody>
      <dsp:txXfrm>
        <a:off x="889228" y="1029993"/>
        <a:ext cx="608652" cy="608652"/>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e xmlns="a278820e-4a2c-4404-9edd-0c8aa13eaa7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AD1D0E4DF5D74695DA08719C213550" ma:contentTypeVersion="9" ma:contentTypeDescription="Create a new document." ma:contentTypeScope="" ma:versionID="e8b94694b45cbb6b05e2539c3c0a7aa3">
  <xsd:schema xmlns:xsd="http://www.w3.org/2001/XMLSchema" xmlns:xs="http://www.w3.org/2001/XMLSchema" xmlns:p="http://schemas.microsoft.com/office/2006/metadata/properties" xmlns:ns2="a278820e-4a2c-4404-9edd-0c8aa13eaa72" xmlns:ns3="ddc5846d-febe-4364-ba9f-bd483de7e8cf" targetNamespace="http://schemas.microsoft.com/office/2006/metadata/properties" ma:root="true" ma:fieldsID="b4a0fd14768761d43932d807ac32f46d" ns2:_="" ns3:_="">
    <xsd:import namespace="a278820e-4a2c-4404-9edd-0c8aa13eaa72"/>
    <xsd:import namespace="ddc5846d-febe-4364-ba9f-bd483de7e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Assign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8820e-4a2c-4404-9edd-0c8aa13ea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Assignee" ma:index="16" nillable="true" ma:displayName="Assignee" ma:format="Dropdown" ma:internalName="Assign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5846d-febe-4364-ba9f-bd483de7e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939A0-77F8-4EC0-B733-C638833346B8}">
  <ds:schemaRefs>
    <ds:schemaRef ds:uri="http://schemas.microsoft.com/sharepoint/v3/contenttype/forms"/>
  </ds:schemaRefs>
</ds:datastoreItem>
</file>

<file path=customXml/itemProps2.xml><?xml version="1.0" encoding="utf-8"?>
<ds:datastoreItem xmlns:ds="http://schemas.openxmlformats.org/officeDocument/2006/customXml" ds:itemID="{D2F454F6-A20A-45B1-B1A9-CDF1C5BF187C}">
  <ds:schemaRefs>
    <ds:schemaRef ds:uri="http://schemas.microsoft.com/office/2006/metadata/properties"/>
    <ds:schemaRef ds:uri="http://schemas.microsoft.com/office/infopath/2007/PartnerControls"/>
    <ds:schemaRef ds:uri="a278820e-4a2c-4404-9edd-0c8aa13eaa72"/>
  </ds:schemaRefs>
</ds:datastoreItem>
</file>

<file path=customXml/itemProps3.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4.xml><?xml version="1.0" encoding="utf-8"?>
<ds:datastoreItem xmlns:ds="http://schemas.openxmlformats.org/officeDocument/2006/customXml" ds:itemID="{F60B35B7-5C58-4264-B654-BA9D8BDE9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8820e-4a2c-4404-9edd-0c8aa13eaa72"/>
    <ds:schemaRef ds:uri="ddc5846d-febe-4364-ba9f-bd483de7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ACMA Consultation Paper.dotx</Template>
  <TotalTime>166</TotalTime>
  <Pages>45</Pages>
  <Words>19580</Words>
  <Characters>97513</Characters>
  <Application>Microsoft Office Word</Application>
  <DocSecurity>0</DocSecurity>
  <Lines>1741</Lines>
  <Paragraphs>818</Paragraphs>
  <ScaleCrop>false</ScaleCrop>
  <Manager/>
  <Company/>
  <LinksUpToDate>false</LinksUpToDate>
  <CharactersWithSpaces>116275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McQueen</dc:creator>
  <cp:keywords/>
  <dc:description/>
  <cp:lastModifiedBy>Sean McQueen</cp:lastModifiedBy>
  <cp:revision>209</cp:revision>
  <dcterms:created xsi:type="dcterms:W3CDTF">2023-12-06T05:31:00Z</dcterms:created>
  <dcterms:modified xsi:type="dcterms:W3CDTF">2023-12-18T01:43:00Z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0x010100FCAD1D0E4DF5D74695DA08719C213550</vt:lpwstr>
  </property>
  <property fmtid="{D5CDD505-2E9C-101B-9397-08002B2CF9AE}" pid="3" name="_dlc_DocIdItemGuid">
    <vt:lpwstr>7f7e8606-a151-458f-b7a3-7d3338bb4fee</vt:lpwstr>
  </property>
</Properties>
</file>