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4E1A8" w14:textId="4E5FAD7C" w:rsidR="00615DB8" w:rsidRDefault="00615DB8" w:rsidP="00615DB8">
      <w:pPr>
        <w:pStyle w:val="Reportsubtitle"/>
        <w:spacing w:after="0"/>
        <w:rPr>
          <w:b/>
          <w:color w:val="auto"/>
        </w:rPr>
      </w:pPr>
      <w:r w:rsidRPr="008C5B4D">
        <w:rPr>
          <w:b/>
          <w:color w:val="auto"/>
        </w:rPr>
        <w:t xml:space="preserve">Technical design </w:t>
      </w:r>
      <w:r w:rsidR="003C7D37">
        <w:rPr>
          <w:b/>
          <w:color w:val="auto"/>
        </w:rPr>
        <w:t xml:space="preserve">features </w:t>
      </w:r>
      <w:r>
        <w:rPr>
          <w:b/>
          <w:color w:val="auto"/>
        </w:rPr>
        <w:t xml:space="preserve">and allocation considerations </w:t>
      </w:r>
      <w:r w:rsidRPr="008C5B4D">
        <w:rPr>
          <w:b/>
          <w:color w:val="auto"/>
        </w:rPr>
        <w:t xml:space="preserve">for </w:t>
      </w:r>
      <w:r>
        <w:rPr>
          <w:b/>
          <w:color w:val="auto"/>
        </w:rPr>
        <w:t xml:space="preserve">the </w:t>
      </w:r>
      <w:r w:rsidRPr="008C5B4D">
        <w:rPr>
          <w:b/>
          <w:color w:val="auto"/>
        </w:rPr>
        <w:t>2 GHz MSS</w:t>
      </w:r>
      <w:r>
        <w:rPr>
          <w:b/>
          <w:color w:val="auto"/>
        </w:rPr>
        <w:t xml:space="preserve"> </w:t>
      </w:r>
      <w:r w:rsidR="00C00FEE">
        <w:rPr>
          <w:b/>
          <w:color w:val="auto"/>
        </w:rPr>
        <w:t>b</w:t>
      </w:r>
      <w:r>
        <w:rPr>
          <w:b/>
          <w:color w:val="auto"/>
        </w:rPr>
        <w:t>and</w:t>
      </w:r>
    </w:p>
    <w:p w14:paraId="7F1DB06B" w14:textId="59092FE2" w:rsidR="00F06E14" w:rsidRPr="00E162C4" w:rsidRDefault="00615DB8" w:rsidP="00615DB8">
      <w:pPr>
        <w:pStyle w:val="Reportsubtitle"/>
      </w:pPr>
      <w:r w:rsidRPr="00DB391E">
        <w:rPr>
          <w:b/>
          <w:color w:val="auto"/>
        </w:rPr>
        <w:t>(1980</w:t>
      </w:r>
      <w:r w:rsidR="00E5592B">
        <w:rPr>
          <w:b/>
          <w:color w:val="auto"/>
        </w:rPr>
        <w:t>–</w:t>
      </w:r>
      <w:r w:rsidRPr="00DB391E">
        <w:rPr>
          <w:b/>
          <w:color w:val="auto"/>
        </w:rPr>
        <w:t>2005 and 2170</w:t>
      </w:r>
      <w:r w:rsidR="00E5592B">
        <w:rPr>
          <w:b/>
          <w:color w:val="auto"/>
        </w:rPr>
        <w:t>–</w:t>
      </w:r>
      <w:r w:rsidRPr="00DB391E">
        <w:rPr>
          <w:b/>
          <w:color w:val="auto"/>
        </w:rPr>
        <w:t xml:space="preserve">2195 MHz) </w:t>
      </w:r>
    </w:p>
    <w:p w14:paraId="3105F135" w14:textId="43CDC7D1" w:rsidR="00F06E14" w:rsidRPr="00E162C4" w:rsidRDefault="00D113E8" w:rsidP="00F06E14">
      <w:pPr>
        <w:pStyle w:val="Reportsubtitle"/>
      </w:pPr>
      <w:r>
        <w:t>Discussion paper</w:t>
      </w:r>
    </w:p>
    <w:p w14:paraId="4C034D4E" w14:textId="638AD6B0" w:rsidR="00C97736" w:rsidRPr="00E162C4" w:rsidRDefault="00D113E8" w:rsidP="00EC2B68">
      <w:pPr>
        <w:pStyle w:val="Reportdate"/>
        <w:spacing w:after="720"/>
        <w:rPr>
          <w:rFonts w:cs="Arial"/>
        </w:rPr>
        <w:sectPr w:rsidR="00C97736" w:rsidRPr="00E162C4"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r>
        <w:t>november</w:t>
      </w:r>
      <w:r w:rsidR="00BD4421" w:rsidRPr="00E162C4">
        <w:t xml:space="preserve"> 20</w:t>
      </w:r>
      <w:r w:rsidR="008E0428" w:rsidRPr="00E162C4">
        <w:t>2</w:t>
      </w:r>
      <w:r w:rsidR="008500E5">
        <w:t>3</w:t>
      </w:r>
    </w:p>
    <w:p w14:paraId="35B97504" w14:textId="77777777" w:rsidR="0005011A" w:rsidRPr="00E162C4" w:rsidRDefault="0005011A" w:rsidP="00FC07B9">
      <w:pPr>
        <w:pStyle w:val="ACMACorporateAddressHeader"/>
      </w:pPr>
      <w:r w:rsidRPr="00E162C4">
        <w:lastRenderedPageBreak/>
        <w:t>Canberra</w:t>
      </w:r>
    </w:p>
    <w:p w14:paraId="26CADF77" w14:textId="77777777" w:rsidR="0005011A" w:rsidRPr="00E162C4" w:rsidRDefault="0005011A" w:rsidP="00FC07B9">
      <w:pPr>
        <w:pStyle w:val="ACMACorporateAddresses"/>
      </w:pPr>
      <w:r w:rsidRPr="00E162C4">
        <w:t xml:space="preserve">Red Building </w:t>
      </w:r>
      <w:r w:rsidRPr="00E162C4">
        <w:br/>
        <w:t>Benjamin Offices</w:t>
      </w:r>
      <w:r w:rsidRPr="00E162C4">
        <w:br/>
        <w:t xml:space="preserve">Chan Street </w:t>
      </w:r>
      <w:r w:rsidRPr="00E162C4">
        <w:br/>
        <w:t>Belconnen ACT</w:t>
      </w:r>
    </w:p>
    <w:p w14:paraId="4FEB96DF" w14:textId="77777777" w:rsidR="0005011A" w:rsidRPr="00E162C4" w:rsidRDefault="0005011A" w:rsidP="00FC07B9">
      <w:pPr>
        <w:pStyle w:val="ACMACorporateAddresses"/>
      </w:pPr>
      <w:r w:rsidRPr="00E162C4">
        <w:t>PO Box 78</w:t>
      </w:r>
      <w:r w:rsidRPr="00E162C4">
        <w:br/>
        <w:t>Belconnen ACT 2616</w:t>
      </w:r>
    </w:p>
    <w:p w14:paraId="1C07BD29" w14:textId="77777777" w:rsidR="00FE1823" w:rsidRPr="00E162C4" w:rsidRDefault="0005011A" w:rsidP="00FC07B9">
      <w:pPr>
        <w:pStyle w:val="ACMACorporateAddresses"/>
      </w:pPr>
      <w:r w:rsidRPr="00E162C4">
        <w:t>T</w:t>
      </w:r>
      <w:r w:rsidR="00537604" w:rsidRPr="00E162C4">
        <w:tab/>
      </w:r>
      <w:r w:rsidRPr="00E162C4">
        <w:t>+61 2 6219 5555</w:t>
      </w:r>
      <w:r w:rsidRPr="00E162C4">
        <w:br/>
        <w:t>F</w:t>
      </w:r>
      <w:r w:rsidR="00537604" w:rsidRPr="00E162C4">
        <w:tab/>
      </w:r>
      <w:r w:rsidRPr="00E162C4">
        <w:t>+61 2 6219 5353</w:t>
      </w:r>
    </w:p>
    <w:p w14:paraId="6FF080B1" w14:textId="77777777" w:rsidR="0005011A" w:rsidRPr="00E162C4" w:rsidRDefault="0005011A" w:rsidP="00FC07B9">
      <w:pPr>
        <w:pStyle w:val="ACMACorporateAddressHeader"/>
      </w:pPr>
      <w:r w:rsidRPr="00E162C4">
        <w:t>Melbourne</w:t>
      </w:r>
    </w:p>
    <w:p w14:paraId="78860C58" w14:textId="77777777" w:rsidR="0005011A" w:rsidRPr="00E162C4" w:rsidRDefault="0005011A" w:rsidP="00FC07B9">
      <w:pPr>
        <w:pStyle w:val="ACMACorporateAddresses"/>
      </w:pPr>
      <w:r w:rsidRPr="00E162C4">
        <w:t xml:space="preserve">Level 32 </w:t>
      </w:r>
      <w:r w:rsidRPr="00E162C4">
        <w:br/>
        <w:t>Melbourne Central Tower</w:t>
      </w:r>
      <w:r w:rsidRPr="00E162C4">
        <w:br/>
        <w:t xml:space="preserve">360 Elizabeth Street </w:t>
      </w:r>
      <w:r w:rsidR="008C10F4" w:rsidRPr="00E162C4">
        <w:br/>
      </w:r>
      <w:r w:rsidRPr="00E162C4">
        <w:t>Melbourne VIC</w:t>
      </w:r>
    </w:p>
    <w:p w14:paraId="49948A86" w14:textId="77777777" w:rsidR="0005011A" w:rsidRPr="00E162C4" w:rsidRDefault="0005011A" w:rsidP="00FC07B9">
      <w:pPr>
        <w:pStyle w:val="ACMACorporateAddresses"/>
      </w:pPr>
      <w:r w:rsidRPr="00E162C4">
        <w:t>PO Box 13112</w:t>
      </w:r>
      <w:r w:rsidRPr="00E162C4">
        <w:br/>
        <w:t xml:space="preserve">Law Courts </w:t>
      </w:r>
      <w:r w:rsidRPr="00E162C4">
        <w:br/>
        <w:t>Melbourne VIC 8010</w:t>
      </w:r>
    </w:p>
    <w:p w14:paraId="62930893" w14:textId="77777777" w:rsidR="0005011A" w:rsidRPr="00E162C4" w:rsidRDefault="0005011A" w:rsidP="00FC07B9">
      <w:pPr>
        <w:pStyle w:val="ACMACorporateAddresses"/>
      </w:pPr>
      <w:r w:rsidRPr="00E162C4">
        <w:t>T</w:t>
      </w:r>
      <w:r w:rsidR="00140318" w:rsidRPr="00E162C4">
        <w:tab/>
      </w:r>
      <w:r w:rsidRPr="00E162C4">
        <w:t>+61 3 9963 6800</w:t>
      </w:r>
      <w:r w:rsidRPr="00E162C4">
        <w:br/>
        <w:t>F</w:t>
      </w:r>
      <w:r w:rsidR="00140318" w:rsidRPr="00E162C4">
        <w:tab/>
      </w:r>
      <w:r w:rsidRPr="00E162C4">
        <w:t>+61 3 9963 6899</w:t>
      </w:r>
    </w:p>
    <w:p w14:paraId="3DBCDDB2" w14:textId="77777777" w:rsidR="0005011A" w:rsidRPr="00E162C4" w:rsidRDefault="0005011A" w:rsidP="00FC07B9">
      <w:pPr>
        <w:pStyle w:val="ACMACorporateAddressHeader"/>
      </w:pPr>
      <w:r w:rsidRPr="00E162C4">
        <w:t>Sydney</w:t>
      </w:r>
    </w:p>
    <w:p w14:paraId="1191DDE4" w14:textId="77777777" w:rsidR="0005011A" w:rsidRPr="00E162C4" w:rsidRDefault="0005011A" w:rsidP="00FC07B9">
      <w:pPr>
        <w:pStyle w:val="ACMACorporateAddresses"/>
      </w:pPr>
      <w:r w:rsidRPr="00E162C4">
        <w:t xml:space="preserve">Level 5 </w:t>
      </w:r>
      <w:r w:rsidRPr="00E162C4">
        <w:br/>
        <w:t>The Bay Centre</w:t>
      </w:r>
      <w:r w:rsidRPr="00E162C4">
        <w:br/>
        <w:t xml:space="preserve">65 Pirrama Road </w:t>
      </w:r>
      <w:r w:rsidRPr="00E162C4">
        <w:br/>
        <w:t>Pyrmont NSW</w:t>
      </w:r>
    </w:p>
    <w:p w14:paraId="23FA40B5" w14:textId="77777777" w:rsidR="0005011A" w:rsidRPr="00E162C4" w:rsidRDefault="0005011A" w:rsidP="00FC07B9">
      <w:pPr>
        <w:pStyle w:val="ACMACorporateAddresses"/>
      </w:pPr>
      <w:r w:rsidRPr="00E162C4">
        <w:t>PO Box Q500</w:t>
      </w:r>
      <w:r w:rsidRPr="00E162C4">
        <w:br/>
        <w:t xml:space="preserve">Queen Victoria Building </w:t>
      </w:r>
      <w:r w:rsidRPr="00E162C4">
        <w:br/>
        <w:t>NSW 1230</w:t>
      </w:r>
    </w:p>
    <w:p w14:paraId="5291212A" w14:textId="77777777" w:rsidR="0005011A" w:rsidRPr="00E162C4" w:rsidRDefault="0005011A" w:rsidP="00FC07B9">
      <w:pPr>
        <w:pStyle w:val="ACMACorporateAddresses"/>
      </w:pPr>
      <w:r w:rsidRPr="00E162C4">
        <w:t>T</w:t>
      </w:r>
      <w:r w:rsidR="00140318" w:rsidRPr="00E162C4">
        <w:tab/>
      </w:r>
      <w:r w:rsidRPr="00E162C4">
        <w:t>+61 2 9334 7700</w:t>
      </w:r>
      <w:r w:rsidR="00140318" w:rsidRPr="00E162C4">
        <w:t xml:space="preserve"> or</w:t>
      </w:r>
      <w:r w:rsidRPr="00E162C4">
        <w:t xml:space="preserve"> 1800 226 667</w:t>
      </w:r>
      <w:r w:rsidRPr="00E162C4">
        <w:br/>
        <w:t>F</w:t>
      </w:r>
      <w:r w:rsidR="00140318" w:rsidRPr="00E162C4">
        <w:tab/>
      </w:r>
      <w:r w:rsidRPr="00E162C4">
        <w:t>+61 2 9334 7799</w:t>
      </w:r>
    </w:p>
    <w:p w14:paraId="24B2380E" w14:textId="77777777" w:rsidR="00140318" w:rsidRPr="00E162C4" w:rsidRDefault="00140318" w:rsidP="00FC07B9">
      <w:pPr>
        <w:pStyle w:val="ACMACopyrightHeader"/>
      </w:pPr>
      <w:r w:rsidRPr="00E162C4">
        <w:t>Copyright notice</w:t>
      </w:r>
    </w:p>
    <w:p w14:paraId="641D24DC" w14:textId="77777777" w:rsidR="00140318" w:rsidRPr="00E162C4" w:rsidRDefault="00623FF9" w:rsidP="00623FF9">
      <w:pPr>
        <w:pStyle w:val="ACMACClogo"/>
      </w:pPr>
      <w:r w:rsidRPr="00E162C4">
        <w:rPr>
          <w:noProof/>
        </w:rPr>
        <w:drawing>
          <wp:inline distT="0" distB="0" distL="0" distR="0" wp14:anchorId="00BF889A" wp14:editId="4EE8309F">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4D1BF977" w14:textId="77777777" w:rsidR="00AA2DE5" w:rsidRPr="00E162C4" w:rsidRDefault="00A924B4" w:rsidP="00AA2DE5">
      <w:pPr>
        <w:pStyle w:val="ACMACorporateAddresses"/>
        <w:rPr>
          <w:rStyle w:val="Hyperlink"/>
        </w:rPr>
      </w:pPr>
      <w:hyperlink r:id="rId13" w:history="1">
        <w:r w:rsidR="00AA2DE5" w:rsidRPr="00E162C4">
          <w:rPr>
            <w:rStyle w:val="Hyperlink"/>
          </w:rPr>
          <w:t>https://creativecommons.org/licenses/by/4.0/</w:t>
        </w:r>
      </w:hyperlink>
    </w:p>
    <w:p w14:paraId="453E3980" w14:textId="77777777" w:rsidR="00AA2DE5" w:rsidRPr="00E162C4" w:rsidRDefault="00AA2DE5" w:rsidP="00AA2DE5">
      <w:pPr>
        <w:pStyle w:val="ACMACorporateAddresses"/>
      </w:pPr>
      <w:r w:rsidRPr="00E162C4">
        <w:t xml:space="preserve">With the exception of coats of arms, logos, emblems, images, other third-party material or devices protected by a trademark, this content is made available under the terms of the Creative Commons Attribution 4.0 International (CC BY 4.0) licence. </w:t>
      </w:r>
    </w:p>
    <w:p w14:paraId="7F30B338" w14:textId="77777777" w:rsidR="00AA2DE5" w:rsidRPr="00E162C4" w:rsidRDefault="00AA2DE5" w:rsidP="00AA2DE5">
      <w:pPr>
        <w:pStyle w:val="ACMACorporateAddresses"/>
      </w:pPr>
      <w:r w:rsidRPr="00E162C4">
        <w:t>We request attribution as © Commonwealth of Australia (Australian Communications and Media Authority) 20</w:t>
      </w:r>
      <w:r w:rsidR="00C41F21" w:rsidRPr="00E162C4">
        <w:t>2</w:t>
      </w:r>
      <w:r w:rsidR="008500E5">
        <w:t>3</w:t>
      </w:r>
      <w:r w:rsidRPr="00E162C4">
        <w:t>.</w:t>
      </w:r>
    </w:p>
    <w:p w14:paraId="0A5875BD" w14:textId="77777777" w:rsidR="00AA2DE5" w:rsidRPr="00E162C4" w:rsidRDefault="00AA2DE5" w:rsidP="00AA2DE5">
      <w:pPr>
        <w:pStyle w:val="ACMACorporateAddresses"/>
      </w:pPr>
      <w:r w:rsidRPr="00E162C4">
        <w:t>All other rights are reserved.</w:t>
      </w:r>
    </w:p>
    <w:p w14:paraId="7EA99A04" w14:textId="77777777" w:rsidR="00AA2DE5" w:rsidRPr="00E162C4" w:rsidRDefault="00AA2DE5" w:rsidP="00AA2DE5">
      <w:pPr>
        <w:pStyle w:val="ACMACorporateAddresses"/>
      </w:pPr>
      <w:r w:rsidRPr="00E162C4">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4B867ACC" w14:textId="77777777" w:rsidR="00AA2DE5" w:rsidRPr="00E162C4" w:rsidRDefault="00AA2DE5" w:rsidP="00AA2DE5">
      <w:pPr>
        <w:pStyle w:val="ACMACorporateAddresses"/>
      </w:pPr>
      <w:r w:rsidRPr="00E162C4">
        <w:t>Written enquiries may be sent to:</w:t>
      </w:r>
    </w:p>
    <w:p w14:paraId="0121BAF5" w14:textId="77777777" w:rsidR="00AA2DE5" w:rsidRPr="00E162C4" w:rsidRDefault="00AA2DE5" w:rsidP="00AA2DE5">
      <w:pPr>
        <w:pStyle w:val="ACMACorporateAddresses"/>
        <w:rPr>
          <w:rStyle w:val="Hyperlink"/>
        </w:rPr>
      </w:pPr>
      <w:r w:rsidRPr="00E162C4">
        <w:t xml:space="preserve">Manager, Editorial </w:t>
      </w:r>
      <w:r w:rsidR="000245E5" w:rsidRPr="00E162C4">
        <w:t>Services</w:t>
      </w:r>
      <w:r w:rsidRPr="00E162C4">
        <w:br/>
        <w:t>PO Box 13112</w:t>
      </w:r>
      <w:r w:rsidRPr="00E162C4">
        <w:br/>
        <w:t>Law Courts</w:t>
      </w:r>
      <w:r w:rsidRPr="00E162C4">
        <w:br/>
        <w:t>Melbourne VIC 8010</w:t>
      </w:r>
      <w:r w:rsidRPr="00E162C4">
        <w:br/>
        <w:t xml:space="preserve">Email: </w:t>
      </w:r>
      <w:hyperlink r:id="rId14" w:history="1">
        <w:r w:rsidRPr="00E162C4">
          <w:rPr>
            <w:rStyle w:val="Hyperlink"/>
          </w:rPr>
          <w:t>info@acma.gov.au</w:t>
        </w:r>
      </w:hyperlink>
    </w:p>
    <w:p w14:paraId="060DEA20" w14:textId="77777777" w:rsidR="00D16FE3" w:rsidRPr="00E162C4" w:rsidRDefault="00D16FE3" w:rsidP="00D16FE3">
      <w:pPr>
        <w:pStyle w:val="ACMACorporateAddresses"/>
        <w:rPr>
          <w:rStyle w:val="Hyperlink"/>
        </w:rPr>
      </w:pPr>
    </w:p>
    <w:p w14:paraId="5EDB8C0A" w14:textId="77777777" w:rsidR="00D16FE3" w:rsidRPr="00E162C4" w:rsidRDefault="00D16FE3" w:rsidP="00D16FE3">
      <w:pPr>
        <w:pStyle w:val="ACMACorporateAddresses"/>
        <w:sectPr w:rsidR="00D16FE3" w:rsidRPr="00E162C4">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31F18329" w14:textId="4948F3E9" w:rsidR="00A924B4" w:rsidRDefault="006A3ECF">
      <w:pPr>
        <w:pStyle w:val="TOC1"/>
        <w:rPr>
          <w:rFonts w:asciiTheme="minorHAnsi" w:eastAsiaTheme="minorEastAsia" w:hAnsiTheme="minorHAnsi" w:cstheme="minorBidi"/>
          <w:b w:val="0"/>
          <w:spacing w:val="0"/>
          <w:sz w:val="22"/>
          <w:szCs w:val="22"/>
        </w:rPr>
      </w:pPr>
      <w:r w:rsidRPr="00E162C4">
        <w:rPr>
          <w:rFonts w:cs="Arial"/>
        </w:rPr>
        <w:lastRenderedPageBreak/>
        <w:fldChar w:fldCharType="begin"/>
      </w:r>
      <w:r w:rsidRPr="00E162C4">
        <w:rPr>
          <w:rFonts w:cs="Arial"/>
        </w:rPr>
        <w:instrText xml:space="preserve"> TOC \o "1-2" \h \z \t "Exec summary heading,1" </w:instrText>
      </w:r>
      <w:r w:rsidRPr="00E162C4">
        <w:rPr>
          <w:rFonts w:cs="Arial"/>
        </w:rPr>
        <w:fldChar w:fldCharType="separate"/>
      </w:r>
      <w:hyperlink w:anchor="_Toc151469328" w:history="1">
        <w:r w:rsidR="00A924B4" w:rsidRPr="00861DD5">
          <w:rPr>
            <w:rStyle w:val="Hyperlink"/>
          </w:rPr>
          <w:t>Executive summary</w:t>
        </w:r>
        <w:r w:rsidR="00A924B4">
          <w:rPr>
            <w:webHidden/>
          </w:rPr>
          <w:tab/>
        </w:r>
        <w:r w:rsidR="00A924B4">
          <w:rPr>
            <w:webHidden/>
          </w:rPr>
          <w:fldChar w:fldCharType="begin"/>
        </w:r>
        <w:r w:rsidR="00A924B4">
          <w:rPr>
            <w:webHidden/>
          </w:rPr>
          <w:instrText xml:space="preserve"> PAGEREF _Toc151469328 \h </w:instrText>
        </w:r>
        <w:r w:rsidR="00A924B4">
          <w:rPr>
            <w:webHidden/>
          </w:rPr>
        </w:r>
        <w:r w:rsidR="00A924B4">
          <w:rPr>
            <w:webHidden/>
          </w:rPr>
          <w:fldChar w:fldCharType="separate"/>
        </w:r>
        <w:r w:rsidR="00A924B4">
          <w:rPr>
            <w:webHidden/>
          </w:rPr>
          <w:t>1</w:t>
        </w:r>
        <w:r w:rsidR="00A924B4">
          <w:rPr>
            <w:webHidden/>
          </w:rPr>
          <w:fldChar w:fldCharType="end"/>
        </w:r>
      </w:hyperlink>
    </w:p>
    <w:p w14:paraId="19418507" w14:textId="4212D2CB" w:rsidR="00A924B4" w:rsidRDefault="00A924B4">
      <w:pPr>
        <w:pStyle w:val="TOC1"/>
        <w:rPr>
          <w:rFonts w:asciiTheme="minorHAnsi" w:eastAsiaTheme="minorEastAsia" w:hAnsiTheme="minorHAnsi" w:cstheme="minorBidi"/>
          <w:b w:val="0"/>
          <w:spacing w:val="0"/>
          <w:sz w:val="22"/>
          <w:szCs w:val="22"/>
        </w:rPr>
      </w:pPr>
      <w:hyperlink w:anchor="_Toc151469329" w:history="1">
        <w:r w:rsidRPr="00861DD5">
          <w:rPr>
            <w:rStyle w:val="Hyperlink"/>
          </w:rPr>
          <w:t>Issues for comment</w:t>
        </w:r>
        <w:r>
          <w:rPr>
            <w:webHidden/>
          </w:rPr>
          <w:tab/>
        </w:r>
        <w:r>
          <w:rPr>
            <w:webHidden/>
          </w:rPr>
          <w:fldChar w:fldCharType="begin"/>
        </w:r>
        <w:r>
          <w:rPr>
            <w:webHidden/>
          </w:rPr>
          <w:instrText xml:space="preserve"> PAGEREF _Toc151469329 \h </w:instrText>
        </w:r>
        <w:r>
          <w:rPr>
            <w:webHidden/>
          </w:rPr>
        </w:r>
        <w:r>
          <w:rPr>
            <w:webHidden/>
          </w:rPr>
          <w:fldChar w:fldCharType="separate"/>
        </w:r>
        <w:r>
          <w:rPr>
            <w:webHidden/>
          </w:rPr>
          <w:t>6</w:t>
        </w:r>
        <w:r>
          <w:rPr>
            <w:webHidden/>
          </w:rPr>
          <w:fldChar w:fldCharType="end"/>
        </w:r>
      </w:hyperlink>
    </w:p>
    <w:p w14:paraId="01991BD0" w14:textId="402F3E67"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0" w:history="1">
        <w:r w:rsidRPr="00861DD5">
          <w:rPr>
            <w:rStyle w:val="Hyperlink"/>
          </w:rPr>
          <w:t>1</w:t>
        </w:r>
        <w:r>
          <w:rPr>
            <w:rFonts w:asciiTheme="minorHAnsi" w:eastAsiaTheme="minorEastAsia" w:hAnsiTheme="minorHAnsi" w:cstheme="minorBidi"/>
            <w:b w:val="0"/>
            <w:spacing w:val="0"/>
            <w:sz w:val="22"/>
            <w:szCs w:val="22"/>
          </w:rPr>
          <w:tab/>
        </w:r>
        <w:r w:rsidRPr="00861DD5">
          <w:rPr>
            <w:rStyle w:val="Hyperlink"/>
          </w:rPr>
          <w:t>Introduction</w:t>
        </w:r>
        <w:r>
          <w:rPr>
            <w:webHidden/>
          </w:rPr>
          <w:tab/>
        </w:r>
        <w:r>
          <w:rPr>
            <w:webHidden/>
          </w:rPr>
          <w:fldChar w:fldCharType="begin"/>
        </w:r>
        <w:r>
          <w:rPr>
            <w:webHidden/>
          </w:rPr>
          <w:instrText xml:space="preserve"> PAGEREF _Toc151469330 \h </w:instrText>
        </w:r>
        <w:r>
          <w:rPr>
            <w:webHidden/>
          </w:rPr>
        </w:r>
        <w:r>
          <w:rPr>
            <w:webHidden/>
          </w:rPr>
          <w:fldChar w:fldCharType="separate"/>
        </w:r>
        <w:r>
          <w:rPr>
            <w:webHidden/>
          </w:rPr>
          <w:t>8</w:t>
        </w:r>
        <w:r>
          <w:rPr>
            <w:webHidden/>
          </w:rPr>
          <w:fldChar w:fldCharType="end"/>
        </w:r>
      </w:hyperlink>
    </w:p>
    <w:p w14:paraId="69CCABDD" w14:textId="24E14E7B" w:rsidR="00A924B4" w:rsidRDefault="00A924B4">
      <w:pPr>
        <w:pStyle w:val="TOC2"/>
        <w:rPr>
          <w:rFonts w:asciiTheme="minorHAnsi" w:eastAsiaTheme="minorEastAsia" w:hAnsiTheme="minorHAnsi" w:cstheme="minorBidi"/>
          <w:spacing w:val="0"/>
          <w:sz w:val="22"/>
          <w:szCs w:val="22"/>
        </w:rPr>
      </w:pPr>
      <w:hyperlink w:anchor="_Toc151469331" w:history="1">
        <w:r w:rsidRPr="00861DD5">
          <w:rPr>
            <w:rStyle w:val="Hyperlink"/>
          </w:rPr>
          <w:t>1.1</w:t>
        </w:r>
        <w:r>
          <w:rPr>
            <w:rFonts w:asciiTheme="minorHAnsi" w:eastAsiaTheme="minorEastAsia" w:hAnsiTheme="minorHAnsi" w:cstheme="minorBidi"/>
            <w:spacing w:val="0"/>
            <w:sz w:val="22"/>
            <w:szCs w:val="22"/>
          </w:rPr>
          <w:tab/>
        </w:r>
        <w:r w:rsidRPr="00861DD5">
          <w:rPr>
            <w:rStyle w:val="Hyperlink"/>
          </w:rPr>
          <w:t>Background</w:t>
        </w:r>
        <w:r>
          <w:rPr>
            <w:webHidden/>
          </w:rPr>
          <w:tab/>
        </w:r>
        <w:r>
          <w:rPr>
            <w:webHidden/>
          </w:rPr>
          <w:fldChar w:fldCharType="begin"/>
        </w:r>
        <w:r>
          <w:rPr>
            <w:webHidden/>
          </w:rPr>
          <w:instrText xml:space="preserve"> PAGEREF _Toc151469331 \h </w:instrText>
        </w:r>
        <w:r>
          <w:rPr>
            <w:webHidden/>
          </w:rPr>
        </w:r>
        <w:r>
          <w:rPr>
            <w:webHidden/>
          </w:rPr>
          <w:fldChar w:fldCharType="separate"/>
        </w:r>
        <w:r>
          <w:rPr>
            <w:webHidden/>
          </w:rPr>
          <w:t>8</w:t>
        </w:r>
        <w:r>
          <w:rPr>
            <w:webHidden/>
          </w:rPr>
          <w:fldChar w:fldCharType="end"/>
        </w:r>
      </w:hyperlink>
    </w:p>
    <w:p w14:paraId="6BEA2B0E" w14:textId="508E8D01" w:rsidR="00A924B4" w:rsidRDefault="00A924B4">
      <w:pPr>
        <w:pStyle w:val="TOC2"/>
        <w:rPr>
          <w:rFonts w:asciiTheme="minorHAnsi" w:eastAsiaTheme="minorEastAsia" w:hAnsiTheme="minorHAnsi" w:cstheme="minorBidi"/>
          <w:spacing w:val="0"/>
          <w:sz w:val="22"/>
          <w:szCs w:val="22"/>
        </w:rPr>
      </w:pPr>
      <w:hyperlink w:anchor="_Toc151469332" w:history="1">
        <w:r w:rsidRPr="00861DD5">
          <w:rPr>
            <w:rStyle w:val="Hyperlink"/>
          </w:rPr>
          <w:t>1.2</w:t>
        </w:r>
        <w:r>
          <w:rPr>
            <w:rFonts w:asciiTheme="minorHAnsi" w:eastAsiaTheme="minorEastAsia" w:hAnsiTheme="minorHAnsi" w:cstheme="minorBidi"/>
            <w:spacing w:val="0"/>
            <w:sz w:val="22"/>
            <w:szCs w:val="22"/>
          </w:rPr>
          <w:tab/>
        </w:r>
        <w:r w:rsidRPr="00861DD5">
          <w:rPr>
            <w:rStyle w:val="Hyperlink"/>
          </w:rPr>
          <w:t>Purpose</w:t>
        </w:r>
        <w:r>
          <w:rPr>
            <w:webHidden/>
          </w:rPr>
          <w:tab/>
        </w:r>
        <w:r>
          <w:rPr>
            <w:webHidden/>
          </w:rPr>
          <w:fldChar w:fldCharType="begin"/>
        </w:r>
        <w:r>
          <w:rPr>
            <w:webHidden/>
          </w:rPr>
          <w:instrText xml:space="preserve"> PAGEREF _Toc151469332 \h </w:instrText>
        </w:r>
        <w:r>
          <w:rPr>
            <w:webHidden/>
          </w:rPr>
        </w:r>
        <w:r>
          <w:rPr>
            <w:webHidden/>
          </w:rPr>
          <w:fldChar w:fldCharType="separate"/>
        </w:r>
        <w:r>
          <w:rPr>
            <w:webHidden/>
          </w:rPr>
          <w:t>8</w:t>
        </w:r>
        <w:r>
          <w:rPr>
            <w:webHidden/>
          </w:rPr>
          <w:fldChar w:fldCharType="end"/>
        </w:r>
      </w:hyperlink>
    </w:p>
    <w:p w14:paraId="1182A15D" w14:textId="27B75BCB" w:rsidR="00A924B4" w:rsidRDefault="00A924B4">
      <w:pPr>
        <w:pStyle w:val="TOC2"/>
        <w:rPr>
          <w:rFonts w:asciiTheme="minorHAnsi" w:eastAsiaTheme="minorEastAsia" w:hAnsiTheme="minorHAnsi" w:cstheme="minorBidi"/>
          <w:spacing w:val="0"/>
          <w:sz w:val="22"/>
          <w:szCs w:val="22"/>
        </w:rPr>
      </w:pPr>
      <w:hyperlink w:anchor="_Toc151469333" w:history="1">
        <w:r w:rsidRPr="00861DD5">
          <w:rPr>
            <w:rStyle w:val="Hyperlink"/>
          </w:rPr>
          <w:t>1.3</w:t>
        </w:r>
        <w:r>
          <w:rPr>
            <w:rFonts w:asciiTheme="minorHAnsi" w:eastAsiaTheme="minorEastAsia" w:hAnsiTheme="minorHAnsi" w:cstheme="minorBidi"/>
            <w:spacing w:val="0"/>
            <w:sz w:val="22"/>
            <w:szCs w:val="22"/>
          </w:rPr>
          <w:tab/>
        </w:r>
        <w:r w:rsidRPr="00861DD5">
          <w:rPr>
            <w:rStyle w:val="Hyperlink"/>
          </w:rPr>
          <w:t>Technical design features</w:t>
        </w:r>
        <w:r>
          <w:rPr>
            <w:webHidden/>
          </w:rPr>
          <w:tab/>
        </w:r>
        <w:r>
          <w:rPr>
            <w:webHidden/>
          </w:rPr>
          <w:fldChar w:fldCharType="begin"/>
        </w:r>
        <w:r>
          <w:rPr>
            <w:webHidden/>
          </w:rPr>
          <w:instrText xml:space="preserve"> PAGEREF _Toc151469333 \h </w:instrText>
        </w:r>
        <w:r>
          <w:rPr>
            <w:webHidden/>
          </w:rPr>
        </w:r>
        <w:r>
          <w:rPr>
            <w:webHidden/>
          </w:rPr>
          <w:fldChar w:fldCharType="separate"/>
        </w:r>
        <w:r>
          <w:rPr>
            <w:webHidden/>
          </w:rPr>
          <w:t>9</w:t>
        </w:r>
        <w:r>
          <w:rPr>
            <w:webHidden/>
          </w:rPr>
          <w:fldChar w:fldCharType="end"/>
        </w:r>
      </w:hyperlink>
    </w:p>
    <w:p w14:paraId="5B752834" w14:textId="5D9BC4FC"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4" w:history="1">
        <w:r w:rsidRPr="00861DD5">
          <w:rPr>
            <w:rStyle w:val="Hyperlink"/>
          </w:rPr>
          <w:t>2</w:t>
        </w:r>
        <w:r>
          <w:rPr>
            <w:rFonts w:asciiTheme="minorHAnsi" w:eastAsiaTheme="minorEastAsia" w:hAnsiTheme="minorHAnsi" w:cstheme="minorBidi"/>
            <w:b w:val="0"/>
            <w:spacing w:val="0"/>
            <w:sz w:val="22"/>
            <w:szCs w:val="22"/>
          </w:rPr>
          <w:tab/>
        </w:r>
        <w:r w:rsidRPr="00861DD5">
          <w:rPr>
            <w:rStyle w:val="Hyperlink"/>
          </w:rPr>
          <w:t>Parameters for 2 GHz MSS</w:t>
        </w:r>
        <w:r>
          <w:rPr>
            <w:webHidden/>
          </w:rPr>
          <w:tab/>
        </w:r>
        <w:r>
          <w:rPr>
            <w:webHidden/>
          </w:rPr>
          <w:fldChar w:fldCharType="begin"/>
        </w:r>
        <w:r>
          <w:rPr>
            <w:webHidden/>
          </w:rPr>
          <w:instrText xml:space="preserve"> PAGEREF _Toc151469334 \h </w:instrText>
        </w:r>
        <w:r>
          <w:rPr>
            <w:webHidden/>
          </w:rPr>
        </w:r>
        <w:r>
          <w:rPr>
            <w:webHidden/>
          </w:rPr>
          <w:fldChar w:fldCharType="separate"/>
        </w:r>
        <w:r>
          <w:rPr>
            <w:webHidden/>
          </w:rPr>
          <w:t>10</w:t>
        </w:r>
        <w:r>
          <w:rPr>
            <w:webHidden/>
          </w:rPr>
          <w:fldChar w:fldCharType="end"/>
        </w:r>
      </w:hyperlink>
    </w:p>
    <w:p w14:paraId="38942E4E" w14:textId="3504CF46" w:rsidR="00A924B4" w:rsidRDefault="00A924B4">
      <w:pPr>
        <w:pStyle w:val="TOC2"/>
        <w:rPr>
          <w:rFonts w:asciiTheme="minorHAnsi" w:eastAsiaTheme="minorEastAsia" w:hAnsiTheme="minorHAnsi" w:cstheme="minorBidi"/>
          <w:spacing w:val="0"/>
          <w:sz w:val="22"/>
          <w:szCs w:val="22"/>
        </w:rPr>
      </w:pPr>
      <w:hyperlink w:anchor="_Toc151469335" w:history="1">
        <w:r w:rsidRPr="00861DD5">
          <w:rPr>
            <w:rStyle w:val="Hyperlink"/>
          </w:rPr>
          <w:t>2.1</w:t>
        </w:r>
        <w:r>
          <w:rPr>
            <w:rFonts w:asciiTheme="minorHAnsi" w:eastAsiaTheme="minorEastAsia" w:hAnsiTheme="minorHAnsi" w:cstheme="minorBidi"/>
            <w:spacing w:val="0"/>
            <w:sz w:val="22"/>
            <w:szCs w:val="22"/>
          </w:rPr>
          <w:tab/>
        </w:r>
        <w:r w:rsidRPr="00861DD5">
          <w:rPr>
            <w:rStyle w:val="Hyperlink"/>
          </w:rPr>
          <w:t>System model for 2 GHz MSS</w:t>
        </w:r>
        <w:r>
          <w:rPr>
            <w:webHidden/>
          </w:rPr>
          <w:tab/>
        </w:r>
        <w:r>
          <w:rPr>
            <w:webHidden/>
          </w:rPr>
          <w:fldChar w:fldCharType="begin"/>
        </w:r>
        <w:r>
          <w:rPr>
            <w:webHidden/>
          </w:rPr>
          <w:instrText xml:space="preserve"> PAGEREF _Toc151469335 \h </w:instrText>
        </w:r>
        <w:r>
          <w:rPr>
            <w:webHidden/>
          </w:rPr>
        </w:r>
        <w:r>
          <w:rPr>
            <w:webHidden/>
          </w:rPr>
          <w:fldChar w:fldCharType="separate"/>
        </w:r>
        <w:r>
          <w:rPr>
            <w:webHidden/>
          </w:rPr>
          <w:t>10</w:t>
        </w:r>
        <w:r>
          <w:rPr>
            <w:webHidden/>
          </w:rPr>
          <w:fldChar w:fldCharType="end"/>
        </w:r>
      </w:hyperlink>
    </w:p>
    <w:p w14:paraId="27C130E4" w14:textId="1A2E905E" w:rsidR="00A924B4" w:rsidRDefault="00A924B4">
      <w:pPr>
        <w:pStyle w:val="TOC2"/>
        <w:rPr>
          <w:rFonts w:asciiTheme="minorHAnsi" w:eastAsiaTheme="minorEastAsia" w:hAnsiTheme="minorHAnsi" w:cstheme="minorBidi"/>
          <w:spacing w:val="0"/>
          <w:sz w:val="22"/>
          <w:szCs w:val="22"/>
        </w:rPr>
      </w:pPr>
      <w:hyperlink w:anchor="_Toc151469336" w:history="1">
        <w:r w:rsidRPr="00861DD5">
          <w:rPr>
            <w:rStyle w:val="Hyperlink"/>
          </w:rPr>
          <w:t>2.2</w:t>
        </w:r>
        <w:r>
          <w:rPr>
            <w:rFonts w:asciiTheme="minorHAnsi" w:eastAsiaTheme="minorEastAsia" w:hAnsiTheme="minorHAnsi" w:cstheme="minorBidi"/>
            <w:spacing w:val="0"/>
            <w:sz w:val="22"/>
            <w:szCs w:val="22"/>
          </w:rPr>
          <w:tab/>
        </w:r>
        <w:r w:rsidRPr="00861DD5">
          <w:rPr>
            <w:rStyle w:val="Hyperlink"/>
          </w:rPr>
          <w:t>Power limits</w:t>
        </w:r>
        <w:r>
          <w:rPr>
            <w:webHidden/>
          </w:rPr>
          <w:tab/>
        </w:r>
        <w:r>
          <w:rPr>
            <w:webHidden/>
          </w:rPr>
          <w:fldChar w:fldCharType="begin"/>
        </w:r>
        <w:r>
          <w:rPr>
            <w:webHidden/>
          </w:rPr>
          <w:instrText xml:space="preserve"> PAGEREF _Toc151469336 \h </w:instrText>
        </w:r>
        <w:r>
          <w:rPr>
            <w:webHidden/>
          </w:rPr>
        </w:r>
        <w:r>
          <w:rPr>
            <w:webHidden/>
          </w:rPr>
          <w:fldChar w:fldCharType="separate"/>
        </w:r>
        <w:r>
          <w:rPr>
            <w:webHidden/>
          </w:rPr>
          <w:t>11</w:t>
        </w:r>
        <w:r>
          <w:rPr>
            <w:webHidden/>
          </w:rPr>
          <w:fldChar w:fldCharType="end"/>
        </w:r>
      </w:hyperlink>
    </w:p>
    <w:p w14:paraId="397D6A67" w14:textId="41623A05" w:rsidR="00A924B4" w:rsidRDefault="00A924B4">
      <w:pPr>
        <w:pStyle w:val="TOC2"/>
        <w:rPr>
          <w:rFonts w:asciiTheme="minorHAnsi" w:eastAsiaTheme="minorEastAsia" w:hAnsiTheme="minorHAnsi" w:cstheme="minorBidi"/>
          <w:spacing w:val="0"/>
          <w:sz w:val="22"/>
          <w:szCs w:val="22"/>
        </w:rPr>
      </w:pPr>
      <w:hyperlink w:anchor="_Toc151469337" w:history="1">
        <w:r w:rsidRPr="00861DD5">
          <w:rPr>
            <w:rStyle w:val="Hyperlink"/>
          </w:rPr>
          <w:t>2.3</w:t>
        </w:r>
        <w:r>
          <w:rPr>
            <w:rFonts w:asciiTheme="minorHAnsi" w:eastAsiaTheme="minorEastAsia" w:hAnsiTheme="minorHAnsi" w:cstheme="minorBidi"/>
            <w:spacing w:val="0"/>
            <w:sz w:val="22"/>
            <w:szCs w:val="22"/>
          </w:rPr>
          <w:tab/>
        </w:r>
        <w:r w:rsidRPr="00861DD5">
          <w:rPr>
            <w:rStyle w:val="Hyperlink"/>
          </w:rPr>
          <w:t>Unwanted emissions limits</w:t>
        </w:r>
        <w:r>
          <w:rPr>
            <w:webHidden/>
          </w:rPr>
          <w:tab/>
        </w:r>
        <w:r>
          <w:rPr>
            <w:webHidden/>
          </w:rPr>
          <w:fldChar w:fldCharType="begin"/>
        </w:r>
        <w:r>
          <w:rPr>
            <w:webHidden/>
          </w:rPr>
          <w:instrText xml:space="preserve"> PAGEREF _Toc151469337 \h </w:instrText>
        </w:r>
        <w:r>
          <w:rPr>
            <w:webHidden/>
          </w:rPr>
        </w:r>
        <w:r>
          <w:rPr>
            <w:webHidden/>
          </w:rPr>
          <w:fldChar w:fldCharType="separate"/>
        </w:r>
        <w:r>
          <w:rPr>
            <w:webHidden/>
          </w:rPr>
          <w:t>11</w:t>
        </w:r>
        <w:r>
          <w:rPr>
            <w:webHidden/>
          </w:rPr>
          <w:fldChar w:fldCharType="end"/>
        </w:r>
      </w:hyperlink>
    </w:p>
    <w:p w14:paraId="1B67C783" w14:textId="31779F4F"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38" w:history="1">
        <w:r w:rsidRPr="00861DD5">
          <w:rPr>
            <w:rStyle w:val="Hyperlink"/>
          </w:rPr>
          <w:t>3</w:t>
        </w:r>
        <w:r>
          <w:rPr>
            <w:rFonts w:asciiTheme="minorHAnsi" w:eastAsiaTheme="minorEastAsia" w:hAnsiTheme="minorHAnsi" w:cstheme="minorBidi"/>
            <w:b w:val="0"/>
            <w:spacing w:val="0"/>
            <w:sz w:val="22"/>
            <w:szCs w:val="22"/>
          </w:rPr>
          <w:tab/>
        </w:r>
        <w:r w:rsidRPr="00861DD5">
          <w:rPr>
            <w:rStyle w:val="Hyperlink"/>
          </w:rPr>
          <w:t>Coordination considerations</w:t>
        </w:r>
        <w:r>
          <w:rPr>
            <w:webHidden/>
          </w:rPr>
          <w:tab/>
        </w:r>
        <w:r>
          <w:rPr>
            <w:webHidden/>
          </w:rPr>
          <w:fldChar w:fldCharType="begin"/>
        </w:r>
        <w:r>
          <w:rPr>
            <w:webHidden/>
          </w:rPr>
          <w:instrText xml:space="preserve"> PAGEREF _Toc151469338 \h </w:instrText>
        </w:r>
        <w:r>
          <w:rPr>
            <w:webHidden/>
          </w:rPr>
        </w:r>
        <w:r>
          <w:rPr>
            <w:webHidden/>
          </w:rPr>
          <w:fldChar w:fldCharType="separate"/>
        </w:r>
        <w:r>
          <w:rPr>
            <w:webHidden/>
          </w:rPr>
          <w:t>15</w:t>
        </w:r>
        <w:r>
          <w:rPr>
            <w:webHidden/>
          </w:rPr>
          <w:fldChar w:fldCharType="end"/>
        </w:r>
      </w:hyperlink>
    </w:p>
    <w:p w14:paraId="775DBB1D" w14:textId="28F922D3" w:rsidR="00A924B4" w:rsidRDefault="00A924B4">
      <w:pPr>
        <w:pStyle w:val="TOC2"/>
        <w:rPr>
          <w:rFonts w:asciiTheme="minorHAnsi" w:eastAsiaTheme="minorEastAsia" w:hAnsiTheme="minorHAnsi" w:cstheme="minorBidi"/>
          <w:spacing w:val="0"/>
          <w:sz w:val="22"/>
          <w:szCs w:val="22"/>
        </w:rPr>
      </w:pPr>
      <w:hyperlink w:anchor="_Toc151469339" w:history="1">
        <w:r w:rsidRPr="00861DD5">
          <w:rPr>
            <w:rStyle w:val="Hyperlink"/>
          </w:rPr>
          <w:t>3.1</w:t>
        </w:r>
        <w:r>
          <w:rPr>
            <w:rFonts w:asciiTheme="minorHAnsi" w:eastAsiaTheme="minorEastAsia" w:hAnsiTheme="minorHAnsi" w:cstheme="minorBidi"/>
            <w:spacing w:val="0"/>
            <w:sz w:val="22"/>
            <w:szCs w:val="22"/>
          </w:rPr>
          <w:tab/>
        </w:r>
        <w:r w:rsidRPr="00861DD5">
          <w:rPr>
            <w:rStyle w:val="Hyperlink"/>
          </w:rPr>
          <w:t>Current spectrum arrangements</w:t>
        </w:r>
        <w:r>
          <w:rPr>
            <w:webHidden/>
          </w:rPr>
          <w:tab/>
        </w:r>
        <w:r>
          <w:rPr>
            <w:webHidden/>
          </w:rPr>
          <w:fldChar w:fldCharType="begin"/>
        </w:r>
        <w:r>
          <w:rPr>
            <w:webHidden/>
          </w:rPr>
          <w:instrText xml:space="preserve"> PAGEREF _Toc151469339 \h </w:instrText>
        </w:r>
        <w:r>
          <w:rPr>
            <w:webHidden/>
          </w:rPr>
        </w:r>
        <w:r>
          <w:rPr>
            <w:webHidden/>
          </w:rPr>
          <w:fldChar w:fldCharType="separate"/>
        </w:r>
        <w:r>
          <w:rPr>
            <w:webHidden/>
          </w:rPr>
          <w:t>15</w:t>
        </w:r>
        <w:r>
          <w:rPr>
            <w:webHidden/>
          </w:rPr>
          <w:fldChar w:fldCharType="end"/>
        </w:r>
      </w:hyperlink>
    </w:p>
    <w:p w14:paraId="61E02F29" w14:textId="688501F0" w:rsidR="00A924B4" w:rsidRDefault="00A924B4">
      <w:pPr>
        <w:pStyle w:val="TOC2"/>
        <w:rPr>
          <w:rFonts w:asciiTheme="minorHAnsi" w:eastAsiaTheme="minorEastAsia" w:hAnsiTheme="minorHAnsi" w:cstheme="minorBidi"/>
          <w:spacing w:val="0"/>
          <w:sz w:val="22"/>
          <w:szCs w:val="22"/>
        </w:rPr>
      </w:pPr>
      <w:hyperlink w:anchor="_Toc151469340" w:history="1">
        <w:r w:rsidRPr="00861DD5">
          <w:rPr>
            <w:rStyle w:val="Hyperlink"/>
          </w:rPr>
          <w:t>3.2</w:t>
        </w:r>
        <w:r>
          <w:rPr>
            <w:rFonts w:asciiTheme="minorHAnsi" w:eastAsiaTheme="minorEastAsia" w:hAnsiTheme="minorHAnsi" w:cstheme="minorBidi"/>
            <w:spacing w:val="0"/>
            <w:sz w:val="22"/>
            <w:szCs w:val="22"/>
          </w:rPr>
          <w:tab/>
        </w:r>
        <w:r w:rsidRPr="00861DD5">
          <w:rPr>
            <w:rStyle w:val="Hyperlink"/>
          </w:rPr>
          <w:t>Fixed point-to-point links</w:t>
        </w:r>
        <w:r>
          <w:rPr>
            <w:webHidden/>
          </w:rPr>
          <w:tab/>
        </w:r>
        <w:r>
          <w:rPr>
            <w:webHidden/>
          </w:rPr>
          <w:fldChar w:fldCharType="begin"/>
        </w:r>
        <w:r>
          <w:rPr>
            <w:webHidden/>
          </w:rPr>
          <w:instrText xml:space="preserve"> PAGEREF _Toc151469340 \h </w:instrText>
        </w:r>
        <w:r>
          <w:rPr>
            <w:webHidden/>
          </w:rPr>
        </w:r>
        <w:r>
          <w:rPr>
            <w:webHidden/>
          </w:rPr>
          <w:fldChar w:fldCharType="separate"/>
        </w:r>
        <w:r>
          <w:rPr>
            <w:webHidden/>
          </w:rPr>
          <w:t>15</w:t>
        </w:r>
        <w:r>
          <w:rPr>
            <w:webHidden/>
          </w:rPr>
          <w:fldChar w:fldCharType="end"/>
        </w:r>
      </w:hyperlink>
    </w:p>
    <w:p w14:paraId="707E19D3" w14:textId="14D09FFD" w:rsidR="00A924B4" w:rsidRDefault="00A924B4">
      <w:pPr>
        <w:pStyle w:val="TOC2"/>
        <w:rPr>
          <w:rFonts w:asciiTheme="minorHAnsi" w:eastAsiaTheme="minorEastAsia" w:hAnsiTheme="minorHAnsi" w:cstheme="minorBidi"/>
          <w:spacing w:val="0"/>
          <w:sz w:val="22"/>
          <w:szCs w:val="22"/>
        </w:rPr>
      </w:pPr>
      <w:hyperlink w:anchor="_Toc151469341" w:history="1">
        <w:r w:rsidRPr="00861DD5">
          <w:rPr>
            <w:rStyle w:val="Hyperlink"/>
          </w:rPr>
          <w:t>3.3</w:t>
        </w:r>
        <w:r>
          <w:rPr>
            <w:rFonts w:asciiTheme="minorHAnsi" w:eastAsiaTheme="minorEastAsia" w:hAnsiTheme="minorHAnsi" w:cstheme="minorBidi"/>
            <w:spacing w:val="0"/>
            <w:sz w:val="22"/>
            <w:szCs w:val="22"/>
          </w:rPr>
          <w:tab/>
        </w:r>
        <w:r w:rsidRPr="00861DD5">
          <w:rPr>
            <w:rStyle w:val="Hyperlink"/>
          </w:rPr>
          <w:t>Wireless broadband services</w:t>
        </w:r>
        <w:r>
          <w:rPr>
            <w:webHidden/>
          </w:rPr>
          <w:tab/>
        </w:r>
        <w:r>
          <w:rPr>
            <w:webHidden/>
          </w:rPr>
          <w:fldChar w:fldCharType="begin"/>
        </w:r>
        <w:r>
          <w:rPr>
            <w:webHidden/>
          </w:rPr>
          <w:instrText xml:space="preserve"> PAGEREF _Toc151469341 \h </w:instrText>
        </w:r>
        <w:r>
          <w:rPr>
            <w:webHidden/>
          </w:rPr>
        </w:r>
        <w:r>
          <w:rPr>
            <w:webHidden/>
          </w:rPr>
          <w:fldChar w:fldCharType="separate"/>
        </w:r>
        <w:r>
          <w:rPr>
            <w:webHidden/>
          </w:rPr>
          <w:t>17</w:t>
        </w:r>
        <w:r>
          <w:rPr>
            <w:webHidden/>
          </w:rPr>
          <w:fldChar w:fldCharType="end"/>
        </w:r>
      </w:hyperlink>
    </w:p>
    <w:p w14:paraId="30B19D01" w14:textId="7F21439B" w:rsidR="00A924B4" w:rsidRDefault="00A924B4">
      <w:pPr>
        <w:pStyle w:val="TOC2"/>
        <w:rPr>
          <w:rFonts w:asciiTheme="minorHAnsi" w:eastAsiaTheme="minorEastAsia" w:hAnsiTheme="minorHAnsi" w:cstheme="minorBidi"/>
          <w:spacing w:val="0"/>
          <w:sz w:val="22"/>
          <w:szCs w:val="22"/>
        </w:rPr>
      </w:pPr>
      <w:hyperlink w:anchor="_Toc151469342" w:history="1">
        <w:r w:rsidRPr="00861DD5">
          <w:rPr>
            <w:rStyle w:val="Hyperlink"/>
          </w:rPr>
          <w:t>3.4</w:t>
        </w:r>
        <w:r>
          <w:rPr>
            <w:rFonts w:asciiTheme="minorHAnsi" w:eastAsiaTheme="minorEastAsia" w:hAnsiTheme="minorHAnsi" w:cstheme="minorBidi"/>
            <w:spacing w:val="0"/>
            <w:sz w:val="22"/>
            <w:szCs w:val="22"/>
          </w:rPr>
          <w:tab/>
        </w:r>
        <w:r w:rsidRPr="00861DD5">
          <w:rPr>
            <w:rStyle w:val="Hyperlink"/>
          </w:rPr>
          <w:t>Television outside broadcasting services</w:t>
        </w:r>
        <w:r>
          <w:rPr>
            <w:webHidden/>
          </w:rPr>
          <w:tab/>
        </w:r>
        <w:r>
          <w:rPr>
            <w:webHidden/>
          </w:rPr>
          <w:fldChar w:fldCharType="begin"/>
        </w:r>
        <w:r>
          <w:rPr>
            <w:webHidden/>
          </w:rPr>
          <w:instrText xml:space="preserve"> PAGEREF _Toc151469342 \h </w:instrText>
        </w:r>
        <w:r>
          <w:rPr>
            <w:webHidden/>
          </w:rPr>
        </w:r>
        <w:r>
          <w:rPr>
            <w:webHidden/>
          </w:rPr>
          <w:fldChar w:fldCharType="separate"/>
        </w:r>
        <w:r>
          <w:rPr>
            <w:webHidden/>
          </w:rPr>
          <w:t>20</w:t>
        </w:r>
        <w:r>
          <w:rPr>
            <w:webHidden/>
          </w:rPr>
          <w:fldChar w:fldCharType="end"/>
        </w:r>
      </w:hyperlink>
    </w:p>
    <w:p w14:paraId="28E0F1D4" w14:textId="1910A272" w:rsidR="00A924B4" w:rsidRDefault="00A924B4">
      <w:pPr>
        <w:pStyle w:val="TOC2"/>
        <w:rPr>
          <w:rFonts w:asciiTheme="minorHAnsi" w:eastAsiaTheme="minorEastAsia" w:hAnsiTheme="minorHAnsi" w:cstheme="minorBidi"/>
          <w:spacing w:val="0"/>
          <w:sz w:val="22"/>
          <w:szCs w:val="22"/>
        </w:rPr>
      </w:pPr>
      <w:hyperlink w:anchor="_Toc151469343" w:history="1">
        <w:r w:rsidRPr="00861DD5">
          <w:rPr>
            <w:rStyle w:val="Hyperlink"/>
          </w:rPr>
          <w:t>3.5</w:t>
        </w:r>
        <w:r>
          <w:rPr>
            <w:rFonts w:asciiTheme="minorHAnsi" w:eastAsiaTheme="minorEastAsia" w:hAnsiTheme="minorHAnsi" w:cstheme="minorBidi"/>
            <w:spacing w:val="0"/>
            <w:sz w:val="22"/>
            <w:szCs w:val="22"/>
          </w:rPr>
          <w:tab/>
        </w:r>
        <w:r w:rsidRPr="00861DD5">
          <w:rPr>
            <w:rStyle w:val="Hyperlink"/>
          </w:rPr>
          <w:t>Earth stations</w:t>
        </w:r>
        <w:r>
          <w:rPr>
            <w:webHidden/>
          </w:rPr>
          <w:tab/>
        </w:r>
        <w:r>
          <w:rPr>
            <w:webHidden/>
          </w:rPr>
          <w:fldChar w:fldCharType="begin"/>
        </w:r>
        <w:r>
          <w:rPr>
            <w:webHidden/>
          </w:rPr>
          <w:instrText xml:space="preserve"> PAGEREF _Toc151469343 \h </w:instrText>
        </w:r>
        <w:r>
          <w:rPr>
            <w:webHidden/>
          </w:rPr>
        </w:r>
        <w:r>
          <w:rPr>
            <w:webHidden/>
          </w:rPr>
          <w:fldChar w:fldCharType="separate"/>
        </w:r>
        <w:r>
          <w:rPr>
            <w:webHidden/>
          </w:rPr>
          <w:t>21</w:t>
        </w:r>
        <w:r>
          <w:rPr>
            <w:webHidden/>
          </w:rPr>
          <w:fldChar w:fldCharType="end"/>
        </w:r>
      </w:hyperlink>
    </w:p>
    <w:p w14:paraId="58AA09E9" w14:textId="0CD5EB16" w:rsidR="00A924B4" w:rsidRDefault="00A924B4">
      <w:pPr>
        <w:pStyle w:val="TOC2"/>
        <w:rPr>
          <w:rFonts w:asciiTheme="minorHAnsi" w:eastAsiaTheme="minorEastAsia" w:hAnsiTheme="minorHAnsi" w:cstheme="minorBidi"/>
          <w:spacing w:val="0"/>
          <w:sz w:val="22"/>
          <w:szCs w:val="22"/>
        </w:rPr>
      </w:pPr>
      <w:hyperlink w:anchor="_Toc151469344" w:history="1">
        <w:r w:rsidRPr="00861DD5">
          <w:rPr>
            <w:rStyle w:val="Hyperlink"/>
          </w:rPr>
          <w:t>3.6</w:t>
        </w:r>
        <w:r>
          <w:rPr>
            <w:rFonts w:asciiTheme="minorHAnsi" w:eastAsiaTheme="minorEastAsia" w:hAnsiTheme="minorHAnsi" w:cstheme="minorBidi"/>
            <w:spacing w:val="0"/>
            <w:sz w:val="22"/>
            <w:szCs w:val="22"/>
          </w:rPr>
          <w:tab/>
        </w:r>
        <w:r w:rsidRPr="00861DD5">
          <w:rPr>
            <w:rStyle w:val="Hyperlink"/>
          </w:rPr>
          <w:t>Australian radio quiet zone</w:t>
        </w:r>
        <w:r>
          <w:rPr>
            <w:webHidden/>
          </w:rPr>
          <w:tab/>
        </w:r>
        <w:r>
          <w:rPr>
            <w:webHidden/>
          </w:rPr>
          <w:fldChar w:fldCharType="begin"/>
        </w:r>
        <w:r>
          <w:rPr>
            <w:webHidden/>
          </w:rPr>
          <w:instrText xml:space="preserve"> PAGEREF _Toc151469344 \h </w:instrText>
        </w:r>
        <w:r>
          <w:rPr>
            <w:webHidden/>
          </w:rPr>
        </w:r>
        <w:r>
          <w:rPr>
            <w:webHidden/>
          </w:rPr>
          <w:fldChar w:fldCharType="separate"/>
        </w:r>
        <w:r>
          <w:rPr>
            <w:webHidden/>
          </w:rPr>
          <w:t>23</w:t>
        </w:r>
        <w:r>
          <w:rPr>
            <w:webHidden/>
          </w:rPr>
          <w:fldChar w:fldCharType="end"/>
        </w:r>
      </w:hyperlink>
    </w:p>
    <w:p w14:paraId="0E4B1CD2" w14:textId="0B6325FE" w:rsidR="00A924B4" w:rsidRDefault="00A924B4">
      <w:pPr>
        <w:pStyle w:val="TOC2"/>
        <w:rPr>
          <w:rFonts w:asciiTheme="minorHAnsi" w:eastAsiaTheme="minorEastAsia" w:hAnsiTheme="minorHAnsi" w:cstheme="minorBidi"/>
          <w:spacing w:val="0"/>
          <w:sz w:val="22"/>
          <w:szCs w:val="22"/>
        </w:rPr>
      </w:pPr>
      <w:hyperlink w:anchor="_Toc151469345" w:history="1">
        <w:r w:rsidRPr="00861DD5">
          <w:rPr>
            <w:rStyle w:val="Hyperlink"/>
          </w:rPr>
          <w:t>3.7</w:t>
        </w:r>
        <w:r>
          <w:rPr>
            <w:rFonts w:asciiTheme="minorHAnsi" w:eastAsiaTheme="minorEastAsia" w:hAnsiTheme="minorHAnsi" w:cstheme="minorBidi"/>
            <w:spacing w:val="0"/>
            <w:sz w:val="22"/>
            <w:szCs w:val="22"/>
          </w:rPr>
          <w:tab/>
        </w:r>
        <w:r w:rsidRPr="00861DD5">
          <w:rPr>
            <w:rStyle w:val="Hyperlink"/>
          </w:rPr>
          <w:t>Defence aeronautical mobile telemetry systems</w:t>
        </w:r>
        <w:r>
          <w:rPr>
            <w:webHidden/>
          </w:rPr>
          <w:tab/>
        </w:r>
        <w:r>
          <w:rPr>
            <w:webHidden/>
          </w:rPr>
          <w:fldChar w:fldCharType="begin"/>
        </w:r>
        <w:r>
          <w:rPr>
            <w:webHidden/>
          </w:rPr>
          <w:instrText xml:space="preserve"> PAGEREF _Toc151469345 \h </w:instrText>
        </w:r>
        <w:r>
          <w:rPr>
            <w:webHidden/>
          </w:rPr>
        </w:r>
        <w:r>
          <w:rPr>
            <w:webHidden/>
          </w:rPr>
          <w:fldChar w:fldCharType="separate"/>
        </w:r>
        <w:r>
          <w:rPr>
            <w:webHidden/>
          </w:rPr>
          <w:t>23</w:t>
        </w:r>
        <w:r>
          <w:rPr>
            <w:webHidden/>
          </w:rPr>
          <w:fldChar w:fldCharType="end"/>
        </w:r>
      </w:hyperlink>
    </w:p>
    <w:p w14:paraId="729D4A5A" w14:textId="0243FB0C"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46" w:history="1">
        <w:r w:rsidRPr="00861DD5">
          <w:rPr>
            <w:rStyle w:val="Hyperlink"/>
          </w:rPr>
          <w:t>4</w:t>
        </w:r>
        <w:r>
          <w:rPr>
            <w:rFonts w:asciiTheme="minorHAnsi" w:eastAsiaTheme="minorEastAsia" w:hAnsiTheme="minorHAnsi" w:cstheme="minorBidi"/>
            <w:b w:val="0"/>
            <w:spacing w:val="0"/>
            <w:sz w:val="22"/>
            <w:szCs w:val="22"/>
          </w:rPr>
          <w:tab/>
        </w:r>
        <w:r w:rsidRPr="00861DD5">
          <w:rPr>
            <w:rStyle w:val="Hyperlink"/>
          </w:rPr>
          <w:t>Review of narrowband MSS arrangements</w:t>
        </w:r>
        <w:r>
          <w:rPr>
            <w:webHidden/>
          </w:rPr>
          <w:tab/>
        </w:r>
        <w:r>
          <w:rPr>
            <w:webHidden/>
          </w:rPr>
          <w:fldChar w:fldCharType="begin"/>
        </w:r>
        <w:r>
          <w:rPr>
            <w:webHidden/>
          </w:rPr>
          <w:instrText xml:space="preserve"> PAGEREF _Toc151469346 \h </w:instrText>
        </w:r>
        <w:r>
          <w:rPr>
            <w:webHidden/>
          </w:rPr>
        </w:r>
        <w:r>
          <w:rPr>
            <w:webHidden/>
          </w:rPr>
          <w:fldChar w:fldCharType="separate"/>
        </w:r>
        <w:r>
          <w:rPr>
            <w:webHidden/>
          </w:rPr>
          <w:t>24</w:t>
        </w:r>
        <w:r>
          <w:rPr>
            <w:webHidden/>
          </w:rPr>
          <w:fldChar w:fldCharType="end"/>
        </w:r>
      </w:hyperlink>
    </w:p>
    <w:p w14:paraId="173A4307" w14:textId="4A64C3DE" w:rsidR="00A924B4" w:rsidRDefault="00A924B4">
      <w:pPr>
        <w:pStyle w:val="TOC1"/>
        <w:tabs>
          <w:tab w:val="left" w:pos="885"/>
        </w:tabs>
        <w:rPr>
          <w:rFonts w:asciiTheme="minorHAnsi" w:eastAsiaTheme="minorEastAsia" w:hAnsiTheme="minorHAnsi" w:cstheme="minorBidi"/>
          <w:b w:val="0"/>
          <w:spacing w:val="0"/>
          <w:sz w:val="22"/>
          <w:szCs w:val="22"/>
        </w:rPr>
      </w:pPr>
      <w:hyperlink w:anchor="_Toc151469347" w:history="1">
        <w:r w:rsidRPr="00861DD5">
          <w:rPr>
            <w:rStyle w:val="Hyperlink"/>
          </w:rPr>
          <w:t>5</w:t>
        </w:r>
        <w:r>
          <w:rPr>
            <w:rFonts w:asciiTheme="minorHAnsi" w:eastAsiaTheme="minorEastAsia" w:hAnsiTheme="minorHAnsi" w:cstheme="minorBidi"/>
            <w:b w:val="0"/>
            <w:spacing w:val="0"/>
            <w:sz w:val="22"/>
            <w:szCs w:val="22"/>
          </w:rPr>
          <w:tab/>
        </w:r>
        <w:r w:rsidRPr="00861DD5">
          <w:rPr>
            <w:rStyle w:val="Hyperlink"/>
          </w:rPr>
          <w:t>Licensing and allocation considerations</w:t>
        </w:r>
        <w:r>
          <w:rPr>
            <w:webHidden/>
          </w:rPr>
          <w:tab/>
        </w:r>
        <w:r>
          <w:rPr>
            <w:webHidden/>
          </w:rPr>
          <w:fldChar w:fldCharType="begin"/>
        </w:r>
        <w:r>
          <w:rPr>
            <w:webHidden/>
          </w:rPr>
          <w:instrText xml:space="preserve"> PAGEREF _Toc151469347 \h </w:instrText>
        </w:r>
        <w:r>
          <w:rPr>
            <w:webHidden/>
          </w:rPr>
        </w:r>
        <w:r>
          <w:rPr>
            <w:webHidden/>
          </w:rPr>
          <w:fldChar w:fldCharType="separate"/>
        </w:r>
        <w:r>
          <w:rPr>
            <w:webHidden/>
          </w:rPr>
          <w:t>25</w:t>
        </w:r>
        <w:r>
          <w:rPr>
            <w:webHidden/>
          </w:rPr>
          <w:fldChar w:fldCharType="end"/>
        </w:r>
      </w:hyperlink>
    </w:p>
    <w:p w14:paraId="312A1F69" w14:textId="4726AD71" w:rsidR="00A924B4" w:rsidRDefault="00A924B4">
      <w:pPr>
        <w:pStyle w:val="TOC2"/>
        <w:rPr>
          <w:rFonts w:asciiTheme="minorHAnsi" w:eastAsiaTheme="minorEastAsia" w:hAnsiTheme="minorHAnsi" w:cstheme="minorBidi"/>
          <w:spacing w:val="0"/>
          <w:sz w:val="22"/>
          <w:szCs w:val="22"/>
        </w:rPr>
      </w:pPr>
      <w:hyperlink w:anchor="_Toc151469348" w:history="1">
        <w:r w:rsidRPr="00861DD5">
          <w:rPr>
            <w:rStyle w:val="Hyperlink"/>
          </w:rPr>
          <w:t>5.1</w:t>
        </w:r>
        <w:r>
          <w:rPr>
            <w:rFonts w:asciiTheme="minorHAnsi" w:eastAsiaTheme="minorEastAsia" w:hAnsiTheme="minorHAnsi" w:cstheme="minorBidi"/>
            <w:spacing w:val="0"/>
            <w:sz w:val="22"/>
            <w:szCs w:val="22"/>
          </w:rPr>
          <w:tab/>
        </w:r>
        <w:r w:rsidRPr="00861DD5">
          <w:rPr>
            <w:rStyle w:val="Hyperlink"/>
          </w:rPr>
          <w:t>Licensing of space-based communication systems</w:t>
        </w:r>
        <w:r>
          <w:rPr>
            <w:webHidden/>
          </w:rPr>
          <w:tab/>
        </w:r>
        <w:r>
          <w:rPr>
            <w:webHidden/>
          </w:rPr>
          <w:fldChar w:fldCharType="begin"/>
        </w:r>
        <w:r>
          <w:rPr>
            <w:webHidden/>
          </w:rPr>
          <w:instrText xml:space="preserve"> PAGEREF _Toc151469348 \h </w:instrText>
        </w:r>
        <w:r>
          <w:rPr>
            <w:webHidden/>
          </w:rPr>
        </w:r>
        <w:r>
          <w:rPr>
            <w:webHidden/>
          </w:rPr>
          <w:fldChar w:fldCharType="separate"/>
        </w:r>
        <w:r>
          <w:rPr>
            <w:webHidden/>
          </w:rPr>
          <w:t>25</w:t>
        </w:r>
        <w:r>
          <w:rPr>
            <w:webHidden/>
          </w:rPr>
          <w:fldChar w:fldCharType="end"/>
        </w:r>
      </w:hyperlink>
    </w:p>
    <w:p w14:paraId="3803DE01" w14:textId="390E59F5" w:rsidR="00A924B4" w:rsidRDefault="00A924B4">
      <w:pPr>
        <w:pStyle w:val="TOC2"/>
        <w:rPr>
          <w:rFonts w:asciiTheme="minorHAnsi" w:eastAsiaTheme="minorEastAsia" w:hAnsiTheme="minorHAnsi" w:cstheme="minorBidi"/>
          <w:spacing w:val="0"/>
          <w:sz w:val="22"/>
          <w:szCs w:val="22"/>
        </w:rPr>
      </w:pPr>
      <w:hyperlink w:anchor="_Toc151469349" w:history="1">
        <w:r w:rsidRPr="00861DD5">
          <w:rPr>
            <w:rStyle w:val="Hyperlink"/>
          </w:rPr>
          <w:t>5.2</w:t>
        </w:r>
        <w:r>
          <w:rPr>
            <w:rFonts w:asciiTheme="minorHAnsi" w:eastAsiaTheme="minorEastAsia" w:hAnsiTheme="minorHAnsi" w:cstheme="minorBidi"/>
            <w:spacing w:val="0"/>
            <w:sz w:val="22"/>
            <w:szCs w:val="22"/>
          </w:rPr>
          <w:tab/>
        </w:r>
        <w:r w:rsidRPr="00861DD5">
          <w:rPr>
            <w:rStyle w:val="Hyperlink"/>
          </w:rPr>
          <w:t>2 GHz MSS licence allocation considerations</w:t>
        </w:r>
        <w:r>
          <w:rPr>
            <w:webHidden/>
          </w:rPr>
          <w:tab/>
        </w:r>
        <w:r>
          <w:rPr>
            <w:webHidden/>
          </w:rPr>
          <w:fldChar w:fldCharType="begin"/>
        </w:r>
        <w:r>
          <w:rPr>
            <w:webHidden/>
          </w:rPr>
          <w:instrText xml:space="preserve"> PAGEREF _Toc151469349 \h </w:instrText>
        </w:r>
        <w:r>
          <w:rPr>
            <w:webHidden/>
          </w:rPr>
        </w:r>
        <w:r>
          <w:rPr>
            <w:webHidden/>
          </w:rPr>
          <w:fldChar w:fldCharType="separate"/>
        </w:r>
        <w:r>
          <w:rPr>
            <w:webHidden/>
          </w:rPr>
          <w:t>26</w:t>
        </w:r>
        <w:r>
          <w:rPr>
            <w:webHidden/>
          </w:rPr>
          <w:fldChar w:fldCharType="end"/>
        </w:r>
      </w:hyperlink>
    </w:p>
    <w:p w14:paraId="0768A48F" w14:textId="4EB767CD" w:rsidR="00A924B4" w:rsidRDefault="00A924B4" w:rsidP="00A924B4">
      <w:pPr>
        <w:pStyle w:val="TOC1"/>
        <w:keepNext/>
        <w:keepLines/>
        <w:tabs>
          <w:tab w:val="left" w:pos="885"/>
        </w:tabs>
        <w:rPr>
          <w:rFonts w:asciiTheme="minorHAnsi" w:eastAsiaTheme="minorEastAsia" w:hAnsiTheme="minorHAnsi" w:cstheme="minorBidi"/>
          <w:b w:val="0"/>
          <w:spacing w:val="0"/>
          <w:sz w:val="22"/>
          <w:szCs w:val="22"/>
        </w:rPr>
      </w:pPr>
      <w:hyperlink w:anchor="_Toc151469350" w:history="1">
        <w:r w:rsidRPr="00861DD5">
          <w:rPr>
            <w:rStyle w:val="Hyperlink"/>
          </w:rPr>
          <w:t>6</w:t>
        </w:r>
        <w:r>
          <w:rPr>
            <w:rFonts w:asciiTheme="minorHAnsi" w:eastAsiaTheme="minorEastAsia" w:hAnsiTheme="minorHAnsi" w:cstheme="minorBidi"/>
            <w:b w:val="0"/>
            <w:spacing w:val="0"/>
            <w:sz w:val="22"/>
            <w:szCs w:val="22"/>
          </w:rPr>
          <w:tab/>
        </w:r>
        <w:r w:rsidRPr="00861DD5">
          <w:rPr>
            <w:rStyle w:val="Hyperlink"/>
          </w:rPr>
          <w:t>Future work</w:t>
        </w:r>
        <w:r>
          <w:rPr>
            <w:webHidden/>
          </w:rPr>
          <w:tab/>
        </w:r>
        <w:r>
          <w:rPr>
            <w:webHidden/>
          </w:rPr>
          <w:fldChar w:fldCharType="begin"/>
        </w:r>
        <w:r>
          <w:rPr>
            <w:webHidden/>
          </w:rPr>
          <w:instrText xml:space="preserve"> PAGEREF _Toc151469350 \h </w:instrText>
        </w:r>
        <w:r>
          <w:rPr>
            <w:webHidden/>
          </w:rPr>
        </w:r>
        <w:r>
          <w:rPr>
            <w:webHidden/>
          </w:rPr>
          <w:fldChar w:fldCharType="separate"/>
        </w:r>
        <w:r>
          <w:rPr>
            <w:webHidden/>
          </w:rPr>
          <w:t>29</w:t>
        </w:r>
        <w:r>
          <w:rPr>
            <w:webHidden/>
          </w:rPr>
          <w:fldChar w:fldCharType="end"/>
        </w:r>
      </w:hyperlink>
    </w:p>
    <w:p w14:paraId="547DAD68" w14:textId="7BBB08DF" w:rsidR="00A924B4" w:rsidRDefault="00A924B4" w:rsidP="00A924B4">
      <w:pPr>
        <w:pStyle w:val="TOC1"/>
        <w:keepNext/>
        <w:keepLines/>
        <w:tabs>
          <w:tab w:val="left" w:pos="885"/>
        </w:tabs>
        <w:rPr>
          <w:rFonts w:asciiTheme="minorHAnsi" w:eastAsiaTheme="minorEastAsia" w:hAnsiTheme="minorHAnsi" w:cstheme="minorBidi"/>
          <w:b w:val="0"/>
          <w:spacing w:val="0"/>
          <w:sz w:val="22"/>
          <w:szCs w:val="22"/>
        </w:rPr>
      </w:pPr>
      <w:hyperlink w:anchor="_Toc151469351" w:history="1">
        <w:r w:rsidRPr="00861DD5">
          <w:rPr>
            <w:rStyle w:val="Hyperlink"/>
          </w:rPr>
          <w:t>7</w:t>
        </w:r>
        <w:r>
          <w:rPr>
            <w:rFonts w:asciiTheme="minorHAnsi" w:eastAsiaTheme="minorEastAsia" w:hAnsiTheme="minorHAnsi" w:cstheme="minorBidi"/>
            <w:b w:val="0"/>
            <w:spacing w:val="0"/>
            <w:sz w:val="22"/>
            <w:szCs w:val="22"/>
          </w:rPr>
          <w:tab/>
        </w:r>
        <w:r w:rsidRPr="00861DD5">
          <w:rPr>
            <w:rStyle w:val="Hyperlink"/>
          </w:rPr>
          <w:t>Invitation to comment</w:t>
        </w:r>
        <w:r>
          <w:rPr>
            <w:webHidden/>
          </w:rPr>
          <w:tab/>
        </w:r>
        <w:r>
          <w:rPr>
            <w:webHidden/>
          </w:rPr>
          <w:fldChar w:fldCharType="begin"/>
        </w:r>
        <w:r>
          <w:rPr>
            <w:webHidden/>
          </w:rPr>
          <w:instrText xml:space="preserve"> PAGEREF _Toc151469351 \h </w:instrText>
        </w:r>
        <w:r>
          <w:rPr>
            <w:webHidden/>
          </w:rPr>
        </w:r>
        <w:r>
          <w:rPr>
            <w:webHidden/>
          </w:rPr>
          <w:fldChar w:fldCharType="separate"/>
        </w:r>
        <w:r>
          <w:rPr>
            <w:webHidden/>
          </w:rPr>
          <w:t>30</w:t>
        </w:r>
        <w:r>
          <w:rPr>
            <w:webHidden/>
          </w:rPr>
          <w:fldChar w:fldCharType="end"/>
        </w:r>
      </w:hyperlink>
    </w:p>
    <w:p w14:paraId="7472561B" w14:textId="6CE06578" w:rsidR="00A924B4" w:rsidRDefault="00A924B4" w:rsidP="00A924B4">
      <w:pPr>
        <w:pStyle w:val="TOC2"/>
        <w:keepNext/>
        <w:keepLines/>
        <w:rPr>
          <w:rFonts w:asciiTheme="minorHAnsi" w:eastAsiaTheme="minorEastAsia" w:hAnsiTheme="minorHAnsi" w:cstheme="minorBidi"/>
          <w:spacing w:val="0"/>
          <w:sz w:val="22"/>
          <w:szCs w:val="22"/>
        </w:rPr>
      </w:pPr>
      <w:hyperlink w:anchor="_Toc151469352" w:history="1">
        <w:r w:rsidRPr="00861DD5">
          <w:rPr>
            <w:rStyle w:val="Hyperlink"/>
          </w:rPr>
          <w:t>7.1</w:t>
        </w:r>
        <w:r>
          <w:rPr>
            <w:rFonts w:asciiTheme="minorHAnsi" w:eastAsiaTheme="minorEastAsia" w:hAnsiTheme="minorHAnsi" w:cstheme="minorBidi"/>
            <w:spacing w:val="0"/>
            <w:sz w:val="22"/>
            <w:szCs w:val="22"/>
          </w:rPr>
          <w:tab/>
        </w:r>
        <w:r w:rsidRPr="00861DD5">
          <w:rPr>
            <w:rStyle w:val="Hyperlink"/>
          </w:rPr>
          <w:t>Making a submission</w:t>
        </w:r>
        <w:r>
          <w:rPr>
            <w:webHidden/>
          </w:rPr>
          <w:tab/>
        </w:r>
        <w:r>
          <w:rPr>
            <w:webHidden/>
          </w:rPr>
          <w:fldChar w:fldCharType="begin"/>
        </w:r>
        <w:r>
          <w:rPr>
            <w:webHidden/>
          </w:rPr>
          <w:instrText xml:space="preserve"> PAGEREF _Toc151469352 \h </w:instrText>
        </w:r>
        <w:r>
          <w:rPr>
            <w:webHidden/>
          </w:rPr>
        </w:r>
        <w:r>
          <w:rPr>
            <w:webHidden/>
          </w:rPr>
          <w:fldChar w:fldCharType="separate"/>
        </w:r>
        <w:r>
          <w:rPr>
            <w:webHidden/>
          </w:rPr>
          <w:t>30</w:t>
        </w:r>
        <w:r>
          <w:rPr>
            <w:webHidden/>
          </w:rPr>
          <w:fldChar w:fldCharType="end"/>
        </w:r>
      </w:hyperlink>
    </w:p>
    <w:p w14:paraId="615E3627" w14:textId="6559C2FC" w:rsidR="00A924B4" w:rsidRDefault="00A924B4" w:rsidP="00A924B4">
      <w:pPr>
        <w:pStyle w:val="TOC2"/>
        <w:keepNext/>
        <w:keepLines/>
        <w:rPr>
          <w:rFonts w:asciiTheme="minorHAnsi" w:eastAsiaTheme="minorEastAsia" w:hAnsiTheme="minorHAnsi" w:cstheme="minorBidi"/>
          <w:spacing w:val="0"/>
          <w:sz w:val="22"/>
          <w:szCs w:val="22"/>
        </w:rPr>
      </w:pPr>
      <w:hyperlink w:anchor="_Toc151469353" w:history="1">
        <w:r w:rsidRPr="00861DD5">
          <w:rPr>
            <w:rStyle w:val="Hyperlink"/>
          </w:rPr>
          <w:t>7.2</w:t>
        </w:r>
        <w:r>
          <w:rPr>
            <w:rFonts w:asciiTheme="minorHAnsi" w:eastAsiaTheme="minorEastAsia" w:hAnsiTheme="minorHAnsi" w:cstheme="minorBidi"/>
            <w:spacing w:val="0"/>
            <w:sz w:val="22"/>
            <w:szCs w:val="22"/>
          </w:rPr>
          <w:tab/>
        </w:r>
        <w:r w:rsidRPr="00861DD5">
          <w:rPr>
            <w:rStyle w:val="Hyperlink"/>
          </w:rPr>
          <w:t>Publication of submissions</w:t>
        </w:r>
        <w:r>
          <w:rPr>
            <w:webHidden/>
          </w:rPr>
          <w:tab/>
        </w:r>
        <w:r>
          <w:rPr>
            <w:webHidden/>
          </w:rPr>
          <w:fldChar w:fldCharType="begin"/>
        </w:r>
        <w:r>
          <w:rPr>
            <w:webHidden/>
          </w:rPr>
          <w:instrText xml:space="preserve"> PAGEREF _Toc151469353 \h </w:instrText>
        </w:r>
        <w:r>
          <w:rPr>
            <w:webHidden/>
          </w:rPr>
        </w:r>
        <w:r>
          <w:rPr>
            <w:webHidden/>
          </w:rPr>
          <w:fldChar w:fldCharType="separate"/>
        </w:r>
        <w:r>
          <w:rPr>
            <w:webHidden/>
          </w:rPr>
          <w:t>30</w:t>
        </w:r>
        <w:r>
          <w:rPr>
            <w:webHidden/>
          </w:rPr>
          <w:fldChar w:fldCharType="end"/>
        </w:r>
      </w:hyperlink>
    </w:p>
    <w:p w14:paraId="7650692E" w14:textId="6E627169" w:rsidR="00A924B4" w:rsidRDefault="00A924B4" w:rsidP="00A924B4">
      <w:pPr>
        <w:pStyle w:val="TOC2"/>
        <w:keepNext/>
        <w:keepLines/>
        <w:rPr>
          <w:rFonts w:asciiTheme="minorHAnsi" w:eastAsiaTheme="minorEastAsia" w:hAnsiTheme="minorHAnsi" w:cstheme="minorBidi"/>
          <w:spacing w:val="0"/>
          <w:sz w:val="22"/>
          <w:szCs w:val="22"/>
        </w:rPr>
      </w:pPr>
      <w:hyperlink w:anchor="_Toc151469354" w:history="1">
        <w:r w:rsidRPr="00861DD5">
          <w:rPr>
            <w:rStyle w:val="Hyperlink"/>
          </w:rPr>
          <w:t>7.3</w:t>
        </w:r>
        <w:r>
          <w:rPr>
            <w:rFonts w:asciiTheme="minorHAnsi" w:eastAsiaTheme="minorEastAsia" w:hAnsiTheme="minorHAnsi" w:cstheme="minorBidi"/>
            <w:spacing w:val="0"/>
            <w:sz w:val="22"/>
            <w:szCs w:val="22"/>
          </w:rPr>
          <w:tab/>
        </w:r>
        <w:r w:rsidRPr="00861DD5">
          <w:rPr>
            <w:rStyle w:val="Hyperlink"/>
          </w:rPr>
          <w:t>Privacy</w:t>
        </w:r>
        <w:r>
          <w:rPr>
            <w:webHidden/>
          </w:rPr>
          <w:tab/>
        </w:r>
        <w:r>
          <w:rPr>
            <w:webHidden/>
          </w:rPr>
          <w:fldChar w:fldCharType="begin"/>
        </w:r>
        <w:r>
          <w:rPr>
            <w:webHidden/>
          </w:rPr>
          <w:instrText xml:space="preserve"> PAGEREF _Toc151469354 \h </w:instrText>
        </w:r>
        <w:r>
          <w:rPr>
            <w:webHidden/>
          </w:rPr>
        </w:r>
        <w:r>
          <w:rPr>
            <w:webHidden/>
          </w:rPr>
          <w:fldChar w:fldCharType="separate"/>
        </w:r>
        <w:r>
          <w:rPr>
            <w:webHidden/>
          </w:rPr>
          <w:t>30</w:t>
        </w:r>
        <w:r>
          <w:rPr>
            <w:webHidden/>
          </w:rPr>
          <w:fldChar w:fldCharType="end"/>
        </w:r>
      </w:hyperlink>
    </w:p>
    <w:p w14:paraId="05E002F3" w14:textId="7324F78B" w:rsidR="00A924B4" w:rsidRDefault="00A924B4" w:rsidP="00A924B4">
      <w:pPr>
        <w:pStyle w:val="TOC1"/>
        <w:keepNext/>
        <w:keepLines/>
        <w:rPr>
          <w:rFonts w:asciiTheme="minorHAnsi" w:eastAsiaTheme="minorEastAsia" w:hAnsiTheme="minorHAnsi" w:cstheme="minorBidi"/>
          <w:b w:val="0"/>
          <w:spacing w:val="0"/>
          <w:sz w:val="22"/>
          <w:szCs w:val="22"/>
        </w:rPr>
      </w:pPr>
      <w:hyperlink w:anchor="_Toc151469355" w:history="1">
        <w:r w:rsidRPr="00861DD5">
          <w:rPr>
            <w:rStyle w:val="Hyperlink"/>
          </w:rPr>
          <w:t>Appendix A: MSS reference documents and parameters</w:t>
        </w:r>
        <w:r>
          <w:rPr>
            <w:webHidden/>
          </w:rPr>
          <w:tab/>
        </w:r>
        <w:r>
          <w:rPr>
            <w:webHidden/>
          </w:rPr>
          <w:fldChar w:fldCharType="begin"/>
        </w:r>
        <w:r>
          <w:rPr>
            <w:webHidden/>
          </w:rPr>
          <w:instrText xml:space="preserve"> PAGEREF _Toc151469355 \h </w:instrText>
        </w:r>
        <w:r>
          <w:rPr>
            <w:webHidden/>
          </w:rPr>
        </w:r>
        <w:r>
          <w:rPr>
            <w:webHidden/>
          </w:rPr>
          <w:fldChar w:fldCharType="separate"/>
        </w:r>
        <w:r>
          <w:rPr>
            <w:webHidden/>
          </w:rPr>
          <w:t>31</w:t>
        </w:r>
        <w:r>
          <w:rPr>
            <w:webHidden/>
          </w:rPr>
          <w:fldChar w:fldCharType="end"/>
        </w:r>
      </w:hyperlink>
    </w:p>
    <w:p w14:paraId="7DDDD3DA" w14:textId="7FA16504" w:rsidR="00A924B4" w:rsidRDefault="00A924B4" w:rsidP="00A924B4">
      <w:pPr>
        <w:pStyle w:val="TOC2"/>
        <w:keepNext/>
        <w:keepLines/>
        <w:rPr>
          <w:rFonts w:asciiTheme="minorHAnsi" w:eastAsiaTheme="minorEastAsia" w:hAnsiTheme="minorHAnsi" w:cstheme="minorBidi"/>
          <w:spacing w:val="0"/>
          <w:sz w:val="22"/>
          <w:szCs w:val="22"/>
        </w:rPr>
      </w:pPr>
      <w:hyperlink w:anchor="_Toc151469356" w:history="1">
        <w:r w:rsidRPr="00861DD5">
          <w:rPr>
            <w:rStyle w:val="Hyperlink"/>
          </w:rPr>
          <w:t>References</w:t>
        </w:r>
        <w:r>
          <w:rPr>
            <w:webHidden/>
          </w:rPr>
          <w:tab/>
        </w:r>
        <w:r>
          <w:rPr>
            <w:webHidden/>
          </w:rPr>
          <w:fldChar w:fldCharType="begin"/>
        </w:r>
        <w:r>
          <w:rPr>
            <w:webHidden/>
          </w:rPr>
          <w:instrText xml:space="preserve"> PAGEREF _Toc151469356 \h </w:instrText>
        </w:r>
        <w:r>
          <w:rPr>
            <w:webHidden/>
          </w:rPr>
        </w:r>
        <w:r>
          <w:rPr>
            <w:webHidden/>
          </w:rPr>
          <w:fldChar w:fldCharType="separate"/>
        </w:r>
        <w:r>
          <w:rPr>
            <w:webHidden/>
          </w:rPr>
          <w:t>31</w:t>
        </w:r>
        <w:r>
          <w:rPr>
            <w:webHidden/>
          </w:rPr>
          <w:fldChar w:fldCharType="end"/>
        </w:r>
      </w:hyperlink>
    </w:p>
    <w:p w14:paraId="42155F83" w14:textId="52390BB3" w:rsidR="00A924B4" w:rsidRDefault="00A924B4" w:rsidP="00A924B4">
      <w:pPr>
        <w:pStyle w:val="TOC2"/>
        <w:keepNext/>
        <w:keepLines/>
        <w:rPr>
          <w:rFonts w:asciiTheme="minorHAnsi" w:eastAsiaTheme="minorEastAsia" w:hAnsiTheme="minorHAnsi" w:cstheme="minorBidi"/>
          <w:spacing w:val="0"/>
          <w:sz w:val="22"/>
          <w:szCs w:val="22"/>
        </w:rPr>
      </w:pPr>
      <w:hyperlink w:anchor="_Toc151469357" w:history="1">
        <w:r w:rsidRPr="00861DD5">
          <w:rPr>
            <w:rStyle w:val="Hyperlink"/>
          </w:rPr>
          <w:t>MSS parameters</w:t>
        </w:r>
        <w:r>
          <w:rPr>
            <w:webHidden/>
          </w:rPr>
          <w:tab/>
        </w:r>
        <w:r>
          <w:rPr>
            <w:webHidden/>
          </w:rPr>
          <w:fldChar w:fldCharType="begin"/>
        </w:r>
        <w:r>
          <w:rPr>
            <w:webHidden/>
          </w:rPr>
          <w:instrText xml:space="preserve"> PAGEREF _Toc151469357 \h </w:instrText>
        </w:r>
        <w:r>
          <w:rPr>
            <w:webHidden/>
          </w:rPr>
        </w:r>
        <w:r>
          <w:rPr>
            <w:webHidden/>
          </w:rPr>
          <w:fldChar w:fldCharType="separate"/>
        </w:r>
        <w:r>
          <w:rPr>
            <w:webHidden/>
          </w:rPr>
          <w:t>32</w:t>
        </w:r>
        <w:r>
          <w:rPr>
            <w:webHidden/>
          </w:rPr>
          <w:fldChar w:fldCharType="end"/>
        </w:r>
      </w:hyperlink>
    </w:p>
    <w:p w14:paraId="70FDD151" w14:textId="48FDEE3E" w:rsidR="004D56FF" w:rsidRPr="00E162C4" w:rsidRDefault="006A3ECF">
      <w:pPr>
        <w:rPr>
          <w:rFonts w:cs="Arial"/>
        </w:rPr>
        <w:sectPr w:rsidR="004D56FF" w:rsidRPr="00E162C4"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sidRPr="00E162C4">
        <w:rPr>
          <w:rFonts w:cs="Arial"/>
          <w:noProof/>
          <w:spacing w:val="-14"/>
          <w:sz w:val="28"/>
        </w:rPr>
        <w:fldChar w:fldCharType="end"/>
      </w:r>
    </w:p>
    <w:p w14:paraId="5453F68D" w14:textId="77C28B15" w:rsidR="009D6C71" w:rsidRPr="00E162C4" w:rsidRDefault="009D6C71" w:rsidP="00F25C6D">
      <w:pPr>
        <w:pStyle w:val="Heading1"/>
        <w:numPr>
          <w:ilvl w:val="0"/>
          <w:numId w:val="0"/>
        </w:numPr>
        <w:ind w:left="432" w:hanging="432"/>
      </w:pPr>
      <w:bookmarkStart w:id="0" w:name="_Toc151469328"/>
      <w:r w:rsidRPr="00E162C4">
        <w:lastRenderedPageBreak/>
        <w:t>Executive summary</w:t>
      </w:r>
      <w:bookmarkEnd w:id="0"/>
    </w:p>
    <w:p w14:paraId="4AE8AC0D" w14:textId="6F47B580" w:rsidR="00121758" w:rsidRDefault="00121758" w:rsidP="00121758">
      <w:pPr>
        <w:pStyle w:val="Paragraphbeforelist"/>
      </w:pPr>
      <w:bookmarkStart w:id="1" w:name="_Toc433122125"/>
      <w:r>
        <w:t>In January 2021</w:t>
      </w:r>
      <w:r w:rsidR="00E5592B">
        <w:t>, we</w:t>
      </w:r>
      <w:r>
        <w:t xml:space="preserve"> announce</w:t>
      </w:r>
      <w:r w:rsidR="005F6E72">
        <w:t>d</w:t>
      </w:r>
      <w:r>
        <w:t xml:space="preserve"> the outcome of the review of </w:t>
      </w:r>
      <w:r w:rsidR="005F6E72">
        <w:t xml:space="preserve">the </w:t>
      </w:r>
      <w:r>
        <w:t xml:space="preserve">2 GHz band </w:t>
      </w:r>
      <w:r w:rsidR="00E5592B">
        <w:br/>
      </w:r>
      <w:r>
        <w:t>(</w:t>
      </w:r>
      <w:r w:rsidRPr="00006462">
        <w:t>1980</w:t>
      </w:r>
      <w:r w:rsidR="00E5592B">
        <w:t>–</w:t>
      </w:r>
      <w:r w:rsidRPr="00006462">
        <w:t>2010/2170</w:t>
      </w:r>
      <w:r w:rsidR="00E5592B">
        <w:t>–</w:t>
      </w:r>
      <w:r w:rsidRPr="00006462">
        <w:t>2200 MHz)</w:t>
      </w:r>
      <w:r w:rsidR="00E5592B">
        <w:t>,</w:t>
      </w:r>
      <w:r>
        <w:rPr>
          <w:rStyle w:val="FootnoteReference"/>
        </w:rPr>
        <w:footnoteReference w:id="2"/>
      </w:r>
      <w:r>
        <w:t xml:space="preserve"> and the decision to replan the band for mobile-satellite services</w:t>
      </w:r>
      <w:r w:rsidR="00E5592B">
        <w:t xml:space="preserve">. This would </w:t>
      </w:r>
      <w:r w:rsidR="00726BA6">
        <w:t>enable</w:t>
      </w:r>
      <w:r>
        <w:t>:</w:t>
      </w:r>
    </w:p>
    <w:p w14:paraId="5B1D3DEC" w14:textId="2D0AF09A" w:rsidR="00121758" w:rsidRDefault="00121758" w:rsidP="00121758">
      <w:pPr>
        <w:pStyle w:val="Bulletlevel1"/>
      </w:pPr>
      <w:r>
        <w:t>2 x 25 MHz (1980–2005 MHz and 2170–2195 MHz) for Australia-wide mobile-satellite services (MSS), with support for deployment of a complementary ground component (CGC) including direct air-to-ground communications services (DA2GC)</w:t>
      </w:r>
      <w:r w:rsidR="00E5592B">
        <w:t>,</w:t>
      </w:r>
      <w:r w:rsidRPr="00981FEA">
        <w:rPr>
          <w:rStyle w:val="FootnoteReference"/>
        </w:rPr>
        <w:t xml:space="preserve"> </w:t>
      </w:r>
      <w:r>
        <w:rPr>
          <w:rStyle w:val="FootnoteReference"/>
        </w:rPr>
        <w:footnoteReference w:id="3"/>
      </w:r>
      <w:r>
        <w:t xml:space="preserve"> where a licensee wishes to supplement its MSS. </w:t>
      </w:r>
    </w:p>
    <w:p w14:paraId="0BDD605A" w14:textId="77777777" w:rsidR="00121758" w:rsidRDefault="00121758" w:rsidP="00121758">
      <w:pPr>
        <w:pStyle w:val="Bulletlevel1last"/>
      </w:pPr>
      <w:r>
        <w:t>2 x 5 MHz (2005–2010 MHz and 2195–2200 MHz) for shared narrowband MSS including telemetry, short messaging, and low-data-rate services such as satellite IoT (internet of things) application.</w:t>
      </w:r>
    </w:p>
    <w:p w14:paraId="51522078" w14:textId="5ED56547" w:rsidR="00EA0084" w:rsidRDefault="00121758" w:rsidP="00121758">
      <w:pPr>
        <w:pStyle w:val="Paragraph"/>
      </w:pPr>
      <w:r>
        <w:t>In July 2022</w:t>
      </w:r>
      <w:r w:rsidR="00E5592B">
        <w:t>,</w:t>
      </w:r>
      <w:r>
        <w:t xml:space="preserve"> we introduced arrangements supporting narrowband MSS systems with licences issued to </w:t>
      </w:r>
      <w:r w:rsidR="00FF2266">
        <w:t>4</w:t>
      </w:r>
      <w:r>
        <w:rPr>
          <w:rStyle w:val="FootnoteReference"/>
        </w:rPr>
        <w:footnoteReference w:id="4"/>
      </w:r>
      <w:r>
        <w:t xml:space="preserve"> organisations. </w:t>
      </w:r>
    </w:p>
    <w:p w14:paraId="46C61976" w14:textId="17BD1C97" w:rsidR="00121758" w:rsidRDefault="00121758" w:rsidP="00121758">
      <w:pPr>
        <w:pStyle w:val="Paragraph"/>
      </w:pPr>
      <w:r>
        <w:t xml:space="preserve">We are now working on arrangements to support MSS in 2 x 25 MHz </w:t>
      </w:r>
      <w:r w:rsidR="00E5592B">
        <w:br/>
      </w:r>
      <w:r>
        <w:t>(1980–2005 MHz and 2170–2195 MHz)</w:t>
      </w:r>
      <w:r w:rsidR="00E5592B">
        <w:t>,</w:t>
      </w:r>
      <w:r>
        <w:t xml:space="preserve"> referred to in this paper as ‘2 GHz MSS’. </w:t>
      </w:r>
    </w:p>
    <w:p w14:paraId="38CBA99F" w14:textId="27A200A4" w:rsidR="00121758" w:rsidRPr="004A71B9" w:rsidRDefault="00637B5A" w:rsidP="00121758">
      <w:pPr>
        <w:rPr>
          <w:rFonts w:eastAsia="Arial" w:cs="Arial"/>
        </w:rPr>
      </w:pPr>
      <w:r>
        <w:rPr>
          <w:rFonts w:eastAsia="Arial" w:cs="Arial"/>
        </w:rPr>
        <w:t xml:space="preserve">This paper outlines </w:t>
      </w:r>
      <w:r w:rsidR="00121758">
        <w:rPr>
          <w:rFonts w:eastAsia="Arial" w:cs="Arial"/>
        </w:rPr>
        <w:t xml:space="preserve">draft </w:t>
      </w:r>
      <w:r w:rsidR="00121758" w:rsidRPr="4F20F49D" w:rsidDel="00C72E1C">
        <w:rPr>
          <w:rFonts w:eastAsia="Arial" w:cs="Arial"/>
        </w:rPr>
        <w:t xml:space="preserve">technical </w:t>
      </w:r>
      <w:r w:rsidR="00121758" w:rsidRPr="4F20F49D">
        <w:rPr>
          <w:rFonts w:eastAsia="Arial" w:cs="Arial"/>
        </w:rPr>
        <w:t xml:space="preserve">parameters and coordination requirements </w:t>
      </w:r>
      <w:r w:rsidR="00E5592B">
        <w:rPr>
          <w:rFonts w:eastAsia="Arial" w:cs="Arial"/>
        </w:rPr>
        <w:br/>
      </w:r>
      <w:r w:rsidR="00121758" w:rsidRPr="4F20F49D">
        <w:rPr>
          <w:rFonts w:eastAsia="Arial" w:cs="Arial"/>
        </w:rPr>
        <w:t xml:space="preserve">to support </w:t>
      </w:r>
      <w:r w:rsidR="00121758">
        <w:rPr>
          <w:rFonts w:eastAsia="Arial" w:cs="Arial"/>
        </w:rPr>
        <w:t xml:space="preserve">2 GHz </w:t>
      </w:r>
      <w:r w:rsidR="00121758" w:rsidRPr="4F20F49D">
        <w:rPr>
          <w:rFonts w:eastAsia="Arial" w:cs="Arial"/>
        </w:rPr>
        <w:t xml:space="preserve">MSS (including the use of </w:t>
      </w:r>
      <w:r w:rsidR="00121758" w:rsidRPr="00FF155E">
        <w:rPr>
          <w:rFonts w:eastAsia="Arial" w:cs="Arial"/>
        </w:rPr>
        <w:t>CGC</w:t>
      </w:r>
      <w:r w:rsidR="00121758" w:rsidRPr="4F20F49D">
        <w:rPr>
          <w:rFonts w:eastAsia="Arial" w:cs="Arial"/>
        </w:rPr>
        <w:t>).</w:t>
      </w:r>
      <w:r w:rsidR="00121758">
        <w:rPr>
          <w:rFonts w:eastAsia="Arial" w:cs="Arial"/>
        </w:rPr>
        <w:t xml:space="preserve"> We also </w:t>
      </w:r>
      <w:r w:rsidR="00C365E5">
        <w:rPr>
          <w:rFonts w:eastAsia="Arial" w:cs="Arial"/>
        </w:rPr>
        <w:t>seekin</w:t>
      </w:r>
      <w:r w:rsidR="00DC048A">
        <w:rPr>
          <w:rFonts w:eastAsia="Arial" w:cs="Arial"/>
        </w:rPr>
        <w:t>g</w:t>
      </w:r>
      <w:r w:rsidR="00121758">
        <w:rPr>
          <w:rFonts w:eastAsia="Arial" w:cs="Arial"/>
        </w:rPr>
        <w:t xml:space="preserve"> further </w:t>
      </w:r>
      <w:r w:rsidR="00E5592B">
        <w:rPr>
          <w:rFonts w:eastAsia="Arial" w:cs="Arial"/>
        </w:rPr>
        <w:br/>
      </w:r>
      <w:r w:rsidR="00121758">
        <w:rPr>
          <w:rFonts w:eastAsia="Arial" w:cs="Arial"/>
        </w:rPr>
        <w:t xml:space="preserve">information on the extent of demand for the spectrum in this band, for the purposes </w:t>
      </w:r>
      <w:r w:rsidR="00E5592B">
        <w:rPr>
          <w:rFonts w:eastAsia="Arial" w:cs="Arial"/>
        </w:rPr>
        <w:br/>
      </w:r>
      <w:r w:rsidR="00121758">
        <w:rPr>
          <w:rFonts w:eastAsia="Arial" w:cs="Arial"/>
        </w:rPr>
        <w:t>of deploying MSS.</w:t>
      </w:r>
    </w:p>
    <w:p w14:paraId="783705DC" w14:textId="3713E4DA" w:rsidR="00121758" w:rsidRDefault="00121758" w:rsidP="00121758">
      <w:bookmarkStart w:id="2" w:name="_Hlk150843149"/>
      <w:r w:rsidRPr="4F20F49D">
        <w:rPr>
          <w:rFonts w:eastAsia="Arial" w:cs="Arial"/>
        </w:rPr>
        <w:t xml:space="preserve">The </w:t>
      </w:r>
      <w:r>
        <w:rPr>
          <w:rFonts w:eastAsia="Arial" w:cs="Arial"/>
        </w:rPr>
        <w:t xml:space="preserve">intention is that </w:t>
      </w:r>
      <w:r w:rsidR="00DC048A">
        <w:rPr>
          <w:rFonts w:eastAsia="Arial" w:cs="Arial"/>
        </w:rPr>
        <w:t xml:space="preserve">submissions to </w:t>
      </w:r>
      <w:r>
        <w:rPr>
          <w:rFonts w:eastAsia="Arial" w:cs="Arial"/>
        </w:rPr>
        <w:t xml:space="preserve">this </w:t>
      </w:r>
      <w:r w:rsidRPr="4F20F49D">
        <w:rPr>
          <w:rFonts w:eastAsia="Arial" w:cs="Arial"/>
        </w:rPr>
        <w:t xml:space="preserve">consultation </w:t>
      </w:r>
      <w:r>
        <w:rPr>
          <w:rFonts w:eastAsia="Arial" w:cs="Arial"/>
        </w:rPr>
        <w:t xml:space="preserve">will </w:t>
      </w:r>
      <w:r w:rsidR="00A5606E">
        <w:rPr>
          <w:rFonts w:eastAsia="Arial" w:cs="Arial"/>
        </w:rPr>
        <w:t xml:space="preserve">help </w:t>
      </w:r>
      <w:r w:rsidRPr="4F20F49D">
        <w:rPr>
          <w:rFonts w:eastAsia="Arial" w:cs="Arial"/>
        </w:rPr>
        <w:t xml:space="preserve">inform </w:t>
      </w:r>
      <w:r w:rsidR="00A5606E">
        <w:rPr>
          <w:rFonts w:eastAsia="Arial" w:cs="Arial"/>
        </w:rPr>
        <w:t xml:space="preserve">the </w:t>
      </w:r>
      <w:r w:rsidR="00A5606E" w:rsidRPr="4F20F49D">
        <w:rPr>
          <w:rFonts w:eastAsia="Arial" w:cs="Arial"/>
        </w:rPr>
        <w:t>draft</w:t>
      </w:r>
      <w:r w:rsidR="00A5606E">
        <w:rPr>
          <w:rFonts w:eastAsia="Arial" w:cs="Arial"/>
        </w:rPr>
        <w:t xml:space="preserve">ing </w:t>
      </w:r>
      <w:r w:rsidR="00E5592B">
        <w:rPr>
          <w:rFonts w:eastAsia="Arial" w:cs="Arial"/>
        </w:rPr>
        <w:br/>
      </w:r>
      <w:r w:rsidR="00A5606E">
        <w:rPr>
          <w:rFonts w:eastAsia="Arial" w:cs="Arial"/>
        </w:rPr>
        <w:t>of</w:t>
      </w:r>
      <w:r w:rsidR="00A5606E" w:rsidRPr="4F20F49D">
        <w:rPr>
          <w:rFonts w:eastAsia="Arial" w:cs="Arial"/>
        </w:rPr>
        <w:t xml:space="preserve"> technical framework </w:t>
      </w:r>
      <w:r w:rsidR="00A5606E">
        <w:rPr>
          <w:rFonts w:eastAsia="Arial" w:cs="Arial"/>
        </w:rPr>
        <w:t xml:space="preserve">instruments </w:t>
      </w:r>
      <w:r w:rsidR="00A5606E" w:rsidRPr="4F20F49D">
        <w:rPr>
          <w:rFonts w:eastAsia="Arial" w:cs="Arial"/>
        </w:rPr>
        <w:t xml:space="preserve">supporting </w:t>
      </w:r>
      <w:r w:rsidR="00A5606E">
        <w:rPr>
          <w:rFonts w:eastAsia="Arial" w:cs="Arial"/>
        </w:rPr>
        <w:t>an</w:t>
      </w:r>
      <w:r w:rsidR="00A5606E" w:rsidRPr="4F20F49D">
        <w:rPr>
          <w:rFonts w:eastAsia="Arial" w:cs="Arial"/>
        </w:rPr>
        <w:t xml:space="preserve"> allocation of licences in </w:t>
      </w:r>
      <w:r w:rsidR="00E5592B">
        <w:rPr>
          <w:rFonts w:eastAsia="Arial" w:cs="Arial"/>
        </w:rPr>
        <w:br/>
      </w:r>
      <w:r w:rsidR="00A5606E" w:rsidRPr="4F20F49D">
        <w:rPr>
          <w:rFonts w:eastAsia="Arial" w:cs="Arial"/>
        </w:rPr>
        <w:t>1980–2005/2170–2195 MHz</w:t>
      </w:r>
      <w:r w:rsidR="00E5592B">
        <w:rPr>
          <w:rFonts w:eastAsia="Arial" w:cs="Arial"/>
        </w:rPr>
        <w:t>,</w:t>
      </w:r>
      <w:r w:rsidR="00A5606E">
        <w:rPr>
          <w:rFonts w:eastAsia="Arial" w:cs="Arial"/>
        </w:rPr>
        <w:t xml:space="preserve"> and </w:t>
      </w:r>
      <w:r w:rsidR="00D613BB">
        <w:rPr>
          <w:rFonts w:eastAsia="Arial" w:cs="Arial"/>
        </w:rPr>
        <w:t xml:space="preserve">also </w:t>
      </w:r>
      <w:r w:rsidR="00A5606E">
        <w:rPr>
          <w:rFonts w:eastAsia="Arial" w:cs="Arial"/>
        </w:rPr>
        <w:t xml:space="preserve">inform </w:t>
      </w:r>
      <w:r w:rsidRPr="4F20F49D">
        <w:rPr>
          <w:rFonts w:eastAsia="Arial" w:cs="Arial"/>
        </w:rPr>
        <w:t xml:space="preserve">a decision on </w:t>
      </w:r>
      <w:r>
        <w:rPr>
          <w:rFonts w:eastAsia="Arial" w:cs="Arial"/>
        </w:rPr>
        <w:t xml:space="preserve">the </w:t>
      </w:r>
      <w:r w:rsidRPr="4F20F49D">
        <w:rPr>
          <w:rFonts w:eastAsia="Arial" w:cs="Arial"/>
        </w:rPr>
        <w:t>allocation method</w:t>
      </w:r>
      <w:r w:rsidR="006818DC">
        <w:rPr>
          <w:rFonts w:eastAsia="Arial" w:cs="Arial"/>
        </w:rPr>
        <w:t>.</w:t>
      </w:r>
    </w:p>
    <w:bookmarkEnd w:id="2"/>
    <w:p w14:paraId="71E8C59A" w14:textId="72B41E68" w:rsidR="00121758" w:rsidRPr="004A71B9" w:rsidRDefault="00121758" w:rsidP="00121758">
      <w:r>
        <w:rPr>
          <w:rFonts w:eastAsia="Arial" w:cs="Arial"/>
        </w:rPr>
        <w:t>F</w:t>
      </w:r>
      <w:r w:rsidRPr="4F20F49D">
        <w:rPr>
          <w:rFonts w:eastAsia="Arial" w:cs="Arial"/>
        </w:rPr>
        <w:t>ormal consultation on the technical framework and allocation design is envisaged to commence in Q</w:t>
      </w:r>
      <w:r>
        <w:rPr>
          <w:rFonts w:eastAsia="Arial" w:cs="Arial"/>
        </w:rPr>
        <w:t>3</w:t>
      </w:r>
      <w:r w:rsidRPr="4F20F49D">
        <w:rPr>
          <w:rFonts w:eastAsia="Arial" w:cs="Arial"/>
        </w:rPr>
        <w:t xml:space="preserve"> 2024</w:t>
      </w:r>
      <w:r>
        <w:rPr>
          <w:rFonts w:eastAsia="Arial" w:cs="Arial"/>
        </w:rPr>
        <w:t>. This has been delayed from the Q2 2024 timing outlined in the FYSO. The slightly later timing of the next consultation will allow consideration of the outcomes of the current consultation process</w:t>
      </w:r>
      <w:r w:rsidR="006818DC">
        <w:rPr>
          <w:rFonts w:eastAsia="Arial" w:cs="Arial"/>
        </w:rPr>
        <w:t>.</w:t>
      </w:r>
      <w:r>
        <w:rPr>
          <w:rFonts w:eastAsia="Arial" w:cs="Arial"/>
        </w:rPr>
        <w:t xml:space="preserve"> </w:t>
      </w:r>
      <w:r w:rsidRPr="0070001D">
        <w:rPr>
          <w:rFonts w:eastAsia="Arial" w:cs="Arial"/>
        </w:rPr>
        <w:t xml:space="preserve">Timing for </w:t>
      </w:r>
      <w:r w:rsidR="00735A0C">
        <w:rPr>
          <w:rFonts w:eastAsia="Arial" w:cs="Arial"/>
        </w:rPr>
        <w:t xml:space="preserve">the </w:t>
      </w:r>
      <w:r w:rsidRPr="0070001D">
        <w:rPr>
          <w:rFonts w:eastAsia="Arial" w:cs="Arial"/>
        </w:rPr>
        <w:t>allocation of licences is expected to occur in 2024–25</w:t>
      </w:r>
      <w:r>
        <w:t>.</w:t>
      </w:r>
    </w:p>
    <w:p w14:paraId="09F18861" w14:textId="0F9D6573" w:rsidR="00121758" w:rsidRPr="002A0B3E" w:rsidRDefault="00121758" w:rsidP="00B57109">
      <w:pPr>
        <w:pStyle w:val="Paragraph"/>
        <w:spacing w:after="60"/>
        <w:rPr>
          <w:rFonts w:eastAsiaTheme="majorEastAsia"/>
          <w:b/>
          <w:bCs/>
        </w:rPr>
      </w:pPr>
      <w:r w:rsidRPr="002A0B3E">
        <w:rPr>
          <w:rFonts w:eastAsiaTheme="majorEastAsia"/>
          <w:b/>
          <w:bCs/>
        </w:rPr>
        <w:t xml:space="preserve">Technical </w:t>
      </w:r>
      <w:r>
        <w:rPr>
          <w:rFonts w:eastAsiaTheme="majorEastAsia"/>
          <w:b/>
          <w:bCs/>
        </w:rPr>
        <w:t>design</w:t>
      </w:r>
      <w:r w:rsidR="003C7D37">
        <w:rPr>
          <w:rFonts w:eastAsiaTheme="majorEastAsia"/>
          <w:b/>
          <w:bCs/>
        </w:rPr>
        <w:t xml:space="preserve"> features</w:t>
      </w:r>
      <w:r>
        <w:rPr>
          <w:rFonts w:eastAsiaTheme="majorEastAsia"/>
          <w:b/>
          <w:bCs/>
        </w:rPr>
        <w:t xml:space="preserve"> </w:t>
      </w:r>
    </w:p>
    <w:p w14:paraId="1209A637" w14:textId="26BA7350" w:rsidR="00121758" w:rsidRDefault="00121758" w:rsidP="00121758">
      <w:pPr>
        <w:pStyle w:val="Paragraph"/>
        <w:rPr>
          <w:rFonts w:eastAsia="Arial"/>
        </w:rPr>
      </w:pPr>
      <w:r>
        <w:rPr>
          <w:rFonts w:eastAsiaTheme="majorEastAsia"/>
        </w:rPr>
        <w:t xml:space="preserve">While the administrative documents and legislative instruments supporting the technical framework will be developed closer to the allocation of licences for 2 GHz MSS band, </w:t>
      </w:r>
      <w:r w:rsidR="00735A0C">
        <w:rPr>
          <w:rFonts w:eastAsiaTheme="majorEastAsia"/>
        </w:rPr>
        <w:t xml:space="preserve">it is useful to commence </w:t>
      </w:r>
      <w:r>
        <w:rPr>
          <w:rFonts w:eastAsiaTheme="majorEastAsia"/>
        </w:rPr>
        <w:t xml:space="preserve">discussions on the </w:t>
      </w:r>
      <w:r w:rsidRPr="4F20F49D">
        <w:rPr>
          <w:rFonts w:eastAsia="Arial"/>
        </w:rPr>
        <w:t xml:space="preserve">technical parameters </w:t>
      </w:r>
      <w:r>
        <w:rPr>
          <w:rFonts w:eastAsia="Arial"/>
        </w:rPr>
        <w:t xml:space="preserve">for </w:t>
      </w:r>
      <w:r w:rsidR="00E5592B">
        <w:rPr>
          <w:rFonts w:eastAsia="Arial"/>
        </w:rPr>
        <w:br/>
      </w:r>
      <w:r>
        <w:rPr>
          <w:rFonts w:eastAsia="Arial"/>
        </w:rPr>
        <w:t xml:space="preserve">2 GHz MSS </w:t>
      </w:r>
      <w:r w:rsidRPr="4F20F49D">
        <w:rPr>
          <w:rFonts w:eastAsia="Arial"/>
        </w:rPr>
        <w:t xml:space="preserve">and </w:t>
      </w:r>
      <w:r w:rsidR="00CC7391">
        <w:rPr>
          <w:rFonts w:eastAsia="Arial"/>
        </w:rPr>
        <w:t xml:space="preserve">the </w:t>
      </w:r>
      <w:r>
        <w:rPr>
          <w:rFonts w:eastAsia="Arial"/>
        </w:rPr>
        <w:t>coexistence arrangement</w:t>
      </w:r>
      <w:r w:rsidR="00735A0C">
        <w:rPr>
          <w:rFonts w:eastAsia="Arial"/>
        </w:rPr>
        <w:t>s</w:t>
      </w:r>
      <w:r w:rsidRPr="4F20F49D">
        <w:rPr>
          <w:rFonts w:eastAsia="Arial"/>
        </w:rPr>
        <w:t xml:space="preserve"> with </w:t>
      </w:r>
      <w:r>
        <w:rPr>
          <w:rFonts w:eastAsia="Arial"/>
        </w:rPr>
        <w:t>other spectrum uses and users (both within the 2 GHz band, between different 2 GHz M</w:t>
      </w:r>
      <w:r w:rsidR="00064AEC">
        <w:rPr>
          <w:rFonts w:eastAsia="Arial"/>
        </w:rPr>
        <w:t>S</w:t>
      </w:r>
      <w:r>
        <w:rPr>
          <w:rFonts w:eastAsia="Arial"/>
        </w:rPr>
        <w:t>S licensees and users adjacent to the 2 GHz MSS band)</w:t>
      </w:r>
      <w:r w:rsidRPr="4F20F49D">
        <w:rPr>
          <w:rFonts w:eastAsia="Arial"/>
        </w:rPr>
        <w:t>.</w:t>
      </w:r>
    </w:p>
    <w:p w14:paraId="0D4D5A6C" w14:textId="729C5676" w:rsidR="002C2BD7" w:rsidRDefault="00121758" w:rsidP="00121758">
      <w:pPr>
        <w:pStyle w:val="Paragraph"/>
      </w:pPr>
      <w:r>
        <w:t>The MSS requirements have been developed with regard to ITU requirements for the satellite component of IMT-2020</w:t>
      </w:r>
      <w:r>
        <w:rPr>
          <w:rStyle w:val="FootnoteReference"/>
        </w:rPr>
        <w:footnoteReference w:id="5"/>
      </w:r>
      <w:r>
        <w:t>, 3GPP</w:t>
      </w:r>
      <w:r>
        <w:rPr>
          <w:rStyle w:val="FootnoteReference"/>
        </w:rPr>
        <w:footnoteReference w:id="6"/>
      </w:r>
      <w:r>
        <w:t xml:space="preserve"> work on 2 GHz </w:t>
      </w:r>
      <w:r w:rsidR="002C2BD7">
        <w:t>n</w:t>
      </w:r>
      <w:r>
        <w:t>on-</w:t>
      </w:r>
      <w:r w:rsidR="002C2BD7">
        <w:t>t</w:t>
      </w:r>
      <w:r>
        <w:t xml:space="preserve">errestrial </w:t>
      </w:r>
      <w:r w:rsidR="002C2BD7">
        <w:t>n</w:t>
      </w:r>
      <w:r>
        <w:t xml:space="preserve">etwork and </w:t>
      </w:r>
      <w:r>
        <w:lastRenderedPageBreak/>
        <w:t xml:space="preserve">European arrangements for </w:t>
      </w:r>
      <w:r w:rsidRPr="000F6627">
        <w:t>2 GHz MSS (including CGC</w:t>
      </w:r>
      <w:r>
        <w:t xml:space="preserve">). Where possible, to </w:t>
      </w:r>
      <w:r w:rsidDel="009567DA">
        <w:t xml:space="preserve">facilitate </w:t>
      </w:r>
      <w:r>
        <w:t>coexistence with adjacent band 2 GHz spectrum licensed services</w:t>
      </w:r>
      <w:r w:rsidR="00AE7E45">
        <w:t>,</w:t>
      </w:r>
      <w:r>
        <w:rPr>
          <w:rStyle w:val="FootnoteReference"/>
        </w:rPr>
        <w:footnoteReference w:id="7"/>
      </w:r>
      <w:r>
        <w:t xml:space="preserve"> </w:t>
      </w:r>
      <w:r w:rsidR="002C2BD7">
        <w:t xml:space="preserve">we </w:t>
      </w:r>
      <w:r w:rsidR="00D75422">
        <w:t xml:space="preserve">consider </w:t>
      </w:r>
      <w:r>
        <w:t>that the technical framework for 2 GHz MSS band should align with that of the 2 GHz spectrum licensing framework.</w:t>
      </w:r>
      <w:r w:rsidR="00722961">
        <w:t xml:space="preserve"> </w:t>
      </w:r>
    </w:p>
    <w:p w14:paraId="51D7AF3B" w14:textId="332E2BA6" w:rsidR="00121758" w:rsidRDefault="00121758" w:rsidP="00121758">
      <w:pPr>
        <w:pStyle w:val="Paragraph"/>
      </w:pPr>
      <w:r w:rsidRPr="00722961">
        <w:t>For example, user</w:t>
      </w:r>
      <w:r w:rsidRPr="00722961" w:rsidDel="003201D6">
        <w:t xml:space="preserve"> </w:t>
      </w:r>
      <w:r w:rsidR="00E20733" w:rsidRPr="00722961">
        <w:t>equipment</w:t>
      </w:r>
      <w:r w:rsidRPr="00722961">
        <w:t xml:space="preserve"> (whether being used as part of a mobile satellite service or a complementary ground component system) will have the same technical parameters</w:t>
      </w:r>
      <w:r w:rsidR="00CE5070">
        <w:t xml:space="preserve">, </w:t>
      </w:r>
      <w:r w:rsidRPr="00722961">
        <w:t xml:space="preserve">based on those specified for user </w:t>
      </w:r>
      <w:r w:rsidR="00E20733" w:rsidRPr="00722961">
        <w:t>equip</w:t>
      </w:r>
      <w:r w:rsidR="00AE5A79" w:rsidRPr="00722961">
        <w:t>ment</w:t>
      </w:r>
      <w:r w:rsidRPr="00722961">
        <w:t xml:space="preserve"> (known as registration exempt devices) in the 2 GHz spectrum licence technical framework. Similarly, parameters for CGC base stations will be based on those specified for </w:t>
      </w:r>
      <w:r w:rsidR="00CE5070">
        <w:t xml:space="preserve">a </w:t>
      </w:r>
      <w:r w:rsidRPr="00722961">
        <w:t>base station in the 2 GHz spectrum licence technical framework.</w:t>
      </w:r>
      <w:r>
        <w:t xml:space="preserve"> </w:t>
      </w:r>
    </w:p>
    <w:p w14:paraId="5A6A3C7B" w14:textId="509D4AEB" w:rsidR="00121758" w:rsidRDefault="00121758" w:rsidP="00121758">
      <w:pPr>
        <w:pStyle w:val="Paragraph"/>
      </w:pPr>
      <w:r>
        <w:t>Coordination requirements with other spectrum uses (such as television outside broadcasting, earth station receivers, existing fixed point-to-point links</w:t>
      </w:r>
      <w:r w:rsidR="00AE7E45">
        <w:t xml:space="preserve"> and</w:t>
      </w:r>
      <w:r>
        <w:t xml:space="preserve"> the radio quiet zone) may result in additional obligations (for example</w:t>
      </w:r>
      <w:r w:rsidR="00AE7E45">
        <w:t>,</w:t>
      </w:r>
      <w:r>
        <w:t xml:space="preserve"> more stringent out</w:t>
      </w:r>
      <w:r w:rsidR="00AE7E45">
        <w:t>-</w:t>
      </w:r>
      <w:r>
        <w:t>of</w:t>
      </w:r>
      <w:r w:rsidR="00AE7E45">
        <w:t>-</w:t>
      </w:r>
      <w:r>
        <w:t>band emission limits).</w:t>
      </w:r>
      <w:r w:rsidR="00126A00">
        <w:t>T</w:t>
      </w:r>
      <w:r>
        <w:t>he overall</w:t>
      </w:r>
      <w:r w:rsidDel="009357A0">
        <w:rPr>
          <w:rFonts w:eastAsia="Arial"/>
        </w:rPr>
        <w:t xml:space="preserve"> </w:t>
      </w:r>
      <w:r>
        <w:rPr>
          <w:rFonts w:eastAsia="Arial"/>
        </w:rPr>
        <w:t xml:space="preserve">intent is that </w:t>
      </w:r>
      <w:r w:rsidR="001302AB">
        <w:rPr>
          <w:rFonts w:eastAsia="Arial"/>
        </w:rPr>
        <w:t xml:space="preserve">the </w:t>
      </w:r>
      <w:r w:rsidRPr="000F6627">
        <w:rPr>
          <w:rFonts w:eastAsia="Arial"/>
        </w:rPr>
        <w:t xml:space="preserve">technical framework </w:t>
      </w:r>
      <w:r w:rsidR="001302AB">
        <w:rPr>
          <w:rFonts w:eastAsia="Arial"/>
        </w:rPr>
        <w:t xml:space="preserve">is </w:t>
      </w:r>
      <w:r w:rsidRPr="00531654">
        <w:rPr>
          <w:rFonts w:eastAsia="Arial"/>
        </w:rPr>
        <w:t>capable of supporting equipment operating in accordance requirements for 3GPP band n256 (non</w:t>
      </w:r>
      <w:r w:rsidR="001302AB">
        <w:rPr>
          <w:rFonts w:eastAsia="Arial"/>
        </w:rPr>
        <w:t>-</w:t>
      </w:r>
      <w:r w:rsidRPr="00531654">
        <w:rPr>
          <w:rFonts w:eastAsia="Arial"/>
        </w:rPr>
        <w:t>terrestrial networks</w:t>
      </w:r>
      <w:r>
        <w:rPr>
          <w:rFonts w:eastAsia="Arial"/>
        </w:rPr>
        <w:t xml:space="preserve"> supporting MSS</w:t>
      </w:r>
      <w:r w:rsidRPr="00531654">
        <w:rPr>
          <w:rFonts w:eastAsia="Arial"/>
        </w:rPr>
        <w:t>) and band 65/n65 for terrestrial networks (supporting CGC)</w:t>
      </w:r>
      <w:r w:rsidR="00AE7E45">
        <w:rPr>
          <w:rFonts w:eastAsia="Arial"/>
        </w:rPr>
        <w:t>.</w:t>
      </w:r>
      <w:r w:rsidRPr="00531654">
        <w:rPr>
          <w:rStyle w:val="FootnoteReference"/>
          <w:rFonts w:eastAsia="Arial"/>
        </w:rPr>
        <w:footnoteReference w:id="8"/>
      </w:r>
    </w:p>
    <w:p w14:paraId="389F108D" w14:textId="42234E68" w:rsidR="00121758" w:rsidRDefault="0049016F" w:rsidP="00121758">
      <w:pPr>
        <w:pStyle w:val="Paragraph"/>
      </w:pPr>
      <w:r>
        <w:t xml:space="preserve">These </w:t>
      </w:r>
      <w:r w:rsidR="00AE7E45">
        <w:t xml:space="preserve">2 </w:t>
      </w:r>
      <w:r w:rsidR="009405F1">
        <w:t xml:space="preserve">design features – alignment with the 2 GHz spectrum licensing framework and </w:t>
      </w:r>
      <w:r w:rsidR="00744D9C">
        <w:t xml:space="preserve">alignment with equipment requirements for </w:t>
      </w:r>
      <w:r w:rsidR="0013544B">
        <w:t xml:space="preserve">3GPP band n256 and band 65/n65 </w:t>
      </w:r>
      <w:r w:rsidR="00866C11">
        <w:t xml:space="preserve">inform the </w:t>
      </w:r>
      <w:r w:rsidR="00121758">
        <w:t>2 GHz MSS technical parameters considered in section 2 and coordination requirements</w:t>
      </w:r>
      <w:r w:rsidR="00866C11">
        <w:t xml:space="preserve"> considered</w:t>
      </w:r>
      <w:r w:rsidR="00121758">
        <w:t xml:space="preserve"> in section 3. These are </w:t>
      </w:r>
      <w:r w:rsidR="0017793B">
        <w:t>summarised</w:t>
      </w:r>
      <w:r w:rsidR="00121758">
        <w:t xml:space="preserve"> in </w:t>
      </w:r>
      <w:r w:rsidR="00AE7E45">
        <w:t>t</w:t>
      </w:r>
      <w:r w:rsidR="00121758">
        <w:t xml:space="preserve">ables 1 and 2 below. </w:t>
      </w:r>
      <w:r w:rsidR="00D0749B">
        <w:t xml:space="preserve"> </w:t>
      </w:r>
      <w:r w:rsidR="00121758">
        <w:t xml:space="preserve">Views are sought on the feasibility of the parameters to support 2 GHz MSS systems and the suitability of the </w:t>
      </w:r>
      <w:r w:rsidR="00D0749B">
        <w:t xml:space="preserve">proposed </w:t>
      </w:r>
      <w:r w:rsidR="00121758">
        <w:t>coordination requirements.</w:t>
      </w:r>
    </w:p>
    <w:p w14:paraId="494AD135" w14:textId="45CE405F" w:rsidR="00121758" w:rsidRDefault="00121758" w:rsidP="00121758">
      <w:pPr>
        <w:pStyle w:val="Paragraph"/>
      </w:pPr>
      <w:r>
        <w:t>Feedback received will</w:t>
      </w:r>
      <w:r w:rsidR="00D0749B">
        <w:t xml:space="preserve"> inform the development of </w:t>
      </w:r>
      <w:r>
        <w:t xml:space="preserve">draft </w:t>
      </w:r>
      <w:r>
        <w:rPr>
          <w:rFonts w:eastAsiaTheme="majorEastAsia"/>
        </w:rPr>
        <w:t xml:space="preserve">legislative instruments and administrative documents supporting the technical framework. </w:t>
      </w:r>
      <w:r w:rsidR="0002598D">
        <w:rPr>
          <w:rFonts w:eastAsiaTheme="majorEastAsia"/>
        </w:rPr>
        <w:t>F</w:t>
      </w:r>
      <w:r w:rsidRPr="4F20F49D">
        <w:rPr>
          <w:rFonts w:eastAsia="Arial"/>
        </w:rPr>
        <w:t xml:space="preserve">ormal consultation on </w:t>
      </w:r>
      <w:r w:rsidR="00816BCB">
        <w:rPr>
          <w:rFonts w:eastAsia="Arial"/>
        </w:rPr>
        <w:t xml:space="preserve">the draft instruments, </w:t>
      </w:r>
      <w:r w:rsidR="0002598D">
        <w:rPr>
          <w:rFonts w:eastAsia="Arial"/>
        </w:rPr>
        <w:t>along with allocation design</w:t>
      </w:r>
      <w:r w:rsidR="00816BCB">
        <w:rPr>
          <w:rFonts w:eastAsia="Arial"/>
        </w:rPr>
        <w:t xml:space="preserve"> matters,</w:t>
      </w:r>
      <w:r w:rsidR="0002598D">
        <w:rPr>
          <w:rFonts w:eastAsia="Arial"/>
        </w:rPr>
        <w:t xml:space="preserve"> </w:t>
      </w:r>
      <w:r w:rsidRPr="4F20F49D">
        <w:rPr>
          <w:rFonts w:eastAsia="Arial"/>
        </w:rPr>
        <w:t>is envisaged to commence in Q</w:t>
      </w:r>
      <w:r>
        <w:rPr>
          <w:rFonts w:eastAsia="Arial"/>
        </w:rPr>
        <w:t>3</w:t>
      </w:r>
      <w:r w:rsidRPr="4F20F49D">
        <w:rPr>
          <w:rFonts w:eastAsia="Arial"/>
        </w:rPr>
        <w:t xml:space="preserve"> 2024</w:t>
      </w:r>
      <w:r>
        <w:rPr>
          <w:rFonts w:eastAsiaTheme="majorEastAsia"/>
        </w:rPr>
        <w:t xml:space="preserve">. </w:t>
      </w:r>
    </w:p>
    <w:p w14:paraId="5648ABE1" w14:textId="77777777" w:rsidR="00121758" w:rsidRPr="00E162C4" w:rsidRDefault="00121758" w:rsidP="00121758">
      <w:pPr>
        <w:pStyle w:val="Tableheading"/>
      </w:pPr>
      <w:r>
        <w:t xml:space="preserve">Key 2 GHz MSS technical parameters </w:t>
      </w:r>
    </w:p>
    <w:tbl>
      <w:tblPr>
        <w:tblStyle w:val="ACMAtablestyle"/>
        <w:tblW w:w="8642" w:type="dxa"/>
        <w:tblLayout w:type="fixed"/>
        <w:tblLook w:val="01E0" w:firstRow="1" w:lastRow="1" w:firstColumn="1" w:lastColumn="1" w:noHBand="0" w:noVBand="0"/>
        <w:tblCaption w:val="Table title to go here"/>
        <w:tblDescription w:val="Table description to go here"/>
      </w:tblPr>
      <w:tblGrid>
        <w:gridCol w:w="8642"/>
      </w:tblGrid>
      <w:tr w:rsidR="00121758" w:rsidRPr="00E162C4" w14:paraId="5FE9638A" w14:textId="77777777" w:rsidTr="009040CF">
        <w:trPr>
          <w:cnfStyle w:val="100000000000" w:firstRow="1" w:lastRow="0" w:firstColumn="0" w:lastColumn="0" w:oddVBand="0" w:evenVBand="0" w:oddHBand="0" w:evenHBand="0" w:firstRowFirstColumn="0" w:firstRowLastColumn="0" w:lastRowFirstColumn="0" w:lastRowLastColumn="0"/>
          <w:tblHeader w:val="0"/>
        </w:trPr>
        <w:tc>
          <w:tcPr>
            <w:tcW w:w="8642" w:type="dxa"/>
          </w:tcPr>
          <w:p w14:paraId="3CF6B779" w14:textId="77777777" w:rsidR="00121758" w:rsidRPr="00E162C4" w:rsidRDefault="00121758" w:rsidP="00387196">
            <w:pPr>
              <w:pStyle w:val="Tableheaderrow"/>
              <w:keepNext/>
            </w:pPr>
            <w:r>
              <w:t xml:space="preserve">Mobile earth stations </w:t>
            </w:r>
          </w:p>
        </w:tc>
      </w:tr>
      <w:tr w:rsidR="00121758" w:rsidRPr="00E162C4" w14:paraId="6A5B2125"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Pr>
          <w:p w14:paraId="179C8305" w14:textId="410DD262" w:rsidR="00121758" w:rsidRPr="006F3868" w:rsidRDefault="00121758" w:rsidP="00387196">
            <w:pPr>
              <w:pStyle w:val="Bulletlevel1"/>
              <w:keepNext/>
              <w:numPr>
                <w:ilvl w:val="0"/>
                <w:numId w:val="0"/>
              </w:numPr>
              <w:spacing w:after="0"/>
              <w:ind w:left="295" w:hanging="295"/>
              <w:rPr>
                <w:b/>
                <w:bCs/>
              </w:rPr>
            </w:pPr>
            <w:r>
              <w:rPr>
                <w:b/>
                <w:bCs/>
              </w:rPr>
              <w:t>Mobile earth station transmitters (1980</w:t>
            </w:r>
            <w:r w:rsidR="00AE7E45">
              <w:rPr>
                <w:b/>
                <w:bCs/>
              </w:rPr>
              <w:t>–</w:t>
            </w:r>
            <w:r>
              <w:rPr>
                <w:b/>
                <w:bCs/>
              </w:rPr>
              <w:t>2005 MHz)</w:t>
            </w:r>
          </w:p>
        </w:tc>
      </w:tr>
      <w:tr w:rsidR="00121758" w:rsidRPr="00E162C4" w14:paraId="77BB94E8"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Pr>
          <w:p w14:paraId="45136979" w14:textId="77777777" w:rsidR="00121758"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less than or equal to 2</w:t>
            </w:r>
            <w:r w:rsidRPr="00CF61D8" w:rsidDel="008874C2">
              <w:rPr>
                <w:rFonts w:eastAsiaTheme="majorEastAsia"/>
              </w:rPr>
              <w:t>5</w:t>
            </w:r>
            <w:r w:rsidRPr="00CF61D8">
              <w:rPr>
                <w:rFonts w:eastAsiaTheme="majorEastAsia"/>
              </w:rPr>
              <w:t xml:space="preserve"> dBm per occupied bandwidth</w:t>
            </w:r>
          </w:p>
          <w:p w14:paraId="14C2296A" w14:textId="279266C6" w:rsidR="00121758" w:rsidRPr="00E162C4" w:rsidRDefault="00121758" w:rsidP="00F207FD">
            <w:pPr>
              <w:pStyle w:val="Bulletlevel1"/>
            </w:pPr>
            <w:r>
              <w:rPr>
                <w:rFonts w:eastAsiaTheme="majorEastAsia"/>
              </w:rPr>
              <w:t xml:space="preserve">unwanted emissions limits as included in the 2 GHz spectrum licence technical framework for transmitters in the </w:t>
            </w:r>
            <w:r w:rsidR="00692CA4">
              <w:rPr>
                <w:rFonts w:eastAsiaTheme="majorEastAsia"/>
              </w:rPr>
              <w:t>1920</w:t>
            </w:r>
            <w:r w:rsidR="00AE7E45">
              <w:rPr>
                <w:rFonts w:eastAsiaTheme="majorEastAsia"/>
              </w:rPr>
              <w:t>–</w:t>
            </w:r>
            <w:r w:rsidR="00692CA4">
              <w:rPr>
                <w:rFonts w:eastAsiaTheme="majorEastAsia"/>
              </w:rPr>
              <w:t>1980</w:t>
            </w:r>
            <w:r w:rsidR="00343B89">
              <w:rPr>
                <w:rFonts w:eastAsiaTheme="majorEastAsia"/>
              </w:rPr>
              <w:t xml:space="preserve"> MHz</w:t>
            </w:r>
            <w:r>
              <w:rPr>
                <w:rFonts w:eastAsiaTheme="majorEastAsia"/>
              </w:rPr>
              <w:t xml:space="preserve"> band, except for </w:t>
            </w:r>
            <w:r w:rsidR="0009057A">
              <w:rPr>
                <w:rFonts w:eastAsiaTheme="majorEastAsia"/>
              </w:rPr>
              <w:t xml:space="preserve">the </w:t>
            </w:r>
            <w:r>
              <w:rPr>
                <w:rFonts w:eastAsiaTheme="majorEastAsia"/>
              </w:rPr>
              <w:t>unwanted emission limi</w:t>
            </w:r>
            <w:r w:rsidR="00343B89">
              <w:rPr>
                <w:rFonts w:eastAsiaTheme="majorEastAsia"/>
              </w:rPr>
              <w:t>t</w:t>
            </w:r>
            <w:r>
              <w:rPr>
                <w:rFonts w:eastAsiaTheme="majorEastAsia"/>
              </w:rPr>
              <w:t>s above 2010 MH</w:t>
            </w:r>
            <w:r w:rsidR="001066D3">
              <w:rPr>
                <w:rFonts w:eastAsiaTheme="majorEastAsia"/>
              </w:rPr>
              <w:t>z</w:t>
            </w:r>
            <w:r w:rsidR="009B0A27">
              <w:rPr>
                <w:rFonts w:eastAsiaTheme="majorEastAsia"/>
              </w:rPr>
              <w:t xml:space="preserve"> </w:t>
            </w:r>
            <w:r w:rsidR="00763D93">
              <w:rPr>
                <w:rFonts w:eastAsiaTheme="majorEastAsia"/>
              </w:rPr>
              <w:t xml:space="preserve">of </w:t>
            </w:r>
            <w:r w:rsidR="009B0A27">
              <w:rPr>
                <w:rFonts w:eastAsiaTheme="majorEastAsia"/>
              </w:rPr>
              <w:t xml:space="preserve">-60 </w:t>
            </w:r>
            <w:proofErr w:type="spellStart"/>
            <w:r w:rsidR="009B0A27">
              <w:rPr>
                <w:rFonts w:eastAsiaTheme="majorEastAsia"/>
              </w:rPr>
              <w:t>dBW</w:t>
            </w:r>
            <w:proofErr w:type="spellEnd"/>
            <w:r w:rsidR="009B0A27">
              <w:rPr>
                <w:rFonts w:eastAsiaTheme="majorEastAsia"/>
              </w:rPr>
              <w:t xml:space="preserve">/MHz </w:t>
            </w:r>
            <w:r w:rsidR="00F207FD" w:rsidRPr="00F207FD">
              <w:rPr>
                <w:rFonts w:eastAsiaTheme="majorEastAsia"/>
              </w:rPr>
              <w:t xml:space="preserve">the </w:t>
            </w:r>
            <w:r w:rsidR="00F207FD">
              <w:rPr>
                <w:rFonts w:eastAsiaTheme="majorEastAsia"/>
              </w:rPr>
              <w:t>e</w:t>
            </w:r>
            <w:r w:rsidR="00F207FD" w:rsidRPr="00F207FD">
              <w:rPr>
                <w:rFonts w:eastAsiaTheme="majorEastAsia"/>
              </w:rPr>
              <w:t xml:space="preserve">quivalent </w:t>
            </w:r>
            <w:proofErr w:type="spellStart"/>
            <w:r w:rsidR="00F207FD">
              <w:rPr>
                <w:rFonts w:eastAsiaTheme="majorEastAsia"/>
              </w:rPr>
              <w:t>i</w:t>
            </w:r>
            <w:r w:rsidR="00F207FD" w:rsidRPr="00F207FD">
              <w:rPr>
                <w:rFonts w:eastAsiaTheme="majorEastAsia"/>
              </w:rPr>
              <w:t>sotropically</w:t>
            </w:r>
            <w:proofErr w:type="spellEnd"/>
            <w:r w:rsidR="00F207FD" w:rsidRPr="00F207FD">
              <w:rPr>
                <w:rFonts w:eastAsiaTheme="majorEastAsia"/>
              </w:rPr>
              <w:t xml:space="preserve"> </w:t>
            </w:r>
            <w:r w:rsidR="00F207FD">
              <w:rPr>
                <w:rFonts w:eastAsiaTheme="majorEastAsia"/>
              </w:rPr>
              <w:t>r</w:t>
            </w:r>
            <w:r w:rsidR="00F207FD" w:rsidRPr="00F207FD">
              <w:rPr>
                <w:rFonts w:eastAsiaTheme="majorEastAsia"/>
              </w:rPr>
              <w:t xml:space="preserve">adiated </w:t>
            </w:r>
            <w:r w:rsidR="00F207FD">
              <w:rPr>
                <w:rFonts w:eastAsiaTheme="majorEastAsia"/>
              </w:rPr>
              <w:t>p</w:t>
            </w:r>
            <w:r w:rsidR="00F207FD" w:rsidRPr="00F207FD">
              <w:rPr>
                <w:rFonts w:eastAsiaTheme="majorEastAsia"/>
              </w:rPr>
              <w:t>ower</w:t>
            </w:r>
            <w:r w:rsidR="00763D93">
              <w:rPr>
                <w:rFonts w:eastAsiaTheme="majorEastAsia"/>
              </w:rPr>
              <w:t xml:space="preserve"> (EIRP)</w:t>
            </w:r>
            <w:r w:rsidR="009B0A27">
              <w:rPr>
                <w:rFonts w:eastAsiaTheme="majorEastAsia"/>
              </w:rPr>
              <w:t xml:space="preserve"> </w:t>
            </w:r>
            <w:r>
              <w:rPr>
                <w:rFonts w:eastAsiaTheme="majorEastAsia"/>
              </w:rPr>
              <w:t xml:space="preserve">which </w:t>
            </w:r>
            <w:r w:rsidR="00763D93">
              <w:rPr>
                <w:rFonts w:eastAsiaTheme="majorEastAsia"/>
              </w:rPr>
              <w:t xml:space="preserve">has </w:t>
            </w:r>
            <w:r>
              <w:rPr>
                <w:rFonts w:eastAsiaTheme="majorEastAsia"/>
              </w:rPr>
              <w:t>been developed considering</w:t>
            </w:r>
            <w:r w:rsidDel="00AB3397">
              <w:rPr>
                <w:rFonts w:eastAsiaTheme="majorEastAsia"/>
              </w:rPr>
              <w:t xml:space="preserve"> </w:t>
            </w:r>
            <w:r>
              <w:rPr>
                <w:rFonts w:eastAsiaTheme="majorEastAsia"/>
              </w:rPr>
              <w:t>protection requirements for TOB receivers</w:t>
            </w:r>
            <w:r w:rsidR="0037132F">
              <w:rPr>
                <w:rFonts w:eastAsiaTheme="majorEastAsia"/>
              </w:rPr>
              <w:t>.</w:t>
            </w:r>
            <w:r w:rsidR="009B0A27">
              <w:rPr>
                <w:rFonts w:eastAsiaTheme="majorEastAsia"/>
              </w:rPr>
              <w:t xml:space="preserve"> </w:t>
            </w:r>
          </w:p>
        </w:tc>
      </w:tr>
      <w:tr w:rsidR="00121758" w:rsidRPr="00E162C4" w14:paraId="7B0346E6"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Pr>
          <w:p w14:paraId="724C7A78" w14:textId="28BCBC8F" w:rsidR="00121758" w:rsidRPr="006F3868" w:rsidRDefault="00121758" w:rsidP="00387196">
            <w:pPr>
              <w:pStyle w:val="Bulletlevel1"/>
              <w:keepNext/>
              <w:numPr>
                <w:ilvl w:val="0"/>
                <w:numId w:val="0"/>
              </w:numPr>
              <w:spacing w:after="0"/>
              <w:ind w:left="295" w:hanging="295"/>
              <w:rPr>
                <w:b/>
                <w:bCs/>
              </w:rPr>
            </w:pPr>
            <w:r>
              <w:rPr>
                <w:b/>
                <w:bCs/>
              </w:rPr>
              <w:t>Mobile earth station receivers (2170</w:t>
            </w:r>
            <w:r w:rsidR="00AE7E45">
              <w:rPr>
                <w:b/>
                <w:bCs/>
              </w:rPr>
              <w:t>–</w:t>
            </w:r>
            <w:r>
              <w:rPr>
                <w:b/>
                <w:bCs/>
              </w:rPr>
              <w:t>2195 MHz)</w:t>
            </w:r>
          </w:p>
        </w:tc>
      </w:tr>
      <w:tr w:rsidR="00121758" w:rsidRPr="00E162C4" w14:paraId="41C5100D"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Borders>
              <w:bottom w:val="single" w:sz="4" w:space="0" w:color="auto"/>
            </w:tcBorders>
          </w:tcPr>
          <w:p w14:paraId="47C3E8C1" w14:textId="4E033BD3"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494037">
              <w:rPr>
                <w:rFonts w:eastAsiaTheme="majorEastAsia"/>
              </w:rPr>
              <w:t>2110</w:t>
            </w:r>
            <w:r w:rsidR="00AE7E45">
              <w:rPr>
                <w:rFonts w:eastAsiaTheme="majorEastAsia"/>
              </w:rPr>
              <w:t>–</w:t>
            </w:r>
            <w:r w:rsidR="00794709">
              <w:rPr>
                <w:rFonts w:eastAsiaTheme="majorEastAsia"/>
              </w:rPr>
              <w:t>2170 MHz</w:t>
            </w:r>
            <w:r>
              <w:rPr>
                <w:rFonts w:eastAsiaTheme="majorEastAsia"/>
              </w:rPr>
              <w:t xml:space="preserve"> band</w:t>
            </w:r>
            <w:r w:rsidDel="00FD7098">
              <w:rPr>
                <w:rFonts w:eastAsiaTheme="majorEastAsia"/>
              </w:rPr>
              <w:t xml:space="preserve"> </w:t>
            </w:r>
            <w:r w:rsidR="00794709">
              <w:rPr>
                <w:rFonts w:eastAsiaTheme="majorEastAsia"/>
              </w:rPr>
              <w:t>(users terminal receivers)</w:t>
            </w:r>
            <w:r w:rsidR="00AE7E45">
              <w:rPr>
                <w:rFonts w:eastAsiaTheme="majorEastAsia"/>
              </w:rPr>
              <w:t>.</w:t>
            </w:r>
          </w:p>
        </w:tc>
      </w:tr>
      <w:tr w:rsidR="00121758" w:rsidRPr="00E162C4" w14:paraId="31993A64"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shd w:val="clear" w:color="auto" w:fill="000000" w:themeFill="text1"/>
          </w:tcPr>
          <w:p w14:paraId="400597B1" w14:textId="77777777" w:rsidR="00121758" w:rsidRPr="00E162C4" w:rsidRDefault="00121758" w:rsidP="00387196">
            <w:pPr>
              <w:pStyle w:val="Tableheaderrow"/>
              <w:keepNext/>
            </w:pPr>
            <w:r>
              <w:lastRenderedPageBreak/>
              <w:t>Complementary ground component</w:t>
            </w:r>
          </w:p>
        </w:tc>
      </w:tr>
      <w:tr w:rsidR="00121758" w:rsidRPr="00E162C4" w14:paraId="6CE96D3B"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5E61E70B" w14:textId="6FC7C695" w:rsidR="00121758" w:rsidRPr="006F3868" w:rsidRDefault="00121758" w:rsidP="00387196">
            <w:pPr>
              <w:pStyle w:val="Bulletlevel1"/>
              <w:keepNext/>
              <w:numPr>
                <w:ilvl w:val="0"/>
                <w:numId w:val="0"/>
              </w:numPr>
              <w:spacing w:after="0"/>
              <w:ind w:left="295" w:hanging="295"/>
              <w:rPr>
                <w:b/>
                <w:bCs/>
              </w:rPr>
            </w:pPr>
            <w:r>
              <w:rPr>
                <w:b/>
                <w:bCs/>
              </w:rPr>
              <w:t xml:space="preserve">User </w:t>
            </w:r>
            <w:r w:rsidR="00AE5A79">
              <w:rPr>
                <w:b/>
                <w:bCs/>
              </w:rPr>
              <w:t xml:space="preserve">equipment: </w:t>
            </w:r>
            <w:r>
              <w:rPr>
                <w:b/>
                <w:bCs/>
              </w:rPr>
              <w:t>transmitters (1980</w:t>
            </w:r>
            <w:r w:rsidR="00AE7E45">
              <w:rPr>
                <w:b/>
                <w:bCs/>
              </w:rPr>
              <w:t>–</w:t>
            </w:r>
            <w:r>
              <w:rPr>
                <w:b/>
                <w:bCs/>
              </w:rPr>
              <w:t>2005 MHz)</w:t>
            </w:r>
          </w:p>
        </w:tc>
      </w:tr>
      <w:tr w:rsidR="00121758" w:rsidRPr="00E162C4" w14:paraId="7B4860FF"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2106146" w14:textId="3A1A9AC4" w:rsidR="00121758" w:rsidRPr="00A07D68" w:rsidRDefault="00121758" w:rsidP="00387196">
            <w:pPr>
              <w:pStyle w:val="Bulletlevel1"/>
              <w:numPr>
                <w:ilvl w:val="0"/>
                <w:numId w:val="0"/>
              </w:numPr>
              <w:rPr>
                <w:rFonts w:eastAsiaTheme="majorEastAsia"/>
              </w:rPr>
            </w:pPr>
            <w:r>
              <w:t>Same parameters as for mobile earth station transmitter in 1980</w:t>
            </w:r>
            <w:r w:rsidR="00933376">
              <w:t>–</w:t>
            </w:r>
            <w:r>
              <w:t>2005 MHz that is:</w:t>
            </w:r>
          </w:p>
          <w:p w14:paraId="5970A98C" w14:textId="77777777" w:rsidR="00121758" w:rsidRPr="001F4DD5"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less than or equal to 2</w:t>
            </w:r>
            <w:r w:rsidRPr="00CF61D8" w:rsidDel="008874C2">
              <w:rPr>
                <w:rFonts w:eastAsiaTheme="majorEastAsia"/>
              </w:rPr>
              <w:t>5</w:t>
            </w:r>
            <w:r w:rsidRPr="00CF61D8">
              <w:rPr>
                <w:rFonts w:eastAsiaTheme="majorEastAsia"/>
              </w:rPr>
              <w:t xml:space="preserve"> dBm per occupied bandwidth</w:t>
            </w:r>
          </w:p>
          <w:p w14:paraId="52254802" w14:textId="6E8A882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transmitters in the </w:t>
            </w:r>
            <w:r w:rsidR="00A10853">
              <w:rPr>
                <w:rFonts w:eastAsiaTheme="majorEastAsia"/>
              </w:rPr>
              <w:t>1920</w:t>
            </w:r>
            <w:r w:rsidR="00933376">
              <w:rPr>
                <w:rFonts w:eastAsiaTheme="majorEastAsia"/>
              </w:rPr>
              <w:t>–</w:t>
            </w:r>
            <w:r w:rsidR="00A10853">
              <w:rPr>
                <w:rFonts w:eastAsiaTheme="majorEastAsia"/>
              </w:rPr>
              <w:t>1980 MH</w:t>
            </w:r>
            <w:r w:rsidR="00804ED0">
              <w:rPr>
                <w:rFonts w:eastAsiaTheme="majorEastAsia"/>
              </w:rPr>
              <w:t>z</w:t>
            </w:r>
            <w:r>
              <w:rPr>
                <w:rFonts w:eastAsiaTheme="majorEastAsia"/>
              </w:rPr>
              <w:t xml:space="preserve"> band, except for </w:t>
            </w:r>
            <w:r w:rsidR="00044B95">
              <w:rPr>
                <w:rFonts w:eastAsiaTheme="majorEastAsia"/>
              </w:rPr>
              <w:t xml:space="preserve">the </w:t>
            </w:r>
            <w:r>
              <w:rPr>
                <w:rFonts w:eastAsiaTheme="majorEastAsia"/>
              </w:rPr>
              <w:t xml:space="preserve">unwanted emission limit above </w:t>
            </w:r>
            <w:r w:rsidR="00933376">
              <w:rPr>
                <w:rFonts w:eastAsiaTheme="majorEastAsia"/>
              </w:rPr>
              <w:br/>
            </w:r>
            <w:r>
              <w:rPr>
                <w:rFonts w:eastAsiaTheme="majorEastAsia"/>
              </w:rPr>
              <w:t xml:space="preserve">2010 MHz </w:t>
            </w:r>
            <w:r w:rsidR="00DC2D6F">
              <w:rPr>
                <w:rFonts w:eastAsiaTheme="majorEastAsia"/>
              </w:rPr>
              <w:t xml:space="preserve">of -60 </w:t>
            </w:r>
            <w:proofErr w:type="spellStart"/>
            <w:r w:rsidR="00DC2D6F">
              <w:rPr>
                <w:rFonts w:eastAsiaTheme="majorEastAsia"/>
              </w:rPr>
              <w:t>dBW</w:t>
            </w:r>
            <w:proofErr w:type="spellEnd"/>
            <w:r w:rsidR="00DC2D6F">
              <w:rPr>
                <w:rFonts w:eastAsiaTheme="majorEastAsia"/>
              </w:rPr>
              <w:t xml:space="preserve">/MHz </w:t>
            </w:r>
            <w:r w:rsidR="009B0A27">
              <w:rPr>
                <w:rFonts w:eastAsiaTheme="majorEastAsia"/>
              </w:rPr>
              <w:t>EIRP</w:t>
            </w:r>
            <w:r w:rsidR="00DC2D6F">
              <w:rPr>
                <w:rFonts w:eastAsiaTheme="majorEastAsia"/>
              </w:rPr>
              <w:t xml:space="preserve"> </w:t>
            </w:r>
            <w:r>
              <w:rPr>
                <w:rFonts w:eastAsiaTheme="majorEastAsia"/>
              </w:rPr>
              <w:t xml:space="preserve">which </w:t>
            </w:r>
            <w:r w:rsidR="00DC2D6F">
              <w:rPr>
                <w:rFonts w:eastAsiaTheme="majorEastAsia"/>
              </w:rPr>
              <w:t>has</w:t>
            </w:r>
            <w:r>
              <w:rPr>
                <w:rFonts w:eastAsiaTheme="majorEastAsia"/>
              </w:rPr>
              <w:t xml:space="preserve"> been developed considering protection requirements for TOB receiver</w:t>
            </w:r>
            <w:r w:rsidR="00DC2D6F">
              <w:rPr>
                <w:rFonts w:eastAsiaTheme="majorEastAsia"/>
              </w:rPr>
              <w:t>.</w:t>
            </w:r>
          </w:p>
        </w:tc>
      </w:tr>
      <w:tr w:rsidR="00121758" w:rsidRPr="00E162C4" w14:paraId="6E740AD2" w14:textId="77777777" w:rsidTr="009040CF">
        <w:trPr>
          <w:cnfStyle w:val="000000010000" w:firstRow="0" w:lastRow="0" w:firstColumn="0" w:lastColumn="0" w:oddVBand="0" w:evenVBand="0" w:oddHBand="0" w:evenHBand="1" w:firstRowFirstColumn="0" w:firstRowLastColumn="0" w:lastRowFirstColumn="0" w:lastRowLastColumn="0"/>
        </w:trPr>
        <w:tc>
          <w:tcPr>
            <w:tcW w:w="8642" w:type="dxa"/>
          </w:tcPr>
          <w:p w14:paraId="22BE0289" w14:textId="0C62C425" w:rsidR="00121758" w:rsidRPr="006F3868" w:rsidRDefault="00121758" w:rsidP="00387196">
            <w:pPr>
              <w:pStyle w:val="Bulletlevel1"/>
              <w:keepNext/>
              <w:numPr>
                <w:ilvl w:val="0"/>
                <w:numId w:val="0"/>
              </w:numPr>
              <w:spacing w:after="0"/>
              <w:ind w:left="295" w:hanging="295"/>
              <w:rPr>
                <w:b/>
                <w:bCs/>
              </w:rPr>
            </w:pPr>
            <w:r>
              <w:rPr>
                <w:b/>
                <w:bCs/>
              </w:rPr>
              <w:t xml:space="preserve">User </w:t>
            </w:r>
            <w:r w:rsidR="00AE5A79">
              <w:rPr>
                <w:b/>
                <w:bCs/>
              </w:rPr>
              <w:t xml:space="preserve">equipment: </w:t>
            </w:r>
            <w:r>
              <w:rPr>
                <w:b/>
                <w:bCs/>
              </w:rPr>
              <w:t>receivers (2170</w:t>
            </w:r>
            <w:r w:rsidR="00933376">
              <w:rPr>
                <w:b/>
                <w:bCs/>
              </w:rPr>
              <w:t>–</w:t>
            </w:r>
            <w:r>
              <w:rPr>
                <w:b/>
                <w:bCs/>
              </w:rPr>
              <w:t>2195 MHz)</w:t>
            </w:r>
          </w:p>
        </w:tc>
      </w:tr>
      <w:tr w:rsidR="00121758" w:rsidRPr="00E162C4" w14:paraId="6F27BEFF" w14:textId="77777777" w:rsidTr="009040CF">
        <w:trPr>
          <w:cnfStyle w:val="000000100000" w:firstRow="0" w:lastRow="0" w:firstColumn="0" w:lastColumn="0" w:oddVBand="0" w:evenVBand="0" w:oddHBand="1" w:evenHBand="0" w:firstRowFirstColumn="0" w:firstRowLastColumn="0" w:lastRowFirstColumn="0" w:lastRowLastColumn="0"/>
        </w:trPr>
        <w:tc>
          <w:tcPr>
            <w:tcW w:w="8642" w:type="dxa"/>
            <w:tcBorders>
              <w:bottom w:val="single" w:sz="4" w:space="0" w:color="auto"/>
            </w:tcBorders>
          </w:tcPr>
          <w:p w14:paraId="74D01E4F" w14:textId="440B776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804ED0">
              <w:rPr>
                <w:rFonts w:eastAsiaTheme="majorEastAsia"/>
              </w:rPr>
              <w:t>2110</w:t>
            </w:r>
            <w:r w:rsidR="00933376">
              <w:rPr>
                <w:rFonts w:eastAsiaTheme="majorEastAsia"/>
              </w:rPr>
              <w:t>–</w:t>
            </w:r>
            <w:r w:rsidR="00804ED0">
              <w:rPr>
                <w:rFonts w:eastAsiaTheme="majorEastAsia"/>
              </w:rPr>
              <w:t>2170 MHz</w:t>
            </w:r>
            <w:r>
              <w:rPr>
                <w:rFonts w:eastAsiaTheme="majorEastAsia"/>
              </w:rPr>
              <w:t xml:space="preserve"> band</w:t>
            </w:r>
            <w:r w:rsidR="00933376">
              <w:rPr>
                <w:rFonts w:eastAsiaTheme="majorEastAsia"/>
              </w:rPr>
              <w:t>.</w:t>
            </w:r>
            <w:r w:rsidR="006A2BA4">
              <w:rPr>
                <w:rFonts w:eastAsiaTheme="majorEastAsia"/>
              </w:rPr>
              <w:t xml:space="preserve"> </w:t>
            </w:r>
          </w:p>
        </w:tc>
      </w:tr>
      <w:tr w:rsidR="00121758" w:rsidRPr="00E162C4" w14:paraId="758DDE20"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62D7380B" w14:textId="06F0EB4A" w:rsidR="00121758" w:rsidRPr="006F3868" w:rsidRDefault="00121758" w:rsidP="00387196">
            <w:pPr>
              <w:pStyle w:val="Bulletlevel1"/>
              <w:keepNext/>
              <w:numPr>
                <w:ilvl w:val="0"/>
                <w:numId w:val="0"/>
              </w:numPr>
              <w:spacing w:after="0"/>
              <w:ind w:left="295" w:hanging="295"/>
              <w:rPr>
                <w:b/>
                <w:bCs/>
              </w:rPr>
            </w:pPr>
            <w:r>
              <w:rPr>
                <w:b/>
                <w:bCs/>
              </w:rPr>
              <w:t>Aeronautical transmitters (1980</w:t>
            </w:r>
            <w:r w:rsidR="00933376">
              <w:rPr>
                <w:b/>
                <w:bCs/>
              </w:rPr>
              <w:t>–</w:t>
            </w:r>
            <w:r>
              <w:rPr>
                <w:b/>
                <w:bCs/>
              </w:rPr>
              <w:t>2005 MHz)</w:t>
            </w:r>
          </w:p>
        </w:tc>
      </w:tr>
      <w:tr w:rsidR="00121758" w:rsidRPr="00E162C4" w14:paraId="7503B38D"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E8F738D" w14:textId="77777777" w:rsidR="00121758" w:rsidRDefault="00121758" w:rsidP="00387196">
            <w:pPr>
              <w:pStyle w:val="Bulletlevel1"/>
              <w:tabs>
                <w:tab w:val="clear" w:pos="295"/>
                <w:tab w:val="num" w:pos="579"/>
              </w:tabs>
            </w:pPr>
            <w:r>
              <w:t>maximum EIRP of 40 dBm per occupied bandwidth</w:t>
            </w:r>
          </w:p>
          <w:p w14:paraId="4050C0DD" w14:textId="79D22659" w:rsidR="00121758" w:rsidRPr="00E162C4" w:rsidRDefault="00121758" w:rsidP="00387196">
            <w:pPr>
              <w:pStyle w:val="Bulletlevel1"/>
              <w:tabs>
                <w:tab w:val="clear" w:pos="295"/>
                <w:tab w:val="num" w:pos="579"/>
              </w:tabs>
            </w:pPr>
            <w:r>
              <w:t xml:space="preserve">out-of-band power flux density </w:t>
            </w:r>
            <w:r w:rsidR="00CC386C">
              <w:t xml:space="preserve">limits </w:t>
            </w:r>
            <w:r>
              <w:t>based on ECC report 233</w:t>
            </w:r>
            <w:r w:rsidR="00933376">
              <w:t>.</w:t>
            </w:r>
          </w:p>
        </w:tc>
      </w:tr>
      <w:tr w:rsidR="00121758" w:rsidRPr="00E162C4" w14:paraId="2DC882BF"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2A0C1D30" w14:textId="637F17D3" w:rsidR="00121758" w:rsidRPr="006F3868" w:rsidRDefault="00121758" w:rsidP="00387196">
            <w:pPr>
              <w:pStyle w:val="Bulletlevel1"/>
              <w:keepNext/>
              <w:numPr>
                <w:ilvl w:val="0"/>
                <w:numId w:val="0"/>
              </w:numPr>
              <w:spacing w:after="0"/>
              <w:ind w:left="295" w:hanging="295"/>
              <w:rPr>
                <w:b/>
                <w:bCs/>
              </w:rPr>
            </w:pPr>
            <w:r>
              <w:rPr>
                <w:b/>
                <w:bCs/>
              </w:rPr>
              <w:t>Base station transmitters (2170</w:t>
            </w:r>
            <w:r w:rsidR="00933376">
              <w:rPr>
                <w:b/>
                <w:bCs/>
              </w:rPr>
              <w:t>–</w:t>
            </w:r>
            <w:r>
              <w:rPr>
                <w:b/>
                <w:bCs/>
              </w:rPr>
              <w:t>2195 MHz)</w:t>
            </w:r>
          </w:p>
        </w:tc>
      </w:tr>
      <w:tr w:rsidR="00121758" w:rsidRPr="00E162C4" w14:paraId="75B3498A"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004C97BB" w14:textId="77777777" w:rsidR="00121758" w:rsidRDefault="00121758" w:rsidP="00387196">
            <w:pPr>
              <w:pStyle w:val="Bulletlevel1"/>
              <w:tabs>
                <w:tab w:val="clear" w:pos="295"/>
                <w:tab w:val="num" w:pos="579"/>
              </w:tabs>
              <w:rPr>
                <w:rFonts w:eastAsiaTheme="majorEastAsia"/>
              </w:rPr>
            </w:pPr>
            <w:r>
              <w:t xml:space="preserve">total radiated power of </w:t>
            </w:r>
            <w:r w:rsidRPr="00CF61D8">
              <w:rPr>
                <w:rFonts w:eastAsiaTheme="majorEastAsia"/>
              </w:rPr>
              <w:t xml:space="preserve">less than or equal to </w:t>
            </w:r>
            <w:r>
              <w:rPr>
                <w:rFonts w:eastAsiaTheme="majorEastAsia"/>
              </w:rPr>
              <w:t>53.</w:t>
            </w:r>
            <w:r w:rsidRPr="00CF61D8" w:rsidDel="008874C2">
              <w:rPr>
                <w:rFonts w:eastAsiaTheme="majorEastAsia"/>
              </w:rPr>
              <w:t>5</w:t>
            </w:r>
            <w:r w:rsidRPr="00CF61D8">
              <w:rPr>
                <w:rFonts w:eastAsiaTheme="majorEastAsia"/>
              </w:rPr>
              <w:t xml:space="preserve"> dBm</w:t>
            </w:r>
            <w:r>
              <w:rPr>
                <w:rFonts w:eastAsiaTheme="majorEastAsia"/>
              </w:rPr>
              <w:t xml:space="preserve">/5 MHz </w:t>
            </w:r>
          </w:p>
          <w:p w14:paraId="15659935" w14:textId="7E111C1C" w:rsidR="00121758" w:rsidRPr="00E162C4" w:rsidRDefault="00121758" w:rsidP="00713F0E">
            <w:pPr>
              <w:pStyle w:val="Bulletlevel1"/>
            </w:pPr>
            <w:r>
              <w:rPr>
                <w:rFonts w:eastAsiaTheme="majorEastAsia"/>
              </w:rPr>
              <w:t xml:space="preserve">unwanted emissions limits as included in the 2 GHz spectrum licence technical framework for transmitters in the </w:t>
            </w:r>
            <w:r w:rsidR="0011767D">
              <w:rPr>
                <w:rFonts w:eastAsiaTheme="majorEastAsia"/>
              </w:rPr>
              <w:t>2110</w:t>
            </w:r>
            <w:r w:rsidR="00933376">
              <w:rPr>
                <w:rFonts w:eastAsiaTheme="majorEastAsia"/>
              </w:rPr>
              <w:t>–</w:t>
            </w:r>
            <w:r w:rsidR="0011767D">
              <w:rPr>
                <w:rFonts w:eastAsiaTheme="majorEastAsia"/>
              </w:rPr>
              <w:t>2170 MHz</w:t>
            </w:r>
            <w:r w:rsidR="00295D12">
              <w:rPr>
                <w:rFonts w:eastAsiaTheme="majorEastAsia"/>
              </w:rPr>
              <w:t xml:space="preserve"> </w:t>
            </w:r>
            <w:r>
              <w:rPr>
                <w:rFonts w:eastAsiaTheme="majorEastAsia"/>
              </w:rPr>
              <w:t>band</w:t>
            </w:r>
            <w:r w:rsidR="00295D12">
              <w:rPr>
                <w:rFonts w:eastAsiaTheme="majorEastAsia"/>
              </w:rPr>
              <w:t xml:space="preserve"> (base station transmitters)</w:t>
            </w:r>
            <w:r>
              <w:rPr>
                <w:rFonts w:eastAsiaTheme="majorEastAsia"/>
              </w:rPr>
              <w:t xml:space="preserve">, except for </w:t>
            </w:r>
            <w:r w:rsidR="000148D3">
              <w:rPr>
                <w:rFonts w:eastAsiaTheme="majorEastAsia"/>
              </w:rPr>
              <w:t xml:space="preserve">the </w:t>
            </w:r>
            <w:r>
              <w:rPr>
                <w:rFonts w:eastAsiaTheme="majorEastAsia"/>
              </w:rPr>
              <w:t>unwanted emission limit above 220</w:t>
            </w:r>
            <w:r w:rsidR="00CE2040">
              <w:rPr>
                <w:rFonts w:eastAsiaTheme="majorEastAsia"/>
              </w:rPr>
              <w:t>4</w:t>
            </w:r>
            <w:r>
              <w:rPr>
                <w:rFonts w:eastAsiaTheme="majorEastAsia"/>
              </w:rPr>
              <w:t xml:space="preserve"> MHz</w:t>
            </w:r>
            <w:r w:rsidR="00333157">
              <w:rPr>
                <w:rFonts w:eastAsiaTheme="majorEastAsia"/>
              </w:rPr>
              <w:t xml:space="preserve"> </w:t>
            </w:r>
            <w:r w:rsidR="00713F0E" w:rsidRPr="00713F0E">
              <w:rPr>
                <w:rFonts w:eastAsiaTheme="majorEastAsia"/>
              </w:rPr>
              <w:t>of -45 dBm/MHz EIRP</w:t>
            </w:r>
            <w:r w:rsidR="00BE59AE">
              <w:rPr>
                <w:rFonts w:eastAsiaTheme="majorEastAsia"/>
              </w:rPr>
              <w:t xml:space="preserve"> </w:t>
            </w:r>
            <w:r>
              <w:rPr>
                <w:rFonts w:eastAsiaTheme="majorEastAsia"/>
              </w:rPr>
              <w:t xml:space="preserve">which </w:t>
            </w:r>
            <w:r w:rsidR="00CE2040">
              <w:rPr>
                <w:rFonts w:eastAsiaTheme="majorEastAsia"/>
              </w:rPr>
              <w:t>has</w:t>
            </w:r>
            <w:r>
              <w:rPr>
                <w:rFonts w:eastAsiaTheme="majorEastAsia"/>
              </w:rPr>
              <w:t xml:space="preserve"> been developed considering protection requirements for TOB receivers</w:t>
            </w:r>
            <w:r w:rsidR="00933376">
              <w:rPr>
                <w:rFonts w:eastAsiaTheme="majorEastAsia"/>
              </w:rPr>
              <w:t>.</w:t>
            </w:r>
          </w:p>
        </w:tc>
      </w:tr>
      <w:tr w:rsidR="00121758" w:rsidRPr="00E162C4" w14:paraId="30E165DA" w14:textId="77777777" w:rsidTr="009040C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8642" w:type="dxa"/>
          </w:tcPr>
          <w:p w14:paraId="7A191FAF" w14:textId="375A9B6D" w:rsidR="00121758" w:rsidRPr="006F3868" w:rsidRDefault="00121758" w:rsidP="00387196">
            <w:pPr>
              <w:pStyle w:val="Bulletlevel1"/>
              <w:keepNext/>
              <w:numPr>
                <w:ilvl w:val="0"/>
                <w:numId w:val="0"/>
              </w:numPr>
              <w:spacing w:after="0"/>
              <w:ind w:left="295" w:hanging="295"/>
              <w:rPr>
                <w:b/>
                <w:bCs/>
              </w:rPr>
            </w:pPr>
            <w:r>
              <w:rPr>
                <w:b/>
                <w:bCs/>
              </w:rPr>
              <w:t>Base station receivers (1980</w:t>
            </w:r>
            <w:r w:rsidR="00933376">
              <w:rPr>
                <w:b/>
                <w:bCs/>
              </w:rPr>
              <w:t>–</w:t>
            </w:r>
            <w:r>
              <w:rPr>
                <w:b/>
                <w:bCs/>
              </w:rPr>
              <w:t>2005 MHz)</w:t>
            </w:r>
          </w:p>
        </w:tc>
      </w:tr>
      <w:tr w:rsidR="00121758" w:rsidRPr="00E162C4" w14:paraId="5B4FBD72" w14:textId="77777777" w:rsidTr="009040C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642" w:type="dxa"/>
          </w:tcPr>
          <w:p w14:paraId="520D179D" w14:textId="2A09644A" w:rsidR="00121758" w:rsidRPr="00E162C4" w:rsidRDefault="00121758" w:rsidP="00387196">
            <w:pPr>
              <w:pStyle w:val="Bulletlevel1"/>
              <w:tabs>
                <w:tab w:val="clear" w:pos="295"/>
                <w:tab w:val="num" w:pos="579"/>
              </w:tabs>
            </w:pPr>
            <w:r>
              <w:rPr>
                <w:rFonts w:eastAsiaTheme="majorEastAsia"/>
              </w:rPr>
              <w:t xml:space="preserve">unwanted emissions limits as included in the 2 GHz spectrum licence technical framework for receivers in the </w:t>
            </w:r>
            <w:r w:rsidR="00295D12">
              <w:rPr>
                <w:rFonts w:eastAsiaTheme="majorEastAsia"/>
              </w:rPr>
              <w:t>1920</w:t>
            </w:r>
            <w:r w:rsidR="00933376">
              <w:rPr>
                <w:rFonts w:eastAsiaTheme="majorEastAsia"/>
              </w:rPr>
              <w:t>–</w:t>
            </w:r>
            <w:r w:rsidR="00295D12">
              <w:rPr>
                <w:rFonts w:eastAsiaTheme="majorEastAsia"/>
              </w:rPr>
              <w:t>1980 MHz</w:t>
            </w:r>
            <w:r>
              <w:rPr>
                <w:rFonts w:eastAsiaTheme="majorEastAsia"/>
              </w:rPr>
              <w:t xml:space="preserve"> band</w:t>
            </w:r>
            <w:r w:rsidR="00295D12">
              <w:rPr>
                <w:rFonts w:eastAsiaTheme="majorEastAsia"/>
              </w:rPr>
              <w:t xml:space="preserve"> (base station receivers)</w:t>
            </w:r>
            <w:r w:rsidR="00933376">
              <w:rPr>
                <w:rFonts w:eastAsiaTheme="majorEastAsia"/>
              </w:rPr>
              <w:t>.</w:t>
            </w:r>
          </w:p>
        </w:tc>
      </w:tr>
    </w:tbl>
    <w:p w14:paraId="7D0A1F73" w14:textId="77777777" w:rsidR="00121758" w:rsidRDefault="00121758" w:rsidP="00121758">
      <w:pPr>
        <w:pStyle w:val="Paragraph"/>
        <w:keepNext/>
        <w:spacing w:after="0"/>
      </w:pPr>
    </w:p>
    <w:p w14:paraId="08657B3D" w14:textId="77777777" w:rsidR="00121758" w:rsidRPr="00E162C4" w:rsidRDefault="00121758" w:rsidP="00121758">
      <w:pPr>
        <w:pStyle w:val="Tableheading"/>
      </w:pPr>
      <w:r>
        <w:t xml:space="preserve">Coordination requirements </w:t>
      </w:r>
    </w:p>
    <w:tbl>
      <w:tblPr>
        <w:tblStyle w:val="ACMAtablestyle"/>
        <w:tblW w:w="8642" w:type="dxa"/>
        <w:tblLayout w:type="fixed"/>
        <w:tblLook w:val="01E0" w:firstRow="1" w:lastRow="1" w:firstColumn="1" w:lastColumn="1" w:noHBand="0" w:noVBand="0"/>
        <w:tblCaption w:val="Table title to go here"/>
        <w:tblDescription w:val="Table description to go here"/>
      </w:tblPr>
      <w:tblGrid>
        <w:gridCol w:w="2830"/>
        <w:gridCol w:w="5812"/>
      </w:tblGrid>
      <w:tr w:rsidR="00121758" w:rsidRPr="00E162C4" w14:paraId="019C8E42" w14:textId="77777777" w:rsidTr="00D9258F">
        <w:trPr>
          <w:cnfStyle w:val="100000000000" w:firstRow="1" w:lastRow="0" w:firstColumn="0" w:lastColumn="0" w:oddVBand="0" w:evenVBand="0" w:oddHBand="0" w:evenHBand="0" w:firstRowFirstColumn="0" w:firstRowLastColumn="0" w:lastRowFirstColumn="0" w:lastRowLastColumn="0"/>
        </w:trPr>
        <w:tc>
          <w:tcPr>
            <w:tcW w:w="2830" w:type="dxa"/>
          </w:tcPr>
          <w:p w14:paraId="38357B66" w14:textId="77777777" w:rsidR="00121758" w:rsidRDefault="00121758" w:rsidP="00387196">
            <w:pPr>
              <w:pStyle w:val="Tableheaderrow"/>
              <w:keepNext/>
            </w:pPr>
            <w:r>
              <w:t xml:space="preserve">Service </w:t>
            </w:r>
          </w:p>
        </w:tc>
        <w:tc>
          <w:tcPr>
            <w:tcW w:w="5812" w:type="dxa"/>
          </w:tcPr>
          <w:p w14:paraId="76CBC048" w14:textId="7DFD5724" w:rsidR="00121758" w:rsidRPr="00E162C4" w:rsidRDefault="00121758" w:rsidP="00387196">
            <w:pPr>
              <w:pStyle w:val="Tableheaderrow"/>
              <w:keepNext/>
            </w:pPr>
            <w:r>
              <w:t>2 GHz MSS</w:t>
            </w:r>
            <w:r w:rsidR="00380C5F">
              <w:t xml:space="preserve"> </w:t>
            </w:r>
            <w:r w:rsidR="002B3DD6">
              <w:t xml:space="preserve">coordination/co-existence requirements </w:t>
            </w:r>
          </w:p>
        </w:tc>
      </w:tr>
      <w:tr w:rsidR="00121758" w:rsidRPr="00E162C4" w14:paraId="6B7F59EE" w14:textId="77777777" w:rsidTr="00D9258F">
        <w:trPr>
          <w:cnfStyle w:val="000000100000" w:firstRow="0" w:lastRow="0" w:firstColumn="0" w:lastColumn="0" w:oddVBand="0" w:evenVBand="0" w:oddHBand="1" w:evenHBand="0" w:firstRowFirstColumn="0" w:firstRowLastColumn="0" w:lastRowFirstColumn="0" w:lastRowLastColumn="0"/>
          <w:trHeight w:val="1600"/>
        </w:trPr>
        <w:tc>
          <w:tcPr>
            <w:tcW w:w="2830" w:type="dxa"/>
          </w:tcPr>
          <w:p w14:paraId="6E0A3671" w14:textId="41BB5302" w:rsidR="00121758" w:rsidRDefault="00121758" w:rsidP="00387196">
            <w:pPr>
              <w:pStyle w:val="Bulletlevel1"/>
              <w:keepNext/>
              <w:numPr>
                <w:ilvl w:val="0"/>
                <w:numId w:val="0"/>
              </w:numPr>
              <w:spacing w:after="0"/>
              <w:rPr>
                <w:b/>
                <w:bCs/>
              </w:rPr>
            </w:pPr>
            <w:r>
              <w:rPr>
                <w:b/>
                <w:bCs/>
              </w:rPr>
              <w:t xml:space="preserve">Wireless broadband </w:t>
            </w:r>
            <w:r w:rsidR="00933376">
              <w:rPr>
                <w:b/>
                <w:bCs/>
              </w:rPr>
              <w:br/>
            </w:r>
            <w:r w:rsidR="00933376">
              <w:rPr>
                <w:b/>
                <w:bCs/>
              </w:rPr>
              <w:br/>
            </w:r>
            <w:r w:rsidRPr="009C7A1A">
              <w:t xml:space="preserve">Adjacent band 2 GHz </w:t>
            </w:r>
            <w:r w:rsidR="00933376">
              <w:t>s</w:t>
            </w:r>
            <w:r w:rsidRPr="009C7A1A">
              <w:t xml:space="preserve">pectrum licensing and apparatus </w:t>
            </w:r>
            <w:r w:rsidR="006912A2">
              <w:t>p</w:t>
            </w:r>
            <w:r w:rsidR="006912A2" w:rsidRPr="006912A2">
              <w:t xml:space="preserve">ublic telecommunications </w:t>
            </w:r>
            <w:r w:rsidR="00933376">
              <w:br/>
            </w:r>
            <w:r w:rsidR="006912A2" w:rsidRPr="006912A2">
              <w:t>service</w:t>
            </w:r>
            <w:r w:rsidR="006912A2">
              <w:t xml:space="preserve"> (</w:t>
            </w:r>
            <w:hyperlink r:id="rId24" w:history="1">
              <w:r w:rsidR="006912A2" w:rsidRPr="003642BB">
                <w:rPr>
                  <w:rStyle w:val="Hyperlink"/>
                </w:rPr>
                <w:t>PTS</w:t>
              </w:r>
            </w:hyperlink>
            <w:r w:rsidR="006912A2">
              <w:t>)</w:t>
            </w:r>
          </w:p>
          <w:p w14:paraId="18D77D4C" w14:textId="77777777" w:rsidR="00121758" w:rsidRDefault="00121758" w:rsidP="00387196">
            <w:pPr>
              <w:pStyle w:val="Bulletlevel1"/>
              <w:keepNext/>
              <w:numPr>
                <w:ilvl w:val="0"/>
                <w:numId w:val="0"/>
              </w:numPr>
              <w:spacing w:after="0"/>
              <w:rPr>
                <w:b/>
                <w:bCs/>
              </w:rPr>
            </w:pPr>
          </w:p>
          <w:p w14:paraId="63FF0348" w14:textId="6EEE35E9" w:rsidR="00121758" w:rsidRDefault="00FA4727" w:rsidP="00D932B7">
            <w:pPr>
              <w:pStyle w:val="Bulletlevel1"/>
              <w:keepNext/>
              <w:numPr>
                <w:ilvl w:val="0"/>
                <w:numId w:val="0"/>
              </w:numPr>
              <w:spacing w:after="0"/>
              <w:rPr>
                <w:b/>
                <w:bCs/>
              </w:rPr>
            </w:pPr>
            <w:r>
              <w:t>(</w:t>
            </w:r>
            <w:r w:rsidRPr="0072347F">
              <w:t>1920</w:t>
            </w:r>
            <w:r w:rsidR="00933376">
              <w:t>–</w:t>
            </w:r>
            <w:r w:rsidRPr="0072347F">
              <w:t>1980</w:t>
            </w:r>
            <w:r>
              <w:t>/</w:t>
            </w:r>
            <w:r w:rsidRPr="0072347F">
              <w:t>2110</w:t>
            </w:r>
            <w:r w:rsidR="00933376">
              <w:t>–</w:t>
            </w:r>
            <w:r w:rsidRPr="0072347F">
              <w:t xml:space="preserve">2170 </w:t>
            </w:r>
            <w:r>
              <w:t>M</w:t>
            </w:r>
            <w:r w:rsidRPr="0072347F">
              <w:t>Hz</w:t>
            </w:r>
            <w:r>
              <w:t xml:space="preserve"> b</w:t>
            </w:r>
            <w:r w:rsidR="004C7594">
              <w:t xml:space="preserve">ase </w:t>
            </w:r>
            <w:r w:rsidR="00D932B7">
              <w:t>receive/</w:t>
            </w:r>
            <w:r w:rsidR="004C7594">
              <w:t xml:space="preserve">base </w:t>
            </w:r>
            <w:r w:rsidR="00D932B7">
              <w:t>transmit</w:t>
            </w:r>
            <w:r>
              <w:t>)</w:t>
            </w:r>
          </w:p>
        </w:tc>
        <w:tc>
          <w:tcPr>
            <w:tcW w:w="5812" w:type="dxa"/>
          </w:tcPr>
          <w:p w14:paraId="36C6E0D4" w14:textId="4DA5A788" w:rsidR="00933376" w:rsidRPr="001D2339" w:rsidRDefault="00121758" w:rsidP="00387196">
            <w:pPr>
              <w:pStyle w:val="Bulletlevel1"/>
              <w:keepNext/>
              <w:tabs>
                <w:tab w:val="clear" w:pos="295"/>
                <w:tab w:val="num" w:pos="579"/>
              </w:tabs>
              <w:rPr>
                <w:b/>
                <w:bCs/>
              </w:rPr>
            </w:pPr>
            <w:r>
              <w:rPr>
                <w:rFonts w:eastAsiaTheme="majorEastAsia"/>
              </w:rPr>
              <w:t>Technical parameters for 2 GHz MSS to be based on 2 GHz spectrum licensing technical framework</w:t>
            </w:r>
            <w:r w:rsidR="00933376">
              <w:rPr>
                <w:rFonts w:eastAsiaTheme="majorEastAsia"/>
              </w:rPr>
              <w:t>.</w:t>
            </w:r>
          </w:p>
          <w:p w14:paraId="7AD8D564" w14:textId="6F304E4A" w:rsidR="00121758" w:rsidRPr="00933376" w:rsidRDefault="00121758" w:rsidP="00D9258F">
            <w:pPr>
              <w:pStyle w:val="Bulletlevel1"/>
              <w:keepNext/>
              <w:tabs>
                <w:tab w:val="clear" w:pos="295"/>
                <w:tab w:val="num" w:pos="579"/>
              </w:tabs>
              <w:rPr>
                <w:b/>
                <w:bCs/>
              </w:rPr>
            </w:pPr>
            <w:r w:rsidRPr="00933376">
              <w:rPr>
                <w:rFonts w:eastAsiaTheme="majorEastAsia"/>
              </w:rPr>
              <w:t>Out</w:t>
            </w:r>
            <w:r w:rsidR="00933376" w:rsidRPr="00933376">
              <w:rPr>
                <w:rFonts w:eastAsiaTheme="majorEastAsia"/>
              </w:rPr>
              <w:t>-</w:t>
            </w:r>
            <w:r w:rsidRPr="00933376">
              <w:rPr>
                <w:rFonts w:eastAsiaTheme="majorEastAsia"/>
              </w:rPr>
              <w:t>of</w:t>
            </w:r>
            <w:r w:rsidR="00933376" w:rsidRPr="00933376">
              <w:rPr>
                <w:rFonts w:eastAsiaTheme="majorEastAsia"/>
              </w:rPr>
              <w:t>-</w:t>
            </w:r>
            <w:r w:rsidRPr="00933376">
              <w:rPr>
                <w:rFonts w:eastAsiaTheme="majorEastAsia"/>
              </w:rPr>
              <w:t>band power flux density limits for aeronautical transmitters operating in 1980</w:t>
            </w:r>
            <w:r w:rsidR="00933376" w:rsidRPr="00933376">
              <w:rPr>
                <w:rFonts w:eastAsiaTheme="majorEastAsia"/>
              </w:rPr>
              <w:t>–</w:t>
            </w:r>
            <w:r w:rsidRPr="00933376">
              <w:rPr>
                <w:rFonts w:eastAsiaTheme="majorEastAsia"/>
              </w:rPr>
              <w:t xml:space="preserve">2005 MHz </w:t>
            </w:r>
            <w:r w:rsidR="0043221E" w:rsidRPr="00933376">
              <w:rPr>
                <w:rFonts w:eastAsiaTheme="majorEastAsia"/>
              </w:rPr>
              <w:t xml:space="preserve">to protect adjacent </w:t>
            </w:r>
            <w:r w:rsidR="00C60C26" w:rsidRPr="00933376">
              <w:rPr>
                <w:rFonts w:eastAsiaTheme="majorEastAsia"/>
              </w:rPr>
              <w:t>bands base station receivers (1920</w:t>
            </w:r>
            <w:r w:rsidR="00933376" w:rsidRPr="00933376">
              <w:rPr>
                <w:rFonts w:eastAsiaTheme="majorEastAsia"/>
              </w:rPr>
              <w:t>–</w:t>
            </w:r>
            <w:r w:rsidR="00C60C26" w:rsidRPr="00933376">
              <w:rPr>
                <w:rFonts w:eastAsiaTheme="majorEastAsia"/>
              </w:rPr>
              <w:t>1980 MHz)</w:t>
            </w:r>
            <w:r w:rsidRPr="00933376">
              <w:rPr>
                <w:rFonts w:eastAsiaTheme="majorEastAsia"/>
              </w:rPr>
              <w:t>.</w:t>
            </w:r>
            <w:r w:rsidR="0072100D" w:rsidRPr="00933376">
              <w:rPr>
                <w:rFonts w:eastAsiaTheme="majorEastAsia"/>
              </w:rPr>
              <w:t xml:space="preserve"> Limits derived from ECC report 233</w:t>
            </w:r>
            <w:r w:rsidR="00933376" w:rsidRPr="00933376">
              <w:rPr>
                <w:rFonts w:eastAsiaTheme="majorEastAsia"/>
              </w:rPr>
              <w:t>.</w:t>
            </w:r>
          </w:p>
        </w:tc>
      </w:tr>
      <w:tr w:rsidR="00121758" w:rsidRPr="00E162C4" w14:paraId="35CA6864"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Pr>
          <w:p w14:paraId="0FAA025D" w14:textId="77777777" w:rsidR="00121758" w:rsidRDefault="00121758" w:rsidP="00387196">
            <w:pPr>
              <w:pStyle w:val="Bulletlevel1"/>
              <w:numPr>
                <w:ilvl w:val="0"/>
                <w:numId w:val="0"/>
              </w:numPr>
              <w:spacing w:after="0"/>
              <w:ind w:left="295" w:hanging="295"/>
              <w:rPr>
                <w:b/>
                <w:bCs/>
              </w:rPr>
            </w:pPr>
            <w:r>
              <w:rPr>
                <w:b/>
                <w:bCs/>
              </w:rPr>
              <w:t>Fixed point to point links</w:t>
            </w:r>
          </w:p>
          <w:p w14:paraId="082969DA" w14:textId="77777777" w:rsidR="00121758" w:rsidRDefault="00121758" w:rsidP="00387196">
            <w:pPr>
              <w:pStyle w:val="Bulletlevel1"/>
              <w:numPr>
                <w:ilvl w:val="0"/>
                <w:numId w:val="0"/>
              </w:numPr>
              <w:spacing w:after="0"/>
              <w:ind w:left="295" w:hanging="295"/>
              <w:rPr>
                <w:b/>
                <w:bCs/>
              </w:rPr>
            </w:pPr>
          </w:p>
          <w:p w14:paraId="37CE8F49" w14:textId="77777777" w:rsidR="00121758" w:rsidRPr="009C5C92" w:rsidRDefault="00121758" w:rsidP="00387196">
            <w:pPr>
              <w:pStyle w:val="Bulletlevel1"/>
              <w:numPr>
                <w:ilvl w:val="0"/>
                <w:numId w:val="0"/>
              </w:numPr>
              <w:spacing w:after="0"/>
            </w:pPr>
            <w:r>
              <w:t xml:space="preserve"> </w:t>
            </w:r>
          </w:p>
        </w:tc>
        <w:tc>
          <w:tcPr>
            <w:tcW w:w="5812" w:type="dxa"/>
          </w:tcPr>
          <w:p w14:paraId="0A5BBB1D" w14:textId="10AE6820" w:rsidR="00121758" w:rsidRDefault="00121758" w:rsidP="00387196">
            <w:pPr>
              <w:pStyle w:val="Bulletlevel1"/>
              <w:tabs>
                <w:tab w:val="clear" w:pos="295"/>
                <w:tab w:val="num" w:pos="579"/>
              </w:tabs>
            </w:pPr>
            <w:r>
              <w:t xml:space="preserve">No new fixed point-to-point links in the 2 GHz MSS band </w:t>
            </w:r>
          </w:p>
          <w:p w14:paraId="7C2607F8" w14:textId="75E434F1" w:rsidR="00121758" w:rsidRDefault="002474A3" w:rsidP="00387196">
            <w:pPr>
              <w:pStyle w:val="Bulletlevel1"/>
              <w:tabs>
                <w:tab w:val="clear" w:pos="295"/>
                <w:tab w:val="num" w:pos="579"/>
              </w:tabs>
            </w:pPr>
            <w:r>
              <w:lastRenderedPageBreak/>
              <w:t>2 GHz MSS o</w:t>
            </w:r>
            <w:r w:rsidR="00121758">
              <w:t>peration on condition of no interference</w:t>
            </w:r>
            <w:r w:rsidR="00933376">
              <w:br/>
            </w:r>
            <w:r w:rsidR="00121758">
              <w:t>to/from existing fixed point to point links</w:t>
            </w:r>
          </w:p>
          <w:p w14:paraId="5A0CBD63" w14:textId="4668DC8D" w:rsidR="00121758" w:rsidRPr="004B2424" w:rsidRDefault="00121758" w:rsidP="00387196">
            <w:pPr>
              <w:pStyle w:val="Bulletlevel1"/>
              <w:tabs>
                <w:tab w:val="clear" w:pos="295"/>
                <w:tab w:val="num" w:pos="579"/>
              </w:tabs>
            </w:pPr>
            <w:r>
              <w:t>Fixed stations (CGC base stations) to be coordinated with co</w:t>
            </w:r>
            <w:r w:rsidR="00933376">
              <w:t>-</w:t>
            </w:r>
            <w:r>
              <w:t>channel and adjacent channel fixed point-point links using principles of RALI FX 3</w:t>
            </w:r>
            <w:r w:rsidR="00933376">
              <w:t>.</w:t>
            </w:r>
          </w:p>
        </w:tc>
      </w:tr>
      <w:tr w:rsidR="00121758" w:rsidRPr="00E162C4" w14:paraId="209F42E1"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Borders>
              <w:bottom w:val="single" w:sz="4" w:space="0" w:color="auto"/>
            </w:tcBorders>
          </w:tcPr>
          <w:p w14:paraId="31138D9C" w14:textId="77777777" w:rsidR="00121758" w:rsidRDefault="00121758" w:rsidP="00387196">
            <w:pPr>
              <w:pStyle w:val="Bulletlevel1"/>
              <w:numPr>
                <w:ilvl w:val="0"/>
                <w:numId w:val="0"/>
              </w:numPr>
              <w:spacing w:after="0"/>
              <w:ind w:left="295" w:hanging="295"/>
              <w:rPr>
                <w:b/>
                <w:bCs/>
              </w:rPr>
            </w:pPr>
            <w:r>
              <w:rPr>
                <w:b/>
                <w:bCs/>
              </w:rPr>
              <w:lastRenderedPageBreak/>
              <w:t>Narrowband MSS</w:t>
            </w:r>
          </w:p>
          <w:p w14:paraId="562C65DF" w14:textId="147E69B4" w:rsidR="00121758" w:rsidRPr="009A7F7C" w:rsidRDefault="00121758">
            <w:pPr>
              <w:pStyle w:val="Bulletlevel1"/>
              <w:numPr>
                <w:ilvl w:val="0"/>
                <w:numId w:val="0"/>
              </w:numPr>
              <w:spacing w:after="0"/>
            </w:pPr>
            <w:r>
              <w:t>(2005</w:t>
            </w:r>
            <w:r w:rsidR="00933376">
              <w:t>–</w:t>
            </w:r>
            <w:r>
              <w:t>2010/2195</w:t>
            </w:r>
            <w:r w:rsidR="00933376">
              <w:t>–</w:t>
            </w:r>
            <w:r>
              <w:t>2200 MHz)</w:t>
            </w:r>
          </w:p>
          <w:p w14:paraId="004D11CE" w14:textId="77777777" w:rsidR="00121758" w:rsidRDefault="00121758" w:rsidP="00387196">
            <w:pPr>
              <w:pStyle w:val="Bulletlevel1"/>
              <w:numPr>
                <w:ilvl w:val="0"/>
                <w:numId w:val="0"/>
              </w:numPr>
              <w:ind w:left="295"/>
            </w:pPr>
          </w:p>
        </w:tc>
        <w:tc>
          <w:tcPr>
            <w:tcW w:w="5812" w:type="dxa"/>
            <w:tcBorders>
              <w:bottom w:val="single" w:sz="4" w:space="0" w:color="auto"/>
            </w:tcBorders>
          </w:tcPr>
          <w:p w14:paraId="082C9B12" w14:textId="3535009E" w:rsidR="00C914A3" w:rsidRDefault="00933376" w:rsidP="00387196">
            <w:pPr>
              <w:pStyle w:val="Bulletlevel1"/>
              <w:tabs>
                <w:tab w:val="clear" w:pos="295"/>
                <w:tab w:val="num" w:pos="579"/>
              </w:tabs>
            </w:pPr>
            <w:r>
              <w:t>n</w:t>
            </w:r>
            <w:r w:rsidR="00A04516">
              <w:t xml:space="preserve">o coordination </w:t>
            </w:r>
            <w:r w:rsidR="00C914A3">
              <w:t xml:space="preserve">arrangements </w:t>
            </w:r>
            <w:proofErr w:type="gramStart"/>
            <w:r w:rsidR="00C914A3">
              <w:t>proposed</w:t>
            </w:r>
            <w:proofErr w:type="gramEnd"/>
          </w:p>
          <w:p w14:paraId="57780D7A" w14:textId="00FC5907" w:rsidR="00A264AF" w:rsidRDefault="004027F2" w:rsidP="00A264AF">
            <w:pPr>
              <w:pStyle w:val="Bulletlevel1"/>
              <w:tabs>
                <w:tab w:val="clear" w:pos="295"/>
                <w:tab w:val="num" w:pos="579"/>
              </w:tabs>
            </w:pPr>
            <w:r>
              <w:t xml:space="preserve">2 GHz MSS </w:t>
            </w:r>
            <w:r w:rsidR="00A264AF">
              <w:t xml:space="preserve">narrowband services operating in accordance with condition of licence will be considered as not causing interference to 2 GHz MSS </w:t>
            </w:r>
            <w:proofErr w:type="gramStart"/>
            <w:r w:rsidR="00A264AF">
              <w:t>services</w:t>
            </w:r>
            <w:proofErr w:type="gramEnd"/>
          </w:p>
          <w:p w14:paraId="4001D042" w14:textId="62DB08C6" w:rsidR="00121758" w:rsidRPr="00E162C4" w:rsidRDefault="00121758" w:rsidP="00A264AF">
            <w:pPr>
              <w:pStyle w:val="Bulletlevel1"/>
              <w:tabs>
                <w:tab w:val="clear" w:pos="295"/>
                <w:tab w:val="num" w:pos="579"/>
              </w:tabs>
            </w:pPr>
            <w:r>
              <w:t>2 GHz MSS services operating in accordance with condition of licence will be considered as not causing interference to narrowband MSS services</w:t>
            </w:r>
            <w:r w:rsidR="00933376">
              <w:t>.</w:t>
            </w:r>
          </w:p>
        </w:tc>
      </w:tr>
      <w:tr w:rsidR="00121758" w:rsidRPr="00E162C4" w14:paraId="4D971974"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Pr>
          <w:p w14:paraId="18D56F7B" w14:textId="77777777" w:rsidR="00121758" w:rsidRDefault="00121758" w:rsidP="00387196">
            <w:pPr>
              <w:pStyle w:val="Bulletlevel1"/>
              <w:numPr>
                <w:ilvl w:val="0"/>
                <w:numId w:val="0"/>
              </w:numPr>
              <w:spacing w:after="0"/>
              <w:ind w:left="295" w:hanging="295"/>
              <w:rPr>
                <w:b/>
                <w:bCs/>
              </w:rPr>
            </w:pPr>
            <w:r>
              <w:rPr>
                <w:b/>
                <w:bCs/>
              </w:rPr>
              <w:t>Earth station transmitters</w:t>
            </w:r>
          </w:p>
          <w:p w14:paraId="4F228EEF" w14:textId="65F6A802" w:rsidR="00121758" w:rsidRPr="009C5C92" w:rsidRDefault="00121758" w:rsidP="00387196">
            <w:pPr>
              <w:pStyle w:val="Bulletlevel1"/>
              <w:numPr>
                <w:ilvl w:val="0"/>
                <w:numId w:val="0"/>
              </w:numPr>
              <w:spacing w:after="0"/>
              <w:ind w:left="295" w:hanging="295"/>
            </w:pPr>
            <w:r>
              <w:t>(2025</w:t>
            </w:r>
            <w:r w:rsidR="00933376">
              <w:t>–</w:t>
            </w:r>
            <w:r>
              <w:t xml:space="preserve">2110 MHz)  </w:t>
            </w:r>
          </w:p>
        </w:tc>
        <w:tc>
          <w:tcPr>
            <w:tcW w:w="5812" w:type="dxa"/>
          </w:tcPr>
          <w:p w14:paraId="7BD24B13" w14:textId="4DEFFF3B" w:rsidR="00121758" w:rsidRPr="006F3868" w:rsidRDefault="00C3623E" w:rsidP="00387196">
            <w:pPr>
              <w:pStyle w:val="Bulletlevel1"/>
              <w:tabs>
                <w:tab w:val="clear" w:pos="295"/>
                <w:tab w:val="num" w:pos="579"/>
              </w:tabs>
              <w:rPr>
                <w:b/>
                <w:bCs/>
              </w:rPr>
            </w:pPr>
            <w:r>
              <w:t>w</w:t>
            </w:r>
            <w:r w:rsidR="00121758">
              <w:t>ith a minimum of 20 MHz separation, no coordination arrangements are considered necessary between CGC base stations receivers (1980</w:t>
            </w:r>
            <w:r w:rsidR="00933376">
              <w:t>–</w:t>
            </w:r>
            <w:r w:rsidR="00121758">
              <w:t>2005 MHz) and earth station transmitters (2025</w:t>
            </w:r>
            <w:r w:rsidR="00933376">
              <w:t>–</w:t>
            </w:r>
            <w:r w:rsidR="00121758">
              <w:t xml:space="preserve">2110 </w:t>
            </w:r>
            <w:r w:rsidR="00121758" w:rsidDel="00E27AB0">
              <w:t>MHz</w:t>
            </w:r>
            <w:r w:rsidR="00121758">
              <w:t>)</w:t>
            </w:r>
            <w:r w:rsidR="00933376">
              <w:t>.</w:t>
            </w:r>
          </w:p>
        </w:tc>
      </w:tr>
      <w:tr w:rsidR="00121758" w:rsidRPr="00E162C4" w14:paraId="7A746564"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Borders>
              <w:bottom w:val="single" w:sz="4" w:space="0" w:color="auto"/>
            </w:tcBorders>
          </w:tcPr>
          <w:p w14:paraId="38B8533A" w14:textId="77777777" w:rsidR="00121758" w:rsidRDefault="00121758" w:rsidP="00387196">
            <w:pPr>
              <w:pStyle w:val="Bulletlevel1"/>
              <w:numPr>
                <w:ilvl w:val="0"/>
                <w:numId w:val="0"/>
              </w:numPr>
              <w:spacing w:after="0"/>
              <w:rPr>
                <w:b/>
                <w:bCs/>
              </w:rPr>
            </w:pPr>
            <w:r>
              <w:rPr>
                <w:b/>
                <w:bCs/>
              </w:rPr>
              <w:t xml:space="preserve">Earth station receivers </w:t>
            </w:r>
          </w:p>
          <w:p w14:paraId="125DBAFB" w14:textId="502433A4" w:rsidR="00121758" w:rsidRPr="009A7F7C" w:rsidRDefault="00121758" w:rsidP="00387196">
            <w:pPr>
              <w:pStyle w:val="Bulletlevel1"/>
              <w:numPr>
                <w:ilvl w:val="0"/>
                <w:numId w:val="0"/>
              </w:numPr>
              <w:spacing w:after="0"/>
              <w:ind w:left="295" w:hanging="295"/>
            </w:pPr>
            <w:r>
              <w:t>(2200</w:t>
            </w:r>
            <w:r w:rsidR="00C3623E">
              <w:t>–</w:t>
            </w:r>
            <w:r>
              <w:t>2300 MHz)</w:t>
            </w:r>
          </w:p>
          <w:p w14:paraId="30DAD9AB" w14:textId="77777777" w:rsidR="00121758" w:rsidRDefault="00121758" w:rsidP="00387196">
            <w:pPr>
              <w:pStyle w:val="Bulletlevel1"/>
              <w:numPr>
                <w:ilvl w:val="0"/>
                <w:numId w:val="0"/>
              </w:numPr>
              <w:ind w:left="295"/>
            </w:pPr>
          </w:p>
        </w:tc>
        <w:tc>
          <w:tcPr>
            <w:tcW w:w="5812" w:type="dxa"/>
            <w:tcBorders>
              <w:bottom w:val="single" w:sz="4" w:space="0" w:color="auto"/>
            </w:tcBorders>
          </w:tcPr>
          <w:p w14:paraId="56DD4E96" w14:textId="17DDF4A5" w:rsidR="00121758" w:rsidRDefault="00C3623E" w:rsidP="00387196">
            <w:pPr>
              <w:pStyle w:val="Bulletlevel1"/>
              <w:tabs>
                <w:tab w:val="clear" w:pos="295"/>
                <w:tab w:val="num" w:pos="579"/>
              </w:tabs>
            </w:pPr>
            <w:r>
              <w:t>p</w:t>
            </w:r>
            <w:r w:rsidR="00121758">
              <w:t>rotection of current and future earth stations at New Norcia, Mingenew earth station protection zone and Tidbinbilla</w:t>
            </w:r>
          </w:p>
          <w:p w14:paraId="031CA5B1" w14:textId="11FAED56" w:rsidR="00121758" w:rsidRDefault="00C3623E" w:rsidP="00387196">
            <w:pPr>
              <w:pStyle w:val="Bulletlevel1"/>
              <w:tabs>
                <w:tab w:val="clear" w:pos="295"/>
                <w:tab w:val="num" w:pos="579"/>
              </w:tabs>
            </w:pPr>
            <w:r>
              <w:t>i</w:t>
            </w:r>
            <w:r w:rsidR="00121758">
              <w:t>n other locations, CGC base transmitters (2170</w:t>
            </w:r>
            <w:r>
              <w:t>–</w:t>
            </w:r>
            <w:r w:rsidR="00121758">
              <w:t xml:space="preserve">2195 MHz) and earth station receivers to be coordinated on a </w:t>
            </w:r>
            <w:r>
              <w:br/>
            </w:r>
            <w:r w:rsidR="00121758">
              <w:t>first</w:t>
            </w:r>
            <w:r>
              <w:t>-</w:t>
            </w:r>
            <w:r w:rsidR="00121758">
              <w:t>in</w:t>
            </w:r>
            <w:r>
              <w:t>-</w:t>
            </w:r>
            <w:r w:rsidR="00121758">
              <w:t xml:space="preserve">time </w:t>
            </w:r>
            <w:proofErr w:type="gramStart"/>
            <w:r w:rsidR="00121758">
              <w:t>basis</w:t>
            </w:r>
            <w:proofErr w:type="gramEnd"/>
          </w:p>
          <w:p w14:paraId="7D0D1891" w14:textId="42D58A40" w:rsidR="00121758" w:rsidRPr="00E162C4" w:rsidRDefault="00C3623E" w:rsidP="00387196">
            <w:pPr>
              <w:pStyle w:val="Bulletlevel1"/>
              <w:tabs>
                <w:tab w:val="clear" w:pos="295"/>
                <w:tab w:val="num" w:pos="579"/>
              </w:tabs>
            </w:pPr>
            <w:r>
              <w:t>c</w:t>
            </w:r>
            <w:r w:rsidR="00121758">
              <w:t>oordination of CGC transmitters with earth station receivers to be based on CGC out-of-band emissions</w:t>
            </w:r>
            <w:r w:rsidR="00AA7918">
              <w:t xml:space="preserve">. The approach used in Europe </w:t>
            </w:r>
            <w:r w:rsidR="00DB21C6">
              <w:t xml:space="preserve">– refer </w:t>
            </w:r>
            <w:r w:rsidR="00121758" w:rsidRPr="00FB28DC">
              <w:t>ECC Recommendation (10)01</w:t>
            </w:r>
            <w:r>
              <w:t>.</w:t>
            </w:r>
          </w:p>
        </w:tc>
      </w:tr>
      <w:tr w:rsidR="00121758" w:rsidRPr="00E162C4" w14:paraId="69B42507"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Borders>
              <w:bottom w:val="single" w:sz="4" w:space="0" w:color="auto"/>
            </w:tcBorders>
          </w:tcPr>
          <w:p w14:paraId="5E62A1B1" w14:textId="24E437EA" w:rsidR="00121758" w:rsidRDefault="00121758" w:rsidP="009C4F6B">
            <w:pPr>
              <w:pStyle w:val="Bulletlevel1"/>
              <w:keepNext/>
              <w:numPr>
                <w:ilvl w:val="0"/>
                <w:numId w:val="0"/>
              </w:numPr>
              <w:spacing w:after="0"/>
              <w:rPr>
                <w:b/>
                <w:bCs/>
              </w:rPr>
            </w:pPr>
            <w:r>
              <w:rPr>
                <w:b/>
                <w:bCs/>
              </w:rPr>
              <w:t>Television outside broadcast</w:t>
            </w:r>
          </w:p>
          <w:p w14:paraId="08E1E097" w14:textId="3E9D3161" w:rsidR="00121758" w:rsidRDefault="00121758" w:rsidP="009C4F6B">
            <w:pPr>
              <w:pStyle w:val="Bulletlevel1"/>
              <w:keepNext/>
              <w:numPr>
                <w:ilvl w:val="0"/>
                <w:numId w:val="0"/>
              </w:numPr>
              <w:spacing w:after="0"/>
            </w:pPr>
            <w:r>
              <w:t>(2010</w:t>
            </w:r>
            <w:r w:rsidR="00C3623E">
              <w:t>–</w:t>
            </w:r>
            <w:r>
              <w:t>2110, 2200</w:t>
            </w:r>
            <w:r w:rsidR="00C3623E">
              <w:t>–</w:t>
            </w:r>
            <w:r>
              <w:t>2300 MHz)</w:t>
            </w:r>
          </w:p>
        </w:tc>
        <w:tc>
          <w:tcPr>
            <w:tcW w:w="5812" w:type="dxa"/>
            <w:tcBorders>
              <w:bottom w:val="single" w:sz="4" w:space="0" w:color="auto"/>
            </w:tcBorders>
          </w:tcPr>
          <w:p w14:paraId="5C71B9CD" w14:textId="2EE71163" w:rsidR="00121758" w:rsidRDefault="00C3623E" w:rsidP="009C4F6B">
            <w:pPr>
              <w:pStyle w:val="Bulletlevel1"/>
              <w:keepNext/>
              <w:tabs>
                <w:tab w:val="clear" w:pos="295"/>
                <w:tab w:val="num" w:pos="579"/>
              </w:tabs>
            </w:pPr>
            <w:r>
              <w:t>n</w:t>
            </w:r>
            <w:r w:rsidR="00121758">
              <w:t xml:space="preserve">o protection afforded from TOB </w:t>
            </w:r>
            <w:proofErr w:type="gramStart"/>
            <w:r w:rsidR="00121758">
              <w:t>transmitters</w:t>
            </w:r>
            <w:proofErr w:type="gramEnd"/>
          </w:p>
          <w:p w14:paraId="11F1C91D" w14:textId="577C2D4E" w:rsidR="00121758" w:rsidRDefault="00C3623E" w:rsidP="009C4F6B">
            <w:pPr>
              <w:pStyle w:val="Bulletlevel1"/>
              <w:keepNext/>
              <w:tabs>
                <w:tab w:val="clear" w:pos="295"/>
                <w:tab w:val="num" w:pos="579"/>
              </w:tabs>
            </w:pPr>
            <w:r>
              <w:t>c</w:t>
            </w:r>
            <w:r w:rsidR="00121758">
              <w:t xml:space="preserve">oordination of CGC base station transmitters </w:t>
            </w:r>
            <w:r>
              <w:br/>
            </w:r>
            <w:r w:rsidR="00121758">
              <w:t>(2170</w:t>
            </w:r>
            <w:r>
              <w:t>–</w:t>
            </w:r>
            <w:r w:rsidR="00121758">
              <w:t>2195 MHz) with TOB collection station receivers</w:t>
            </w:r>
          </w:p>
          <w:p w14:paraId="03BD16A2" w14:textId="1EAAE3B3" w:rsidR="00121758" w:rsidRPr="008A4D8D" w:rsidRDefault="00C3623E" w:rsidP="009C4F6B">
            <w:pPr>
              <w:pStyle w:val="Bulletlevel1"/>
              <w:keepNext/>
              <w:tabs>
                <w:tab w:val="clear" w:pos="295"/>
                <w:tab w:val="num" w:pos="579"/>
              </w:tabs>
            </w:pPr>
            <w:r>
              <w:rPr>
                <w:rFonts w:eastAsiaTheme="majorEastAsia"/>
              </w:rPr>
              <w:t>o</w:t>
            </w:r>
            <w:r w:rsidR="00121758">
              <w:rPr>
                <w:rFonts w:eastAsiaTheme="majorEastAsia"/>
              </w:rPr>
              <w:t>ut</w:t>
            </w:r>
            <w:r>
              <w:rPr>
                <w:rFonts w:eastAsiaTheme="majorEastAsia"/>
              </w:rPr>
              <w:t>-</w:t>
            </w:r>
            <w:r w:rsidR="00121758">
              <w:rPr>
                <w:rFonts w:eastAsiaTheme="majorEastAsia"/>
              </w:rPr>
              <w:t>of</w:t>
            </w:r>
            <w:r>
              <w:rPr>
                <w:rFonts w:eastAsiaTheme="majorEastAsia"/>
              </w:rPr>
              <w:t>-</w:t>
            </w:r>
            <w:r w:rsidR="00121758">
              <w:rPr>
                <w:rFonts w:eastAsiaTheme="majorEastAsia"/>
              </w:rPr>
              <w:t>band power flux density limits for aeronautical transmitters operating in 1980</w:t>
            </w:r>
            <w:r>
              <w:rPr>
                <w:rFonts w:eastAsiaTheme="majorEastAsia"/>
              </w:rPr>
              <w:t>–</w:t>
            </w:r>
            <w:r w:rsidR="00121758">
              <w:rPr>
                <w:rFonts w:eastAsiaTheme="majorEastAsia"/>
              </w:rPr>
              <w:t xml:space="preserve">2005 MHz </w:t>
            </w:r>
            <w:r w:rsidR="001578B1">
              <w:rPr>
                <w:rFonts w:eastAsiaTheme="majorEastAsia"/>
              </w:rPr>
              <w:t xml:space="preserve">for emissions above 2010 MHz </w:t>
            </w:r>
            <w:r w:rsidR="00121758">
              <w:rPr>
                <w:rFonts w:eastAsiaTheme="majorEastAsia"/>
              </w:rPr>
              <w:t xml:space="preserve">based on ECC report </w:t>
            </w:r>
            <w:proofErr w:type="gramStart"/>
            <w:r w:rsidR="00121758">
              <w:rPr>
                <w:rFonts w:eastAsiaTheme="majorEastAsia"/>
              </w:rPr>
              <w:t>233</w:t>
            </w:r>
            <w:proofErr w:type="gramEnd"/>
          </w:p>
          <w:p w14:paraId="081A0811" w14:textId="5A5F025B" w:rsidR="00121758" w:rsidRPr="00E162C4" w:rsidRDefault="00C3623E" w:rsidP="009C4F6B">
            <w:pPr>
              <w:pStyle w:val="Bulletlevel1"/>
              <w:keepNext/>
              <w:tabs>
                <w:tab w:val="clear" w:pos="295"/>
                <w:tab w:val="num" w:pos="579"/>
              </w:tabs>
            </w:pPr>
            <w:r>
              <w:rPr>
                <w:rFonts w:eastAsiaTheme="majorEastAsia"/>
              </w:rPr>
              <w:t>u</w:t>
            </w:r>
            <w:r w:rsidR="00121758">
              <w:rPr>
                <w:rFonts w:eastAsiaTheme="majorEastAsia"/>
              </w:rPr>
              <w:t>nwanted emissions limits for 2 GHz MSS transmitters in bands used for TOB</w:t>
            </w:r>
            <w:r>
              <w:rPr>
                <w:rFonts w:eastAsiaTheme="majorEastAsia"/>
              </w:rPr>
              <w:t>.</w:t>
            </w:r>
          </w:p>
        </w:tc>
      </w:tr>
      <w:tr w:rsidR="00121758" w:rsidRPr="00E162C4" w14:paraId="7ACA28E2" w14:textId="77777777" w:rsidTr="00D9258F">
        <w:trPr>
          <w:cnfStyle w:val="000000100000" w:firstRow="0" w:lastRow="0" w:firstColumn="0" w:lastColumn="0" w:oddVBand="0" w:evenVBand="0" w:oddHBand="1" w:evenHBand="0" w:firstRowFirstColumn="0" w:firstRowLastColumn="0" w:lastRowFirstColumn="0" w:lastRowLastColumn="0"/>
        </w:trPr>
        <w:tc>
          <w:tcPr>
            <w:tcW w:w="2830" w:type="dxa"/>
          </w:tcPr>
          <w:p w14:paraId="3EFD67DE" w14:textId="77777777" w:rsidR="00121758" w:rsidRDefault="00121758" w:rsidP="00387196">
            <w:pPr>
              <w:pStyle w:val="Bulletlevel1"/>
              <w:numPr>
                <w:ilvl w:val="0"/>
                <w:numId w:val="0"/>
              </w:numPr>
              <w:spacing w:after="0"/>
              <w:rPr>
                <w:b/>
                <w:bCs/>
              </w:rPr>
            </w:pPr>
            <w:r>
              <w:rPr>
                <w:b/>
                <w:bCs/>
              </w:rPr>
              <w:t xml:space="preserve">Aeronautical </w:t>
            </w:r>
            <w:r w:rsidDel="00FC5B77">
              <w:rPr>
                <w:b/>
                <w:bCs/>
              </w:rPr>
              <w:t xml:space="preserve">mobile </w:t>
            </w:r>
            <w:r>
              <w:rPr>
                <w:b/>
                <w:bCs/>
              </w:rPr>
              <w:t xml:space="preserve">telemetry </w:t>
            </w:r>
          </w:p>
          <w:p w14:paraId="1A867FD3" w14:textId="3239276D" w:rsidR="00121758" w:rsidRDefault="00121758" w:rsidP="00387196">
            <w:pPr>
              <w:pStyle w:val="Bulletlevel1"/>
              <w:numPr>
                <w:ilvl w:val="0"/>
                <w:numId w:val="0"/>
              </w:numPr>
              <w:spacing w:after="0"/>
            </w:pPr>
            <w:r>
              <w:t>(2200</w:t>
            </w:r>
            <w:r w:rsidR="00C3623E">
              <w:t>–</w:t>
            </w:r>
            <w:r>
              <w:t>2300 MHz)</w:t>
            </w:r>
          </w:p>
        </w:tc>
        <w:tc>
          <w:tcPr>
            <w:tcW w:w="5812" w:type="dxa"/>
          </w:tcPr>
          <w:p w14:paraId="34E282C4" w14:textId="51BC441A" w:rsidR="00121758" w:rsidRDefault="00C3623E" w:rsidP="00387196">
            <w:pPr>
              <w:pStyle w:val="Bulletlevel1"/>
              <w:tabs>
                <w:tab w:val="clear" w:pos="295"/>
                <w:tab w:val="num" w:pos="579"/>
              </w:tabs>
            </w:pPr>
            <w:r>
              <w:t>n</w:t>
            </w:r>
            <w:r w:rsidR="00121758">
              <w:t xml:space="preserve">o coordination arrangements considered necessary with adjacent band AMT fixed station </w:t>
            </w:r>
            <w:proofErr w:type="gramStart"/>
            <w:r w:rsidR="00121758">
              <w:t>receivers</w:t>
            </w:r>
            <w:proofErr w:type="gramEnd"/>
          </w:p>
          <w:p w14:paraId="70BF6D1F" w14:textId="59780F32" w:rsidR="00121758" w:rsidRPr="00E162C4" w:rsidRDefault="00C3623E" w:rsidP="00387196">
            <w:pPr>
              <w:pStyle w:val="Bulletlevel1"/>
              <w:tabs>
                <w:tab w:val="clear" w:pos="295"/>
                <w:tab w:val="num" w:pos="579"/>
              </w:tabs>
            </w:pPr>
            <w:r>
              <w:t>n</w:t>
            </w:r>
            <w:r w:rsidR="00121758">
              <w:t>o protection afforded from AMT transmitters</w:t>
            </w:r>
            <w:r>
              <w:t>.</w:t>
            </w:r>
          </w:p>
        </w:tc>
      </w:tr>
      <w:tr w:rsidR="00121758" w:rsidRPr="00E162C4" w14:paraId="6D939ED2" w14:textId="77777777" w:rsidTr="00D9258F">
        <w:trPr>
          <w:cnfStyle w:val="000000010000" w:firstRow="0" w:lastRow="0" w:firstColumn="0" w:lastColumn="0" w:oddVBand="0" w:evenVBand="0" w:oddHBand="0" w:evenHBand="1" w:firstRowFirstColumn="0" w:firstRowLastColumn="0" w:lastRowFirstColumn="0" w:lastRowLastColumn="0"/>
        </w:trPr>
        <w:tc>
          <w:tcPr>
            <w:tcW w:w="2830" w:type="dxa"/>
            <w:tcBorders>
              <w:bottom w:val="single" w:sz="4" w:space="0" w:color="auto"/>
            </w:tcBorders>
          </w:tcPr>
          <w:p w14:paraId="388F5239" w14:textId="51045680" w:rsidR="00121758" w:rsidRDefault="00121758" w:rsidP="00387196">
            <w:pPr>
              <w:pStyle w:val="Bulletlevel1"/>
              <w:keepNext/>
              <w:numPr>
                <w:ilvl w:val="0"/>
                <w:numId w:val="0"/>
              </w:numPr>
              <w:spacing w:after="0"/>
              <w:rPr>
                <w:b/>
                <w:bCs/>
              </w:rPr>
            </w:pPr>
            <w:r>
              <w:rPr>
                <w:b/>
                <w:bCs/>
              </w:rPr>
              <w:t xml:space="preserve">Adjacent channel </w:t>
            </w:r>
            <w:r w:rsidR="00C3623E">
              <w:rPr>
                <w:b/>
                <w:bCs/>
              </w:rPr>
              <w:br/>
            </w:r>
            <w:r>
              <w:rPr>
                <w:b/>
                <w:bCs/>
              </w:rPr>
              <w:t>2 GHz MSS</w:t>
            </w:r>
          </w:p>
        </w:tc>
        <w:tc>
          <w:tcPr>
            <w:tcW w:w="5812" w:type="dxa"/>
            <w:tcBorders>
              <w:bottom w:val="single" w:sz="4" w:space="0" w:color="auto"/>
            </w:tcBorders>
          </w:tcPr>
          <w:p w14:paraId="388E8C22" w14:textId="22AAF07C" w:rsidR="00121758" w:rsidRPr="00BE494C" w:rsidRDefault="00C3623E" w:rsidP="00AE6577">
            <w:pPr>
              <w:pStyle w:val="Bulletlevel1"/>
              <w:tabs>
                <w:tab w:val="clear" w:pos="295"/>
                <w:tab w:val="num" w:pos="579"/>
              </w:tabs>
            </w:pPr>
            <w:r>
              <w:rPr>
                <w:rFonts w:eastAsiaTheme="majorEastAsia"/>
              </w:rPr>
              <w:t>o</w:t>
            </w:r>
            <w:r w:rsidR="00121758">
              <w:rPr>
                <w:rFonts w:eastAsiaTheme="majorEastAsia"/>
              </w:rPr>
              <w:t>ut</w:t>
            </w:r>
            <w:r>
              <w:rPr>
                <w:rFonts w:eastAsiaTheme="majorEastAsia"/>
              </w:rPr>
              <w:t>-</w:t>
            </w:r>
            <w:r w:rsidR="00121758">
              <w:rPr>
                <w:rFonts w:eastAsiaTheme="majorEastAsia"/>
              </w:rPr>
              <w:t>of</w:t>
            </w:r>
            <w:r>
              <w:rPr>
                <w:rFonts w:eastAsiaTheme="majorEastAsia"/>
              </w:rPr>
              <w:t>-</w:t>
            </w:r>
            <w:r w:rsidR="00121758">
              <w:rPr>
                <w:rFonts w:eastAsiaTheme="majorEastAsia"/>
              </w:rPr>
              <w:t xml:space="preserve">band power flux density limits for aeronautical transmitters operating into adjacent channel 2 GHz MSS based on ECC report </w:t>
            </w:r>
            <w:proofErr w:type="gramStart"/>
            <w:r w:rsidR="00121758">
              <w:rPr>
                <w:rFonts w:eastAsiaTheme="majorEastAsia"/>
              </w:rPr>
              <w:t>233</w:t>
            </w:r>
            <w:proofErr w:type="gramEnd"/>
          </w:p>
          <w:p w14:paraId="05717B4B" w14:textId="01A4C7B6" w:rsidR="00121758" w:rsidRDefault="00C3623E" w:rsidP="00387196">
            <w:pPr>
              <w:pStyle w:val="Bulletlevel1"/>
              <w:tabs>
                <w:tab w:val="clear" w:pos="295"/>
                <w:tab w:val="num" w:pos="579"/>
              </w:tabs>
            </w:pPr>
            <w:r>
              <w:rPr>
                <w:rFonts w:eastAsiaTheme="majorEastAsia"/>
              </w:rPr>
              <w:t>n</w:t>
            </w:r>
            <w:r w:rsidR="00D35056">
              <w:rPr>
                <w:rFonts w:eastAsiaTheme="majorEastAsia"/>
              </w:rPr>
              <w:t xml:space="preserve">o other arrangements considered </w:t>
            </w:r>
            <w:r w:rsidR="00AD6AB8">
              <w:rPr>
                <w:rFonts w:eastAsiaTheme="majorEastAsia"/>
              </w:rPr>
              <w:t>necessary</w:t>
            </w:r>
            <w:r>
              <w:rPr>
                <w:rFonts w:eastAsiaTheme="majorEastAsia"/>
              </w:rPr>
              <w:t>.</w:t>
            </w:r>
            <w:r w:rsidR="00AD6AB8">
              <w:rPr>
                <w:rFonts w:eastAsiaTheme="majorEastAsia"/>
              </w:rPr>
              <w:t xml:space="preserve"> </w:t>
            </w:r>
          </w:p>
        </w:tc>
      </w:tr>
    </w:tbl>
    <w:p w14:paraId="2887F28F" w14:textId="77777777" w:rsidR="00862D31" w:rsidRDefault="00862D31" w:rsidP="00121758">
      <w:pPr>
        <w:pStyle w:val="Paragraph"/>
      </w:pPr>
    </w:p>
    <w:p w14:paraId="78629396" w14:textId="030316A2" w:rsidR="00121758" w:rsidRPr="002A0B3E" w:rsidRDefault="00121758" w:rsidP="00966F0D">
      <w:pPr>
        <w:pStyle w:val="Paragraph"/>
        <w:spacing w:after="60"/>
        <w:rPr>
          <w:rFonts w:eastAsiaTheme="majorEastAsia"/>
          <w:b/>
          <w:bCs/>
        </w:rPr>
      </w:pPr>
      <w:r w:rsidRPr="002A0B3E">
        <w:rPr>
          <w:rFonts w:eastAsiaTheme="majorEastAsia"/>
          <w:b/>
          <w:bCs/>
        </w:rPr>
        <w:t xml:space="preserve">Licence allocation </w:t>
      </w:r>
      <w:r>
        <w:rPr>
          <w:rFonts w:eastAsiaTheme="majorEastAsia"/>
          <w:b/>
          <w:bCs/>
        </w:rPr>
        <w:t>design</w:t>
      </w:r>
    </w:p>
    <w:p w14:paraId="41DC3088" w14:textId="79AE6E13" w:rsidR="00723DDE" w:rsidRDefault="00723DDE" w:rsidP="00723DDE">
      <w:pPr>
        <w:pStyle w:val="Paragraph"/>
      </w:pPr>
      <w:r w:rsidRPr="00723DDE">
        <w:t>The ACMA has not</w:t>
      </w:r>
      <w:r>
        <w:t xml:space="preserve"> </w:t>
      </w:r>
      <w:r w:rsidRPr="00723DDE">
        <w:t xml:space="preserve">formed a final view on the allocation approach. An important consideration that will inform any decision on the design of a preferred allocation method is the level of expected demand for the spectrum. If demand is likely to exceed supply, </w:t>
      </w:r>
      <w:r w:rsidR="00C3623E">
        <w:t>we will</w:t>
      </w:r>
      <w:r w:rsidR="00C3623E" w:rsidRPr="00723DDE">
        <w:t xml:space="preserve"> </w:t>
      </w:r>
      <w:r w:rsidRPr="00723DDE">
        <w:t xml:space="preserve">generally look to design a mechanism to resolve competing demand </w:t>
      </w:r>
      <w:r w:rsidR="00C3623E">
        <w:t>that</w:t>
      </w:r>
      <w:r w:rsidR="00C3623E" w:rsidRPr="00723DDE">
        <w:t xml:space="preserve"> </w:t>
      </w:r>
      <w:r w:rsidRPr="00723DDE">
        <w:t>is transparent and results in an efficient allocation of the spectrum.</w:t>
      </w:r>
    </w:p>
    <w:p w14:paraId="770F2684" w14:textId="77777777" w:rsidR="00554553" w:rsidRDefault="00121758" w:rsidP="00A45C37">
      <w:pPr>
        <w:pStyle w:val="Paragraphbeforelist"/>
        <w:keepNext/>
        <w:keepLines/>
      </w:pPr>
      <w:r>
        <w:t>W</w:t>
      </w:r>
      <w:r w:rsidRPr="00E05C3D">
        <w:t xml:space="preserve">e are now seeking </w:t>
      </w:r>
      <w:r>
        <w:t xml:space="preserve">updated information </w:t>
      </w:r>
      <w:r w:rsidR="00293857">
        <w:t>about</w:t>
      </w:r>
      <w:r w:rsidR="00554553">
        <w:t>:</w:t>
      </w:r>
    </w:p>
    <w:p w14:paraId="1740F1C1" w14:textId="7D290826" w:rsidR="00554553" w:rsidRDefault="00293857" w:rsidP="00554553">
      <w:pPr>
        <w:pStyle w:val="Bulletlevel1"/>
        <w:keepNext/>
        <w:keepLines/>
      </w:pPr>
      <w:r>
        <w:t xml:space="preserve">the likely demand </w:t>
      </w:r>
      <w:r w:rsidR="00121758">
        <w:t xml:space="preserve">from </w:t>
      </w:r>
      <w:r w:rsidR="00121758" w:rsidRPr="00E05C3D">
        <w:t>parties interested in the provision of MSS</w:t>
      </w:r>
      <w:r w:rsidR="00121758">
        <w:t xml:space="preserve"> using the 2 GHz MSS </w:t>
      </w:r>
      <w:proofErr w:type="gramStart"/>
      <w:r w:rsidR="00121758">
        <w:t>spectrum</w:t>
      </w:r>
      <w:proofErr w:type="gramEnd"/>
    </w:p>
    <w:p w14:paraId="61F4C48E" w14:textId="040A47AD" w:rsidR="00554553" w:rsidRDefault="00121758" w:rsidP="00554553">
      <w:pPr>
        <w:pStyle w:val="Bulletlevel1"/>
        <w:keepNext/>
        <w:keepLines/>
      </w:pPr>
      <w:r w:rsidRPr="00E05C3D">
        <w:t>the availability of suitable equipment</w:t>
      </w:r>
    </w:p>
    <w:p w14:paraId="35E0682A" w14:textId="0F7447D6" w:rsidR="00554553" w:rsidRDefault="00121758" w:rsidP="00A45C37">
      <w:pPr>
        <w:pStyle w:val="Bulletlevel1last"/>
      </w:pPr>
      <w:r w:rsidRPr="00E05C3D">
        <w:t>how best to configure the spectrum for intended use cases</w:t>
      </w:r>
      <w:r>
        <w:t xml:space="preserve">. </w:t>
      </w:r>
    </w:p>
    <w:p w14:paraId="33BFDF3D" w14:textId="3F359A2A" w:rsidR="00121758" w:rsidRDefault="00554553" w:rsidP="00554553">
      <w:pPr>
        <w:pStyle w:val="Paragraph"/>
      </w:pPr>
      <w:r>
        <w:t>Please s</w:t>
      </w:r>
      <w:r w:rsidR="00121758">
        <w:t xml:space="preserve">ee </w:t>
      </w:r>
      <w:r>
        <w:t xml:space="preserve">the </w:t>
      </w:r>
      <w:r w:rsidR="00121758">
        <w:t xml:space="preserve">questions in </w:t>
      </w:r>
      <w:r>
        <w:t xml:space="preserve">the </w:t>
      </w:r>
      <w:hyperlink w:anchor="_Issues_for_comment" w:history="1">
        <w:r w:rsidRPr="00554553">
          <w:rPr>
            <w:rStyle w:val="Hyperlink"/>
          </w:rPr>
          <w:t>i</w:t>
        </w:r>
        <w:r w:rsidR="00121758" w:rsidRPr="00554553">
          <w:rPr>
            <w:rStyle w:val="Hyperlink"/>
          </w:rPr>
          <w:t>ssue</w:t>
        </w:r>
        <w:r w:rsidRPr="00554553">
          <w:rPr>
            <w:rStyle w:val="Hyperlink"/>
          </w:rPr>
          <w:t>s</w:t>
        </w:r>
        <w:r w:rsidR="00121758" w:rsidRPr="00554553">
          <w:rPr>
            <w:rStyle w:val="Hyperlink"/>
          </w:rPr>
          <w:t xml:space="preserve"> for comment</w:t>
        </w:r>
      </w:hyperlink>
      <w:r w:rsidR="00121758">
        <w:t xml:space="preserve"> section and discussion </w:t>
      </w:r>
      <w:r w:rsidR="004F49AB">
        <w:br/>
      </w:r>
      <w:r w:rsidR="00121758">
        <w:t xml:space="preserve">in </w:t>
      </w:r>
      <w:hyperlink w:anchor="_Licensing_and_allocation" w:history="1">
        <w:r w:rsidR="00121758" w:rsidRPr="00554553">
          <w:rPr>
            <w:rStyle w:val="Hyperlink"/>
          </w:rPr>
          <w:t>section 5</w:t>
        </w:r>
      </w:hyperlink>
      <w:r w:rsidR="00121758">
        <w:t xml:space="preserve">. </w:t>
      </w:r>
    </w:p>
    <w:p w14:paraId="62E3EC9E" w14:textId="77777777" w:rsidR="00121758" w:rsidRDefault="00121758" w:rsidP="00121758">
      <w:pPr>
        <w:pStyle w:val="Heading1"/>
        <w:numPr>
          <w:ilvl w:val="0"/>
          <w:numId w:val="0"/>
        </w:numPr>
      </w:pPr>
      <w:bookmarkStart w:id="4" w:name="_Issues_for_comment"/>
      <w:bookmarkStart w:id="5" w:name="_Toc150510344"/>
      <w:bookmarkStart w:id="6" w:name="_Toc151469329"/>
      <w:bookmarkEnd w:id="4"/>
      <w:r>
        <w:t>Issues for comment</w:t>
      </w:r>
      <w:bookmarkEnd w:id="5"/>
      <w:bookmarkEnd w:id="6"/>
    </w:p>
    <w:p w14:paraId="05323341" w14:textId="0B4B5011" w:rsidR="00554553" w:rsidRDefault="00121758" w:rsidP="00121758">
      <w:pPr>
        <w:pStyle w:val="Paragraphbeforelist"/>
      </w:pPr>
      <w:r w:rsidRPr="00E6141B">
        <w:t>We welcome feedback on the issues raised in this consultation or any other issues relevant to</w:t>
      </w:r>
      <w:r w:rsidR="00554553">
        <w:t>:</w:t>
      </w:r>
    </w:p>
    <w:p w14:paraId="5FA4CFDB" w14:textId="77777777" w:rsidR="00554553" w:rsidRDefault="00121758" w:rsidP="00554553">
      <w:pPr>
        <w:pStyle w:val="Bulletlevel1"/>
      </w:pPr>
      <w:r w:rsidRPr="00E6141B">
        <w:t>draft technical design to support 2 GHz MSS (including the use of CGC)</w:t>
      </w:r>
    </w:p>
    <w:p w14:paraId="25F1801C" w14:textId="634B4ED3" w:rsidR="00554553" w:rsidRDefault="00121758" w:rsidP="00554553">
      <w:pPr>
        <w:pStyle w:val="Bulletlevel1"/>
      </w:pPr>
      <w:r w:rsidRPr="00135E49">
        <w:t>coexistence between 2 GHz MSS licensees</w:t>
      </w:r>
    </w:p>
    <w:p w14:paraId="54D81F4D" w14:textId="5B1BECC3" w:rsidR="008F60D4" w:rsidRDefault="00554553" w:rsidP="00A45C37">
      <w:pPr>
        <w:pStyle w:val="Bulletlevel1last"/>
      </w:pPr>
      <w:r>
        <w:t xml:space="preserve">coexistence </w:t>
      </w:r>
      <w:r w:rsidR="00121758" w:rsidRPr="00135E49">
        <w:t xml:space="preserve">between 2 GHz MSS licensees and other </w:t>
      </w:r>
      <w:r w:rsidR="00121758">
        <w:t xml:space="preserve">spectrum </w:t>
      </w:r>
      <w:r w:rsidR="00121758" w:rsidRPr="00135E49">
        <w:t>users</w:t>
      </w:r>
      <w:r w:rsidR="00121758" w:rsidRPr="00E6141B">
        <w:t xml:space="preserve">. </w:t>
      </w:r>
    </w:p>
    <w:p w14:paraId="11ED0DA0" w14:textId="66A7595C" w:rsidR="00995CB0" w:rsidRDefault="00121758" w:rsidP="00121758">
      <w:pPr>
        <w:pStyle w:val="Paragraphbeforelist"/>
      </w:pPr>
      <w:r w:rsidRPr="00E6141B">
        <w:t xml:space="preserve">We are also </w:t>
      </w:r>
      <w:r w:rsidRPr="00966497">
        <w:t xml:space="preserve">seeking to </w:t>
      </w:r>
      <w:r w:rsidR="008F60D4">
        <w:t xml:space="preserve">better understand the likely demand for the </w:t>
      </w:r>
      <w:r w:rsidR="00995CB0">
        <w:t xml:space="preserve">use of MSS spectrum, </w:t>
      </w:r>
      <w:r w:rsidRPr="00966497">
        <w:t xml:space="preserve">the availability of suitable equipment and how best to configure the spectrum for intended use cases. </w:t>
      </w:r>
    </w:p>
    <w:p w14:paraId="5CF951D9" w14:textId="729B6A11" w:rsidR="00121758" w:rsidRDefault="00995CB0" w:rsidP="00121758">
      <w:pPr>
        <w:pStyle w:val="Paragraphbeforelist"/>
      </w:pPr>
      <w:r>
        <w:t>W</w:t>
      </w:r>
      <w:r w:rsidR="00121758" w:rsidRPr="00966497">
        <w:t>e seek specific comment on</w:t>
      </w:r>
      <w:r w:rsidR="00121758">
        <w:t xml:space="preserve"> following key technical design </w:t>
      </w:r>
      <w:r>
        <w:t xml:space="preserve">features </w:t>
      </w:r>
      <w:r w:rsidR="00121758">
        <w:t>and licence allocation design</w:t>
      </w:r>
      <w:r w:rsidR="0018251B">
        <w:t xml:space="preserve"> issues</w:t>
      </w:r>
      <w:r w:rsidR="00121758" w:rsidRPr="00E162C4">
        <w:t>:</w:t>
      </w:r>
    </w:p>
    <w:p w14:paraId="63C5D39D" w14:textId="77777777" w:rsidR="00121758" w:rsidRPr="002A0B3E" w:rsidRDefault="00121758" w:rsidP="00A45C37">
      <w:pPr>
        <w:pStyle w:val="Paragraph"/>
        <w:spacing w:before="240" w:after="120"/>
        <w:rPr>
          <w:rFonts w:eastAsiaTheme="majorEastAsia"/>
          <w:b/>
          <w:bCs/>
        </w:rPr>
      </w:pPr>
      <w:r>
        <w:rPr>
          <w:rFonts w:eastAsiaTheme="majorEastAsia"/>
          <w:b/>
          <w:bCs/>
        </w:rPr>
        <w:t xml:space="preserve">2 GHz MSS parameters </w:t>
      </w:r>
    </w:p>
    <w:p w14:paraId="3533B459" w14:textId="2644DF52" w:rsidR="0083689E" w:rsidRDefault="0083689E" w:rsidP="0083689E">
      <w:pPr>
        <w:pStyle w:val="Numberlistlevel1"/>
        <w:numPr>
          <w:ilvl w:val="0"/>
          <w:numId w:val="14"/>
        </w:numPr>
      </w:pPr>
      <w:r>
        <w:t>Wh</w:t>
      </w:r>
      <w:r w:rsidR="00866ED1">
        <w:t xml:space="preserve">at are your views on the proposal to develop </w:t>
      </w:r>
      <w:r>
        <w:t>technical requirements for mobile earth stations and CGC systems based on the 2 GHz spectrum licensing technical framework.</w:t>
      </w:r>
      <w:r w:rsidRPr="00FB08A6">
        <w:rPr>
          <w:rFonts w:eastAsia="Arial"/>
        </w:rPr>
        <w:t xml:space="preserve"> </w:t>
      </w:r>
      <w:r w:rsidR="00866ED1">
        <w:t>A</w:t>
      </w:r>
      <w:r w:rsidRPr="00E162C4">
        <w:t>re there alternative approaches that could be used</w:t>
      </w:r>
      <w:r>
        <w:t xml:space="preserve"> and </w:t>
      </w:r>
      <w:r w:rsidR="00E06568">
        <w:t xml:space="preserve">different </w:t>
      </w:r>
      <w:r>
        <w:t>resulting values for key parameters such as power and unwanted emissions</w:t>
      </w:r>
      <w:r w:rsidR="00E06568">
        <w:t xml:space="preserve"> that we should consider</w:t>
      </w:r>
      <w:r w:rsidRPr="00E162C4">
        <w:t>?</w:t>
      </w:r>
    </w:p>
    <w:p w14:paraId="26EFBC76" w14:textId="461FA553" w:rsidR="00E070EE" w:rsidRDefault="00BA4C37" w:rsidP="0083689E">
      <w:pPr>
        <w:pStyle w:val="Numberlistlevel1"/>
        <w:numPr>
          <w:ilvl w:val="0"/>
          <w:numId w:val="14"/>
        </w:numPr>
      </w:pPr>
      <w:r>
        <w:t>H</w:t>
      </w:r>
      <w:r w:rsidR="00DB530F">
        <w:t xml:space="preserve">aving </w:t>
      </w:r>
      <w:r>
        <w:t>arrangements</w:t>
      </w:r>
      <w:r w:rsidR="00DB530F">
        <w:t xml:space="preserve"> based on </w:t>
      </w:r>
      <w:r>
        <w:t xml:space="preserve">the </w:t>
      </w:r>
      <w:r w:rsidR="00DB530F">
        <w:t xml:space="preserve">2 GHz spectrum </w:t>
      </w:r>
      <w:r>
        <w:t>licensing</w:t>
      </w:r>
      <w:r w:rsidR="00DB530F">
        <w:t xml:space="preserve"> technical framework</w:t>
      </w:r>
      <w:r w:rsidR="00F02FBB">
        <w:t xml:space="preserve"> </w:t>
      </w:r>
      <w:r>
        <w:t>means includ</w:t>
      </w:r>
      <w:r w:rsidR="00D7358B">
        <w:t xml:space="preserve">ing </w:t>
      </w:r>
      <w:r w:rsidR="00E070EE">
        <w:t>support</w:t>
      </w:r>
      <w:r w:rsidR="00D7358B">
        <w:t xml:space="preserve"> for</w:t>
      </w:r>
      <w:r w:rsidR="00E070EE">
        <w:t xml:space="preserve"> active antenna systems</w:t>
      </w:r>
      <w:r w:rsidR="000F49A7">
        <w:t>.</w:t>
      </w:r>
      <w:r w:rsidR="0053570E">
        <w:t xml:space="preserve"> </w:t>
      </w:r>
      <w:r w:rsidR="00B50A26">
        <w:t xml:space="preserve">We seek views about the inclusion of </w:t>
      </w:r>
      <w:r w:rsidR="00B225D3">
        <w:t>active antenna systems in the te</w:t>
      </w:r>
      <w:r w:rsidR="00F14618">
        <w:t>chnical framework for 2 GHz MSS</w:t>
      </w:r>
      <w:r w:rsidR="00B50A26">
        <w:t>.</w:t>
      </w:r>
    </w:p>
    <w:p w14:paraId="1B9A9692" w14:textId="3AC43DDB" w:rsidR="0083689E" w:rsidRDefault="0083689E" w:rsidP="0083689E">
      <w:pPr>
        <w:pStyle w:val="Paragraphbeforelist"/>
        <w:numPr>
          <w:ilvl w:val="0"/>
          <w:numId w:val="14"/>
        </w:numPr>
      </w:pPr>
      <w:r>
        <w:t>Wh</w:t>
      </w:r>
      <w:r w:rsidR="003833A7">
        <w:t>at are your views on developing</w:t>
      </w:r>
      <w:r>
        <w:t xml:space="preserve"> technical parameters for aeronautical transmitters in CGC/DA2GC systems based on ECC report 233</w:t>
      </w:r>
      <w:r w:rsidR="00040087">
        <w:t>?</w:t>
      </w:r>
      <w:r w:rsidR="00040087">
        <w:rPr>
          <w:rStyle w:val="FootnoteReference"/>
        </w:rPr>
        <w:footnoteReference w:id="9"/>
      </w:r>
      <w:r w:rsidR="00040087">
        <w:t xml:space="preserve"> </w:t>
      </w:r>
      <w:r w:rsidR="003833A7">
        <w:t>A</w:t>
      </w:r>
      <w:r w:rsidRPr="00E162C4">
        <w:t xml:space="preserve">re </w:t>
      </w:r>
      <w:proofErr w:type="gramStart"/>
      <w:r w:rsidRPr="00E162C4">
        <w:t>there</w:t>
      </w:r>
      <w:proofErr w:type="gramEnd"/>
      <w:r w:rsidRPr="00E162C4">
        <w:t xml:space="preserve"> alternative </w:t>
      </w:r>
      <w:r>
        <w:t xml:space="preserve">parameters </w:t>
      </w:r>
      <w:r w:rsidR="003833A7">
        <w:t xml:space="preserve">that </w:t>
      </w:r>
      <w:r>
        <w:t>should be used</w:t>
      </w:r>
      <w:r w:rsidR="007B671D">
        <w:t>?</w:t>
      </w:r>
    </w:p>
    <w:p w14:paraId="148F2985" w14:textId="49ADE4AD" w:rsidR="0083689E" w:rsidRDefault="0072103E" w:rsidP="0083689E">
      <w:pPr>
        <w:pStyle w:val="Paragraphbeforelist"/>
        <w:numPr>
          <w:ilvl w:val="0"/>
          <w:numId w:val="14"/>
        </w:numPr>
      </w:pPr>
      <w:r>
        <w:t xml:space="preserve">What are your views on the proposal to reduce </w:t>
      </w:r>
      <w:r w:rsidR="0083689E">
        <w:t xml:space="preserve">the current the emission limit at the 2010 MHz boundary from of </w:t>
      </w:r>
      <w:r w:rsidR="00040087">
        <w:t>-</w:t>
      </w:r>
      <w:r w:rsidR="0083689E">
        <w:t xml:space="preserve">66 to -60 </w:t>
      </w:r>
      <w:proofErr w:type="spellStart"/>
      <w:r w:rsidR="0083689E">
        <w:t>dBW</w:t>
      </w:r>
      <w:proofErr w:type="spellEnd"/>
      <w:r w:rsidR="0083689E">
        <w:t xml:space="preserve">/MHz EIRP </w:t>
      </w:r>
      <w:r w:rsidR="007B5F51">
        <w:t xml:space="preserve">intended to </w:t>
      </w:r>
      <w:r w:rsidR="0083689E">
        <w:t>provide protection for TOB receivers operating above 2010 MHz</w:t>
      </w:r>
      <w:r w:rsidR="00040087">
        <w:t>?</w:t>
      </w:r>
    </w:p>
    <w:p w14:paraId="53389BEC" w14:textId="2F2A97FE" w:rsidR="0083689E" w:rsidRDefault="0083689E" w:rsidP="0083689E">
      <w:pPr>
        <w:pStyle w:val="Paragraphbeforelist"/>
        <w:numPr>
          <w:ilvl w:val="0"/>
          <w:numId w:val="14"/>
        </w:numPr>
      </w:pPr>
      <w:r>
        <w:t>For 2 GHz MSS emission limits above 2010 MHz and 2200 MHz, which are intended to protect TOB receivers, do the limits achieve that objective</w:t>
      </w:r>
      <w:r w:rsidR="00040087">
        <w:t>?</w:t>
      </w:r>
      <w:r>
        <w:t xml:space="preserve"> If not</w:t>
      </w:r>
      <w:r w:rsidR="00040087">
        <w:t>,</w:t>
      </w:r>
      <w:r>
        <w:t xml:space="preserve"> please explain why and outline what the limits should be.</w:t>
      </w:r>
    </w:p>
    <w:p w14:paraId="3DC286F3" w14:textId="73858F51" w:rsidR="0083689E" w:rsidRDefault="0083689E" w:rsidP="0083689E">
      <w:pPr>
        <w:pStyle w:val="Numberlistlevel1"/>
        <w:numPr>
          <w:ilvl w:val="0"/>
          <w:numId w:val="14"/>
        </w:numPr>
      </w:pPr>
      <w:r>
        <w:t>For 2 GHz MSS emission limits above 2010 MHz and 2200 MHz</w:t>
      </w:r>
      <w:r w:rsidR="00040087">
        <w:t>,</w:t>
      </w:r>
      <w:r>
        <w:t xml:space="preserve"> we seek </w:t>
      </w:r>
      <w:r w:rsidR="007B5F51">
        <w:t xml:space="preserve">views </w:t>
      </w:r>
      <w:r w:rsidR="00B97DC8">
        <w:t xml:space="preserve">on the merits of applying more relaxed </w:t>
      </w:r>
      <w:r>
        <w:t>limits in areas of lower TOB usage</w:t>
      </w:r>
      <w:r w:rsidR="005C043E">
        <w:t xml:space="preserve"> and views on </w:t>
      </w:r>
      <w:r w:rsidR="00D73A44">
        <w:t xml:space="preserve">relevant </w:t>
      </w:r>
      <w:r>
        <w:t>emissions limits</w:t>
      </w:r>
      <w:r w:rsidR="00D73A44">
        <w:t xml:space="preserve"> to apply</w:t>
      </w:r>
      <w:r w:rsidDel="00D73A44">
        <w:t xml:space="preserve"> </w:t>
      </w:r>
      <w:r>
        <w:t xml:space="preserve">in areas on low TOB usage. </w:t>
      </w:r>
    </w:p>
    <w:p w14:paraId="1C85CB75" w14:textId="77777777" w:rsidR="00121758" w:rsidRPr="002A0B3E" w:rsidRDefault="00121758" w:rsidP="00A45C37">
      <w:pPr>
        <w:pStyle w:val="Paragraph"/>
        <w:spacing w:before="240" w:after="120"/>
        <w:rPr>
          <w:rFonts w:eastAsiaTheme="majorEastAsia"/>
          <w:b/>
          <w:bCs/>
        </w:rPr>
      </w:pPr>
      <w:r>
        <w:rPr>
          <w:rFonts w:eastAsiaTheme="majorEastAsia"/>
          <w:b/>
          <w:bCs/>
        </w:rPr>
        <w:t xml:space="preserve">Coordination requirements: 2 GHz MSS with other services </w:t>
      </w:r>
    </w:p>
    <w:p w14:paraId="7202AE0B" w14:textId="0E0CCE23" w:rsidR="00826C1B" w:rsidRDefault="00826C1B" w:rsidP="00826C1B">
      <w:pPr>
        <w:pStyle w:val="Numberlistlevel1"/>
        <w:numPr>
          <w:ilvl w:val="0"/>
          <w:numId w:val="14"/>
        </w:numPr>
      </w:pPr>
      <w:r>
        <w:t>Views are sought on the</w:t>
      </w:r>
      <w:r w:rsidDel="00D73A44">
        <w:t xml:space="preserve"> </w:t>
      </w:r>
      <w:r>
        <w:t>coordination requirements</w:t>
      </w:r>
      <w:r w:rsidR="00D73A44">
        <w:t xml:space="preserve"> outlined</w:t>
      </w:r>
      <w:r>
        <w:t xml:space="preserve"> in section 3. </w:t>
      </w:r>
    </w:p>
    <w:p w14:paraId="6BDBD8F9" w14:textId="263D8416" w:rsidR="00826C1B" w:rsidRDefault="00826C1B" w:rsidP="00826C1B">
      <w:pPr>
        <w:pStyle w:val="Numberlistlevel1"/>
        <w:numPr>
          <w:ilvl w:val="0"/>
          <w:numId w:val="14"/>
        </w:numPr>
      </w:pPr>
      <w:r>
        <w:t>Views are sought on the approach of coordinating CGC transmitters operating in the band 2170</w:t>
      </w:r>
      <w:r w:rsidR="00040087">
        <w:t>–</w:t>
      </w:r>
      <w:r>
        <w:t>2195 MHz with earth station receivers using the level of CGC unwanted emissions at the earth station receiver. What are appropriate earth station protection levels under such a methodology?</w:t>
      </w:r>
      <w:r w:rsidRPr="00E162C4">
        <w:t xml:space="preserve"> Are there alternative approaches that </w:t>
      </w:r>
      <w:r w:rsidR="008F294B">
        <w:t>we should consider</w:t>
      </w:r>
      <w:r>
        <w:t xml:space="preserve">? </w:t>
      </w:r>
    </w:p>
    <w:p w14:paraId="0981905E" w14:textId="21010621" w:rsidR="00121758" w:rsidRDefault="00826C1B" w:rsidP="00E008F4">
      <w:pPr>
        <w:pStyle w:val="Numberlistlevel1"/>
        <w:numPr>
          <w:ilvl w:val="0"/>
          <w:numId w:val="14"/>
        </w:numPr>
      </w:pPr>
      <w:r>
        <w:t xml:space="preserve">Views are </w:t>
      </w:r>
      <w:r w:rsidR="007B084B">
        <w:t>sought</w:t>
      </w:r>
      <w:r>
        <w:t xml:space="preserve"> on the suitability of the arrangement for coordination with the radio quiet zone</w:t>
      </w:r>
      <w:r w:rsidR="00040087">
        <w:t>,</w:t>
      </w:r>
      <w:r>
        <w:t xml:space="preserve"> and what requirements should apply for aeronautical transmitters in 1980</w:t>
      </w:r>
      <w:r w:rsidR="00040087">
        <w:t>–</w:t>
      </w:r>
      <w:r>
        <w:t>2005 MHz with respect to the radio quiet zone.</w:t>
      </w:r>
    </w:p>
    <w:p w14:paraId="4A8C2251" w14:textId="77777777" w:rsidR="00121758" w:rsidRDefault="00121758" w:rsidP="00A45C37">
      <w:pPr>
        <w:pStyle w:val="Paragraph"/>
        <w:spacing w:before="240" w:after="120"/>
        <w:rPr>
          <w:rFonts w:eastAsiaTheme="majorEastAsia"/>
          <w:b/>
          <w:bCs/>
        </w:rPr>
      </w:pPr>
      <w:r>
        <w:rPr>
          <w:rFonts w:eastAsiaTheme="majorEastAsia"/>
          <w:b/>
          <w:bCs/>
        </w:rPr>
        <w:t xml:space="preserve">Coordination requirements: 2 GHz MSS with 2 GHz MSS </w:t>
      </w:r>
    </w:p>
    <w:p w14:paraId="4587ED6E" w14:textId="4B777A8B" w:rsidR="00810CDA" w:rsidRDefault="00810CDA" w:rsidP="00121758">
      <w:pPr>
        <w:pStyle w:val="ListParagraph"/>
        <w:numPr>
          <w:ilvl w:val="0"/>
          <w:numId w:val="14"/>
        </w:numPr>
        <w:spacing w:after="120"/>
        <w:rPr>
          <w:rFonts w:eastAsiaTheme="majorEastAsia"/>
        </w:rPr>
      </w:pPr>
      <w:r>
        <w:rPr>
          <w:rFonts w:eastAsiaTheme="majorEastAsia"/>
        </w:rPr>
        <w:t xml:space="preserve">No coordination requirements are considered necessary between </w:t>
      </w:r>
      <w:r w:rsidR="006C2283" w:rsidRPr="00A90065">
        <w:rPr>
          <w:rFonts w:eastAsiaTheme="majorEastAsia"/>
        </w:rPr>
        <w:t xml:space="preserve">co-channel and </w:t>
      </w:r>
      <w:r>
        <w:rPr>
          <w:rFonts w:eastAsiaTheme="majorEastAsia"/>
        </w:rPr>
        <w:t xml:space="preserve">adjacent channel MSS services. </w:t>
      </w:r>
      <w:r w:rsidR="00306225">
        <w:rPr>
          <w:rFonts w:eastAsiaTheme="majorEastAsia"/>
        </w:rPr>
        <w:t xml:space="preserve">We are interested in views on this </w:t>
      </w:r>
      <w:r w:rsidR="00A90065" w:rsidRPr="00A90065">
        <w:rPr>
          <w:rFonts w:eastAsiaTheme="majorEastAsia"/>
        </w:rPr>
        <w:t>proposal</w:t>
      </w:r>
      <w:r w:rsidR="00306225">
        <w:rPr>
          <w:rFonts w:eastAsiaTheme="majorEastAsia"/>
        </w:rPr>
        <w:t xml:space="preserve">, including views on any alternative </w:t>
      </w:r>
      <w:r>
        <w:rPr>
          <w:rFonts w:eastAsiaTheme="majorEastAsia"/>
        </w:rPr>
        <w:t>coordination requirements considered necessary.</w:t>
      </w:r>
    </w:p>
    <w:p w14:paraId="55527C3F" w14:textId="060D0A18" w:rsidR="00035699" w:rsidRPr="00035699" w:rsidRDefault="00035699" w:rsidP="00A45C37">
      <w:pPr>
        <w:spacing w:before="240" w:after="120"/>
        <w:rPr>
          <w:rFonts w:eastAsiaTheme="majorEastAsia"/>
          <w:b/>
          <w:bCs/>
        </w:rPr>
      </w:pPr>
      <w:r w:rsidRPr="00035699">
        <w:rPr>
          <w:rFonts w:eastAsiaTheme="majorEastAsia"/>
          <w:b/>
          <w:bCs/>
        </w:rPr>
        <w:t>Reconsideration of 2 GHz narrowband requirements</w:t>
      </w:r>
    </w:p>
    <w:p w14:paraId="13604BFD" w14:textId="34584CDE" w:rsidR="00035699" w:rsidRDefault="006E621A" w:rsidP="00121758">
      <w:pPr>
        <w:pStyle w:val="ListParagraph"/>
        <w:numPr>
          <w:ilvl w:val="0"/>
          <w:numId w:val="14"/>
        </w:numPr>
        <w:spacing w:after="120"/>
        <w:rPr>
          <w:rFonts w:eastAsiaTheme="majorEastAsia"/>
        </w:rPr>
      </w:pPr>
      <w:r>
        <w:rPr>
          <w:rFonts w:eastAsiaTheme="majorEastAsia"/>
        </w:rPr>
        <w:t xml:space="preserve">We propose that </w:t>
      </w:r>
      <w:r w:rsidR="001178DA">
        <w:t>the current the emission limit at the 2010 MHz boundary could</w:t>
      </w:r>
      <w:r w:rsidR="001178DA" w:rsidDel="00A63574">
        <w:t xml:space="preserve"> </w:t>
      </w:r>
      <w:r w:rsidR="001178DA">
        <w:t xml:space="preserve">reduce from </w:t>
      </w:r>
      <w:r w:rsidR="00040087">
        <w:t>-</w:t>
      </w:r>
      <w:r w:rsidR="001178DA">
        <w:t xml:space="preserve">66 to -60 </w:t>
      </w:r>
      <w:proofErr w:type="spellStart"/>
      <w:r w:rsidR="001178DA">
        <w:t>dBW</w:t>
      </w:r>
      <w:proofErr w:type="spellEnd"/>
      <w:r w:rsidR="001178DA">
        <w:t>/MHz EIRP</w:t>
      </w:r>
      <w:r w:rsidR="00A63574">
        <w:t>. A</w:t>
      </w:r>
      <w:r w:rsidR="001178DA">
        <w:t>re there</w:t>
      </w:r>
      <w:r w:rsidR="001178DA" w:rsidDel="00A63574">
        <w:t xml:space="preserve"> </w:t>
      </w:r>
      <w:r w:rsidR="001178DA">
        <w:t>other elements of arrangements for narrowband MSS that would be beneficial to revie</w:t>
      </w:r>
      <w:r w:rsidR="00A63574">
        <w:t>w?</w:t>
      </w:r>
    </w:p>
    <w:p w14:paraId="1E276B78" w14:textId="5181D68C" w:rsidR="00035699" w:rsidRPr="00F73449" w:rsidRDefault="00B02282" w:rsidP="00121758">
      <w:pPr>
        <w:pStyle w:val="ListParagraph"/>
        <w:numPr>
          <w:ilvl w:val="0"/>
          <w:numId w:val="14"/>
        </w:numPr>
        <w:spacing w:after="120"/>
        <w:rPr>
          <w:rFonts w:eastAsiaTheme="majorEastAsia"/>
        </w:rPr>
      </w:pPr>
      <w:r>
        <w:t>We are considering w</w:t>
      </w:r>
      <w:r w:rsidR="007B144E">
        <w:t>hether</w:t>
      </w:r>
      <w:r w:rsidR="007B144E" w:rsidDel="007B671D">
        <w:t xml:space="preserve"> </w:t>
      </w:r>
      <w:r w:rsidR="007B144E">
        <w:t>ITU-R Recommendation P.1812</w:t>
      </w:r>
      <w:r w:rsidR="007B144E">
        <w:rPr>
          <w:rStyle w:val="FootnoteReference"/>
        </w:rPr>
        <w:footnoteReference w:id="10"/>
      </w:r>
      <w:r w:rsidR="007B144E">
        <w:t xml:space="preserve"> configured to </w:t>
      </w:r>
      <w:r w:rsidR="007B144E" w:rsidRPr="00901637">
        <w:t>10% time (percentage of average year for which the calculated signal level is exceeded) and 10% location</w:t>
      </w:r>
      <w:r w:rsidR="007B144E">
        <w:t xml:space="preserve"> (p</w:t>
      </w:r>
      <w:r w:rsidR="007B144E" w:rsidRPr="00E40E99">
        <w:t>ercentage of locations for which the calculated signal level is exceeded</w:t>
      </w:r>
      <w:r w:rsidR="007B144E" w:rsidDel="00901637">
        <w:t>)</w:t>
      </w:r>
      <w:r w:rsidR="007B144E">
        <w:t xml:space="preserve"> is an appropriate propagation model to use if arrangements are reviewed.</w:t>
      </w:r>
      <w:r>
        <w:t xml:space="preserve"> What are your views on this proposal?</w:t>
      </w:r>
    </w:p>
    <w:p w14:paraId="5FE910FF" w14:textId="77777777" w:rsidR="00121758" w:rsidRDefault="00121758" w:rsidP="00A45C37">
      <w:pPr>
        <w:pStyle w:val="Paragraph"/>
        <w:spacing w:before="240" w:after="120"/>
      </w:pPr>
      <w:r w:rsidRPr="002A0B3E">
        <w:rPr>
          <w:rFonts w:eastAsiaTheme="majorEastAsia"/>
          <w:b/>
          <w:bCs/>
        </w:rPr>
        <w:t xml:space="preserve">Licence allocation </w:t>
      </w:r>
      <w:r>
        <w:rPr>
          <w:rFonts w:eastAsiaTheme="majorEastAsia"/>
          <w:b/>
          <w:bCs/>
        </w:rPr>
        <w:t>design</w:t>
      </w:r>
    </w:p>
    <w:p w14:paraId="0B3E002D" w14:textId="15A87667" w:rsidR="00121758" w:rsidRDefault="00CB68D3" w:rsidP="00121758">
      <w:pPr>
        <w:pStyle w:val="Paragraph"/>
        <w:numPr>
          <w:ilvl w:val="0"/>
          <w:numId w:val="14"/>
        </w:numPr>
      </w:pPr>
      <w:r>
        <w:t xml:space="preserve">We are interested in views about the intended uses of the </w:t>
      </w:r>
      <w:r w:rsidR="00121758" w:rsidRPr="002C1C1C">
        <w:t xml:space="preserve">2 GHz </w:t>
      </w:r>
      <w:r w:rsidR="00121758">
        <w:t xml:space="preserve">MSS </w:t>
      </w:r>
      <w:r w:rsidR="00121758" w:rsidRPr="002C1C1C">
        <w:t>spectrum</w:t>
      </w:r>
      <w:r w:rsidR="00121758">
        <w:t>,</w:t>
      </w:r>
      <w:r w:rsidR="00121758" w:rsidRPr="002C1C1C">
        <w:t xml:space="preserve"> as well as the availability of suitable equipment</w:t>
      </w:r>
      <w:r w:rsidR="00040087">
        <w:t>.</w:t>
      </w:r>
      <w:r w:rsidR="00121758" w:rsidRPr="002C1C1C">
        <w:t xml:space="preserve"> </w:t>
      </w:r>
    </w:p>
    <w:p w14:paraId="64996349" w14:textId="77777777" w:rsidR="00121758" w:rsidRPr="00003C72" w:rsidRDefault="00121758" w:rsidP="00121758">
      <w:pPr>
        <w:pStyle w:val="Paragraph"/>
        <w:numPr>
          <w:ilvl w:val="0"/>
          <w:numId w:val="14"/>
        </w:numPr>
      </w:pPr>
      <w:r>
        <w:t>What is the minimum viable amount of spectrum for 2 GHz MSS services? Is a 2x5 MHz allocation useable or is a minimum of 2x10 MHz required?</w:t>
      </w:r>
    </w:p>
    <w:p w14:paraId="6B82D669" w14:textId="77777777" w:rsidR="00121758" w:rsidRPr="00003C72" w:rsidRDefault="00121758" w:rsidP="00121758">
      <w:pPr>
        <w:pStyle w:val="Paragraph"/>
        <w:numPr>
          <w:ilvl w:val="0"/>
          <w:numId w:val="14"/>
        </w:numPr>
      </w:pPr>
      <w:r>
        <w:t xml:space="preserve">Which of the following options is </w:t>
      </w:r>
      <w:r w:rsidRPr="002C1C1C">
        <w:t xml:space="preserve">the most appropriate frequency lot configuration for </w:t>
      </w:r>
      <w:r>
        <w:t xml:space="preserve">the </w:t>
      </w:r>
      <w:r w:rsidRPr="002C1C1C">
        <w:t xml:space="preserve">2 GHz </w:t>
      </w:r>
      <w:r>
        <w:t xml:space="preserve">MSS </w:t>
      </w:r>
      <w:r w:rsidRPr="002C1C1C">
        <w:t>spectrum</w:t>
      </w:r>
      <w:r>
        <w:t>?</w:t>
      </w:r>
    </w:p>
    <w:p w14:paraId="156873C2" w14:textId="77777777" w:rsidR="00121758" w:rsidRPr="00003C72" w:rsidRDefault="00121758" w:rsidP="00121758">
      <w:pPr>
        <w:pStyle w:val="ListBullet"/>
        <w:numPr>
          <w:ilvl w:val="0"/>
          <w:numId w:val="0"/>
        </w:numPr>
        <w:ind w:left="284"/>
      </w:pPr>
      <w:r w:rsidRPr="002C1C1C">
        <w:t>Configuration 1</w:t>
      </w:r>
    </w:p>
    <w:p w14:paraId="632D8575" w14:textId="15943AAE" w:rsidR="00121758" w:rsidRPr="002C1C1C" w:rsidRDefault="00121758" w:rsidP="00121758">
      <w:pPr>
        <w:pStyle w:val="ListBullet2"/>
      </w:pPr>
      <w:r w:rsidRPr="002C1C1C">
        <w:t>2</w:t>
      </w:r>
      <w:r w:rsidR="00040087">
        <w:t xml:space="preserve"> </w:t>
      </w:r>
      <w:r w:rsidRPr="002C1C1C">
        <w:t>x</w:t>
      </w:r>
      <w:r w:rsidR="00040087">
        <w:t xml:space="preserve"> </w:t>
      </w:r>
      <w:r w:rsidRPr="002C1C1C">
        <w:t>15 MHz paired (1980-1995 MHz with 2170–2185 MHz)</w:t>
      </w:r>
    </w:p>
    <w:p w14:paraId="6465CB3E" w14:textId="729BEC17" w:rsidR="00121758" w:rsidRPr="002C1C1C" w:rsidRDefault="00121758" w:rsidP="00121758">
      <w:pPr>
        <w:pStyle w:val="ListBullet2"/>
      </w:pPr>
      <w:r w:rsidRPr="002C1C1C">
        <w:t>2</w:t>
      </w:r>
      <w:r w:rsidR="00040087">
        <w:t xml:space="preserve"> </w:t>
      </w:r>
      <w:r w:rsidRPr="002C1C1C">
        <w:t>x1</w:t>
      </w:r>
      <w:r w:rsidR="00040087">
        <w:t xml:space="preserve"> </w:t>
      </w:r>
      <w:r w:rsidRPr="002C1C1C">
        <w:t>0 MHz paired (1995–2005 MHz with 2185–2195 MHz)</w:t>
      </w:r>
      <w:r w:rsidR="00040087">
        <w:t>.</w:t>
      </w:r>
    </w:p>
    <w:p w14:paraId="3032FF63" w14:textId="77777777" w:rsidR="00121758" w:rsidRPr="002C1C1C" w:rsidRDefault="00121758" w:rsidP="00121758">
      <w:pPr>
        <w:pStyle w:val="ListBullet"/>
        <w:numPr>
          <w:ilvl w:val="0"/>
          <w:numId w:val="0"/>
        </w:numPr>
        <w:ind w:left="579" w:hanging="295"/>
      </w:pPr>
      <w:r w:rsidRPr="002C1C1C">
        <w:t>Configuration 2</w:t>
      </w:r>
    </w:p>
    <w:p w14:paraId="2F7C4817" w14:textId="77777777" w:rsidR="00121758" w:rsidRDefault="00121758" w:rsidP="00121758">
      <w:pPr>
        <w:pStyle w:val="ListBullet2"/>
      </w:pPr>
      <w:r w:rsidRPr="00003C72">
        <w:t>5 generic 2 x 5 MHz paired lots which would provide participants in the a</w:t>
      </w:r>
      <w:r>
        <w:t>llocation</w:t>
      </w:r>
      <w:r w:rsidRPr="00003C72">
        <w:t xml:space="preserve"> the opportunity to bid for as many blocks as suits their use case.</w:t>
      </w:r>
    </w:p>
    <w:p w14:paraId="4DE66D00" w14:textId="77777777" w:rsidR="00121758" w:rsidRPr="00003C72" w:rsidRDefault="00121758" w:rsidP="00121758">
      <w:pPr>
        <w:pStyle w:val="ListBullet2"/>
        <w:numPr>
          <w:ilvl w:val="0"/>
          <w:numId w:val="0"/>
        </w:numPr>
        <w:ind w:left="845" w:hanging="544"/>
      </w:pPr>
    </w:p>
    <w:p w14:paraId="1BF08041" w14:textId="77777777" w:rsidR="00121758" w:rsidRDefault="00121758" w:rsidP="00121758">
      <w:pPr>
        <w:pStyle w:val="Paragraph"/>
        <w:ind w:left="360"/>
      </w:pPr>
    </w:p>
    <w:p w14:paraId="7474FCA0" w14:textId="77777777" w:rsidR="00121758" w:rsidRPr="00BA482C" w:rsidRDefault="00121758" w:rsidP="00121758">
      <w:pPr>
        <w:pStyle w:val="Heading1"/>
        <w:numPr>
          <w:ilvl w:val="0"/>
          <w:numId w:val="13"/>
        </w:numPr>
        <w:ind w:left="0" w:firstLine="0"/>
      </w:pPr>
      <w:bookmarkStart w:id="7" w:name="_Toc150510345"/>
      <w:bookmarkStart w:id="8" w:name="_Toc151469330"/>
      <w:r w:rsidRPr="00BA482C">
        <w:t>Introduction</w:t>
      </w:r>
      <w:bookmarkEnd w:id="7"/>
      <w:bookmarkEnd w:id="8"/>
    </w:p>
    <w:p w14:paraId="470C7D1C" w14:textId="77777777" w:rsidR="00121758" w:rsidRPr="0064661E" w:rsidRDefault="00121758" w:rsidP="00C66771">
      <w:pPr>
        <w:pStyle w:val="Heading2"/>
      </w:pPr>
      <w:bookmarkStart w:id="9" w:name="_Toc136591905"/>
      <w:bookmarkStart w:id="10" w:name="_Toc150510346"/>
      <w:bookmarkStart w:id="11" w:name="_Toc151469331"/>
      <w:r w:rsidRPr="0064661E">
        <w:t>Background</w:t>
      </w:r>
      <w:bookmarkEnd w:id="9"/>
      <w:bookmarkEnd w:id="10"/>
      <w:bookmarkEnd w:id="11"/>
      <w:r>
        <w:t xml:space="preserve"> </w:t>
      </w:r>
    </w:p>
    <w:p w14:paraId="45288618" w14:textId="63F55B7A" w:rsidR="00121758" w:rsidRPr="008E6321" w:rsidRDefault="00121758" w:rsidP="00121758">
      <w:pPr>
        <w:pStyle w:val="Paragraphbeforelist"/>
      </w:pPr>
      <w:r w:rsidRPr="00006462">
        <w:t>In January 2021</w:t>
      </w:r>
      <w:r w:rsidR="00CC19B8">
        <w:t>,</w:t>
      </w:r>
      <w:r w:rsidRPr="00006462">
        <w:t xml:space="preserve"> </w:t>
      </w:r>
      <w:r>
        <w:t xml:space="preserve">we published </w:t>
      </w:r>
      <w:r w:rsidR="0053570E">
        <w:t>an</w:t>
      </w:r>
      <w:r>
        <w:t xml:space="preserve"> outcomes paper</w:t>
      </w:r>
      <w:r>
        <w:rPr>
          <w:rStyle w:val="FootnoteReference"/>
        </w:rPr>
        <w:footnoteReference w:id="11"/>
      </w:r>
      <w:r w:rsidRPr="00006462">
        <w:t xml:space="preserve"> </w:t>
      </w:r>
      <w:r>
        <w:t xml:space="preserve">on the review of the </w:t>
      </w:r>
      <w:r w:rsidRPr="00006462">
        <w:t>2 GHz band (1980</w:t>
      </w:r>
      <w:r w:rsidR="00CC19B8">
        <w:t>–</w:t>
      </w:r>
      <w:r w:rsidRPr="00006462">
        <w:t>2010/2170</w:t>
      </w:r>
      <w:r w:rsidR="00CC19B8">
        <w:t>–</w:t>
      </w:r>
      <w:r w:rsidRPr="00006462">
        <w:t xml:space="preserve">2200 MHz) </w:t>
      </w:r>
      <w:r>
        <w:t xml:space="preserve">which detailed </w:t>
      </w:r>
      <w:r w:rsidR="008C12A9">
        <w:t>the</w:t>
      </w:r>
      <w:r>
        <w:t xml:space="preserve"> </w:t>
      </w:r>
      <w:r w:rsidRPr="00006462">
        <w:t>decision to replan the band for mobile-satellite service</w:t>
      </w:r>
      <w:r>
        <w:t xml:space="preserve"> as follows:</w:t>
      </w:r>
      <w:r w:rsidRPr="00255A62">
        <w:rPr>
          <w:u w:color="0000FF"/>
        </w:rPr>
        <w:t xml:space="preserve"> </w:t>
      </w:r>
    </w:p>
    <w:p w14:paraId="3EAD2847" w14:textId="77777777" w:rsidR="00121758" w:rsidRDefault="00121758" w:rsidP="00121758">
      <w:pPr>
        <w:pStyle w:val="Bulletlevel1"/>
      </w:pPr>
      <w:bookmarkStart w:id="12" w:name="_Hlk146784736"/>
      <w:r>
        <w:t xml:space="preserve">2 x 25 MHz (1980–2005 MHz and 2170–2195 MHz) for Australia-wide mobile-satellite services (MSS), with support for deployment of a complementary ground component (CGC) including direct air-to-ground communications services (DA2GC), where a licensee wishes to supplement its MSS. Our preliminary view was that licences should be allocated using </w:t>
      </w:r>
      <w:r w:rsidRPr="00A85D75">
        <w:t>a price-based allocation mechanism</w:t>
      </w:r>
      <w:r>
        <w:t xml:space="preserve"> via auction.</w:t>
      </w:r>
    </w:p>
    <w:bookmarkEnd w:id="12"/>
    <w:p w14:paraId="13EEF24E" w14:textId="77777777" w:rsidR="00121758" w:rsidRDefault="00121758" w:rsidP="00121758">
      <w:pPr>
        <w:pStyle w:val="Bulletlevel1last"/>
      </w:pPr>
      <w:r>
        <w:t>2 x 5 MHz (2005–2010 MHz and 2195–2200 MHz) for shared narrowband MSS including telemetry, short messaging, and low-data-rate services such as satellite IoT (internet of things) application.</w:t>
      </w:r>
    </w:p>
    <w:p w14:paraId="2DED2EC8" w14:textId="1EFAEF43" w:rsidR="008C12A9" w:rsidRDefault="00121758" w:rsidP="00121758">
      <w:pPr>
        <w:pStyle w:val="Paragraph"/>
      </w:pPr>
      <w:r w:rsidRPr="00336593">
        <w:t>In July 2022</w:t>
      </w:r>
      <w:r w:rsidR="00CC19B8">
        <w:t>,</w:t>
      </w:r>
      <w:r w:rsidRPr="00336593">
        <w:t xml:space="preserve"> we introduced arrangements supporting narrowband MSS systems. </w:t>
      </w:r>
    </w:p>
    <w:p w14:paraId="50D24AE4" w14:textId="61478D2F" w:rsidR="00121758" w:rsidRDefault="00121758" w:rsidP="00121758">
      <w:pPr>
        <w:pStyle w:val="Paragraph"/>
      </w:pPr>
      <w:r w:rsidRPr="00336593">
        <w:t xml:space="preserve">We are now working on arrangements to support </w:t>
      </w:r>
      <w:r>
        <w:t xml:space="preserve">2 GHz MSS </w:t>
      </w:r>
      <w:r w:rsidR="00CB68D3">
        <w:t>use in the band.</w:t>
      </w:r>
    </w:p>
    <w:p w14:paraId="2E8FDB48" w14:textId="56C352BA" w:rsidR="00121758" w:rsidRDefault="00CB1513" w:rsidP="00121758">
      <w:pPr>
        <w:pStyle w:val="Paragraphbeforelist"/>
        <w:rPr>
          <w:u w:color="0000FF"/>
        </w:rPr>
      </w:pPr>
      <w:r>
        <w:t>T</w:t>
      </w:r>
      <w:r w:rsidR="00121758">
        <w:t>he outcome</w:t>
      </w:r>
      <w:r>
        <w:t>s</w:t>
      </w:r>
      <w:r w:rsidR="00121758">
        <w:t xml:space="preserve"> paper also presented preliminary views on</w:t>
      </w:r>
      <w:r w:rsidR="00121758" w:rsidRPr="00A85D75">
        <w:t xml:space="preserve"> a range of matters that may apply to spectrum planning</w:t>
      </w:r>
      <w:r w:rsidR="00121758">
        <w:rPr>
          <w:rStyle w:val="FootnoteReference"/>
        </w:rPr>
        <w:footnoteReference w:id="12"/>
      </w:r>
      <w:r w:rsidR="00121758" w:rsidRPr="00A85D75">
        <w:t xml:space="preserve"> and licensing arrangements for mobile</w:t>
      </w:r>
      <w:r w:rsidR="00121758">
        <w:t>-</w:t>
      </w:r>
      <w:r w:rsidR="00121758" w:rsidRPr="00A85D75">
        <w:t>satellite services</w:t>
      </w:r>
      <w:r w:rsidR="00121758">
        <w:t xml:space="preserve">. Those views have formed the basis for the initial work in developing </w:t>
      </w:r>
      <w:r>
        <w:t xml:space="preserve">technical </w:t>
      </w:r>
      <w:r w:rsidR="00121758">
        <w:t xml:space="preserve">design </w:t>
      </w:r>
      <w:r>
        <w:t>features</w:t>
      </w:r>
      <w:r w:rsidR="00121758">
        <w:t xml:space="preserve"> for 2 GHz MSS</w:t>
      </w:r>
      <w:r>
        <w:t>.</w:t>
      </w:r>
    </w:p>
    <w:p w14:paraId="5FDC1373" w14:textId="77777777" w:rsidR="00121758" w:rsidRDefault="00121758" w:rsidP="001C1A3E">
      <w:pPr>
        <w:pStyle w:val="Heading2"/>
      </w:pPr>
      <w:bookmarkStart w:id="13" w:name="_Toc150510347"/>
      <w:bookmarkStart w:id="14" w:name="_Toc151469332"/>
      <w:r w:rsidRPr="009F6808">
        <w:t>Purpose</w:t>
      </w:r>
      <w:bookmarkEnd w:id="13"/>
      <w:bookmarkEnd w:id="14"/>
      <w:r w:rsidRPr="009F6808">
        <w:t xml:space="preserve"> </w:t>
      </w:r>
    </w:p>
    <w:p w14:paraId="18E308C2" w14:textId="77777777" w:rsidR="00121758" w:rsidRPr="00270A83" w:rsidRDefault="00121758" w:rsidP="00121758">
      <w:pPr>
        <w:rPr>
          <w:rFonts w:eastAsia="Arial" w:cs="Arial"/>
        </w:rPr>
      </w:pPr>
      <w:r>
        <w:rPr>
          <w:rFonts w:eastAsia="Arial" w:cs="Arial"/>
        </w:rPr>
        <w:t xml:space="preserve">The ACMA’s spectrum management decisions are guided by the object of the </w:t>
      </w:r>
      <w:r>
        <w:rPr>
          <w:rFonts w:eastAsia="Arial" w:cs="Arial"/>
          <w:i/>
          <w:iCs/>
        </w:rPr>
        <w:t>Radiocommunications Act 1992</w:t>
      </w:r>
      <w:r>
        <w:rPr>
          <w:rFonts w:eastAsia="Arial" w:cs="Arial"/>
        </w:rPr>
        <w:t xml:space="preserve"> (the Act), which is to promote the long-term public interest derived from the use of the spectrum.</w:t>
      </w:r>
    </w:p>
    <w:p w14:paraId="30D818D2" w14:textId="57716A72" w:rsidR="00727764" w:rsidRDefault="00121758" w:rsidP="00727764">
      <w:pPr>
        <w:rPr>
          <w:rFonts w:eastAsia="Arial" w:cs="Arial"/>
        </w:rPr>
      </w:pPr>
      <w:r w:rsidRPr="4F20F49D">
        <w:rPr>
          <w:rFonts w:eastAsia="Arial" w:cs="Arial"/>
        </w:rPr>
        <w:t>In</w:t>
      </w:r>
      <w:r>
        <w:rPr>
          <w:rFonts w:eastAsia="Arial" w:cs="Arial"/>
        </w:rPr>
        <w:t xml:space="preserve"> our </w:t>
      </w:r>
      <w:hyperlink r:id="rId25" w:history="1">
        <w:r w:rsidR="00E70852" w:rsidRPr="00B6306C">
          <w:rPr>
            <w:rStyle w:val="Hyperlink"/>
            <w:rFonts w:eastAsia="Arial" w:cs="Arial"/>
          </w:rPr>
          <w:t>F</w:t>
        </w:r>
        <w:r w:rsidRPr="00B6306C">
          <w:rPr>
            <w:rStyle w:val="Hyperlink"/>
            <w:rFonts w:eastAsia="Arial" w:cs="Arial"/>
          </w:rPr>
          <w:t>ive</w:t>
        </w:r>
        <w:r w:rsidR="00B6306C" w:rsidRPr="00B6306C">
          <w:rPr>
            <w:rStyle w:val="Hyperlink"/>
            <w:rFonts w:eastAsia="Arial" w:cs="Arial"/>
          </w:rPr>
          <w:t>-y</w:t>
        </w:r>
        <w:r w:rsidRPr="00B6306C">
          <w:rPr>
            <w:rStyle w:val="Hyperlink"/>
            <w:rFonts w:eastAsia="Arial" w:cs="Arial"/>
          </w:rPr>
          <w:t xml:space="preserve">ear </w:t>
        </w:r>
        <w:r w:rsidR="00B6306C" w:rsidRPr="00B6306C">
          <w:rPr>
            <w:rStyle w:val="Hyperlink"/>
            <w:rFonts w:eastAsia="Arial" w:cs="Arial"/>
          </w:rPr>
          <w:t>s</w:t>
        </w:r>
        <w:r w:rsidRPr="00B6306C">
          <w:rPr>
            <w:rStyle w:val="Hyperlink"/>
            <w:rFonts w:eastAsia="Arial" w:cs="Arial"/>
          </w:rPr>
          <w:t xml:space="preserve">pectrum </w:t>
        </w:r>
        <w:r w:rsidR="00B6306C" w:rsidRPr="00B6306C">
          <w:rPr>
            <w:rStyle w:val="Hyperlink"/>
            <w:rFonts w:eastAsia="Arial" w:cs="Arial"/>
          </w:rPr>
          <w:t>o</w:t>
        </w:r>
        <w:r w:rsidRPr="00B6306C">
          <w:rPr>
            <w:rStyle w:val="Hyperlink"/>
            <w:rFonts w:eastAsia="Arial" w:cs="Arial"/>
          </w:rPr>
          <w:t>utlook 2023</w:t>
        </w:r>
        <w:r w:rsidR="00B6306C" w:rsidRPr="00B6306C">
          <w:rPr>
            <w:rStyle w:val="Hyperlink"/>
            <w:rFonts w:eastAsia="Arial" w:cs="Arial"/>
          </w:rPr>
          <w:t>–</w:t>
        </w:r>
        <w:r w:rsidRPr="00B6306C">
          <w:rPr>
            <w:rStyle w:val="Hyperlink"/>
            <w:rFonts w:eastAsia="Arial" w:cs="Arial"/>
          </w:rPr>
          <w:t>28</w:t>
        </w:r>
      </w:hyperlink>
      <w:r w:rsidR="00B6306C">
        <w:rPr>
          <w:rFonts w:eastAsia="Arial" w:cs="Arial"/>
        </w:rPr>
        <w:t xml:space="preserve">, </w:t>
      </w:r>
      <w:r>
        <w:rPr>
          <w:rFonts w:eastAsia="Arial" w:cs="Arial"/>
        </w:rPr>
        <w:t>we committed to commence p</w:t>
      </w:r>
      <w:r w:rsidRPr="4F20F49D">
        <w:rPr>
          <w:rFonts w:eastAsia="Arial" w:cs="Arial"/>
        </w:rPr>
        <w:t xml:space="preserve">reliminary consultation </w:t>
      </w:r>
      <w:r>
        <w:rPr>
          <w:rFonts w:eastAsia="Arial" w:cs="Arial"/>
        </w:rPr>
        <w:t xml:space="preserve">in Q4 2024 </w:t>
      </w:r>
      <w:r w:rsidRPr="4F20F49D">
        <w:rPr>
          <w:rFonts w:eastAsia="Arial" w:cs="Arial"/>
        </w:rPr>
        <w:t xml:space="preserve">with industry on </w:t>
      </w:r>
      <w:r>
        <w:rPr>
          <w:rFonts w:eastAsia="Arial" w:cs="Arial"/>
        </w:rPr>
        <w:t xml:space="preserve">draft </w:t>
      </w:r>
      <w:r w:rsidRPr="4F20F49D" w:rsidDel="00E70852">
        <w:rPr>
          <w:rFonts w:eastAsia="Arial" w:cs="Arial"/>
        </w:rPr>
        <w:t xml:space="preserve">technical </w:t>
      </w:r>
      <w:r w:rsidRPr="4F20F49D">
        <w:rPr>
          <w:rFonts w:eastAsia="Arial" w:cs="Arial"/>
        </w:rPr>
        <w:t xml:space="preserve">parameters and coordination requirements to support </w:t>
      </w:r>
      <w:r>
        <w:rPr>
          <w:rFonts w:eastAsia="Arial" w:cs="Arial"/>
        </w:rPr>
        <w:t xml:space="preserve">2 GHz </w:t>
      </w:r>
      <w:r w:rsidRPr="4F20F49D">
        <w:rPr>
          <w:rFonts w:eastAsia="Arial" w:cs="Arial"/>
        </w:rPr>
        <w:t xml:space="preserve">MSS (including the use of </w:t>
      </w:r>
      <w:r w:rsidRPr="00FF155E">
        <w:rPr>
          <w:rFonts w:eastAsia="Arial" w:cs="Arial"/>
        </w:rPr>
        <w:t>CGC</w:t>
      </w:r>
      <w:r w:rsidRPr="4F20F49D">
        <w:rPr>
          <w:rFonts w:eastAsia="Arial" w:cs="Arial"/>
        </w:rPr>
        <w:t>).</w:t>
      </w:r>
      <w:r>
        <w:rPr>
          <w:rFonts w:eastAsia="Arial" w:cs="Arial"/>
        </w:rPr>
        <w:t xml:space="preserve"> We also undertook to seek further information on the extent of demand for the spectrum in this band, for the purposes of deploying MSS.</w:t>
      </w:r>
      <w:r w:rsidR="007E527E">
        <w:rPr>
          <w:rFonts w:eastAsia="Arial" w:cs="Arial"/>
        </w:rPr>
        <w:t xml:space="preserve"> </w:t>
      </w:r>
      <w:r w:rsidR="00727764">
        <w:rPr>
          <w:rFonts w:eastAsia="Arial" w:cs="Arial"/>
        </w:rPr>
        <w:t xml:space="preserve">We are now </w:t>
      </w:r>
      <w:r w:rsidR="00702561">
        <w:rPr>
          <w:rFonts w:eastAsia="Arial" w:cs="Arial"/>
        </w:rPr>
        <w:t>consulting</w:t>
      </w:r>
      <w:r w:rsidR="00727764">
        <w:rPr>
          <w:rFonts w:eastAsia="Arial" w:cs="Arial"/>
        </w:rPr>
        <w:t xml:space="preserve"> on </w:t>
      </w:r>
      <w:r w:rsidR="00702561">
        <w:rPr>
          <w:rFonts w:eastAsia="Arial" w:cs="Arial"/>
        </w:rPr>
        <w:t>these issues with the release of this paper</w:t>
      </w:r>
      <w:r w:rsidR="003C1E6D">
        <w:rPr>
          <w:rFonts w:eastAsia="Arial" w:cs="Arial"/>
        </w:rPr>
        <w:t>. The</w:t>
      </w:r>
      <w:r w:rsidR="00CC1FE5">
        <w:t xml:space="preserve"> first part of the paper consider</w:t>
      </w:r>
      <w:r w:rsidR="003C1E6D">
        <w:t>s</w:t>
      </w:r>
      <w:r w:rsidR="00CC1FE5">
        <w:t xml:space="preserve"> the technical design </w:t>
      </w:r>
      <w:r w:rsidR="003C1E6D">
        <w:t>features</w:t>
      </w:r>
      <w:r w:rsidR="00CC1FE5">
        <w:t xml:space="preserve"> (sections 2 to 4 and supporting appendices). </w:t>
      </w:r>
      <w:r w:rsidR="008A7687">
        <w:t xml:space="preserve">Section 5 </w:t>
      </w:r>
      <w:r w:rsidR="00CC1FE5">
        <w:t xml:space="preserve">considers licences </w:t>
      </w:r>
      <w:r w:rsidR="00B6306C">
        <w:br/>
      </w:r>
      <w:r w:rsidR="00CC1FE5">
        <w:t>allocations matters.</w:t>
      </w:r>
    </w:p>
    <w:p w14:paraId="0A12F6C0" w14:textId="66E05998" w:rsidR="005A2EC6" w:rsidRDefault="005A2EC6" w:rsidP="005A2EC6">
      <w:r w:rsidRPr="4F20F49D">
        <w:rPr>
          <w:rFonts w:eastAsia="Arial" w:cs="Arial"/>
        </w:rPr>
        <w:t xml:space="preserve">The </w:t>
      </w:r>
      <w:r>
        <w:rPr>
          <w:rFonts w:eastAsia="Arial" w:cs="Arial"/>
        </w:rPr>
        <w:t xml:space="preserve">intention is that submissions to this </w:t>
      </w:r>
      <w:r w:rsidRPr="4F20F49D">
        <w:rPr>
          <w:rFonts w:eastAsia="Arial" w:cs="Arial"/>
        </w:rPr>
        <w:t xml:space="preserve">consultation </w:t>
      </w:r>
      <w:r>
        <w:rPr>
          <w:rFonts w:eastAsia="Arial" w:cs="Arial"/>
        </w:rPr>
        <w:t xml:space="preserve">will help </w:t>
      </w:r>
      <w:r w:rsidRPr="4F20F49D">
        <w:rPr>
          <w:rFonts w:eastAsia="Arial" w:cs="Arial"/>
        </w:rPr>
        <w:t xml:space="preserve">inform </w:t>
      </w:r>
      <w:r>
        <w:rPr>
          <w:rFonts w:eastAsia="Arial" w:cs="Arial"/>
        </w:rPr>
        <w:t xml:space="preserve">the </w:t>
      </w:r>
      <w:r w:rsidRPr="4F20F49D">
        <w:rPr>
          <w:rFonts w:eastAsia="Arial" w:cs="Arial"/>
        </w:rPr>
        <w:t>draft</w:t>
      </w:r>
      <w:r>
        <w:rPr>
          <w:rFonts w:eastAsia="Arial" w:cs="Arial"/>
        </w:rPr>
        <w:t xml:space="preserve">ing </w:t>
      </w:r>
      <w:r w:rsidR="00B6306C">
        <w:rPr>
          <w:rFonts w:eastAsia="Arial" w:cs="Arial"/>
        </w:rPr>
        <w:br/>
      </w:r>
      <w:r>
        <w:rPr>
          <w:rFonts w:eastAsia="Arial" w:cs="Arial"/>
        </w:rPr>
        <w:t>of</w:t>
      </w:r>
      <w:r w:rsidRPr="4F20F49D">
        <w:rPr>
          <w:rFonts w:eastAsia="Arial" w:cs="Arial"/>
        </w:rPr>
        <w:t xml:space="preserve"> technical framework </w:t>
      </w:r>
      <w:r>
        <w:rPr>
          <w:rFonts w:eastAsia="Arial" w:cs="Arial"/>
        </w:rPr>
        <w:t xml:space="preserve">instruments </w:t>
      </w:r>
      <w:r w:rsidRPr="4F20F49D">
        <w:rPr>
          <w:rFonts w:eastAsia="Arial" w:cs="Arial"/>
        </w:rPr>
        <w:t xml:space="preserve">supporting </w:t>
      </w:r>
      <w:r>
        <w:rPr>
          <w:rFonts w:eastAsia="Arial" w:cs="Arial"/>
        </w:rPr>
        <w:t>an</w:t>
      </w:r>
      <w:r w:rsidRPr="4F20F49D">
        <w:rPr>
          <w:rFonts w:eastAsia="Arial" w:cs="Arial"/>
        </w:rPr>
        <w:t xml:space="preserve"> allocation of licences in </w:t>
      </w:r>
      <w:r w:rsidR="00B6306C">
        <w:rPr>
          <w:rFonts w:eastAsia="Arial" w:cs="Arial"/>
        </w:rPr>
        <w:br/>
      </w:r>
      <w:r w:rsidRPr="4F20F49D">
        <w:rPr>
          <w:rFonts w:eastAsia="Arial" w:cs="Arial"/>
        </w:rPr>
        <w:t>1980–2005/2170–2195 MHz</w:t>
      </w:r>
      <w:r>
        <w:rPr>
          <w:rFonts w:eastAsia="Arial" w:cs="Arial"/>
        </w:rPr>
        <w:t xml:space="preserve"> and also inform </w:t>
      </w:r>
      <w:r w:rsidRPr="4F20F49D">
        <w:rPr>
          <w:rFonts w:eastAsia="Arial" w:cs="Arial"/>
        </w:rPr>
        <w:t xml:space="preserve">a decision on </w:t>
      </w:r>
      <w:r>
        <w:rPr>
          <w:rFonts w:eastAsia="Arial" w:cs="Arial"/>
        </w:rPr>
        <w:t xml:space="preserve">the </w:t>
      </w:r>
      <w:r w:rsidRPr="4F20F49D">
        <w:rPr>
          <w:rFonts w:eastAsia="Arial" w:cs="Arial"/>
        </w:rPr>
        <w:t>allocation method</w:t>
      </w:r>
      <w:r>
        <w:rPr>
          <w:rFonts w:eastAsia="Arial" w:cs="Arial"/>
        </w:rPr>
        <w:t>.</w:t>
      </w:r>
    </w:p>
    <w:p w14:paraId="64613AD6" w14:textId="77777777" w:rsidR="002932E0" w:rsidRPr="004A71B9" w:rsidRDefault="002932E0" w:rsidP="002932E0">
      <w:r>
        <w:rPr>
          <w:rFonts w:eastAsia="Arial" w:cs="Arial"/>
        </w:rPr>
        <w:t>F</w:t>
      </w:r>
      <w:r w:rsidRPr="4F20F49D">
        <w:rPr>
          <w:rFonts w:eastAsia="Arial" w:cs="Arial"/>
        </w:rPr>
        <w:t>ormal consultation on the technical framework and allocation design is envisaged to commence in Q</w:t>
      </w:r>
      <w:r>
        <w:rPr>
          <w:rFonts w:eastAsia="Arial" w:cs="Arial"/>
        </w:rPr>
        <w:t>3</w:t>
      </w:r>
      <w:r w:rsidRPr="4F20F49D">
        <w:rPr>
          <w:rFonts w:eastAsia="Arial" w:cs="Arial"/>
        </w:rPr>
        <w:t xml:space="preserve"> 2024</w:t>
      </w:r>
      <w:r>
        <w:rPr>
          <w:rFonts w:eastAsia="Arial" w:cs="Arial"/>
        </w:rPr>
        <w:t xml:space="preserve">. This has been delayed from the Q2 2024 timing outlined in the FYSO. The slightly later timing of the next consultation will allow consideration of the outcomes of the current consultation process. </w:t>
      </w:r>
      <w:r w:rsidRPr="0070001D">
        <w:rPr>
          <w:rFonts w:eastAsia="Arial" w:cs="Arial"/>
        </w:rPr>
        <w:t xml:space="preserve">Timing for </w:t>
      </w:r>
      <w:r>
        <w:rPr>
          <w:rFonts w:eastAsia="Arial" w:cs="Arial"/>
        </w:rPr>
        <w:t xml:space="preserve">the </w:t>
      </w:r>
      <w:r w:rsidRPr="0070001D">
        <w:rPr>
          <w:rFonts w:eastAsia="Arial" w:cs="Arial"/>
        </w:rPr>
        <w:t>allocation of licences is expected to occur in 2024–25</w:t>
      </w:r>
      <w:r>
        <w:t>.</w:t>
      </w:r>
    </w:p>
    <w:p w14:paraId="29D06778" w14:textId="650E2E0F" w:rsidR="00121758" w:rsidRDefault="00121758" w:rsidP="00C66771">
      <w:pPr>
        <w:pStyle w:val="Heading2"/>
      </w:pPr>
      <w:bookmarkStart w:id="15" w:name="_Toc150935968"/>
      <w:bookmarkStart w:id="16" w:name="_Toc150510348"/>
      <w:bookmarkStart w:id="17" w:name="_Toc151469333"/>
      <w:bookmarkEnd w:id="15"/>
      <w:r>
        <w:t xml:space="preserve">Technical design </w:t>
      </w:r>
      <w:r w:rsidR="00DC6DA1">
        <w:t>features</w:t>
      </w:r>
      <w:bookmarkEnd w:id="16"/>
      <w:bookmarkEnd w:id="17"/>
      <w:r>
        <w:t xml:space="preserve">  </w:t>
      </w:r>
    </w:p>
    <w:p w14:paraId="3B1E321F" w14:textId="611A6CA3" w:rsidR="00121758" w:rsidRDefault="00F50FC1" w:rsidP="00121758">
      <w:pPr>
        <w:pStyle w:val="Paragraph"/>
        <w:rPr>
          <w:rFonts w:eastAsia="Arial"/>
        </w:rPr>
      </w:pPr>
      <w:r>
        <w:rPr>
          <w:rFonts w:eastAsiaTheme="majorEastAsia"/>
        </w:rPr>
        <w:t xml:space="preserve">While the administrative documents and legislative instruments supporting the technical framework will be developed closer to the allocation of licences for 2 GHz MSS band, it is useful to commence discussions on the </w:t>
      </w:r>
      <w:r w:rsidRPr="4F20F49D">
        <w:rPr>
          <w:rFonts w:eastAsia="Arial"/>
        </w:rPr>
        <w:t xml:space="preserve">technical parameters </w:t>
      </w:r>
      <w:r>
        <w:rPr>
          <w:rFonts w:eastAsia="Arial"/>
        </w:rPr>
        <w:t xml:space="preserve">for </w:t>
      </w:r>
      <w:r w:rsidR="003C4812">
        <w:rPr>
          <w:rFonts w:eastAsia="Arial"/>
        </w:rPr>
        <w:br/>
      </w:r>
      <w:r>
        <w:rPr>
          <w:rFonts w:eastAsia="Arial"/>
        </w:rPr>
        <w:t xml:space="preserve">2 GHz MSS </w:t>
      </w:r>
      <w:r w:rsidRPr="4F20F49D">
        <w:rPr>
          <w:rFonts w:eastAsia="Arial"/>
        </w:rPr>
        <w:t xml:space="preserve">and </w:t>
      </w:r>
      <w:r>
        <w:rPr>
          <w:rFonts w:eastAsia="Arial"/>
        </w:rPr>
        <w:t>the coexistence arrangements</w:t>
      </w:r>
      <w:r w:rsidRPr="4F20F49D">
        <w:rPr>
          <w:rFonts w:eastAsia="Arial"/>
        </w:rPr>
        <w:t xml:space="preserve"> with </w:t>
      </w:r>
      <w:r>
        <w:rPr>
          <w:rFonts w:eastAsia="Arial"/>
        </w:rPr>
        <w:t>other spectrum uses and users (both within the 2 GHz band, between different 2 GHz MSS licensees</w:t>
      </w:r>
      <w:r w:rsidR="003C4812">
        <w:rPr>
          <w:rFonts w:eastAsia="Arial"/>
        </w:rPr>
        <w:t>,</w:t>
      </w:r>
      <w:r>
        <w:rPr>
          <w:rFonts w:eastAsia="Arial"/>
        </w:rPr>
        <w:t xml:space="preserve"> and users adjacent to the 2 GHz MSS band)</w:t>
      </w:r>
      <w:r w:rsidRPr="4F20F49D">
        <w:rPr>
          <w:rFonts w:eastAsia="Arial"/>
        </w:rPr>
        <w:t>.</w:t>
      </w:r>
    </w:p>
    <w:p w14:paraId="20C08B35" w14:textId="5DE6426F" w:rsidR="0090496E" w:rsidRDefault="0090496E" w:rsidP="0090496E">
      <w:pPr>
        <w:pStyle w:val="Paragraph"/>
      </w:pPr>
      <w:r>
        <w:t>The MSS requirements have been developed with regard to ITU requirements for the satellite component of IMT-2020</w:t>
      </w:r>
      <w:r w:rsidR="003C4812">
        <w:t>,</w:t>
      </w:r>
      <w:r>
        <w:rPr>
          <w:rStyle w:val="FootnoteReference"/>
        </w:rPr>
        <w:footnoteReference w:id="13"/>
      </w:r>
      <w:r>
        <w:t xml:space="preserve"> 3GPP</w:t>
      </w:r>
      <w:r w:rsidR="00054273">
        <w:t xml:space="preserve"> </w:t>
      </w:r>
      <w:r>
        <w:t xml:space="preserve">work on 2 GHz </w:t>
      </w:r>
      <w:r w:rsidR="003C4812">
        <w:t>n</w:t>
      </w:r>
      <w:r>
        <w:t>on-</w:t>
      </w:r>
      <w:r w:rsidR="003C4812">
        <w:t>t</w:t>
      </w:r>
      <w:r>
        <w:t xml:space="preserve">errestrial </w:t>
      </w:r>
      <w:r w:rsidR="003C4812">
        <w:t>n</w:t>
      </w:r>
      <w:r>
        <w:t xml:space="preserve">etwork and European arrangements for </w:t>
      </w:r>
      <w:r w:rsidRPr="000F6627">
        <w:t>2 GHz MSS (including CGC</w:t>
      </w:r>
      <w:r>
        <w:t xml:space="preserve">). Where possible, to </w:t>
      </w:r>
      <w:r w:rsidDel="009567DA">
        <w:t xml:space="preserve">facilitate </w:t>
      </w:r>
      <w:r>
        <w:t xml:space="preserve">coexistence with adjacent band 2 GHz spectrum licensed services, </w:t>
      </w:r>
      <w:r w:rsidR="003C4812">
        <w:t xml:space="preserve">we </w:t>
      </w:r>
      <w:r>
        <w:t xml:space="preserve">consider that the technical framework for 2 GHz MSS band should align with that of the 2 GHz spectrum licensing framework. </w:t>
      </w:r>
      <w:r w:rsidRPr="00722961">
        <w:t>For example, user</w:t>
      </w:r>
      <w:r w:rsidRPr="00722961" w:rsidDel="003201D6">
        <w:t xml:space="preserve"> </w:t>
      </w:r>
      <w:r w:rsidRPr="00722961">
        <w:t>equipment (whether being used as part of a mobile satellite service or a complementary ground component system) will have the same technical parameters</w:t>
      </w:r>
      <w:r>
        <w:t xml:space="preserve">, </w:t>
      </w:r>
      <w:r w:rsidRPr="00722961">
        <w:t xml:space="preserve">based on those specified for user equipment (known as registration exempt devices) in the 2 GHz spectrum licence technical framework. Similarly, parameters for CGC base stations will be based on those specified for </w:t>
      </w:r>
      <w:r>
        <w:t xml:space="preserve">a </w:t>
      </w:r>
      <w:r w:rsidRPr="00722961">
        <w:t>base station in the 2 GHz spectrum licence technical framework.</w:t>
      </w:r>
      <w:r>
        <w:t xml:space="preserve"> </w:t>
      </w:r>
    </w:p>
    <w:p w14:paraId="15A93DE2" w14:textId="4B5BDEF0" w:rsidR="0090496E" w:rsidRDefault="0090496E" w:rsidP="0090496E">
      <w:pPr>
        <w:pStyle w:val="Paragraph"/>
      </w:pPr>
      <w:r>
        <w:t>Coordination requirements with other spectrum uses (such as television outside broadcasting, earth station receivers, existing fixed point-to-point links, the radio quiet zone) may result in additional obligations (for example more stringent out of band emission limits).</w:t>
      </w:r>
      <w:r w:rsidR="003C4812">
        <w:t xml:space="preserve"> </w:t>
      </w:r>
      <w:r>
        <w:t>The overall</w:t>
      </w:r>
      <w:r w:rsidDel="009357A0">
        <w:rPr>
          <w:rFonts w:eastAsia="Arial"/>
        </w:rPr>
        <w:t xml:space="preserve"> </w:t>
      </w:r>
      <w:r>
        <w:rPr>
          <w:rFonts w:eastAsia="Arial"/>
        </w:rPr>
        <w:t xml:space="preserve">intent is that the </w:t>
      </w:r>
      <w:r w:rsidRPr="000F6627">
        <w:rPr>
          <w:rFonts w:eastAsia="Arial"/>
        </w:rPr>
        <w:t xml:space="preserve">technical framework </w:t>
      </w:r>
      <w:r>
        <w:rPr>
          <w:rFonts w:eastAsia="Arial"/>
        </w:rPr>
        <w:t xml:space="preserve">is </w:t>
      </w:r>
      <w:r w:rsidRPr="00531654">
        <w:rPr>
          <w:rFonts w:eastAsia="Arial"/>
        </w:rPr>
        <w:t>capable of supporting equipment operating in accordance requirements for 3GPP band n256 (non</w:t>
      </w:r>
      <w:r>
        <w:rPr>
          <w:rFonts w:eastAsia="Arial"/>
        </w:rPr>
        <w:t>-</w:t>
      </w:r>
      <w:r w:rsidRPr="00531654">
        <w:rPr>
          <w:rFonts w:eastAsia="Arial"/>
        </w:rPr>
        <w:t>terrestrial networks</w:t>
      </w:r>
      <w:r>
        <w:rPr>
          <w:rFonts w:eastAsia="Arial"/>
        </w:rPr>
        <w:t xml:space="preserve"> supporting MSS</w:t>
      </w:r>
      <w:r w:rsidRPr="00531654">
        <w:rPr>
          <w:rFonts w:eastAsia="Arial"/>
        </w:rPr>
        <w:t>) and band 65/n65 for terrestrial networks (supporting CGC)</w:t>
      </w:r>
      <w:r w:rsidR="003C4812">
        <w:rPr>
          <w:rFonts w:eastAsia="Arial"/>
        </w:rPr>
        <w:t>.</w:t>
      </w:r>
      <w:r w:rsidRPr="00531654">
        <w:rPr>
          <w:rStyle w:val="FootnoteReference"/>
          <w:rFonts w:eastAsia="Arial"/>
        </w:rPr>
        <w:footnoteReference w:id="14"/>
      </w:r>
    </w:p>
    <w:p w14:paraId="53CB20FD" w14:textId="741D17C9" w:rsidR="00121758" w:rsidRDefault="00151CAE" w:rsidP="00121758">
      <w:pPr>
        <w:pStyle w:val="Paragraph"/>
      </w:pPr>
      <w:r>
        <w:t>Proposals for 2 GHz MSS technical parameters considered in section 2 and coordination requirements considered in section 3.</w:t>
      </w:r>
    </w:p>
    <w:p w14:paraId="32BD5BCF" w14:textId="2C45E463" w:rsidR="00121758" w:rsidRPr="00536F42" w:rsidRDefault="00121758" w:rsidP="00747413">
      <w:pPr>
        <w:pStyle w:val="Heading3"/>
      </w:pPr>
      <w:bookmarkStart w:id="18" w:name="_Toc150510349"/>
      <w:r w:rsidRPr="00536F42">
        <w:t xml:space="preserve">Complimentary </w:t>
      </w:r>
      <w:r w:rsidR="003C4812">
        <w:t>g</w:t>
      </w:r>
      <w:r w:rsidRPr="00536F42">
        <w:t xml:space="preserve">round </w:t>
      </w:r>
      <w:r w:rsidR="003C4812">
        <w:t>c</w:t>
      </w:r>
      <w:r w:rsidRPr="00536F42">
        <w:t xml:space="preserve">omponent </w:t>
      </w:r>
      <w:r>
        <w:t>deployment obligations</w:t>
      </w:r>
      <w:bookmarkEnd w:id="18"/>
      <w:r w:rsidRPr="00536F42">
        <w:t xml:space="preserve"> </w:t>
      </w:r>
    </w:p>
    <w:p w14:paraId="2577DC22" w14:textId="77777777" w:rsidR="00121758" w:rsidRDefault="00121758" w:rsidP="00121758">
      <w:pPr>
        <w:pStyle w:val="Paragraph"/>
      </w:pPr>
      <w:r>
        <w:t xml:space="preserve">The ACMA has previously stated its </w:t>
      </w:r>
      <w:r w:rsidRPr="00A85D75">
        <w:t xml:space="preserve">preliminary view that </w:t>
      </w:r>
      <w:r>
        <w:t xml:space="preserve">some form of obligation (such as licence conditions) </w:t>
      </w:r>
      <w:r w:rsidRPr="00A85D75">
        <w:t>should be established</w:t>
      </w:r>
      <w:r w:rsidRPr="00FC5464">
        <w:t xml:space="preserve"> </w:t>
      </w:r>
      <w:r w:rsidRPr="00ED0F50">
        <w:t>to require licensees to deploy a mobile-satellite service before operation of a complementary ground component is permitte</w:t>
      </w:r>
      <w:r>
        <w:t>d. The form of such an obligation is not discussed in this paper.</w:t>
      </w:r>
      <w:bookmarkStart w:id="19" w:name="_Toc459906714"/>
      <w:bookmarkStart w:id="20" w:name="_Toc464480508"/>
    </w:p>
    <w:p w14:paraId="0244C638" w14:textId="77777777" w:rsidR="00121758" w:rsidRDefault="00121758" w:rsidP="00121758">
      <w:pPr>
        <w:pStyle w:val="Heading1"/>
        <w:numPr>
          <w:ilvl w:val="0"/>
          <w:numId w:val="13"/>
        </w:numPr>
        <w:ind w:left="0" w:firstLine="0"/>
      </w:pPr>
      <w:bookmarkStart w:id="21" w:name="_Toc150510350"/>
      <w:bookmarkStart w:id="22" w:name="_Toc151469334"/>
      <w:r>
        <w:t>Parameters for 2 GHz MSS</w:t>
      </w:r>
      <w:bookmarkEnd w:id="21"/>
      <w:bookmarkEnd w:id="22"/>
    </w:p>
    <w:p w14:paraId="2374F8DC" w14:textId="77777777" w:rsidR="00121758" w:rsidRDefault="00121758" w:rsidP="0039209B">
      <w:pPr>
        <w:pStyle w:val="Heading2"/>
      </w:pPr>
      <w:bookmarkStart w:id="23" w:name="_Toc150510351"/>
      <w:bookmarkStart w:id="24" w:name="_Toc151469335"/>
      <w:r>
        <w:t>System model for 2 GHz MSS</w:t>
      </w:r>
      <w:bookmarkEnd w:id="23"/>
      <w:bookmarkEnd w:id="24"/>
    </w:p>
    <w:p w14:paraId="597BD156" w14:textId="77777777" w:rsidR="00121758" w:rsidRPr="00AF06B6" w:rsidRDefault="00121758" w:rsidP="00121758">
      <w:pPr>
        <w:pStyle w:val="Paragraphbeforelist"/>
      </w:pPr>
      <w:r>
        <w:t xml:space="preserve">A system model for 2 GHz MSS with support for CGC is illustrated in </w:t>
      </w:r>
      <w:r>
        <w:rPr>
          <w:color w:val="2B579A"/>
          <w:shd w:val="clear" w:color="auto" w:fill="E6E6E6"/>
        </w:rPr>
        <w:fldChar w:fldCharType="begin"/>
      </w:r>
      <w:r>
        <w:instrText xml:space="preserve"> REF _Ref148183656 \r \h </w:instrText>
      </w:r>
      <w:r>
        <w:rPr>
          <w:color w:val="2B579A"/>
          <w:shd w:val="clear" w:color="auto" w:fill="E6E6E6"/>
        </w:rPr>
      </w:r>
      <w:r>
        <w:rPr>
          <w:color w:val="2B579A"/>
          <w:shd w:val="clear" w:color="auto" w:fill="E6E6E6"/>
        </w:rPr>
        <w:fldChar w:fldCharType="separate"/>
      </w:r>
      <w:r>
        <w:t xml:space="preserve">Figure 1: </w:t>
      </w:r>
      <w:r>
        <w:rPr>
          <w:color w:val="2B579A"/>
          <w:shd w:val="clear" w:color="auto" w:fill="E6E6E6"/>
        </w:rPr>
        <w:fldChar w:fldCharType="end"/>
      </w:r>
      <w:r>
        <w:rPr>
          <w:color w:val="2B579A"/>
          <w:shd w:val="clear" w:color="auto" w:fill="E6E6E6"/>
        </w:rPr>
        <w:fldChar w:fldCharType="begin"/>
      </w:r>
      <w:r>
        <w:instrText xml:space="preserve"> REF _Ref148183656 \h </w:instrText>
      </w:r>
      <w:r>
        <w:rPr>
          <w:color w:val="2B579A"/>
          <w:shd w:val="clear" w:color="auto" w:fill="E6E6E6"/>
        </w:rPr>
      </w:r>
      <w:r>
        <w:rPr>
          <w:color w:val="2B579A"/>
          <w:shd w:val="clear" w:color="auto" w:fill="E6E6E6"/>
        </w:rPr>
        <w:fldChar w:fldCharType="separate"/>
      </w:r>
      <w:r>
        <w:t>2 GHz MSS deployment model</w:t>
      </w:r>
      <w:r>
        <w:rPr>
          <w:color w:val="2B579A"/>
          <w:shd w:val="clear" w:color="auto" w:fill="E6E6E6"/>
        </w:rPr>
        <w:fldChar w:fldCharType="end"/>
      </w:r>
      <w:r>
        <w:t>. The model consists of:</w:t>
      </w:r>
    </w:p>
    <w:p w14:paraId="7E1AB0AC" w14:textId="145C630E" w:rsidR="00121758" w:rsidRDefault="003C4812" w:rsidP="00121758">
      <w:pPr>
        <w:pStyle w:val="Bulletlevel1"/>
      </w:pPr>
      <w:r>
        <w:t>m</w:t>
      </w:r>
      <w:r w:rsidR="00121758" w:rsidRPr="00AF06B6">
        <w:t>obile satellite service</w:t>
      </w:r>
      <w:r w:rsidR="00121758">
        <w:t xml:space="preserve"> (space stations and mobile earth stations)</w:t>
      </w:r>
    </w:p>
    <w:p w14:paraId="60F8ADEB" w14:textId="77777777" w:rsidR="00121758" w:rsidRDefault="00121758" w:rsidP="00121758">
      <w:pPr>
        <w:pStyle w:val="Bulletlevel1"/>
      </w:pPr>
      <w:r>
        <w:t xml:space="preserve">CGC </w:t>
      </w:r>
      <w:r w:rsidRPr="003A0589">
        <w:t xml:space="preserve">that is deployed to supplement </w:t>
      </w:r>
      <w:proofErr w:type="gramStart"/>
      <w:r w:rsidRPr="003A0589">
        <w:t>mobile-satellite</w:t>
      </w:r>
      <w:proofErr w:type="gramEnd"/>
      <w:r w:rsidRPr="003A0589">
        <w:t xml:space="preserve"> coverage</w:t>
      </w:r>
    </w:p>
    <w:p w14:paraId="3F34FEE4" w14:textId="0C51CECE" w:rsidR="00121758" w:rsidRPr="00AF06B6" w:rsidRDefault="00121758" w:rsidP="00121758">
      <w:pPr>
        <w:pStyle w:val="Bulletlevel1last"/>
      </w:pPr>
      <w:r>
        <w:t>CGC as a DA2GC system with aircraft terminals</w:t>
      </w:r>
      <w:r w:rsidRPr="000B3DE9">
        <w:t xml:space="preserve"> </w:t>
      </w:r>
      <w:r>
        <w:t xml:space="preserve">communicating with a base station (or potentially a space station) </w:t>
      </w:r>
      <w:r w:rsidR="003C4812">
        <w:t>.</w:t>
      </w:r>
    </w:p>
    <w:p w14:paraId="6F234798" w14:textId="77777777" w:rsidR="00121758" w:rsidRPr="00E162C4" w:rsidRDefault="00121758" w:rsidP="00121758">
      <w:pPr>
        <w:pStyle w:val="Figureheading"/>
        <w:rPr>
          <w:noProof/>
        </w:rPr>
      </w:pPr>
      <w:bookmarkStart w:id="25" w:name="_Ref148183656"/>
      <w:r>
        <w:t>2 GHz MSS deployment model</w:t>
      </w:r>
      <w:bookmarkEnd w:id="25"/>
      <w:r>
        <w:t xml:space="preserve"> </w:t>
      </w:r>
    </w:p>
    <w:p w14:paraId="377E7919" w14:textId="77777777" w:rsidR="00121758" w:rsidRDefault="00121758" w:rsidP="00121758">
      <w:pPr>
        <w:pStyle w:val="Paragraph"/>
        <w:keepNext/>
        <w:jc w:val="center"/>
      </w:pPr>
      <w:r>
        <w:rPr>
          <w:noProof/>
          <w:color w:val="2B579A"/>
          <w:shd w:val="clear" w:color="auto" w:fill="E6E6E6"/>
        </w:rPr>
        <w:drawing>
          <wp:inline distT="0" distB="0" distL="0" distR="0" wp14:anchorId="49C6D030" wp14:editId="17739119">
            <wp:extent cx="4871085" cy="3569335"/>
            <wp:effectExtent l="0" t="0" r="5715" b="0"/>
            <wp:docPr id="7" name="Picture 7" descr="Figure 1: 2 GHz MSS deploymen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2 GHz MSS deployment mode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1085" cy="3569335"/>
                    </a:xfrm>
                    <a:prstGeom prst="rect">
                      <a:avLst/>
                    </a:prstGeom>
                    <a:noFill/>
                    <a:ln>
                      <a:noFill/>
                    </a:ln>
                  </pic:spPr>
                </pic:pic>
              </a:graphicData>
            </a:graphic>
          </wp:inline>
        </w:drawing>
      </w:r>
    </w:p>
    <w:p w14:paraId="631DBF53" w14:textId="08E37C37" w:rsidR="00FD7AD4" w:rsidRDefault="00121758" w:rsidP="00FB4BAD">
      <w:pPr>
        <w:pStyle w:val="Paragraph"/>
      </w:pPr>
      <w:r>
        <w:t>In the development of a technical framework for 2 GHz MSS</w:t>
      </w:r>
      <w:r w:rsidR="00FD7AD4">
        <w:t>, we have not considered</w:t>
      </w:r>
      <w:r>
        <w:t xml:space="preserve"> requirements for space stations, </w:t>
      </w:r>
      <w:r w:rsidR="00FD7AD4">
        <w:t>noting that</w:t>
      </w:r>
      <w:r>
        <w:t xml:space="preserve"> requirements for space stations are addressed by the ITU satellite coordination process. </w:t>
      </w:r>
    </w:p>
    <w:p w14:paraId="09F876B2" w14:textId="1570143C" w:rsidR="00121758" w:rsidRPr="00A85D75" w:rsidRDefault="00121758" w:rsidP="00FB4BAD">
      <w:pPr>
        <w:pStyle w:val="Paragraph"/>
      </w:pPr>
      <w:r>
        <w:t xml:space="preserve">As discussed in the outcomes paper, the </w:t>
      </w:r>
      <w:r w:rsidRPr="00A85D75">
        <w:t>ACMA</w:t>
      </w:r>
      <w:r w:rsidR="00AD5910">
        <w:t>’s</w:t>
      </w:r>
      <w:r w:rsidRPr="00A85D75">
        <w:t xml:space="preserve"> preliminary view </w:t>
      </w:r>
      <w:r>
        <w:t>was that consistency with ITU requirements</w:t>
      </w:r>
      <w:r w:rsidRPr="00A85D75">
        <w:t xml:space="preserve"> should be assessed as part of any eligibility requirements</w:t>
      </w:r>
      <w:r>
        <w:t xml:space="preserve"> to participate in the allocation of licences for 2 GHz MSS. </w:t>
      </w:r>
    </w:p>
    <w:p w14:paraId="1BEE5080" w14:textId="67854F49" w:rsidR="00121758" w:rsidRPr="00C27040" w:rsidRDefault="00BA4031" w:rsidP="00FB4BAD">
      <w:pPr>
        <w:pStyle w:val="Paragraph"/>
      </w:pPr>
      <w:r>
        <w:t>W</w:t>
      </w:r>
      <w:r w:rsidR="00121758" w:rsidRPr="00A85D75">
        <w:t>hile</w:t>
      </w:r>
      <w:r w:rsidR="00AD5910">
        <w:t xml:space="preserve"> we</w:t>
      </w:r>
      <w:r w:rsidR="00121758" w:rsidRPr="00A85D75">
        <w:t xml:space="preserve"> can develop a framework to support the licensing of a mobile</w:t>
      </w:r>
      <w:r w:rsidR="00121758">
        <w:t>-</w:t>
      </w:r>
      <w:r w:rsidR="00121758" w:rsidRPr="00A85D75">
        <w:t>satellite service, as with any satellite service</w:t>
      </w:r>
      <w:r w:rsidR="00AD5910">
        <w:t>,</w:t>
      </w:r>
      <w:r w:rsidR="00121758" w:rsidRPr="00A85D75">
        <w:t xml:space="preserve"> its viability is large</w:t>
      </w:r>
      <w:r>
        <w:t>ly</w:t>
      </w:r>
      <w:r w:rsidR="00121758" w:rsidRPr="00A85D75">
        <w:t xml:space="preserve"> part dependent on the status of the satellite network in the ITU satellite coordination process. This a matter for prospective licensees to assess, and </w:t>
      </w:r>
      <w:r w:rsidR="00AD5910">
        <w:t>we</w:t>
      </w:r>
      <w:r w:rsidR="00121758" w:rsidRPr="00A85D75">
        <w:t xml:space="preserve"> make no assurances in this regard.  </w:t>
      </w:r>
    </w:p>
    <w:p w14:paraId="2092FD11" w14:textId="5DB680CB" w:rsidR="00121758" w:rsidRDefault="00121758" w:rsidP="00FB4BAD">
      <w:pPr>
        <w:pStyle w:val="Paragraph"/>
      </w:pPr>
      <w:r>
        <w:t>Technical design</w:t>
      </w:r>
      <w:r w:rsidDel="00396FC5">
        <w:t xml:space="preserve"> </w:t>
      </w:r>
      <w:r w:rsidR="00396FC5">
        <w:t>features</w:t>
      </w:r>
      <w:r>
        <w:t xml:space="preserve"> for 2 GHz MSS have been developed from a review of ITU documentation, 3GPP, work on 2 GHz </w:t>
      </w:r>
      <w:r w:rsidR="00AD5910">
        <w:t>n</w:t>
      </w:r>
      <w:r>
        <w:t>on-</w:t>
      </w:r>
      <w:r w:rsidR="00AD5910">
        <w:t>t</w:t>
      </w:r>
      <w:r>
        <w:t xml:space="preserve">errestrial </w:t>
      </w:r>
      <w:r w:rsidR="00AD5910">
        <w:t>n</w:t>
      </w:r>
      <w:r>
        <w:t xml:space="preserve">etwork, European arrangements for </w:t>
      </w:r>
      <w:r w:rsidRPr="000F6627">
        <w:t>2 GHz MSS (including CGC</w:t>
      </w:r>
      <w:r>
        <w:t xml:space="preserve">) and ACMA documents. Documents considered are listed in </w:t>
      </w:r>
      <w:hyperlink w:anchor="_Appendix_A:_MSS" w:history="1">
        <w:r w:rsidRPr="00AD5910">
          <w:rPr>
            <w:rStyle w:val="Hyperlink"/>
          </w:rPr>
          <w:t>Appendix A</w:t>
        </w:r>
      </w:hyperlink>
      <w:r>
        <w:t>. The list is not necessarily exhaustive of</w:t>
      </w:r>
      <w:r w:rsidR="00396FC5">
        <w:t xml:space="preserve"> all</w:t>
      </w:r>
      <w:r>
        <w:t xml:space="preserve"> material that might be relevant to developing requirement</w:t>
      </w:r>
      <w:r w:rsidR="00396FC5">
        <w:t>s</w:t>
      </w:r>
      <w:r>
        <w:t xml:space="preserve"> for 2 GHz MSS</w:t>
      </w:r>
      <w:r w:rsidR="00396FC5">
        <w:t xml:space="preserve">. We are seeking views on any </w:t>
      </w:r>
      <w:r w:rsidR="00065F95">
        <w:t xml:space="preserve">additional material that should be considered in the design of the </w:t>
      </w:r>
      <w:r w:rsidR="003E455B">
        <w:t xml:space="preserve">relevant </w:t>
      </w:r>
      <w:r w:rsidR="00065F95">
        <w:t>technical frameworks</w:t>
      </w:r>
      <w:r w:rsidR="003E455B">
        <w:t>.</w:t>
      </w:r>
    </w:p>
    <w:p w14:paraId="27677D04" w14:textId="3D77CE47" w:rsidR="0090577C" w:rsidRDefault="00121758" w:rsidP="00AD5910">
      <w:pPr>
        <w:pStyle w:val="Paragraph"/>
      </w:pPr>
      <w:r>
        <w:t>From these documents</w:t>
      </w:r>
      <w:r w:rsidR="00AD5910">
        <w:t>,</w:t>
      </w:r>
      <w:r>
        <w:t xml:space="preserve"> </w:t>
      </w:r>
      <w:r w:rsidR="003E455B">
        <w:t xml:space="preserve">we identified </w:t>
      </w:r>
      <w:r>
        <w:t xml:space="preserve">parameters for the different elements of 2 GHz MSS (see </w:t>
      </w:r>
      <w:hyperlink w:anchor="_Appendix_A:_MSS" w:history="1">
        <w:r w:rsidRPr="00AD5910">
          <w:rPr>
            <w:rStyle w:val="Hyperlink"/>
          </w:rPr>
          <w:t>Appendix A</w:t>
        </w:r>
      </w:hyperlink>
      <w:r>
        <w:t>)</w:t>
      </w:r>
      <w:r w:rsidR="00AD5910">
        <w:t>,</w:t>
      </w:r>
      <w:r>
        <w:t xml:space="preserve"> which were then used to identify technical parameters to support for 2 GHz MSS (see below) and coordination requirement</w:t>
      </w:r>
      <w:r w:rsidR="003E455B">
        <w:t>s</w:t>
      </w:r>
      <w:r>
        <w:t xml:space="preserve"> (</w:t>
      </w:r>
      <w:hyperlink w:anchor="_Toc149990593" w:history="1">
        <w:r w:rsidR="00AD5910" w:rsidRPr="00AD5910">
          <w:rPr>
            <w:rStyle w:val="Hyperlink"/>
          </w:rPr>
          <w:t>section 3</w:t>
        </w:r>
      </w:hyperlink>
      <w:r>
        <w:t>).</w:t>
      </w:r>
      <w:r w:rsidR="001131CE">
        <w:t xml:space="preserve"> </w:t>
      </w:r>
    </w:p>
    <w:p w14:paraId="5BB35985" w14:textId="7EB1BCED" w:rsidR="00DB4C0C" w:rsidRDefault="008E0FCA" w:rsidP="00FB4BAD">
      <w:pPr>
        <w:pStyle w:val="Paragraph"/>
      </w:pPr>
      <w:r>
        <w:t xml:space="preserve">In </w:t>
      </w:r>
      <w:r w:rsidR="00DB1D56">
        <w:t>determining power limits</w:t>
      </w:r>
      <w:r w:rsidR="00AC6EEB">
        <w:t>,</w:t>
      </w:r>
      <w:r w:rsidR="00DB1D56" w:rsidDel="00753463">
        <w:t xml:space="preserve"> </w:t>
      </w:r>
      <w:r w:rsidR="00F86E11">
        <w:t xml:space="preserve">the </w:t>
      </w:r>
      <w:r w:rsidR="00743466">
        <w:t>parameters identif</w:t>
      </w:r>
      <w:r w:rsidR="003E56C8">
        <w:t>ied</w:t>
      </w:r>
      <w:r w:rsidR="00743466">
        <w:t xml:space="preserve"> were similar to those in the </w:t>
      </w:r>
      <w:r w:rsidR="00AD5910">
        <w:br/>
      </w:r>
      <w:r w:rsidR="00743466">
        <w:t>2 GHz spectrum licence technical framework</w:t>
      </w:r>
      <w:r w:rsidR="00753463">
        <w:t>. T</w:t>
      </w:r>
      <w:r w:rsidR="003E56C8">
        <w:t xml:space="preserve">o </w:t>
      </w:r>
      <w:r w:rsidR="00AC6EEB">
        <w:t xml:space="preserve">aid </w:t>
      </w:r>
      <w:r w:rsidR="003E56C8">
        <w:t>compatibility</w:t>
      </w:r>
      <w:r w:rsidR="0043718D">
        <w:t xml:space="preserve"> </w:t>
      </w:r>
      <w:r w:rsidR="005263F9">
        <w:t>(</w:t>
      </w:r>
      <w:r w:rsidR="0043718D">
        <w:t>between 2 G</w:t>
      </w:r>
      <w:r w:rsidR="005263F9">
        <w:t>H</w:t>
      </w:r>
      <w:r w:rsidR="0043718D">
        <w:t>z MSS and adj</w:t>
      </w:r>
      <w:r w:rsidR="005263F9">
        <w:t>acent band 2 GHz spectrum licensing)</w:t>
      </w:r>
      <w:r w:rsidR="00140FE8">
        <w:t xml:space="preserve"> </w:t>
      </w:r>
      <w:r w:rsidR="00335A99">
        <w:t>the spectrum licencing p</w:t>
      </w:r>
      <w:r w:rsidR="00A96796">
        <w:t xml:space="preserve">ower limits </w:t>
      </w:r>
      <w:r w:rsidR="00886764">
        <w:t>have been used</w:t>
      </w:r>
      <w:r w:rsidR="0037511D">
        <w:t>,</w:t>
      </w:r>
      <w:r w:rsidR="00A96796">
        <w:t xml:space="preserve"> where </w:t>
      </w:r>
      <w:r w:rsidR="00AC6EEB">
        <w:t>relevant</w:t>
      </w:r>
      <w:r w:rsidR="0037511D">
        <w:t xml:space="preserve">, as we did not identify </w:t>
      </w:r>
      <w:r w:rsidR="00646F76">
        <w:t xml:space="preserve">need </w:t>
      </w:r>
      <w:r w:rsidR="0037511D">
        <w:t xml:space="preserve">to apply </w:t>
      </w:r>
      <w:r w:rsidR="00AD5910">
        <w:br/>
      </w:r>
      <w:r w:rsidR="00646F76">
        <w:t>different value</w:t>
      </w:r>
      <w:r w:rsidR="000B351C">
        <w:t>s</w:t>
      </w:r>
      <w:r w:rsidR="0037511D">
        <w:t>.</w:t>
      </w:r>
      <w:r w:rsidR="00646F76" w:rsidDel="0037511D">
        <w:t xml:space="preserve"> </w:t>
      </w:r>
    </w:p>
    <w:p w14:paraId="4203425A" w14:textId="22360C7A" w:rsidR="00121758" w:rsidRDefault="00437D8D" w:rsidP="00FB4BAD">
      <w:pPr>
        <w:pStyle w:val="Paragraph"/>
      </w:pPr>
      <w:r>
        <w:t xml:space="preserve">As the 2 GHz </w:t>
      </w:r>
      <w:r w:rsidR="006D32FE">
        <w:t xml:space="preserve">spectrum </w:t>
      </w:r>
      <w:r w:rsidR="009D5574">
        <w:t>licensing</w:t>
      </w:r>
      <w:r w:rsidR="006D32FE">
        <w:t xml:space="preserve"> </w:t>
      </w:r>
      <w:r w:rsidR="00061961">
        <w:t xml:space="preserve">technical </w:t>
      </w:r>
      <w:r w:rsidR="009D5574">
        <w:t>framework</w:t>
      </w:r>
      <w:r w:rsidR="006D32FE">
        <w:t xml:space="preserve"> include</w:t>
      </w:r>
      <w:r w:rsidR="00DF305B">
        <w:t>s</w:t>
      </w:r>
      <w:r w:rsidR="006D32FE">
        <w:t xml:space="preserve"> </w:t>
      </w:r>
      <w:r w:rsidR="009D5574">
        <w:t xml:space="preserve">support for </w:t>
      </w:r>
      <w:r w:rsidR="00B93DF9">
        <w:t>a</w:t>
      </w:r>
      <w:r w:rsidR="00D8326C">
        <w:t xml:space="preserve">ctive antenna systems (AAS), </w:t>
      </w:r>
      <w:r w:rsidR="00DF305B">
        <w:t xml:space="preserve">we are seeking views on </w:t>
      </w:r>
      <w:r w:rsidR="00061961">
        <w:t xml:space="preserve">supporting AAS </w:t>
      </w:r>
      <w:r w:rsidR="00DF305B">
        <w:t xml:space="preserve">within the technical frameworks for </w:t>
      </w:r>
      <w:r w:rsidR="00496389">
        <w:t xml:space="preserve">2 GHz MSS.  </w:t>
      </w:r>
    </w:p>
    <w:p w14:paraId="121553FC" w14:textId="77777777" w:rsidR="00121758" w:rsidRDefault="00121758" w:rsidP="0039209B">
      <w:pPr>
        <w:pStyle w:val="Heading2"/>
      </w:pPr>
      <w:bookmarkStart w:id="26" w:name="_Toc149990588"/>
      <w:bookmarkStart w:id="27" w:name="_Toc150510352"/>
      <w:bookmarkStart w:id="28" w:name="_Toc151469336"/>
      <w:bookmarkEnd w:id="26"/>
      <w:r>
        <w:t>Power limits</w:t>
      </w:r>
      <w:bookmarkEnd w:id="27"/>
      <w:bookmarkEnd w:id="28"/>
      <w:r>
        <w:t xml:space="preserve"> </w:t>
      </w:r>
    </w:p>
    <w:p w14:paraId="5743A37E" w14:textId="12C0C20C" w:rsidR="00121758" w:rsidRDefault="00882AE4" w:rsidP="00121758">
      <w:pPr>
        <w:pStyle w:val="Paragraphbeforelist"/>
      </w:pPr>
      <w:r>
        <w:t>Proposed</w:t>
      </w:r>
      <w:r w:rsidR="00743D1A">
        <w:t xml:space="preserve"> r</w:t>
      </w:r>
      <w:r w:rsidR="00121758">
        <w:t>adiated power limits for 2 GHz MSS are</w:t>
      </w:r>
      <w:r w:rsidR="00FA1D1E">
        <w:t>:</w:t>
      </w:r>
    </w:p>
    <w:p w14:paraId="58E3F469" w14:textId="2998FBD4" w:rsidR="00121758" w:rsidRDefault="00743D1A" w:rsidP="00121758">
      <w:pPr>
        <w:pStyle w:val="ListBullet"/>
      </w:pPr>
      <w:r>
        <w:t>m</w:t>
      </w:r>
      <w:r w:rsidR="00121758">
        <w:t xml:space="preserve">obile earth station and </w:t>
      </w:r>
      <w:r w:rsidR="00121758" w:rsidRPr="00F1382E">
        <w:t xml:space="preserve">mobile </w:t>
      </w:r>
      <w:r w:rsidR="00121758">
        <w:t>station transmitters in the band 1980</w:t>
      </w:r>
      <w:r w:rsidR="00AD5910">
        <w:t>–</w:t>
      </w:r>
      <w:r w:rsidR="00121758">
        <w:t>2005 MHz</w:t>
      </w:r>
      <w:r w:rsidR="00121758" w:rsidRPr="00F1382E">
        <w:t xml:space="preserve"> </w:t>
      </w:r>
      <w:r w:rsidR="00121758">
        <w:t>a total radiated power of less than or equal to 25 dBm per occupied bandwidth. This limit is the same as that specified for</w:t>
      </w:r>
      <w:r w:rsidR="008959F7">
        <w:t xml:space="preserve"> </w:t>
      </w:r>
      <w:r w:rsidR="00C33676">
        <w:t xml:space="preserve">user equipment </w:t>
      </w:r>
      <w:r w:rsidR="00A15BCB">
        <w:t xml:space="preserve">transmitters </w:t>
      </w:r>
      <w:r w:rsidR="00C33676">
        <w:t>(</w:t>
      </w:r>
      <w:r w:rsidR="008959F7">
        <w:t>transmitter</w:t>
      </w:r>
      <w:r w:rsidR="00C33676">
        <w:t>s</w:t>
      </w:r>
      <w:r w:rsidR="008959F7">
        <w:t xml:space="preserve"> </w:t>
      </w:r>
      <w:r w:rsidR="00BD607D">
        <w:t>operating in the band 1920</w:t>
      </w:r>
      <w:r w:rsidR="00AD5910">
        <w:t>–</w:t>
      </w:r>
      <w:r w:rsidR="00BD607D">
        <w:t>1980 MHz</w:t>
      </w:r>
      <w:r w:rsidR="00C2402B">
        <w:t xml:space="preserve">) </w:t>
      </w:r>
      <w:r w:rsidR="00121758">
        <w:t xml:space="preserve">in the 2 GHz spectrum licensing technical framework. </w:t>
      </w:r>
    </w:p>
    <w:p w14:paraId="3C243F9B" w14:textId="6D01C17D" w:rsidR="00121758" w:rsidRDefault="00743D1A" w:rsidP="00121758">
      <w:pPr>
        <w:pStyle w:val="ListBullet"/>
      </w:pPr>
      <w:r>
        <w:t>a</w:t>
      </w:r>
      <w:r w:rsidR="00121758">
        <w:t>eronautical transmitters in the band 1980</w:t>
      </w:r>
      <w:r w:rsidR="00AD5910">
        <w:t>–</w:t>
      </w:r>
      <w:r w:rsidR="00121758">
        <w:t>2005 MHz a maximum EIRP of 40 dBm per occupied bandwidth. This limit is taken from ECC report 233.</w:t>
      </w:r>
    </w:p>
    <w:p w14:paraId="4ABA2588" w14:textId="0B3C9CF1" w:rsidR="00121758" w:rsidRPr="00F1382E" w:rsidRDefault="00121758" w:rsidP="00121758">
      <w:pPr>
        <w:pStyle w:val="ListBulletLast"/>
      </w:pPr>
      <w:r>
        <w:t>CGC based station transmitter in the band 2170</w:t>
      </w:r>
      <w:r w:rsidR="00AD5910">
        <w:t>–</w:t>
      </w:r>
      <w:r>
        <w:t xml:space="preserve">2195 MHz a total radiated power limit of </w:t>
      </w:r>
      <w:r w:rsidRPr="00280A30">
        <w:t>53.5 dBm/5</w:t>
      </w:r>
      <w:r>
        <w:t xml:space="preserve"> </w:t>
      </w:r>
      <w:proofErr w:type="spellStart"/>
      <w:r w:rsidRPr="00280A30">
        <w:t>MHz</w:t>
      </w:r>
      <w:r>
        <w:t>.</w:t>
      </w:r>
      <w:proofErr w:type="spellEnd"/>
      <w:r>
        <w:t xml:space="preserve"> This limit is the same as that specified </w:t>
      </w:r>
      <w:r w:rsidR="00C33676">
        <w:t>for base station</w:t>
      </w:r>
      <w:r w:rsidR="00C2402B">
        <w:t xml:space="preserve"> </w:t>
      </w:r>
      <w:r w:rsidR="00A15BCB">
        <w:t>transmitters</w:t>
      </w:r>
      <w:r w:rsidR="00C33676">
        <w:t xml:space="preserve"> (transmitter</w:t>
      </w:r>
      <w:r w:rsidR="00C2402B">
        <w:t>s</w:t>
      </w:r>
      <w:r w:rsidR="00C33676">
        <w:t xml:space="preserve"> operating in the band 2110</w:t>
      </w:r>
      <w:r w:rsidR="00AD5910">
        <w:t>–</w:t>
      </w:r>
      <w:r w:rsidR="00C33676">
        <w:t>21170 MHz) in</w:t>
      </w:r>
      <w:r>
        <w:t xml:space="preserve"> the 2 GHz spectrum licensing technical framework. </w:t>
      </w:r>
    </w:p>
    <w:p w14:paraId="623EBCBA" w14:textId="77777777" w:rsidR="00121758" w:rsidRDefault="00121758" w:rsidP="0039209B">
      <w:pPr>
        <w:pStyle w:val="Heading2"/>
      </w:pPr>
      <w:bookmarkStart w:id="29" w:name="_Toc150510353"/>
      <w:bookmarkStart w:id="30" w:name="_Toc151469337"/>
      <w:r>
        <w:t>Unwanted emissions limits</w:t>
      </w:r>
      <w:bookmarkEnd w:id="29"/>
      <w:bookmarkEnd w:id="30"/>
      <w:r>
        <w:t xml:space="preserve"> </w:t>
      </w:r>
    </w:p>
    <w:p w14:paraId="1BDB221C" w14:textId="749660B7" w:rsidR="00121758" w:rsidRDefault="00121758" w:rsidP="00121758">
      <w:pPr>
        <w:pStyle w:val="Paragraph"/>
      </w:pPr>
      <w:r>
        <w:t>Our approach is to, where possible, align values for the 2 GHz MSS unwanted emissions limits with the values specified in 2 GHz spectrum licensing technical frameworks.</w:t>
      </w:r>
      <w:r w:rsidR="00CE40B8">
        <w:rPr>
          <w:rStyle w:val="FootnoteReference"/>
        </w:rPr>
        <w:footnoteReference w:id="15"/>
      </w:r>
      <w:r w:rsidDel="00A21999">
        <w:t xml:space="preserve"> </w:t>
      </w:r>
      <w:r w:rsidR="00A21999">
        <w:t>We are taking t</w:t>
      </w:r>
      <w:r>
        <w:t>his approach</w:t>
      </w:r>
      <w:r w:rsidRPr="000B5C3F" w:rsidDel="00A21999">
        <w:t xml:space="preserve"> </w:t>
      </w:r>
      <w:r w:rsidRPr="000B5C3F">
        <w:t>to maximise coexistence</w:t>
      </w:r>
      <w:r>
        <w:t xml:space="preserve"> between 2 GHz MSS and adjacent band 2 GHz spectrum licensed services. For example, unwanted emission limits for CGC base station transmitters operating in 2170</w:t>
      </w:r>
      <w:r w:rsidR="00AD5910">
        <w:t>–</w:t>
      </w:r>
      <w:r>
        <w:t xml:space="preserve">2195 MHz are based on unwanted emission limits for transmitters (base stations) operating in </w:t>
      </w:r>
      <w:r w:rsidR="00AD5910">
        <w:br/>
      </w:r>
      <w:r>
        <w:t>2110</w:t>
      </w:r>
      <w:r w:rsidR="00AD5910">
        <w:t>–</w:t>
      </w:r>
      <w:r>
        <w:t xml:space="preserve">2170 </w:t>
      </w:r>
      <w:proofErr w:type="spellStart"/>
      <w:r>
        <w:t>MHz.</w:t>
      </w:r>
      <w:proofErr w:type="spellEnd"/>
      <w:r>
        <w:t xml:space="preserve"> However, protection of some services in adjacent bands, such as TOB and earth station receivers, is likely to require more stringent unwanted emission limits than </w:t>
      </w:r>
      <w:r w:rsidR="007B3665">
        <w:t>those specified</w:t>
      </w:r>
      <w:r>
        <w:t xml:space="preserve"> in the 2 GHz spectrum licensing framework. </w:t>
      </w:r>
    </w:p>
    <w:p w14:paraId="40B84D49" w14:textId="279BE9A7" w:rsidR="00121758" w:rsidRDefault="00121758" w:rsidP="00121758">
      <w:pPr>
        <w:pStyle w:val="Paragraph"/>
      </w:pPr>
      <w:r>
        <w:t>For aeronautical terminals in CGC/DA2GC systems</w:t>
      </w:r>
      <w:r w:rsidR="00AD5910">
        <w:t>,</w:t>
      </w:r>
      <w:r>
        <w:t xml:space="preserve"> we considered European arrangements for </w:t>
      </w:r>
      <w:r w:rsidRPr="000F6627">
        <w:t>2 GHz MSS</w:t>
      </w:r>
      <w:r w:rsidR="004A2E1B">
        <w:t xml:space="preserve">, noting that </w:t>
      </w:r>
      <w:r>
        <w:t xml:space="preserve">the 2 GHz spectrum licensing technical framework does not consider aeronautical terminals. </w:t>
      </w:r>
      <w:r w:rsidR="004A2E1B">
        <w:t>Proposed</w:t>
      </w:r>
      <w:r w:rsidR="00CE40B8">
        <w:t xml:space="preserve"> limits are from</w:t>
      </w:r>
      <w:r>
        <w:t xml:space="preserve"> </w:t>
      </w:r>
      <w:r w:rsidR="00AD5910">
        <w:br/>
      </w:r>
      <w:hyperlink r:id="rId27" w:history="1">
        <w:r w:rsidRPr="00807CD5">
          <w:rPr>
            <w:rStyle w:val="Hyperlink"/>
          </w:rPr>
          <w:t>ECC Report 233</w:t>
        </w:r>
      </w:hyperlink>
      <w:r>
        <w:rPr>
          <w:rStyle w:val="FootnoteReference"/>
        </w:rPr>
        <w:footnoteReference w:id="16"/>
      </w:r>
      <w:r>
        <w:t xml:space="preserve"> which investigated </w:t>
      </w:r>
      <w:r w:rsidR="00B069F0">
        <w:t>l</w:t>
      </w:r>
      <w:r>
        <w:t>imits for aeronautical terminals in the bands 1980</w:t>
      </w:r>
      <w:r w:rsidR="00AD5910">
        <w:t>–</w:t>
      </w:r>
      <w:r>
        <w:t>2010/2170</w:t>
      </w:r>
      <w:r w:rsidR="00AD5910">
        <w:t>–</w:t>
      </w:r>
      <w:r>
        <w:t xml:space="preserve">2200 </w:t>
      </w:r>
      <w:proofErr w:type="spellStart"/>
      <w:r>
        <w:t>MHz.</w:t>
      </w:r>
      <w:proofErr w:type="spellEnd"/>
    </w:p>
    <w:p w14:paraId="4E655C4F" w14:textId="387EE199" w:rsidR="00121758" w:rsidRDefault="00121758" w:rsidP="00121758">
      <w:pPr>
        <w:pStyle w:val="Paragraph"/>
      </w:pPr>
      <w:r>
        <w:t>Unwanted emission limits in bands used for TOB and for aeronautical terminals are discussed further below</w:t>
      </w:r>
      <w:r w:rsidR="007B3665">
        <w:t>.</w:t>
      </w:r>
    </w:p>
    <w:p w14:paraId="21932ED3" w14:textId="089755DA" w:rsidR="00121758" w:rsidRDefault="00121758" w:rsidP="0039209B">
      <w:pPr>
        <w:pStyle w:val="Heading3"/>
      </w:pPr>
      <w:bookmarkStart w:id="31" w:name="_Toc150510354"/>
      <w:r w:rsidRPr="00202D9B">
        <w:t>Unwanted emission above</w:t>
      </w:r>
      <w:r>
        <w:t xml:space="preserve"> </w:t>
      </w:r>
      <w:r w:rsidRPr="0044053A">
        <w:t>20</w:t>
      </w:r>
      <w:r>
        <w:t>10</w:t>
      </w:r>
      <w:r w:rsidRPr="0044053A">
        <w:t xml:space="preserve"> MHz</w:t>
      </w:r>
      <w:bookmarkEnd w:id="31"/>
    </w:p>
    <w:p w14:paraId="26780C40" w14:textId="43C2BC2E" w:rsidR="00121758" w:rsidRDefault="00121758" w:rsidP="00121758">
      <w:r>
        <w:t>Arrangements introduced in July 2022 for narrowband MSS in 2005</w:t>
      </w:r>
      <w:r w:rsidR="00615AA2">
        <w:t>–</w:t>
      </w:r>
      <w:r>
        <w:t>2010/2195</w:t>
      </w:r>
      <w:r w:rsidR="00615AA2">
        <w:t>–</w:t>
      </w:r>
      <w:r w:rsidR="00615AA2">
        <w:br/>
      </w:r>
      <w:r>
        <w:t xml:space="preserve">2200 MHz included a requirement in the Space Object Class Licence that emissions for MSS transmitters above 2010 MHz do not exceed an EIRP of -66 </w:t>
      </w:r>
      <w:proofErr w:type="spellStart"/>
      <w:r>
        <w:t>dBW</w:t>
      </w:r>
      <w:proofErr w:type="spellEnd"/>
      <w:r>
        <w:t>/</w:t>
      </w:r>
      <w:proofErr w:type="spellStart"/>
      <w:r>
        <w:t>MHz.</w:t>
      </w:r>
      <w:proofErr w:type="spellEnd"/>
      <w:r>
        <w:t xml:space="preserve"> The limit was introduced as one of the mechanisms to manage coexistence with adjacent band TOB receivers (such as TOB collections station receivers)</w:t>
      </w:r>
      <w:r w:rsidR="007E77D4">
        <w:t>,</w:t>
      </w:r>
      <w:r>
        <w:t xml:space="preserve"> providing an interference environment similar to that </w:t>
      </w:r>
      <w:r w:rsidR="007F1CF6">
        <w:t xml:space="preserve">where </w:t>
      </w:r>
      <w:r>
        <w:t xml:space="preserve">a wireless camera was operating in </w:t>
      </w:r>
      <w:r w:rsidR="00615AA2">
        <w:br/>
      </w:r>
      <w:r>
        <w:t>the band.</w:t>
      </w:r>
      <w:r>
        <w:rPr>
          <w:rStyle w:val="FootnoteReference"/>
        </w:rPr>
        <w:footnoteReference w:id="17"/>
      </w:r>
    </w:p>
    <w:p w14:paraId="532498D5" w14:textId="788B18F3" w:rsidR="00AF19AE" w:rsidRDefault="007F1CF6" w:rsidP="00121758">
      <w:pPr>
        <w:pStyle w:val="Paragraph"/>
      </w:pPr>
      <w:r>
        <w:t>For</w:t>
      </w:r>
      <w:r w:rsidR="00121758">
        <w:t xml:space="preserve"> narrowband MSS, </w:t>
      </w:r>
      <w:r w:rsidR="00121758" w:rsidRPr="006B5125">
        <w:t>ETSI EN 300 744</w:t>
      </w:r>
      <w:r w:rsidR="00121758">
        <w:t xml:space="preserve"> was used as reference spectrum mask for TOB as it is the reference source listed in RALI FX 21 (assuming 50 dB as an adjacent channel leakage ratio). </w:t>
      </w:r>
    </w:p>
    <w:p w14:paraId="667AC48C" w14:textId="20BA0E73" w:rsidR="00121758" w:rsidRDefault="00121758" w:rsidP="00121758">
      <w:pPr>
        <w:pStyle w:val="Paragraph"/>
      </w:pPr>
      <w:r>
        <w:t xml:space="preserve">Further review has identified that there are other references that contain emission masks that may be more applicable to the TOB scenario. For example, the 2015 </w:t>
      </w:r>
      <w:r w:rsidR="00615AA2">
        <w:br/>
      </w:r>
      <w:r>
        <w:t>ITU-R Report F.2379</w:t>
      </w:r>
      <w:r>
        <w:rPr>
          <w:rStyle w:val="FootnoteReference"/>
        </w:rPr>
        <w:footnoteReference w:id="18"/>
      </w:r>
      <w:r>
        <w:t xml:space="preserve"> notes an adjacent channel leakage ratio of 45 dB for a 8 MHz TOB channel and </w:t>
      </w:r>
      <w:hyperlink r:id="rId28" w:history="1">
        <w:r w:rsidRPr="00082C31">
          <w:rPr>
            <w:rStyle w:val="Hyperlink"/>
          </w:rPr>
          <w:t>ETSI EN 302 064</w:t>
        </w:r>
      </w:hyperlink>
      <w:r>
        <w:t xml:space="preserve"> </w:t>
      </w:r>
      <w:r w:rsidR="00615AA2">
        <w:t xml:space="preserve">that </w:t>
      </w:r>
      <w:r>
        <w:t xml:space="preserve">has an integrated power limit (relative to </w:t>
      </w:r>
      <w:r w:rsidR="00615AA2">
        <w:br/>
      </w:r>
      <w:r>
        <w:t xml:space="preserve">100 </w:t>
      </w:r>
      <w:proofErr w:type="spellStart"/>
      <w:r>
        <w:t>mW</w:t>
      </w:r>
      <w:proofErr w:type="spellEnd"/>
      <w:r>
        <w:t xml:space="preserve">) in the first adjacent channel of -42 </w:t>
      </w:r>
      <w:proofErr w:type="spellStart"/>
      <w:r>
        <w:t>dB.</w:t>
      </w:r>
      <w:proofErr w:type="spellEnd"/>
      <w:r>
        <w:t xml:space="preserve"> </w:t>
      </w:r>
    </w:p>
    <w:p w14:paraId="0ED30BC6" w14:textId="12D35E3F" w:rsidR="00121758" w:rsidRDefault="00121758" w:rsidP="00FB4BAD">
      <w:pPr>
        <w:pStyle w:val="Paragraph"/>
      </w:pPr>
      <w:r>
        <w:t>Considering these references</w:t>
      </w:r>
      <w:r w:rsidR="00AF19AE">
        <w:t>,</w:t>
      </w:r>
      <w:r>
        <w:t xml:space="preserve"> our preliminary view is </w:t>
      </w:r>
      <w:r w:rsidR="00AF19AE">
        <w:t xml:space="preserve">that </w:t>
      </w:r>
      <w:r>
        <w:t>the emission limit at the 2010 MHz boundary could be reduce from –66</w:t>
      </w:r>
      <w:r w:rsidR="0032262E">
        <w:t xml:space="preserve"> to -60 </w:t>
      </w:r>
      <w:proofErr w:type="spellStart"/>
      <w:r>
        <w:t>dBW</w:t>
      </w:r>
      <w:proofErr w:type="spellEnd"/>
      <w:r>
        <w:t xml:space="preserve">/MHz EIRP and still ensure the protection of TOB receivers. </w:t>
      </w:r>
    </w:p>
    <w:p w14:paraId="0D6295C1" w14:textId="79270016" w:rsidR="00B91CF3" w:rsidRDefault="00FF51A1" w:rsidP="00FB4BAD">
      <w:pPr>
        <w:pStyle w:val="Paragraph"/>
      </w:pPr>
      <w:r>
        <w:t xml:space="preserve">For areas </w:t>
      </w:r>
      <w:r w:rsidR="008902B9">
        <w:t xml:space="preserve">of lower TOB usage or </w:t>
      </w:r>
      <w:r w:rsidR="00D919DF">
        <w:t xml:space="preserve">areas with </w:t>
      </w:r>
      <w:r w:rsidR="008902B9">
        <w:t xml:space="preserve">no TOB collection </w:t>
      </w:r>
      <w:r w:rsidR="00527801">
        <w:t>receive stations</w:t>
      </w:r>
      <w:r w:rsidR="0067137B">
        <w:t xml:space="preserve">, it is possible that </w:t>
      </w:r>
      <w:r w:rsidR="00332BBC">
        <w:t>more relaxed</w:t>
      </w:r>
      <w:r w:rsidR="0067137B">
        <w:t xml:space="preserve"> limit</w:t>
      </w:r>
      <w:r w:rsidR="00332BBC">
        <w:t>s</w:t>
      </w:r>
      <w:r w:rsidR="0067137B">
        <w:t xml:space="preserve"> </w:t>
      </w:r>
      <w:r w:rsidR="00FB329D">
        <w:t xml:space="preserve">could </w:t>
      </w:r>
      <w:r w:rsidR="00332BBC">
        <w:t>provide</w:t>
      </w:r>
      <w:r w:rsidR="00FB329D">
        <w:t xml:space="preserve"> </w:t>
      </w:r>
      <w:r w:rsidR="00B91CF3">
        <w:t>adequate</w:t>
      </w:r>
      <w:r w:rsidR="00332BBC">
        <w:t xml:space="preserve"> interference protection</w:t>
      </w:r>
      <w:r w:rsidR="00995B8A">
        <w:t>. This could be achieved by specifying different limits</w:t>
      </w:r>
      <w:r w:rsidR="00995B8A" w:rsidDel="00332BBC">
        <w:t xml:space="preserve"> </w:t>
      </w:r>
      <w:r w:rsidR="00995B8A">
        <w:t>in different areas (</w:t>
      </w:r>
      <w:r w:rsidR="00F3361F">
        <w:t xml:space="preserve">for </w:t>
      </w:r>
      <w:r w:rsidR="00995B8A">
        <w:t>example</w:t>
      </w:r>
      <w:r w:rsidR="00F3361F">
        <w:t xml:space="preserve">, different limits in capital cities areas compared to regional/remote areas) </w:t>
      </w:r>
      <w:r w:rsidR="00AE6FC2">
        <w:t xml:space="preserve">or providing </w:t>
      </w:r>
      <w:r w:rsidR="005131F7">
        <w:t xml:space="preserve">the </w:t>
      </w:r>
      <w:r w:rsidR="00CB00FD">
        <w:t>flexibility</w:t>
      </w:r>
      <w:r w:rsidR="005131F7">
        <w:t xml:space="preserve"> for different limits with the agreement of the </w:t>
      </w:r>
      <w:r w:rsidR="005D78D7">
        <w:t>potentially</w:t>
      </w:r>
      <w:r w:rsidR="00CB00FD">
        <w:t xml:space="preserve"> impact</w:t>
      </w:r>
      <w:r w:rsidR="00922BA2">
        <w:t>ed</w:t>
      </w:r>
      <w:r w:rsidR="00CB00FD">
        <w:t xml:space="preserve"> TOB licensees.</w:t>
      </w:r>
    </w:p>
    <w:p w14:paraId="6CC67DEE" w14:textId="77777777" w:rsidR="00121758" w:rsidRPr="00202D9B" w:rsidRDefault="00121758" w:rsidP="00B91CF3">
      <w:pPr>
        <w:pStyle w:val="Heading3"/>
      </w:pPr>
      <w:bookmarkStart w:id="32" w:name="_Toc150510355"/>
      <w:r w:rsidRPr="001B780B">
        <w:t xml:space="preserve">Unwanted </w:t>
      </w:r>
      <w:r w:rsidRPr="00B91CF3">
        <w:t>emission</w:t>
      </w:r>
      <w:r w:rsidRPr="001B780B">
        <w:t xml:space="preserve"> above</w:t>
      </w:r>
      <w:r w:rsidRPr="00202D9B">
        <w:t xml:space="preserve"> </w:t>
      </w:r>
      <w:r>
        <w:t>2200</w:t>
      </w:r>
      <w:r w:rsidRPr="00202D9B">
        <w:t xml:space="preserve"> MHz</w:t>
      </w:r>
      <w:bookmarkEnd w:id="32"/>
      <w:r w:rsidRPr="00202D9B">
        <w:t xml:space="preserve"> </w:t>
      </w:r>
    </w:p>
    <w:p w14:paraId="15DA176A" w14:textId="5C029FDB" w:rsidR="00121758" w:rsidRDefault="00121758" w:rsidP="00121758">
      <w:pPr>
        <w:pStyle w:val="Paragraph"/>
      </w:pPr>
      <w:r>
        <w:t>Unwanted emission limits from CGC base station transmitters operating in the band 2170</w:t>
      </w:r>
      <w:r w:rsidR="00641263">
        <w:t>–</w:t>
      </w:r>
      <w:r>
        <w:t>2195 MHz above 2200 MHz require considering of protection requirements for TOB receivers operating in the band 2200</w:t>
      </w:r>
      <w:r w:rsidR="00641263">
        <w:t>–</w:t>
      </w:r>
      <w:r>
        <w:t xml:space="preserve">2300 </w:t>
      </w:r>
      <w:proofErr w:type="spellStart"/>
      <w:r>
        <w:t>MHz.</w:t>
      </w:r>
      <w:proofErr w:type="spellEnd"/>
      <w:r>
        <w:t xml:space="preserve"> </w:t>
      </w:r>
    </w:p>
    <w:p w14:paraId="6AC0EC09" w14:textId="26764B99" w:rsidR="00121758" w:rsidRDefault="00121758" w:rsidP="00FB4BAD">
      <w:pPr>
        <w:pStyle w:val="Paragraphbeforelist"/>
      </w:pPr>
      <w:r>
        <w:t>There are</w:t>
      </w:r>
      <w:r w:rsidR="00EB6515">
        <w:t xml:space="preserve"> a</w:t>
      </w:r>
      <w:r>
        <w:t xml:space="preserve"> number of frequency bands where terrestrial wireless broadband services operate adjacent to TOB receivers that might be relevant to developing 2 GHz MSS unwanted emission limits above 2200 </w:t>
      </w:r>
      <w:proofErr w:type="spellStart"/>
      <w:r>
        <w:t>MHz.</w:t>
      </w:r>
      <w:proofErr w:type="spellEnd"/>
      <w:r>
        <w:t xml:space="preserve"> These are:</w:t>
      </w:r>
    </w:p>
    <w:p w14:paraId="062C0DC2" w14:textId="7B0856F5" w:rsidR="00121758" w:rsidRDefault="00121758" w:rsidP="00121758">
      <w:pPr>
        <w:pStyle w:val="ListBullet"/>
      </w:pPr>
      <w:r>
        <w:t>2 GHz (1920</w:t>
      </w:r>
      <w:r w:rsidR="00641263">
        <w:t>–</w:t>
      </w:r>
      <w:r>
        <w:t>1980/2110</w:t>
      </w:r>
      <w:r w:rsidR="00641263">
        <w:t>–</w:t>
      </w:r>
      <w:r>
        <w:t xml:space="preserve">2170 MHz) spectrum licensing technical framework </w:t>
      </w:r>
      <w:r w:rsidR="00641263">
        <w:br/>
      </w:r>
      <w:r>
        <w:t>(as revised in 2023) where base station transmitters (2110</w:t>
      </w:r>
      <w:r w:rsidR="00641263">
        <w:t>–</w:t>
      </w:r>
      <w:r>
        <w:t xml:space="preserve">2170 MHz) have a frequency boundary with TOB receivers at 2110 </w:t>
      </w:r>
      <w:proofErr w:type="gramStart"/>
      <w:r>
        <w:t>MHz</w:t>
      </w:r>
      <w:proofErr w:type="gramEnd"/>
    </w:p>
    <w:p w14:paraId="631881F3" w14:textId="4A268F1B" w:rsidR="00121758" w:rsidRDefault="00121758" w:rsidP="00121758">
      <w:pPr>
        <w:pStyle w:val="ListBullet"/>
      </w:pPr>
      <w:r>
        <w:t>2.3 GHz (2302</w:t>
      </w:r>
      <w:r w:rsidR="00641263">
        <w:t>–</w:t>
      </w:r>
      <w:r>
        <w:t xml:space="preserve">2400 MHz) spectrum licensing technical framework (as revised in 2023) </w:t>
      </w:r>
      <w:r w:rsidR="00641263">
        <w:t xml:space="preserve">that </w:t>
      </w:r>
      <w:r>
        <w:t xml:space="preserve">has a frequency boundary with TOB and earth station receivers at </w:t>
      </w:r>
      <w:r w:rsidR="00641263">
        <w:br/>
      </w:r>
      <w:r>
        <w:t xml:space="preserve">2300 </w:t>
      </w:r>
      <w:proofErr w:type="gramStart"/>
      <w:r>
        <w:t>MHz</w:t>
      </w:r>
      <w:proofErr w:type="gramEnd"/>
    </w:p>
    <w:p w14:paraId="3E3E2324" w14:textId="07F3F703" w:rsidR="00121758" w:rsidRDefault="00121758" w:rsidP="00FB4BAD">
      <w:pPr>
        <w:pStyle w:val="ListBulletLast"/>
        <w:keepNext/>
        <w:keepLines/>
      </w:pPr>
      <w:r>
        <w:t>2.5 GHz (2500</w:t>
      </w:r>
      <w:r w:rsidR="00641263">
        <w:t>–</w:t>
      </w:r>
      <w:r>
        <w:t>2570/2620</w:t>
      </w:r>
      <w:r w:rsidR="00641263">
        <w:t>–</w:t>
      </w:r>
      <w:r>
        <w:t xml:space="preserve">2690 MHz) spectrum licensing technical framework as developed in 2012 which considered TOB receivers operating under 2.5 GHz </w:t>
      </w:r>
      <w:r w:rsidR="006B4D18">
        <w:t>m</w:t>
      </w:r>
      <w:r>
        <w:t>id</w:t>
      </w:r>
      <w:r w:rsidR="00641263">
        <w:t>-</w:t>
      </w:r>
      <w:r>
        <w:t>band (2570</w:t>
      </w:r>
      <w:r w:rsidR="00641263">
        <w:t>–</w:t>
      </w:r>
      <w:r>
        <w:t xml:space="preserve">2620 MHz) spectrum licences. </w:t>
      </w:r>
      <w:r w:rsidR="005573B2">
        <w:t>The m</w:t>
      </w:r>
      <w:r>
        <w:t xml:space="preserve">ost relevant </w:t>
      </w:r>
      <w:r w:rsidR="005573B2">
        <w:t xml:space="preserve">matter identified is  </w:t>
      </w:r>
      <w:r>
        <w:t>the 2620 MHz frequency boundary with TOB receivers and base station transmitters</w:t>
      </w:r>
      <w:r w:rsidR="005573B2">
        <w:t>.</w:t>
      </w:r>
    </w:p>
    <w:p w14:paraId="7FDEDE79" w14:textId="1025A21A" w:rsidR="00121758" w:rsidRDefault="00121758" w:rsidP="000F0753">
      <w:pPr>
        <w:pStyle w:val="Paragraph"/>
      </w:pPr>
      <w:r>
        <w:t>Of th</w:t>
      </w:r>
      <w:r w:rsidR="005573B2">
        <w:t>ese</w:t>
      </w:r>
      <w:r>
        <w:t xml:space="preserve"> technical frameworks, the </w:t>
      </w:r>
      <w:r w:rsidR="00E47EB7">
        <w:t xml:space="preserve">2.5 GHz spectrum licence </w:t>
      </w:r>
      <w:r w:rsidR="00680C29">
        <w:t xml:space="preserve">technical framework with the </w:t>
      </w:r>
      <w:r>
        <w:t>2620 MHz frequency boundary</w:t>
      </w:r>
      <w:r w:rsidR="00563E2D">
        <w:t>,</w:t>
      </w:r>
      <w:r>
        <w:t xml:space="preserve"> with TOB receivers and base station transmitters</w:t>
      </w:r>
      <w:r w:rsidR="00563E2D">
        <w:t>,</w:t>
      </w:r>
      <w:r w:rsidR="00680C29">
        <w:t xml:space="preserve"> is seen as the most relevant</w:t>
      </w:r>
      <w:r w:rsidR="00563E2D">
        <w:t xml:space="preserve"> because </w:t>
      </w:r>
      <w:r>
        <w:t>the 2.5 GHz framework was developed with consideration given to protecting TOB services. For the 2 and 2.3 GHz bands</w:t>
      </w:r>
      <w:r w:rsidR="00563E2D">
        <w:t>,</w:t>
      </w:r>
      <w:r>
        <w:t xml:space="preserve"> terrestrial wireless broadcast services were well established when TOB services transition into the band 2010</w:t>
      </w:r>
      <w:r w:rsidR="00641263">
        <w:t>–</w:t>
      </w:r>
      <w:r>
        <w:t>2110/2200</w:t>
      </w:r>
      <w:r w:rsidR="00641263">
        <w:t>–</w:t>
      </w:r>
      <w:r>
        <w:t xml:space="preserve">2300 MHz as an outcome of work to provide </w:t>
      </w:r>
      <w:r w:rsidRPr="007D2649">
        <w:t xml:space="preserve">long term arrangements for </w:t>
      </w:r>
      <w:r>
        <w:t>TOB</w:t>
      </w:r>
      <w:r w:rsidR="00641263">
        <w:t>.</w:t>
      </w:r>
      <w:r>
        <w:rPr>
          <w:rStyle w:val="FootnoteReference"/>
        </w:rPr>
        <w:footnoteReference w:id="19"/>
      </w:r>
      <w:r>
        <w:t xml:space="preserve"> TOB services had to accept interference from existing wireless broadcast services</w:t>
      </w:r>
      <w:r w:rsidR="003C32A0">
        <w:t>. N</w:t>
      </w:r>
      <w:r>
        <w:t xml:space="preserve">o changes were made to arrangements for wireless broadcast services </w:t>
      </w:r>
      <w:r w:rsidR="003C32A0">
        <w:t xml:space="preserve">to </w:t>
      </w:r>
      <w:r>
        <w:t xml:space="preserve">provide </w:t>
      </w:r>
      <w:r w:rsidR="00BD1C83">
        <w:t xml:space="preserve">protection for </w:t>
      </w:r>
      <w:r>
        <w:t xml:space="preserve">adjacent band to TOB. </w:t>
      </w:r>
    </w:p>
    <w:p w14:paraId="2409C6AA" w14:textId="0EC8704D" w:rsidR="00121758" w:rsidRDefault="00121758" w:rsidP="000F0753">
      <w:pPr>
        <w:pStyle w:val="Paragraph"/>
      </w:pPr>
      <w:r>
        <w:t xml:space="preserve">The 2.5 GHz technical framework contains an unwanted emission limit of </w:t>
      </w:r>
      <w:r w:rsidR="00641263">
        <w:br/>
      </w:r>
      <w:r>
        <w:t>-45 dBm/MHz EIRP at a 5 MHz offset to protect adjacent band services</w:t>
      </w:r>
      <w:r w:rsidR="00641263">
        <w:t>,</w:t>
      </w:r>
      <w:r>
        <w:t xml:space="preserve"> </w:t>
      </w:r>
      <w:r w:rsidR="00641263">
        <w:br/>
      </w:r>
      <w:r>
        <w:t>including TOB.</w:t>
      </w:r>
    </w:p>
    <w:p w14:paraId="2617213B" w14:textId="3A88FDEF" w:rsidR="00121758" w:rsidRDefault="00121758" w:rsidP="000F0753">
      <w:pPr>
        <w:pStyle w:val="Paragraph"/>
      </w:pPr>
      <w:r>
        <w:t>With the first TOB channel in the 2200</w:t>
      </w:r>
      <w:r w:rsidR="00641263">
        <w:t>–</w:t>
      </w:r>
      <w:r>
        <w:t>2300 MHz band starting at 2204 MHz, transposing the 2.5 GHz spectrum licensing requirements to 2 GHz MSS gives an emission limit at 2204 MHz of -45 dBm/MHz EIRP.</w:t>
      </w:r>
    </w:p>
    <w:p w14:paraId="66E0C910" w14:textId="1D218FF1" w:rsidR="00FB6A98" w:rsidRDefault="00FB6A98" w:rsidP="000F0753">
      <w:pPr>
        <w:pStyle w:val="Paragraph"/>
      </w:pPr>
      <w:r>
        <w:t>For areas of lower TOB usage</w:t>
      </w:r>
      <w:r w:rsidR="00D7197C">
        <w:t>,</w:t>
      </w:r>
      <w:r>
        <w:t xml:space="preserve"> or </w:t>
      </w:r>
      <w:r w:rsidR="00C66A66">
        <w:t xml:space="preserve">areas with </w:t>
      </w:r>
      <w:r>
        <w:t xml:space="preserve">no TOB collection receive stations, it is possible that </w:t>
      </w:r>
      <w:r w:rsidR="00D7197C">
        <w:t>more relaxed</w:t>
      </w:r>
      <w:r>
        <w:t xml:space="preserve"> limit</w:t>
      </w:r>
      <w:r w:rsidR="00D7197C">
        <w:t>s</w:t>
      </w:r>
      <w:r>
        <w:t xml:space="preserve"> could </w:t>
      </w:r>
      <w:r w:rsidR="00D7197C">
        <w:t>apply</w:t>
      </w:r>
      <w:r>
        <w:t>. This could be achieved by specifying different limits in different areas (for example, different limits in capital cities areas compared to regional/remote areas) or providing the flexibility for different limits with the agreement of the potentially impact TOB licensees.</w:t>
      </w:r>
    </w:p>
    <w:p w14:paraId="6062941F" w14:textId="34828A00" w:rsidR="00121758" w:rsidRDefault="00121758" w:rsidP="00121758">
      <w:pPr>
        <w:pStyle w:val="Paragraph"/>
      </w:pPr>
      <w:r>
        <w:t>For protection of earth station receivers in the 2200</w:t>
      </w:r>
      <w:r w:rsidR="00B4238B">
        <w:t>–</w:t>
      </w:r>
      <w:r>
        <w:t xml:space="preserve">2300 MHz, the envisaged coordination requirements (see section 3.5) are based on assessing the level of CGC out-of-band emissions at the earth station receiver. Given that there are only a small number of earth station locations most of which are mainly located outside of capital cities, our preliminary view is that 2 GHz MSS unwanted emissions limits </w:t>
      </w:r>
      <w:r w:rsidR="00DC22FE">
        <w:t xml:space="preserve">do not need to consider </w:t>
      </w:r>
      <w:r w:rsidR="00E14D72">
        <w:t>earth station receiver protection requirements</w:t>
      </w:r>
      <w:r>
        <w:t>.</w:t>
      </w:r>
    </w:p>
    <w:p w14:paraId="40D9523D" w14:textId="77777777" w:rsidR="00121758" w:rsidRDefault="00121758" w:rsidP="00747413">
      <w:pPr>
        <w:pStyle w:val="Heading3"/>
      </w:pPr>
      <w:bookmarkStart w:id="33" w:name="_Toc150510356"/>
      <w:r>
        <w:t>Unwanted emission limits for aeronautical terminals</w:t>
      </w:r>
      <w:bookmarkEnd w:id="33"/>
    </w:p>
    <w:p w14:paraId="6C34B3FE" w14:textId="3D07DE90" w:rsidR="00121758" w:rsidRDefault="00121758" w:rsidP="00121758">
      <w:r w:rsidRPr="00527403">
        <w:t xml:space="preserve">The </w:t>
      </w:r>
      <w:r>
        <w:t xml:space="preserve">2 GHz spectrum licensing technical farmwork does not considered aeronautical terminals such as those used in CGC/DA2GC. So </w:t>
      </w:r>
      <w:r w:rsidR="004F1B20">
        <w:t xml:space="preserve">consistent with </w:t>
      </w:r>
      <w:r>
        <w:t>aligning with European arrangement</w:t>
      </w:r>
      <w:r w:rsidR="004F1B20">
        <w:t>s</w:t>
      </w:r>
      <w:r>
        <w:t xml:space="preserve"> for </w:t>
      </w:r>
      <w:r w:rsidRPr="000F6627">
        <w:t>2 GHz MSS</w:t>
      </w:r>
      <w:r>
        <w:t xml:space="preserve"> unwanted emissions limits</w:t>
      </w:r>
      <w:r w:rsidR="00E80174">
        <w:t>, we are proposing limits</w:t>
      </w:r>
      <w:r>
        <w:t xml:space="preserve"> based on </w:t>
      </w:r>
      <w:hyperlink r:id="rId29" w:history="1">
        <w:r w:rsidRPr="00807CD5">
          <w:rPr>
            <w:rStyle w:val="Hyperlink"/>
          </w:rPr>
          <w:t>ECC Report 233</w:t>
        </w:r>
      </w:hyperlink>
      <w:r w:rsidR="00B4238B" w:rsidRPr="00927542">
        <w:rPr>
          <w:rStyle w:val="Hyperlink"/>
          <w:color w:val="auto"/>
          <w:u w:val="none"/>
        </w:rPr>
        <w:t>.</w:t>
      </w:r>
      <w:r>
        <w:rPr>
          <w:rStyle w:val="FootnoteReference"/>
        </w:rPr>
        <w:footnoteReference w:id="20"/>
      </w:r>
      <w:r w:rsidR="00B4238B">
        <w:t xml:space="preserve"> </w:t>
      </w:r>
      <w:r>
        <w:t xml:space="preserve">ECC Report 233 developed an </w:t>
      </w:r>
      <w:r w:rsidRPr="00527403">
        <w:t>out</w:t>
      </w:r>
      <w:r w:rsidR="00B4238B">
        <w:t>-</w:t>
      </w:r>
      <w:r w:rsidRPr="00527403">
        <w:t>of</w:t>
      </w:r>
      <w:r w:rsidR="00B4238B">
        <w:t>-</w:t>
      </w:r>
      <w:r w:rsidRPr="00527403">
        <w:t xml:space="preserve">band </w:t>
      </w:r>
      <w:r>
        <w:t>power flux density (</w:t>
      </w:r>
      <w:proofErr w:type="spellStart"/>
      <w:r>
        <w:t>pfd</w:t>
      </w:r>
      <w:proofErr w:type="spellEnd"/>
      <w:r>
        <w:t>) mask for aeronautical transmitters in 1980</w:t>
      </w:r>
      <w:r w:rsidR="00B4238B">
        <w:t>–</w:t>
      </w:r>
      <w:r>
        <w:t>2010 MHz to protect base station receivers in the band 1920</w:t>
      </w:r>
      <w:r w:rsidR="00B4238B">
        <w:t>–</w:t>
      </w:r>
      <w:r>
        <w:t xml:space="preserve">1980 </w:t>
      </w:r>
      <w:proofErr w:type="spellStart"/>
      <w:r>
        <w:t>MHz.</w:t>
      </w:r>
      <w:proofErr w:type="spellEnd"/>
      <w:r>
        <w:t xml:space="preserve"> The report also advised that</w:t>
      </w:r>
      <w:r w:rsidR="007A5FC6">
        <w:t xml:space="preserve"> a</w:t>
      </w:r>
      <w:r>
        <w:t xml:space="preserve"> </w:t>
      </w:r>
      <w:proofErr w:type="spellStart"/>
      <w:r>
        <w:t>pfd</w:t>
      </w:r>
      <w:proofErr w:type="spellEnd"/>
      <w:r>
        <w:t xml:space="preserve"> mask could be applied within the band 1980</w:t>
      </w:r>
      <w:r w:rsidR="00B4238B">
        <w:t>–</w:t>
      </w:r>
      <w:r>
        <w:t xml:space="preserve">2010 MHz to protect adjacent band MSS systems using CGCs. </w:t>
      </w:r>
      <w:r w:rsidRPr="00AE76D7">
        <w:t xml:space="preserve">The </w:t>
      </w:r>
      <w:proofErr w:type="spellStart"/>
      <w:r w:rsidRPr="00AE76D7">
        <w:t>pfd</w:t>
      </w:r>
      <w:proofErr w:type="spellEnd"/>
      <w:r w:rsidRPr="00AE76D7">
        <w:t xml:space="preserve"> mask would also </w:t>
      </w:r>
      <w:r w:rsidRPr="00056517">
        <w:t xml:space="preserve">help mitigate the potential for interference to </w:t>
      </w:r>
      <w:r w:rsidRPr="00AE76D7">
        <w:t>adjacent band TOB receive stations in 2010</w:t>
      </w:r>
      <w:r w:rsidR="00B4238B">
        <w:t>–</w:t>
      </w:r>
      <w:r w:rsidRPr="00AE76D7">
        <w:t xml:space="preserve">2110 </w:t>
      </w:r>
      <w:proofErr w:type="spellStart"/>
      <w:r w:rsidRPr="00AE76D7">
        <w:t>MHz.</w:t>
      </w:r>
      <w:proofErr w:type="spellEnd"/>
      <w:r w:rsidRPr="00AE76D7">
        <w:rPr>
          <w:rStyle w:val="FootnoteReference"/>
        </w:rPr>
        <w:footnoteReference w:id="21"/>
      </w:r>
      <w:r w:rsidRPr="00AE76D7">
        <w:t xml:space="preserve">  </w:t>
      </w:r>
    </w:p>
    <w:p w14:paraId="3CE9FC34" w14:textId="20ACB011" w:rsidR="00121758" w:rsidRDefault="00F72424" w:rsidP="00121758">
      <w:r>
        <w:t>We are proposing</w:t>
      </w:r>
      <w:r w:rsidR="00121758" w:rsidDel="00F72424">
        <w:t xml:space="preserve"> </w:t>
      </w:r>
      <w:r w:rsidR="00121758">
        <w:t>that a</w:t>
      </w:r>
      <w:r w:rsidR="00121758" w:rsidRPr="00ED6BB7">
        <w:t xml:space="preserve">eronautical terminals </w:t>
      </w:r>
      <w:r w:rsidR="00121758">
        <w:t>be required to meet the ECC pdf mask at frequencies below 1980 MHz, above 2010 MHz and in the channel of any adjacent channel 2 GHz MSS system. The mask is:</w:t>
      </w:r>
    </w:p>
    <w:p w14:paraId="777D2423" w14:textId="77777777" w:rsidR="00121758" w:rsidRPr="00100080" w:rsidRDefault="00121758" w:rsidP="00121758">
      <m:oMathPara>
        <m:oMath>
          <m:r>
            <w:rPr>
              <w:rFonts w:ascii="Cambria Math" w:hAnsi="Cambria Math"/>
            </w:rPr>
            <m:t xml:space="preserve">PFD </m:t>
          </m:r>
          <m:d>
            <m:dPr>
              <m:ctrlPr>
                <w:rPr>
                  <w:rFonts w:ascii="Cambria Math" w:hAnsi="Cambria Math"/>
                  <w:i/>
                </w:rPr>
              </m:ctrlPr>
            </m:dPr>
            <m:e>
              <m:r>
                <w:rPr>
                  <w:rFonts w:ascii="Cambria Math" w:hAnsi="Cambria Math"/>
                </w:rPr>
                <m:t>δ</m:t>
              </m:r>
            </m:e>
          </m:d>
          <m:r>
            <w:rPr>
              <w:rFonts w:ascii="Cambria Math" w:hAnsi="Cambria Math"/>
            </w:rPr>
            <m:t xml:space="preserve">=2* δ-125.5 dB </m:t>
          </m:r>
          <m:d>
            <m:dPr>
              <m:ctrlPr>
                <w:rPr>
                  <w:rFonts w:ascii="Cambria Math" w:hAnsi="Cambria Math"/>
                  <w:i/>
                </w:rPr>
              </m:ctrlPr>
            </m:dPr>
            <m:e>
              <m:f>
                <m:fPr>
                  <m:type m:val="lin"/>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 MHz</m:t>
                  </m:r>
                </m:den>
              </m:f>
            </m:e>
          </m:d>
          <m:r>
            <w:rPr>
              <w:rFonts w:ascii="Cambria Math" w:hAnsi="Cambria Math"/>
            </w:rPr>
            <m:t xml:space="preserve">          for 0°≤δ≤5°</m:t>
          </m:r>
        </m:oMath>
      </m:oMathPara>
    </w:p>
    <w:p w14:paraId="16E05D56" w14:textId="77777777" w:rsidR="00121758" w:rsidRPr="004A2A28" w:rsidRDefault="00121758" w:rsidP="00121758">
      <m:oMathPara>
        <m:oMath>
          <m:r>
            <w:rPr>
              <w:rFonts w:ascii="Cambria Math" w:hAnsi="Cambria Math"/>
            </w:rPr>
            <m:t xml:space="preserve">PFD </m:t>
          </m:r>
          <m:d>
            <m:dPr>
              <m:ctrlPr>
                <w:rPr>
                  <w:rFonts w:ascii="Cambria Math" w:hAnsi="Cambria Math"/>
                  <w:i/>
                </w:rPr>
              </m:ctrlPr>
            </m:dPr>
            <m:e>
              <m:r>
                <w:rPr>
                  <w:rFonts w:ascii="Cambria Math" w:hAnsi="Cambria Math"/>
                </w:rPr>
                <m:t>δ</m:t>
              </m:r>
            </m:e>
          </m:d>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85</m:t>
              </m:r>
            </m:den>
          </m:f>
          <m:r>
            <w:rPr>
              <w:rFonts w:ascii="Cambria Math" w:hAnsi="Cambria Math"/>
            </w:rPr>
            <m:t xml:space="preserve">* δ-116.3 dB </m:t>
          </m:r>
          <m:d>
            <m:dPr>
              <m:ctrlPr>
                <w:rPr>
                  <w:rFonts w:ascii="Cambria Math" w:hAnsi="Cambria Math"/>
                  <w:i/>
                </w:rPr>
              </m:ctrlPr>
            </m:dPr>
            <m:e>
              <m:f>
                <m:fPr>
                  <m:type m:val="lin"/>
                  <m:ctrlPr>
                    <w:rPr>
                      <w:rFonts w:ascii="Cambria Math" w:hAnsi="Cambria Math"/>
                      <w:i/>
                    </w:rPr>
                  </m:ctrlPr>
                </m:fPr>
                <m:num>
                  <m:r>
                    <w:rPr>
                      <w:rFonts w:ascii="Cambria Math" w:hAnsi="Cambria Math"/>
                    </w:rPr>
                    <m:t>W</m:t>
                  </m:r>
                </m:num>
                <m:den>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 MHz</m:t>
                  </m:r>
                </m:den>
              </m:f>
            </m:e>
          </m:d>
          <m:r>
            <w:rPr>
              <w:rFonts w:ascii="Cambria Math" w:hAnsi="Cambria Math"/>
            </w:rPr>
            <m:t xml:space="preserve">        for 5°&lt;δ≤90°</m:t>
          </m:r>
        </m:oMath>
      </m:oMathPara>
    </w:p>
    <w:p w14:paraId="38696138" w14:textId="3F32433C" w:rsidR="00121758" w:rsidRDefault="00121758" w:rsidP="00121758">
      <w:pPr>
        <w:pStyle w:val="Paragraph"/>
      </w:pPr>
      <w:r>
        <w:t xml:space="preserve">where δ is the angle of arrival at the Earth’s surface (degrees above the horizontal) and the </w:t>
      </w:r>
      <w:proofErr w:type="spellStart"/>
      <w:r w:rsidR="004F49AB">
        <w:t>pfd</w:t>
      </w:r>
      <w:proofErr w:type="spellEnd"/>
      <w:r>
        <w:t xml:space="preserve"> is calculated in a reference bandwidth of 5 </w:t>
      </w:r>
      <w:proofErr w:type="spellStart"/>
      <w:r>
        <w:t>MHz.</w:t>
      </w:r>
      <w:proofErr w:type="spellEnd"/>
    </w:p>
    <w:p w14:paraId="3DC364EE" w14:textId="77777777" w:rsidR="00121758" w:rsidRDefault="00121758" w:rsidP="00121758">
      <w:pPr>
        <w:pStyle w:val="Heading1"/>
        <w:numPr>
          <w:ilvl w:val="0"/>
          <w:numId w:val="13"/>
        </w:numPr>
        <w:ind w:left="0" w:firstLine="0"/>
      </w:pPr>
      <w:bookmarkStart w:id="34" w:name="_Toc149990593"/>
      <w:bookmarkStart w:id="35" w:name="_Toc149990594"/>
      <w:bookmarkStart w:id="36" w:name="_Toc149990595"/>
      <w:bookmarkStart w:id="37" w:name="_Toc149990617"/>
      <w:bookmarkStart w:id="38" w:name="_Toc149990618"/>
      <w:bookmarkStart w:id="39" w:name="_Toc149990619"/>
      <w:bookmarkStart w:id="40" w:name="_Toc149990620"/>
      <w:bookmarkStart w:id="41" w:name="_Toc149990621"/>
      <w:bookmarkStart w:id="42" w:name="_Toc149990622"/>
      <w:bookmarkStart w:id="43" w:name="_Toc149990639"/>
      <w:bookmarkStart w:id="44" w:name="_Toc149990640"/>
      <w:bookmarkStart w:id="45" w:name="_Toc149990672"/>
      <w:bookmarkStart w:id="46" w:name="_Toc149990673"/>
      <w:bookmarkStart w:id="47" w:name="_Toc149990687"/>
      <w:bookmarkStart w:id="48" w:name="_Toc149990688"/>
      <w:bookmarkStart w:id="49" w:name="_Toc149990689"/>
      <w:bookmarkStart w:id="50" w:name="_Toc149990690"/>
      <w:bookmarkStart w:id="51" w:name="_Toc149990717"/>
      <w:bookmarkStart w:id="52" w:name="_Coordination_considerations"/>
      <w:bookmarkStart w:id="53" w:name="_Ref148276957"/>
      <w:bookmarkStart w:id="54" w:name="_Toc150510357"/>
      <w:bookmarkStart w:id="55" w:name="_Toc15146933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Coordination considerations</w:t>
      </w:r>
      <w:bookmarkEnd w:id="53"/>
      <w:bookmarkEnd w:id="54"/>
      <w:bookmarkEnd w:id="55"/>
    </w:p>
    <w:p w14:paraId="0C03D229" w14:textId="77777777" w:rsidR="00121758" w:rsidRPr="00980E73" w:rsidRDefault="00121758" w:rsidP="00747413">
      <w:pPr>
        <w:pStyle w:val="Heading2"/>
      </w:pPr>
      <w:bookmarkStart w:id="56" w:name="_Toc150510358"/>
      <w:bookmarkStart w:id="57" w:name="_Toc151469339"/>
      <w:r>
        <w:t>Current spectrum arrangements</w:t>
      </w:r>
      <w:bookmarkEnd w:id="56"/>
      <w:bookmarkEnd w:id="57"/>
    </w:p>
    <w:p w14:paraId="09A21E41" w14:textId="1A73084E" w:rsidR="00121758" w:rsidRDefault="00121758" w:rsidP="00121758">
      <w:pPr>
        <w:pStyle w:val="Paragraph"/>
      </w:pPr>
      <w:r>
        <w:t xml:space="preserve">The </w:t>
      </w:r>
      <w:hyperlink r:id="rId30" w:history="1">
        <w:r w:rsidRPr="00673DF4">
          <w:rPr>
            <w:rStyle w:val="Hyperlink"/>
          </w:rPr>
          <w:t>Australian Radiofrequency Spectrum Plan 2021</w:t>
        </w:r>
      </w:hyperlink>
      <w:r>
        <w:t xml:space="preserve"> (the Spectrum Plan) includes allocations in the 1980</w:t>
      </w:r>
      <w:r w:rsidR="00F63EF1">
        <w:t>–</w:t>
      </w:r>
      <w:r>
        <w:t>2005 MHz and 2170</w:t>
      </w:r>
      <w:r w:rsidR="00F63EF1">
        <w:t>–</w:t>
      </w:r>
      <w:r>
        <w:t xml:space="preserve">2195 MHz bands to the fixed, mobile and mobile-satellite services on a primary basis. Australian allocations are consistent with global allocations in the 2 GHz band. The adjacent bands support a range of fixed, mobile, space research, space operations and Earth exploration services. </w:t>
      </w:r>
    </w:p>
    <w:p w14:paraId="2B6F4F4C" w14:textId="19C9C86D" w:rsidR="00121758" w:rsidRDefault="00F63EF1" w:rsidP="00121758">
      <w:pPr>
        <w:pStyle w:val="Paragraph"/>
      </w:pPr>
      <w:r>
        <w:t xml:space="preserve">The Figure 2 spectrum arrangement </w:t>
      </w:r>
      <w:r w:rsidR="00121758" w:rsidRPr="0004427B">
        <w:t>shows a summary of current and planned spectrum</w:t>
      </w:r>
      <w:r w:rsidR="00121758">
        <w:t xml:space="preserve"> arrangements in and adjacent to those bands. A description of spectrum uses illustrated and coordination arrangements follows.</w:t>
      </w:r>
    </w:p>
    <w:p w14:paraId="6841EC7A" w14:textId="77777777" w:rsidR="00121758" w:rsidRDefault="00121758" w:rsidP="00121758">
      <w:pPr>
        <w:pStyle w:val="Figureheading"/>
      </w:pPr>
      <w:bookmarkStart w:id="58" w:name="_Ref148201544"/>
      <w:r w:rsidRPr="00EC6784">
        <w:t>Spectrum arrangements</w:t>
      </w:r>
      <w:bookmarkEnd w:id="58"/>
    </w:p>
    <w:p w14:paraId="0C88C524" w14:textId="683F01C0" w:rsidR="00733F12" w:rsidRPr="00733F12" w:rsidRDefault="00724D6E" w:rsidP="00733F12">
      <w:pPr>
        <w:pStyle w:val="Paragraph"/>
      </w:pPr>
      <w:r>
        <w:rPr>
          <w:noProof/>
        </w:rPr>
        <w:drawing>
          <wp:inline distT="0" distB="0" distL="0" distR="0" wp14:anchorId="2F0D0ABE" wp14:editId="0B7C6764">
            <wp:extent cx="6276975" cy="2715849"/>
            <wp:effectExtent l="0" t="0" r="0" b="8890"/>
            <wp:docPr id="8" name="Picture 8" descr="Figure 2: Spectrum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Spectrum arrangem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1166" cy="2726316"/>
                    </a:xfrm>
                    <a:prstGeom prst="rect">
                      <a:avLst/>
                    </a:prstGeom>
                    <a:noFill/>
                    <a:ln>
                      <a:noFill/>
                    </a:ln>
                  </pic:spPr>
                </pic:pic>
              </a:graphicData>
            </a:graphic>
          </wp:inline>
        </w:drawing>
      </w:r>
    </w:p>
    <w:p w14:paraId="4419E44E" w14:textId="44CC6798" w:rsidR="00121758" w:rsidRDefault="00121758" w:rsidP="00535F2C">
      <w:pPr>
        <w:pStyle w:val="Paragraph"/>
      </w:pPr>
    </w:p>
    <w:p w14:paraId="474D2B19" w14:textId="77777777" w:rsidR="00121758" w:rsidRDefault="00121758" w:rsidP="00562C7C">
      <w:pPr>
        <w:pStyle w:val="Heading2"/>
      </w:pPr>
      <w:bookmarkStart w:id="59" w:name="_Toc150510359"/>
      <w:bookmarkStart w:id="60" w:name="_Toc151469340"/>
      <w:r>
        <w:t>Fixed point-to-point links</w:t>
      </w:r>
      <w:bookmarkEnd w:id="59"/>
      <w:bookmarkEnd w:id="60"/>
    </w:p>
    <w:p w14:paraId="767B4B06" w14:textId="73B8E2A0" w:rsidR="00121758" w:rsidRPr="00A85D75" w:rsidRDefault="00121758" w:rsidP="00121758">
      <w:pPr>
        <w:pStyle w:val="Paragraph"/>
      </w:pPr>
      <w:r>
        <w:t xml:space="preserve">In </w:t>
      </w:r>
      <w:r w:rsidR="00AF54A7">
        <w:t xml:space="preserve">the </w:t>
      </w:r>
      <w:r>
        <w:t>2021 outcomes paper</w:t>
      </w:r>
      <w:r w:rsidR="00F63EF1">
        <w:t>,</w:t>
      </w:r>
      <w:r>
        <w:t xml:space="preserve"> w</w:t>
      </w:r>
      <w:r w:rsidRPr="00A85D75">
        <w:t xml:space="preserve">e determined that the small number of legacy fixed point-to-point links in regional and remote areas should not impact deployment of </w:t>
      </w:r>
      <w:r w:rsidR="001D368E">
        <w:br/>
      </w:r>
      <w:r>
        <w:t xml:space="preserve">2 GHz MSS. </w:t>
      </w:r>
      <w:r w:rsidRPr="00A85D75">
        <w:t xml:space="preserve">As a result, these links </w:t>
      </w:r>
      <w:r>
        <w:t xml:space="preserve">are </w:t>
      </w:r>
      <w:r w:rsidRPr="00A85D75">
        <w:t>be permitted to continue operating</w:t>
      </w:r>
      <w:r w:rsidR="00151659">
        <w:t>,</w:t>
      </w:r>
      <w:r w:rsidRPr="00A85D75">
        <w:t xml:space="preserve"> subject to the existing licence </w:t>
      </w:r>
      <w:r>
        <w:t>renewal</w:t>
      </w:r>
      <w:r w:rsidRPr="00A85D75">
        <w:t xml:space="preserve"> process on expiry</w:t>
      </w:r>
      <w:r>
        <w:t xml:space="preserve"> with no new </w:t>
      </w:r>
      <w:r w:rsidRPr="00A85D75">
        <w:t xml:space="preserve">fixed point-to-point links </w:t>
      </w:r>
      <w:r w:rsidR="001D368E">
        <w:br/>
        <w:t xml:space="preserve">(as per the MSS band plan) </w:t>
      </w:r>
      <w:r>
        <w:t xml:space="preserve">to </w:t>
      </w:r>
      <w:r w:rsidRPr="00A85D75">
        <w:t>be permitted in the 2 GHz band.</w:t>
      </w:r>
      <w:r>
        <w:t xml:space="preserve"> To ensure compatibility between fixed point-to-point and complementary ground component applications (including direct air-to-ground), we acknowledge the need to develop coordination arrangements between fixed links and CGC.</w:t>
      </w:r>
    </w:p>
    <w:p w14:paraId="72FA296D" w14:textId="16C7BCDE" w:rsidR="00121758" w:rsidRDefault="00121758" w:rsidP="00121758">
      <w:pPr>
        <w:pStyle w:val="ListBulletLast"/>
        <w:numPr>
          <w:ilvl w:val="0"/>
          <w:numId w:val="0"/>
        </w:numPr>
      </w:pPr>
      <w:r>
        <w:t>Current arrangements for fixed p</w:t>
      </w:r>
      <w:r w:rsidRPr="007A39A0">
        <w:t>oint</w:t>
      </w:r>
      <w:r>
        <w:t>-</w:t>
      </w:r>
      <w:r w:rsidRPr="007A39A0">
        <w:t>to</w:t>
      </w:r>
      <w:r>
        <w:t>-</w:t>
      </w:r>
      <w:r w:rsidRPr="007A39A0">
        <w:t xml:space="preserve">point services are </w:t>
      </w:r>
      <w:r>
        <w:t xml:space="preserve">detailed in </w:t>
      </w:r>
      <w:hyperlink r:id="rId32" w:history="1">
        <w:r w:rsidRPr="00470AD6">
          <w:rPr>
            <w:rStyle w:val="Hyperlink"/>
          </w:rPr>
          <w:t>RALI FX3</w:t>
        </w:r>
      </w:hyperlink>
      <w:r w:rsidR="001D368E">
        <w:t xml:space="preserve">, </w:t>
      </w:r>
      <w:r>
        <w:t xml:space="preserve">which specifies channel arrangements for the fixed services in the 2.1 GHz band </w:t>
      </w:r>
      <w:r w:rsidR="001D368E">
        <w:br/>
      </w:r>
      <w:r>
        <w:t>(1900</w:t>
      </w:r>
      <w:r w:rsidR="001D368E">
        <w:t>–</w:t>
      </w:r>
      <w:r>
        <w:t>2300 MHz) and the 2.2 GHz band (2025</w:t>
      </w:r>
      <w:r w:rsidR="001D368E">
        <w:t>–</w:t>
      </w:r>
      <w:r>
        <w:t xml:space="preserve">2285 MHz). These fixed services channel arrangements are detailed in Figure 3 along with proposed MSS (including CGC) services. </w:t>
      </w:r>
    </w:p>
    <w:p w14:paraId="02142B5E" w14:textId="4D2A2735" w:rsidR="00121758" w:rsidRDefault="00121758" w:rsidP="00121758">
      <w:pPr>
        <w:pStyle w:val="ListBulletLast"/>
        <w:numPr>
          <w:ilvl w:val="0"/>
          <w:numId w:val="0"/>
        </w:numPr>
      </w:pPr>
      <w:r>
        <w:t>While no new fixed links are allowed in the 2 GHz MSS band, in the adjacent bands new fixed links are allowed though restricted due to spectrum licensing and PTS (1920</w:t>
      </w:r>
      <w:r w:rsidR="001D368E">
        <w:t>–</w:t>
      </w:r>
      <w:r>
        <w:t>1980/2110</w:t>
      </w:r>
      <w:r w:rsidR="001D368E">
        <w:t>–</w:t>
      </w:r>
      <w:r>
        <w:t>2170 MHz) and Embargo 23 restriction</w:t>
      </w:r>
      <w:r>
        <w:rPr>
          <w:rStyle w:val="FootnoteReference"/>
        </w:rPr>
        <w:footnoteReference w:id="22"/>
      </w:r>
      <w:r>
        <w:t xml:space="preserve"> on fixed point-to-point links in 2010</w:t>
      </w:r>
      <w:r w:rsidR="001D368E">
        <w:t>–</w:t>
      </w:r>
      <w:r>
        <w:t>2110/2200</w:t>
      </w:r>
      <w:r w:rsidR="001D368E">
        <w:t>–</w:t>
      </w:r>
      <w:r>
        <w:t>2300 MHz to support TOB operations.</w:t>
      </w:r>
    </w:p>
    <w:p w14:paraId="04321528" w14:textId="77777777" w:rsidR="008C24B6" w:rsidRDefault="00121758" w:rsidP="00AA1289">
      <w:pPr>
        <w:pStyle w:val="Figureheading"/>
      </w:pPr>
      <w:bookmarkStart w:id="61" w:name="_Ref150675571"/>
      <w:r>
        <w:t>Spectrum arrangements: Fixed links and 2 GHz MSS</w:t>
      </w:r>
      <w:bookmarkEnd w:id="61"/>
    </w:p>
    <w:p w14:paraId="24BE806E" w14:textId="26722536" w:rsidR="008C24B6" w:rsidRDefault="008C24B6" w:rsidP="00121758">
      <w:pPr>
        <w:pStyle w:val="Paragraph"/>
        <w:keepNext/>
      </w:pPr>
      <w:r>
        <w:rPr>
          <w:noProof/>
        </w:rPr>
        <w:drawing>
          <wp:inline distT="0" distB="0" distL="0" distR="0" wp14:anchorId="1EC87D09" wp14:editId="67D42F4B">
            <wp:extent cx="5695950" cy="2139972"/>
            <wp:effectExtent l="0" t="0" r="0" b="0"/>
            <wp:docPr id="9" name="Picture 9" descr="Figure 3: Spectrum arrangements: Fixed links and 2 GHz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Spectrum arrangements: Fixed links and 2 GHz M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1438" cy="2142034"/>
                    </a:xfrm>
                    <a:prstGeom prst="rect">
                      <a:avLst/>
                    </a:prstGeom>
                    <a:noFill/>
                    <a:ln>
                      <a:noFill/>
                    </a:ln>
                  </pic:spPr>
                </pic:pic>
              </a:graphicData>
            </a:graphic>
          </wp:inline>
        </w:drawing>
      </w:r>
    </w:p>
    <w:bookmarkEnd w:id="19"/>
    <w:bookmarkEnd w:id="20"/>
    <w:p w14:paraId="085780BB" w14:textId="03A58310" w:rsidR="00121758" w:rsidRDefault="00121758" w:rsidP="00121758">
      <w:pPr>
        <w:pStyle w:val="Paragraph"/>
      </w:pPr>
      <w:r>
        <w:t>There are currently 14</w:t>
      </w:r>
      <w:r w:rsidRPr="002D1EB1">
        <w:t xml:space="preserve"> point-to-point </w:t>
      </w:r>
      <w:r>
        <w:t xml:space="preserve">links in or immediately adjacent to the 2 GHz MSS band, most </w:t>
      </w:r>
      <w:r w:rsidRPr="002D1EB1">
        <w:t xml:space="preserve">of which are licensed to </w:t>
      </w:r>
      <w:r>
        <w:t xml:space="preserve">Telstra </w:t>
      </w:r>
      <w:r w:rsidRPr="002D1EB1">
        <w:t xml:space="preserve">in </w:t>
      </w:r>
      <w:r>
        <w:t xml:space="preserve">low or </w:t>
      </w:r>
      <w:r w:rsidRPr="002D1EB1">
        <w:t>remote</w:t>
      </w:r>
      <w:r w:rsidR="00C036B0">
        <w:t>-</w:t>
      </w:r>
      <w:r>
        <w:t xml:space="preserve">spectrum density </w:t>
      </w:r>
      <w:r w:rsidRPr="002D1EB1">
        <w:t>areas</w:t>
      </w:r>
      <w:r>
        <w:t xml:space="preserve"> of Australia, as shown</w:t>
      </w:r>
      <w:r w:rsidR="00C036B0">
        <w:t xml:space="preserve"> in</w:t>
      </w:r>
      <w:r>
        <w:t xml:space="preserve"> </w:t>
      </w:r>
      <w:r>
        <w:rPr>
          <w:color w:val="2B579A"/>
          <w:shd w:val="clear" w:color="auto" w:fill="E6E6E6"/>
        </w:rPr>
        <w:fldChar w:fldCharType="begin"/>
      </w:r>
      <w:r>
        <w:instrText xml:space="preserve"> REF _Ref149992934 \r \h </w:instrText>
      </w:r>
      <w:r>
        <w:rPr>
          <w:color w:val="2B579A"/>
          <w:shd w:val="clear" w:color="auto" w:fill="E6E6E6"/>
        </w:rPr>
      </w:r>
      <w:r>
        <w:rPr>
          <w:color w:val="2B579A"/>
          <w:shd w:val="clear" w:color="auto" w:fill="E6E6E6"/>
        </w:rPr>
        <w:fldChar w:fldCharType="separate"/>
      </w:r>
      <w:r>
        <w:t xml:space="preserve">Figure 4: </w:t>
      </w:r>
      <w:r>
        <w:rPr>
          <w:color w:val="2B579A"/>
          <w:shd w:val="clear" w:color="auto" w:fill="E6E6E6"/>
        </w:rPr>
        <w:fldChar w:fldCharType="end"/>
      </w:r>
      <w:r>
        <w:rPr>
          <w:color w:val="2B579A"/>
          <w:shd w:val="clear" w:color="auto" w:fill="E6E6E6"/>
        </w:rPr>
        <w:fldChar w:fldCharType="begin"/>
      </w:r>
      <w:r>
        <w:instrText xml:space="preserve"> REF _Ref149992934 \h </w:instrText>
      </w:r>
      <w:r>
        <w:rPr>
          <w:color w:val="2B579A"/>
          <w:shd w:val="clear" w:color="auto" w:fill="E6E6E6"/>
        </w:rPr>
      </w:r>
      <w:r>
        <w:rPr>
          <w:color w:val="2B579A"/>
          <w:shd w:val="clear" w:color="auto" w:fill="E6E6E6"/>
        </w:rPr>
        <w:fldChar w:fldCharType="separate"/>
      </w:r>
      <w:r>
        <w:t>Geographic distribution of fixed links</w:t>
      </w:r>
      <w:r>
        <w:rPr>
          <w:color w:val="2B579A"/>
          <w:shd w:val="clear" w:color="auto" w:fill="E6E6E6"/>
        </w:rPr>
        <w:fldChar w:fldCharType="end"/>
      </w:r>
      <w:r>
        <w:t>.</w:t>
      </w:r>
    </w:p>
    <w:p w14:paraId="1FF2458D" w14:textId="7FA1A366" w:rsidR="00121758" w:rsidRDefault="00121758" w:rsidP="00121758">
      <w:pPr>
        <w:pStyle w:val="Paragraph"/>
      </w:pPr>
      <w:r>
        <w:t>For 1980</w:t>
      </w:r>
      <w:r w:rsidR="00C036B0">
        <w:t>–</w:t>
      </w:r>
      <w:r>
        <w:t>2005 MHz</w:t>
      </w:r>
      <w:r w:rsidR="00C036B0">
        <w:t>,</w:t>
      </w:r>
      <w:r>
        <w:t xml:space="preserve"> there are no assignments on fixed links channels 3M, 4M or 4I, which overlap this band. There are 2 assignments on the lower adjacent channel 3I and 6 on the upper adjacent channel 5I.</w:t>
      </w:r>
    </w:p>
    <w:p w14:paraId="2C62EDDE" w14:textId="6EE843D8" w:rsidR="00121758" w:rsidRDefault="00121758" w:rsidP="00121758">
      <w:pPr>
        <w:pStyle w:val="Paragraph"/>
      </w:pPr>
      <w:r>
        <w:t>For the 2170</w:t>
      </w:r>
      <w:r w:rsidR="00C036B0">
        <w:t>–</w:t>
      </w:r>
      <w:r>
        <w:t>2195 MHz band</w:t>
      </w:r>
      <w:r w:rsidR="009540D2">
        <w:t>,</w:t>
      </w:r>
      <w:r>
        <w:t xml:space="preserve"> 8 assignments on channel 2M’ for point-to-point services that partially overlap the 2170</w:t>
      </w:r>
      <w:r w:rsidR="00C036B0">
        <w:t>–</w:t>
      </w:r>
      <w:r>
        <w:t xml:space="preserve">2195 MHz band. There are a further </w:t>
      </w:r>
      <w:r w:rsidR="00C036B0">
        <w:br/>
      </w:r>
      <w:r>
        <w:t>12 assignments on channels 2I’ and 4I’</w:t>
      </w:r>
      <w:r w:rsidR="009540D2">
        <w:t>,</w:t>
      </w:r>
      <w:r>
        <w:t xml:space="preserve"> which are adjacent bands (in this case</w:t>
      </w:r>
      <w:r w:rsidR="00C036B0">
        <w:t>,</w:t>
      </w:r>
      <w:r>
        <w:t xml:space="preserve"> </w:t>
      </w:r>
      <w:r w:rsidR="00C036B0">
        <w:br/>
      </w:r>
      <w:r>
        <w:t xml:space="preserve">2 assignments in 2135–2164 MHz and 10 assignments in 2200.5–2214.5 </w:t>
      </w:r>
      <w:proofErr w:type="spellStart"/>
      <w:r>
        <w:t>MHz</w:t>
      </w:r>
      <w:r w:rsidR="00C036B0">
        <w:t>.</w:t>
      </w:r>
      <w:proofErr w:type="spellEnd"/>
    </w:p>
    <w:p w14:paraId="1596B633" w14:textId="3F587107" w:rsidR="00121758" w:rsidRDefault="00121758" w:rsidP="00121758">
      <w:pPr>
        <w:pStyle w:val="Paragraph"/>
      </w:pPr>
      <w:r>
        <w:t xml:space="preserve">The fixed service channels highlighted in yellow are </w:t>
      </w:r>
      <w:r w:rsidR="0068552E">
        <w:t>those with assignments</w:t>
      </w:r>
      <w:r w:rsidR="00C036B0">
        <w:t>,</w:t>
      </w:r>
      <w:r w:rsidR="0068552E">
        <w:t xml:space="preserve"> </w:t>
      </w:r>
      <w:r>
        <w:t xml:space="preserve">and </w:t>
      </w:r>
      <w:r w:rsidR="0068552E">
        <w:t xml:space="preserve">the </w:t>
      </w:r>
      <w:r>
        <w:t>channels highlighted in grey are those with no assignments</w:t>
      </w:r>
      <w:r w:rsidR="001B0788">
        <w:t xml:space="preserve"> </w:t>
      </w:r>
      <w:r w:rsidR="004325C8">
        <w:t xml:space="preserve">(see </w:t>
      </w:r>
      <w:r w:rsidR="004325C8">
        <w:fldChar w:fldCharType="begin"/>
      </w:r>
      <w:r w:rsidR="004325C8">
        <w:instrText xml:space="preserve"> REF _Ref150675571 \r \h </w:instrText>
      </w:r>
      <w:r w:rsidR="004325C8">
        <w:fldChar w:fldCharType="separate"/>
      </w:r>
      <w:r w:rsidR="004325C8">
        <w:t xml:space="preserve">Figure 3: </w:t>
      </w:r>
      <w:r w:rsidR="004325C8">
        <w:fldChar w:fldCharType="end"/>
      </w:r>
      <w:r w:rsidR="004325C8">
        <w:fldChar w:fldCharType="begin"/>
      </w:r>
      <w:r w:rsidR="004325C8">
        <w:instrText xml:space="preserve"> REF _Ref150675571 \h </w:instrText>
      </w:r>
      <w:r w:rsidR="004325C8">
        <w:fldChar w:fldCharType="separate"/>
      </w:r>
      <w:r w:rsidR="004325C8">
        <w:t>Spectrum arrangements: Fixed links and 2 GHz MSS</w:t>
      </w:r>
      <w:r w:rsidR="004325C8">
        <w:fldChar w:fldCharType="end"/>
      </w:r>
      <w:r w:rsidR="004325C8">
        <w:t>)</w:t>
      </w:r>
      <w:r>
        <w:t>.</w:t>
      </w:r>
    </w:p>
    <w:p w14:paraId="51D88E0E" w14:textId="77777777" w:rsidR="00121758" w:rsidRDefault="00121758" w:rsidP="00121758">
      <w:pPr>
        <w:pStyle w:val="Figureheading"/>
      </w:pPr>
      <w:bookmarkStart w:id="62" w:name="_Ref149992934"/>
      <w:r>
        <w:t>Geographic distribution of fixed links</w:t>
      </w:r>
      <w:bookmarkEnd w:id="62"/>
    </w:p>
    <w:p w14:paraId="7BCE8C85" w14:textId="6AA1BC58" w:rsidR="00121758" w:rsidRDefault="00C54475" w:rsidP="001708B3">
      <w:pPr>
        <w:pStyle w:val="Paragraph"/>
      </w:pPr>
      <w:r>
        <w:rPr>
          <w:noProof/>
        </w:rPr>
        <w:drawing>
          <wp:inline distT="0" distB="0" distL="0" distR="0" wp14:anchorId="24DAD865" wp14:editId="1A2823F0">
            <wp:extent cx="4733925" cy="4251955"/>
            <wp:effectExtent l="0" t="0" r="0" b="0"/>
            <wp:docPr id="4" name="Picture 4" descr="Figure 4: Geographic distribution of fixe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Geographic distribution of fixed lin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4491" cy="4261445"/>
                    </a:xfrm>
                    <a:prstGeom prst="rect">
                      <a:avLst/>
                    </a:prstGeom>
                    <a:noFill/>
                    <a:ln>
                      <a:noFill/>
                    </a:ln>
                  </pic:spPr>
                </pic:pic>
              </a:graphicData>
            </a:graphic>
          </wp:inline>
        </w:drawing>
      </w:r>
    </w:p>
    <w:p w14:paraId="7D1BE2DB" w14:textId="45AA2298" w:rsidR="00121758" w:rsidRDefault="00121758" w:rsidP="00B51EC2">
      <w:pPr>
        <w:pStyle w:val="Heading3"/>
      </w:pPr>
      <w:bookmarkStart w:id="63" w:name="_Toc150510360"/>
      <w:r>
        <w:t xml:space="preserve">Coordination </w:t>
      </w:r>
      <w:bookmarkEnd w:id="63"/>
      <w:r w:rsidR="007C1C3A">
        <w:t>requirements</w:t>
      </w:r>
      <w:r>
        <w:t xml:space="preserve"> </w:t>
      </w:r>
    </w:p>
    <w:p w14:paraId="31DAD9B4" w14:textId="6E1CCA4B" w:rsidR="00121758" w:rsidRDefault="00121758" w:rsidP="00121758">
      <w:pPr>
        <w:pStyle w:val="Bulletlevel1"/>
        <w:numPr>
          <w:ilvl w:val="0"/>
          <w:numId w:val="0"/>
        </w:numPr>
        <w:tabs>
          <w:tab w:val="left" w:pos="720"/>
        </w:tabs>
      </w:pPr>
      <w:r>
        <w:t xml:space="preserve">The following coordination </w:t>
      </w:r>
      <w:r w:rsidR="007C1C3A">
        <w:t>requirements</w:t>
      </w:r>
      <w:r>
        <w:t xml:space="preserve"> between fixed point</w:t>
      </w:r>
      <w:r w:rsidR="00C036B0">
        <w:t>-</w:t>
      </w:r>
      <w:r>
        <w:t>to</w:t>
      </w:r>
      <w:r w:rsidR="00C036B0">
        <w:t>-</w:t>
      </w:r>
      <w:r>
        <w:t>point links and 2 GHz MSS are</w:t>
      </w:r>
      <w:r w:rsidR="007C1C3A">
        <w:t xml:space="preserve"> proposed</w:t>
      </w:r>
      <w:r>
        <w:t>:</w:t>
      </w:r>
    </w:p>
    <w:p w14:paraId="33DEA8D5" w14:textId="74753607" w:rsidR="00121758" w:rsidRDefault="00DF6B3C" w:rsidP="00121758">
      <w:pPr>
        <w:pStyle w:val="Bulletlevel1"/>
      </w:pPr>
      <w:r>
        <w:t>n</w:t>
      </w:r>
      <w:r w:rsidR="00121758">
        <w:t>o new fixed point to point links allowed in the 1980</w:t>
      </w:r>
      <w:r w:rsidR="00C036B0">
        <w:t>–</w:t>
      </w:r>
      <w:r w:rsidR="00121758">
        <w:t>2010/2170</w:t>
      </w:r>
      <w:r w:rsidR="00C036B0">
        <w:t>–</w:t>
      </w:r>
      <w:r w:rsidR="00121758">
        <w:t>2200 MHz band.</w:t>
      </w:r>
    </w:p>
    <w:p w14:paraId="7FFFB011" w14:textId="4FA690BF" w:rsidR="00121758" w:rsidRDefault="00DF6B3C" w:rsidP="00121758">
      <w:pPr>
        <w:pStyle w:val="Bulletlevel1"/>
      </w:pPr>
      <w:r>
        <w:t>c</w:t>
      </w:r>
      <w:r w:rsidR="00121758">
        <w:t>oordination methodology for CGC base station and fixed point-to-point links to be developed in consideration of fixed link protection requirements of FX3.</w:t>
      </w:r>
    </w:p>
    <w:p w14:paraId="0F128154" w14:textId="440BBFEF" w:rsidR="00121758" w:rsidRDefault="00DF6B3C" w:rsidP="00121758">
      <w:pPr>
        <w:pStyle w:val="Bulletlevel1"/>
      </w:pPr>
      <w:r>
        <w:t>f</w:t>
      </w:r>
      <w:r w:rsidR="00121758">
        <w:t xml:space="preserve">requency and distance culls of FX3 to be used to identify </w:t>
      </w:r>
      <w:r w:rsidR="003E7275">
        <w:t xml:space="preserve">co-channel and adjacent channel </w:t>
      </w:r>
      <w:r w:rsidR="00121758">
        <w:t>services for coordination.</w:t>
      </w:r>
    </w:p>
    <w:p w14:paraId="70B4FEB0" w14:textId="71EF6F4C" w:rsidR="00121758" w:rsidRDefault="00121758" w:rsidP="00C036B0">
      <w:pPr>
        <w:pStyle w:val="Bulletlevel1"/>
        <w:numPr>
          <w:ilvl w:val="0"/>
          <w:numId w:val="0"/>
        </w:numPr>
        <w:ind w:left="295"/>
      </w:pPr>
      <w:r>
        <w:t xml:space="preserve">2 GHz MSS </w:t>
      </w:r>
      <w:r w:rsidR="002C7CE1">
        <w:t xml:space="preserve">user equipment </w:t>
      </w:r>
      <w:r>
        <w:t xml:space="preserve">operated on condition of no interference to and from existing fixed point to point link in the 2 GHz MSS band. This includes aeronautical terminals which could require large separation distances with respect to fixed link transmitters and receivers. FX3 protection requirements can be used to give a guide to likely separation distances.  </w:t>
      </w:r>
    </w:p>
    <w:p w14:paraId="6A9B88C4" w14:textId="77777777" w:rsidR="00121758" w:rsidRDefault="00121758" w:rsidP="00B51EC2">
      <w:pPr>
        <w:pStyle w:val="Heading2"/>
      </w:pPr>
      <w:bookmarkStart w:id="64" w:name="_Toc150510361"/>
      <w:bookmarkStart w:id="65" w:name="_Toc151469341"/>
      <w:r>
        <w:t>Wireless broadband services</w:t>
      </w:r>
      <w:bookmarkEnd w:id="64"/>
      <w:bookmarkEnd w:id="65"/>
      <w:r w:rsidRPr="002C6A4D">
        <w:t xml:space="preserve"> </w:t>
      </w:r>
    </w:p>
    <w:p w14:paraId="6BDAB785" w14:textId="6C581510" w:rsidR="00121758" w:rsidRPr="001C795E" w:rsidRDefault="00121758" w:rsidP="00121758">
      <w:pPr>
        <w:pStyle w:val="Paragraph"/>
      </w:pPr>
      <w:r>
        <w:t>The bands 1920</w:t>
      </w:r>
      <w:r w:rsidR="00C036B0">
        <w:t>–</w:t>
      </w:r>
      <w:r>
        <w:t>1980 MHz (base receive) and 2110</w:t>
      </w:r>
      <w:r w:rsidR="00C036B0">
        <w:t>–</w:t>
      </w:r>
      <w:r>
        <w:t>2170 MHz (base transmit) are used to provide wireless broadband services throughout Australia under a mixture of apparatus licences (</w:t>
      </w:r>
      <w:r w:rsidR="00C036B0">
        <w:t>p</w:t>
      </w:r>
      <w:r>
        <w:t xml:space="preserve">ublic </w:t>
      </w:r>
      <w:r w:rsidR="00C036B0">
        <w:t>t</w:t>
      </w:r>
      <w:r>
        <w:t xml:space="preserve">elecommunications </w:t>
      </w:r>
      <w:r w:rsidR="00C036B0">
        <w:t>s</w:t>
      </w:r>
      <w:r>
        <w:t xml:space="preserve">ervices) and 2 GHz spectrum </w:t>
      </w:r>
      <w:r w:rsidRPr="001C795E">
        <w:t>licences.</w:t>
      </w:r>
    </w:p>
    <w:p w14:paraId="40BF4DDF" w14:textId="77777777" w:rsidR="00121758" w:rsidRPr="001C795E" w:rsidRDefault="00121758" w:rsidP="00121758">
      <w:pPr>
        <w:pStyle w:val="Paragraphbeforelist"/>
      </w:pPr>
      <w:r w:rsidRPr="001C795E">
        <w:t>The 2 GHz spectrum licence band is defined as the frequency bands:</w:t>
      </w:r>
    </w:p>
    <w:p w14:paraId="061B34DD" w14:textId="47A96533" w:rsidR="00121758" w:rsidRPr="001C795E" w:rsidRDefault="00121758" w:rsidP="00121758">
      <w:pPr>
        <w:pStyle w:val="Bulletlevel1"/>
      </w:pPr>
      <w:r w:rsidRPr="001C795E">
        <w:t xml:space="preserve"> 1920</w:t>
      </w:r>
      <w:r w:rsidR="00C036B0">
        <w:t>–</w:t>
      </w:r>
      <w:r w:rsidRPr="001C795E">
        <w:t>1980 MHz and 2110</w:t>
      </w:r>
      <w:r w:rsidR="00C036B0">
        <w:t>–</w:t>
      </w:r>
      <w:r w:rsidRPr="001C795E">
        <w:t>2170 MHz in capital city areas</w:t>
      </w:r>
    </w:p>
    <w:p w14:paraId="5CC7B563" w14:textId="2B677419" w:rsidR="00121758" w:rsidRPr="001C795E" w:rsidRDefault="00121758" w:rsidP="00121758">
      <w:pPr>
        <w:pStyle w:val="Bulletlevel1last"/>
      </w:pPr>
      <w:r w:rsidRPr="001C795E">
        <w:t xml:space="preserve"> 1960</w:t>
      </w:r>
      <w:r w:rsidR="00C036B0">
        <w:t>–</w:t>
      </w:r>
      <w:r w:rsidRPr="001C795E">
        <w:t>1980 MHz and 2150</w:t>
      </w:r>
      <w:r w:rsidR="00C036B0">
        <w:t>–</w:t>
      </w:r>
      <w:r w:rsidRPr="001C795E">
        <w:t xml:space="preserve">2170 MHz in regional areas. </w:t>
      </w:r>
    </w:p>
    <w:p w14:paraId="74866C28" w14:textId="303B0454" w:rsidR="00121758" w:rsidRDefault="00121758" w:rsidP="00121758">
      <w:pPr>
        <w:pStyle w:val="Paragraph"/>
        <w:tabs>
          <w:tab w:val="left" w:pos="1402"/>
        </w:tabs>
      </w:pPr>
      <w:r>
        <w:t xml:space="preserve">Apparatus licensed </w:t>
      </w:r>
      <w:r w:rsidR="00C036B0">
        <w:t>p</w:t>
      </w:r>
      <w:r>
        <w:t xml:space="preserve">ublic </w:t>
      </w:r>
      <w:r w:rsidR="00C036B0">
        <w:t>t</w:t>
      </w:r>
      <w:r>
        <w:t xml:space="preserve">elecommunications </w:t>
      </w:r>
      <w:r w:rsidR="00C036B0">
        <w:t>s</w:t>
      </w:r>
      <w:r>
        <w:t>ervices (PTS) can be licensed in the 1920</w:t>
      </w:r>
      <w:r w:rsidR="00C036B0">
        <w:t>–</w:t>
      </w:r>
      <w:r>
        <w:t>1980 MHz and 2110</w:t>
      </w:r>
      <w:r w:rsidR="00C036B0">
        <w:t>–</w:t>
      </w:r>
      <w:r>
        <w:t xml:space="preserve">2170 MHz bands in areas outside of the spectrum licensed (refer </w:t>
      </w:r>
      <w:hyperlink r:id="rId35" w:history="1">
        <w:r w:rsidRPr="00C036B0">
          <w:rPr>
            <w:rStyle w:val="Hyperlink"/>
          </w:rPr>
          <w:t>RALI MS26</w:t>
        </w:r>
      </w:hyperlink>
      <w:r>
        <w:t>). These areas are shown</w:t>
      </w:r>
      <w:r w:rsidR="006C4C6F">
        <w:t xml:space="preserve"> in </w:t>
      </w:r>
      <w:r w:rsidR="006C4C6F">
        <w:fldChar w:fldCharType="begin"/>
      </w:r>
      <w:r w:rsidR="006C4C6F">
        <w:instrText xml:space="preserve"> REF _Ref150675769 \r \h </w:instrText>
      </w:r>
      <w:r w:rsidR="006C4C6F">
        <w:fldChar w:fldCharType="separate"/>
      </w:r>
      <w:r w:rsidR="006C4C6F">
        <w:t xml:space="preserve">Figure 5: </w:t>
      </w:r>
      <w:r w:rsidR="006C4C6F">
        <w:fldChar w:fldCharType="end"/>
      </w:r>
      <w:r w:rsidR="006C4C6F">
        <w:fldChar w:fldCharType="begin"/>
      </w:r>
      <w:r w:rsidR="006C4C6F">
        <w:instrText xml:space="preserve"> REF _Ref150675769 \h </w:instrText>
      </w:r>
      <w:r w:rsidR="006C4C6F">
        <w:fldChar w:fldCharType="separate"/>
      </w:r>
      <w:r w:rsidR="006C4C6F">
        <w:t>Wireless broadband</w:t>
      </w:r>
      <w:r w:rsidR="006C4C6F">
        <w:fldChar w:fldCharType="end"/>
      </w:r>
      <w:r>
        <w:t xml:space="preserve"> (from </w:t>
      </w:r>
      <w:hyperlink r:id="rId36" w:history="1">
        <w:r w:rsidRPr="00B22FB2">
          <w:rPr>
            <w:rStyle w:val="Hyperlink"/>
          </w:rPr>
          <w:t>RALI MS33</w:t>
        </w:r>
      </w:hyperlink>
      <w:r>
        <w:t>).</w:t>
      </w:r>
    </w:p>
    <w:p w14:paraId="63F02886" w14:textId="77777777" w:rsidR="00121758" w:rsidRPr="00E162C4" w:rsidRDefault="00121758" w:rsidP="00121758">
      <w:pPr>
        <w:pStyle w:val="Figureheading"/>
        <w:rPr>
          <w:noProof/>
        </w:rPr>
      </w:pPr>
      <w:bookmarkStart w:id="66" w:name="_Ref150675769"/>
      <w:r>
        <w:t>Wireless broadband</w:t>
      </w:r>
      <w:bookmarkEnd w:id="66"/>
      <w:r>
        <w:t xml:space="preserve"> </w:t>
      </w:r>
    </w:p>
    <w:p w14:paraId="0F4F8F66" w14:textId="77777777" w:rsidR="00121758" w:rsidRDefault="00121758" w:rsidP="00121758">
      <w:pPr>
        <w:pStyle w:val="Paragraph"/>
        <w:keepNext/>
      </w:pPr>
      <w:r>
        <w:rPr>
          <w:noProof/>
          <w:color w:val="2B579A"/>
          <w:shd w:val="clear" w:color="auto" w:fill="E6E6E6"/>
        </w:rPr>
        <w:drawing>
          <wp:inline distT="0" distB="0" distL="0" distR="0" wp14:anchorId="3DCD444A" wp14:editId="4355ACE8">
            <wp:extent cx="4871085" cy="4439662"/>
            <wp:effectExtent l="0" t="0" r="5715" b="0"/>
            <wp:docPr id="25" name="Picture 25" descr="Figure 5: Wireless broad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Wireless broadban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1085" cy="4439662"/>
                    </a:xfrm>
                    <a:prstGeom prst="rect">
                      <a:avLst/>
                    </a:prstGeom>
                    <a:noFill/>
                    <a:ln>
                      <a:noFill/>
                    </a:ln>
                  </pic:spPr>
                </pic:pic>
              </a:graphicData>
            </a:graphic>
          </wp:inline>
        </w:drawing>
      </w:r>
    </w:p>
    <w:p w14:paraId="7A3CF30D" w14:textId="33C7C633" w:rsidR="00121758" w:rsidRDefault="00121758" w:rsidP="00121758">
      <w:pPr>
        <w:pStyle w:val="Paragraph"/>
      </w:pPr>
      <w:r>
        <w:t xml:space="preserve">Arrangements for spectrum licensing in the 2 GHz band are detailed in </w:t>
      </w:r>
      <w:r w:rsidR="007002E0">
        <w:t xml:space="preserve">the </w:t>
      </w:r>
      <w:r w:rsidR="00E46F6D" w:rsidRPr="007002E0">
        <w:rPr>
          <w:u w:color="0000FF"/>
        </w:rPr>
        <w:t>2 GHz</w:t>
      </w:r>
      <w:r w:rsidR="007002E0">
        <w:rPr>
          <w:u w:color="0000FF"/>
        </w:rPr>
        <w:t xml:space="preserve"> spectrum licensing </w:t>
      </w:r>
      <w:r w:rsidR="00E46F6D" w:rsidRPr="007002E0">
        <w:rPr>
          <w:u w:color="0000FF"/>
        </w:rPr>
        <w:t>technical framework</w:t>
      </w:r>
      <w:r>
        <w:t xml:space="preserve">. </w:t>
      </w:r>
    </w:p>
    <w:p w14:paraId="0F452001" w14:textId="64EB1A97" w:rsidR="00121758" w:rsidRDefault="00121758" w:rsidP="00121758">
      <w:pPr>
        <w:pStyle w:val="Paragraph"/>
      </w:pPr>
      <w:r>
        <w:t xml:space="preserve">Information on frequency coordination and licensing of PTS in the paired, </w:t>
      </w:r>
      <w:r w:rsidR="00C036B0">
        <w:br/>
      </w:r>
      <w:r>
        <w:t>1920</w:t>
      </w:r>
      <w:r w:rsidR="00C036B0">
        <w:t>–</w:t>
      </w:r>
      <w:r>
        <w:t>1980 MHz and 2110</w:t>
      </w:r>
      <w:r w:rsidR="00C036B0">
        <w:t>–</w:t>
      </w:r>
      <w:r>
        <w:t xml:space="preserve">2170 MHz frequency bands are detailed in </w:t>
      </w:r>
      <w:hyperlink r:id="rId38" w:history="1">
        <w:r w:rsidRPr="00B22FB2">
          <w:rPr>
            <w:rStyle w:val="Hyperlink"/>
          </w:rPr>
          <w:t>RALI MS33</w:t>
        </w:r>
      </w:hyperlink>
      <w:r>
        <w:t>.</w:t>
      </w:r>
    </w:p>
    <w:p w14:paraId="69E97797" w14:textId="60DA685E" w:rsidR="00121758" w:rsidRPr="00A85D75" w:rsidRDefault="00121758" w:rsidP="00121758">
      <w:pPr>
        <w:pStyle w:val="Paragraph"/>
      </w:pPr>
      <w:r>
        <w:t>Our preliminary view (as stated in the outcomes paper) is that compatibility with adjacent band services (particularly adjacent band wireless broadband services) i</w:t>
      </w:r>
      <w:r w:rsidR="00806990">
        <w:t>s</w:t>
      </w:r>
      <w:r>
        <w:t xml:space="preserve"> largely addressed by current</w:t>
      </w:r>
      <w:r w:rsidRPr="00A85D75">
        <w:t xml:space="preserve"> spectrum </w:t>
      </w:r>
      <w:r>
        <w:t>planning arrangements</w:t>
      </w:r>
      <w:r w:rsidRPr="00A85D75">
        <w:t xml:space="preserve"> whereby there is </w:t>
      </w:r>
      <w:r>
        <w:t>compatibility</w:t>
      </w:r>
      <w:r w:rsidRPr="00A85D75">
        <w:t xml:space="preserve"> in a frequency sense</w:t>
      </w:r>
      <w:r w:rsidRPr="00A85D75">
        <w:rPr>
          <w:rStyle w:val="FootnoteReference"/>
        </w:rPr>
        <w:footnoteReference w:id="23"/>
      </w:r>
      <w:r w:rsidRPr="00A85D75">
        <w:t xml:space="preserve"> and no cross boundary transmit/receive issues</w:t>
      </w:r>
      <w:r>
        <w:t xml:space="preserve">. That is, base transmit segments are adjacent to base transmit segments (illustrated </w:t>
      </w:r>
      <w:r w:rsidR="00C036B0">
        <w:br/>
      </w:r>
      <w:r>
        <w:t xml:space="preserve">in </w:t>
      </w:r>
      <w:r w:rsidRPr="00AB36BF">
        <w:t>Figure 6</w:t>
      </w:r>
      <w:r>
        <w:t>).</w:t>
      </w:r>
    </w:p>
    <w:p w14:paraId="3C9DC2A8" w14:textId="4D3323DB" w:rsidR="00121758" w:rsidRDefault="00121758" w:rsidP="00121758">
      <w:pPr>
        <w:pStyle w:val="Paragraph"/>
      </w:pPr>
      <w:r>
        <w:t>In addition,</w:t>
      </w:r>
      <w:r w:rsidDel="00EE406D">
        <w:t xml:space="preserve"> </w:t>
      </w:r>
      <w:r>
        <w:t>to maximise coexistence with adjacent band 2 GHz spectrum licensed services,</w:t>
      </w:r>
      <w:r>
        <w:rPr>
          <w:rStyle w:val="FootnoteReference"/>
        </w:rPr>
        <w:footnoteReference w:id="24"/>
      </w:r>
      <w:r>
        <w:t xml:space="preserve"> where possible </w:t>
      </w:r>
      <w:r w:rsidR="00EE406D">
        <w:t xml:space="preserve">we are proposing </w:t>
      </w:r>
      <w:r>
        <w:t xml:space="preserve">the technical framework for 2 GHz MSS align with that of the </w:t>
      </w:r>
      <w:hyperlink r:id="rId39" w:history="1">
        <w:r w:rsidRPr="007002E0">
          <w:rPr>
            <w:rStyle w:val="Hyperlink"/>
          </w:rPr>
          <w:t>2 GHz spectrum licensing framework</w:t>
        </w:r>
      </w:hyperlink>
      <w:r>
        <w:t>.</w:t>
      </w:r>
    </w:p>
    <w:p w14:paraId="0B4188F7" w14:textId="13E118A7" w:rsidR="00121758" w:rsidRDefault="00121758" w:rsidP="00121758">
      <w:pPr>
        <w:pStyle w:val="Paragraph"/>
      </w:pPr>
      <w:r>
        <w:t>The result is that</w:t>
      </w:r>
      <w:r w:rsidR="00EE406D">
        <w:t>,</w:t>
      </w:r>
      <w:r w:rsidR="007A4DE5">
        <w:t xml:space="preserve"> </w:t>
      </w:r>
      <w:r>
        <w:t>as far as practical</w:t>
      </w:r>
      <w:r w:rsidR="00EE406D">
        <w:t xml:space="preserve">, </w:t>
      </w:r>
      <w:r>
        <w:t>technical requirements for mobile earth stations and CGC systems will be based on the 2 GHz spectrum licensing technical framework. For example, user terminal</w:t>
      </w:r>
      <w:r w:rsidR="00EE406D">
        <w:t>s</w:t>
      </w:r>
      <w:r>
        <w:t xml:space="preserve"> (whether being used as part of a mobile satellite service or a complementary ground component system) will have the same technical parameters based on those specified for user </w:t>
      </w:r>
      <w:r w:rsidR="00DA22B3">
        <w:t>equipment</w:t>
      </w:r>
      <w:r>
        <w:t xml:space="preserve"> in the 2 GHz spectrum licence technical framework). Similarly</w:t>
      </w:r>
      <w:r w:rsidR="00E42D1D">
        <w:t>,</w:t>
      </w:r>
      <w:r>
        <w:t xml:space="preserve"> parameters for CGC base stations will </w:t>
      </w:r>
      <w:r w:rsidR="00C036B0">
        <w:br/>
      </w:r>
      <w:r>
        <w:t xml:space="preserve">be based on those specified for base station in the 2 GHz spectrum licence </w:t>
      </w:r>
      <w:r w:rsidR="00C036B0">
        <w:br/>
      </w:r>
      <w:r>
        <w:t xml:space="preserve">technical framework.  </w:t>
      </w:r>
    </w:p>
    <w:p w14:paraId="6C302EB7" w14:textId="77777777" w:rsidR="00121758" w:rsidRDefault="00121758" w:rsidP="00121758">
      <w:pPr>
        <w:pStyle w:val="Figureheading"/>
      </w:pPr>
      <w:r>
        <w:t>Wireless broadband spectrum arrangements and 2 GHz MSS</w:t>
      </w:r>
    </w:p>
    <w:p w14:paraId="53D87C06" w14:textId="5549CD9A" w:rsidR="00F52FC6" w:rsidRPr="00F52FC6" w:rsidRDefault="00F52FC6" w:rsidP="00F52FC6">
      <w:pPr>
        <w:pStyle w:val="Paragraph"/>
      </w:pPr>
      <w:r>
        <w:rPr>
          <w:noProof/>
        </w:rPr>
        <w:drawing>
          <wp:inline distT="0" distB="0" distL="0" distR="0" wp14:anchorId="71676463" wp14:editId="64D3E266">
            <wp:extent cx="5191125" cy="2419277"/>
            <wp:effectExtent l="0" t="0" r="0" b="635"/>
            <wp:docPr id="3" name="Picture 3" descr="Figure 6: Wireless broadband spectrum arrangements and 2 GHz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6: Wireless broadband spectrum arrangements and 2 GHz M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8897" cy="2422899"/>
                    </a:xfrm>
                    <a:prstGeom prst="rect">
                      <a:avLst/>
                    </a:prstGeom>
                    <a:noFill/>
                    <a:ln>
                      <a:noFill/>
                    </a:ln>
                  </pic:spPr>
                </pic:pic>
              </a:graphicData>
            </a:graphic>
          </wp:inline>
        </w:drawing>
      </w:r>
    </w:p>
    <w:p w14:paraId="4B21CDEE" w14:textId="40179091" w:rsidR="00121758" w:rsidRDefault="00121758" w:rsidP="00121758">
      <w:pPr>
        <w:pStyle w:val="Paragraph"/>
      </w:pPr>
    </w:p>
    <w:p w14:paraId="6AE5F97A" w14:textId="1C0C7ED0" w:rsidR="00121758" w:rsidRDefault="00121758" w:rsidP="00B51EC2">
      <w:pPr>
        <w:pStyle w:val="Heading3"/>
      </w:pPr>
      <w:bookmarkStart w:id="67" w:name="_Toc150510362"/>
      <w:r>
        <w:t xml:space="preserve">Coordination </w:t>
      </w:r>
      <w:bookmarkEnd w:id="67"/>
      <w:r w:rsidR="00E42D1D">
        <w:t>features</w:t>
      </w:r>
    </w:p>
    <w:p w14:paraId="13A0AB3E" w14:textId="77777777" w:rsidR="00121758" w:rsidRDefault="00121758" w:rsidP="00121758">
      <w:pPr>
        <w:pStyle w:val="Paragraphbeforelist"/>
      </w:pPr>
      <w:r>
        <w:t xml:space="preserve">Our preliminary view is that compatibility with </w:t>
      </w:r>
      <w:r w:rsidDel="00C73BF4">
        <w:t xml:space="preserve">adjacent band </w:t>
      </w:r>
      <w:r>
        <w:t>wireless broadband services is achieved through the combination of:</w:t>
      </w:r>
    </w:p>
    <w:p w14:paraId="15D62EFC" w14:textId="322CB24D" w:rsidR="00121758" w:rsidRDefault="00121758" w:rsidP="00121758">
      <w:pPr>
        <w:pStyle w:val="Bulletlevel1"/>
      </w:pPr>
      <w:r>
        <w:t>current</w:t>
      </w:r>
      <w:r w:rsidRPr="00A85D75">
        <w:t xml:space="preserve"> spectrum </w:t>
      </w:r>
      <w:r>
        <w:t>planning arrangements</w:t>
      </w:r>
      <w:r w:rsidRPr="00A85D75">
        <w:t xml:space="preserve"> whereby there is </w:t>
      </w:r>
      <w:r>
        <w:t>compatibility</w:t>
      </w:r>
      <w:r w:rsidRPr="00A85D75">
        <w:t xml:space="preserve"> in a frequency sense</w:t>
      </w:r>
      <w:r w:rsidRPr="00A85D75">
        <w:rPr>
          <w:rStyle w:val="FootnoteReference"/>
        </w:rPr>
        <w:footnoteReference w:id="25"/>
      </w:r>
      <w:r w:rsidRPr="00A85D75">
        <w:t xml:space="preserve"> and no cross boundary transmit/receive </w:t>
      </w:r>
      <w:proofErr w:type="gramStart"/>
      <w:r w:rsidRPr="00A85D75">
        <w:t>issues</w:t>
      </w:r>
      <w:proofErr w:type="gramEnd"/>
    </w:p>
    <w:p w14:paraId="54D53BA2" w14:textId="77C1123B" w:rsidR="00121758" w:rsidRDefault="00121758" w:rsidP="00121758">
      <w:pPr>
        <w:pStyle w:val="Bulletlevel1"/>
      </w:pPr>
      <w:r>
        <w:t>ensuring where possible the technical framework for 2 GHz MSS aligns with that of the 2 GHz spectrum licensing framework. For example, in terms of radiated power and unwanted emission limits</w:t>
      </w:r>
    </w:p>
    <w:p w14:paraId="135D97A3" w14:textId="447D7903" w:rsidR="00121758" w:rsidRDefault="00E42D1D" w:rsidP="00121758">
      <w:pPr>
        <w:pStyle w:val="Bulletlevel1"/>
      </w:pPr>
      <w:r>
        <w:t>l</w:t>
      </w:r>
      <w:r w:rsidR="00121758">
        <w:t xml:space="preserve">icensing framework for CGC (when developed) includes recording location of CGC base </w:t>
      </w:r>
      <w:proofErr w:type="gramStart"/>
      <w:r w:rsidR="00121758">
        <w:t>stations</w:t>
      </w:r>
      <w:proofErr w:type="gramEnd"/>
      <w:r w:rsidR="00121758">
        <w:t xml:space="preserve"> </w:t>
      </w:r>
    </w:p>
    <w:p w14:paraId="088EFD45" w14:textId="62BB42B0" w:rsidR="00121758" w:rsidRDefault="00121758" w:rsidP="00121758">
      <w:pPr>
        <w:pStyle w:val="Bulletlevel1"/>
      </w:pPr>
      <w:r>
        <w:t>use of the power flux density out</w:t>
      </w:r>
      <w:r w:rsidR="007A4DE5">
        <w:t xml:space="preserve"> </w:t>
      </w:r>
      <w:r>
        <w:t>of band emission mask of ECC report 233 for aeronautical transmitters operating in the band 1980</w:t>
      </w:r>
      <w:r w:rsidR="00C036B0">
        <w:t>–</w:t>
      </w:r>
      <w:r>
        <w:t>2005 MHz to protection base station receivers operating in 1920</w:t>
      </w:r>
      <w:r w:rsidR="004F49AB">
        <w:t>–</w:t>
      </w:r>
      <w:r>
        <w:t>1</w:t>
      </w:r>
      <w:r w:rsidR="006832CC">
        <w:t>9</w:t>
      </w:r>
      <w:r>
        <w:t xml:space="preserve">80 MHz (discussed in section 2). </w:t>
      </w:r>
    </w:p>
    <w:p w14:paraId="7096E441" w14:textId="77777777" w:rsidR="00121758" w:rsidRDefault="00121758" w:rsidP="00B51EC2">
      <w:pPr>
        <w:pStyle w:val="Heading2"/>
      </w:pPr>
      <w:bookmarkStart w:id="68" w:name="_Toc150510363"/>
      <w:bookmarkStart w:id="69" w:name="_Toc151469342"/>
      <w:r w:rsidRPr="002642E6">
        <w:t>Television outside broadcasting services</w:t>
      </w:r>
      <w:bookmarkEnd w:id="68"/>
      <w:bookmarkEnd w:id="69"/>
    </w:p>
    <w:p w14:paraId="67BF878C" w14:textId="77777777" w:rsidR="00121758" w:rsidRDefault="00121758" w:rsidP="00121758">
      <w:pPr>
        <w:pStyle w:val="Paragraph"/>
      </w:pPr>
      <w:r>
        <w:t xml:space="preserve">TOB refers to wireless applications used as part of news gathering, special events or media production. Video is transmitted either using a wireless camera over a short distance or point-to-point link from an outside broadcast van to a central capture point, typically permanently located in a high point. </w:t>
      </w:r>
    </w:p>
    <w:p w14:paraId="39C00277" w14:textId="1331BB44" w:rsidR="00121758" w:rsidRDefault="00121758" w:rsidP="00121758">
      <w:pPr>
        <w:pStyle w:val="Paragraph"/>
      </w:pPr>
      <w:r>
        <w:t>In the</w:t>
      </w:r>
      <w:r w:rsidDel="005C618B">
        <w:t xml:space="preserve"> </w:t>
      </w:r>
      <w:r>
        <w:t>outcomes paper</w:t>
      </w:r>
      <w:r w:rsidR="005C618B">
        <w:t>,</w:t>
      </w:r>
      <w:r>
        <w:t xml:space="preserve"> one of the key planning decisions was that </w:t>
      </w:r>
      <w:r w:rsidRPr="00A85D75">
        <w:t>technical restrictions are required in the frequency range 2005–2010 MHz and 2195–2200 MHz to protect adjacent</w:t>
      </w:r>
      <w:r>
        <w:t>-</w:t>
      </w:r>
      <w:r w:rsidRPr="00A85D75">
        <w:t xml:space="preserve">band </w:t>
      </w:r>
      <w:r>
        <w:t>TOB</w:t>
      </w:r>
      <w:r w:rsidRPr="00A85D75">
        <w:t xml:space="preserve"> services</w:t>
      </w:r>
      <w:r>
        <w:t>. The outcomes paper advised that co</w:t>
      </w:r>
      <w:r w:rsidRPr="00A85D75">
        <w:t>nsideration is also required as to whether arrangement</w:t>
      </w:r>
      <w:r>
        <w:t>s</w:t>
      </w:r>
      <w:r w:rsidRPr="00A85D75">
        <w:t xml:space="preserve"> for narrowband MSS in the restricted band (2005–2010/2195–2200 MHz) will be sufficient to protect adjacent</w:t>
      </w:r>
      <w:r>
        <w:t>-</w:t>
      </w:r>
      <w:r w:rsidRPr="00A85D75">
        <w:t xml:space="preserve">band TOB services, space research and space operations services operating above 2010 and 2200 </w:t>
      </w:r>
      <w:proofErr w:type="spellStart"/>
      <w:r w:rsidRPr="00A85D75">
        <w:t>MHz.</w:t>
      </w:r>
      <w:proofErr w:type="spellEnd"/>
      <w:r>
        <w:t xml:space="preserve"> </w:t>
      </w:r>
      <w:r w:rsidR="002820E5">
        <w:t>T</w:t>
      </w:r>
      <w:r>
        <w:t xml:space="preserve">he requirement to protect TOB of services is also a design consideration in the development of arrangements for 2 GHz MSS. </w:t>
      </w:r>
    </w:p>
    <w:p w14:paraId="162B6BB2" w14:textId="1A6BF508" w:rsidR="00121758" w:rsidRPr="00D47A13" w:rsidRDefault="00A924B4" w:rsidP="00121758">
      <w:pPr>
        <w:pStyle w:val="Paragraph"/>
      </w:pPr>
      <w:hyperlink r:id="rId41" w:history="1">
        <w:r w:rsidR="00121758" w:rsidRPr="00717D7E">
          <w:rPr>
            <w:rStyle w:val="Hyperlink"/>
          </w:rPr>
          <w:t>RALI FX21</w:t>
        </w:r>
      </w:hyperlink>
      <w:r w:rsidR="00121758">
        <w:t xml:space="preserve"> provides information on frequency coordination and licensing arrangements for TOB services in the bands 1980–2110 MHz and 2170–2300 </w:t>
      </w:r>
      <w:proofErr w:type="spellStart"/>
      <w:r w:rsidR="00121758">
        <w:t>MHz.</w:t>
      </w:r>
      <w:proofErr w:type="spellEnd"/>
      <w:r w:rsidR="00121758">
        <w:t xml:space="preserve"> It includes advice on coordination with adjacent band 2 GHz spectrum licenced services and PTS appa</w:t>
      </w:r>
      <w:r w:rsidR="00121758" w:rsidRPr="00D47A13">
        <w:t xml:space="preserve">ratus licenced services.  </w:t>
      </w:r>
    </w:p>
    <w:p w14:paraId="1ACF44B0" w14:textId="01C50D66" w:rsidR="00121758" w:rsidRDefault="00121758" w:rsidP="00121758">
      <w:pPr>
        <w:pStyle w:val="Paragraphbeforelist"/>
      </w:pPr>
      <w:r>
        <w:t>TOB systems are described in RALI FX21 may use some combination of the following:</w:t>
      </w:r>
    </w:p>
    <w:p w14:paraId="1C8AD02F" w14:textId="7F9FBFDE" w:rsidR="00121758" w:rsidRDefault="002820E5" w:rsidP="00121758">
      <w:pPr>
        <w:pStyle w:val="Bulletlevel1"/>
      </w:pPr>
      <w:r>
        <w:t>f</w:t>
      </w:r>
      <w:r w:rsidR="00121758">
        <w:t>ixed receivers: typically, high-sited, high gain receivers designed to provide reception over large distances (e.g.</w:t>
      </w:r>
      <w:r w:rsidR="00C036B0">
        <w:t>,</w:t>
      </w:r>
      <w:r w:rsidR="00121758">
        <w:t xml:space="preserve"> for a large metropolitan area)</w:t>
      </w:r>
    </w:p>
    <w:p w14:paraId="1461500D" w14:textId="63CE9B67" w:rsidR="00121758" w:rsidRDefault="00CB2F12" w:rsidP="00121758">
      <w:pPr>
        <w:pStyle w:val="Bulletlevel1"/>
      </w:pPr>
      <w:r>
        <w:t>h</w:t>
      </w:r>
      <w:r w:rsidR="00121758">
        <w:t>igh</w:t>
      </w:r>
      <w:r w:rsidR="00C036B0">
        <w:t>-</w:t>
      </w:r>
      <w:r w:rsidR="00121758">
        <w:t xml:space="preserve">power TOB transmitters: typically </w:t>
      </w:r>
      <w:proofErr w:type="gramStart"/>
      <w:r w:rsidR="00121758">
        <w:t>high</w:t>
      </w:r>
      <w:r w:rsidR="00C036B0">
        <w:t>-</w:t>
      </w:r>
      <w:r w:rsidR="00121758">
        <w:t>gain</w:t>
      </w:r>
      <w:proofErr w:type="gramEnd"/>
      <w:r w:rsidR="00121758">
        <w:t>, with moderate antenna heights (for example an ENG van)</w:t>
      </w:r>
    </w:p>
    <w:p w14:paraId="7448C64E" w14:textId="3F23608A" w:rsidR="00121758" w:rsidRDefault="00CB2F12" w:rsidP="00121758">
      <w:pPr>
        <w:pStyle w:val="Bulletlevel1"/>
      </w:pPr>
      <w:r>
        <w:t>l</w:t>
      </w:r>
      <w:r w:rsidR="00121758">
        <w:t>ow</w:t>
      </w:r>
      <w:r w:rsidR="00C036B0">
        <w:t>-</w:t>
      </w:r>
      <w:r w:rsidR="00121758">
        <w:t>power TOB transmitters: typically low</w:t>
      </w:r>
      <w:r w:rsidR="00C036B0">
        <w:t>-</w:t>
      </w:r>
      <w:r w:rsidR="00121758">
        <w:t>gain, low</w:t>
      </w:r>
      <w:r w:rsidR="00C036B0">
        <w:t>-</w:t>
      </w:r>
      <w:r w:rsidR="00121758">
        <w:t>height mobile transmitters (for example a wireless camera)</w:t>
      </w:r>
    </w:p>
    <w:p w14:paraId="26EC9865" w14:textId="4B3B6D5E" w:rsidR="00121758" w:rsidRDefault="002820E5" w:rsidP="00121758">
      <w:pPr>
        <w:pStyle w:val="Bulletlevel1last"/>
      </w:pPr>
      <w:r>
        <w:t>a</w:t>
      </w:r>
      <w:r w:rsidR="00121758">
        <w:t xml:space="preserve">eronautical stations: For example, helicopter transmitters (limited to </w:t>
      </w:r>
      <w:r w:rsidR="00CB2F12">
        <w:br/>
      </w:r>
      <w:r w:rsidR="00121758">
        <w:t>2010</w:t>
      </w:r>
      <w:r w:rsidR="00CB2F12">
        <w:t>–</w:t>
      </w:r>
      <w:r w:rsidR="00121758">
        <w:t xml:space="preserve">2110 MHz) and receivers (which planning arrangements support in </w:t>
      </w:r>
      <w:r w:rsidR="00CB2F12">
        <w:br/>
      </w:r>
      <w:r w:rsidR="00121758">
        <w:t>both bands).</w:t>
      </w:r>
    </w:p>
    <w:p w14:paraId="5D9F307C" w14:textId="36D0CC82" w:rsidR="00121758" w:rsidRDefault="00121758" w:rsidP="00D611A2">
      <w:pPr>
        <w:pStyle w:val="Heading3"/>
      </w:pPr>
      <w:bookmarkStart w:id="70" w:name="_Toc150510364"/>
      <w:r>
        <w:t>TOB transition arrangements (1980</w:t>
      </w:r>
      <w:r w:rsidR="00CB2F12">
        <w:t>–</w:t>
      </w:r>
      <w:r>
        <w:t>2010/2170</w:t>
      </w:r>
      <w:r w:rsidR="00CB2F12">
        <w:t>–</w:t>
      </w:r>
      <w:r>
        <w:t>2200 MHz)</w:t>
      </w:r>
      <w:bookmarkEnd w:id="70"/>
    </w:p>
    <w:p w14:paraId="3F13DE10" w14:textId="4378DB72" w:rsidR="00121758" w:rsidRDefault="00121758" w:rsidP="00121758">
      <w:pPr>
        <w:pStyle w:val="Paragraphbeforelist"/>
      </w:pPr>
      <w:r>
        <w:t>TOB services in 1980</w:t>
      </w:r>
      <w:r w:rsidR="00CB2F12">
        <w:t>–</w:t>
      </w:r>
      <w:r>
        <w:t>2010/2170</w:t>
      </w:r>
      <w:r w:rsidR="00CB2F12">
        <w:t>–</w:t>
      </w:r>
      <w:r>
        <w:t xml:space="preserve">2200 MHz are required to cease operations to support the introduction of MSS. This will occur over an extended transition period to provide sufficient time for TOB to relocate to alternative spectrum. As per the </w:t>
      </w:r>
      <w:r w:rsidRPr="00DF0E99">
        <w:rPr>
          <w:u w:color="0000FF"/>
        </w:rPr>
        <w:t>Radiocommunications (</w:t>
      </w:r>
      <w:hyperlink r:id="rId42" w:history="1">
        <w:r w:rsidRPr="00DF0E99">
          <w:rPr>
            <w:rStyle w:val="Hyperlink"/>
          </w:rPr>
          <w:t>Mobile-Satellite Service</w:t>
        </w:r>
      </w:hyperlink>
      <w:r w:rsidRPr="00DF0E99">
        <w:rPr>
          <w:u w:color="0000FF"/>
        </w:rPr>
        <w:t>) (1980</w:t>
      </w:r>
      <w:r w:rsidR="00CB2F12">
        <w:rPr>
          <w:u w:color="0000FF"/>
        </w:rPr>
        <w:t>–</w:t>
      </w:r>
      <w:r w:rsidRPr="00DF0E99">
        <w:rPr>
          <w:u w:color="0000FF"/>
        </w:rPr>
        <w:t>2010 and 2170</w:t>
      </w:r>
      <w:r w:rsidR="00CB2F12">
        <w:rPr>
          <w:u w:color="0000FF"/>
        </w:rPr>
        <w:t>–</w:t>
      </w:r>
      <w:r w:rsidRPr="00DF0E99">
        <w:rPr>
          <w:u w:color="0000FF"/>
        </w:rPr>
        <w:t>2200 MHz) Frequency Band Plan 2022</w:t>
      </w:r>
      <w:r>
        <w:t xml:space="preserve"> (MSS Band Plan), the TOB services are to vacate the bands 1980</w:t>
      </w:r>
      <w:r w:rsidR="00CB2F12">
        <w:t>–</w:t>
      </w:r>
      <w:r>
        <w:t>2010 MHz and 2170</w:t>
      </w:r>
      <w:r w:rsidR="00CB2F12">
        <w:t>–</w:t>
      </w:r>
      <w:r>
        <w:t>2200 MHz by:</w:t>
      </w:r>
    </w:p>
    <w:p w14:paraId="783ADD8E" w14:textId="6D55B61C" w:rsidR="00121758" w:rsidRDefault="00121758" w:rsidP="00121758">
      <w:pPr>
        <w:pStyle w:val="Bulletlevel1"/>
      </w:pPr>
      <w:r>
        <w:t>28 February 2026 in metropolitan area and designated areas</w:t>
      </w:r>
      <w:r w:rsidR="00A813A0">
        <w:rPr>
          <w:rStyle w:val="FootnoteReference"/>
        </w:rPr>
        <w:footnoteReference w:id="26"/>
      </w:r>
      <w:r>
        <w:t xml:space="preserve"> (sporting and event venues in regional areas where TOB services</w:t>
      </w:r>
      <w:r w:rsidR="00761C56">
        <w:t xml:space="preserve"> </w:t>
      </w:r>
      <w:r>
        <w:t xml:space="preserve">are used regularly) </w:t>
      </w:r>
    </w:p>
    <w:p w14:paraId="05529750" w14:textId="37ED3C96" w:rsidR="00121758" w:rsidRDefault="00121758" w:rsidP="00121758">
      <w:pPr>
        <w:pStyle w:val="Bulletlevel1last"/>
      </w:pPr>
      <w:r>
        <w:t>29 February 2024 elsewhere (regionals areas)</w:t>
      </w:r>
      <w:r w:rsidR="00CB2F12">
        <w:t>.</w:t>
      </w:r>
    </w:p>
    <w:p w14:paraId="4C837BF4" w14:textId="7CECAD56" w:rsidR="00121758" w:rsidRDefault="00121758" w:rsidP="00121758">
      <w:pPr>
        <w:pStyle w:val="Paragraph"/>
      </w:pPr>
      <w:r>
        <w:t>Until the transition is completed, MSS services in the 1980</w:t>
      </w:r>
      <w:r w:rsidR="00CB2F12">
        <w:t>–</w:t>
      </w:r>
      <w:r>
        <w:t xml:space="preserve">2010 MHz and </w:t>
      </w:r>
      <w:r w:rsidR="00CB2F12">
        <w:br/>
      </w:r>
      <w:r>
        <w:t>2170</w:t>
      </w:r>
      <w:r w:rsidR="00CB2F12">
        <w:t>–</w:t>
      </w:r>
      <w:r>
        <w:t xml:space="preserve">2200 MHz band will not be authorised to operate if they cause interference </w:t>
      </w:r>
      <w:r w:rsidR="00CB2F12">
        <w:br/>
      </w:r>
      <w:r>
        <w:t>to, and will not be afforded protection from, TOB services. The MSS earth stations must not cause harmful interference to, nor claim protection from, TOB stations licensed in accordance with the MSS Band Plan.</w:t>
      </w:r>
    </w:p>
    <w:p w14:paraId="6B3719B4" w14:textId="76AB6078" w:rsidR="00121758" w:rsidRDefault="00121758" w:rsidP="00121758">
      <w:pPr>
        <w:pStyle w:val="Paragraph"/>
      </w:pPr>
      <w:r>
        <w:t>There is no change to arrangements for TOB services in the bands 2010</w:t>
      </w:r>
      <w:r w:rsidR="00CB2F12">
        <w:t>–</w:t>
      </w:r>
      <w:r>
        <w:t>2110 MHz and 2200</w:t>
      </w:r>
      <w:r w:rsidR="00CB2F12">
        <w:t>–</w:t>
      </w:r>
      <w:r>
        <w:t>2300 MHz from the introduction of MSS service. MSS services are required to protect and not cause interference to TOB services in the bands 2010</w:t>
      </w:r>
      <w:r w:rsidR="00CB2F12">
        <w:t>–</w:t>
      </w:r>
      <w:r>
        <w:t>2110 MHz and 2200</w:t>
      </w:r>
      <w:r w:rsidR="00CB2F12">
        <w:t>–</w:t>
      </w:r>
      <w:r>
        <w:t xml:space="preserve">2300 </w:t>
      </w:r>
      <w:proofErr w:type="spellStart"/>
      <w:r>
        <w:t>MHz.</w:t>
      </w:r>
      <w:proofErr w:type="spellEnd"/>
    </w:p>
    <w:p w14:paraId="3BE1F4F8" w14:textId="4CF8C8DB" w:rsidR="00121758" w:rsidRDefault="00121758" w:rsidP="00B51EC2">
      <w:pPr>
        <w:pStyle w:val="Heading3"/>
      </w:pPr>
      <w:bookmarkStart w:id="71" w:name="_Toc150510365"/>
      <w:r>
        <w:t xml:space="preserve">Coordination </w:t>
      </w:r>
      <w:bookmarkEnd w:id="71"/>
      <w:r w:rsidR="00AB454D">
        <w:t>requirements</w:t>
      </w:r>
    </w:p>
    <w:p w14:paraId="667F9B31" w14:textId="1506C23F" w:rsidR="00121758" w:rsidRDefault="00121758" w:rsidP="00121758">
      <w:pPr>
        <w:pStyle w:val="Paragraphbeforelist"/>
      </w:pPr>
      <w:r>
        <w:t xml:space="preserve">In addition to unwanted emission levels for 2 GHz MSS discussion in section 2, </w:t>
      </w:r>
      <w:r w:rsidR="00D36265">
        <w:t xml:space="preserve">the following </w:t>
      </w:r>
      <w:r>
        <w:t>coordination</w:t>
      </w:r>
      <w:r w:rsidR="00D36265">
        <w:t xml:space="preserve"> requirements</w:t>
      </w:r>
      <w:r>
        <w:t xml:space="preserve"> between TOB and 2 GHz MSS are </w:t>
      </w:r>
      <w:r w:rsidR="00D36265">
        <w:t>proposed</w:t>
      </w:r>
      <w:r>
        <w:t>:</w:t>
      </w:r>
    </w:p>
    <w:p w14:paraId="4871A37B" w14:textId="61C0CB68" w:rsidR="00121758" w:rsidRDefault="00D36265" w:rsidP="00121758">
      <w:pPr>
        <w:pStyle w:val="Bulletlevel1"/>
      </w:pPr>
      <w:r>
        <w:t>c</w:t>
      </w:r>
      <w:r w:rsidR="00121758">
        <w:t>oordination of fixed CGC transmitters operating in 2170</w:t>
      </w:r>
      <w:r w:rsidR="00CB2F12">
        <w:t>–</w:t>
      </w:r>
      <w:r w:rsidR="00121758">
        <w:t>2195 MHz with TOB receivers operating in 2200</w:t>
      </w:r>
      <w:r w:rsidR="00CB2F12">
        <w:t>–</w:t>
      </w:r>
      <w:r w:rsidR="00121758">
        <w:t>2300 MHz with reference to the requirements specified in Appendix B of RALI FX 21</w:t>
      </w:r>
    </w:p>
    <w:p w14:paraId="4A99891D" w14:textId="3D2AC225" w:rsidR="00121758" w:rsidRDefault="00D36265" w:rsidP="00121758">
      <w:pPr>
        <w:pStyle w:val="Bulletlevel1"/>
      </w:pPr>
      <w:r>
        <w:t>o</w:t>
      </w:r>
      <w:r w:rsidR="00121758">
        <w:t>perating of aeronautical transmitters in 1980</w:t>
      </w:r>
      <w:r w:rsidR="00CB2F12">
        <w:t>–</w:t>
      </w:r>
      <w:r w:rsidR="00121758">
        <w:t>2005 MHz on a no interference basis with respect to TOB receivers operating in 2010</w:t>
      </w:r>
      <w:r w:rsidR="00CB2F12">
        <w:t>–</w:t>
      </w:r>
      <w:r w:rsidR="00121758">
        <w:t xml:space="preserve">2110 </w:t>
      </w:r>
      <w:proofErr w:type="spellStart"/>
      <w:r w:rsidR="00121758">
        <w:t>MHz.</w:t>
      </w:r>
      <w:proofErr w:type="spellEnd"/>
      <w:r w:rsidR="00121758">
        <w:t xml:space="preserve"> Depending on frequency separation, this may limit the operation of aeronautical transmitters in the vicinity of TOB </w:t>
      </w:r>
      <w:proofErr w:type="gramStart"/>
      <w:r w:rsidR="00121758">
        <w:t>receivers</w:t>
      </w:r>
      <w:proofErr w:type="gramEnd"/>
    </w:p>
    <w:p w14:paraId="7F2DF8CB" w14:textId="5C4483F2" w:rsidR="00121758" w:rsidRDefault="00452E78" w:rsidP="00121758">
      <w:pPr>
        <w:pStyle w:val="Bulletlevel1last"/>
      </w:pPr>
      <w:r>
        <w:t>t</w:t>
      </w:r>
      <w:r w:rsidR="00121758">
        <w:t>o facilitate coordination of CCG transmitters with TOB receivers, the recording of TOB fixed receivers on TOBN licences is recommended</w:t>
      </w:r>
      <w:r w:rsidR="00CB2F12">
        <w:t>.</w:t>
      </w:r>
    </w:p>
    <w:p w14:paraId="21AE8D18" w14:textId="078DE548" w:rsidR="00121758" w:rsidRDefault="005542A6" w:rsidP="00121758">
      <w:pPr>
        <w:pStyle w:val="Paragraph"/>
      </w:pPr>
      <w:r>
        <w:t>F</w:t>
      </w:r>
      <w:r w:rsidR="00121758">
        <w:t>urther consideration of the emission limits 2 GHz MSS is require</w:t>
      </w:r>
      <w:r>
        <w:t xml:space="preserve">d to consider different </w:t>
      </w:r>
      <w:r w:rsidR="00121758">
        <w:t>values specified for narrowband MSS in the Space Class Licence.</w:t>
      </w:r>
    </w:p>
    <w:p w14:paraId="4067833F" w14:textId="77777777" w:rsidR="00121758" w:rsidRDefault="00121758" w:rsidP="00D65752">
      <w:pPr>
        <w:pStyle w:val="Heading2"/>
      </w:pPr>
      <w:bookmarkStart w:id="72" w:name="_Toc150510366"/>
      <w:bookmarkStart w:id="73" w:name="_Toc151469343"/>
      <w:r>
        <w:t>Earth stations</w:t>
      </w:r>
      <w:bookmarkEnd w:id="72"/>
      <w:bookmarkEnd w:id="73"/>
    </w:p>
    <w:p w14:paraId="5E22E432" w14:textId="7E1E2687" w:rsidR="00121758" w:rsidRPr="00A076E0" w:rsidRDefault="00121758" w:rsidP="00121758">
      <w:pPr>
        <w:pStyle w:val="Paragraph"/>
      </w:pPr>
      <w:r>
        <w:t>Under current spectrum planning arrangement</w:t>
      </w:r>
      <w:r w:rsidR="00AF40D2">
        <w:t>s</w:t>
      </w:r>
      <w:r w:rsidR="00CB2F12">
        <w:t>,</w:t>
      </w:r>
      <w:r>
        <w:t xml:space="preserve"> earth station transmitters operate in the</w:t>
      </w:r>
      <w:r w:rsidDel="00AF40D2">
        <w:t xml:space="preserve"> </w:t>
      </w:r>
      <w:r>
        <w:t>2025</w:t>
      </w:r>
      <w:r w:rsidR="00CB2F12">
        <w:t>–</w:t>
      </w:r>
      <w:r>
        <w:t xml:space="preserve">2110 MHz </w:t>
      </w:r>
      <w:r w:rsidR="00AF40D2">
        <w:t>band</w:t>
      </w:r>
      <w:r w:rsidR="00CB2F12">
        <w:t>,</w:t>
      </w:r>
      <w:r w:rsidR="00AF40D2">
        <w:t xml:space="preserve"> </w:t>
      </w:r>
      <w:r>
        <w:t>and earth station receivers in the 2200</w:t>
      </w:r>
      <w:r w:rsidR="00CB2F12">
        <w:t>–</w:t>
      </w:r>
      <w:r>
        <w:t xml:space="preserve">2300 MHz </w:t>
      </w:r>
      <w:r w:rsidR="00AF40D2">
        <w:t xml:space="preserve">band </w:t>
      </w:r>
      <w:r>
        <w:t>supporting s</w:t>
      </w:r>
      <w:r w:rsidRPr="00CF733A">
        <w:t xml:space="preserve">pace operation, </w:t>
      </w:r>
      <w:r>
        <w:t>e</w:t>
      </w:r>
      <w:r w:rsidRPr="00CF733A">
        <w:t>arth exploration-satellite and space research services</w:t>
      </w:r>
      <w:r>
        <w:t>.</w:t>
      </w:r>
      <w:r>
        <w:rPr>
          <w:rStyle w:val="FootnoteReference"/>
        </w:rPr>
        <w:footnoteReference w:id="27"/>
      </w:r>
      <w:r>
        <w:t xml:space="preserve"> As set out in Spectrum Embargo 23 and RALI FX21, the operation of earth stations </w:t>
      </w:r>
      <w:r w:rsidR="00CB2F12">
        <w:br/>
      </w:r>
      <w:r>
        <w:t>is restricted to certain locations</w:t>
      </w:r>
      <w:r w:rsidR="0032564A">
        <w:t>,</w:t>
      </w:r>
      <w:r>
        <w:t xml:space="preserve"> with new earth stations considered on a </w:t>
      </w:r>
      <w:r w:rsidR="00CB2F12">
        <w:br/>
      </w:r>
      <w:r>
        <w:t>case-by-case basis.</w:t>
      </w:r>
    </w:p>
    <w:p w14:paraId="7B9949F9" w14:textId="251A6D88" w:rsidR="00121758" w:rsidRDefault="00121758" w:rsidP="00121758">
      <w:pPr>
        <w:pStyle w:val="Paragraph"/>
      </w:pPr>
      <w:r>
        <w:t xml:space="preserve">Earth stations at New Norcia (WA) are operated </w:t>
      </w:r>
      <w:r w:rsidRPr="009C3210">
        <w:t xml:space="preserve">under the terms of a treaty between the Australian </w:t>
      </w:r>
      <w:r w:rsidR="00CB2F12">
        <w:t>G</w:t>
      </w:r>
      <w:r w:rsidRPr="009C3210">
        <w:t xml:space="preserve">overnment and ESA. </w:t>
      </w:r>
      <w:r>
        <w:t>Similarly, the ongoing operation of earth station</w:t>
      </w:r>
      <w:r w:rsidDel="0032564A">
        <w:t xml:space="preserve"> </w:t>
      </w:r>
      <w:r>
        <w:t xml:space="preserve">facilities at Tidbinbilla (ACT) </w:t>
      </w:r>
      <w:r w:rsidR="00CB2F12">
        <w:t xml:space="preserve">is </w:t>
      </w:r>
      <w:r>
        <w:t xml:space="preserve">conducted under treaty between Australia and the USA. Location of these earth </w:t>
      </w:r>
      <w:r w:rsidRPr="000B188A">
        <w:t xml:space="preserve">stations </w:t>
      </w:r>
      <w:r>
        <w:t>and other earth stations are illustrated in Figure 7</w:t>
      </w:r>
      <w:r w:rsidRPr="000B188A">
        <w:t>.</w:t>
      </w:r>
    </w:p>
    <w:p w14:paraId="42B7C04E" w14:textId="77777777" w:rsidR="00121758" w:rsidRDefault="00121758" w:rsidP="00121758">
      <w:pPr>
        <w:pStyle w:val="Figureheading"/>
      </w:pPr>
      <w:r>
        <w:t>Earth station locations</w:t>
      </w:r>
    </w:p>
    <w:p w14:paraId="18A24305" w14:textId="6A6964A9" w:rsidR="00783D85" w:rsidRPr="00783D85" w:rsidRDefault="0037446E" w:rsidP="00783D85">
      <w:pPr>
        <w:pStyle w:val="Paragraph"/>
      </w:pPr>
      <w:r>
        <w:rPr>
          <w:noProof/>
        </w:rPr>
        <w:drawing>
          <wp:inline distT="0" distB="0" distL="0" distR="0" wp14:anchorId="69D6F318" wp14:editId="0BC0E954">
            <wp:extent cx="3743454" cy="3362325"/>
            <wp:effectExtent l="0" t="0" r="9525" b="0"/>
            <wp:docPr id="2" name="Picture 2" descr="Figure 7: Earth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Earth station locatio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1294" cy="3378348"/>
                    </a:xfrm>
                    <a:prstGeom prst="rect">
                      <a:avLst/>
                    </a:prstGeom>
                    <a:noFill/>
                    <a:ln>
                      <a:noFill/>
                    </a:ln>
                  </pic:spPr>
                </pic:pic>
              </a:graphicData>
            </a:graphic>
          </wp:inline>
        </w:drawing>
      </w:r>
    </w:p>
    <w:p w14:paraId="7992F9E4" w14:textId="1E4A09F1" w:rsidR="00121758" w:rsidRDefault="00121758" w:rsidP="00121758">
      <w:pPr>
        <w:pStyle w:val="Paragraph"/>
      </w:pPr>
      <w:r>
        <w:t xml:space="preserve">ECC </w:t>
      </w:r>
      <w:r w:rsidRPr="00F36BCC">
        <w:t xml:space="preserve">Recommendation </w:t>
      </w:r>
      <w:hyperlink r:id="rId44" w:history="1">
        <w:r w:rsidRPr="00337C64">
          <w:rPr>
            <w:rStyle w:val="Hyperlink"/>
          </w:rPr>
          <w:t>(10)01</w:t>
        </w:r>
      </w:hyperlink>
      <w:r>
        <w:rPr>
          <w:rStyle w:val="FootnoteReference"/>
        </w:rPr>
        <w:footnoteReference w:id="28"/>
      </w:r>
      <w:r>
        <w:t xml:space="preserve"> sets out an approach for coordination of CGC base station transmitters operating in 2170</w:t>
      </w:r>
      <w:r w:rsidR="00CB2F12">
        <w:t>–</w:t>
      </w:r>
      <w:r>
        <w:t xml:space="preserve">2200 MHz with adjacent band earth station receiver. Coordination is based on assessing CGC </w:t>
      </w:r>
      <w:r>
        <w:rPr>
          <w:color w:val="000000"/>
          <w:lang w:eastAsia="fr-FR"/>
        </w:rPr>
        <w:t xml:space="preserve">unwanted emissions above </w:t>
      </w:r>
      <w:r w:rsidR="00CB2F12">
        <w:rPr>
          <w:color w:val="000000"/>
          <w:lang w:eastAsia="fr-FR"/>
        </w:rPr>
        <w:br/>
      </w:r>
      <w:r>
        <w:rPr>
          <w:color w:val="000000"/>
          <w:lang w:eastAsia="fr-FR"/>
        </w:rPr>
        <w:t xml:space="preserve">2200 MHz against an earth station receive threshold. While further review </w:t>
      </w:r>
      <w:r>
        <w:t>is required to determine how such an approach could by applied in Australia, it is a simple approach that would seem to be able to be readily adapted for coordination between CGC bases stations and earth station receivers in Australia.</w:t>
      </w:r>
    </w:p>
    <w:p w14:paraId="168998EA" w14:textId="77777777" w:rsidR="00121758" w:rsidRDefault="00121758" w:rsidP="00D65752">
      <w:pPr>
        <w:pStyle w:val="Heading3"/>
      </w:pPr>
      <w:bookmarkStart w:id="74" w:name="_Toc150510367"/>
      <w:r>
        <w:t>Coordination principles</w:t>
      </w:r>
      <w:bookmarkEnd w:id="74"/>
    </w:p>
    <w:p w14:paraId="37BC10DD" w14:textId="77777777" w:rsidR="00121758" w:rsidRDefault="00121758" w:rsidP="00121758">
      <w:pPr>
        <w:pStyle w:val="Bulletlevel1"/>
        <w:numPr>
          <w:ilvl w:val="0"/>
          <w:numId w:val="0"/>
        </w:numPr>
        <w:tabs>
          <w:tab w:val="left" w:pos="720"/>
        </w:tabs>
      </w:pPr>
      <w:r>
        <w:t>The following coordination principles between earth stations and 2 GHz MSS are envisaged:</w:t>
      </w:r>
    </w:p>
    <w:p w14:paraId="44DFCF8B" w14:textId="646E73FF" w:rsidR="00121758" w:rsidRDefault="00AE2571" w:rsidP="00121758">
      <w:pPr>
        <w:pStyle w:val="ListBullet"/>
      </w:pPr>
      <w:r>
        <w:t>s</w:t>
      </w:r>
      <w:r w:rsidR="00121758">
        <w:t>pectrum arrangement both internationally and in Australia provide compatibility (downlink adjacent to downlink) and there are no frequency-</w:t>
      </w:r>
      <w:r w:rsidR="00121758" w:rsidRPr="00A85D75">
        <w:t>boundary transmit/receive issues</w:t>
      </w:r>
      <w:r w:rsidR="00121758">
        <w:t>. Accordingly, no coordination requirements are intended to be developed between MSS earth receivers (2170</w:t>
      </w:r>
      <w:r w:rsidR="003E100F">
        <w:t>–</w:t>
      </w:r>
      <w:r w:rsidR="00121758">
        <w:t>2200 MHz) and the adjacent band earth station receivers (2200</w:t>
      </w:r>
      <w:r w:rsidR="003E100F">
        <w:t>–</w:t>
      </w:r>
      <w:r w:rsidR="00121758">
        <w:t>2300 MHz)</w:t>
      </w:r>
    </w:p>
    <w:p w14:paraId="5929D87E" w14:textId="007B6F0F" w:rsidR="00121758" w:rsidRDefault="00AE2571" w:rsidP="00121758">
      <w:pPr>
        <w:pStyle w:val="Bulletlevel1"/>
        <w:tabs>
          <w:tab w:val="clear" w:pos="295"/>
          <w:tab w:val="num" w:pos="579"/>
        </w:tabs>
      </w:pPr>
      <w:r>
        <w:t>n</w:t>
      </w:r>
      <w:r w:rsidR="00121758">
        <w:t>o protection afforded from existing and future earth station transmitters to be provided to 2 GHz MSS receivers noting the 20 MHz frequency separation (between 2005 MHz and 2025 MHz)</w:t>
      </w:r>
    </w:p>
    <w:p w14:paraId="3563412D" w14:textId="7C64FAD7" w:rsidR="00121758" w:rsidRDefault="00121758" w:rsidP="00121758">
      <w:pPr>
        <w:pStyle w:val="Bulletlevel1"/>
        <w:tabs>
          <w:tab w:val="clear" w:pos="295"/>
          <w:tab w:val="num" w:pos="579"/>
        </w:tabs>
      </w:pPr>
      <w:r>
        <w:t>CGC base station transmitters in 2170</w:t>
      </w:r>
      <w:r w:rsidR="003E100F">
        <w:t>–</w:t>
      </w:r>
      <w:r>
        <w:t>2195 MHz to protect current and future earth stations at Mingenew earth station protection zone, New Norcia and Tidbinbilla</w:t>
      </w:r>
    </w:p>
    <w:p w14:paraId="3BC8284D" w14:textId="72C4606D" w:rsidR="00121758" w:rsidRDefault="00AE2571" w:rsidP="00121758">
      <w:pPr>
        <w:pStyle w:val="Bulletlevel1"/>
      </w:pPr>
      <w:r>
        <w:t>i</w:t>
      </w:r>
      <w:r w:rsidR="00121758">
        <w:t>n other locations CGC base transmitters (2170</w:t>
      </w:r>
      <w:r w:rsidR="003E100F">
        <w:t>–</w:t>
      </w:r>
      <w:r w:rsidR="00121758">
        <w:t>2195 MHz) to be coordinated with earth station receivers on a first</w:t>
      </w:r>
      <w:r w:rsidR="003E100F">
        <w:t>-</w:t>
      </w:r>
      <w:r w:rsidR="00121758">
        <w:t>in</w:t>
      </w:r>
      <w:r w:rsidR="003E100F">
        <w:t>-</w:t>
      </w:r>
      <w:r w:rsidR="00121758">
        <w:t xml:space="preserve">time </w:t>
      </w:r>
      <w:proofErr w:type="gramStart"/>
      <w:r w:rsidR="00121758">
        <w:t>basis</w:t>
      </w:r>
      <w:proofErr w:type="gramEnd"/>
    </w:p>
    <w:p w14:paraId="08BEDA5B" w14:textId="0D4EC00E" w:rsidR="00121758" w:rsidRDefault="00121758" w:rsidP="00121758">
      <w:pPr>
        <w:pStyle w:val="Bulletlevel1"/>
      </w:pPr>
      <w:r>
        <w:t>Coordination of CGC transmitters with earth station receivers to be based on CGC out-of-band emissions at the earth station receiver similar to the approach of E</w:t>
      </w:r>
      <w:r w:rsidRPr="00FB28DC">
        <w:t>CC Recommendation (10)01</w:t>
      </w:r>
      <w:r>
        <w:t xml:space="preserve">. Different requirements may be required for earth station receivers at Mingenew earth station protection zone and those covered by treaty level agreements (that is, New Norcia and Tidbinbilla) and earth stations at </w:t>
      </w:r>
      <w:r w:rsidR="003E100F">
        <w:br/>
      </w:r>
      <w:r>
        <w:t>other locations.</w:t>
      </w:r>
    </w:p>
    <w:p w14:paraId="1CCB9A5F" w14:textId="77777777" w:rsidR="00121758" w:rsidRDefault="00121758" w:rsidP="00820462">
      <w:pPr>
        <w:pStyle w:val="Heading2"/>
      </w:pPr>
      <w:bookmarkStart w:id="75" w:name="_Toc150510368"/>
      <w:bookmarkStart w:id="76" w:name="_Toc151469344"/>
      <w:r>
        <w:t>Australian radio quiet zone</w:t>
      </w:r>
      <w:bookmarkEnd w:id="75"/>
      <w:bookmarkEnd w:id="76"/>
    </w:p>
    <w:p w14:paraId="49EDE2A9" w14:textId="070AC504" w:rsidR="00121758" w:rsidRDefault="00121758" w:rsidP="00F6261D">
      <w:pPr>
        <w:pStyle w:val="Paragraph"/>
      </w:pPr>
      <w:r>
        <w:t xml:space="preserve">The </w:t>
      </w:r>
      <w:r w:rsidRPr="00620713">
        <w:t>Radiocommunications (</w:t>
      </w:r>
      <w:hyperlink r:id="rId45" w:history="1">
        <w:r w:rsidRPr="00D306CD">
          <w:rPr>
            <w:rStyle w:val="Hyperlink"/>
          </w:rPr>
          <w:t>Australian Radio Quiet Zone Western Australia</w:t>
        </w:r>
      </w:hyperlink>
      <w:r w:rsidRPr="00620713">
        <w:t>) Frequency Band Plan 2023</w:t>
      </w:r>
      <w:r>
        <w:t xml:space="preserve"> (RQZ Band Plan) establishes a radio quiet zone (RQZ) in the </w:t>
      </w:r>
      <w:r w:rsidR="003E100F">
        <w:t>m</w:t>
      </w:r>
      <w:r>
        <w:t>id-</w:t>
      </w:r>
      <w:r w:rsidR="003E100F">
        <w:t>w</w:t>
      </w:r>
      <w:r>
        <w:t xml:space="preserve">est region of Western Australia </w:t>
      </w:r>
      <w:r w:rsidRPr="00D40FC5">
        <w:t>to prevent harmful interference to radio astronomy services</w:t>
      </w:r>
      <w:r>
        <w:t>.</w:t>
      </w:r>
    </w:p>
    <w:p w14:paraId="461D576B" w14:textId="77777777" w:rsidR="00121758" w:rsidRDefault="00121758" w:rsidP="00F6261D">
      <w:pPr>
        <w:pStyle w:val="Paragraph"/>
      </w:pPr>
      <w:r>
        <w:rPr>
          <w:color w:val="000000"/>
          <w:shd w:val="clear" w:color="auto" w:fill="FFFFFF"/>
        </w:rPr>
        <w:t xml:space="preserve">RALI MS32 </w:t>
      </w:r>
      <w:hyperlink r:id="rId46" w:history="1">
        <w:r w:rsidRPr="005916C2">
          <w:rPr>
            <w:rStyle w:val="Hyperlink"/>
            <w:i/>
            <w:iCs/>
            <w:szCs w:val="20"/>
            <w:shd w:val="clear" w:color="auto" w:fill="FFFFFF"/>
          </w:rPr>
          <w:t>Coordination of apparatus licensed services within the Australian Radio Quiet Zone Western Australia</w:t>
        </w:r>
      </w:hyperlink>
      <w:r>
        <w:rPr>
          <w:color w:val="000000"/>
          <w:shd w:val="clear" w:color="auto" w:fill="FFFFFF"/>
        </w:rPr>
        <w:t xml:space="preserve"> provides a framework for </w:t>
      </w:r>
      <w:r>
        <w:rPr>
          <w:color w:val="000000"/>
        </w:rPr>
        <w:t xml:space="preserve">the interference protection of radioastronomy activities sited within 50 km of the centre of the RQZ. </w:t>
      </w:r>
      <w:r>
        <w:t>A potential frequency assignment falls within the scope of this RALI if the assignment is for an apparatus-licensed transmitter of a coordinated terrestrial service station or earth station, and its frequency and geographical location is within the RQZ.</w:t>
      </w:r>
    </w:p>
    <w:p w14:paraId="6EAF7E88" w14:textId="1DE54661" w:rsidR="00121758" w:rsidRDefault="00121758" w:rsidP="00F6261D">
      <w:pPr>
        <w:pStyle w:val="Paragraph"/>
      </w:pPr>
      <w:r>
        <w:t>While s</w:t>
      </w:r>
      <w:r w:rsidRPr="00952D24">
        <w:rPr>
          <w:shd w:val="clear" w:color="auto" w:fill="FFFFFF"/>
        </w:rPr>
        <w:t xml:space="preserve">pace and space receive licensees </w:t>
      </w:r>
      <w:r>
        <w:rPr>
          <w:shd w:val="clear" w:color="auto" w:fill="FFFFFF"/>
        </w:rPr>
        <w:t>are not subject to RALI MS32</w:t>
      </w:r>
      <w:r>
        <w:t>, s</w:t>
      </w:r>
      <w:r w:rsidRPr="00952D24">
        <w:rPr>
          <w:shd w:val="clear" w:color="auto" w:fill="FFFFFF"/>
        </w:rPr>
        <w:t xml:space="preserve">pace and space receive licensees are </w:t>
      </w:r>
      <w:r>
        <w:rPr>
          <w:shd w:val="clear" w:color="auto" w:fill="FFFFFF"/>
        </w:rPr>
        <w:t xml:space="preserve">considered </w:t>
      </w:r>
      <w:r w:rsidRPr="00952D24">
        <w:rPr>
          <w:shd w:val="clear" w:color="auto" w:fill="FFFFFF"/>
        </w:rPr>
        <w:t xml:space="preserve">responsible for ensuring that their end-user earth station terminals do not cause harmful interference to radioastronomy services </w:t>
      </w:r>
      <w:r w:rsidR="00CC2CDF">
        <w:rPr>
          <w:shd w:val="clear" w:color="auto" w:fill="FFFFFF"/>
        </w:rPr>
        <w:br/>
      </w:r>
      <w:r w:rsidRPr="00952D24">
        <w:rPr>
          <w:shd w:val="clear" w:color="auto" w:fill="FFFFFF"/>
        </w:rPr>
        <w:t>in the RQZ.</w:t>
      </w:r>
    </w:p>
    <w:p w14:paraId="5D961F5D" w14:textId="77777777" w:rsidR="00121758" w:rsidRDefault="00121758" w:rsidP="009A17D5">
      <w:pPr>
        <w:pStyle w:val="Heading3"/>
      </w:pPr>
      <w:r>
        <w:tab/>
      </w:r>
      <w:bookmarkStart w:id="77" w:name="_Toc150510369"/>
      <w:r>
        <w:t>Coordination principles</w:t>
      </w:r>
      <w:bookmarkEnd w:id="77"/>
    </w:p>
    <w:p w14:paraId="633E2BA5" w14:textId="77777777" w:rsidR="00121758" w:rsidRDefault="00121758" w:rsidP="00121758">
      <w:pPr>
        <w:pStyle w:val="Paragraph"/>
      </w:pPr>
      <w:r>
        <w:t>To preserve the radio quiet zone it is envisaged that:</w:t>
      </w:r>
    </w:p>
    <w:p w14:paraId="631D3241" w14:textId="4334DE87" w:rsidR="00121758" w:rsidRPr="00BB6D99" w:rsidRDefault="00121758" w:rsidP="00121758">
      <w:pPr>
        <w:pStyle w:val="ListBullet"/>
      </w:pPr>
      <w:r>
        <w:t xml:space="preserve">CGC base station transmitters will be subject to the coordination procedures for the RQZ as detailed in </w:t>
      </w:r>
      <w:r w:rsidRPr="00BB6D99">
        <w:rPr>
          <w:u w:color="0000FF"/>
        </w:rPr>
        <w:t>RALI MS 32</w:t>
      </w:r>
    </w:p>
    <w:p w14:paraId="721DD53B" w14:textId="5E49C419" w:rsidR="00121758" w:rsidRPr="00A27879" w:rsidRDefault="006D690B" w:rsidP="00121758">
      <w:pPr>
        <w:pStyle w:val="ListBullet"/>
      </w:pPr>
      <w:r>
        <w:rPr>
          <w:u w:color="0000FF"/>
        </w:rPr>
        <w:t>m</w:t>
      </w:r>
      <w:r w:rsidR="00121758">
        <w:rPr>
          <w:u w:color="0000FF"/>
        </w:rPr>
        <w:t xml:space="preserve">obile earth station transmitters and mobile station transmitters in band </w:t>
      </w:r>
      <w:r w:rsidR="00CC2CDF">
        <w:rPr>
          <w:u w:color="0000FF"/>
        </w:rPr>
        <w:br/>
      </w:r>
      <w:r w:rsidR="00121758">
        <w:rPr>
          <w:u w:color="0000FF"/>
        </w:rPr>
        <w:t>1980</w:t>
      </w:r>
      <w:r w:rsidR="00CC2CDF">
        <w:rPr>
          <w:u w:color="0000FF"/>
        </w:rPr>
        <w:t>–</w:t>
      </w:r>
      <w:r w:rsidR="00121758">
        <w:rPr>
          <w:u w:color="0000FF"/>
        </w:rPr>
        <w:t xml:space="preserve">2005 MHz will not be permitted to operate in a defined area around the RQZ (similar to requirement under spectrum licensing where typically an area around the RQZ is excluded)  </w:t>
      </w:r>
    </w:p>
    <w:p w14:paraId="7D8A2EAB" w14:textId="4EF4D1DE" w:rsidR="00121758" w:rsidRDefault="006D690B" w:rsidP="00121758">
      <w:pPr>
        <w:pStyle w:val="ListBullet"/>
      </w:pPr>
      <w:r>
        <w:t>f</w:t>
      </w:r>
      <w:r w:rsidR="00121758">
        <w:t>urther consideration is required for requirements for aeronautical transmitter in 1980</w:t>
      </w:r>
      <w:r w:rsidR="00CC2CDF">
        <w:t>–</w:t>
      </w:r>
      <w:r w:rsidR="00121758">
        <w:t xml:space="preserve">2005 </w:t>
      </w:r>
      <w:proofErr w:type="spellStart"/>
      <w:r w:rsidR="00121758">
        <w:t>MHz.</w:t>
      </w:r>
      <w:proofErr w:type="spellEnd"/>
    </w:p>
    <w:p w14:paraId="392D483D" w14:textId="7D9A15DF" w:rsidR="00121758" w:rsidRDefault="00121758" w:rsidP="009A17D5">
      <w:pPr>
        <w:pStyle w:val="Heading2"/>
      </w:pPr>
      <w:bookmarkStart w:id="78" w:name="_Toc150510370"/>
      <w:bookmarkStart w:id="79" w:name="_Toc151469345"/>
      <w:r>
        <w:t xml:space="preserve">Defence </w:t>
      </w:r>
      <w:r w:rsidR="00CC2CDF">
        <w:t>a</w:t>
      </w:r>
      <w:r>
        <w:t xml:space="preserve">eronautical </w:t>
      </w:r>
      <w:r w:rsidR="00CC2CDF">
        <w:t>m</w:t>
      </w:r>
      <w:r>
        <w:t xml:space="preserve">obile </w:t>
      </w:r>
      <w:r w:rsidR="00CC2CDF">
        <w:t>t</w:t>
      </w:r>
      <w:r>
        <w:t xml:space="preserve">elemetry </w:t>
      </w:r>
      <w:r w:rsidR="00CC2CDF">
        <w:t>s</w:t>
      </w:r>
      <w:r>
        <w:t>ystems</w:t>
      </w:r>
      <w:bookmarkEnd w:id="78"/>
      <w:bookmarkEnd w:id="79"/>
      <w:r>
        <w:t xml:space="preserve"> </w:t>
      </w:r>
    </w:p>
    <w:p w14:paraId="19391837" w14:textId="77777777" w:rsidR="00121758" w:rsidRDefault="00121758" w:rsidP="00121758">
      <w:pPr>
        <w:pStyle w:val="Paragraph"/>
      </w:pPr>
      <w:r>
        <w:t>Defence operates AMT systems on an intermittent basis in the 2200 to 2300 MHz frequency range at a number of locations within Australia and its territorial waters.</w:t>
      </w:r>
    </w:p>
    <w:p w14:paraId="3E62B778" w14:textId="77777777" w:rsidR="00121758" w:rsidRDefault="00121758" w:rsidP="009A17D5">
      <w:pPr>
        <w:pStyle w:val="Heading3"/>
      </w:pPr>
      <w:r>
        <w:tab/>
      </w:r>
      <w:bookmarkStart w:id="80" w:name="_Toc150510371"/>
      <w:r>
        <w:t>Coordination principles</w:t>
      </w:r>
      <w:bookmarkEnd w:id="80"/>
    </w:p>
    <w:p w14:paraId="6C2546FD" w14:textId="0B39C806" w:rsidR="00121758" w:rsidRDefault="00121758" w:rsidP="00121758">
      <w:pPr>
        <w:pStyle w:val="Paragraph"/>
      </w:pPr>
      <w:r>
        <w:t>Noting the it</w:t>
      </w:r>
      <w:r w:rsidR="006D690B">
        <w:t>in</w:t>
      </w:r>
      <w:r>
        <w:t xml:space="preserve">erant nature of AMT, the locations of AMT operations, frequency separation (of at least 5 MHz), no coordination procedures are proposed between AMT systems and the MSS systems. </w:t>
      </w:r>
    </w:p>
    <w:p w14:paraId="6D21544A" w14:textId="68914BCC" w:rsidR="00121758" w:rsidRDefault="001B12B6" w:rsidP="00121758">
      <w:pPr>
        <w:pStyle w:val="Heading1"/>
        <w:numPr>
          <w:ilvl w:val="0"/>
          <w:numId w:val="13"/>
        </w:numPr>
        <w:ind w:left="0" w:firstLine="0"/>
      </w:pPr>
      <w:bookmarkStart w:id="81" w:name="_Toc150510372"/>
      <w:bookmarkStart w:id="82" w:name="_Toc151469346"/>
      <w:r>
        <w:t>Review of n</w:t>
      </w:r>
      <w:r w:rsidR="00121758">
        <w:t xml:space="preserve">arrowband </w:t>
      </w:r>
      <w:bookmarkEnd w:id="81"/>
      <w:r>
        <w:t>MSS arrangements</w:t>
      </w:r>
      <w:bookmarkEnd w:id="82"/>
      <w:r>
        <w:t xml:space="preserve"> </w:t>
      </w:r>
    </w:p>
    <w:p w14:paraId="545E53A7" w14:textId="7DFDEB14" w:rsidR="004E134E" w:rsidRDefault="004E134E" w:rsidP="004E134E">
      <w:pPr>
        <w:pStyle w:val="Paragraph"/>
        <w:keepNext/>
        <w:keepLines/>
      </w:pPr>
      <w:r>
        <w:t>In December 2021</w:t>
      </w:r>
      <w:r w:rsidR="00D154D0">
        <w:t>,</w:t>
      </w:r>
      <w:r>
        <w:t xml:space="preserve"> </w:t>
      </w:r>
      <w:r w:rsidR="00D154D0">
        <w:t>we</w:t>
      </w:r>
      <w:r>
        <w:t xml:space="preserve"> opened a consultation on narrowband MSS in the bands </w:t>
      </w:r>
      <w:r w:rsidR="00D154D0">
        <w:br/>
      </w:r>
      <w:r>
        <w:t>2005</w:t>
      </w:r>
      <w:r w:rsidR="00D154D0">
        <w:t>–</w:t>
      </w:r>
      <w:r>
        <w:t>2020/2195</w:t>
      </w:r>
      <w:r w:rsidR="00D154D0">
        <w:t>–</w:t>
      </w:r>
      <w:r>
        <w:t xml:space="preserve">2200 </w:t>
      </w:r>
      <w:proofErr w:type="spellStart"/>
      <w:r>
        <w:t>MHz.</w:t>
      </w:r>
      <w:proofErr w:type="spellEnd"/>
      <w:r>
        <w:t xml:space="preserve"> In July 2022</w:t>
      </w:r>
      <w:r w:rsidR="00D154D0">
        <w:t>,</w:t>
      </w:r>
      <w:r>
        <w:t xml:space="preserve"> the ACMA published a response to submissions paper to inputs to that consultation. </w:t>
      </w:r>
      <w:r w:rsidR="00D154D0">
        <w:t>We</w:t>
      </w:r>
      <w:r>
        <w:t xml:space="preserve"> indicated an openness to </w:t>
      </w:r>
      <w:r w:rsidRPr="00123F6A">
        <w:t>reviewing the</w:t>
      </w:r>
      <w:r>
        <w:t xml:space="preserve"> narrowband MSS </w:t>
      </w:r>
      <w:r w:rsidRPr="00123F6A">
        <w:t>arrangements if the satellite industry provide</w:t>
      </w:r>
      <w:r>
        <w:t>d</w:t>
      </w:r>
      <w:r w:rsidRPr="00123F6A">
        <w:t xml:space="preserve"> supporting information </w:t>
      </w:r>
      <w:r>
        <w:t>(</w:t>
      </w:r>
      <w:r w:rsidRPr="00123F6A">
        <w:t xml:space="preserve">documenting the reasons for and the benefits of such </w:t>
      </w:r>
      <w:r w:rsidR="00D154D0">
        <w:br/>
      </w:r>
      <w:r w:rsidRPr="00123F6A">
        <w:t>a review</w:t>
      </w:r>
      <w:r>
        <w:t>.</w:t>
      </w:r>
      <w:r w:rsidR="00A82050">
        <w:rPr>
          <w:rStyle w:val="FootnoteReference"/>
        </w:rPr>
        <w:footnoteReference w:id="29"/>
      </w:r>
    </w:p>
    <w:p w14:paraId="41BC20D5" w14:textId="17DCCD53" w:rsidR="004E134E" w:rsidRDefault="004E134E" w:rsidP="004E134E">
      <w:r>
        <w:t>In anticipation of a possible review, consideration has been given to</w:t>
      </w:r>
      <w:r w:rsidDel="003C3903">
        <w:t xml:space="preserve"> </w:t>
      </w:r>
      <w:r>
        <w:t>use of more detailed propagation modelling (of the potential for interference from NBMSS stations into TVOB). Our preliminary view is that a suitable propagation model is ITU-R Recommendation P.1812</w:t>
      </w:r>
      <w:r w:rsidR="00B526CF">
        <w:t>,</w:t>
      </w:r>
      <w:r>
        <w:rPr>
          <w:rStyle w:val="FootnoteReference"/>
        </w:rPr>
        <w:footnoteReference w:id="30"/>
      </w:r>
      <w:r>
        <w:t xml:space="preserve"> which considers terrain analysis, clutter factors, per</w:t>
      </w:r>
      <w:r w:rsidR="00B526CF">
        <w:t xml:space="preserve"> </w:t>
      </w:r>
      <w:r>
        <w:t xml:space="preserve">cent of time and location factors. In terms of input values for time and location factors, considering the interference scenario to be modelled, </w:t>
      </w:r>
      <w:r w:rsidRPr="00901637">
        <w:t>10% time (percentage of average year for which the calculated signal level is exceeded) and 10% location</w:t>
      </w:r>
      <w:r>
        <w:t xml:space="preserve"> (p</w:t>
      </w:r>
      <w:r w:rsidRPr="00E40E99">
        <w:t>ercentage of locations for which the calculated signal level is exceeded</w:t>
      </w:r>
      <w:r w:rsidDel="00901637">
        <w:t>)</w:t>
      </w:r>
      <w:r>
        <w:t xml:space="preserve"> </w:t>
      </w:r>
      <w:r w:rsidR="00B526CF">
        <w:br/>
      </w:r>
      <w:r>
        <w:t xml:space="preserve">seem appropriate. </w:t>
      </w:r>
    </w:p>
    <w:p w14:paraId="69446C2F" w14:textId="0CBD98A9" w:rsidR="004E134E" w:rsidRDefault="004E134E" w:rsidP="004E134E">
      <w:r>
        <w:t>In considering arrangements for narrowband MSS in the July 2022 response to submission paper</w:t>
      </w:r>
      <w:r w:rsidR="003841C4">
        <w:t>,</w:t>
      </w:r>
      <w:r>
        <w:t xml:space="preserve"> a mobile e</w:t>
      </w:r>
      <w:r w:rsidRPr="0000200E">
        <w:t>arth station deployment density</w:t>
      </w:r>
      <w:r>
        <w:t xml:space="preserve"> value of </w:t>
      </w:r>
      <w:r w:rsidRPr="0000200E">
        <w:t xml:space="preserve">2.4 </w:t>
      </w:r>
      <w:r w:rsidRPr="00980FDC">
        <w:rPr>
          <w:rFonts w:eastAsia="Malgun Gothic"/>
          <w:lang w:val="en-GB" w:eastAsia="ko-KR"/>
        </w:rPr>
        <w:t>per km</w:t>
      </w:r>
      <w:r w:rsidRPr="00980FDC">
        <w:rPr>
          <w:rFonts w:eastAsia="Malgun Gothic"/>
          <w:vertAlign w:val="superscript"/>
          <w:lang w:val="en-GB" w:eastAsia="ko-KR"/>
        </w:rPr>
        <w:t>2</w:t>
      </w:r>
      <w:r w:rsidRPr="00980FDC">
        <w:rPr>
          <w:rFonts w:eastAsia="Malgun Gothic"/>
          <w:lang w:val="en-GB" w:eastAsia="ko-KR"/>
        </w:rPr>
        <w:t xml:space="preserve"> </w:t>
      </w:r>
      <w:r>
        <w:t>was used</w:t>
      </w:r>
      <w:r w:rsidR="00E77220">
        <w:t xml:space="preserve"> – </w:t>
      </w:r>
      <w:r>
        <w:t>a value that industry had expressed a view as being too high. Since then, as part of</w:t>
      </w:r>
      <w:r w:rsidRPr="00577558">
        <w:t xml:space="preserve"> </w:t>
      </w:r>
      <w:r>
        <w:t>the ITU work on s</w:t>
      </w:r>
      <w:r w:rsidRPr="00577558">
        <w:t>atellite IMT-2020 submission and evaluation process</w:t>
      </w:r>
      <w:r>
        <w:t xml:space="preserve">, the ITU has published </w:t>
      </w:r>
      <w:hyperlink r:id="rId47" w:history="1">
        <w:r w:rsidRPr="00CB586E">
          <w:rPr>
            <w:rStyle w:val="Hyperlink"/>
          </w:rPr>
          <w:t>Report ITU-R M.2514</w:t>
        </w:r>
      </w:hyperlink>
      <w:r>
        <w:t xml:space="preserve"> on Vision, requirements and evaluation guidelines for satellite radio interface(s) of IMT-2020 which advised that </w:t>
      </w:r>
      <w:r w:rsidRPr="00980FDC">
        <w:rPr>
          <w:rFonts w:eastAsia="Malgun Gothic"/>
          <w:lang w:val="en-GB" w:eastAsia="ko-KR"/>
        </w:rPr>
        <w:t>density of at least 500 devices per km</w:t>
      </w:r>
      <w:r w:rsidRPr="00980FDC">
        <w:rPr>
          <w:rFonts w:eastAsia="Malgun Gothic"/>
          <w:vertAlign w:val="superscript"/>
          <w:lang w:val="en-GB" w:eastAsia="ko-KR"/>
        </w:rPr>
        <w:t>2</w:t>
      </w:r>
      <w:r w:rsidRPr="00980FDC">
        <w:rPr>
          <w:rFonts w:eastAsia="Malgun Gothic"/>
          <w:lang w:val="en-GB" w:eastAsia="ko-KR"/>
        </w:rPr>
        <w:t xml:space="preserve"> should be supported</w:t>
      </w:r>
      <w:r>
        <w:rPr>
          <w:rFonts w:eastAsia="Malgun Gothic"/>
          <w:lang w:val="en-GB" w:eastAsia="ko-KR"/>
        </w:rPr>
        <w:t xml:space="preserve"> (assuming 30 MHz bandwidth, this implies around 16 devices</w:t>
      </w:r>
      <w:r w:rsidRPr="00D749ED">
        <w:rPr>
          <w:rFonts w:eastAsia="Malgun Gothic"/>
          <w:lang w:val="en-GB" w:eastAsia="ko-KR"/>
        </w:rPr>
        <w:t xml:space="preserve"> </w:t>
      </w:r>
      <w:r w:rsidRPr="00980FDC">
        <w:rPr>
          <w:rFonts w:eastAsia="Malgun Gothic"/>
          <w:lang w:val="en-GB" w:eastAsia="ko-KR"/>
        </w:rPr>
        <w:t>per km</w:t>
      </w:r>
      <w:r w:rsidRPr="00980FDC">
        <w:rPr>
          <w:rFonts w:eastAsia="Malgun Gothic"/>
          <w:vertAlign w:val="superscript"/>
          <w:lang w:val="en-GB" w:eastAsia="ko-KR"/>
        </w:rPr>
        <w:t>2</w:t>
      </w:r>
      <w:r>
        <w:rPr>
          <w:rFonts w:eastAsia="Malgun Gothic"/>
          <w:lang w:val="en-GB" w:eastAsia="ko-KR"/>
        </w:rPr>
        <w:t xml:space="preserve"> per MHz). Duty cycle is not considered in the ITU report and beyond monitoring ITU developments no further work on duty cycle</w:t>
      </w:r>
      <w:r w:rsidDel="00A75805">
        <w:rPr>
          <w:rFonts w:eastAsia="Malgun Gothic"/>
          <w:lang w:val="en-GB" w:eastAsia="ko-KR"/>
        </w:rPr>
        <w:t xml:space="preserve"> </w:t>
      </w:r>
      <w:r>
        <w:rPr>
          <w:rFonts w:eastAsia="Malgun Gothic"/>
          <w:lang w:val="en-GB" w:eastAsia="ko-KR"/>
        </w:rPr>
        <w:t>is proposed at this stage.</w:t>
      </w:r>
    </w:p>
    <w:p w14:paraId="0152C23D" w14:textId="59A5C4B9" w:rsidR="004E134E" w:rsidRDefault="004E134E" w:rsidP="00336A16">
      <w:r>
        <w:t xml:space="preserve">While the ACMA remains open to review arrangements for narrowband MSS, to do so we require confidence that industry still consider such a review is required and </w:t>
      </w:r>
      <w:r w:rsidR="00A75805">
        <w:t xml:space="preserve">there is </w:t>
      </w:r>
      <w:r>
        <w:t xml:space="preserve">a clear understanding </w:t>
      </w:r>
      <w:r w:rsidR="00A75805">
        <w:t>about the relevant</w:t>
      </w:r>
      <w:r>
        <w:t xml:space="preserve"> aspects of the current framework</w:t>
      </w:r>
      <w:r w:rsidR="006A4067">
        <w:rPr>
          <w:rStyle w:val="FootnoteReference"/>
        </w:rPr>
        <w:footnoteReference w:id="31"/>
      </w:r>
      <w:r>
        <w:t xml:space="preserve"> </w:t>
      </w:r>
      <w:r w:rsidDel="00A75805">
        <w:t xml:space="preserve">that </w:t>
      </w:r>
      <w:r w:rsidR="00A75805">
        <w:t>should be reviewed</w:t>
      </w:r>
      <w:r>
        <w:t xml:space="preserve">. For example, whether changes to emission limit at 2010 MHz (beyond the preliminary view that the limit could be reduced by 6 dB from -66 to -60 </w:t>
      </w:r>
      <w:proofErr w:type="spellStart"/>
      <w:r>
        <w:t>dBW</w:t>
      </w:r>
      <w:proofErr w:type="spellEnd"/>
      <w:r>
        <w:t xml:space="preserve">/MHz </w:t>
      </w:r>
      <w:r w:rsidR="00983D6A">
        <w:t xml:space="preserve">EIRP) </w:t>
      </w:r>
      <w:r>
        <w:t xml:space="preserve">or to changes to duty cycle requirements. </w:t>
      </w:r>
    </w:p>
    <w:p w14:paraId="379C0332" w14:textId="77777777" w:rsidR="00121758" w:rsidRDefault="00121758" w:rsidP="00121758">
      <w:pPr>
        <w:pStyle w:val="Heading1"/>
        <w:numPr>
          <w:ilvl w:val="0"/>
          <w:numId w:val="13"/>
        </w:numPr>
        <w:ind w:left="0" w:firstLine="0"/>
      </w:pPr>
      <w:bookmarkStart w:id="83" w:name="_Licensing_and_allocation"/>
      <w:bookmarkStart w:id="84" w:name="_Toc150510376"/>
      <w:bookmarkStart w:id="85" w:name="_Toc151469347"/>
      <w:bookmarkEnd w:id="83"/>
      <w:r>
        <w:t>Licensing and allocation considerations</w:t>
      </w:r>
      <w:bookmarkEnd w:id="84"/>
      <w:bookmarkEnd w:id="85"/>
    </w:p>
    <w:p w14:paraId="77335A3F" w14:textId="77777777" w:rsidR="00121758" w:rsidRDefault="00121758" w:rsidP="000E778E">
      <w:pPr>
        <w:pStyle w:val="Heading2"/>
      </w:pPr>
      <w:bookmarkStart w:id="86" w:name="_Toc22212560"/>
      <w:bookmarkStart w:id="87" w:name="_Toc86418683"/>
      <w:bookmarkStart w:id="88" w:name="_Toc89850438"/>
      <w:bookmarkStart w:id="89" w:name="_Toc90299529"/>
      <w:bookmarkStart w:id="90" w:name="_Toc90635442"/>
      <w:bookmarkStart w:id="91" w:name="_Toc150510377"/>
      <w:bookmarkStart w:id="92" w:name="_Toc151469348"/>
      <w:r>
        <w:t>Licensing of space-based communication systems</w:t>
      </w:r>
      <w:bookmarkEnd w:id="86"/>
      <w:bookmarkEnd w:id="87"/>
      <w:bookmarkEnd w:id="88"/>
      <w:bookmarkEnd w:id="89"/>
      <w:bookmarkEnd w:id="90"/>
      <w:bookmarkEnd w:id="91"/>
      <w:bookmarkEnd w:id="92"/>
    </w:p>
    <w:p w14:paraId="081A0EDD" w14:textId="65A6829B" w:rsidR="00121758" w:rsidRDefault="00121758" w:rsidP="00121758">
      <w:pPr>
        <w:pStyle w:val="ACMASpaceaftertable"/>
        <w:tabs>
          <w:tab w:val="left" w:pos="993"/>
          <w:tab w:val="left" w:pos="1276"/>
        </w:tabs>
      </w:pPr>
      <w:r>
        <w:t xml:space="preserve">In general, there are </w:t>
      </w:r>
      <w:r w:rsidR="00066889">
        <w:t xml:space="preserve">2 </w:t>
      </w:r>
      <w:r>
        <w:t>broad options for licensing of space systems in Australia.</w:t>
      </w:r>
    </w:p>
    <w:p w14:paraId="6AB8DE05" w14:textId="3FED5AE3" w:rsidR="00121758" w:rsidRDefault="00121758" w:rsidP="00121758">
      <w:pPr>
        <w:pStyle w:val="Paragraph"/>
      </w:pPr>
      <w:r>
        <w:t xml:space="preserve">The first option requires operators to obtain apparatus licences for each of their earth stations individually: an </w:t>
      </w:r>
      <w:r w:rsidRPr="001F4B57">
        <w:rPr>
          <w:iCs/>
        </w:rPr>
        <w:t>earth licence</w:t>
      </w:r>
      <w:r>
        <w:t xml:space="preserve"> </w:t>
      </w:r>
      <w:r w:rsidRPr="54CB262C">
        <w:t>or area-wide apparatus licences (</w:t>
      </w:r>
      <w:hyperlink r:id="rId48" w:history="1">
        <w:r w:rsidRPr="00795C00">
          <w:rPr>
            <w:rStyle w:val="Hyperlink"/>
            <w:iCs/>
          </w:rPr>
          <w:t>AWL</w:t>
        </w:r>
      </w:hyperlink>
      <w:r>
        <w:rPr>
          <w:iCs/>
          <w:u w:color="0000FF"/>
        </w:rPr>
        <w:t>)</w:t>
      </w:r>
      <w:r w:rsidRPr="54CB262C">
        <w:rPr>
          <w:rStyle w:val="FootnoteReference"/>
        </w:rPr>
        <w:footnoteReference w:id="32"/>
      </w:r>
      <w:r w:rsidRPr="00A32545">
        <w:t xml:space="preserve"> </w:t>
      </w:r>
      <w:r>
        <w:t xml:space="preserve">for the uplink and an </w:t>
      </w:r>
      <w:r w:rsidRPr="001F4B57">
        <w:rPr>
          <w:iCs/>
        </w:rPr>
        <w:t>earth</w:t>
      </w:r>
      <w:r w:rsidR="00133F46">
        <w:rPr>
          <w:iCs/>
        </w:rPr>
        <w:t>-</w:t>
      </w:r>
      <w:r w:rsidRPr="001F4B57">
        <w:rPr>
          <w:iCs/>
        </w:rPr>
        <w:t>receive licence</w:t>
      </w:r>
      <w:r>
        <w:t xml:space="preserve"> for the downlink. Under this approach, a licence is not necessary for the space stations aboard a satellite. This method of licensing is typically used for fixed satellite services with a limited number of earth stations. </w:t>
      </w:r>
    </w:p>
    <w:p w14:paraId="5EADC9E4" w14:textId="0FC4837F" w:rsidR="00133F46" w:rsidRDefault="00121758" w:rsidP="00253EB8">
      <w:pPr>
        <w:pStyle w:val="Paragraphbeforelist"/>
      </w:pPr>
      <w:r>
        <w:t xml:space="preserve">The second option involves a combination of apparatus and class licences. In certain bands specified in the </w:t>
      </w:r>
      <w:hyperlink r:id="rId49" w:history="1">
        <w:r w:rsidRPr="001F4B57">
          <w:rPr>
            <w:rStyle w:val="Hyperlink"/>
            <w:iCs/>
          </w:rPr>
          <w:t>Radiocommunications (Communication with Space Object) Class Licence 2015</w:t>
        </w:r>
      </w:hyperlink>
      <w:r>
        <w:t xml:space="preserve"> (the Space Object Class Licence), operators may licence the space stations aboard a satellite with a </w:t>
      </w:r>
      <w:r w:rsidRPr="001F4B57">
        <w:t>space licence</w:t>
      </w:r>
      <w:r>
        <w:t xml:space="preserve"> for the downlink and a </w:t>
      </w:r>
      <w:r w:rsidRPr="001F4B57">
        <w:t>space receive licence</w:t>
      </w:r>
      <w:r>
        <w:t xml:space="preserve"> for the uplink. Earth stations in the network are then automatically authorised collectively under the Space Object Class Licence</w:t>
      </w:r>
      <w:r w:rsidR="00133F46">
        <w:t>. This is</w:t>
      </w:r>
      <w:r>
        <w:t xml:space="preserve"> provided the related space object is either</w:t>
      </w:r>
      <w:r w:rsidR="00133F46">
        <w:t>:</w:t>
      </w:r>
    </w:p>
    <w:p w14:paraId="111A3453" w14:textId="00F54820" w:rsidR="00133F46" w:rsidRDefault="00121758" w:rsidP="00133F46">
      <w:pPr>
        <w:pStyle w:val="Bulletlevel1"/>
      </w:pPr>
      <w:r>
        <w:t xml:space="preserve">an Australian space object listed in the </w:t>
      </w:r>
      <w:hyperlink r:id="rId50" w:history="1">
        <w:r>
          <w:rPr>
            <w:rStyle w:val="Hyperlink"/>
          </w:rPr>
          <w:t>Australian Space Objects Determination</w:t>
        </w:r>
      </w:hyperlink>
      <w:r>
        <w:t xml:space="preserve"> </w:t>
      </w:r>
    </w:p>
    <w:p w14:paraId="512A4653" w14:textId="5CDCB4D0" w:rsidR="00121758" w:rsidRDefault="00121758" w:rsidP="00253EB8">
      <w:pPr>
        <w:pStyle w:val="Bulletlevel1last"/>
      </w:pPr>
      <w:r>
        <w:t xml:space="preserve">a foreign space object that is owned, controlled or operated by a company/entity listed in the </w:t>
      </w:r>
      <w:hyperlink r:id="rId51" w:history="1">
        <w:r>
          <w:rPr>
            <w:rStyle w:val="Hyperlink"/>
            <w:rFonts w:eastAsiaTheme="minorHAnsi"/>
            <w:szCs w:val="20"/>
          </w:rPr>
          <w:t>Foreign Space Objects Determination</w:t>
        </w:r>
      </w:hyperlink>
      <w:r w:rsidRPr="00133F46">
        <w:rPr>
          <w:rStyle w:val="Hyperlink"/>
          <w:rFonts w:eastAsiaTheme="minorHAnsi"/>
          <w:color w:val="auto"/>
          <w:szCs w:val="20"/>
          <w:u w:val="none"/>
        </w:rPr>
        <w:t>.</w:t>
      </w:r>
    </w:p>
    <w:p w14:paraId="5DD8B631" w14:textId="77777777" w:rsidR="00121758" w:rsidRDefault="00121758" w:rsidP="00121758">
      <w:pPr>
        <w:pStyle w:val="Paragraph"/>
      </w:pPr>
      <w:r>
        <w:t xml:space="preserve">This approach is typically used for satellite systems with numerous or ubiquitous earth stations. It provides an efficient means of licensing a large number of earth stations, avoiding the need to obtain a licence for every earth station in a satellite system. </w:t>
      </w:r>
    </w:p>
    <w:p w14:paraId="5DD2600C" w14:textId="292DAFBF" w:rsidR="00121758" w:rsidRDefault="00121758" w:rsidP="00121758">
      <w:pPr>
        <w:pStyle w:val="Paragraph"/>
      </w:pPr>
      <w:r>
        <w:t xml:space="preserve">A mobile-satellite service operating in the 2 GHz MSS band would normally be expected to require the second method of licensing, as it would likely involve deployment of an indeterminate and varying number of mobile user terminals (earth stations). Implementing such an approach would require the ACMA to amend the Space Object Class Licence to facilitate use of the 2 GHz MSS band and consider whether any revisions are required to </w:t>
      </w:r>
      <w:r w:rsidR="00133F46">
        <w:t>our</w:t>
      </w:r>
      <w:r>
        <w:t xml:space="preserve"> procedures for </w:t>
      </w:r>
      <w:hyperlink r:id="rId52">
        <w:r w:rsidR="00133F46">
          <w:rPr>
            <w:rStyle w:val="Hyperlink"/>
          </w:rPr>
          <w:t>s</w:t>
        </w:r>
        <w:r w:rsidRPr="5E117CAC">
          <w:rPr>
            <w:rStyle w:val="Hyperlink"/>
          </w:rPr>
          <w:t>ubmission and processing of applications for space and space receive apparatus licences</w:t>
        </w:r>
      </w:hyperlink>
      <w:r>
        <w:t>.</w:t>
      </w:r>
    </w:p>
    <w:p w14:paraId="6ABB9BED" w14:textId="58BBF06D" w:rsidR="00121758" w:rsidRDefault="00121758" w:rsidP="00121758">
      <w:pPr>
        <w:pStyle w:val="Paragraph"/>
      </w:pPr>
      <w:r w:rsidRPr="00431926">
        <w:t xml:space="preserve">Before varying the </w:t>
      </w:r>
      <w:r>
        <w:t xml:space="preserve">Space Object Class Licence, the Australian Space Objects Determination or the </w:t>
      </w:r>
      <w:r w:rsidRPr="00431926">
        <w:t xml:space="preserve">Foreign Space Objects Determination, </w:t>
      </w:r>
      <w:r w:rsidR="00133F46">
        <w:t>we</w:t>
      </w:r>
      <w:r w:rsidRPr="00431926">
        <w:t xml:space="preserve"> </w:t>
      </w:r>
      <w:r>
        <w:t>would</w:t>
      </w:r>
      <w:r w:rsidRPr="00431926">
        <w:t xml:space="preserve"> undertake </w:t>
      </w:r>
      <w:r>
        <w:t xml:space="preserve">consultation in accordance with the requirements of the </w:t>
      </w:r>
      <w:r>
        <w:rPr>
          <w:i/>
          <w:iCs/>
        </w:rPr>
        <w:t>Legislation Act 2003</w:t>
      </w:r>
      <w:r>
        <w:t>. This typically involves publication of a discussion paper with a period for submission of comments from interested parties.</w:t>
      </w:r>
    </w:p>
    <w:p w14:paraId="3A59BEB2" w14:textId="77777777" w:rsidR="00121758" w:rsidRDefault="00121758" w:rsidP="008232C8">
      <w:pPr>
        <w:pStyle w:val="Heading3"/>
      </w:pPr>
      <w:bookmarkStart w:id="93" w:name="_Toc150510378"/>
      <w:r>
        <w:t>Complementary ground component licensing</w:t>
      </w:r>
      <w:bookmarkEnd w:id="93"/>
      <w:r>
        <w:t xml:space="preserve"> </w:t>
      </w:r>
    </w:p>
    <w:p w14:paraId="1FF58636" w14:textId="3D036EB9" w:rsidR="00121758" w:rsidRDefault="00121758" w:rsidP="00121758">
      <w:pPr>
        <w:pStyle w:val="Paragraph"/>
        <w:rPr>
          <w:rFonts w:eastAsia="Arial"/>
        </w:rPr>
      </w:pPr>
      <w:r>
        <w:t xml:space="preserve">The ACMA has not previously considered the method for authorising the operation of the complementary ground component of a mobile-satellite service. As outlined in the January 2021 outcomes paper, new apparatus licensing arrangements will need to be developed to support CGC systems, as CGC systems are not supported under licensing arrangements for space-based communication systems. The intention is to undertake this work as part of the </w:t>
      </w:r>
      <w:r w:rsidRPr="4C84E9A7">
        <w:rPr>
          <w:rFonts w:eastAsia="Arial"/>
        </w:rPr>
        <w:t>allocation design work, which we intend to consult on commencing in Q3 2024.</w:t>
      </w:r>
    </w:p>
    <w:p w14:paraId="292A8D66" w14:textId="77777777" w:rsidR="00121758" w:rsidRPr="00A85D75" w:rsidRDefault="00121758" w:rsidP="008232C8">
      <w:pPr>
        <w:pStyle w:val="Heading3"/>
      </w:pPr>
      <w:bookmarkStart w:id="94" w:name="_Toc56965706"/>
      <w:bookmarkStart w:id="95" w:name="_Toc61364850"/>
      <w:bookmarkStart w:id="96" w:name="_Toc150510379"/>
      <w:r w:rsidRPr="00A85D75">
        <w:t>International satellite regulation considerations</w:t>
      </w:r>
      <w:bookmarkEnd w:id="94"/>
      <w:bookmarkEnd w:id="95"/>
      <w:bookmarkEnd w:id="96"/>
    </w:p>
    <w:p w14:paraId="607F5C57" w14:textId="77777777" w:rsidR="00121758" w:rsidRPr="00A85D75" w:rsidRDefault="00121758" w:rsidP="00121758">
      <w:pPr>
        <w:pStyle w:val="Paragraph"/>
      </w:pPr>
      <w:r w:rsidRPr="00A85D75">
        <w:t>Before operating a satellite system</w:t>
      </w:r>
      <w:r w:rsidRPr="00A85D75">
        <w:rPr>
          <w:rStyle w:val="FootnoteReference"/>
        </w:rPr>
        <w:footnoteReference w:id="33"/>
      </w:r>
      <w:r w:rsidRPr="00A85D75">
        <w:t xml:space="preserve"> in Australia, the technical details of the network must be filed with the ITU</w:t>
      </w:r>
      <w:r w:rsidRPr="00A85D75">
        <w:rPr>
          <w:rStyle w:val="FootnoteReference"/>
        </w:rPr>
        <w:footnoteReference w:id="34"/>
      </w:r>
      <w:r w:rsidRPr="00A85D75">
        <w:t xml:space="preserve"> for inclusion in the Master International Frequency Register. Satellite systems may be filed through any national administration recognised by the ITU. </w:t>
      </w:r>
    </w:p>
    <w:p w14:paraId="11067117" w14:textId="041FEAB1" w:rsidR="00121758" w:rsidRPr="00A85D75" w:rsidRDefault="00121758" w:rsidP="00121758">
      <w:pPr>
        <w:pStyle w:val="Paragraph"/>
      </w:pPr>
      <w:r w:rsidRPr="00A85D75">
        <w:t>As part of the licence assessment</w:t>
      </w:r>
      <w:r>
        <w:t>,</w:t>
      </w:r>
      <w:r w:rsidRPr="00A85D75">
        <w:t xml:space="preserve"> </w:t>
      </w:r>
      <w:r w:rsidR="000D11FE">
        <w:t>we</w:t>
      </w:r>
      <w:r w:rsidRPr="00A85D75">
        <w:t xml:space="preserve"> check whether the ITU satellite filing details are consistent with the </w:t>
      </w:r>
      <w:r>
        <w:t>licence</w:t>
      </w:r>
      <w:r w:rsidRPr="00A85D75">
        <w:t xml:space="preserve"> application and the ITU coordination (regulatory) status of the satellite network (refer </w:t>
      </w:r>
      <w:r>
        <w:t xml:space="preserve">to </w:t>
      </w:r>
      <w:r w:rsidRPr="00A85D75">
        <w:t xml:space="preserve">ACMA procedures for </w:t>
      </w:r>
      <w:hyperlink r:id="rId53">
        <w:r w:rsidR="003C2E85">
          <w:rPr>
            <w:rStyle w:val="Hyperlink"/>
          </w:rPr>
          <w:t>Submission and processing of applications for space and space receive apparatus licences</w:t>
        </w:r>
      </w:hyperlink>
      <w:r w:rsidRPr="00485EDB">
        <w:t>).</w:t>
      </w:r>
    </w:p>
    <w:p w14:paraId="3F2D4005" w14:textId="77777777" w:rsidR="00121758" w:rsidRPr="00A85D75" w:rsidRDefault="00121758" w:rsidP="00121758">
      <w:pPr>
        <w:pStyle w:val="Paragraph"/>
      </w:pPr>
      <w:r w:rsidRPr="00A85D75">
        <w:t>The outcomes of these checks can result in a variety of licence conditions being include</w:t>
      </w:r>
      <w:r>
        <w:t>d</w:t>
      </w:r>
      <w:r w:rsidRPr="00A85D75">
        <w:t xml:space="preserve"> on a licence to reflect the status of the ITU filing and coordination with other services. One of the key outcomes is that the licence records details of the ITU satellite filing for which the licence authorises communications.</w:t>
      </w:r>
    </w:p>
    <w:p w14:paraId="45FDD04A" w14:textId="16255977" w:rsidR="00121758" w:rsidRPr="00A85D75" w:rsidRDefault="00121758" w:rsidP="00121758">
      <w:pPr>
        <w:pStyle w:val="Paragraph"/>
      </w:pPr>
      <w:r>
        <w:t>In the outcomes paper</w:t>
      </w:r>
      <w:r w:rsidR="005D55AF">
        <w:t xml:space="preserve">, we </w:t>
      </w:r>
      <w:r>
        <w:t xml:space="preserve">expressed the </w:t>
      </w:r>
      <w:r w:rsidRPr="00A85D75">
        <w:t xml:space="preserve">preliminary view </w:t>
      </w:r>
      <w:r>
        <w:t>that ITU requirements</w:t>
      </w:r>
      <w:r w:rsidRPr="00A85D75">
        <w:t xml:space="preserve"> should be assessed as part of any eligibility requirements</w:t>
      </w:r>
      <w:r>
        <w:t xml:space="preserve"> to participate in the auction of licences for 2 GHz MSS. In</w:t>
      </w:r>
      <w:r w:rsidRPr="00A85D75">
        <w:t xml:space="preserve"> particular</w:t>
      </w:r>
      <w:r>
        <w:t xml:space="preserve">, we </w:t>
      </w:r>
      <w:r w:rsidR="005D55AF">
        <w:t>felt</w:t>
      </w:r>
      <w:r w:rsidRPr="00A85D75">
        <w:t xml:space="preserve"> there </w:t>
      </w:r>
      <w:r>
        <w:t>should</w:t>
      </w:r>
      <w:r w:rsidRPr="00A85D75">
        <w:t xml:space="preserve"> be a</w:t>
      </w:r>
      <w:r>
        <w:t>n existing</w:t>
      </w:r>
      <w:r w:rsidRPr="00A85D75">
        <w:t xml:space="preserve"> satellite filing </w:t>
      </w:r>
      <w:r>
        <w:t xml:space="preserve">for </w:t>
      </w:r>
      <w:r w:rsidRPr="00A85D75">
        <w:t xml:space="preserve">which the applicant is the </w:t>
      </w:r>
      <w:r>
        <w:t>responsible</w:t>
      </w:r>
      <w:r w:rsidRPr="00A85D75">
        <w:t xml:space="preserve"> entity</w:t>
      </w:r>
      <w:r w:rsidR="005D55AF">
        <w:t>,</w:t>
      </w:r>
      <w:r w:rsidRPr="00A85D75">
        <w:t xml:space="preserve"> or has an agreement to access.  </w:t>
      </w:r>
    </w:p>
    <w:p w14:paraId="352C83DF" w14:textId="22F13C4E" w:rsidR="00121758" w:rsidRPr="00C27040" w:rsidRDefault="005D55AF" w:rsidP="00121758">
      <w:pPr>
        <w:rPr>
          <w:rFonts w:cstheme="minorHAnsi"/>
        </w:rPr>
      </w:pPr>
      <w:r>
        <w:rPr>
          <w:rFonts w:cstheme="minorHAnsi"/>
        </w:rPr>
        <w:t>W</w:t>
      </w:r>
      <w:r w:rsidR="00121758" w:rsidRPr="00A85D75">
        <w:rPr>
          <w:rFonts w:cstheme="minorHAnsi"/>
        </w:rPr>
        <w:t>hile the ACMA can develop a framework to support the licensing of a mobile</w:t>
      </w:r>
      <w:r w:rsidR="00121758">
        <w:rPr>
          <w:rFonts w:cstheme="minorHAnsi"/>
        </w:rPr>
        <w:t>-</w:t>
      </w:r>
      <w:r w:rsidR="00121758" w:rsidRPr="00A85D75">
        <w:rPr>
          <w:rFonts w:cstheme="minorHAnsi"/>
        </w:rPr>
        <w:t>satellite service</w:t>
      </w:r>
      <w:r w:rsidR="00121758">
        <w:rPr>
          <w:rFonts w:cstheme="minorHAnsi"/>
        </w:rPr>
        <w:t xml:space="preserve"> to operate in Australia</w:t>
      </w:r>
      <w:r w:rsidR="00121758" w:rsidRPr="00A85D75">
        <w:rPr>
          <w:rFonts w:cstheme="minorHAnsi"/>
        </w:rPr>
        <w:t>, as with any satellite service</w:t>
      </w:r>
      <w:r>
        <w:rPr>
          <w:rFonts w:cstheme="minorHAnsi"/>
        </w:rPr>
        <w:t>,</w:t>
      </w:r>
      <w:r w:rsidR="00121758" w:rsidRPr="00A85D75">
        <w:rPr>
          <w:rFonts w:cstheme="minorHAnsi"/>
        </w:rPr>
        <w:t xml:space="preserve"> its viability is in large part dependent on the status of the satellite network in the </w:t>
      </w:r>
      <w:r w:rsidR="00121758" w:rsidRPr="00A85D75">
        <w:t xml:space="preserve">ITU </w:t>
      </w:r>
      <w:r w:rsidR="00121758" w:rsidRPr="00A85D75">
        <w:rPr>
          <w:rFonts w:cstheme="minorHAnsi"/>
        </w:rPr>
        <w:t xml:space="preserve">satellite coordination process. This a matter for prospective licensees to assess, and </w:t>
      </w:r>
      <w:r>
        <w:rPr>
          <w:rFonts w:cstheme="minorHAnsi"/>
        </w:rPr>
        <w:t xml:space="preserve">we </w:t>
      </w:r>
      <w:r w:rsidR="00121758" w:rsidRPr="00A85D75">
        <w:rPr>
          <w:rFonts w:cstheme="minorHAnsi"/>
        </w:rPr>
        <w:t xml:space="preserve">make no assurances in this regard.  </w:t>
      </w:r>
    </w:p>
    <w:p w14:paraId="07CBC573" w14:textId="77777777" w:rsidR="00121758" w:rsidRDefault="00121758" w:rsidP="008232C8">
      <w:pPr>
        <w:pStyle w:val="Heading2"/>
      </w:pPr>
      <w:bookmarkStart w:id="97" w:name="_Toc150510380"/>
      <w:bookmarkStart w:id="98" w:name="_Toc151469349"/>
      <w:r>
        <w:t>2 GHz MSS licence allocation considerations</w:t>
      </w:r>
      <w:bookmarkEnd w:id="97"/>
      <w:bookmarkEnd w:id="98"/>
    </w:p>
    <w:p w14:paraId="2F629289" w14:textId="465C8397" w:rsidR="00121758" w:rsidRDefault="00121758" w:rsidP="00121758">
      <w:r>
        <w:t>In allocating spectrum, where demand is likely to exceed supply</w:t>
      </w:r>
      <w:r w:rsidR="00831226">
        <w:t>,</w:t>
      </w:r>
      <w:r>
        <w:t xml:space="preserve"> the ACMA generally looks to design a mechanism to resolve competing demand </w:t>
      </w:r>
      <w:r w:rsidR="00831226">
        <w:t xml:space="preserve">that </w:t>
      </w:r>
      <w:r>
        <w:t>is transparent and results in an efficient allocation of the spectrum</w:t>
      </w:r>
      <w:r w:rsidR="00831226">
        <w:t xml:space="preserve">. This </w:t>
      </w:r>
      <w:r>
        <w:t>promote</w:t>
      </w:r>
      <w:r w:rsidR="00831226">
        <w:t>s</w:t>
      </w:r>
      <w:r>
        <w:t xml:space="preserve"> the long-term public interest derived from the use of the spectrum</w:t>
      </w:r>
      <w:r w:rsidR="00831226">
        <w:t>,</w:t>
      </w:r>
      <w:r>
        <w:t xml:space="preserve"> as required by the object</w:t>
      </w:r>
      <w:r w:rsidR="00831226">
        <w:t>s</w:t>
      </w:r>
      <w:r>
        <w:t xml:space="preserve"> of the Act.</w:t>
      </w:r>
    </w:p>
    <w:p w14:paraId="739C6FBA" w14:textId="3036D4BE" w:rsidR="00121758" w:rsidRDefault="00831226" w:rsidP="00121758">
      <w:r>
        <w:t>Our</w:t>
      </w:r>
      <w:r w:rsidR="00121758">
        <w:t xml:space="preserve"> normal approach for apparatus licensing of space-based communications systems is to issue licences to applicants that can demonstrate there is a relevant ITU satellite filing. We rely on the ITU satellite coordination process to resolve compatibility between different satellite systems</w:t>
      </w:r>
      <w:r>
        <w:t>.</w:t>
      </w:r>
      <w:r w:rsidR="00121758">
        <w:t xml:space="preserve"> (</w:t>
      </w:r>
      <w:r>
        <w:t>S</w:t>
      </w:r>
      <w:r w:rsidR="00121758">
        <w:t xml:space="preserve">ee our business operating procedure for the submission and processing of applications for </w:t>
      </w:r>
      <w:hyperlink r:id="rId54" w:history="1">
        <w:r w:rsidR="00121758" w:rsidRPr="004A3651">
          <w:rPr>
            <w:rStyle w:val="Hyperlink"/>
          </w:rPr>
          <w:t>space and space receive</w:t>
        </w:r>
      </w:hyperlink>
      <w:r w:rsidR="00121758">
        <w:t xml:space="preserve"> apparatus licences.</w:t>
      </w:r>
      <w:r>
        <w:t>)</w:t>
      </w:r>
      <w:r w:rsidR="00121758">
        <w:t xml:space="preserve"> </w:t>
      </w:r>
    </w:p>
    <w:p w14:paraId="5A4B388B" w14:textId="77777777" w:rsidR="00324922" w:rsidRDefault="00121758" w:rsidP="00676081">
      <w:pPr>
        <w:pStyle w:val="Paragraphbeforelist"/>
      </w:pPr>
      <w:r>
        <w:t xml:space="preserve">In our 2021 outcomes paper, we explained that there were a number of factors supporting our preliminary view that the most appropriate mechanism for licence allocation was </w:t>
      </w:r>
      <w:r w:rsidRPr="00A85D75">
        <w:t>a price-based allocation mechanism</w:t>
      </w:r>
      <w:r>
        <w:t>. These reasons included</w:t>
      </w:r>
      <w:r w:rsidR="00324922">
        <w:t>:</w:t>
      </w:r>
    </w:p>
    <w:p w14:paraId="01B3BEF2" w14:textId="428C4794" w:rsidR="00324922" w:rsidRDefault="00121758" w:rsidP="00324922">
      <w:pPr>
        <w:pStyle w:val="Bulletlevel1"/>
      </w:pPr>
      <w:r>
        <w:t xml:space="preserve">a number of satellite operators had expressed interest in providing a mobile satellite service using the MSS </w:t>
      </w:r>
      <w:proofErr w:type="gramStart"/>
      <w:r>
        <w:t>band</w:t>
      </w:r>
      <w:proofErr w:type="gramEnd"/>
    </w:p>
    <w:p w14:paraId="3BA519C9" w14:textId="1AA2C858" w:rsidR="00324922" w:rsidRDefault="00121758" w:rsidP="00324922">
      <w:pPr>
        <w:pStyle w:val="Bulletlevel1"/>
      </w:pPr>
      <w:r>
        <w:t>the MSS arrangements would include support for deployment of a CGC system</w:t>
      </w:r>
      <w:r w:rsidR="00324922">
        <w:t>,</w:t>
      </w:r>
      <w:r>
        <w:t xml:space="preserve"> which would likely require exclusive use of spectrum to avoid interference between different </w:t>
      </w:r>
      <w:proofErr w:type="gramStart"/>
      <w:r>
        <w:t>systems</w:t>
      </w:r>
      <w:proofErr w:type="gramEnd"/>
    </w:p>
    <w:p w14:paraId="1E339BAE" w14:textId="71EC87B2" w:rsidR="00324922" w:rsidRDefault="00121758" w:rsidP="00676081">
      <w:pPr>
        <w:pStyle w:val="Bulletlevel1last"/>
      </w:pPr>
      <w:r>
        <w:t xml:space="preserve">coordination between mobile-satellite systems is largely concerned with band segmentation (segmenting the band between different operators). </w:t>
      </w:r>
    </w:p>
    <w:p w14:paraId="53772A3B" w14:textId="25CE84DA" w:rsidR="00121758" w:rsidRDefault="000D2A53" w:rsidP="00676081">
      <w:pPr>
        <w:pStyle w:val="Paragraph"/>
      </w:pPr>
      <w:r>
        <w:t>O</w:t>
      </w:r>
      <w:r w:rsidR="00121758">
        <w:t xml:space="preserve">ur preliminary view was that a price-based allocation was the most appropriate mechanism to resolve competing demand in the 2 GHz MSS band, noting that stakeholder responses indicated that demand for the spectrum was likely to exceed the available supply. </w:t>
      </w:r>
    </w:p>
    <w:p w14:paraId="1D9BF66C" w14:textId="5A62F451" w:rsidR="00121758" w:rsidRDefault="00121758" w:rsidP="00121758">
      <w:pPr>
        <w:pStyle w:val="Paragraph"/>
      </w:pPr>
      <w:r>
        <w:t xml:space="preserve">In our outcomes paper, we also noted that that price-based allocations of under </w:t>
      </w:r>
      <w:r w:rsidRPr="00A85D75">
        <w:t xml:space="preserve">section 106 </w:t>
      </w:r>
      <w:r>
        <w:t xml:space="preserve">of the </w:t>
      </w:r>
      <w:r w:rsidRPr="00351D1B">
        <w:rPr>
          <w:i/>
        </w:rPr>
        <w:t xml:space="preserve">Radiocommunications Act </w:t>
      </w:r>
      <w:r w:rsidRPr="00351D1B">
        <w:rPr>
          <w:i/>
          <w:iCs/>
        </w:rPr>
        <w:t>1992</w:t>
      </w:r>
      <w:r>
        <w:t xml:space="preserve"> are </w:t>
      </w:r>
      <w:r w:rsidRPr="00A85D75">
        <w:t>limited to the allocation of transmitter licences, which in this case would be space apparatus licences in the 2170–2195 MHz band</w:t>
      </w:r>
      <w:r>
        <w:t xml:space="preserve">. Given that, we indicated a preliminary view that </w:t>
      </w:r>
      <w:r w:rsidR="000D2A53">
        <w:t xml:space="preserve">we </w:t>
      </w:r>
      <w:r>
        <w:t xml:space="preserve">would only issue the associated space receive apparatus licences in the paired band </w:t>
      </w:r>
      <w:r w:rsidR="000D2A53">
        <w:br/>
      </w:r>
      <w:r>
        <w:t>1980</w:t>
      </w:r>
      <w:r w:rsidR="000D2A53">
        <w:t>–</w:t>
      </w:r>
      <w:r>
        <w:t xml:space="preserve">2005 MHz to those successful in the price-based allocation process. </w:t>
      </w:r>
    </w:p>
    <w:p w14:paraId="034950AD" w14:textId="2143B44C" w:rsidR="00121758" w:rsidRPr="00A85D75" w:rsidRDefault="00121758" w:rsidP="00121758">
      <w:r>
        <w:t xml:space="preserve">We are aware that the satellite industry continues to express concerns about </w:t>
      </w:r>
      <w:r w:rsidR="008371B1">
        <w:t>price-based allocation, in particular a</w:t>
      </w:r>
      <w:r>
        <w:t xml:space="preserve"> potential auction of 2 GHz MSS spectrum, as reflected in submissions to our draft FYSO 2023</w:t>
      </w:r>
      <w:r w:rsidR="00AA06F5">
        <w:t>–</w:t>
      </w:r>
      <w:r>
        <w:t xml:space="preserve">28. The ACMA is now seeking updated information on the likely level of demand for 2 GHz MSS spectrum, to assess whether it remains the case that demand for the spectrum is likely to exceed the available supply. We are also seeking stakeholder views on the availability of suitable equipment for deployment of MSS in the 2 GHz band. </w:t>
      </w:r>
    </w:p>
    <w:p w14:paraId="2EA89C3E" w14:textId="77777777" w:rsidR="00121758" w:rsidRDefault="00121758" w:rsidP="00C53FED">
      <w:pPr>
        <w:pStyle w:val="Heading3"/>
      </w:pPr>
      <w:bookmarkStart w:id="99" w:name="_Toc150510328"/>
      <w:bookmarkStart w:id="100" w:name="_Toc150510381"/>
      <w:bookmarkStart w:id="101" w:name="_Toc150510329"/>
      <w:bookmarkStart w:id="102" w:name="_Toc150510382"/>
      <w:bookmarkStart w:id="103" w:name="_Toc150510330"/>
      <w:bookmarkStart w:id="104" w:name="_Toc150510383"/>
      <w:bookmarkStart w:id="105" w:name="_Toc150510385"/>
      <w:bookmarkEnd w:id="99"/>
      <w:bookmarkEnd w:id="100"/>
      <w:bookmarkEnd w:id="101"/>
      <w:bookmarkEnd w:id="102"/>
      <w:bookmarkEnd w:id="103"/>
      <w:bookmarkEnd w:id="104"/>
      <w:r>
        <w:t>Lot configuration options</w:t>
      </w:r>
      <w:bookmarkEnd w:id="105"/>
    </w:p>
    <w:p w14:paraId="157ED47D" w14:textId="493C80C6" w:rsidR="00121758" w:rsidRDefault="00121758" w:rsidP="00121758">
      <w:pPr>
        <w:pStyle w:val="Paragraph"/>
      </w:pPr>
      <w:r>
        <w:t>Currently 3 licences have been issued for 2 GHz MSS narrowband services</w:t>
      </w:r>
      <w:r w:rsidR="00AA06F5">
        <w:t>,</w:t>
      </w:r>
      <w:r>
        <w:t xml:space="preserve"> and </w:t>
      </w:r>
      <w:r w:rsidR="00AA06F5">
        <w:t>we are</w:t>
      </w:r>
      <w:r>
        <w:t xml:space="preserve"> aware of another 4 other satellite operators over the last year </w:t>
      </w:r>
      <w:r w:rsidR="00AA06F5">
        <w:t xml:space="preserve">who </w:t>
      </w:r>
      <w:r>
        <w:t xml:space="preserve">have expressed interest in 2 GHz MSS. </w:t>
      </w:r>
    </w:p>
    <w:p w14:paraId="3DAA8159" w14:textId="1D0E340D" w:rsidR="00121758" w:rsidRDefault="00A924B4" w:rsidP="00121758">
      <w:pPr>
        <w:pStyle w:val="Paragraph"/>
        <w:rPr>
          <w:szCs w:val="20"/>
        </w:rPr>
      </w:pPr>
      <w:hyperlink r:id="rId55" w:history="1">
        <w:r w:rsidR="00121758" w:rsidRPr="001869C5">
          <w:rPr>
            <w:rStyle w:val="Hyperlink"/>
          </w:rPr>
          <w:t>Submission</w:t>
        </w:r>
        <w:r w:rsidR="00AA06F5">
          <w:rPr>
            <w:rStyle w:val="Hyperlink"/>
          </w:rPr>
          <w:t>s to the draft FYSO 2023–28</w:t>
        </w:r>
      </w:hyperlink>
      <w:r w:rsidR="00121758">
        <w:t xml:space="preserve"> supported </w:t>
      </w:r>
      <w:r w:rsidR="00AA06F5">
        <w:t>our</w:t>
      </w:r>
      <w:r w:rsidR="00121758">
        <w:t xml:space="preserve"> view that 2 GHz MSS should be designed to support 3GPP </w:t>
      </w:r>
      <w:r w:rsidR="004302AD">
        <w:t xml:space="preserve">equipment </w:t>
      </w:r>
      <w:r w:rsidR="00121758">
        <w:t>and encouraged the ACMA to allocate licences as 2 x 15 MHz and 2 x 10 MHz blocks of spectrum. An option of using</w:t>
      </w:r>
      <w:r w:rsidR="00121758">
        <w:rPr>
          <w:szCs w:val="20"/>
        </w:rPr>
        <w:t xml:space="preserve"> </w:t>
      </w:r>
      <w:r w:rsidR="00AA06F5">
        <w:rPr>
          <w:szCs w:val="20"/>
        </w:rPr>
        <w:br/>
      </w:r>
      <w:r w:rsidR="00121758">
        <w:rPr>
          <w:szCs w:val="20"/>
        </w:rPr>
        <w:t xml:space="preserve">2 x 5 MHz increments up to 15 MHz to fit the minimum requirements of 3GPP was also proposed. </w:t>
      </w:r>
    </w:p>
    <w:p w14:paraId="5131072D" w14:textId="44EF9609" w:rsidR="00121758" w:rsidRDefault="00121758" w:rsidP="00121758">
      <w:pPr>
        <w:spacing w:after="120"/>
      </w:pPr>
      <w:r>
        <w:t xml:space="preserve">We are interested in </w:t>
      </w:r>
      <w:r w:rsidR="00AA06F5">
        <w:t xml:space="preserve">your </w:t>
      </w:r>
      <w:r>
        <w:t xml:space="preserve">views on the most appropriate frequency lot configuration for this spectrum. Options might include: </w:t>
      </w:r>
    </w:p>
    <w:p w14:paraId="60ED2D00" w14:textId="77777777" w:rsidR="00121758" w:rsidRPr="00283090" w:rsidRDefault="00121758" w:rsidP="00121758">
      <w:pPr>
        <w:spacing w:after="120"/>
        <w:rPr>
          <w:b/>
          <w:bCs/>
        </w:rPr>
      </w:pPr>
      <w:r w:rsidRPr="00D53372">
        <w:rPr>
          <w:b/>
        </w:rPr>
        <w:t>Configuration 1</w:t>
      </w:r>
    </w:p>
    <w:p w14:paraId="05E4492C" w14:textId="365BC3C4" w:rsidR="00121758" w:rsidRPr="00E05C3D" w:rsidRDefault="00121758" w:rsidP="00121758">
      <w:pPr>
        <w:pStyle w:val="ListBullet"/>
      </w:pPr>
      <w:r w:rsidRPr="00E05C3D">
        <w:t>2x15 MHz paired (1980-1995 MHz with 2170–2185 MHz)</w:t>
      </w:r>
    </w:p>
    <w:p w14:paraId="21D7CD3E" w14:textId="797210A3" w:rsidR="00121758" w:rsidRDefault="00121758" w:rsidP="00121758">
      <w:pPr>
        <w:pStyle w:val="ListBulletLast"/>
      </w:pPr>
      <w:r w:rsidRPr="005435B8">
        <w:t>2x10 MHz paired (1995–2005 MHz with 2185–2195 MHz)</w:t>
      </w:r>
    </w:p>
    <w:p w14:paraId="6EE97619" w14:textId="77777777" w:rsidR="00121758" w:rsidRPr="00D53372" w:rsidRDefault="00121758" w:rsidP="00121758">
      <w:pPr>
        <w:spacing w:after="120"/>
        <w:rPr>
          <w:rFonts w:cs="Arial"/>
          <w:b/>
          <w:szCs w:val="21"/>
        </w:rPr>
      </w:pPr>
      <w:r w:rsidRPr="00D53372">
        <w:rPr>
          <w:rFonts w:cs="Arial"/>
          <w:b/>
          <w:szCs w:val="21"/>
        </w:rPr>
        <w:t>Configuration 2</w:t>
      </w:r>
    </w:p>
    <w:p w14:paraId="0D648E3A" w14:textId="5033E483" w:rsidR="00121758" w:rsidRPr="00610FA3" w:rsidRDefault="00121758" w:rsidP="00121758">
      <w:pPr>
        <w:pStyle w:val="ListBulletLast"/>
      </w:pPr>
      <w:r w:rsidRPr="00610FA3">
        <w:t>5 generic 2 x 5 MHz paired lots</w:t>
      </w:r>
      <w:r w:rsidR="00AA06F5">
        <w:t>,</w:t>
      </w:r>
      <w:r w:rsidRPr="00610FA3">
        <w:t xml:space="preserve"> which would provide participants in the auction the opportunity to bid for as many blocks as suits their use case.</w:t>
      </w:r>
    </w:p>
    <w:p w14:paraId="65B10555" w14:textId="0B6406C6" w:rsidR="00121758" w:rsidRPr="00D53372" w:rsidRDefault="00121758" w:rsidP="00121758">
      <w:pPr>
        <w:spacing w:after="120"/>
      </w:pPr>
      <w:r w:rsidRPr="00D53372">
        <w:t xml:space="preserve">We would welcome stakeholder views on the most appropriate amount of spectrum </w:t>
      </w:r>
      <w:r w:rsidR="00AA06F5">
        <w:br/>
      </w:r>
      <w:r w:rsidRPr="00D53372">
        <w:t>for their use case. For example, could 2 x 5 MHz be sufficient</w:t>
      </w:r>
      <w:r w:rsidR="00AA06F5">
        <w:t>,</w:t>
      </w:r>
      <w:r w:rsidRPr="00D53372">
        <w:t xml:space="preserve"> or is a minimum </w:t>
      </w:r>
      <w:r w:rsidR="00AA06F5">
        <w:br/>
      </w:r>
      <w:r w:rsidRPr="00D53372">
        <w:t xml:space="preserve">2 </w:t>
      </w:r>
      <w:r>
        <w:t>x</w:t>
      </w:r>
      <w:r w:rsidRPr="00D53372">
        <w:t xml:space="preserve"> 10 MHz required? Stakeholders may provide any part of their submission in confidence if preferred.</w:t>
      </w:r>
    </w:p>
    <w:p w14:paraId="096A7B1B" w14:textId="77777777" w:rsidR="00AA06F5" w:rsidRDefault="00121758" w:rsidP="00867DF2">
      <w:pPr>
        <w:pStyle w:val="Paragraphbeforelist"/>
        <w:keepNext/>
        <w:keepLines/>
      </w:pPr>
      <w:r>
        <w:t xml:space="preserve">Submissions to this consultation will inform our Q3 2024 consultation </w:t>
      </w:r>
      <w:r w:rsidRPr="00D53372">
        <w:t>on allocation matters, including</w:t>
      </w:r>
      <w:r w:rsidR="00AA06F5">
        <w:t>:</w:t>
      </w:r>
    </w:p>
    <w:p w14:paraId="79BC1903" w14:textId="266FEDC4" w:rsidR="00AA06F5" w:rsidRDefault="00121758" w:rsidP="00867DF2">
      <w:pPr>
        <w:pStyle w:val="Bulletlevel1"/>
        <w:keepNext/>
        <w:keepLines/>
      </w:pPr>
      <w:r w:rsidRPr="00D53372">
        <w:t>the proposed allocation method</w:t>
      </w:r>
    </w:p>
    <w:p w14:paraId="73BAC7ED" w14:textId="2F014561" w:rsidR="00AA06F5" w:rsidRDefault="00121758" w:rsidP="00867DF2">
      <w:pPr>
        <w:pStyle w:val="Bulletlevel1"/>
        <w:keepNext/>
        <w:keepLines/>
      </w:pPr>
      <w:r w:rsidRPr="00D53372">
        <w:t>frequency lot configuration</w:t>
      </w:r>
    </w:p>
    <w:p w14:paraId="2F38E196" w14:textId="5ECF7786" w:rsidR="00AA06F5" w:rsidRDefault="00121758" w:rsidP="00867DF2">
      <w:pPr>
        <w:pStyle w:val="Bulletlevel1"/>
        <w:keepNext/>
        <w:keepLines/>
      </w:pPr>
      <w:r w:rsidRPr="00D53372">
        <w:t xml:space="preserve">licensing arrangements </w:t>
      </w:r>
    </w:p>
    <w:p w14:paraId="53268BE8" w14:textId="58292EFD" w:rsidR="00121758" w:rsidRPr="00D53372" w:rsidRDefault="00121758" w:rsidP="00867DF2">
      <w:pPr>
        <w:pStyle w:val="Bulletlevel1"/>
        <w:keepNext/>
        <w:keepLines/>
      </w:pPr>
      <w:r w:rsidRPr="00D53372">
        <w:t>draft technical framework instruments to support the allocation of spectrum in the 1980-2005 MHz and 2170-2195 MHz frequency ranges.</w:t>
      </w:r>
    </w:p>
    <w:p w14:paraId="08D2310E" w14:textId="77777777" w:rsidR="00121758" w:rsidRPr="00E05C3D" w:rsidRDefault="00121758" w:rsidP="00121758">
      <w:pPr>
        <w:pStyle w:val="BriefSubtitle"/>
        <w:rPr>
          <w:b w:val="0"/>
          <w:bCs/>
          <w:color w:val="404040" w:themeColor="text1" w:themeTint="BF"/>
        </w:rPr>
      </w:pPr>
    </w:p>
    <w:p w14:paraId="02B09D89" w14:textId="77777777" w:rsidR="00121758" w:rsidRDefault="00121758" w:rsidP="00121758">
      <w:pPr>
        <w:pStyle w:val="Paragraph"/>
      </w:pPr>
    </w:p>
    <w:p w14:paraId="4C985421" w14:textId="77777777" w:rsidR="00121758" w:rsidRDefault="00121758" w:rsidP="00121758">
      <w:pPr>
        <w:pStyle w:val="Heading1"/>
        <w:numPr>
          <w:ilvl w:val="0"/>
          <w:numId w:val="13"/>
        </w:numPr>
        <w:ind w:left="0" w:firstLine="0"/>
      </w:pPr>
      <w:bookmarkStart w:id="106" w:name="_Toc150510386"/>
      <w:bookmarkStart w:id="107" w:name="_Toc151469350"/>
      <w:r>
        <w:t>Future work</w:t>
      </w:r>
      <w:bookmarkEnd w:id="106"/>
      <w:bookmarkEnd w:id="107"/>
    </w:p>
    <w:p w14:paraId="0AE05B26" w14:textId="05A17B5C" w:rsidR="00121758" w:rsidRDefault="00121758" w:rsidP="00121758">
      <w:pPr>
        <w:rPr>
          <w:rFonts w:eastAsia="Arial" w:cs="Arial"/>
        </w:rPr>
      </w:pPr>
      <w:r>
        <w:t>In this paper</w:t>
      </w:r>
      <w:r w:rsidR="00187A74">
        <w:t>,</w:t>
      </w:r>
      <w:r>
        <w:t xml:space="preserve"> we have provided proposed technical design principles for consideration. Industry input will assist </w:t>
      </w:r>
      <w:r w:rsidRPr="4F20F49D">
        <w:rPr>
          <w:rFonts w:eastAsia="Arial" w:cs="Arial"/>
        </w:rPr>
        <w:t>draft</w:t>
      </w:r>
      <w:r>
        <w:rPr>
          <w:rFonts w:eastAsia="Arial"/>
        </w:rPr>
        <w:t xml:space="preserve">ing </w:t>
      </w:r>
      <w:r w:rsidRPr="4F20F49D">
        <w:rPr>
          <w:rFonts w:eastAsia="Arial" w:cs="Arial"/>
        </w:rPr>
        <w:t xml:space="preserve">technical framework </w:t>
      </w:r>
      <w:r>
        <w:rPr>
          <w:rFonts w:eastAsia="Arial" w:cs="Arial"/>
        </w:rPr>
        <w:t xml:space="preserve">instruments </w:t>
      </w:r>
      <w:r w:rsidRPr="4F20F49D">
        <w:rPr>
          <w:rFonts w:eastAsia="Arial" w:cs="Arial"/>
        </w:rPr>
        <w:t xml:space="preserve">supporting the allocation of licences in 1980–2005/2170–2195 </w:t>
      </w:r>
      <w:proofErr w:type="spellStart"/>
      <w:r w:rsidRPr="4F20F49D">
        <w:rPr>
          <w:rFonts w:eastAsia="Arial" w:cs="Arial"/>
        </w:rPr>
        <w:t>MHz</w:t>
      </w:r>
      <w:r>
        <w:rPr>
          <w:rFonts w:eastAsia="Arial" w:cs="Arial"/>
        </w:rPr>
        <w:t>.</w:t>
      </w:r>
      <w:proofErr w:type="spellEnd"/>
      <w:r>
        <w:rPr>
          <w:rFonts w:eastAsia="Arial" w:cs="Arial"/>
        </w:rPr>
        <w:t xml:space="preserve"> </w:t>
      </w:r>
    </w:p>
    <w:p w14:paraId="5C156D29" w14:textId="2620F49C" w:rsidR="00121758" w:rsidRPr="004A71B9" w:rsidRDefault="00B71626" w:rsidP="00121758">
      <w:r>
        <w:rPr>
          <w:rFonts w:eastAsia="Arial" w:cs="Arial"/>
        </w:rPr>
        <w:t>We envisage that f</w:t>
      </w:r>
      <w:r w:rsidR="00121758" w:rsidRPr="4F20F49D">
        <w:rPr>
          <w:rFonts w:eastAsia="Arial" w:cs="Arial"/>
        </w:rPr>
        <w:t xml:space="preserve">ormal consultation on the technical framework and allocation design </w:t>
      </w:r>
      <w:r>
        <w:rPr>
          <w:rFonts w:eastAsia="Arial" w:cs="Arial"/>
        </w:rPr>
        <w:t>will</w:t>
      </w:r>
      <w:r w:rsidR="00121758" w:rsidRPr="4F20F49D">
        <w:rPr>
          <w:rFonts w:eastAsia="Arial" w:cs="Arial"/>
        </w:rPr>
        <w:t xml:space="preserve"> commence in Q</w:t>
      </w:r>
      <w:r w:rsidR="00121758">
        <w:rPr>
          <w:rFonts w:eastAsia="Arial" w:cs="Arial"/>
        </w:rPr>
        <w:t>3</w:t>
      </w:r>
      <w:r w:rsidR="00121758" w:rsidRPr="4F20F49D">
        <w:rPr>
          <w:rFonts w:eastAsia="Arial" w:cs="Arial"/>
        </w:rPr>
        <w:t xml:space="preserve"> 2024</w:t>
      </w:r>
      <w:r w:rsidR="00121758">
        <w:rPr>
          <w:rFonts w:eastAsia="Arial" w:cs="Arial"/>
        </w:rPr>
        <w:t>, with</w:t>
      </w:r>
      <w:r>
        <w:rPr>
          <w:rFonts w:eastAsia="Arial" w:cs="Arial"/>
        </w:rPr>
        <w:t xml:space="preserve"> –</w:t>
      </w:r>
      <w:r w:rsidR="00121758">
        <w:t xml:space="preserve"> at this stage</w:t>
      </w:r>
      <w:r>
        <w:t xml:space="preserve"> –</w:t>
      </w:r>
      <w:r w:rsidR="00121758">
        <w:t xml:space="preserve"> allocation of licences </w:t>
      </w:r>
      <w:r>
        <w:t xml:space="preserve">occurring </w:t>
      </w:r>
      <w:r>
        <w:br/>
      </w:r>
      <w:r w:rsidR="00121758">
        <w:t>in 2024–25.</w:t>
      </w:r>
    </w:p>
    <w:p w14:paraId="3D09AC1D" w14:textId="77777777" w:rsidR="00121758" w:rsidRPr="00E162C4" w:rsidRDefault="00121758" w:rsidP="00121758">
      <w:pPr>
        <w:pStyle w:val="Heading1"/>
        <w:numPr>
          <w:ilvl w:val="0"/>
          <w:numId w:val="13"/>
        </w:numPr>
        <w:ind w:left="0" w:firstLine="0"/>
      </w:pPr>
      <w:bookmarkStart w:id="108" w:name="_Toc150510387"/>
      <w:bookmarkStart w:id="109" w:name="_Toc151469351"/>
      <w:r w:rsidRPr="00E162C4">
        <w:t xml:space="preserve">Invitation to </w:t>
      </w:r>
      <w:proofErr w:type="gramStart"/>
      <w:r w:rsidRPr="00E162C4">
        <w:t>comment</w:t>
      </w:r>
      <w:bookmarkEnd w:id="108"/>
      <w:bookmarkEnd w:id="109"/>
      <w:proofErr w:type="gramEnd"/>
    </w:p>
    <w:p w14:paraId="371CB5CB" w14:textId="77777777" w:rsidR="00121758" w:rsidRPr="00E162C4" w:rsidRDefault="00121758" w:rsidP="000A458E">
      <w:pPr>
        <w:pStyle w:val="Heading2"/>
      </w:pPr>
      <w:bookmarkStart w:id="110" w:name="_Toc150510388"/>
      <w:bookmarkStart w:id="111" w:name="_Toc151469352"/>
      <w:r w:rsidRPr="00E162C4">
        <w:t>Making a submission</w:t>
      </w:r>
      <w:bookmarkEnd w:id="110"/>
      <w:bookmarkEnd w:id="111"/>
    </w:p>
    <w:p w14:paraId="6376FDBE" w14:textId="77777777" w:rsidR="00121758" w:rsidRPr="00E162C4" w:rsidRDefault="00121758" w:rsidP="00121758">
      <w:r w:rsidRPr="00E162C4">
        <w:t xml:space="preserve">We invite comments on the issues set out in this discussion paper. </w:t>
      </w:r>
    </w:p>
    <w:p w14:paraId="66F1496C" w14:textId="77777777" w:rsidR="00121758" w:rsidRPr="00E162C4" w:rsidRDefault="00A924B4" w:rsidP="00121758">
      <w:pPr>
        <w:pStyle w:val="Bulletlevel1"/>
      </w:pPr>
      <w:hyperlink r:id="rId56" w:history="1">
        <w:r w:rsidR="00121758" w:rsidRPr="00E162C4">
          <w:rPr>
            <w:rStyle w:val="Hyperlink"/>
          </w:rPr>
          <w:t>Online submissions</w:t>
        </w:r>
      </w:hyperlink>
      <w:r w:rsidR="00121758" w:rsidRPr="00E162C4">
        <w:t xml:space="preserve"> can be made by uploading a document. Submissions in PDF, Microsoft Word or Rich Text Format are preferred.</w:t>
      </w:r>
    </w:p>
    <w:p w14:paraId="519AA78C" w14:textId="77777777" w:rsidR="00121758" w:rsidRPr="00E162C4" w:rsidRDefault="00121758" w:rsidP="00121758">
      <w:pPr>
        <w:pStyle w:val="Bulletlevel1"/>
      </w:pPr>
      <w:r w:rsidRPr="00E162C4">
        <w:t xml:space="preserve">Submissions by post can be sent to: </w:t>
      </w:r>
    </w:p>
    <w:p w14:paraId="351A949B" w14:textId="77777777" w:rsidR="00121758" w:rsidRPr="005B3073" w:rsidRDefault="00121758" w:rsidP="00121758">
      <w:pPr>
        <w:tabs>
          <w:tab w:val="num" w:pos="295"/>
        </w:tabs>
        <w:spacing w:after="0"/>
        <w:ind w:left="295"/>
        <w:rPr>
          <w:szCs w:val="20"/>
        </w:rPr>
      </w:pPr>
      <w:r w:rsidRPr="005B3073">
        <w:rPr>
          <w:szCs w:val="20"/>
        </w:rPr>
        <w:t>The Manager</w:t>
      </w:r>
    </w:p>
    <w:p w14:paraId="57C3C39E" w14:textId="77777777" w:rsidR="00121758" w:rsidRPr="005B3073" w:rsidRDefault="00121758" w:rsidP="00121758">
      <w:pPr>
        <w:spacing w:after="0"/>
        <w:ind w:left="295"/>
        <w:rPr>
          <w:szCs w:val="20"/>
        </w:rPr>
      </w:pPr>
      <w:r w:rsidRPr="005B3073">
        <w:rPr>
          <w:szCs w:val="20"/>
        </w:rPr>
        <w:t>Space Systems</w:t>
      </w:r>
    </w:p>
    <w:p w14:paraId="0C345EEA" w14:textId="77777777" w:rsidR="00121758" w:rsidRPr="005B3073" w:rsidRDefault="00121758" w:rsidP="00121758">
      <w:pPr>
        <w:spacing w:after="0"/>
        <w:ind w:left="295"/>
        <w:rPr>
          <w:szCs w:val="20"/>
        </w:rPr>
      </w:pPr>
      <w:r w:rsidRPr="005B3073">
        <w:rPr>
          <w:szCs w:val="20"/>
        </w:rPr>
        <w:t>Australian Communications and Media Authority</w:t>
      </w:r>
    </w:p>
    <w:p w14:paraId="5029FAAB" w14:textId="77777777" w:rsidR="00121758" w:rsidRPr="005B3073" w:rsidRDefault="00121758" w:rsidP="00121758">
      <w:pPr>
        <w:spacing w:after="0"/>
        <w:ind w:left="295"/>
        <w:rPr>
          <w:szCs w:val="20"/>
        </w:rPr>
      </w:pPr>
      <w:r w:rsidRPr="005B3073">
        <w:rPr>
          <w:szCs w:val="20"/>
        </w:rPr>
        <w:t>PO Box 78</w:t>
      </w:r>
    </w:p>
    <w:p w14:paraId="75824CC8" w14:textId="77777777" w:rsidR="00121758" w:rsidRPr="00E162C4" w:rsidRDefault="00121758" w:rsidP="00121758">
      <w:pPr>
        <w:ind w:left="295"/>
        <w:rPr>
          <w:szCs w:val="20"/>
        </w:rPr>
      </w:pPr>
      <w:r w:rsidRPr="005B3073">
        <w:rPr>
          <w:szCs w:val="20"/>
        </w:rPr>
        <w:t>Belconnen ACT 2616</w:t>
      </w:r>
    </w:p>
    <w:p w14:paraId="22C88C9E" w14:textId="77777777" w:rsidR="00121758" w:rsidRPr="00E162C4" w:rsidRDefault="00121758" w:rsidP="00121758">
      <w:r w:rsidRPr="00E162C4">
        <w:t xml:space="preserve">The closing date for submissions is </w:t>
      </w:r>
      <w:r w:rsidRPr="00CB20A9">
        <w:rPr>
          <w:b/>
          <w:bCs/>
        </w:rPr>
        <w:t>COB,</w:t>
      </w:r>
      <w:r w:rsidRPr="00E162C4">
        <w:t xml:space="preserve"> </w:t>
      </w:r>
      <w:r w:rsidRPr="005B3073">
        <w:rPr>
          <w:b/>
          <w:bCs/>
        </w:rPr>
        <w:t>Tuesday 13 February 2024</w:t>
      </w:r>
      <w:r w:rsidRPr="00E162C4">
        <w:t>.</w:t>
      </w:r>
    </w:p>
    <w:p w14:paraId="02C75BE6" w14:textId="750EB195" w:rsidR="00121758" w:rsidRPr="00B71626" w:rsidRDefault="00121758" w:rsidP="00121758">
      <w:r w:rsidRPr="00E162C4">
        <w:t xml:space="preserve">Consultation enquiries can be emailed </w:t>
      </w:r>
      <w:r w:rsidRPr="00E162C4">
        <w:rPr>
          <w:szCs w:val="20"/>
        </w:rPr>
        <w:t xml:space="preserve">to </w:t>
      </w:r>
      <w:hyperlink r:id="rId57" w:history="1">
        <w:r w:rsidR="00B71626" w:rsidRPr="00290ABD">
          <w:rPr>
            <w:rStyle w:val="Hyperlink"/>
          </w:rPr>
          <w:t>satellite.coordination@acma.gov.au</w:t>
        </w:r>
      </w:hyperlink>
      <w:r w:rsidR="00B71626">
        <w:t>.</w:t>
      </w:r>
    </w:p>
    <w:p w14:paraId="351D3982" w14:textId="77777777" w:rsidR="00121758" w:rsidRPr="00E162C4" w:rsidRDefault="00121758" w:rsidP="003A6914">
      <w:pPr>
        <w:pStyle w:val="Heading2"/>
      </w:pPr>
      <w:bookmarkStart w:id="112" w:name="_Toc151469353"/>
      <w:r w:rsidRPr="00E162C4">
        <w:t>Publication of submissions</w:t>
      </w:r>
      <w:bookmarkEnd w:id="112"/>
    </w:p>
    <w:p w14:paraId="3D33F77C" w14:textId="77777777" w:rsidR="00121758" w:rsidRPr="00E162C4" w:rsidRDefault="00121758" w:rsidP="00121758">
      <w:r w:rsidRPr="00E162C4">
        <w:t>We publish submissions on our website</w:t>
      </w:r>
      <w:r w:rsidRPr="00E162C4">
        <w:rPr>
          <w:rFonts w:cs="Arial"/>
        </w:rPr>
        <w:t>, including personal information (such as names and contact details)</w:t>
      </w:r>
      <w:r w:rsidRPr="00E162C4">
        <w:t xml:space="preserve">, except for information that you have claimed (and we have accepted) is confidential. </w:t>
      </w:r>
    </w:p>
    <w:p w14:paraId="0DAA36ED" w14:textId="77777777" w:rsidR="00121758" w:rsidRPr="00E162C4" w:rsidRDefault="00121758" w:rsidP="00121758">
      <w:r w:rsidRPr="00E162C4">
        <w:t>Confidential information will not be published or otherwise released unless required or authorised by law.</w:t>
      </w:r>
    </w:p>
    <w:p w14:paraId="5609E4A2" w14:textId="77777777" w:rsidR="00121758" w:rsidRPr="00E162C4" w:rsidRDefault="00121758" w:rsidP="003A6914">
      <w:pPr>
        <w:pStyle w:val="Heading2"/>
      </w:pPr>
      <w:bookmarkStart w:id="113" w:name="_Toc151469354"/>
      <w:r w:rsidRPr="00E162C4">
        <w:t>Privacy</w:t>
      </w:r>
      <w:bookmarkEnd w:id="113"/>
    </w:p>
    <w:p w14:paraId="54950014" w14:textId="77777777" w:rsidR="00121758" w:rsidRPr="00E162C4" w:rsidRDefault="00121758" w:rsidP="00121758">
      <w:pPr>
        <w:pStyle w:val="Paragraph"/>
      </w:pPr>
      <w:r w:rsidRPr="00E162C4">
        <w:t xml:space="preserve">View information about our policy on the </w:t>
      </w:r>
      <w:hyperlink r:id="rId58" w:history="1">
        <w:r w:rsidRPr="00E162C4">
          <w:rPr>
            <w:rStyle w:val="Hyperlink"/>
          </w:rPr>
          <w:t>publication of submissions</w:t>
        </w:r>
      </w:hyperlink>
      <w:r w:rsidRPr="00E162C4">
        <w:t>, including collection of personal information during consultation and how we handle that information.</w:t>
      </w:r>
    </w:p>
    <w:p w14:paraId="7330E850" w14:textId="77777777" w:rsidR="00121758" w:rsidRPr="00E162C4" w:rsidRDefault="00121758" w:rsidP="00121758">
      <w:pPr>
        <w:pStyle w:val="Paragraph"/>
      </w:pPr>
      <w:r w:rsidRPr="00E162C4">
        <w:t xml:space="preserve">Information on the </w:t>
      </w:r>
      <w:r w:rsidRPr="00E162C4">
        <w:rPr>
          <w:i/>
        </w:rPr>
        <w:t xml:space="preserve">Privacy Act 1988, </w:t>
      </w:r>
      <w:r w:rsidRPr="00E162C4">
        <w:t xml:space="preserve">how to access or correct personal information, how to make a privacy complaint and how we will deal with any complaints, is available in our </w:t>
      </w:r>
      <w:hyperlink r:id="rId59" w:history="1">
        <w:r w:rsidRPr="00E162C4">
          <w:rPr>
            <w:rStyle w:val="Hyperlink"/>
          </w:rPr>
          <w:t>privacy policy</w:t>
        </w:r>
      </w:hyperlink>
      <w:r w:rsidRPr="00E162C4">
        <w:t xml:space="preserve">. </w:t>
      </w:r>
    </w:p>
    <w:p w14:paraId="364D383A" w14:textId="77777777" w:rsidR="00121758" w:rsidRPr="00E162C4" w:rsidRDefault="00121758" w:rsidP="00CF2562">
      <w:pPr>
        <w:pStyle w:val="Heading1"/>
        <w:numPr>
          <w:ilvl w:val="0"/>
          <w:numId w:val="0"/>
        </w:numPr>
      </w:pPr>
      <w:bookmarkStart w:id="114" w:name="_Appendix_A:_MSS"/>
      <w:bookmarkStart w:id="115" w:name="_Toc150510389"/>
      <w:bookmarkStart w:id="116" w:name="_Toc151469355"/>
      <w:bookmarkEnd w:id="114"/>
      <w:r w:rsidRPr="00E162C4">
        <w:t xml:space="preserve">Appendix A: </w:t>
      </w:r>
      <w:r>
        <w:t xml:space="preserve">MSS </w:t>
      </w:r>
      <w:r w:rsidDel="009D5844">
        <w:t>r</w:t>
      </w:r>
      <w:r>
        <w:t>eference documents and parameters</w:t>
      </w:r>
      <w:bookmarkEnd w:id="115"/>
      <w:bookmarkEnd w:id="116"/>
    </w:p>
    <w:p w14:paraId="3D57C292" w14:textId="2526E4F8" w:rsidR="00E916D0" w:rsidRDefault="00E916D0" w:rsidP="00E916D0">
      <w:pPr>
        <w:pStyle w:val="Heading2"/>
        <w:numPr>
          <w:ilvl w:val="0"/>
          <w:numId w:val="0"/>
        </w:numPr>
        <w:ind w:left="576" w:hanging="576"/>
      </w:pPr>
      <w:bookmarkStart w:id="117" w:name="_Toc151469356"/>
      <w:r>
        <w:t>References</w:t>
      </w:r>
      <w:bookmarkEnd w:id="117"/>
      <w:r>
        <w:t xml:space="preserve"> </w:t>
      </w:r>
    </w:p>
    <w:p w14:paraId="4B72E9F4" w14:textId="45B80FF5" w:rsidR="00121758" w:rsidRDefault="00121758" w:rsidP="00121758">
      <w:pPr>
        <w:pStyle w:val="Paragraphbeforelist"/>
      </w:pPr>
      <w:r>
        <w:t xml:space="preserve">In developing </w:t>
      </w:r>
      <w:r w:rsidR="00B71626">
        <w:t xml:space="preserve">the </w:t>
      </w:r>
      <w:r>
        <w:t>requirements for 2 GHz MSS</w:t>
      </w:r>
      <w:r w:rsidR="00B71626">
        <w:t>,</w:t>
      </w:r>
      <w:r>
        <w:t xml:space="preserve"> the documents listed below have been considered. The list is not necessarily exhaustive of material that might be relevant to developing requirement</w:t>
      </w:r>
      <w:r w:rsidR="00B71626">
        <w:t>s</w:t>
      </w:r>
      <w:r>
        <w:t xml:space="preserve"> for 2 GHz MSS</w:t>
      </w:r>
      <w:r w:rsidR="00B71626">
        <w:t>,</w:t>
      </w:r>
      <w:r>
        <w:t xml:space="preserve"> and industry is encouraged to identify additional material that could be relevant</w:t>
      </w:r>
      <w:r w:rsidR="000B351C">
        <w:t xml:space="preserve">.  </w:t>
      </w:r>
    </w:p>
    <w:p w14:paraId="12860A2A" w14:textId="50FF858A" w:rsidR="00121758" w:rsidRDefault="00121758" w:rsidP="00F01C20">
      <w:pPr>
        <w:pStyle w:val="Bulletlevel1"/>
      </w:pPr>
      <w:r w:rsidRPr="00D82E35">
        <w:t>3rd Generation Partnership Project (3GPP)</w:t>
      </w:r>
      <w:r>
        <w:t>Technical Standards and Reports</w:t>
      </w:r>
      <w:r w:rsidR="000F78DF">
        <w:t xml:space="preserve"> (</w:t>
      </w:r>
      <w:r w:rsidR="00334C15">
        <w:t>see</w:t>
      </w:r>
      <w:r w:rsidR="00F01C20">
        <w:t xml:space="preserve"> </w:t>
      </w:r>
      <w:hyperlink r:id="rId60" w:history="1">
        <w:r w:rsidR="00F01C20" w:rsidRPr="00DD1932">
          <w:rPr>
            <w:rStyle w:val="Hyperlink"/>
          </w:rPr>
          <w:t>3GPP Specifications by Series</w:t>
        </w:r>
      </w:hyperlink>
      <w:r w:rsidR="00532C84">
        <w:t xml:space="preserve">) </w:t>
      </w:r>
    </w:p>
    <w:p w14:paraId="3B409C8A" w14:textId="77777777" w:rsidR="00121758" w:rsidRDefault="00121758" w:rsidP="00121758">
      <w:pPr>
        <w:pStyle w:val="Bulletlevel2"/>
      </w:pPr>
      <w:r>
        <w:t>Technical Specification TS 38.101-1</w:t>
      </w:r>
      <w:r>
        <w:br/>
        <w:t>3rd Generation Partnership Project; Technical Specification Group Radio Access Network; NR; User Equipment (UE) radio transmission and reception; Part 1: Range 1 Standalone (Release 18, 2023-03)</w:t>
      </w:r>
    </w:p>
    <w:p w14:paraId="38C22536" w14:textId="77777777" w:rsidR="00121758" w:rsidRDefault="00121758" w:rsidP="00121758">
      <w:pPr>
        <w:pStyle w:val="Bulletlevel2"/>
      </w:pPr>
      <w:r>
        <w:t xml:space="preserve">Technical Specification </w:t>
      </w:r>
      <w:r w:rsidRPr="00A001AF">
        <w:t>TS 38.101-5</w:t>
      </w:r>
      <w:r>
        <w:br/>
      </w:r>
      <w:r w:rsidRPr="004404EF">
        <w:t>3rd Generation Partnership Project; Technical Specification Group Radio Access Network; NR; User Equipment (UE) radio transmission and reception; Part 5: Satellite access Radio Frequency (RF) and performance requirements (Release 18</w:t>
      </w:r>
      <w:r>
        <w:t>,</w:t>
      </w:r>
      <w:r w:rsidRPr="004404EF">
        <w:t xml:space="preserve"> 2022-12)</w:t>
      </w:r>
    </w:p>
    <w:p w14:paraId="0B1A629C" w14:textId="77777777" w:rsidR="00121758" w:rsidRDefault="00121758" w:rsidP="00121758">
      <w:pPr>
        <w:pStyle w:val="Bulletlevel2"/>
      </w:pPr>
      <w:r>
        <w:t xml:space="preserve">Technical Specification </w:t>
      </w:r>
      <w:r w:rsidRPr="005D5C0D">
        <w:t>TS 38.104</w:t>
      </w:r>
      <w:r>
        <w:br/>
      </w:r>
      <w:r w:rsidRPr="001637CB">
        <w:t>3rd Generation Partnership Project; Technical Specification Group Radio Access Network; NR; Base Station (BS) radio transmission and reception (Release 18)</w:t>
      </w:r>
    </w:p>
    <w:p w14:paraId="0E45B3EC" w14:textId="77777777" w:rsidR="00121758" w:rsidRDefault="00121758" w:rsidP="00121758">
      <w:pPr>
        <w:pStyle w:val="Bulletlevel2"/>
      </w:pPr>
      <w:r>
        <w:t xml:space="preserve">Technical Report TR </w:t>
      </w:r>
      <w:r w:rsidRPr="00790E3C">
        <w:t>38.821</w:t>
      </w:r>
      <w:r>
        <w:br/>
      </w:r>
      <w:r w:rsidRPr="00790E3C">
        <w:t>3rd Generation Partnership Project; Technical Specification Group Radio Access Network; Solutions for NR to support non-terrestrial networks (NTN)(Release 16</w:t>
      </w:r>
      <w:r>
        <w:t>, 2023-03</w:t>
      </w:r>
      <w:r w:rsidRPr="00790E3C">
        <w:t>)</w:t>
      </w:r>
    </w:p>
    <w:p w14:paraId="23140F85" w14:textId="1220994B" w:rsidR="00121758" w:rsidRDefault="00A924B4" w:rsidP="00F32D0D">
      <w:pPr>
        <w:pStyle w:val="Bulletlevel1"/>
      </w:pPr>
      <w:hyperlink r:id="rId61" w:history="1">
        <w:r w:rsidR="00121758" w:rsidRPr="00940716">
          <w:rPr>
            <w:rStyle w:val="Hyperlink"/>
          </w:rPr>
          <w:t>European Telecommunications Standards Institute</w:t>
        </w:r>
      </w:hyperlink>
      <w:r w:rsidR="00F32D0D">
        <w:t xml:space="preserve"> </w:t>
      </w:r>
    </w:p>
    <w:p w14:paraId="53A4304A" w14:textId="06E7F60F" w:rsidR="00121758" w:rsidRDefault="00121758" w:rsidP="00121758">
      <w:pPr>
        <w:pStyle w:val="Bulletlevel2"/>
      </w:pPr>
      <w:r w:rsidRPr="00444A55">
        <w:t>ETSI EN 302 574-1 V2.1.1 (2016-06)</w:t>
      </w:r>
      <w:r>
        <w:t xml:space="preserve">, Satellite Earth Stations and Systems (SES); Harmonised Standard for Mobile Earth Stations (MES) operating in the </w:t>
      </w:r>
      <w:r w:rsidR="00940716">
        <w:br/>
      </w:r>
      <w:r>
        <w:t xml:space="preserve">1980 MHz to 2010 MHz (earth-to-space) and 2170 MHz to 2200 MHz (space-to-earth) frequency bands covering the essential requirements of article 3.2 of the Directive 2014/53/EU; Part 1: Complementary Ground Component (CGC) for wideband </w:t>
      </w:r>
      <w:proofErr w:type="gramStart"/>
      <w:r>
        <w:t>systems</w:t>
      </w:r>
      <w:proofErr w:type="gramEnd"/>
    </w:p>
    <w:p w14:paraId="5CDD71F4" w14:textId="3A64DDEC" w:rsidR="00121758" w:rsidRDefault="00121758" w:rsidP="006F1B1C">
      <w:pPr>
        <w:pStyle w:val="Bulletlevel1"/>
      </w:pPr>
      <w:r w:rsidRPr="001F65D9">
        <w:t xml:space="preserve">European Conference </w:t>
      </w:r>
      <w:r>
        <w:t>o</w:t>
      </w:r>
      <w:r w:rsidRPr="001F65D9">
        <w:t xml:space="preserve">f Postal </w:t>
      </w:r>
      <w:r>
        <w:t>a</w:t>
      </w:r>
      <w:r w:rsidRPr="001F65D9">
        <w:t>nd Telecommunications Administrations</w:t>
      </w:r>
      <w:r>
        <w:t xml:space="preserve"> (CEPT) .</w:t>
      </w:r>
      <w:r w:rsidRPr="00865499">
        <w:t xml:space="preserve"> Electronic Communications </w:t>
      </w:r>
      <w:r>
        <w:t>Committee (ECC) Repor</w:t>
      </w:r>
      <w:r w:rsidR="006F1B1C">
        <w:t>t</w:t>
      </w:r>
      <w:r w:rsidR="006E3577">
        <w:t xml:space="preserve"> </w:t>
      </w:r>
      <w:r w:rsidR="006F1B1C">
        <w:t>(</w:t>
      </w:r>
      <w:r w:rsidR="00334C15">
        <w:t>see</w:t>
      </w:r>
      <w:r w:rsidR="006F1B1C">
        <w:t xml:space="preserve"> </w:t>
      </w:r>
      <w:hyperlink r:id="rId62" w:history="1">
        <w:r w:rsidR="006F1B1C" w:rsidRPr="001A4956">
          <w:rPr>
            <w:rStyle w:val="Hyperlink"/>
          </w:rPr>
          <w:t>ECO Documentation Database</w:t>
        </w:r>
      </w:hyperlink>
      <w:r w:rsidR="006F1B1C">
        <w:t>)</w:t>
      </w:r>
    </w:p>
    <w:p w14:paraId="36698D23" w14:textId="77777777" w:rsidR="00121758" w:rsidRDefault="00121758" w:rsidP="00121758">
      <w:pPr>
        <w:pStyle w:val="Bulletlevel2"/>
      </w:pPr>
      <w:r>
        <w:t>ECC Report 233</w:t>
      </w:r>
      <w:r>
        <w:br/>
      </w:r>
      <w:r w:rsidRPr="00077729">
        <w:t>Adjacent band compatibility studies for aeronautical CGC systems operating in the bands 1980-2010 MHz and 2170-2200 MHz (May 2015)</w:t>
      </w:r>
    </w:p>
    <w:p w14:paraId="0A5835FC" w14:textId="77777777" w:rsidR="00121758" w:rsidRDefault="00121758" w:rsidP="00121758">
      <w:pPr>
        <w:pStyle w:val="Bulletlevel2"/>
      </w:pPr>
      <w:r w:rsidRPr="00EA3E77">
        <w:t xml:space="preserve">ECC Report </w:t>
      </w:r>
      <w:r>
        <w:t>197</w:t>
      </w:r>
      <w:r>
        <w:br/>
      </w:r>
      <w:r w:rsidRPr="0082570C">
        <w:t xml:space="preserve">Compatibility Studies – </w:t>
      </w:r>
      <w:r>
        <w:t>MSS</w:t>
      </w:r>
      <w:r w:rsidRPr="0082570C">
        <w:t xml:space="preserve"> Terminals Transmitting </w:t>
      </w:r>
      <w:r>
        <w:t xml:space="preserve">to a </w:t>
      </w:r>
      <w:r w:rsidRPr="0082570C">
        <w:t xml:space="preserve">Satellite </w:t>
      </w:r>
      <w:r>
        <w:t>i</w:t>
      </w:r>
      <w:r w:rsidRPr="0082570C">
        <w:t xml:space="preserve">n </w:t>
      </w:r>
      <w:r>
        <w:t>t</w:t>
      </w:r>
      <w:r w:rsidRPr="0082570C">
        <w:t>he Band 1980 - 2010 M</w:t>
      </w:r>
      <w:r>
        <w:t>H</w:t>
      </w:r>
      <w:r w:rsidRPr="0082570C">
        <w:t xml:space="preserve">z </w:t>
      </w:r>
      <w:r>
        <w:t>a</w:t>
      </w:r>
      <w:r w:rsidRPr="0082570C">
        <w:t xml:space="preserve">nd Adjacent Channel </w:t>
      </w:r>
      <w:r>
        <w:t xml:space="preserve">UMTS </w:t>
      </w:r>
      <w:r w:rsidRPr="0082570C">
        <w:t>Services</w:t>
      </w:r>
      <w:r>
        <w:t xml:space="preserve"> (May 2013)</w:t>
      </w:r>
    </w:p>
    <w:p w14:paraId="751BB5D9" w14:textId="77777777" w:rsidR="00121758" w:rsidRDefault="00121758" w:rsidP="00121758">
      <w:pPr>
        <w:pStyle w:val="Bulletlevel2"/>
      </w:pPr>
      <w:r>
        <w:t>ECC Report 348</w:t>
      </w:r>
      <w:r>
        <w:br/>
      </w:r>
      <w:r w:rsidRPr="00506B59">
        <w:t>Usage of aerial UE in 1.8 GHz, 2 GHz and 2.6 GHz frequency bands with MFCN AAS base stations</w:t>
      </w:r>
      <w:r>
        <w:t xml:space="preserve"> (November 2022)</w:t>
      </w:r>
    </w:p>
    <w:p w14:paraId="431C339A" w14:textId="77777777" w:rsidR="00121758" w:rsidRDefault="00121758" w:rsidP="001D3853">
      <w:pPr>
        <w:pStyle w:val="Bulletlevel2"/>
        <w:keepNext/>
        <w:keepLines/>
      </w:pPr>
      <w:r w:rsidRPr="007F2066">
        <w:t>ECC Report 298</w:t>
      </w:r>
    </w:p>
    <w:p w14:paraId="2BF478D5" w14:textId="77777777" w:rsidR="00121758" w:rsidRDefault="00121758" w:rsidP="001D3853">
      <w:pPr>
        <w:pStyle w:val="Bulletlevel2"/>
        <w:keepNext/>
        <w:keepLines/>
        <w:numPr>
          <w:ilvl w:val="0"/>
          <w:numId w:val="0"/>
        </w:numPr>
        <w:ind w:left="590"/>
      </w:pPr>
      <w:r>
        <w:t>Analysis of the suitability and update of the regulatory technical conditions for 5G MFCN and AAS operation in the 1920-1980 MHz and 2110-2170 MHz band (March 2019)</w:t>
      </w:r>
    </w:p>
    <w:p w14:paraId="5CCC4DB5" w14:textId="77777777" w:rsidR="00121758" w:rsidRPr="00B555E3" w:rsidRDefault="00121758" w:rsidP="00121758">
      <w:pPr>
        <w:pStyle w:val="Bulletlevel2"/>
      </w:pPr>
      <w:r w:rsidRPr="007C2613">
        <w:rPr>
          <w:rFonts w:eastAsia="Batang"/>
        </w:rPr>
        <w:t>ECC Recommendation (10)01</w:t>
      </w:r>
    </w:p>
    <w:p w14:paraId="24CDF9CA" w14:textId="77777777" w:rsidR="00121758" w:rsidRDefault="00121758" w:rsidP="00121758">
      <w:pPr>
        <w:pStyle w:val="Bulletlevel2"/>
        <w:numPr>
          <w:ilvl w:val="0"/>
          <w:numId w:val="0"/>
        </w:numPr>
        <w:ind w:left="590"/>
      </w:pPr>
      <w:r>
        <w:rPr>
          <w:rFonts w:eastAsia="Batang"/>
        </w:rPr>
        <w:t>G</w:t>
      </w:r>
      <w:r w:rsidRPr="00CC7634">
        <w:rPr>
          <w:rFonts w:eastAsia="Batang"/>
        </w:rPr>
        <w:t>uidelines for</w:t>
      </w:r>
      <w:r w:rsidRPr="00CC7634">
        <w:t xml:space="preserve"> compatibility between C</w:t>
      </w:r>
      <w:r>
        <w:t xml:space="preserve">omplementary </w:t>
      </w:r>
      <w:r w:rsidRPr="00CC7634">
        <w:t>G</w:t>
      </w:r>
      <w:r>
        <w:t xml:space="preserve">round </w:t>
      </w:r>
      <w:r w:rsidRPr="00CC7634">
        <w:t>C</w:t>
      </w:r>
      <w:r>
        <w:t>omponent</w:t>
      </w:r>
      <w:r w:rsidRPr="00CC7634">
        <w:t>s</w:t>
      </w:r>
      <w:r>
        <w:t xml:space="preserve"> (CGC)</w:t>
      </w:r>
      <w:r w:rsidRPr="00CC7634">
        <w:t xml:space="preserve"> ope</w:t>
      </w:r>
      <w:r>
        <w:t>rating in the band 2170-2200 MHz</w:t>
      </w:r>
      <w:r w:rsidRPr="00CC7634">
        <w:t xml:space="preserve"> and EESS/SOS/SRS Earth stations operating in the band 2200-2290 </w:t>
      </w:r>
      <w:r>
        <w:t>MHz (January 2010)</w:t>
      </w:r>
    </w:p>
    <w:p w14:paraId="0CF4767B" w14:textId="77777777" w:rsidR="00121758" w:rsidRDefault="00121758" w:rsidP="00121758">
      <w:pPr>
        <w:pStyle w:val="Bulletlevel1"/>
      </w:pPr>
      <w:r>
        <w:t xml:space="preserve">ACMA </w:t>
      </w:r>
      <w:r w:rsidRPr="004C11B0">
        <w:t>Radiocommunications assignment and licensing instructions (RALIs)</w:t>
      </w:r>
    </w:p>
    <w:p w14:paraId="1971F3B9" w14:textId="77777777" w:rsidR="00121758" w:rsidRDefault="00A924B4" w:rsidP="00121758">
      <w:pPr>
        <w:pStyle w:val="Bulletlevel2"/>
      </w:pPr>
      <w:hyperlink r:id="rId63" w:history="1">
        <w:r w:rsidR="00121758" w:rsidRPr="00257E03">
          <w:rPr>
            <w:rStyle w:val="Hyperlink"/>
          </w:rPr>
          <w:t>RALI FX3</w:t>
        </w:r>
      </w:hyperlink>
      <w:r w:rsidR="00121758" w:rsidRPr="00257E03">
        <w:t>: microwave fixed services</w:t>
      </w:r>
    </w:p>
    <w:p w14:paraId="439FCC09" w14:textId="77777777" w:rsidR="00121758" w:rsidRDefault="00A924B4" w:rsidP="00121758">
      <w:pPr>
        <w:pStyle w:val="Bulletlevel2"/>
      </w:pPr>
      <w:hyperlink r:id="rId64" w:history="1">
        <w:r w:rsidR="00121758" w:rsidRPr="005063F2">
          <w:rPr>
            <w:rStyle w:val="Hyperlink"/>
          </w:rPr>
          <w:t>RALI FX21</w:t>
        </w:r>
      </w:hyperlink>
      <w:r w:rsidR="00121758" w:rsidRPr="005063F2">
        <w:t>: Television outside broadcasting services</w:t>
      </w:r>
    </w:p>
    <w:p w14:paraId="64634837" w14:textId="77777777" w:rsidR="00121758" w:rsidRDefault="00A924B4" w:rsidP="00121758">
      <w:pPr>
        <w:pStyle w:val="Bulletlevel2"/>
      </w:pPr>
      <w:hyperlink r:id="rId65" w:history="1">
        <w:r w:rsidR="00121758" w:rsidRPr="005063F2">
          <w:rPr>
            <w:rStyle w:val="Hyperlink"/>
          </w:rPr>
          <w:t>RALI MS32</w:t>
        </w:r>
      </w:hyperlink>
      <w:r w:rsidR="00121758" w:rsidRPr="005063F2">
        <w:t xml:space="preserve">: </w:t>
      </w:r>
      <w:proofErr w:type="spellStart"/>
      <w:r w:rsidR="00121758" w:rsidRPr="005063F2">
        <w:t>Mid West</w:t>
      </w:r>
      <w:proofErr w:type="spellEnd"/>
      <w:r w:rsidR="00121758" w:rsidRPr="005063F2">
        <w:t xml:space="preserve"> Radio Quiet Zone</w:t>
      </w:r>
    </w:p>
    <w:p w14:paraId="4FD642BE" w14:textId="77777777" w:rsidR="00121758" w:rsidRPr="00A301AF" w:rsidRDefault="00A924B4" w:rsidP="00121758">
      <w:pPr>
        <w:pStyle w:val="Bulletlevel2"/>
      </w:pPr>
      <w:hyperlink r:id="rId66" w:history="1">
        <w:r w:rsidR="00121758" w:rsidRPr="00C10418">
          <w:rPr>
            <w:rStyle w:val="Hyperlink"/>
          </w:rPr>
          <w:t>RALI MS33</w:t>
        </w:r>
      </w:hyperlink>
      <w:r w:rsidR="00121758" w:rsidRPr="00C10418">
        <w:t xml:space="preserve"> Frequency coordination and licensing procedures for apparatus licensed PTS in th</w:t>
      </w:r>
      <w:r w:rsidR="00121758" w:rsidRPr="00A301AF">
        <w:t>e 2 GHz bands</w:t>
      </w:r>
    </w:p>
    <w:p w14:paraId="69CB47EA" w14:textId="10C409E0" w:rsidR="00121758" w:rsidRPr="00A301AF" w:rsidRDefault="00121758" w:rsidP="00121758">
      <w:pPr>
        <w:pStyle w:val="Bulletlevel1"/>
      </w:pPr>
      <w:r w:rsidRPr="00A301AF">
        <w:t>ACMA spectrum licence technical framework</w:t>
      </w:r>
    </w:p>
    <w:p w14:paraId="3692D47E" w14:textId="1FE91AF3" w:rsidR="00121758" w:rsidRPr="00A301AF" w:rsidRDefault="00A924B4" w:rsidP="00121758">
      <w:pPr>
        <w:pStyle w:val="Bulletlevel2"/>
      </w:pPr>
      <w:hyperlink r:id="rId67" w:history="1">
        <w:r w:rsidR="00121758" w:rsidRPr="00A301AF">
          <w:rPr>
            <w:rStyle w:val="Hyperlink"/>
          </w:rPr>
          <w:t>2 GHz spectrum licensing technical framework</w:t>
        </w:r>
      </w:hyperlink>
      <w:r w:rsidR="00121758" w:rsidRPr="00A301AF">
        <w:t xml:space="preserve"> (as revised)</w:t>
      </w:r>
    </w:p>
    <w:p w14:paraId="39EEC29C" w14:textId="668E2001" w:rsidR="00121758" w:rsidRDefault="00A924B4" w:rsidP="0096708C">
      <w:pPr>
        <w:pStyle w:val="Bulletlevel2last"/>
        <w:spacing w:after="120"/>
      </w:pPr>
      <w:hyperlink r:id="rId68" w:history="1">
        <w:r w:rsidR="0096708C">
          <w:rPr>
            <w:rStyle w:val="Hyperlink"/>
          </w:rPr>
          <w:t>2.3 GHz spectrum licensing technical framework</w:t>
        </w:r>
      </w:hyperlink>
      <w:r w:rsidR="00121758" w:rsidRPr="00A301AF">
        <w:t xml:space="preserve"> (as revised)</w:t>
      </w:r>
    </w:p>
    <w:p w14:paraId="2555AE03" w14:textId="7859D3A3" w:rsidR="003F5B5B" w:rsidRDefault="00A924B4" w:rsidP="00121758">
      <w:pPr>
        <w:pStyle w:val="Bulletlevel2last"/>
      </w:pPr>
      <w:hyperlink r:id="rId69" w:history="1">
        <w:r w:rsidR="003F5B5B" w:rsidRPr="00387196">
          <w:rPr>
            <w:rStyle w:val="Hyperlink"/>
          </w:rPr>
          <w:t>2.5 GHz</w:t>
        </w:r>
        <w:r w:rsidR="00AB52BC" w:rsidRPr="00387196">
          <w:rPr>
            <w:rStyle w:val="Hyperlink"/>
          </w:rPr>
          <w:t xml:space="preserve"> spectrum </w:t>
        </w:r>
        <w:r w:rsidR="0033293C" w:rsidRPr="00387196">
          <w:rPr>
            <w:rStyle w:val="Hyperlink"/>
          </w:rPr>
          <w:t>licensing</w:t>
        </w:r>
        <w:r w:rsidR="00AB52BC" w:rsidRPr="00387196">
          <w:rPr>
            <w:rStyle w:val="Hyperlink"/>
          </w:rPr>
          <w:t xml:space="preserve"> </w:t>
        </w:r>
        <w:r w:rsidR="0033293C" w:rsidRPr="00387196">
          <w:rPr>
            <w:rStyle w:val="Hyperlink"/>
          </w:rPr>
          <w:t>technical framework</w:t>
        </w:r>
      </w:hyperlink>
    </w:p>
    <w:p w14:paraId="3B65271D" w14:textId="6E3BEF0F" w:rsidR="00D20678" w:rsidRDefault="00D20678" w:rsidP="00D20678">
      <w:pPr>
        <w:pStyle w:val="Heading2"/>
        <w:numPr>
          <w:ilvl w:val="0"/>
          <w:numId w:val="0"/>
        </w:numPr>
        <w:ind w:left="576" w:hanging="576"/>
      </w:pPr>
      <w:bookmarkStart w:id="118" w:name="_Toc151469357"/>
      <w:r>
        <w:t>MSS parameter</w:t>
      </w:r>
      <w:r w:rsidR="00652E32">
        <w:t>s</w:t>
      </w:r>
      <w:bookmarkEnd w:id="118"/>
    </w:p>
    <w:p w14:paraId="3DCB199C" w14:textId="47126D37" w:rsidR="00121758" w:rsidRDefault="001A376C" w:rsidP="00121758">
      <w:pPr>
        <w:pStyle w:val="ACMATableHeader"/>
      </w:pPr>
      <w:r>
        <w:t>User equipment</w:t>
      </w:r>
      <w:r w:rsidR="00121758">
        <w:t xml:space="preserve"> parameters</w:t>
      </w:r>
    </w:p>
    <w:tbl>
      <w:tblPr>
        <w:tblStyle w:val="TableGrid"/>
        <w:tblW w:w="7316" w:type="dxa"/>
        <w:tblCellMar>
          <w:top w:w="57" w:type="dxa"/>
          <w:bottom w:w="57" w:type="dxa"/>
        </w:tblCellMar>
        <w:tblLook w:val="04A0" w:firstRow="1" w:lastRow="0" w:firstColumn="1" w:lastColumn="0" w:noHBand="0" w:noVBand="1"/>
      </w:tblPr>
      <w:tblGrid>
        <w:gridCol w:w="2880"/>
        <w:gridCol w:w="1935"/>
        <w:gridCol w:w="2501"/>
      </w:tblGrid>
      <w:tr w:rsidR="00121758" w14:paraId="40E6AFD5" w14:textId="77777777" w:rsidTr="00BA7455">
        <w:trPr>
          <w:trHeight w:val="415"/>
        </w:trPr>
        <w:tc>
          <w:tcPr>
            <w:tcW w:w="2880" w:type="dxa"/>
            <w:shd w:val="clear" w:color="auto" w:fill="404040" w:themeFill="text1" w:themeFillTint="BF"/>
            <w:vAlign w:val="center"/>
          </w:tcPr>
          <w:p w14:paraId="33A254E8" w14:textId="77777777" w:rsidR="00121758" w:rsidRPr="008B0E1A" w:rsidRDefault="00121758" w:rsidP="00387196">
            <w:pPr>
              <w:pStyle w:val="Tableheaderrow"/>
              <w:keepNext/>
              <w:keepLines/>
              <w:rPr>
                <w:color w:val="FFFFFF" w:themeColor="background1"/>
              </w:rPr>
            </w:pPr>
            <w:r>
              <w:rPr>
                <w:color w:val="FFFFFF" w:themeColor="background1"/>
              </w:rPr>
              <w:t>Parameter</w:t>
            </w:r>
          </w:p>
        </w:tc>
        <w:tc>
          <w:tcPr>
            <w:tcW w:w="1935" w:type="dxa"/>
            <w:shd w:val="clear" w:color="auto" w:fill="404040" w:themeFill="text1" w:themeFillTint="BF"/>
            <w:vAlign w:val="center"/>
          </w:tcPr>
          <w:p w14:paraId="75A01CF3" w14:textId="77777777" w:rsidR="00121758" w:rsidRPr="008B0E1A" w:rsidRDefault="00121758" w:rsidP="00387196">
            <w:pPr>
              <w:pStyle w:val="Tableheaderrow"/>
              <w:keepNext/>
              <w:keepLines/>
              <w:rPr>
                <w:color w:val="FFFFFF" w:themeColor="background1"/>
              </w:rPr>
            </w:pPr>
            <w:r>
              <w:rPr>
                <w:color w:val="FFFFFF" w:themeColor="background1"/>
              </w:rPr>
              <w:t>Notional device</w:t>
            </w:r>
            <w:r w:rsidRPr="008B0E1A">
              <w:rPr>
                <w:color w:val="FFFFFF" w:themeColor="background1"/>
              </w:rPr>
              <w:t xml:space="preserve"> </w:t>
            </w:r>
          </w:p>
        </w:tc>
        <w:tc>
          <w:tcPr>
            <w:tcW w:w="2501" w:type="dxa"/>
            <w:shd w:val="clear" w:color="auto" w:fill="404040" w:themeFill="text1" w:themeFillTint="BF"/>
            <w:vAlign w:val="center"/>
          </w:tcPr>
          <w:p w14:paraId="1A8379DC" w14:textId="77777777" w:rsidR="00121758" w:rsidRDefault="00121758" w:rsidP="00387196">
            <w:pPr>
              <w:pStyle w:val="Tableheaderrow"/>
              <w:keepNext/>
              <w:keepLines/>
              <w:rPr>
                <w:color w:val="FFFFFF" w:themeColor="background1"/>
              </w:rPr>
            </w:pPr>
            <w:r>
              <w:rPr>
                <w:color w:val="FFFFFF" w:themeColor="background1"/>
              </w:rPr>
              <w:t>Notes</w:t>
            </w:r>
          </w:p>
        </w:tc>
      </w:tr>
      <w:tr w:rsidR="00121758" w14:paraId="0C5679EF" w14:textId="77777777" w:rsidTr="00BA7455">
        <w:tc>
          <w:tcPr>
            <w:tcW w:w="2880" w:type="dxa"/>
            <w:shd w:val="clear" w:color="auto" w:fill="auto"/>
            <w:vAlign w:val="center"/>
          </w:tcPr>
          <w:p w14:paraId="6CF46015" w14:textId="77777777" w:rsidR="00121758" w:rsidRDefault="00121758" w:rsidP="00387196">
            <w:pPr>
              <w:pStyle w:val="TableBody"/>
              <w:keepNext/>
              <w:keepLines/>
            </w:pPr>
            <w:r>
              <w:t>Transmit power</w:t>
            </w:r>
          </w:p>
        </w:tc>
        <w:tc>
          <w:tcPr>
            <w:tcW w:w="1935" w:type="dxa"/>
            <w:shd w:val="clear" w:color="auto" w:fill="auto"/>
            <w:vAlign w:val="center"/>
          </w:tcPr>
          <w:p w14:paraId="7617006F" w14:textId="77777777" w:rsidR="00121758" w:rsidRDefault="00121758" w:rsidP="00387196">
            <w:pPr>
              <w:pStyle w:val="TableBody"/>
              <w:keepNext/>
              <w:keepLines/>
            </w:pPr>
            <w:r>
              <w:t>23 dBm</w:t>
            </w:r>
          </w:p>
        </w:tc>
        <w:tc>
          <w:tcPr>
            <w:tcW w:w="2501" w:type="dxa"/>
            <w:vMerge w:val="restart"/>
          </w:tcPr>
          <w:p w14:paraId="6B78976F" w14:textId="77777777" w:rsidR="00121758" w:rsidRDefault="00121758" w:rsidP="00387196">
            <w:pPr>
              <w:pStyle w:val="TableBody"/>
              <w:keepNext/>
              <w:keepLines/>
            </w:pPr>
            <w:r w:rsidRPr="00B73F09">
              <w:t>3GPP TR 38.821</w:t>
            </w:r>
            <w:r>
              <w:rPr>
                <w:rStyle w:val="FootnoteReference"/>
              </w:rPr>
              <w:footnoteReference w:id="35"/>
            </w:r>
            <w:r w:rsidRPr="00B73F09">
              <w:t xml:space="preserve"> </w:t>
            </w:r>
            <w:r>
              <w:t>Table 6.1.1.1-3</w:t>
            </w:r>
          </w:p>
        </w:tc>
      </w:tr>
      <w:tr w:rsidR="00121758" w14:paraId="60FBC938" w14:textId="77777777" w:rsidTr="00BA7455">
        <w:tc>
          <w:tcPr>
            <w:tcW w:w="2880" w:type="dxa"/>
            <w:shd w:val="clear" w:color="auto" w:fill="F2F2F2" w:themeFill="background1" w:themeFillShade="F2"/>
            <w:vAlign w:val="center"/>
          </w:tcPr>
          <w:p w14:paraId="6C907BFF" w14:textId="77777777" w:rsidR="00121758" w:rsidRDefault="00121758" w:rsidP="00387196">
            <w:pPr>
              <w:pStyle w:val="TableBody"/>
              <w:keepNext/>
              <w:keepLines/>
            </w:pPr>
            <w:r w:rsidRPr="00B60B9F">
              <w:t xml:space="preserve">Maximum antenna gain </w:t>
            </w:r>
          </w:p>
        </w:tc>
        <w:tc>
          <w:tcPr>
            <w:tcW w:w="1935" w:type="dxa"/>
            <w:shd w:val="clear" w:color="auto" w:fill="F2F2F2" w:themeFill="background1" w:themeFillShade="F2"/>
            <w:vAlign w:val="center"/>
          </w:tcPr>
          <w:p w14:paraId="7DF1CBFC" w14:textId="77777777" w:rsidR="00121758" w:rsidRDefault="00121758" w:rsidP="00387196">
            <w:pPr>
              <w:pStyle w:val="TableBody"/>
              <w:keepNext/>
              <w:keepLines/>
            </w:pPr>
            <w:r>
              <w:t xml:space="preserve">0 </w:t>
            </w:r>
            <w:proofErr w:type="spellStart"/>
            <w:r>
              <w:t>dBi</w:t>
            </w:r>
            <w:proofErr w:type="spellEnd"/>
          </w:p>
        </w:tc>
        <w:tc>
          <w:tcPr>
            <w:tcW w:w="2501" w:type="dxa"/>
            <w:vMerge/>
          </w:tcPr>
          <w:p w14:paraId="402B878B" w14:textId="77777777" w:rsidR="00121758" w:rsidRDefault="00121758" w:rsidP="00387196">
            <w:pPr>
              <w:pStyle w:val="TableBody"/>
              <w:keepNext/>
              <w:keepLines/>
            </w:pPr>
          </w:p>
        </w:tc>
      </w:tr>
      <w:tr w:rsidR="00121758" w14:paraId="785A9222" w14:textId="77777777" w:rsidTr="00BA7455">
        <w:tc>
          <w:tcPr>
            <w:tcW w:w="2880" w:type="dxa"/>
            <w:shd w:val="clear" w:color="auto" w:fill="auto"/>
            <w:vAlign w:val="center"/>
          </w:tcPr>
          <w:p w14:paraId="36634E7F" w14:textId="77777777" w:rsidR="00121758" w:rsidRDefault="00121758" w:rsidP="00387196">
            <w:pPr>
              <w:pStyle w:val="TableBody"/>
              <w:keepNext/>
              <w:keepLines/>
            </w:pPr>
            <w:r w:rsidRPr="004E0C9A">
              <w:t>Carrier bandwidth</w:t>
            </w:r>
            <w:r w:rsidRPr="00B60B9F">
              <w:t xml:space="preserve"> </w:t>
            </w:r>
          </w:p>
        </w:tc>
        <w:tc>
          <w:tcPr>
            <w:tcW w:w="1935" w:type="dxa"/>
            <w:shd w:val="clear" w:color="auto" w:fill="auto"/>
            <w:vAlign w:val="center"/>
          </w:tcPr>
          <w:p w14:paraId="1AC74038" w14:textId="77777777" w:rsidR="00121758" w:rsidRDefault="00121758" w:rsidP="00387196">
            <w:pPr>
              <w:pStyle w:val="TableBody"/>
              <w:keepNext/>
              <w:keepLines/>
            </w:pPr>
            <w:r>
              <w:t>0.2 MHz</w:t>
            </w:r>
          </w:p>
        </w:tc>
        <w:tc>
          <w:tcPr>
            <w:tcW w:w="2501" w:type="dxa"/>
          </w:tcPr>
          <w:p w14:paraId="68F77544" w14:textId="77777777" w:rsidR="00121758" w:rsidRDefault="00121758" w:rsidP="00387196">
            <w:pPr>
              <w:pStyle w:val="TableBody"/>
              <w:keepNext/>
              <w:keepLines/>
            </w:pPr>
            <w:r>
              <w:t>ECC Report 197</w:t>
            </w:r>
            <w:r>
              <w:rPr>
                <w:rStyle w:val="FootnoteReference"/>
              </w:rPr>
              <w:footnoteReference w:id="36"/>
            </w:r>
            <w:r>
              <w:t>, Table 5</w:t>
            </w:r>
          </w:p>
        </w:tc>
      </w:tr>
      <w:tr w:rsidR="00121758" w14:paraId="331C046F" w14:textId="77777777" w:rsidTr="00BA7455">
        <w:tc>
          <w:tcPr>
            <w:tcW w:w="2880" w:type="dxa"/>
            <w:shd w:val="clear" w:color="auto" w:fill="F2F2F2" w:themeFill="background1" w:themeFillShade="F2"/>
            <w:vAlign w:val="center"/>
          </w:tcPr>
          <w:p w14:paraId="45A519CA" w14:textId="77777777" w:rsidR="00121758" w:rsidRDefault="00121758" w:rsidP="00387196">
            <w:pPr>
              <w:pStyle w:val="TableBody"/>
              <w:keepNext/>
              <w:keepLines/>
            </w:pPr>
            <w:r w:rsidRPr="00BD23EE">
              <w:t>Antenna gain pattern</w:t>
            </w:r>
          </w:p>
        </w:tc>
        <w:tc>
          <w:tcPr>
            <w:tcW w:w="1935" w:type="dxa"/>
            <w:shd w:val="clear" w:color="auto" w:fill="F2F2F2" w:themeFill="background1" w:themeFillShade="F2"/>
            <w:vAlign w:val="center"/>
          </w:tcPr>
          <w:p w14:paraId="69DB2289" w14:textId="77777777" w:rsidR="00121758" w:rsidRDefault="00121758" w:rsidP="00387196">
            <w:pPr>
              <w:pStyle w:val="TableBody"/>
              <w:keepNext/>
              <w:keepLines/>
            </w:pPr>
            <w:r>
              <w:t>Omni</w:t>
            </w:r>
          </w:p>
        </w:tc>
        <w:tc>
          <w:tcPr>
            <w:tcW w:w="2501" w:type="dxa"/>
            <w:shd w:val="clear" w:color="auto" w:fill="F2F2F2" w:themeFill="background1" w:themeFillShade="F2"/>
          </w:tcPr>
          <w:p w14:paraId="16C8DEE7" w14:textId="77777777" w:rsidR="00121758" w:rsidRDefault="00121758" w:rsidP="00387196">
            <w:pPr>
              <w:pStyle w:val="TableBody"/>
              <w:keepNext/>
              <w:keepLines/>
            </w:pPr>
          </w:p>
        </w:tc>
      </w:tr>
      <w:tr w:rsidR="00121758" w14:paraId="33254D5C" w14:textId="77777777" w:rsidTr="00BA7455">
        <w:tc>
          <w:tcPr>
            <w:tcW w:w="2880" w:type="dxa"/>
            <w:shd w:val="clear" w:color="auto" w:fill="auto"/>
            <w:vAlign w:val="center"/>
          </w:tcPr>
          <w:p w14:paraId="54E2D8DC" w14:textId="77777777" w:rsidR="00121758" w:rsidRDefault="00121758" w:rsidP="00387196">
            <w:pPr>
              <w:pStyle w:val="TableBody"/>
              <w:keepNext/>
              <w:keepLines/>
            </w:pPr>
            <w:r>
              <w:t>EIRP</w:t>
            </w:r>
            <w:r w:rsidRPr="00D033F1">
              <w:t xml:space="preserve"> density</w:t>
            </w:r>
          </w:p>
        </w:tc>
        <w:tc>
          <w:tcPr>
            <w:tcW w:w="1935" w:type="dxa"/>
            <w:shd w:val="clear" w:color="auto" w:fill="auto"/>
            <w:vAlign w:val="center"/>
          </w:tcPr>
          <w:p w14:paraId="1DA65527" w14:textId="77777777" w:rsidR="00121758" w:rsidRDefault="00121758" w:rsidP="00387196">
            <w:pPr>
              <w:pStyle w:val="TableBody"/>
              <w:keepNext/>
              <w:keepLines/>
            </w:pPr>
            <w:r>
              <w:t xml:space="preserve">0 </w:t>
            </w:r>
            <w:proofErr w:type="spellStart"/>
            <w:r w:rsidRPr="00D033F1">
              <w:t>dBW</w:t>
            </w:r>
            <w:proofErr w:type="spellEnd"/>
            <w:r w:rsidRPr="00D033F1">
              <w:t>/MHz</w:t>
            </w:r>
          </w:p>
        </w:tc>
        <w:tc>
          <w:tcPr>
            <w:tcW w:w="2501" w:type="dxa"/>
          </w:tcPr>
          <w:p w14:paraId="111D7BDB" w14:textId="77777777" w:rsidR="00121758" w:rsidRPr="00D033F1" w:rsidRDefault="00121758" w:rsidP="00387196">
            <w:pPr>
              <w:pStyle w:val="TableBody"/>
              <w:keepNext/>
              <w:keepLines/>
            </w:pPr>
          </w:p>
        </w:tc>
      </w:tr>
      <w:tr w:rsidR="00121758" w14:paraId="779FC3C3" w14:textId="77777777" w:rsidTr="00BA7455">
        <w:tc>
          <w:tcPr>
            <w:tcW w:w="2880" w:type="dxa"/>
            <w:shd w:val="clear" w:color="auto" w:fill="F2F2F2" w:themeFill="background1" w:themeFillShade="F2"/>
            <w:vAlign w:val="center"/>
          </w:tcPr>
          <w:p w14:paraId="3915A33B" w14:textId="77777777" w:rsidR="00121758" w:rsidRPr="008C3462" w:rsidRDefault="00121758" w:rsidP="00387196">
            <w:pPr>
              <w:pStyle w:val="TableBody"/>
              <w:keepNext/>
              <w:keepLines/>
            </w:pPr>
            <w:r>
              <w:t>Antenna height</w:t>
            </w:r>
          </w:p>
        </w:tc>
        <w:tc>
          <w:tcPr>
            <w:tcW w:w="1935" w:type="dxa"/>
            <w:shd w:val="clear" w:color="auto" w:fill="F2F2F2" w:themeFill="background1" w:themeFillShade="F2"/>
            <w:vAlign w:val="center"/>
          </w:tcPr>
          <w:p w14:paraId="0E23DBFD" w14:textId="77777777" w:rsidR="00121758" w:rsidRDefault="00121758" w:rsidP="00387196">
            <w:pPr>
              <w:pStyle w:val="TableBody"/>
              <w:keepNext/>
              <w:keepLines/>
            </w:pPr>
            <w:r>
              <w:t>1.5 m</w:t>
            </w:r>
          </w:p>
        </w:tc>
        <w:tc>
          <w:tcPr>
            <w:tcW w:w="2501" w:type="dxa"/>
            <w:shd w:val="clear" w:color="auto" w:fill="F2F2F2" w:themeFill="background1" w:themeFillShade="F2"/>
          </w:tcPr>
          <w:p w14:paraId="10BB2C50" w14:textId="77777777" w:rsidR="00121758" w:rsidRDefault="00121758" w:rsidP="00387196">
            <w:pPr>
              <w:pStyle w:val="TableBody"/>
              <w:keepNext/>
              <w:keepLines/>
            </w:pPr>
          </w:p>
        </w:tc>
      </w:tr>
      <w:tr w:rsidR="00121758" w14:paraId="55207DC0" w14:textId="77777777" w:rsidTr="00BA7455">
        <w:tc>
          <w:tcPr>
            <w:tcW w:w="2880" w:type="dxa"/>
            <w:shd w:val="clear" w:color="auto" w:fill="auto"/>
            <w:vAlign w:val="center"/>
          </w:tcPr>
          <w:p w14:paraId="472613B7" w14:textId="77777777" w:rsidR="00121758" w:rsidRDefault="00121758" w:rsidP="00387196">
            <w:pPr>
              <w:pStyle w:val="TableBody"/>
              <w:keepNext/>
              <w:keepLines/>
            </w:pPr>
            <w:r>
              <w:t>Adjacent channel leakage ratio</w:t>
            </w:r>
          </w:p>
        </w:tc>
        <w:tc>
          <w:tcPr>
            <w:tcW w:w="1935" w:type="dxa"/>
            <w:shd w:val="clear" w:color="auto" w:fill="auto"/>
            <w:vAlign w:val="center"/>
          </w:tcPr>
          <w:p w14:paraId="1ACF2155" w14:textId="77777777" w:rsidR="00121758" w:rsidRDefault="00121758" w:rsidP="00387196">
            <w:pPr>
              <w:pStyle w:val="TableBody"/>
              <w:keepNext/>
              <w:keepLines/>
            </w:pPr>
            <w:r>
              <w:t>30 dB</w:t>
            </w:r>
          </w:p>
        </w:tc>
        <w:tc>
          <w:tcPr>
            <w:tcW w:w="2501" w:type="dxa"/>
            <w:shd w:val="clear" w:color="auto" w:fill="auto"/>
          </w:tcPr>
          <w:p w14:paraId="173E8928" w14:textId="77777777" w:rsidR="00121758" w:rsidRDefault="00121758" w:rsidP="00387196">
            <w:pPr>
              <w:pStyle w:val="TableBody"/>
              <w:keepNext/>
              <w:keepLines/>
            </w:pPr>
            <w:r>
              <w:t>As per TS 38.101-5</w:t>
            </w:r>
            <w:r>
              <w:rPr>
                <w:rStyle w:val="FootnoteReference"/>
              </w:rPr>
              <w:footnoteReference w:id="37"/>
            </w:r>
            <w:r>
              <w:t xml:space="preserve"> </w:t>
            </w:r>
            <w:r>
              <w:br/>
              <w:t>(Table 6.5.2.4.1-2))</w:t>
            </w:r>
          </w:p>
        </w:tc>
      </w:tr>
      <w:tr w:rsidR="00121758" w14:paraId="1582FC8B" w14:textId="77777777" w:rsidTr="00BA7455">
        <w:tc>
          <w:tcPr>
            <w:tcW w:w="2880" w:type="dxa"/>
            <w:shd w:val="clear" w:color="auto" w:fill="F2F2F2" w:themeFill="background1" w:themeFillShade="F2"/>
            <w:vAlign w:val="center"/>
          </w:tcPr>
          <w:p w14:paraId="5A850DC2" w14:textId="77777777" w:rsidR="00121758" w:rsidRDefault="00121758" w:rsidP="00387196">
            <w:pPr>
              <w:pStyle w:val="TableBody"/>
              <w:keepNext/>
              <w:keepLines/>
            </w:pPr>
            <w:r>
              <w:t>Notional protection level for interference studies</w:t>
            </w:r>
          </w:p>
        </w:tc>
        <w:tc>
          <w:tcPr>
            <w:tcW w:w="1935" w:type="dxa"/>
            <w:shd w:val="clear" w:color="auto" w:fill="F2F2F2" w:themeFill="background1" w:themeFillShade="F2"/>
            <w:vAlign w:val="center"/>
          </w:tcPr>
          <w:p w14:paraId="3D6DB19B" w14:textId="77777777" w:rsidR="00121758" w:rsidRDefault="00121758" w:rsidP="00387196">
            <w:pPr>
              <w:pStyle w:val="TableBody"/>
              <w:keepNext/>
              <w:keepLines/>
            </w:pPr>
            <w:r>
              <w:t xml:space="preserve">-136.5 </w:t>
            </w:r>
            <w:proofErr w:type="spellStart"/>
            <w:r>
              <w:t>dBW</w:t>
            </w:r>
            <w:proofErr w:type="spellEnd"/>
            <w:r>
              <w:t>/MHz</w:t>
            </w:r>
          </w:p>
        </w:tc>
        <w:tc>
          <w:tcPr>
            <w:tcW w:w="2501" w:type="dxa"/>
            <w:shd w:val="clear" w:color="auto" w:fill="F2F2F2" w:themeFill="background1" w:themeFillShade="F2"/>
          </w:tcPr>
          <w:p w14:paraId="344350E4" w14:textId="77777777" w:rsidR="00121758" w:rsidRDefault="00121758" w:rsidP="00387196">
            <w:pPr>
              <w:pStyle w:val="TableBody"/>
              <w:keepNext/>
              <w:keepLines/>
            </w:pPr>
            <w:r>
              <w:t xml:space="preserve">As per TS </w:t>
            </w:r>
            <w:r w:rsidRPr="00720EB4">
              <w:t>38.101</w:t>
            </w:r>
            <w:r>
              <w:t>-5, discussed further below</w:t>
            </w:r>
          </w:p>
        </w:tc>
      </w:tr>
      <w:tr w:rsidR="00121758" w14:paraId="0A3A167E" w14:textId="77777777" w:rsidTr="00BA7455">
        <w:tc>
          <w:tcPr>
            <w:tcW w:w="2880" w:type="dxa"/>
            <w:shd w:val="clear" w:color="auto" w:fill="auto"/>
            <w:vAlign w:val="center"/>
          </w:tcPr>
          <w:p w14:paraId="5D1F1F6F" w14:textId="77777777" w:rsidR="00121758" w:rsidRDefault="00121758" w:rsidP="00387196">
            <w:pPr>
              <w:pStyle w:val="TableBody"/>
              <w:keepNext/>
              <w:keepLines/>
            </w:pPr>
            <w:r>
              <w:t>Adjacent channel selectivity</w:t>
            </w:r>
          </w:p>
        </w:tc>
        <w:tc>
          <w:tcPr>
            <w:tcW w:w="1935" w:type="dxa"/>
            <w:shd w:val="clear" w:color="auto" w:fill="auto"/>
            <w:vAlign w:val="center"/>
          </w:tcPr>
          <w:p w14:paraId="0E05D558" w14:textId="77777777" w:rsidR="00121758" w:rsidRDefault="00121758" w:rsidP="00387196">
            <w:pPr>
              <w:pStyle w:val="TableBody"/>
              <w:keepNext/>
              <w:keepLines/>
            </w:pPr>
            <w:r>
              <w:t>33 dB</w:t>
            </w:r>
          </w:p>
        </w:tc>
        <w:tc>
          <w:tcPr>
            <w:tcW w:w="2501" w:type="dxa"/>
            <w:shd w:val="clear" w:color="auto" w:fill="auto"/>
          </w:tcPr>
          <w:p w14:paraId="10D659A7" w14:textId="77777777" w:rsidR="00121758" w:rsidRDefault="00121758" w:rsidP="00387196">
            <w:pPr>
              <w:pStyle w:val="TableBody"/>
              <w:keepNext/>
              <w:keepLines/>
            </w:pPr>
            <w:r>
              <w:t xml:space="preserve">As per TS 38.101-5 (Table 7.5-1)  </w:t>
            </w:r>
          </w:p>
        </w:tc>
      </w:tr>
    </w:tbl>
    <w:p w14:paraId="717D8370" w14:textId="77777777" w:rsidR="00121758" w:rsidRDefault="00121758" w:rsidP="00121758">
      <w:pPr>
        <w:pStyle w:val="Spaceaftertable"/>
      </w:pPr>
    </w:p>
    <w:p w14:paraId="4E87E103" w14:textId="1E4A7387" w:rsidR="00121758" w:rsidRDefault="008F34ED" w:rsidP="00426ADA">
      <w:pPr>
        <w:pStyle w:val="ACMATableHeader"/>
        <w:keepNext/>
      </w:pPr>
      <w:bookmarkStart w:id="119" w:name="_Toc150510338"/>
      <w:bookmarkStart w:id="120" w:name="_Toc150510391"/>
      <w:bookmarkEnd w:id="119"/>
      <w:bookmarkEnd w:id="120"/>
      <w:r>
        <w:t>A</w:t>
      </w:r>
      <w:r w:rsidR="00121758" w:rsidRPr="004F1D57">
        <w:t>eronautical termina</w:t>
      </w:r>
      <w:r w:rsidR="00426ADA">
        <w:t>ls (communication</w:t>
      </w:r>
      <w:r>
        <w:t xml:space="preserve"> </w:t>
      </w:r>
      <w:r w:rsidR="00426ADA">
        <w:t>with space stations)</w:t>
      </w:r>
      <w:r w:rsidR="00121758" w:rsidRPr="004F1D57">
        <w:t xml:space="preserve"> </w:t>
      </w:r>
    </w:p>
    <w:tbl>
      <w:tblPr>
        <w:tblStyle w:val="TableGrid"/>
        <w:tblW w:w="5000" w:type="pct"/>
        <w:tblCellMar>
          <w:top w:w="57" w:type="dxa"/>
          <w:bottom w:w="57" w:type="dxa"/>
        </w:tblCellMar>
        <w:tblLook w:val="04A0" w:firstRow="1" w:lastRow="0" w:firstColumn="1" w:lastColumn="0" w:noHBand="0" w:noVBand="1"/>
      </w:tblPr>
      <w:tblGrid>
        <w:gridCol w:w="2595"/>
        <w:gridCol w:w="2271"/>
        <w:gridCol w:w="2795"/>
      </w:tblGrid>
      <w:tr w:rsidR="00121758" w14:paraId="3AC99528" w14:textId="77777777" w:rsidTr="00BA7455">
        <w:trPr>
          <w:trHeight w:val="417"/>
        </w:trPr>
        <w:tc>
          <w:tcPr>
            <w:tcW w:w="3333" w:type="dxa"/>
            <w:shd w:val="clear" w:color="auto" w:fill="404040" w:themeFill="text1" w:themeFillTint="BF"/>
            <w:vAlign w:val="center"/>
          </w:tcPr>
          <w:p w14:paraId="4DD00CDA" w14:textId="77777777" w:rsidR="00121758" w:rsidRPr="008B0E1A" w:rsidRDefault="00121758" w:rsidP="00426ADA">
            <w:pPr>
              <w:pStyle w:val="Tableheaderrow"/>
              <w:keepNext/>
              <w:keepLines/>
              <w:rPr>
                <w:color w:val="FFFFFF" w:themeColor="background1"/>
              </w:rPr>
            </w:pPr>
            <w:r>
              <w:rPr>
                <w:color w:val="FFFFFF" w:themeColor="background1"/>
              </w:rPr>
              <w:t>Parameter</w:t>
            </w:r>
          </w:p>
        </w:tc>
        <w:tc>
          <w:tcPr>
            <w:tcW w:w="2906" w:type="dxa"/>
            <w:shd w:val="clear" w:color="auto" w:fill="404040" w:themeFill="text1" w:themeFillTint="BF"/>
            <w:vAlign w:val="center"/>
          </w:tcPr>
          <w:p w14:paraId="4189DC17" w14:textId="77777777" w:rsidR="00121758" w:rsidRPr="008B0E1A" w:rsidRDefault="00121758" w:rsidP="00426ADA">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3761" w:type="dxa"/>
            <w:shd w:val="clear" w:color="auto" w:fill="404040" w:themeFill="text1" w:themeFillTint="BF"/>
            <w:vAlign w:val="center"/>
          </w:tcPr>
          <w:p w14:paraId="60CD307A" w14:textId="77777777" w:rsidR="00121758" w:rsidRDefault="00121758" w:rsidP="00426ADA">
            <w:pPr>
              <w:pStyle w:val="Tableheaderrow"/>
              <w:keepNext/>
              <w:keepLines/>
              <w:rPr>
                <w:color w:val="FFFFFF" w:themeColor="background1"/>
              </w:rPr>
            </w:pPr>
            <w:r>
              <w:rPr>
                <w:color w:val="FFFFFF" w:themeColor="background1"/>
              </w:rPr>
              <w:t xml:space="preserve">Notes </w:t>
            </w:r>
          </w:p>
        </w:tc>
      </w:tr>
      <w:tr w:rsidR="00121758" w14:paraId="7374C7ED" w14:textId="77777777" w:rsidTr="00BA7455">
        <w:trPr>
          <w:trHeight w:val="221"/>
        </w:trPr>
        <w:tc>
          <w:tcPr>
            <w:tcW w:w="3333" w:type="dxa"/>
            <w:shd w:val="clear" w:color="auto" w:fill="auto"/>
          </w:tcPr>
          <w:p w14:paraId="626BFB64" w14:textId="77777777" w:rsidR="00121758" w:rsidRDefault="00121758" w:rsidP="00426ADA">
            <w:pPr>
              <w:pStyle w:val="TableBody"/>
              <w:keepNext/>
              <w:keepLines/>
            </w:pPr>
            <w:r>
              <w:rPr>
                <w:szCs w:val="20"/>
              </w:rPr>
              <w:t>Transmit power</w:t>
            </w:r>
            <w:r w:rsidRPr="00133E59">
              <w:t xml:space="preserve"> max </w:t>
            </w:r>
          </w:p>
        </w:tc>
        <w:tc>
          <w:tcPr>
            <w:tcW w:w="2906" w:type="dxa"/>
            <w:shd w:val="clear" w:color="auto" w:fill="auto"/>
          </w:tcPr>
          <w:p w14:paraId="63981FB1" w14:textId="77777777" w:rsidR="00121758" w:rsidRDefault="00121758" w:rsidP="00426ADA">
            <w:pPr>
              <w:pStyle w:val="TableBody"/>
              <w:keepNext/>
              <w:keepLines/>
            </w:pPr>
            <w:r>
              <w:t>25 dBm</w:t>
            </w:r>
            <w:r w:rsidRPr="00133E59">
              <w:t xml:space="preserve"> </w:t>
            </w:r>
          </w:p>
        </w:tc>
        <w:tc>
          <w:tcPr>
            <w:tcW w:w="3761" w:type="dxa"/>
            <w:vMerge w:val="restart"/>
          </w:tcPr>
          <w:p w14:paraId="5E04A683" w14:textId="77777777" w:rsidR="00121758" w:rsidRDefault="00121758" w:rsidP="00426ADA">
            <w:pPr>
              <w:pStyle w:val="TableBody"/>
              <w:keepNext/>
              <w:keepLines/>
            </w:pPr>
            <w:r w:rsidRPr="00F02CF2">
              <w:t>ECC Report 233</w:t>
            </w:r>
            <w:r>
              <w:rPr>
                <w:rStyle w:val="FootnoteReference"/>
              </w:rPr>
              <w:footnoteReference w:id="38"/>
            </w:r>
            <w:r>
              <w:t>, Table 7</w:t>
            </w:r>
          </w:p>
        </w:tc>
      </w:tr>
      <w:tr w:rsidR="00121758" w14:paraId="6C7403E7" w14:textId="77777777" w:rsidTr="00BA7455">
        <w:trPr>
          <w:trHeight w:val="231"/>
        </w:trPr>
        <w:tc>
          <w:tcPr>
            <w:tcW w:w="3333" w:type="dxa"/>
            <w:shd w:val="clear" w:color="auto" w:fill="F2F2F2" w:themeFill="background1" w:themeFillShade="F2"/>
          </w:tcPr>
          <w:p w14:paraId="6226D538" w14:textId="77777777" w:rsidR="00121758" w:rsidRDefault="00121758" w:rsidP="00426ADA">
            <w:pPr>
              <w:pStyle w:val="TableBody"/>
              <w:keepNext/>
              <w:keepLines/>
            </w:pPr>
            <w:r>
              <w:rPr>
                <w:szCs w:val="20"/>
              </w:rPr>
              <w:t>Bandwidth</w:t>
            </w:r>
          </w:p>
        </w:tc>
        <w:tc>
          <w:tcPr>
            <w:tcW w:w="2906" w:type="dxa"/>
            <w:shd w:val="clear" w:color="auto" w:fill="F2F2F2" w:themeFill="background1" w:themeFillShade="F2"/>
          </w:tcPr>
          <w:p w14:paraId="06CEA495" w14:textId="77777777" w:rsidR="00121758" w:rsidRDefault="00121758" w:rsidP="00426ADA">
            <w:pPr>
              <w:pStyle w:val="TableBody"/>
              <w:keepNext/>
              <w:keepLines/>
            </w:pPr>
            <w:r>
              <w:rPr>
                <w:szCs w:val="20"/>
              </w:rPr>
              <w:t>0.2 MHz</w:t>
            </w:r>
          </w:p>
        </w:tc>
        <w:tc>
          <w:tcPr>
            <w:tcW w:w="3761" w:type="dxa"/>
            <w:vMerge/>
          </w:tcPr>
          <w:p w14:paraId="408C966F" w14:textId="77777777" w:rsidR="00121758" w:rsidRDefault="00121758" w:rsidP="00426ADA">
            <w:pPr>
              <w:pStyle w:val="TableBody"/>
              <w:keepNext/>
              <w:keepLines/>
              <w:rPr>
                <w:szCs w:val="20"/>
              </w:rPr>
            </w:pPr>
          </w:p>
        </w:tc>
      </w:tr>
      <w:tr w:rsidR="00121758" w14:paraId="7C97CEF4" w14:textId="77777777" w:rsidTr="00BA7455">
        <w:trPr>
          <w:trHeight w:val="231"/>
        </w:trPr>
        <w:tc>
          <w:tcPr>
            <w:tcW w:w="3333" w:type="dxa"/>
            <w:shd w:val="clear" w:color="auto" w:fill="auto"/>
          </w:tcPr>
          <w:p w14:paraId="39C69E1E" w14:textId="3B1B49EE" w:rsidR="00121758" w:rsidRDefault="00121758" w:rsidP="00426ADA">
            <w:pPr>
              <w:pStyle w:val="TableBody"/>
              <w:keepNext/>
              <w:keepLines/>
            </w:pPr>
            <w:r>
              <w:rPr>
                <w:szCs w:val="20"/>
              </w:rPr>
              <w:t xml:space="preserve">Maximum </w:t>
            </w:r>
            <w:r w:rsidR="00C645C1">
              <w:rPr>
                <w:szCs w:val="20"/>
              </w:rPr>
              <w:t>a</w:t>
            </w:r>
            <w:r>
              <w:rPr>
                <w:szCs w:val="20"/>
              </w:rPr>
              <w:t xml:space="preserve">ntenna </w:t>
            </w:r>
            <w:r w:rsidR="00C645C1">
              <w:t>g</w:t>
            </w:r>
            <w:r w:rsidRPr="00133E59">
              <w:t xml:space="preserve">ain </w:t>
            </w:r>
          </w:p>
        </w:tc>
        <w:tc>
          <w:tcPr>
            <w:tcW w:w="2906" w:type="dxa"/>
            <w:shd w:val="clear" w:color="auto" w:fill="auto"/>
          </w:tcPr>
          <w:p w14:paraId="13ACBFA4" w14:textId="77777777" w:rsidR="00121758" w:rsidRDefault="00121758" w:rsidP="00426ADA">
            <w:pPr>
              <w:pStyle w:val="TableBody"/>
              <w:keepNext/>
              <w:keepLines/>
            </w:pPr>
            <w:r w:rsidRPr="00133E59">
              <w:t xml:space="preserve">15 </w:t>
            </w:r>
            <w:proofErr w:type="spellStart"/>
            <w:r w:rsidRPr="00133E59">
              <w:t>dBi</w:t>
            </w:r>
            <w:proofErr w:type="spellEnd"/>
            <w:r w:rsidRPr="00133E59">
              <w:t xml:space="preserve"> </w:t>
            </w:r>
          </w:p>
        </w:tc>
        <w:tc>
          <w:tcPr>
            <w:tcW w:w="3761" w:type="dxa"/>
            <w:vMerge/>
          </w:tcPr>
          <w:p w14:paraId="6540A8C7" w14:textId="77777777" w:rsidR="00121758" w:rsidRPr="00133E59" w:rsidRDefault="00121758" w:rsidP="00426ADA">
            <w:pPr>
              <w:pStyle w:val="TableBody"/>
              <w:keepNext/>
              <w:keepLines/>
            </w:pPr>
          </w:p>
        </w:tc>
      </w:tr>
      <w:tr w:rsidR="00121758" w14:paraId="6BD53AB4" w14:textId="77777777" w:rsidTr="00BA7455">
        <w:trPr>
          <w:trHeight w:val="231"/>
        </w:trPr>
        <w:tc>
          <w:tcPr>
            <w:tcW w:w="3333" w:type="dxa"/>
            <w:shd w:val="clear" w:color="auto" w:fill="D9D9D9" w:themeFill="background1" w:themeFillShade="D9"/>
          </w:tcPr>
          <w:p w14:paraId="66EB5FB9" w14:textId="77777777" w:rsidR="00121758" w:rsidRDefault="00121758" w:rsidP="00426ADA">
            <w:pPr>
              <w:pStyle w:val="TableBody"/>
              <w:keepNext/>
              <w:keepLines/>
            </w:pPr>
            <w:r>
              <w:rPr>
                <w:szCs w:val="20"/>
              </w:rPr>
              <w:t xml:space="preserve">Antenna type </w:t>
            </w:r>
          </w:p>
        </w:tc>
        <w:tc>
          <w:tcPr>
            <w:tcW w:w="2906" w:type="dxa"/>
            <w:shd w:val="clear" w:color="auto" w:fill="D9D9D9" w:themeFill="background1" w:themeFillShade="D9"/>
          </w:tcPr>
          <w:p w14:paraId="6EC42A6D" w14:textId="77777777" w:rsidR="00121758" w:rsidRDefault="00121758" w:rsidP="00426ADA">
            <w:pPr>
              <w:pStyle w:val="TableBody"/>
              <w:keepNext/>
              <w:keepLines/>
            </w:pPr>
            <w:r w:rsidRPr="00133E59">
              <w:t xml:space="preserve">Directional </w:t>
            </w:r>
            <w:r>
              <w:t xml:space="preserve">- </w:t>
            </w:r>
            <w:r w:rsidRPr="00F76055">
              <w:t>rec. 4.1 of Rec. ITU-R F.1336-4</w:t>
            </w:r>
          </w:p>
        </w:tc>
        <w:tc>
          <w:tcPr>
            <w:tcW w:w="3761" w:type="dxa"/>
            <w:vMerge/>
          </w:tcPr>
          <w:p w14:paraId="769C78DA" w14:textId="77777777" w:rsidR="00121758" w:rsidRPr="00133E59" w:rsidRDefault="00121758" w:rsidP="00426ADA">
            <w:pPr>
              <w:pStyle w:val="TableBody"/>
              <w:keepNext/>
              <w:keepLines/>
            </w:pPr>
          </w:p>
        </w:tc>
      </w:tr>
      <w:tr w:rsidR="00121758" w14:paraId="18026222" w14:textId="77777777" w:rsidTr="00BA7455">
        <w:trPr>
          <w:trHeight w:val="231"/>
        </w:trPr>
        <w:tc>
          <w:tcPr>
            <w:tcW w:w="3333" w:type="dxa"/>
            <w:shd w:val="clear" w:color="auto" w:fill="auto"/>
          </w:tcPr>
          <w:p w14:paraId="6E3A00CD" w14:textId="77777777" w:rsidR="00121758" w:rsidRDefault="00121758" w:rsidP="00426ADA">
            <w:pPr>
              <w:pStyle w:val="TableBody"/>
              <w:keepNext/>
              <w:keepLines/>
            </w:pPr>
            <w:r>
              <w:rPr>
                <w:szCs w:val="20"/>
              </w:rPr>
              <w:t>Power density</w:t>
            </w:r>
          </w:p>
        </w:tc>
        <w:tc>
          <w:tcPr>
            <w:tcW w:w="2906" w:type="dxa"/>
            <w:shd w:val="clear" w:color="auto" w:fill="auto"/>
          </w:tcPr>
          <w:p w14:paraId="423DAA97" w14:textId="77777777" w:rsidR="00121758" w:rsidRDefault="00121758" w:rsidP="00426ADA">
            <w:pPr>
              <w:pStyle w:val="TableBody"/>
              <w:keepNext/>
              <w:keepLines/>
            </w:pPr>
            <w:r>
              <w:rPr>
                <w:szCs w:val="20"/>
              </w:rPr>
              <w:t xml:space="preserve">2 </w:t>
            </w:r>
            <w:proofErr w:type="spellStart"/>
            <w:r>
              <w:rPr>
                <w:szCs w:val="20"/>
              </w:rPr>
              <w:t>dBW</w:t>
            </w:r>
            <w:proofErr w:type="spellEnd"/>
            <w:r>
              <w:rPr>
                <w:szCs w:val="20"/>
              </w:rPr>
              <w:t>/MHz</w:t>
            </w:r>
          </w:p>
        </w:tc>
        <w:tc>
          <w:tcPr>
            <w:tcW w:w="3761" w:type="dxa"/>
          </w:tcPr>
          <w:p w14:paraId="52C62EE8" w14:textId="77777777" w:rsidR="00121758" w:rsidRDefault="00121758" w:rsidP="00426ADA">
            <w:pPr>
              <w:pStyle w:val="TableBody"/>
              <w:keepNext/>
              <w:keepLines/>
              <w:rPr>
                <w:szCs w:val="20"/>
              </w:rPr>
            </w:pPr>
          </w:p>
        </w:tc>
      </w:tr>
      <w:tr w:rsidR="00121758" w14:paraId="7CF0C701" w14:textId="77777777" w:rsidTr="00BA7455">
        <w:trPr>
          <w:trHeight w:val="231"/>
        </w:trPr>
        <w:tc>
          <w:tcPr>
            <w:tcW w:w="3333" w:type="dxa"/>
            <w:shd w:val="clear" w:color="auto" w:fill="D9D9D9" w:themeFill="background1" w:themeFillShade="D9"/>
          </w:tcPr>
          <w:p w14:paraId="2E7B82C0" w14:textId="77777777" w:rsidR="00121758" w:rsidRDefault="00121758" w:rsidP="00426ADA">
            <w:pPr>
              <w:pStyle w:val="TableBody"/>
              <w:keepNext/>
              <w:keepLines/>
              <w:rPr>
                <w:szCs w:val="20"/>
              </w:rPr>
            </w:pPr>
            <w:r>
              <w:rPr>
                <w:szCs w:val="20"/>
              </w:rPr>
              <w:t>Altitude considered</w:t>
            </w:r>
          </w:p>
        </w:tc>
        <w:tc>
          <w:tcPr>
            <w:tcW w:w="2906" w:type="dxa"/>
            <w:shd w:val="clear" w:color="auto" w:fill="D9D9D9" w:themeFill="background1" w:themeFillShade="D9"/>
          </w:tcPr>
          <w:p w14:paraId="5353D5C4" w14:textId="77777777" w:rsidR="00121758" w:rsidRPr="00133E59" w:rsidRDefault="00121758" w:rsidP="00426ADA">
            <w:pPr>
              <w:pStyle w:val="TableBody"/>
              <w:keepNext/>
              <w:keepLines/>
            </w:pPr>
            <w:r>
              <w:t>0-12 000 m</w:t>
            </w:r>
          </w:p>
        </w:tc>
        <w:tc>
          <w:tcPr>
            <w:tcW w:w="3761" w:type="dxa"/>
            <w:shd w:val="clear" w:color="auto" w:fill="D9D9D9" w:themeFill="background1" w:themeFillShade="D9"/>
          </w:tcPr>
          <w:p w14:paraId="523CAE1F" w14:textId="77777777" w:rsidR="00121758" w:rsidRDefault="00121758" w:rsidP="00426ADA">
            <w:pPr>
              <w:pStyle w:val="TableBody"/>
              <w:keepNext/>
              <w:keepLines/>
            </w:pPr>
            <w:r>
              <w:t>Assumed, similar to Table 7 of ECC Report 233</w:t>
            </w:r>
          </w:p>
        </w:tc>
      </w:tr>
      <w:tr w:rsidR="00121758" w14:paraId="38651A01" w14:textId="77777777" w:rsidTr="00BA7455">
        <w:trPr>
          <w:trHeight w:val="231"/>
        </w:trPr>
        <w:tc>
          <w:tcPr>
            <w:tcW w:w="3333" w:type="dxa"/>
            <w:shd w:val="clear" w:color="auto" w:fill="auto"/>
          </w:tcPr>
          <w:p w14:paraId="3C0F7935" w14:textId="77777777" w:rsidR="00121758" w:rsidRDefault="00121758" w:rsidP="00387196">
            <w:pPr>
              <w:pStyle w:val="TableBody"/>
              <w:keepNext/>
              <w:keepLines/>
              <w:rPr>
                <w:szCs w:val="20"/>
              </w:rPr>
            </w:pPr>
            <w:r w:rsidRPr="0A130A10">
              <w:t>Permissible interference (assumed</w:t>
            </w:r>
            <w:r w:rsidRPr="0A130A10">
              <w:rPr>
                <w:rStyle w:val="FootnoteReference"/>
              </w:rPr>
              <w:footnoteReference w:id="39"/>
            </w:r>
            <w:r>
              <w:rPr>
                <w:szCs w:val="20"/>
              </w:rPr>
              <w:t>)</w:t>
            </w:r>
          </w:p>
        </w:tc>
        <w:tc>
          <w:tcPr>
            <w:tcW w:w="2906" w:type="dxa"/>
            <w:shd w:val="clear" w:color="auto" w:fill="auto"/>
          </w:tcPr>
          <w:p w14:paraId="38A9CC3B" w14:textId="77777777" w:rsidR="00121758" w:rsidRDefault="00121758" w:rsidP="00387196">
            <w:pPr>
              <w:pStyle w:val="TableBody"/>
              <w:keepNext/>
              <w:keepLines/>
            </w:pPr>
            <w:r>
              <w:rPr>
                <w:szCs w:val="20"/>
              </w:rPr>
              <w:t xml:space="preserve">-136.5 </w:t>
            </w:r>
            <w:proofErr w:type="spellStart"/>
            <w:r>
              <w:rPr>
                <w:szCs w:val="20"/>
              </w:rPr>
              <w:t>dBW</w:t>
            </w:r>
            <w:proofErr w:type="spellEnd"/>
            <w:r>
              <w:rPr>
                <w:szCs w:val="20"/>
              </w:rPr>
              <w:t>/MHz</w:t>
            </w:r>
          </w:p>
        </w:tc>
        <w:tc>
          <w:tcPr>
            <w:tcW w:w="3761" w:type="dxa"/>
          </w:tcPr>
          <w:p w14:paraId="650CD570" w14:textId="77777777" w:rsidR="00121758" w:rsidRDefault="00121758" w:rsidP="00387196">
            <w:pPr>
              <w:pStyle w:val="TableBody"/>
              <w:keepNext/>
              <w:keepLines/>
              <w:rPr>
                <w:szCs w:val="20"/>
              </w:rPr>
            </w:pPr>
            <w:r>
              <w:rPr>
                <w:szCs w:val="20"/>
              </w:rPr>
              <w:t>See MSS terminal above</w:t>
            </w:r>
          </w:p>
        </w:tc>
      </w:tr>
      <w:tr w:rsidR="00121758" w14:paraId="7013E39C" w14:textId="77777777" w:rsidTr="00BA7455">
        <w:trPr>
          <w:trHeight w:val="231"/>
        </w:trPr>
        <w:tc>
          <w:tcPr>
            <w:tcW w:w="3333" w:type="dxa"/>
            <w:shd w:val="clear" w:color="auto" w:fill="D9D9D9" w:themeFill="background1" w:themeFillShade="D9"/>
            <w:vAlign w:val="center"/>
          </w:tcPr>
          <w:p w14:paraId="19A37CEB" w14:textId="77777777" w:rsidR="00121758" w:rsidRDefault="00121758" w:rsidP="00387196">
            <w:pPr>
              <w:pStyle w:val="TableBody"/>
              <w:keepNext/>
              <w:keepLines/>
              <w:rPr>
                <w:szCs w:val="20"/>
              </w:rPr>
            </w:pPr>
            <w:r>
              <w:t>Adjacent channel leakage ratio</w:t>
            </w:r>
          </w:p>
        </w:tc>
        <w:tc>
          <w:tcPr>
            <w:tcW w:w="2906" w:type="dxa"/>
            <w:shd w:val="clear" w:color="auto" w:fill="D9D9D9" w:themeFill="background1" w:themeFillShade="D9"/>
            <w:vAlign w:val="center"/>
          </w:tcPr>
          <w:p w14:paraId="2FFC1412" w14:textId="77777777" w:rsidR="00121758" w:rsidRDefault="00121758" w:rsidP="00387196">
            <w:pPr>
              <w:pStyle w:val="TableBody"/>
              <w:keepNext/>
              <w:keepLines/>
              <w:rPr>
                <w:szCs w:val="20"/>
              </w:rPr>
            </w:pPr>
            <w:r>
              <w:t>30 dB</w:t>
            </w:r>
          </w:p>
        </w:tc>
        <w:tc>
          <w:tcPr>
            <w:tcW w:w="3761" w:type="dxa"/>
            <w:shd w:val="clear" w:color="auto" w:fill="D9D9D9" w:themeFill="background1" w:themeFillShade="D9"/>
          </w:tcPr>
          <w:p w14:paraId="749AC210" w14:textId="77777777" w:rsidR="00121758" w:rsidRDefault="00121758" w:rsidP="00387196">
            <w:pPr>
              <w:pStyle w:val="TableBody"/>
              <w:keepNext/>
              <w:keepLines/>
              <w:rPr>
                <w:szCs w:val="20"/>
              </w:rPr>
            </w:pPr>
            <w:r w:rsidRPr="00F02CF2">
              <w:t>ECC Report 233</w:t>
            </w:r>
            <w:r>
              <w:t>, Table 7</w:t>
            </w:r>
          </w:p>
        </w:tc>
      </w:tr>
      <w:tr w:rsidR="00121758" w14:paraId="31EAE9C5" w14:textId="77777777" w:rsidTr="00BA7455">
        <w:trPr>
          <w:trHeight w:val="231"/>
        </w:trPr>
        <w:tc>
          <w:tcPr>
            <w:tcW w:w="3333" w:type="dxa"/>
            <w:shd w:val="clear" w:color="auto" w:fill="auto"/>
            <w:vAlign w:val="center"/>
          </w:tcPr>
          <w:p w14:paraId="460FC4FE" w14:textId="77777777" w:rsidR="00121758" w:rsidRDefault="00121758" w:rsidP="00387196">
            <w:pPr>
              <w:pStyle w:val="TableBody"/>
              <w:keepNext/>
              <w:keepLines/>
              <w:rPr>
                <w:szCs w:val="20"/>
              </w:rPr>
            </w:pPr>
            <w:r>
              <w:rPr>
                <w:szCs w:val="20"/>
              </w:rPr>
              <w:t xml:space="preserve">Adjacent channel selectivity </w:t>
            </w:r>
          </w:p>
        </w:tc>
        <w:tc>
          <w:tcPr>
            <w:tcW w:w="2906" w:type="dxa"/>
            <w:shd w:val="clear" w:color="auto" w:fill="auto"/>
            <w:vAlign w:val="center"/>
          </w:tcPr>
          <w:p w14:paraId="66051EB6" w14:textId="77777777" w:rsidR="00121758" w:rsidRDefault="00121758" w:rsidP="00387196">
            <w:pPr>
              <w:pStyle w:val="TableBody"/>
              <w:keepNext/>
              <w:keepLines/>
              <w:rPr>
                <w:szCs w:val="20"/>
              </w:rPr>
            </w:pPr>
            <w:r>
              <w:rPr>
                <w:szCs w:val="20"/>
              </w:rPr>
              <w:t>33 dB</w:t>
            </w:r>
          </w:p>
        </w:tc>
        <w:tc>
          <w:tcPr>
            <w:tcW w:w="3761" w:type="dxa"/>
          </w:tcPr>
          <w:p w14:paraId="6D780F2C" w14:textId="77777777" w:rsidR="00121758" w:rsidRDefault="00121758" w:rsidP="00387196">
            <w:pPr>
              <w:pStyle w:val="TableBody"/>
              <w:keepNext/>
              <w:keepLines/>
              <w:rPr>
                <w:szCs w:val="20"/>
              </w:rPr>
            </w:pPr>
            <w:r>
              <w:t xml:space="preserve">As per TS 38.101-5 (Table 7.5-1) </w:t>
            </w:r>
          </w:p>
        </w:tc>
      </w:tr>
    </w:tbl>
    <w:p w14:paraId="1C16FBDE" w14:textId="77777777" w:rsidR="00121758" w:rsidRDefault="00121758" w:rsidP="00121758">
      <w:pPr>
        <w:pStyle w:val="Spaceaftertable"/>
      </w:pPr>
    </w:p>
    <w:p w14:paraId="5F44D789" w14:textId="232798AA" w:rsidR="00121758" w:rsidRDefault="0085533E" w:rsidP="00121758">
      <w:pPr>
        <w:pStyle w:val="ACMATableHeader"/>
      </w:pPr>
      <w:r>
        <w:t>A</w:t>
      </w:r>
      <w:r w:rsidR="00121758" w:rsidRPr="00C600F6">
        <w:t>eronautical terminal</w:t>
      </w:r>
      <w:r>
        <w:t>s (communication with base stations)</w:t>
      </w:r>
      <w:r w:rsidR="00121758">
        <w:t xml:space="preserve"> </w:t>
      </w:r>
    </w:p>
    <w:tbl>
      <w:tblPr>
        <w:tblStyle w:val="TableGrid"/>
        <w:tblW w:w="5000" w:type="pct"/>
        <w:tblCellMar>
          <w:top w:w="57" w:type="dxa"/>
          <w:bottom w:w="57" w:type="dxa"/>
        </w:tblCellMar>
        <w:tblLook w:val="04A0" w:firstRow="1" w:lastRow="0" w:firstColumn="1" w:lastColumn="0" w:noHBand="0" w:noVBand="1"/>
      </w:tblPr>
      <w:tblGrid>
        <w:gridCol w:w="2689"/>
        <w:gridCol w:w="2824"/>
        <w:gridCol w:w="2148"/>
      </w:tblGrid>
      <w:tr w:rsidR="00121758" w14:paraId="4B08D4D3" w14:textId="77777777" w:rsidTr="00BA7455">
        <w:trPr>
          <w:trHeight w:val="436"/>
        </w:trPr>
        <w:tc>
          <w:tcPr>
            <w:tcW w:w="2689" w:type="dxa"/>
            <w:shd w:val="clear" w:color="auto" w:fill="404040" w:themeFill="text1" w:themeFillTint="BF"/>
            <w:vAlign w:val="center"/>
          </w:tcPr>
          <w:p w14:paraId="6F0D9DF3" w14:textId="77777777" w:rsidR="00121758" w:rsidRPr="008B0E1A" w:rsidRDefault="00121758" w:rsidP="00387196">
            <w:pPr>
              <w:pStyle w:val="Tableheaderrow"/>
              <w:keepNext/>
              <w:keepLines/>
              <w:rPr>
                <w:color w:val="FFFFFF" w:themeColor="background1"/>
              </w:rPr>
            </w:pPr>
            <w:r>
              <w:rPr>
                <w:color w:val="FFFFFF" w:themeColor="background1"/>
              </w:rPr>
              <w:t>Parameter</w:t>
            </w:r>
          </w:p>
        </w:tc>
        <w:tc>
          <w:tcPr>
            <w:tcW w:w="2824" w:type="dxa"/>
            <w:shd w:val="clear" w:color="auto" w:fill="404040" w:themeFill="text1" w:themeFillTint="BF"/>
            <w:vAlign w:val="center"/>
          </w:tcPr>
          <w:p w14:paraId="787164CA" w14:textId="77777777" w:rsidR="00121758" w:rsidRPr="008B0E1A" w:rsidRDefault="00121758" w:rsidP="00387196">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2148" w:type="dxa"/>
            <w:shd w:val="clear" w:color="auto" w:fill="404040" w:themeFill="text1" w:themeFillTint="BF"/>
          </w:tcPr>
          <w:p w14:paraId="3134A0C8" w14:textId="77777777" w:rsidR="00121758" w:rsidRDefault="00121758" w:rsidP="00387196">
            <w:pPr>
              <w:pStyle w:val="Tableheaderrow"/>
              <w:keepNext/>
              <w:keepLines/>
              <w:rPr>
                <w:color w:val="FFFFFF" w:themeColor="background1"/>
              </w:rPr>
            </w:pPr>
          </w:p>
        </w:tc>
      </w:tr>
      <w:tr w:rsidR="00121758" w14:paraId="32C63B43" w14:textId="77777777" w:rsidTr="00BA7455">
        <w:trPr>
          <w:trHeight w:val="231"/>
        </w:trPr>
        <w:tc>
          <w:tcPr>
            <w:tcW w:w="2689" w:type="dxa"/>
            <w:tcBorders>
              <w:bottom w:val="single" w:sz="4" w:space="0" w:color="auto"/>
            </w:tcBorders>
            <w:shd w:val="clear" w:color="auto" w:fill="auto"/>
          </w:tcPr>
          <w:p w14:paraId="2CD97706" w14:textId="77777777" w:rsidR="00121758" w:rsidRDefault="00121758" w:rsidP="00387196">
            <w:pPr>
              <w:pStyle w:val="TableBody"/>
              <w:keepNext/>
              <w:keepLines/>
            </w:pPr>
            <w:r>
              <w:rPr>
                <w:szCs w:val="20"/>
              </w:rPr>
              <w:t>Tx power</w:t>
            </w:r>
          </w:p>
        </w:tc>
        <w:tc>
          <w:tcPr>
            <w:tcW w:w="2824" w:type="dxa"/>
            <w:tcBorders>
              <w:bottom w:val="single" w:sz="4" w:space="0" w:color="auto"/>
            </w:tcBorders>
            <w:shd w:val="clear" w:color="auto" w:fill="auto"/>
          </w:tcPr>
          <w:p w14:paraId="2DB7E8E3" w14:textId="77777777" w:rsidR="00121758" w:rsidRDefault="00121758" w:rsidP="00387196">
            <w:pPr>
              <w:pStyle w:val="TableBody"/>
              <w:keepNext/>
              <w:keepLines/>
            </w:pPr>
            <w:r>
              <w:rPr>
                <w:szCs w:val="20"/>
              </w:rPr>
              <w:t xml:space="preserve">37 dBm </w:t>
            </w:r>
          </w:p>
        </w:tc>
        <w:tc>
          <w:tcPr>
            <w:tcW w:w="2148" w:type="dxa"/>
            <w:vMerge w:val="restart"/>
          </w:tcPr>
          <w:p w14:paraId="036E1FCA" w14:textId="77777777" w:rsidR="00121758" w:rsidRDefault="00121758" w:rsidP="00387196">
            <w:pPr>
              <w:pStyle w:val="TableBody"/>
              <w:keepNext/>
              <w:keepLines/>
              <w:rPr>
                <w:szCs w:val="20"/>
              </w:rPr>
            </w:pPr>
            <w:r w:rsidRPr="00F02CF2">
              <w:t>ECC Report 233</w:t>
            </w:r>
            <w:r>
              <w:t xml:space="preserve">, Table 6 </w:t>
            </w:r>
          </w:p>
        </w:tc>
      </w:tr>
      <w:tr w:rsidR="00121758" w14:paraId="2ABCD63A" w14:textId="77777777" w:rsidTr="00BA7455">
        <w:trPr>
          <w:trHeight w:val="241"/>
        </w:trPr>
        <w:tc>
          <w:tcPr>
            <w:tcW w:w="2689" w:type="dxa"/>
            <w:tcBorders>
              <w:bottom w:val="nil"/>
            </w:tcBorders>
            <w:shd w:val="clear" w:color="auto" w:fill="D9D9D9" w:themeFill="background1" w:themeFillShade="D9"/>
          </w:tcPr>
          <w:p w14:paraId="79DC39A0" w14:textId="77777777" w:rsidR="00121758" w:rsidRDefault="00121758" w:rsidP="00387196">
            <w:pPr>
              <w:pStyle w:val="TableBody"/>
              <w:keepNext/>
              <w:keepLines/>
            </w:pPr>
            <w:r>
              <w:rPr>
                <w:szCs w:val="20"/>
              </w:rPr>
              <w:t>Bandwidth</w:t>
            </w:r>
          </w:p>
        </w:tc>
        <w:tc>
          <w:tcPr>
            <w:tcW w:w="2824" w:type="dxa"/>
            <w:tcBorders>
              <w:bottom w:val="nil"/>
            </w:tcBorders>
            <w:shd w:val="clear" w:color="auto" w:fill="D9D9D9" w:themeFill="background1" w:themeFillShade="D9"/>
          </w:tcPr>
          <w:p w14:paraId="109BA97C" w14:textId="77777777" w:rsidR="00121758" w:rsidRDefault="00121758" w:rsidP="00387196">
            <w:pPr>
              <w:pStyle w:val="TableBody"/>
              <w:keepNext/>
              <w:keepLines/>
            </w:pPr>
            <w:r>
              <w:rPr>
                <w:szCs w:val="20"/>
              </w:rPr>
              <w:t>10 MHz</w:t>
            </w:r>
          </w:p>
        </w:tc>
        <w:tc>
          <w:tcPr>
            <w:tcW w:w="2148" w:type="dxa"/>
            <w:vMerge/>
          </w:tcPr>
          <w:p w14:paraId="3EC1C55A" w14:textId="77777777" w:rsidR="00121758" w:rsidRDefault="00121758" w:rsidP="00387196">
            <w:pPr>
              <w:pStyle w:val="TableBody"/>
              <w:keepNext/>
              <w:keepLines/>
              <w:rPr>
                <w:szCs w:val="20"/>
              </w:rPr>
            </w:pPr>
          </w:p>
        </w:tc>
      </w:tr>
      <w:tr w:rsidR="00121758" w14:paraId="18331E4F" w14:textId="77777777" w:rsidTr="00BA7455">
        <w:trPr>
          <w:trHeight w:val="241"/>
        </w:trPr>
        <w:tc>
          <w:tcPr>
            <w:tcW w:w="2689" w:type="dxa"/>
            <w:tcBorders>
              <w:top w:val="nil"/>
              <w:bottom w:val="single" w:sz="4" w:space="0" w:color="auto"/>
            </w:tcBorders>
            <w:shd w:val="clear" w:color="auto" w:fill="auto"/>
          </w:tcPr>
          <w:p w14:paraId="29734251" w14:textId="77777777" w:rsidR="00121758" w:rsidRDefault="00121758" w:rsidP="00387196">
            <w:pPr>
              <w:pStyle w:val="TableBody"/>
              <w:keepNext/>
              <w:keepLines/>
            </w:pPr>
            <w:r>
              <w:rPr>
                <w:szCs w:val="20"/>
              </w:rPr>
              <w:t xml:space="preserve">Antenna type </w:t>
            </w:r>
          </w:p>
        </w:tc>
        <w:tc>
          <w:tcPr>
            <w:tcW w:w="2824" w:type="dxa"/>
            <w:tcBorders>
              <w:top w:val="nil"/>
              <w:bottom w:val="single" w:sz="4" w:space="0" w:color="auto"/>
            </w:tcBorders>
            <w:shd w:val="clear" w:color="auto" w:fill="auto"/>
          </w:tcPr>
          <w:p w14:paraId="45C3EFB2" w14:textId="77777777" w:rsidR="00121758" w:rsidRDefault="00121758" w:rsidP="00387196">
            <w:pPr>
              <w:pStyle w:val="TableBody"/>
              <w:keepNext/>
              <w:keepLines/>
            </w:pPr>
            <w:r>
              <w:rPr>
                <w:szCs w:val="20"/>
              </w:rPr>
              <w:t xml:space="preserve">Azimuth: omni-directional </w:t>
            </w:r>
            <w:r>
              <w:rPr>
                <w:szCs w:val="20"/>
              </w:rPr>
              <w:br/>
              <w:t>Elevation: See Figure 6 of ECC Report 233</w:t>
            </w:r>
          </w:p>
        </w:tc>
        <w:tc>
          <w:tcPr>
            <w:tcW w:w="2148" w:type="dxa"/>
            <w:vMerge/>
          </w:tcPr>
          <w:p w14:paraId="08CF6A71" w14:textId="77777777" w:rsidR="00121758" w:rsidRDefault="00121758" w:rsidP="00387196">
            <w:pPr>
              <w:pStyle w:val="TableBody"/>
              <w:keepNext/>
              <w:keepLines/>
              <w:rPr>
                <w:szCs w:val="20"/>
              </w:rPr>
            </w:pPr>
          </w:p>
        </w:tc>
      </w:tr>
      <w:tr w:rsidR="00121758" w14:paraId="4C075E07" w14:textId="77777777" w:rsidTr="00BA7455">
        <w:trPr>
          <w:trHeight w:val="483"/>
        </w:trPr>
        <w:tc>
          <w:tcPr>
            <w:tcW w:w="2689" w:type="dxa"/>
            <w:tcBorders>
              <w:bottom w:val="nil"/>
            </w:tcBorders>
            <w:shd w:val="clear" w:color="auto" w:fill="D9D9D9" w:themeFill="background1" w:themeFillShade="D9"/>
          </w:tcPr>
          <w:p w14:paraId="7C1E8B72" w14:textId="77777777" w:rsidR="00121758" w:rsidRDefault="00121758" w:rsidP="00387196">
            <w:pPr>
              <w:pStyle w:val="TableBody"/>
              <w:keepNext/>
              <w:keepLines/>
            </w:pPr>
            <w:r>
              <w:rPr>
                <w:szCs w:val="20"/>
              </w:rPr>
              <w:t>Antenna gain</w:t>
            </w:r>
          </w:p>
        </w:tc>
        <w:tc>
          <w:tcPr>
            <w:tcW w:w="2824" w:type="dxa"/>
            <w:tcBorders>
              <w:bottom w:val="nil"/>
            </w:tcBorders>
            <w:shd w:val="clear" w:color="auto" w:fill="D9D9D9" w:themeFill="background1" w:themeFillShade="D9"/>
          </w:tcPr>
          <w:p w14:paraId="3AD890F2" w14:textId="77777777" w:rsidR="00121758" w:rsidRDefault="00121758" w:rsidP="00387196">
            <w:pPr>
              <w:pStyle w:val="TableBody"/>
              <w:keepNext/>
              <w:keepLines/>
            </w:pPr>
            <w:r>
              <w:rPr>
                <w:szCs w:val="20"/>
              </w:rPr>
              <w:t xml:space="preserve">3 </w:t>
            </w:r>
            <w:proofErr w:type="spellStart"/>
            <w:r>
              <w:rPr>
                <w:szCs w:val="20"/>
              </w:rPr>
              <w:t>dBi</w:t>
            </w:r>
            <w:proofErr w:type="spellEnd"/>
          </w:p>
        </w:tc>
        <w:tc>
          <w:tcPr>
            <w:tcW w:w="2148" w:type="dxa"/>
            <w:vMerge/>
          </w:tcPr>
          <w:p w14:paraId="213D698F" w14:textId="77777777" w:rsidR="00121758" w:rsidRDefault="00121758" w:rsidP="00387196">
            <w:pPr>
              <w:pStyle w:val="TableBody"/>
              <w:keepNext/>
              <w:keepLines/>
              <w:rPr>
                <w:szCs w:val="20"/>
              </w:rPr>
            </w:pPr>
          </w:p>
        </w:tc>
      </w:tr>
      <w:tr w:rsidR="00121758" w14:paraId="03A3A9EC" w14:textId="77777777" w:rsidTr="00BA7455">
        <w:trPr>
          <w:trHeight w:val="241"/>
        </w:trPr>
        <w:tc>
          <w:tcPr>
            <w:tcW w:w="2689" w:type="dxa"/>
            <w:tcBorders>
              <w:top w:val="nil"/>
            </w:tcBorders>
            <w:shd w:val="clear" w:color="auto" w:fill="auto"/>
          </w:tcPr>
          <w:p w14:paraId="51AF0C88" w14:textId="77777777" w:rsidR="00121758" w:rsidRDefault="00121758" w:rsidP="00387196">
            <w:pPr>
              <w:pStyle w:val="TableBody"/>
              <w:keepNext/>
              <w:keepLines/>
            </w:pPr>
            <w:r>
              <w:rPr>
                <w:szCs w:val="20"/>
              </w:rPr>
              <w:t>Power density</w:t>
            </w:r>
          </w:p>
        </w:tc>
        <w:tc>
          <w:tcPr>
            <w:tcW w:w="2824" w:type="dxa"/>
            <w:tcBorders>
              <w:top w:val="nil"/>
            </w:tcBorders>
            <w:shd w:val="clear" w:color="auto" w:fill="auto"/>
          </w:tcPr>
          <w:p w14:paraId="43809D04" w14:textId="77777777" w:rsidR="00121758" w:rsidRDefault="00121758" w:rsidP="00387196">
            <w:pPr>
              <w:pStyle w:val="TableBody"/>
              <w:keepNext/>
              <w:keepLines/>
            </w:pPr>
            <w:r>
              <w:rPr>
                <w:szCs w:val="20"/>
              </w:rPr>
              <w:t xml:space="preserve">-3 </w:t>
            </w:r>
            <w:proofErr w:type="spellStart"/>
            <w:r>
              <w:rPr>
                <w:szCs w:val="20"/>
              </w:rPr>
              <w:t>dBW</w:t>
            </w:r>
            <w:proofErr w:type="spellEnd"/>
            <w:r>
              <w:rPr>
                <w:szCs w:val="20"/>
              </w:rPr>
              <w:t>/MHz</w:t>
            </w:r>
          </w:p>
        </w:tc>
        <w:tc>
          <w:tcPr>
            <w:tcW w:w="2148" w:type="dxa"/>
          </w:tcPr>
          <w:p w14:paraId="3814739A" w14:textId="77777777" w:rsidR="00121758" w:rsidRDefault="00121758" w:rsidP="00387196">
            <w:pPr>
              <w:pStyle w:val="TableBody"/>
              <w:keepNext/>
              <w:keepLines/>
              <w:rPr>
                <w:szCs w:val="20"/>
              </w:rPr>
            </w:pPr>
          </w:p>
        </w:tc>
      </w:tr>
      <w:tr w:rsidR="00121758" w14:paraId="0B3DC94B" w14:textId="77777777" w:rsidTr="00BA7455">
        <w:trPr>
          <w:trHeight w:val="241"/>
        </w:trPr>
        <w:tc>
          <w:tcPr>
            <w:tcW w:w="2689" w:type="dxa"/>
            <w:shd w:val="clear" w:color="auto" w:fill="D9D9D9" w:themeFill="background1" w:themeFillShade="D9"/>
          </w:tcPr>
          <w:p w14:paraId="38BA8772" w14:textId="77777777" w:rsidR="00121758" w:rsidRDefault="00121758" w:rsidP="00387196">
            <w:pPr>
              <w:pStyle w:val="TableBody"/>
              <w:keepNext/>
              <w:keepLines/>
              <w:rPr>
                <w:szCs w:val="20"/>
              </w:rPr>
            </w:pPr>
            <w:r w:rsidRPr="0A130A10">
              <w:t>Permissible interference (assumed</w:t>
            </w:r>
            <w:r w:rsidRPr="0A130A10">
              <w:rPr>
                <w:rStyle w:val="FootnoteReference"/>
              </w:rPr>
              <w:footnoteReference w:id="40"/>
            </w:r>
            <w:r>
              <w:rPr>
                <w:szCs w:val="20"/>
              </w:rPr>
              <w:t>)</w:t>
            </w:r>
          </w:p>
        </w:tc>
        <w:tc>
          <w:tcPr>
            <w:tcW w:w="2824" w:type="dxa"/>
            <w:shd w:val="clear" w:color="auto" w:fill="D9D9D9" w:themeFill="background1" w:themeFillShade="D9"/>
          </w:tcPr>
          <w:p w14:paraId="66EAE98B" w14:textId="77777777" w:rsidR="00121758" w:rsidRDefault="00121758" w:rsidP="00387196">
            <w:pPr>
              <w:pStyle w:val="TableBody"/>
              <w:keepNext/>
              <w:keepLines/>
              <w:rPr>
                <w:szCs w:val="20"/>
              </w:rPr>
            </w:pPr>
            <w:r>
              <w:rPr>
                <w:szCs w:val="20"/>
              </w:rPr>
              <w:t xml:space="preserve">-136.5 </w:t>
            </w:r>
            <w:proofErr w:type="spellStart"/>
            <w:r>
              <w:rPr>
                <w:szCs w:val="20"/>
              </w:rPr>
              <w:t>dBW</w:t>
            </w:r>
            <w:proofErr w:type="spellEnd"/>
            <w:r>
              <w:rPr>
                <w:szCs w:val="20"/>
              </w:rPr>
              <w:t>/MHz</w:t>
            </w:r>
          </w:p>
        </w:tc>
        <w:tc>
          <w:tcPr>
            <w:tcW w:w="2148" w:type="dxa"/>
            <w:shd w:val="clear" w:color="auto" w:fill="D9D9D9" w:themeFill="background1" w:themeFillShade="D9"/>
          </w:tcPr>
          <w:p w14:paraId="5D0E5E20" w14:textId="77777777" w:rsidR="00121758" w:rsidRDefault="00121758" w:rsidP="00387196">
            <w:pPr>
              <w:pStyle w:val="TableBody"/>
              <w:keepNext/>
              <w:keepLines/>
              <w:rPr>
                <w:szCs w:val="20"/>
              </w:rPr>
            </w:pPr>
            <w:r>
              <w:rPr>
                <w:szCs w:val="20"/>
              </w:rPr>
              <w:t>See MSS terminal above</w:t>
            </w:r>
          </w:p>
        </w:tc>
      </w:tr>
      <w:tr w:rsidR="00121758" w14:paraId="3CCBE63A" w14:textId="77777777" w:rsidTr="00BA7455">
        <w:trPr>
          <w:trHeight w:val="241"/>
        </w:trPr>
        <w:tc>
          <w:tcPr>
            <w:tcW w:w="2689" w:type="dxa"/>
            <w:shd w:val="clear" w:color="auto" w:fill="auto"/>
            <w:vAlign w:val="center"/>
          </w:tcPr>
          <w:p w14:paraId="5C6009A7" w14:textId="77777777" w:rsidR="00121758" w:rsidRDefault="00121758" w:rsidP="00387196">
            <w:pPr>
              <w:pStyle w:val="TableBody"/>
              <w:keepNext/>
              <w:keepLines/>
              <w:rPr>
                <w:szCs w:val="20"/>
              </w:rPr>
            </w:pPr>
            <w:r>
              <w:rPr>
                <w:szCs w:val="20"/>
              </w:rPr>
              <w:t>Adjacent channel Selectivity (dB)</w:t>
            </w:r>
          </w:p>
        </w:tc>
        <w:tc>
          <w:tcPr>
            <w:tcW w:w="2824" w:type="dxa"/>
            <w:shd w:val="clear" w:color="auto" w:fill="auto"/>
            <w:vAlign w:val="center"/>
          </w:tcPr>
          <w:p w14:paraId="6B5F297A" w14:textId="77777777" w:rsidR="00121758" w:rsidRDefault="00121758" w:rsidP="00387196">
            <w:pPr>
              <w:pStyle w:val="TableBody"/>
              <w:keepNext/>
              <w:keepLines/>
              <w:rPr>
                <w:szCs w:val="20"/>
              </w:rPr>
            </w:pPr>
            <w:r>
              <w:rPr>
                <w:szCs w:val="20"/>
              </w:rPr>
              <w:t xml:space="preserve">33 </w:t>
            </w:r>
          </w:p>
        </w:tc>
        <w:tc>
          <w:tcPr>
            <w:tcW w:w="2148" w:type="dxa"/>
          </w:tcPr>
          <w:p w14:paraId="3CC7170B" w14:textId="77777777" w:rsidR="00121758" w:rsidRDefault="00121758" w:rsidP="00387196">
            <w:pPr>
              <w:pStyle w:val="TableBody"/>
              <w:keepNext/>
              <w:keepLines/>
              <w:rPr>
                <w:szCs w:val="20"/>
              </w:rPr>
            </w:pPr>
            <w:r>
              <w:t xml:space="preserve">As per TS 38.101-5 (Table 7.5-1)  </w:t>
            </w:r>
          </w:p>
        </w:tc>
      </w:tr>
      <w:tr w:rsidR="00121758" w14:paraId="0D10D172" w14:textId="77777777" w:rsidTr="00BA7455">
        <w:trPr>
          <w:trHeight w:val="241"/>
        </w:trPr>
        <w:tc>
          <w:tcPr>
            <w:tcW w:w="2689" w:type="dxa"/>
            <w:shd w:val="clear" w:color="auto" w:fill="D9D9D9" w:themeFill="background1" w:themeFillShade="D9"/>
            <w:vAlign w:val="center"/>
          </w:tcPr>
          <w:p w14:paraId="754C01C1" w14:textId="77777777" w:rsidR="00121758" w:rsidRDefault="00121758" w:rsidP="00387196">
            <w:pPr>
              <w:pStyle w:val="TableBody"/>
              <w:keepNext/>
              <w:keepLines/>
              <w:rPr>
                <w:szCs w:val="20"/>
              </w:rPr>
            </w:pPr>
            <w:r>
              <w:t>Adjacent channel leakage ratio</w:t>
            </w:r>
          </w:p>
        </w:tc>
        <w:tc>
          <w:tcPr>
            <w:tcW w:w="2824" w:type="dxa"/>
            <w:shd w:val="clear" w:color="auto" w:fill="D9D9D9" w:themeFill="background1" w:themeFillShade="D9"/>
            <w:vAlign w:val="center"/>
          </w:tcPr>
          <w:p w14:paraId="7FEC3C46" w14:textId="77777777" w:rsidR="00121758" w:rsidRDefault="00121758" w:rsidP="00387196">
            <w:pPr>
              <w:pStyle w:val="TableBody"/>
              <w:keepNext/>
              <w:keepLines/>
              <w:rPr>
                <w:szCs w:val="20"/>
              </w:rPr>
            </w:pPr>
            <w:r>
              <w:t>37 dB</w:t>
            </w:r>
          </w:p>
        </w:tc>
        <w:tc>
          <w:tcPr>
            <w:tcW w:w="2148" w:type="dxa"/>
            <w:shd w:val="clear" w:color="auto" w:fill="D9D9D9" w:themeFill="background1" w:themeFillShade="D9"/>
          </w:tcPr>
          <w:p w14:paraId="24D150AD" w14:textId="77777777" w:rsidR="00121758" w:rsidRDefault="00121758" w:rsidP="00387196">
            <w:pPr>
              <w:pStyle w:val="TableBody"/>
              <w:keepNext/>
              <w:keepLines/>
              <w:rPr>
                <w:szCs w:val="20"/>
              </w:rPr>
            </w:pPr>
            <w:r w:rsidRPr="00F02CF2">
              <w:t>ECC Report 233</w:t>
            </w:r>
            <w:r>
              <w:t>, Table 6</w:t>
            </w:r>
          </w:p>
        </w:tc>
      </w:tr>
    </w:tbl>
    <w:p w14:paraId="593FB8A9" w14:textId="77777777" w:rsidR="00121758" w:rsidRDefault="00121758" w:rsidP="00121758">
      <w:pPr>
        <w:pStyle w:val="Spaceaftertable"/>
      </w:pPr>
    </w:p>
    <w:p w14:paraId="234B6A3C" w14:textId="539AB6D9" w:rsidR="00121758" w:rsidRPr="00360979" w:rsidRDefault="00121758" w:rsidP="001657BA">
      <w:pPr>
        <w:pStyle w:val="ACMATableHeader"/>
        <w:keepNext/>
      </w:pPr>
      <w:r>
        <w:t>CGC base station</w:t>
      </w:r>
      <w:r w:rsidR="00075C81">
        <w:t>s</w:t>
      </w:r>
    </w:p>
    <w:tbl>
      <w:tblPr>
        <w:tblStyle w:val="TableGrid"/>
        <w:tblW w:w="5000" w:type="pct"/>
        <w:tblCellMar>
          <w:top w:w="57" w:type="dxa"/>
          <w:bottom w:w="57" w:type="dxa"/>
        </w:tblCellMar>
        <w:tblLook w:val="04A0" w:firstRow="1" w:lastRow="0" w:firstColumn="1" w:lastColumn="0" w:noHBand="0" w:noVBand="1"/>
      </w:tblPr>
      <w:tblGrid>
        <w:gridCol w:w="2552"/>
        <w:gridCol w:w="2405"/>
        <w:gridCol w:w="2704"/>
      </w:tblGrid>
      <w:tr w:rsidR="00121758" w14:paraId="45AAE58E" w14:textId="77777777" w:rsidTr="00BA7455">
        <w:trPr>
          <w:trHeight w:val="475"/>
        </w:trPr>
        <w:tc>
          <w:tcPr>
            <w:tcW w:w="2552" w:type="dxa"/>
            <w:shd w:val="clear" w:color="auto" w:fill="404040" w:themeFill="text1" w:themeFillTint="BF"/>
            <w:vAlign w:val="center"/>
          </w:tcPr>
          <w:p w14:paraId="1F37488E" w14:textId="77777777" w:rsidR="00121758" w:rsidRPr="008B0E1A" w:rsidRDefault="00121758" w:rsidP="001657BA">
            <w:pPr>
              <w:pStyle w:val="Tableheaderrow"/>
              <w:keepNext/>
              <w:keepLines/>
              <w:rPr>
                <w:color w:val="FFFFFF" w:themeColor="background1"/>
              </w:rPr>
            </w:pPr>
            <w:r>
              <w:rPr>
                <w:color w:val="FFFFFF" w:themeColor="background1"/>
              </w:rPr>
              <w:t>Parameter</w:t>
            </w:r>
          </w:p>
        </w:tc>
        <w:tc>
          <w:tcPr>
            <w:tcW w:w="2405" w:type="dxa"/>
            <w:shd w:val="clear" w:color="auto" w:fill="404040" w:themeFill="text1" w:themeFillTint="BF"/>
            <w:vAlign w:val="center"/>
          </w:tcPr>
          <w:p w14:paraId="26E73160" w14:textId="77777777" w:rsidR="00121758" w:rsidRPr="008B0E1A" w:rsidRDefault="00121758" w:rsidP="001657BA">
            <w:pPr>
              <w:pStyle w:val="Tableheaderrow"/>
              <w:keepNext/>
              <w:keepLines/>
              <w:rPr>
                <w:color w:val="FFFFFF" w:themeColor="background1"/>
              </w:rPr>
            </w:pPr>
            <w:r>
              <w:rPr>
                <w:color w:val="FFFFFF" w:themeColor="background1"/>
              </w:rPr>
              <w:t>Value</w:t>
            </w:r>
            <w:r w:rsidRPr="008B0E1A">
              <w:rPr>
                <w:color w:val="FFFFFF" w:themeColor="background1"/>
              </w:rPr>
              <w:t xml:space="preserve"> </w:t>
            </w:r>
          </w:p>
        </w:tc>
        <w:tc>
          <w:tcPr>
            <w:tcW w:w="2704" w:type="dxa"/>
            <w:shd w:val="clear" w:color="auto" w:fill="404040" w:themeFill="text1" w:themeFillTint="BF"/>
            <w:vAlign w:val="center"/>
          </w:tcPr>
          <w:p w14:paraId="0E5DF5C9" w14:textId="77777777" w:rsidR="00121758" w:rsidRDefault="00121758" w:rsidP="00BA7455">
            <w:pPr>
              <w:pStyle w:val="Tableheaderrow"/>
              <w:keepNext/>
              <w:keepLines/>
              <w:jc w:val="center"/>
              <w:rPr>
                <w:color w:val="FFFFFF" w:themeColor="background1"/>
              </w:rPr>
            </w:pPr>
            <w:r>
              <w:rPr>
                <w:color w:val="FFFFFF" w:themeColor="background1"/>
              </w:rPr>
              <w:t>Notes</w:t>
            </w:r>
          </w:p>
        </w:tc>
      </w:tr>
      <w:tr w:rsidR="00121758" w14:paraId="10ADD250" w14:textId="77777777" w:rsidTr="00BA7455">
        <w:trPr>
          <w:trHeight w:val="252"/>
        </w:trPr>
        <w:tc>
          <w:tcPr>
            <w:tcW w:w="2552" w:type="dxa"/>
            <w:shd w:val="clear" w:color="auto" w:fill="auto"/>
          </w:tcPr>
          <w:p w14:paraId="483541A4" w14:textId="77777777" w:rsidR="00121758" w:rsidRPr="00B60B9F" w:rsidRDefault="00121758" w:rsidP="001657BA">
            <w:pPr>
              <w:pStyle w:val="TableBody"/>
              <w:keepNext/>
              <w:keepLines/>
            </w:pPr>
            <w:r w:rsidRPr="007125F0">
              <w:t>T</w:t>
            </w:r>
            <w:r>
              <w:t>ransmit</w:t>
            </w:r>
            <w:r w:rsidRPr="007125F0">
              <w:t xml:space="preserve"> power </w:t>
            </w:r>
          </w:p>
        </w:tc>
        <w:tc>
          <w:tcPr>
            <w:tcW w:w="2405" w:type="dxa"/>
            <w:shd w:val="clear" w:color="auto" w:fill="auto"/>
          </w:tcPr>
          <w:p w14:paraId="3E240E3D" w14:textId="77777777" w:rsidR="00121758" w:rsidRDefault="00121758" w:rsidP="001657BA">
            <w:pPr>
              <w:pStyle w:val="TableBody"/>
              <w:keepNext/>
              <w:keepLines/>
            </w:pPr>
            <w:r>
              <w:t>1</w:t>
            </w:r>
            <w:r w:rsidRPr="007125F0">
              <w:t xml:space="preserve">7 </w:t>
            </w:r>
            <w:proofErr w:type="spellStart"/>
            <w:r w:rsidRPr="007125F0">
              <w:t>dB</w:t>
            </w:r>
            <w:r>
              <w:t>W</w:t>
            </w:r>
            <w:proofErr w:type="spellEnd"/>
            <w:r w:rsidRPr="007125F0">
              <w:t xml:space="preserve"> </w:t>
            </w:r>
          </w:p>
        </w:tc>
        <w:tc>
          <w:tcPr>
            <w:tcW w:w="2704" w:type="dxa"/>
          </w:tcPr>
          <w:p w14:paraId="084315F3" w14:textId="77777777" w:rsidR="00121758" w:rsidRPr="00012573" w:rsidRDefault="00121758" w:rsidP="001657BA">
            <w:pPr>
              <w:pStyle w:val="TableBody"/>
              <w:keepNext/>
              <w:keepLines/>
            </w:pPr>
            <w:r w:rsidRPr="009F1FD1">
              <w:t>ECC Report 233</w:t>
            </w:r>
          </w:p>
        </w:tc>
      </w:tr>
      <w:tr w:rsidR="00121758" w14:paraId="388E0450" w14:textId="77777777" w:rsidTr="00BA7455">
        <w:trPr>
          <w:trHeight w:val="252"/>
        </w:trPr>
        <w:tc>
          <w:tcPr>
            <w:tcW w:w="2552" w:type="dxa"/>
            <w:shd w:val="clear" w:color="auto" w:fill="auto"/>
          </w:tcPr>
          <w:p w14:paraId="776A0207" w14:textId="77777777" w:rsidR="00121758" w:rsidRPr="00B60B9F" w:rsidRDefault="00121758" w:rsidP="001657BA">
            <w:pPr>
              <w:pStyle w:val="TableBody"/>
              <w:keepNext/>
              <w:keepLines/>
            </w:pPr>
            <w:r w:rsidRPr="007125F0">
              <w:t>Bandwidth</w:t>
            </w:r>
          </w:p>
        </w:tc>
        <w:tc>
          <w:tcPr>
            <w:tcW w:w="2405" w:type="dxa"/>
            <w:shd w:val="clear" w:color="auto" w:fill="auto"/>
          </w:tcPr>
          <w:p w14:paraId="38DCC4DF" w14:textId="77777777" w:rsidR="00121758" w:rsidRDefault="00121758" w:rsidP="001657BA">
            <w:pPr>
              <w:pStyle w:val="TableBody"/>
              <w:keepNext/>
              <w:keepLines/>
            </w:pPr>
            <w:r w:rsidRPr="007125F0">
              <w:t>10 MHz</w:t>
            </w:r>
          </w:p>
        </w:tc>
        <w:tc>
          <w:tcPr>
            <w:tcW w:w="2704" w:type="dxa"/>
          </w:tcPr>
          <w:p w14:paraId="08798272" w14:textId="77777777" w:rsidR="00121758" w:rsidRPr="00012573" w:rsidRDefault="00121758" w:rsidP="001657BA">
            <w:pPr>
              <w:pStyle w:val="TableBody"/>
              <w:keepNext/>
              <w:keepLines/>
            </w:pPr>
            <w:r w:rsidRPr="009F1FD1">
              <w:t>ECC Report 233</w:t>
            </w:r>
          </w:p>
        </w:tc>
      </w:tr>
      <w:tr w:rsidR="00121758" w14:paraId="1BDE62DA" w14:textId="77777777" w:rsidTr="00BA7455">
        <w:trPr>
          <w:trHeight w:val="252"/>
        </w:trPr>
        <w:tc>
          <w:tcPr>
            <w:tcW w:w="2552" w:type="dxa"/>
            <w:shd w:val="clear" w:color="auto" w:fill="auto"/>
          </w:tcPr>
          <w:p w14:paraId="3B48540B" w14:textId="77777777" w:rsidR="00121758" w:rsidRDefault="00121758" w:rsidP="001657BA">
            <w:pPr>
              <w:pStyle w:val="TableBody"/>
              <w:keepNext/>
              <w:keepLines/>
            </w:pPr>
            <w:r w:rsidRPr="00B60B9F">
              <w:t>Maximum antenna gain (</w:t>
            </w:r>
            <w:proofErr w:type="spellStart"/>
            <w:r w:rsidRPr="00B60B9F">
              <w:t>dBi</w:t>
            </w:r>
            <w:proofErr w:type="spellEnd"/>
            <w:r w:rsidRPr="00B60B9F">
              <w:t>)</w:t>
            </w:r>
          </w:p>
        </w:tc>
        <w:tc>
          <w:tcPr>
            <w:tcW w:w="2405" w:type="dxa"/>
            <w:shd w:val="clear" w:color="auto" w:fill="auto"/>
          </w:tcPr>
          <w:p w14:paraId="60CD01CF" w14:textId="77777777" w:rsidR="00121758" w:rsidRDefault="00121758" w:rsidP="001657BA">
            <w:pPr>
              <w:pStyle w:val="TableBody"/>
              <w:keepNext/>
              <w:keepLines/>
            </w:pPr>
            <w:r>
              <w:t>18</w:t>
            </w:r>
          </w:p>
        </w:tc>
        <w:tc>
          <w:tcPr>
            <w:tcW w:w="2704" w:type="dxa"/>
            <w:vMerge w:val="restart"/>
          </w:tcPr>
          <w:p w14:paraId="33CB5DE8" w14:textId="77777777" w:rsidR="00121758" w:rsidRDefault="00121758" w:rsidP="001657BA">
            <w:pPr>
              <w:pStyle w:val="TableBody"/>
              <w:keepNext/>
              <w:keepLines/>
            </w:pPr>
            <w:r w:rsidRPr="00012573">
              <w:t>Assumed values - similar to MS33, ECC Report 233 Table 9 and licenced services in adjacent bands</w:t>
            </w:r>
          </w:p>
        </w:tc>
      </w:tr>
      <w:tr w:rsidR="00121758" w14:paraId="3DF403F9" w14:textId="77777777" w:rsidTr="00BA7455">
        <w:trPr>
          <w:trHeight w:val="526"/>
        </w:trPr>
        <w:tc>
          <w:tcPr>
            <w:tcW w:w="2552" w:type="dxa"/>
            <w:shd w:val="clear" w:color="auto" w:fill="F2F2F2" w:themeFill="background1" w:themeFillShade="F2"/>
          </w:tcPr>
          <w:p w14:paraId="3D83094E" w14:textId="77777777" w:rsidR="00121758" w:rsidRDefault="00121758" w:rsidP="001657BA">
            <w:pPr>
              <w:pStyle w:val="TableBody"/>
              <w:keepNext/>
              <w:keepLines/>
            </w:pPr>
            <w:r w:rsidRPr="00BD23EE">
              <w:t>Antenna gain pattern</w:t>
            </w:r>
          </w:p>
        </w:tc>
        <w:tc>
          <w:tcPr>
            <w:tcW w:w="2405" w:type="dxa"/>
            <w:shd w:val="clear" w:color="auto" w:fill="F2F2F2" w:themeFill="background1" w:themeFillShade="F2"/>
          </w:tcPr>
          <w:p w14:paraId="6708D372" w14:textId="77777777" w:rsidR="00121758" w:rsidRDefault="00121758" w:rsidP="001657BA">
            <w:pPr>
              <w:pStyle w:val="TableBody"/>
              <w:keepNext/>
              <w:keepLines/>
            </w:pPr>
            <w:r>
              <w:t>ITU-R F.1336 (Recommends 3.1)</w:t>
            </w:r>
          </w:p>
        </w:tc>
        <w:tc>
          <w:tcPr>
            <w:tcW w:w="2704" w:type="dxa"/>
            <w:vMerge/>
            <w:shd w:val="clear" w:color="auto" w:fill="F2F2F2" w:themeFill="background1" w:themeFillShade="F2"/>
          </w:tcPr>
          <w:p w14:paraId="58A49BA6" w14:textId="77777777" w:rsidR="00121758" w:rsidRDefault="00121758" w:rsidP="001657BA">
            <w:pPr>
              <w:pStyle w:val="TableBody"/>
              <w:keepNext/>
              <w:keepLines/>
            </w:pPr>
          </w:p>
        </w:tc>
      </w:tr>
      <w:tr w:rsidR="00121758" w14:paraId="4A039C85" w14:textId="77777777" w:rsidTr="00BA7455">
        <w:trPr>
          <w:trHeight w:val="262"/>
        </w:trPr>
        <w:tc>
          <w:tcPr>
            <w:tcW w:w="2552" w:type="dxa"/>
            <w:shd w:val="clear" w:color="auto" w:fill="auto"/>
          </w:tcPr>
          <w:p w14:paraId="55494B09" w14:textId="77777777" w:rsidR="00121758" w:rsidRDefault="00121758" w:rsidP="001657BA">
            <w:pPr>
              <w:pStyle w:val="TableBody"/>
              <w:keepNext/>
              <w:keepLines/>
            </w:pPr>
            <w:r w:rsidRPr="008C3462">
              <w:t>Antenna height (m)</w:t>
            </w:r>
          </w:p>
        </w:tc>
        <w:tc>
          <w:tcPr>
            <w:tcW w:w="2405" w:type="dxa"/>
            <w:shd w:val="clear" w:color="auto" w:fill="auto"/>
          </w:tcPr>
          <w:p w14:paraId="77D08177" w14:textId="77777777" w:rsidR="00121758" w:rsidRDefault="00121758" w:rsidP="001657BA">
            <w:pPr>
              <w:pStyle w:val="TableBody"/>
              <w:keepNext/>
              <w:keepLines/>
            </w:pPr>
            <w:r>
              <w:t>30</w:t>
            </w:r>
          </w:p>
        </w:tc>
        <w:tc>
          <w:tcPr>
            <w:tcW w:w="2704" w:type="dxa"/>
            <w:vMerge/>
          </w:tcPr>
          <w:p w14:paraId="1503B356" w14:textId="77777777" w:rsidR="00121758" w:rsidRDefault="00121758" w:rsidP="001657BA">
            <w:pPr>
              <w:pStyle w:val="TableBody"/>
              <w:keepNext/>
              <w:keepLines/>
            </w:pPr>
          </w:p>
        </w:tc>
      </w:tr>
      <w:tr w:rsidR="00121758" w14:paraId="6AAFA403" w14:textId="77777777" w:rsidTr="00BA7455">
        <w:trPr>
          <w:trHeight w:val="825"/>
        </w:trPr>
        <w:tc>
          <w:tcPr>
            <w:tcW w:w="2552" w:type="dxa"/>
            <w:vMerge w:val="restart"/>
            <w:shd w:val="clear" w:color="auto" w:fill="F2F2F2" w:themeFill="background1" w:themeFillShade="F2"/>
          </w:tcPr>
          <w:p w14:paraId="07986F97" w14:textId="77777777" w:rsidR="00121758" w:rsidRDefault="00121758" w:rsidP="001657BA">
            <w:pPr>
              <w:pStyle w:val="TableBody"/>
              <w:keepNext/>
              <w:keepLines/>
            </w:pPr>
            <w:r>
              <w:t>Permissible interference</w:t>
            </w:r>
          </w:p>
        </w:tc>
        <w:tc>
          <w:tcPr>
            <w:tcW w:w="2405" w:type="dxa"/>
            <w:shd w:val="clear" w:color="auto" w:fill="F2F2F2" w:themeFill="background1" w:themeFillShade="F2"/>
          </w:tcPr>
          <w:p w14:paraId="7DFD9C17" w14:textId="77777777" w:rsidR="00121758" w:rsidRDefault="00121758" w:rsidP="001657BA">
            <w:pPr>
              <w:keepNext/>
            </w:pPr>
            <w:r>
              <w:t xml:space="preserve">-138.7 </w:t>
            </w:r>
            <w:proofErr w:type="spellStart"/>
            <w:r>
              <w:t>dBW</w:t>
            </w:r>
            <w:proofErr w:type="spellEnd"/>
            <w:r>
              <w:t xml:space="preserve">/3.84 MHz </w:t>
            </w:r>
            <w:r>
              <w:br/>
              <w:t>(co-channel)</w:t>
            </w:r>
          </w:p>
        </w:tc>
        <w:tc>
          <w:tcPr>
            <w:tcW w:w="2704" w:type="dxa"/>
            <w:shd w:val="clear" w:color="auto" w:fill="F2F2F2" w:themeFill="background1" w:themeFillShade="F2"/>
          </w:tcPr>
          <w:p w14:paraId="055A0CF4" w14:textId="77777777" w:rsidR="00121758" w:rsidRDefault="00121758" w:rsidP="001657BA">
            <w:pPr>
              <w:keepNext/>
            </w:pPr>
            <w:r>
              <w:t>Derived from ECC 233</w:t>
            </w:r>
          </w:p>
        </w:tc>
      </w:tr>
      <w:tr w:rsidR="00121758" w14:paraId="1E90B840" w14:textId="77777777" w:rsidTr="00BA7455">
        <w:trPr>
          <w:trHeight w:val="836"/>
        </w:trPr>
        <w:tc>
          <w:tcPr>
            <w:tcW w:w="2552" w:type="dxa"/>
            <w:vMerge/>
            <w:shd w:val="clear" w:color="auto" w:fill="F2F2F2" w:themeFill="background1" w:themeFillShade="F2"/>
          </w:tcPr>
          <w:p w14:paraId="6F33E9D8" w14:textId="77777777" w:rsidR="00121758" w:rsidRDefault="00121758" w:rsidP="00387196">
            <w:pPr>
              <w:pStyle w:val="TableBody"/>
              <w:keepNext/>
              <w:keepLines/>
            </w:pPr>
          </w:p>
        </w:tc>
        <w:tc>
          <w:tcPr>
            <w:tcW w:w="2405" w:type="dxa"/>
            <w:shd w:val="clear" w:color="auto" w:fill="F2F2F2" w:themeFill="background1" w:themeFillShade="F2"/>
          </w:tcPr>
          <w:p w14:paraId="359EECBE" w14:textId="77777777" w:rsidR="00121758" w:rsidRDefault="00121758" w:rsidP="00387196">
            <w:r>
              <w:t xml:space="preserve">-82 </w:t>
            </w:r>
            <w:proofErr w:type="spellStart"/>
            <w:r>
              <w:t>dBW</w:t>
            </w:r>
            <w:proofErr w:type="spellEnd"/>
            <w:r>
              <w:t xml:space="preserve">/5MHz </w:t>
            </w:r>
            <w:r>
              <w:br/>
              <w:t>(1</w:t>
            </w:r>
            <w:r w:rsidRPr="009F782D">
              <w:rPr>
                <w:vertAlign w:val="superscript"/>
              </w:rPr>
              <w:t>st</w:t>
            </w:r>
            <w:r>
              <w:t xml:space="preserve"> adjacent channel)</w:t>
            </w:r>
          </w:p>
        </w:tc>
        <w:tc>
          <w:tcPr>
            <w:tcW w:w="2704" w:type="dxa"/>
            <w:shd w:val="clear" w:color="auto" w:fill="F2F2F2" w:themeFill="background1" w:themeFillShade="F2"/>
          </w:tcPr>
          <w:p w14:paraId="2CED16CE" w14:textId="77777777" w:rsidR="00121758" w:rsidRDefault="00121758" w:rsidP="00387196">
            <w:r>
              <w:t xml:space="preserve">Derived from </w:t>
            </w:r>
            <w:r w:rsidRPr="00921D21">
              <w:t>ETSI EN 302 574-1</w:t>
            </w:r>
            <w:r>
              <w:t xml:space="preserve"> Table 19</w:t>
            </w:r>
          </w:p>
        </w:tc>
      </w:tr>
      <w:tr w:rsidR="00121758" w14:paraId="3D4AB7AF" w14:textId="77777777" w:rsidTr="00BA7455">
        <w:trPr>
          <w:trHeight w:val="836"/>
        </w:trPr>
        <w:tc>
          <w:tcPr>
            <w:tcW w:w="2552" w:type="dxa"/>
            <w:shd w:val="clear" w:color="auto" w:fill="F2F2F2" w:themeFill="background1" w:themeFillShade="F2"/>
            <w:vAlign w:val="center"/>
          </w:tcPr>
          <w:p w14:paraId="30F939CE" w14:textId="77777777" w:rsidR="00121758" w:rsidRPr="00F20F50" w:rsidRDefault="00121758" w:rsidP="00387196">
            <w:pPr>
              <w:pStyle w:val="TableBody"/>
              <w:keepNext/>
              <w:keepLines/>
            </w:pPr>
            <w:r w:rsidRPr="00F20F50">
              <w:rPr>
                <w:szCs w:val="20"/>
              </w:rPr>
              <w:t>Adjacent channel Selectivity (dB)</w:t>
            </w:r>
          </w:p>
        </w:tc>
        <w:tc>
          <w:tcPr>
            <w:tcW w:w="2405" w:type="dxa"/>
            <w:shd w:val="clear" w:color="auto" w:fill="F2F2F2" w:themeFill="background1" w:themeFillShade="F2"/>
            <w:vAlign w:val="center"/>
          </w:tcPr>
          <w:p w14:paraId="642B6368" w14:textId="77777777" w:rsidR="00121758" w:rsidRPr="00F20F50" w:rsidRDefault="00121758" w:rsidP="00387196">
            <w:r w:rsidRPr="00F20F50">
              <w:rPr>
                <w:szCs w:val="20"/>
              </w:rPr>
              <w:t xml:space="preserve"> </w:t>
            </w:r>
            <w:r>
              <w:rPr>
                <w:szCs w:val="20"/>
              </w:rPr>
              <w:t>44</w:t>
            </w:r>
          </w:p>
        </w:tc>
        <w:tc>
          <w:tcPr>
            <w:tcW w:w="2704" w:type="dxa"/>
            <w:shd w:val="clear" w:color="auto" w:fill="F2F2F2" w:themeFill="background1" w:themeFillShade="F2"/>
          </w:tcPr>
          <w:p w14:paraId="6F91893C" w14:textId="313A7C52" w:rsidR="00121758" w:rsidRPr="00F20F50" w:rsidRDefault="00121758" w:rsidP="00387196">
            <w:r w:rsidRPr="00F20F50">
              <w:t>As per TS</w:t>
            </w:r>
            <w:r w:rsidRPr="007111BA">
              <w:t xml:space="preserve"> 38.104 Table 7.4.1.2-1</w:t>
            </w:r>
            <w:r>
              <w:t xml:space="preserve"> </w:t>
            </w:r>
            <w:r w:rsidRPr="00F20F50">
              <w:t xml:space="preserve">  </w:t>
            </w:r>
          </w:p>
        </w:tc>
      </w:tr>
      <w:tr w:rsidR="00121758" w14:paraId="3501D8EA" w14:textId="77777777" w:rsidTr="00BA7455">
        <w:trPr>
          <w:trHeight w:val="836"/>
        </w:trPr>
        <w:tc>
          <w:tcPr>
            <w:tcW w:w="2552" w:type="dxa"/>
            <w:shd w:val="clear" w:color="auto" w:fill="auto"/>
            <w:vAlign w:val="center"/>
          </w:tcPr>
          <w:p w14:paraId="76759C32" w14:textId="77777777" w:rsidR="00121758" w:rsidRPr="00FB666A" w:rsidRDefault="00121758" w:rsidP="00387196">
            <w:pPr>
              <w:pStyle w:val="TableBody"/>
              <w:keepNext/>
              <w:keepLines/>
            </w:pPr>
            <w:r w:rsidRPr="00FB666A">
              <w:t>Adjacent channel leakage ratio</w:t>
            </w:r>
          </w:p>
        </w:tc>
        <w:tc>
          <w:tcPr>
            <w:tcW w:w="2405" w:type="dxa"/>
            <w:shd w:val="clear" w:color="auto" w:fill="auto"/>
            <w:vAlign w:val="center"/>
          </w:tcPr>
          <w:p w14:paraId="18F63263" w14:textId="77777777" w:rsidR="00121758" w:rsidRPr="00FB666A" w:rsidRDefault="00121758" w:rsidP="00387196">
            <w:r w:rsidRPr="00FB666A">
              <w:t>45 dB</w:t>
            </w:r>
          </w:p>
        </w:tc>
        <w:tc>
          <w:tcPr>
            <w:tcW w:w="2704" w:type="dxa"/>
            <w:shd w:val="clear" w:color="auto" w:fill="auto"/>
          </w:tcPr>
          <w:p w14:paraId="37F7BC22" w14:textId="77777777" w:rsidR="00121758" w:rsidRDefault="00121758" w:rsidP="00387196">
            <w:r w:rsidRPr="00FB666A">
              <w:t>ECC Report 233</w:t>
            </w:r>
          </w:p>
          <w:p w14:paraId="35F938B9" w14:textId="77777777" w:rsidR="00121758" w:rsidRPr="00FB666A" w:rsidRDefault="00121758" w:rsidP="00387196">
            <w:r>
              <w:t xml:space="preserve">TS 38.104 </w:t>
            </w:r>
            <w:r w:rsidRPr="00F95B02">
              <w:t>Table 6.6.</w:t>
            </w:r>
            <w:r w:rsidRPr="00F95B02">
              <w:rPr>
                <w:rFonts w:eastAsia="SimSun"/>
                <w:lang w:eastAsia="zh-CN"/>
              </w:rPr>
              <w:t>3</w:t>
            </w:r>
            <w:r w:rsidRPr="00F95B02">
              <w:t>.2-1</w:t>
            </w:r>
          </w:p>
        </w:tc>
      </w:tr>
    </w:tbl>
    <w:p w14:paraId="3A41DBC2" w14:textId="77777777" w:rsidR="00121758" w:rsidRDefault="00121758" w:rsidP="00121758">
      <w:pPr>
        <w:pStyle w:val="Paragraph"/>
      </w:pPr>
    </w:p>
    <w:p w14:paraId="4B63509C" w14:textId="1039537F" w:rsidR="00F56D15" w:rsidRPr="00360979" w:rsidRDefault="00F56D15" w:rsidP="00F56D15">
      <w:pPr>
        <w:pStyle w:val="ACMATableHeader"/>
        <w:keepNext/>
      </w:pPr>
      <w:r>
        <w:t>Spectrum licen</w:t>
      </w:r>
      <w:r w:rsidR="000D02D8">
        <w:t>sing</w:t>
      </w:r>
    </w:p>
    <w:tbl>
      <w:tblPr>
        <w:tblStyle w:val="ACMAtablestyle"/>
        <w:tblW w:w="4573" w:type="pct"/>
        <w:tblLook w:val="04A0" w:firstRow="1" w:lastRow="0" w:firstColumn="1" w:lastColumn="0" w:noHBand="0" w:noVBand="1"/>
      </w:tblPr>
      <w:tblGrid>
        <w:gridCol w:w="2824"/>
        <w:gridCol w:w="2171"/>
        <w:gridCol w:w="2012"/>
      </w:tblGrid>
      <w:tr w:rsidR="00C91C40" w14:paraId="4CCC4C37" w14:textId="77777777" w:rsidTr="001656A4">
        <w:trPr>
          <w:cnfStyle w:val="100000000000" w:firstRow="1" w:lastRow="0" w:firstColumn="0" w:lastColumn="0" w:oddVBand="0" w:evenVBand="0" w:oddHBand="0" w:evenHBand="0" w:firstRowFirstColumn="0" w:firstRowLastColumn="0" w:lastRowFirstColumn="0" w:lastRowLastColumn="0"/>
          <w:trHeight w:val="475"/>
        </w:trPr>
        <w:tc>
          <w:tcPr>
            <w:tcW w:w="2826" w:type="dxa"/>
            <w:tcBorders>
              <w:top w:val="none" w:sz="0" w:space="0" w:color="auto"/>
              <w:left w:val="none" w:sz="0" w:space="0" w:color="auto"/>
              <w:bottom w:val="none" w:sz="0" w:space="0" w:color="auto"/>
              <w:right w:val="none" w:sz="0" w:space="0" w:color="auto"/>
            </w:tcBorders>
            <w:vAlign w:val="bottom"/>
          </w:tcPr>
          <w:p w14:paraId="5C607F10" w14:textId="1448018D" w:rsidR="00C91C40" w:rsidRDefault="00C91C40" w:rsidP="00BA7455">
            <w:pPr>
              <w:pStyle w:val="Tableheaderrow"/>
              <w:keepNext/>
              <w:keepLines/>
              <w:jc w:val="center"/>
            </w:pPr>
            <w:r>
              <w:t>Value</w:t>
            </w:r>
            <w:r w:rsidDel="00C91C40">
              <w:t xml:space="preserve"> </w:t>
            </w:r>
          </w:p>
        </w:tc>
        <w:tc>
          <w:tcPr>
            <w:tcW w:w="4186" w:type="dxa"/>
            <w:gridSpan w:val="2"/>
            <w:tcBorders>
              <w:top w:val="none" w:sz="0" w:space="0" w:color="auto"/>
              <w:left w:val="none" w:sz="0" w:space="0" w:color="auto"/>
              <w:bottom w:val="none" w:sz="0" w:space="0" w:color="auto"/>
              <w:right w:val="none" w:sz="0" w:space="0" w:color="auto"/>
            </w:tcBorders>
            <w:vAlign w:val="bottom"/>
          </w:tcPr>
          <w:p w14:paraId="38270A8B" w14:textId="5FF6B214" w:rsidR="00C91C40" w:rsidRDefault="00C91C40" w:rsidP="00BA7455">
            <w:pPr>
              <w:pStyle w:val="Tableheaderrow"/>
              <w:keepNext/>
              <w:keepLines/>
              <w:jc w:val="center"/>
            </w:pPr>
            <w:r>
              <w:t>Spectrum band</w:t>
            </w:r>
          </w:p>
        </w:tc>
      </w:tr>
      <w:tr w:rsidR="00016C02" w14:paraId="64A9BDBB"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7012" w:type="dxa"/>
            <w:gridSpan w:val="3"/>
          </w:tcPr>
          <w:p w14:paraId="2083358A" w14:textId="655F65FC" w:rsidR="00016C02" w:rsidRPr="00185703" w:rsidRDefault="00016C02" w:rsidP="00387196">
            <w:pPr>
              <w:pStyle w:val="TableBody"/>
              <w:keepNext/>
              <w:keepLines/>
              <w:rPr>
                <w:b/>
                <w:bCs/>
              </w:rPr>
            </w:pPr>
            <w:r w:rsidRPr="00185703">
              <w:rPr>
                <w:rFonts w:cs="Arial"/>
                <w:b/>
                <w:bCs/>
              </w:rPr>
              <w:t>Base station transmitter</w:t>
            </w:r>
          </w:p>
        </w:tc>
      </w:tr>
      <w:tr w:rsidR="00016C02" w14:paraId="60A6399D"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66985E69" w14:textId="357B918E" w:rsidR="00016C02" w:rsidRPr="00F741E5" w:rsidRDefault="00016C02" w:rsidP="00280679">
            <w:pPr>
              <w:pStyle w:val="TableBody"/>
              <w:keepNext/>
              <w:keepLines/>
              <w:ind w:left="284"/>
              <w:rPr>
                <w:rFonts w:cs="Arial"/>
              </w:rPr>
            </w:pPr>
            <w:r w:rsidRPr="00F741E5">
              <w:rPr>
                <w:rFonts w:cs="Arial"/>
              </w:rPr>
              <w:t>53.5 dBm/ 5 MHz</w:t>
            </w:r>
            <w:r w:rsidR="002F604A">
              <w:rPr>
                <w:rFonts w:cs="Arial"/>
              </w:rPr>
              <w:t xml:space="preserve"> (TRP)</w:t>
            </w:r>
          </w:p>
        </w:tc>
        <w:tc>
          <w:tcPr>
            <w:tcW w:w="2013" w:type="dxa"/>
          </w:tcPr>
          <w:p w14:paraId="7E6AC220" w14:textId="2C633565" w:rsidR="00016C02" w:rsidRPr="00F741E5" w:rsidRDefault="00016C02" w:rsidP="00387196">
            <w:pPr>
              <w:pStyle w:val="TableBody"/>
              <w:keepNext/>
              <w:keepLines/>
              <w:rPr>
                <w:rFonts w:cs="Arial"/>
              </w:rPr>
            </w:pPr>
            <w:r w:rsidRPr="00F741E5">
              <w:rPr>
                <w:rFonts w:cs="Arial"/>
              </w:rPr>
              <w:t>2 GHz</w:t>
            </w:r>
          </w:p>
        </w:tc>
      </w:tr>
      <w:tr w:rsidR="00185703" w14:paraId="1B0AA6AF"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4999" w:type="dxa"/>
            <w:gridSpan w:val="2"/>
          </w:tcPr>
          <w:p w14:paraId="7FC7E24D" w14:textId="3BFED932" w:rsidR="00185703" w:rsidRPr="00F741E5" w:rsidRDefault="00185703" w:rsidP="00280679">
            <w:pPr>
              <w:pStyle w:val="TableBody"/>
              <w:keepNext/>
              <w:keepLines/>
              <w:ind w:left="284"/>
              <w:rPr>
                <w:rFonts w:cs="Arial"/>
              </w:rPr>
            </w:pPr>
            <w:r w:rsidRPr="00F741E5">
              <w:rPr>
                <w:rFonts w:cs="Arial"/>
                <w:sz w:val="21"/>
                <w:szCs w:val="21"/>
              </w:rPr>
              <w:t>48 dBm/5MH</w:t>
            </w:r>
            <w:r w:rsidR="002F604A">
              <w:rPr>
                <w:rFonts w:cs="Arial"/>
                <w:sz w:val="21"/>
                <w:szCs w:val="21"/>
              </w:rPr>
              <w:t>z (TRP)</w:t>
            </w:r>
          </w:p>
        </w:tc>
        <w:tc>
          <w:tcPr>
            <w:tcW w:w="2013" w:type="dxa"/>
          </w:tcPr>
          <w:p w14:paraId="3241A2AD" w14:textId="4FDEB68B" w:rsidR="00185703" w:rsidRPr="00F741E5" w:rsidRDefault="00185703" w:rsidP="00387196">
            <w:pPr>
              <w:pStyle w:val="TableBody"/>
              <w:keepNext/>
              <w:keepLines/>
              <w:rPr>
                <w:rFonts w:cs="Arial"/>
              </w:rPr>
            </w:pPr>
            <w:r w:rsidRPr="00F741E5">
              <w:rPr>
                <w:rFonts w:cs="Arial"/>
              </w:rPr>
              <w:t>2.3 GHz</w:t>
            </w:r>
          </w:p>
        </w:tc>
      </w:tr>
      <w:tr w:rsidR="00185703" w14:paraId="7E4E19FF"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1669548C" w14:textId="2BC02EBB" w:rsidR="00185703" w:rsidRPr="00F741E5" w:rsidRDefault="00185703" w:rsidP="00280679">
            <w:pPr>
              <w:pStyle w:val="TableBody"/>
              <w:keepNext/>
              <w:keepLines/>
              <w:ind w:left="284"/>
              <w:rPr>
                <w:rFonts w:cs="Arial"/>
              </w:rPr>
            </w:pPr>
            <w:r w:rsidRPr="00F741E5">
              <w:rPr>
                <w:rFonts w:cs="Arial"/>
              </w:rPr>
              <w:t>45 dBm</w:t>
            </w:r>
            <w:r>
              <w:rPr>
                <w:rFonts w:cs="Arial"/>
              </w:rPr>
              <w:t xml:space="preserve"> </w:t>
            </w:r>
            <w:r w:rsidRPr="00F741E5">
              <w:rPr>
                <w:rFonts w:cs="Arial"/>
              </w:rPr>
              <w:t>EIRP per 30 kHz</w:t>
            </w:r>
            <w:r w:rsidR="002F604A">
              <w:rPr>
                <w:rFonts w:cs="Arial"/>
              </w:rPr>
              <w:t xml:space="preserve"> (HRP)</w:t>
            </w:r>
          </w:p>
        </w:tc>
        <w:tc>
          <w:tcPr>
            <w:tcW w:w="2013" w:type="dxa"/>
          </w:tcPr>
          <w:p w14:paraId="61DD352E" w14:textId="4A5F920F" w:rsidR="00185703" w:rsidRPr="00F741E5" w:rsidRDefault="00185703" w:rsidP="00387196">
            <w:pPr>
              <w:pStyle w:val="TableBody"/>
              <w:keepNext/>
              <w:keepLines/>
              <w:rPr>
                <w:rFonts w:cs="Arial"/>
              </w:rPr>
            </w:pPr>
            <w:r w:rsidRPr="00F741E5">
              <w:rPr>
                <w:rFonts w:cs="Arial"/>
              </w:rPr>
              <w:t>2.5 GHz</w:t>
            </w:r>
          </w:p>
        </w:tc>
      </w:tr>
      <w:tr w:rsidR="00185703" w14:paraId="406D061B"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7012" w:type="dxa"/>
            <w:gridSpan w:val="3"/>
          </w:tcPr>
          <w:p w14:paraId="56CAE2D6" w14:textId="6CABFD0B" w:rsidR="00185703" w:rsidRPr="00185703" w:rsidRDefault="00185703" w:rsidP="00387196">
            <w:pPr>
              <w:pStyle w:val="TableBody"/>
              <w:keepNext/>
              <w:keepLines/>
              <w:rPr>
                <w:rFonts w:cs="Arial"/>
                <w:b/>
                <w:bCs/>
              </w:rPr>
            </w:pPr>
            <w:r w:rsidRPr="00185703">
              <w:rPr>
                <w:rFonts w:cs="Arial"/>
                <w:b/>
                <w:bCs/>
              </w:rPr>
              <w:t>User equipment (transmitters)</w:t>
            </w:r>
          </w:p>
        </w:tc>
      </w:tr>
      <w:tr w:rsidR="00185703" w14:paraId="52806312"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3C083C9C" w14:textId="41A48725" w:rsidR="00185703" w:rsidRPr="00F741E5" w:rsidRDefault="00185703" w:rsidP="00280679">
            <w:pPr>
              <w:pStyle w:val="TableBody"/>
              <w:keepNext/>
              <w:keepLines/>
              <w:ind w:left="284"/>
              <w:rPr>
                <w:rFonts w:cs="Arial"/>
              </w:rPr>
            </w:pPr>
            <w:r w:rsidRPr="00BE6F30">
              <w:rPr>
                <w:rFonts w:cs="Arial"/>
              </w:rPr>
              <w:t>25 dBm per occupied bandwidth</w:t>
            </w:r>
            <w:r w:rsidR="002F604A">
              <w:rPr>
                <w:rFonts w:cs="Arial"/>
              </w:rPr>
              <w:t xml:space="preserve"> (TRP)</w:t>
            </w:r>
          </w:p>
        </w:tc>
        <w:tc>
          <w:tcPr>
            <w:tcW w:w="2013" w:type="dxa"/>
          </w:tcPr>
          <w:p w14:paraId="230A0577" w14:textId="46B3321C" w:rsidR="00185703" w:rsidRPr="00F741E5" w:rsidRDefault="00185703" w:rsidP="00387196">
            <w:pPr>
              <w:pStyle w:val="TableBody"/>
              <w:keepNext/>
              <w:keepLines/>
              <w:rPr>
                <w:rFonts w:cs="Arial"/>
              </w:rPr>
            </w:pPr>
            <w:r>
              <w:rPr>
                <w:rFonts w:cs="Arial"/>
              </w:rPr>
              <w:t>2 GHz</w:t>
            </w:r>
          </w:p>
        </w:tc>
      </w:tr>
      <w:tr w:rsidR="00280679" w14:paraId="07722175" w14:textId="77777777" w:rsidTr="00C91C40">
        <w:trPr>
          <w:cnfStyle w:val="000000100000" w:firstRow="0" w:lastRow="0" w:firstColumn="0" w:lastColumn="0" w:oddVBand="0" w:evenVBand="0" w:oddHBand="1" w:evenHBand="0" w:firstRowFirstColumn="0" w:firstRowLastColumn="0" w:lastRowFirstColumn="0" w:lastRowLastColumn="0"/>
          <w:trHeight w:val="252"/>
        </w:trPr>
        <w:tc>
          <w:tcPr>
            <w:tcW w:w="4999" w:type="dxa"/>
            <w:gridSpan w:val="2"/>
          </w:tcPr>
          <w:p w14:paraId="7CC2FA4E" w14:textId="5FE16198" w:rsidR="00280679" w:rsidRPr="00F741E5" w:rsidRDefault="00280679" w:rsidP="00280679">
            <w:pPr>
              <w:pStyle w:val="TableBody"/>
              <w:keepNext/>
              <w:keepLines/>
              <w:ind w:left="284"/>
              <w:rPr>
                <w:rFonts w:cs="Arial"/>
              </w:rPr>
            </w:pPr>
            <w:r w:rsidRPr="00602151">
              <w:rPr>
                <w:rFonts w:cs="Arial"/>
              </w:rPr>
              <w:t>28 dBm per occupied bandwidth</w:t>
            </w:r>
            <w:r w:rsidR="002F604A">
              <w:rPr>
                <w:rFonts w:cs="Arial"/>
              </w:rPr>
              <w:t xml:space="preserve"> (TRP)</w:t>
            </w:r>
          </w:p>
        </w:tc>
        <w:tc>
          <w:tcPr>
            <w:tcW w:w="2013" w:type="dxa"/>
          </w:tcPr>
          <w:p w14:paraId="5F096B9C" w14:textId="77777777" w:rsidR="00280679" w:rsidRPr="00F741E5" w:rsidRDefault="00280679" w:rsidP="00387196">
            <w:pPr>
              <w:pStyle w:val="TableBody"/>
              <w:keepNext/>
              <w:keepLines/>
              <w:rPr>
                <w:rFonts w:cs="Arial"/>
              </w:rPr>
            </w:pPr>
            <w:r>
              <w:rPr>
                <w:rFonts w:cs="Arial"/>
              </w:rPr>
              <w:t>2.3 GHz</w:t>
            </w:r>
          </w:p>
        </w:tc>
      </w:tr>
      <w:tr w:rsidR="00185703" w14:paraId="5040E789" w14:textId="77777777" w:rsidTr="00C91C40">
        <w:trPr>
          <w:cnfStyle w:val="000000010000" w:firstRow="0" w:lastRow="0" w:firstColumn="0" w:lastColumn="0" w:oddVBand="0" w:evenVBand="0" w:oddHBand="0" w:evenHBand="1" w:firstRowFirstColumn="0" w:firstRowLastColumn="0" w:lastRowFirstColumn="0" w:lastRowLastColumn="0"/>
          <w:trHeight w:val="252"/>
        </w:trPr>
        <w:tc>
          <w:tcPr>
            <w:tcW w:w="4999" w:type="dxa"/>
            <w:gridSpan w:val="2"/>
          </w:tcPr>
          <w:p w14:paraId="37D7B152" w14:textId="06CD86B7" w:rsidR="00185703" w:rsidRDefault="007E25A2" w:rsidP="007E25A2">
            <w:pPr>
              <w:pStyle w:val="TableBody"/>
              <w:keepNext/>
              <w:keepLines/>
              <w:ind w:left="284"/>
              <w:rPr>
                <w:rFonts w:cs="Arial"/>
              </w:rPr>
            </w:pPr>
            <w:r w:rsidRPr="007E25A2">
              <w:rPr>
                <w:rFonts w:cs="Arial"/>
              </w:rPr>
              <w:t>35 dBm EIRP per</w:t>
            </w:r>
            <w:r>
              <w:rPr>
                <w:rFonts w:cs="Arial"/>
              </w:rPr>
              <w:t xml:space="preserve"> </w:t>
            </w:r>
            <w:r w:rsidRPr="007E25A2">
              <w:rPr>
                <w:rFonts w:cs="Arial"/>
              </w:rPr>
              <w:t>5MHz</w:t>
            </w:r>
          </w:p>
        </w:tc>
        <w:tc>
          <w:tcPr>
            <w:tcW w:w="2013" w:type="dxa"/>
          </w:tcPr>
          <w:p w14:paraId="68BA5AF9" w14:textId="5FCECB12" w:rsidR="00185703" w:rsidRDefault="00280679" w:rsidP="00387196">
            <w:pPr>
              <w:pStyle w:val="TableBody"/>
              <w:keepNext/>
              <w:keepLines/>
              <w:rPr>
                <w:rFonts w:cs="Arial"/>
              </w:rPr>
            </w:pPr>
            <w:r>
              <w:rPr>
                <w:rFonts w:cs="Arial"/>
              </w:rPr>
              <w:t>2.5 GHz</w:t>
            </w:r>
          </w:p>
        </w:tc>
      </w:tr>
    </w:tbl>
    <w:p w14:paraId="4D217FED" w14:textId="77777777" w:rsidR="00F56D15" w:rsidRDefault="00F56D15" w:rsidP="00F56D15">
      <w:pPr>
        <w:pStyle w:val="Spaceaftertable"/>
      </w:pPr>
    </w:p>
    <w:bookmarkEnd w:id="1"/>
    <w:p w14:paraId="0B9861C5" w14:textId="77777777" w:rsidR="00121758" w:rsidRDefault="00121758" w:rsidP="00121758">
      <w:pPr>
        <w:pStyle w:val="Paragraph"/>
      </w:pPr>
    </w:p>
    <w:sectPr w:rsidR="00121758" w:rsidSect="00C77380">
      <w:headerReference w:type="even" r:id="rId70"/>
      <w:headerReference w:type="default" r:id="rId71"/>
      <w:footerReference w:type="even" r:id="rId72"/>
      <w:footerReference w:type="default" r:id="rId73"/>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CFCB4" w14:textId="77777777" w:rsidR="00A86AB2" w:rsidRDefault="00A86AB2">
      <w:r>
        <w:separator/>
      </w:r>
    </w:p>
  </w:endnote>
  <w:endnote w:type="continuationSeparator" w:id="0">
    <w:p w14:paraId="77A6527F" w14:textId="77777777" w:rsidR="00A86AB2" w:rsidRDefault="00A86AB2">
      <w:r>
        <w:continuationSeparator/>
      </w:r>
    </w:p>
  </w:endnote>
  <w:endnote w:type="continuationNotice" w:id="1">
    <w:p w14:paraId="1F6F37FA" w14:textId="77777777" w:rsidR="00A86AB2" w:rsidRDefault="00A86A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2F15" w14:textId="77777777" w:rsidR="005E250B" w:rsidRDefault="005E250B" w:rsidP="005E250B">
    <w:pPr>
      <w:pStyle w:val="Footer"/>
      <w:jc w:val="right"/>
    </w:pPr>
    <w:r w:rsidRPr="005E250B">
      <w:rPr>
        <w:noProof/>
        <w:vertAlign w:val="subscript"/>
      </w:rPr>
      <w:drawing>
        <wp:inline distT="0" distB="0" distL="0" distR="0" wp14:anchorId="6C6A47B4" wp14:editId="444DBF7F">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E58D" w14:textId="77777777" w:rsidR="00C053A1" w:rsidRDefault="00C05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DEBA"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FA3B1"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3757A753" w14:textId="77777777" w:rsidR="00C053A1" w:rsidRPr="00A5474E" w:rsidRDefault="00C053A1"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0464"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524D64FE"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7C5D" w14:textId="77777777" w:rsidR="00C053A1" w:rsidRPr="00622A3B" w:rsidRDefault="00C053A1"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D1A43">
      <w:rPr>
        <w:noProof/>
        <w:color w:val="505050"/>
      </w:rPr>
      <w:t>iii</w:t>
    </w:r>
    <w:r w:rsidRPr="002E4DDC">
      <w:rPr>
        <w:color w:val="505050"/>
      </w:rPr>
      <w:fldChar w:fldCharType="end"/>
    </w:r>
  </w:p>
  <w:p w14:paraId="0410D8ED"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EBAA" w14:textId="77777777" w:rsidR="00C053A1" w:rsidRPr="00622A3B" w:rsidRDefault="00C053A1"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D1A43">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7EFCC26" w14:textId="77777777" w:rsidR="00C053A1" w:rsidRPr="00A5474E" w:rsidRDefault="00C053A1"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C8B8" w14:textId="77777777" w:rsidR="00C053A1" w:rsidRPr="00622A3B" w:rsidRDefault="00C053A1"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D1A43">
      <w:rPr>
        <w:noProof/>
        <w:color w:val="505050"/>
      </w:rPr>
      <w:t>1</w:t>
    </w:r>
    <w:r w:rsidRPr="00575AC5">
      <w:rPr>
        <w:color w:val="505050"/>
      </w:rPr>
      <w:fldChar w:fldCharType="end"/>
    </w:r>
  </w:p>
  <w:p w14:paraId="762515BB" w14:textId="77777777" w:rsidR="00C053A1" w:rsidRPr="00A5474E" w:rsidRDefault="00C053A1"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A7661" w14:textId="77777777" w:rsidR="00A86AB2" w:rsidRDefault="00A86AB2" w:rsidP="00EA0969">
      <w:pPr>
        <w:spacing w:after="0"/>
      </w:pPr>
      <w:r>
        <w:separator/>
      </w:r>
    </w:p>
  </w:footnote>
  <w:footnote w:type="continuationSeparator" w:id="0">
    <w:p w14:paraId="347C9A6D" w14:textId="77777777" w:rsidR="00A86AB2" w:rsidRDefault="00A86AB2">
      <w:r>
        <w:continuationSeparator/>
      </w:r>
    </w:p>
  </w:footnote>
  <w:footnote w:type="continuationNotice" w:id="1">
    <w:p w14:paraId="62E25B3D" w14:textId="77777777" w:rsidR="00A86AB2" w:rsidRDefault="00A86AB2">
      <w:pPr>
        <w:spacing w:after="0" w:line="240" w:lineRule="auto"/>
      </w:pPr>
    </w:p>
  </w:footnote>
  <w:footnote w:id="2">
    <w:p w14:paraId="50702184" w14:textId="58C0BD69" w:rsidR="00121758" w:rsidRDefault="00121758" w:rsidP="00121758">
      <w:pPr>
        <w:pStyle w:val="FootnoteText"/>
      </w:pPr>
      <w:r>
        <w:rPr>
          <w:rStyle w:val="FootnoteReference"/>
        </w:rPr>
        <w:footnoteRef/>
      </w:r>
      <w:r>
        <w:t xml:space="preserve"> See </w:t>
      </w:r>
      <w:hyperlink r:id="rId1" w:history="1">
        <w:r w:rsidRPr="003A5A39">
          <w:rPr>
            <w:rStyle w:val="Hyperlink"/>
          </w:rPr>
          <w:t>2 GHz band review</w:t>
        </w:r>
      </w:hyperlink>
      <w:r w:rsidR="00E5592B">
        <w:t>.</w:t>
      </w:r>
    </w:p>
  </w:footnote>
  <w:footnote w:id="3">
    <w:p w14:paraId="78C297F8" w14:textId="30289FE0" w:rsidR="00121758" w:rsidRDefault="00121758" w:rsidP="00121758">
      <w:pPr>
        <w:pStyle w:val="FootnoteText"/>
      </w:pPr>
      <w:r>
        <w:rPr>
          <w:rStyle w:val="FootnoteReference"/>
        </w:rPr>
        <w:footnoteRef/>
      </w:r>
      <w:r>
        <w:t xml:space="preserve"> A c</w:t>
      </w:r>
      <w:r w:rsidRPr="003B2A41">
        <w:t xml:space="preserve">omplementary ground component </w:t>
      </w:r>
      <w:r>
        <w:t xml:space="preserve">refers to </w:t>
      </w:r>
      <w:r w:rsidRPr="003B2A41">
        <w:t xml:space="preserve">a terrestrial wireless broadband network </w:t>
      </w:r>
      <w:r>
        <w:t xml:space="preserve">that is deployed to </w:t>
      </w:r>
      <w:r w:rsidRPr="003B2A41">
        <w:t xml:space="preserve">supplement mobile-satellite coverage. </w:t>
      </w:r>
      <w:r>
        <w:t xml:space="preserve">It is also sometimes referred to as </w:t>
      </w:r>
      <w:r w:rsidRPr="00C246CE">
        <w:t>ancillary terrestrial component</w:t>
      </w:r>
      <w:r>
        <w:t xml:space="preserve">.  Direct </w:t>
      </w:r>
      <w:r w:rsidRPr="00690870">
        <w:t>air-to-ground communications</w:t>
      </w:r>
      <w:r>
        <w:t xml:space="preserve"> (DA2GC) is considered a subset of CGC</w:t>
      </w:r>
      <w:r w:rsidR="00E5592B">
        <w:t>;</w:t>
      </w:r>
      <w:r>
        <w:t xml:space="preserve"> it is used to provide communications </w:t>
      </w:r>
      <w:r w:rsidRPr="00690870">
        <w:t>between ground stations and aircraft</w:t>
      </w:r>
      <w:r w:rsidR="00E5592B">
        <w:t>,</w:t>
      </w:r>
      <w:r>
        <w:t xml:space="preserve"> often </w:t>
      </w:r>
      <w:r w:rsidR="00E5592B">
        <w:t>for</w:t>
      </w:r>
      <w:r>
        <w:t xml:space="preserve"> onboard communications services. </w:t>
      </w:r>
      <w:r w:rsidRPr="00C73C6C">
        <w:t>For simplicity, throughout this paper the term CGC is used as a general term</w:t>
      </w:r>
      <w:r w:rsidR="00E5592B">
        <w:t>,</w:t>
      </w:r>
      <w:r w:rsidRPr="00C73C6C">
        <w:t xml:space="preserve"> covering both CGC and DA2GC.</w:t>
      </w:r>
    </w:p>
  </w:footnote>
  <w:footnote w:id="4">
    <w:p w14:paraId="5C4D0F2F" w14:textId="4B057246" w:rsidR="00121758" w:rsidRDefault="00121758" w:rsidP="00121758">
      <w:pPr>
        <w:pStyle w:val="FootnoteText"/>
      </w:pPr>
      <w:r>
        <w:rPr>
          <w:rStyle w:val="FootnoteReference"/>
        </w:rPr>
        <w:footnoteRef/>
      </w:r>
      <w:r>
        <w:t xml:space="preserve"> </w:t>
      </w:r>
      <w:r w:rsidR="00942B9F">
        <w:t xml:space="preserve">See </w:t>
      </w:r>
      <w:r w:rsidR="003D006D">
        <w:t xml:space="preserve">our online </w:t>
      </w:r>
      <w:hyperlink r:id="rId2" w:history="1">
        <w:r w:rsidR="003D006D" w:rsidRPr="003D006D">
          <w:rPr>
            <w:rStyle w:val="Hyperlink"/>
          </w:rPr>
          <w:t>Register of Radioc</w:t>
        </w:r>
        <w:r w:rsidR="003D006D" w:rsidRPr="003D006D">
          <w:rPr>
            <w:rStyle w:val="Hyperlink"/>
          </w:rPr>
          <w:t>o</w:t>
        </w:r>
        <w:r w:rsidR="003D006D" w:rsidRPr="003D006D">
          <w:rPr>
            <w:rStyle w:val="Hyperlink"/>
          </w:rPr>
          <w:t>mmunications Licences</w:t>
        </w:r>
      </w:hyperlink>
      <w:r>
        <w:t>.</w:t>
      </w:r>
    </w:p>
  </w:footnote>
  <w:footnote w:id="5">
    <w:p w14:paraId="134C754A" w14:textId="0CA04E75" w:rsidR="00121758" w:rsidRDefault="00121758" w:rsidP="00121758">
      <w:pPr>
        <w:pStyle w:val="FootnoteText"/>
      </w:pPr>
      <w:r>
        <w:rPr>
          <w:rStyle w:val="FootnoteReference"/>
        </w:rPr>
        <w:footnoteRef/>
      </w:r>
      <w:r>
        <w:t xml:space="preserve"> See ITU-R</w:t>
      </w:r>
      <w:r w:rsidR="00E5592B">
        <w:t xml:space="preserve"> </w:t>
      </w:r>
      <w:hyperlink r:id="rId3" w:history="1">
        <w:r w:rsidR="00E5592B" w:rsidRPr="00E5592B">
          <w:rPr>
            <w:rStyle w:val="Hyperlink"/>
          </w:rPr>
          <w:t>Circular letter 4/LCCE/134</w:t>
        </w:r>
      </w:hyperlink>
      <w:r w:rsidRPr="00F27B11">
        <w:rPr>
          <w:rFonts w:cs="Arial"/>
          <w:color w:val="444444"/>
          <w:sz w:val="18"/>
          <w:szCs w:val="18"/>
          <w:shd w:val="clear" w:color="auto" w:fill="FFFFFF"/>
        </w:rPr>
        <w:t> </w:t>
      </w:r>
      <w:r w:rsidR="00E5592B">
        <w:rPr>
          <w:rFonts w:cs="Arial"/>
          <w:color w:val="444444"/>
          <w:sz w:val="18"/>
          <w:szCs w:val="18"/>
          <w:shd w:val="clear" w:color="auto" w:fill="FFFFFF"/>
        </w:rPr>
        <w:t>and ITU</w:t>
      </w:r>
      <w:bookmarkStart w:id="3" w:name="_Hlk150003149"/>
      <w:r>
        <w:rPr>
          <w:rFonts w:cs="Arial"/>
          <w:color w:val="444444"/>
          <w:sz w:val="18"/>
          <w:szCs w:val="18"/>
          <w:shd w:val="clear" w:color="auto" w:fill="FFFFFF"/>
        </w:rPr>
        <w:t xml:space="preserve"> </w:t>
      </w:r>
      <w:hyperlink r:id="rId4" w:history="1">
        <w:r w:rsidR="00E5592B">
          <w:rPr>
            <w:rStyle w:val="Hyperlink"/>
            <w:lang w:val="en-GB"/>
          </w:rPr>
          <w:t>w</w:t>
        </w:r>
        <w:r w:rsidRPr="00232692">
          <w:rPr>
            <w:rStyle w:val="Hyperlink"/>
            <w:lang w:val="en-GB"/>
          </w:rPr>
          <w:t xml:space="preserve">eb page for </w:t>
        </w:r>
        <w:r w:rsidRPr="00232692">
          <w:rPr>
            <w:rStyle w:val="Hyperlink"/>
            <w:iCs/>
            <w:lang w:val="en-GB"/>
          </w:rPr>
          <w:t>satellite</w:t>
        </w:r>
        <w:r w:rsidRPr="00232692">
          <w:rPr>
            <w:rStyle w:val="Hyperlink"/>
            <w:lang w:val="en-GB"/>
          </w:rPr>
          <w:t xml:space="preserve"> IMT-2020</w:t>
        </w:r>
        <w:r w:rsidR="00E5592B">
          <w:rPr>
            <w:rStyle w:val="Hyperlink"/>
            <w:lang w:val="en-GB"/>
          </w:rPr>
          <w:t xml:space="preserve"> s</w:t>
        </w:r>
        <w:r w:rsidRPr="00232692">
          <w:rPr>
            <w:rStyle w:val="Hyperlink"/>
            <w:lang w:val="en-GB"/>
          </w:rPr>
          <w:t>ubmission and evaluation process</w:t>
        </w:r>
      </w:hyperlink>
      <w:r>
        <w:rPr>
          <w:lang w:val="en-GB"/>
        </w:rPr>
        <w:t>.</w:t>
      </w:r>
    </w:p>
    <w:bookmarkEnd w:id="3"/>
  </w:footnote>
  <w:footnote w:id="6">
    <w:p w14:paraId="773C4AFB" w14:textId="64F10732" w:rsidR="00121758" w:rsidRPr="00BE30C5" w:rsidRDefault="00121758" w:rsidP="00121758">
      <w:pPr>
        <w:pStyle w:val="FootnoteText"/>
        <w:rPr>
          <w:lang w:val="en-US"/>
        </w:rPr>
      </w:pPr>
      <w:r>
        <w:rPr>
          <w:rStyle w:val="FootnoteReference"/>
        </w:rPr>
        <w:footnoteRef/>
      </w:r>
      <w:r>
        <w:t xml:space="preserve"> </w:t>
      </w:r>
      <w:r w:rsidRPr="00D10789">
        <w:t xml:space="preserve">The 3rd </w:t>
      </w:r>
      <w:r w:rsidR="002C2BD7">
        <w:t>g</w:t>
      </w:r>
      <w:r w:rsidRPr="00D10789">
        <w:t xml:space="preserve">eneration </w:t>
      </w:r>
      <w:r w:rsidR="002C2BD7">
        <w:t>p</w:t>
      </w:r>
      <w:r w:rsidRPr="00D10789">
        <w:t xml:space="preserve">artnership </w:t>
      </w:r>
      <w:r w:rsidR="002C2BD7">
        <w:t>p</w:t>
      </w:r>
      <w:r w:rsidRPr="00D10789">
        <w:t xml:space="preserve">roject (3GPP) is an umbrella for a number of international standards organisations </w:t>
      </w:r>
      <w:r w:rsidR="002C2BD7">
        <w:t>that</w:t>
      </w:r>
      <w:r w:rsidR="002C2BD7" w:rsidRPr="00D10789">
        <w:t xml:space="preserve"> </w:t>
      </w:r>
      <w:r w:rsidRPr="00D10789">
        <w:t>develop protocols for mobile telecommunications.</w:t>
      </w:r>
    </w:p>
  </w:footnote>
  <w:footnote w:id="7">
    <w:p w14:paraId="5F157ABD" w14:textId="03075BD3" w:rsidR="00121758" w:rsidRDefault="00121758" w:rsidP="00121758">
      <w:pPr>
        <w:pStyle w:val="FootnoteText"/>
      </w:pPr>
      <w:r>
        <w:rPr>
          <w:rStyle w:val="FootnoteReference"/>
        </w:rPr>
        <w:footnoteRef/>
      </w:r>
      <w:r>
        <w:t xml:space="preserve"> </w:t>
      </w:r>
      <w:r w:rsidR="00AE7E45">
        <w:t>T</w:t>
      </w:r>
      <w:r>
        <w:t xml:space="preserve">he revised technical framework being implemented as an outcome of </w:t>
      </w:r>
      <w:r w:rsidR="00AE7E45">
        <w:t>the r</w:t>
      </w:r>
      <w:r w:rsidRPr="00551144">
        <w:t xml:space="preserve">eview of 2 GHz spectrum licensing technical framework </w:t>
      </w:r>
      <w:r w:rsidR="00AE7E45">
        <w:t>–</w:t>
      </w:r>
      <w:r w:rsidRPr="00551144">
        <w:t xml:space="preserve"> </w:t>
      </w:r>
      <w:hyperlink r:id="rId5" w:history="1">
        <w:r w:rsidRPr="00A14091">
          <w:rPr>
            <w:rStyle w:val="Hyperlink"/>
          </w:rPr>
          <w:t>consultation 38/2022</w:t>
        </w:r>
      </w:hyperlink>
      <w:r w:rsidR="00AE7E45" w:rsidRPr="00F9665C">
        <w:rPr>
          <w:rStyle w:val="Hyperlink"/>
          <w:color w:val="auto"/>
          <w:u w:val="none"/>
        </w:rPr>
        <w:t>.</w:t>
      </w:r>
    </w:p>
  </w:footnote>
  <w:footnote w:id="8">
    <w:p w14:paraId="561292BB" w14:textId="12680239" w:rsidR="00121758" w:rsidRDefault="00121758" w:rsidP="00121758">
      <w:pPr>
        <w:pStyle w:val="FootnoteText"/>
      </w:pPr>
      <w:r>
        <w:rPr>
          <w:rStyle w:val="FootnoteReference"/>
        </w:rPr>
        <w:footnoteRef/>
      </w:r>
      <w:r>
        <w:t xml:space="preserve"> 3GPP </w:t>
      </w:r>
      <w:r w:rsidR="00AE7E45">
        <w:t>b</w:t>
      </w:r>
      <w:r>
        <w:t>and n265: 1980</w:t>
      </w:r>
      <w:r w:rsidR="00AE7E45">
        <w:t>–</w:t>
      </w:r>
      <w:r>
        <w:t>2010 MHz user equipment/mobile earth station transmit, 2170</w:t>
      </w:r>
      <w:r w:rsidR="00AE7E45">
        <w:t>–</w:t>
      </w:r>
      <w:r>
        <w:t>2200 MHz mobile earth station receive; 3GPP bands 65 and n65 (4 and 5G respectively): 1920</w:t>
      </w:r>
      <w:r w:rsidR="00AE7E45">
        <w:t>–</w:t>
      </w:r>
      <w:r>
        <w:t>2010 MHz (base station receive/user equipment transmit) and 2100</w:t>
      </w:r>
      <w:r w:rsidR="00AE7E45">
        <w:t>–</w:t>
      </w:r>
      <w:r>
        <w:t>2200 MHz (base transmit/user equipment receive).</w:t>
      </w:r>
    </w:p>
  </w:footnote>
  <w:footnote w:id="9">
    <w:p w14:paraId="0461836A" w14:textId="32A523F2" w:rsidR="00040087" w:rsidRDefault="00040087" w:rsidP="0083689E">
      <w:pPr>
        <w:pStyle w:val="FootnoteText"/>
      </w:pPr>
      <w:r>
        <w:rPr>
          <w:rStyle w:val="FootnoteReference"/>
        </w:rPr>
        <w:footnoteRef/>
      </w:r>
      <w:r>
        <w:t xml:space="preserve"> ECC Report 233: Adjacent band compatibility studies for aeronautical CGC systems operating in the bands 1980–2010 MHz and 2170–2200 MHz (May 2015).</w:t>
      </w:r>
    </w:p>
  </w:footnote>
  <w:footnote w:id="10">
    <w:p w14:paraId="33B53CE1" w14:textId="734CC1B2" w:rsidR="007B144E" w:rsidRDefault="007B144E" w:rsidP="007B144E">
      <w:pPr>
        <w:pStyle w:val="FootnoteText"/>
      </w:pPr>
      <w:r>
        <w:rPr>
          <w:rStyle w:val="FootnoteReference"/>
        </w:rPr>
        <w:footnoteRef/>
      </w:r>
      <w:r>
        <w:t xml:space="preserve"> </w:t>
      </w:r>
      <w:hyperlink r:id="rId6" w:history="1">
        <w:r w:rsidRPr="0064344C">
          <w:rPr>
            <w:rStyle w:val="Hyperlink"/>
          </w:rPr>
          <w:t>P.1812</w:t>
        </w:r>
      </w:hyperlink>
      <w:r>
        <w:t>: A path-specific propagation prediction method for point-to-area terrestrial services in the frequency range 30 MHz to 6</w:t>
      </w:r>
      <w:r w:rsidR="00040087">
        <w:t>,</w:t>
      </w:r>
      <w:r>
        <w:t xml:space="preserve">000 </w:t>
      </w:r>
      <w:proofErr w:type="spellStart"/>
      <w:r>
        <w:t>MHz</w:t>
      </w:r>
      <w:r w:rsidR="00040087">
        <w:t>.</w:t>
      </w:r>
      <w:proofErr w:type="spellEnd"/>
    </w:p>
  </w:footnote>
  <w:footnote w:id="11">
    <w:p w14:paraId="355A4AD9" w14:textId="619F7ECF" w:rsidR="00121758" w:rsidRDefault="00121758" w:rsidP="00121758">
      <w:pPr>
        <w:pStyle w:val="FootnoteText"/>
      </w:pPr>
      <w:r>
        <w:rPr>
          <w:rStyle w:val="FootnoteReference"/>
        </w:rPr>
        <w:footnoteRef/>
      </w:r>
      <w:r>
        <w:t xml:space="preserve"> See </w:t>
      </w:r>
      <w:hyperlink r:id="rId7" w:history="1">
        <w:r w:rsidRPr="003A5A39">
          <w:rPr>
            <w:rStyle w:val="Hyperlink"/>
          </w:rPr>
          <w:t>2 GHz band review</w:t>
        </w:r>
      </w:hyperlink>
      <w:r w:rsidR="00B6306C">
        <w:t>.</w:t>
      </w:r>
    </w:p>
  </w:footnote>
  <w:footnote w:id="12">
    <w:p w14:paraId="63F63AD3" w14:textId="7AC6D990" w:rsidR="00121758" w:rsidRDefault="00121758" w:rsidP="00121758">
      <w:pPr>
        <w:pStyle w:val="FootnoteText"/>
      </w:pPr>
      <w:r>
        <w:rPr>
          <w:rStyle w:val="FootnoteReference"/>
        </w:rPr>
        <w:footnoteRef/>
      </w:r>
      <w:r>
        <w:t xml:space="preserve"> These views covered matters such as MSS technical considerations (and relevance of 3GPP standards), MSS licensing considerations (discussi</w:t>
      </w:r>
      <w:r w:rsidR="00B6306C">
        <w:t>ng</w:t>
      </w:r>
      <w:r>
        <w:t xml:space="preserve"> the relevance of the ACMA current approach to space licensing</w:t>
      </w:r>
      <w:r w:rsidR="00B6306C">
        <w:t>,</w:t>
      </w:r>
      <w:r>
        <w:t xml:space="preserve"> </w:t>
      </w:r>
      <w:r w:rsidR="00B6306C">
        <w:br/>
      </w:r>
      <w:r>
        <w:t>to 2 GHz MSS and price</w:t>
      </w:r>
      <w:r w:rsidR="00B6306C">
        <w:t>-</w:t>
      </w:r>
      <w:r>
        <w:t>based allocation process, complementary ground component licencing and deployment considerations, international satellite regulation considerations and coordination considerations</w:t>
      </w:r>
      <w:r w:rsidR="00B6306C">
        <w:t>)</w:t>
      </w:r>
      <w:r>
        <w:t>.</w:t>
      </w:r>
    </w:p>
  </w:footnote>
  <w:footnote w:id="13">
    <w:p w14:paraId="5C86058A" w14:textId="5C9D75F4" w:rsidR="0090496E" w:rsidRDefault="0090496E" w:rsidP="0090496E">
      <w:pPr>
        <w:pStyle w:val="FootnoteText"/>
      </w:pPr>
      <w:r>
        <w:rPr>
          <w:rStyle w:val="FootnoteReference"/>
        </w:rPr>
        <w:footnoteRef/>
      </w:r>
      <w:r>
        <w:t xml:space="preserve"> S</w:t>
      </w:r>
      <w:r w:rsidR="003C4812">
        <w:t xml:space="preserve">ee ITU-R </w:t>
      </w:r>
      <w:hyperlink r:id="rId8" w:history="1">
        <w:r w:rsidR="003C4812" w:rsidRPr="00E5592B">
          <w:rPr>
            <w:rStyle w:val="Hyperlink"/>
          </w:rPr>
          <w:t>Circular letter 4/LCCE/134</w:t>
        </w:r>
      </w:hyperlink>
      <w:r w:rsidR="003C4812" w:rsidRPr="00F27B11">
        <w:rPr>
          <w:rFonts w:cs="Arial"/>
          <w:color w:val="444444"/>
          <w:sz w:val="18"/>
          <w:szCs w:val="18"/>
          <w:shd w:val="clear" w:color="auto" w:fill="FFFFFF"/>
        </w:rPr>
        <w:t> </w:t>
      </w:r>
      <w:r w:rsidR="003C4812">
        <w:rPr>
          <w:rFonts w:cs="Arial"/>
          <w:color w:val="444444"/>
          <w:sz w:val="18"/>
          <w:szCs w:val="18"/>
          <w:shd w:val="clear" w:color="auto" w:fill="FFFFFF"/>
        </w:rPr>
        <w:t xml:space="preserve">and ITU </w:t>
      </w:r>
      <w:hyperlink r:id="rId9" w:history="1">
        <w:r w:rsidR="003C4812">
          <w:rPr>
            <w:rStyle w:val="Hyperlink"/>
            <w:lang w:val="en-GB"/>
          </w:rPr>
          <w:t>w</w:t>
        </w:r>
        <w:r w:rsidR="003C4812" w:rsidRPr="00232692">
          <w:rPr>
            <w:rStyle w:val="Hyperlink"/>
            <w:lang w:val="en-GB"/>
          </w:rPr>
          <w:t xml:space="preserve">eb page for </w:t>
        </w:r>
        <w:r w:rsidR="003C4812" w:rsidRPr="00232692">
          <w:rPr>
            <w:rStyle w:val="Hyperlink"/>
            <w:iCs/>
            <w:lang w:val="en-GB"/>
          </w:rPr>
          <w:t>satellite</w:t>
        </w:r>
        <w:r w:rsidR="003C4812" w:rsidRPr="00232692">
          <w:rPr>
            <w:rStyle w:val="Hyperlink"/>
            <w:lang w:val="en-GB"/>
          </w:rPr>
          <w:t xml:space="preserve"> IMT-2020</w:t>
        </w:r>
        <w:r w:rsidR="003C4812">
          <w:rPr>
            <w:rStyle w:val="Hyperlink"/>
            <w:lang w:val="en-GB"/>
          </w:rPr>
          <w:t xml:space="preserve"> s</w:t>
        </w:r>
        <w:r w:rsidR="003C4812" w:rsidRPr="00232692">
          <w:rPr>
            <w:rStyle w:val="Hyperlink"/>
            <w:lang w:val="en-GB"/>
          </w:rPr>
          <w:t>ubmission and evaluation process</w:t>
        </w:r>
      </w:hyperlink>
      <w:r w:rsidR="003C4812">
        <w:rPr>
          <w:lang w:val="en-GB"/>
        </w:rPr>
        <w:t>.</w:t>
      </w:r>
    </w:p>
  </w:footnote>
  <w:footnote w:id="14">
    <w:p w14:paraId="18B2937A" w14:textId="7E32967F" w:rsidR="0090496E" w:rsidRDefault="0090496E" w:rsidP="0090496E">
      <w:pPr>
        <w:pStyle w:val="FootnoteText"/>
      </w:pPr>
      <w:r>
        <w:rPr>
          <w:rStyle w:val="FootnoteReference"/>
        </w:rPr>
        <w:footnoteRef/>
      </w:r>
      <w:r>
        <w:t xml:space="preserve"> 3GPP </w:t>
      </w:r>
      <w:r w:rsidR="003C4812">
        <w:t>b</w:t>
      </w:r>
      <w:r>
        <w:t>and n265: 1980</w:t>
      </w:r>
      <w:r w:rsidR="003C4812">
        <w:t>–</w:t>
      </w:r>
      <w:r>
        <w:t>2010 MHz user equipment/mobile earth station transmit, 2170</w:t>
      </w:r>
      <w:r w:rsidR="003C4812">
        <w:t>–</w:t>
      </w:r>
      <w:r>
        <w:t>2200 MHz mobile earth station receive; 3GPP bands 65 and n65 (4 and 5G respectively): 1920</w:t>
      </w:r>
      <w:r w:rsidR="003C4812">
        <w:t>–</w:t>
      </w:r>
      <w:r>
        <w:t>2010 MHz (base station receive/user equipment transmit) and 2100</w:t>
      </w:r>
      <w:r w:rsidR="003C4812">
        <w:t>–</w:t>
      </w:r>
      <w:r>
        <w:t>2200 MHz (base transmit/user equipment receive).</w:t>
      </w:r>
    </w:p>
  </w:footnote>
  <w:footnote w:id="15">
    <w:p w14:paraId="56B28BDB" w14:textId="2F5B1607" w:rsidR="00CE40B8" w:rsidRDefault="00CE40B8" w:rsidP="00CE40B8">
      <w:pPr>
        <w:pStyle w:val="FootnoteText"/>
      </w:pPr>
      <w:r>
        <w:rPr>
          <w:rStyle w:val="FootnoteReference"/>
        </w:rPr>
        <w:footnoteRef/>
      </w:r>
      <w:r>
        <w:t xml:space="preserve"> </w:t>
      </w:r>
      <w:r w:rsidR="00AD5910">
        <w:t>T</w:t>
      </w:r>
      <w:r>
        <w:t xml:space="preserve">he revised technical framework being implemented as an outcome of </w:t>
      </w:r>
      <w:r w:rsidR="00AD5910">
        <w:t>r</w:t>
      </w:r>
      <w:r w:rsidRPr="00551144">
        <w:t xml:space="preserve">eview of 2 GHz spectrum licensing technical framework </w:t>
      </w:r>
      <w:r w:rsidR="00AD5910">
        <w:t>–</w:t>
      </w:r>
      <w:r w:rsidRPr="00551144">
        <w:t xml:space="preserve"> </w:t>
      </w:r>
      <w:hyperlink r:id="rId10" w:history="1">
        <w:r w:rsidRPr="00A14091">
          <w:rPr>
            <w:rStyle w:val="Hyperlink"/>
          </w:rPr>
          <w:t>consultation 38/2022</w:t>
        </w:r>
      </w:hyperlink>
      <w:r w:rsidR="00AD5910" w:rsidRPr="00C91C40">
        <w:rPr>
          <w:rStyle w:val="Hyperlink"/>
          <w:color w:val="auto"/>
          <w:u w:val="none"/>
        </w:rPr>
        <w:t>.</w:t>
      </w:r>
    </w:p>
  </w:footnote>
  <w:footnote w:id="16">
    <w:p w14:paraId="14F2B6E3" w14:textId="7330560F" w:rsidR="00121758" w:rsidRDefault="00121758" w:rsidP="00121758">
      <w:pPr>
        <w:pStyle w:val="FootnoteText"/>
      </w:pPr>
      <w:r>
        <w:rPr>
          <w:rStyle w:val="FootnoteReference"/>
        </w:rPr>
        <w:footnoteRef/>
      </w:r>
      <w:r>
        <w:t xml:space="preserve"> ECC report 233: </w:t>
      </w:r>
      <w:r w:rsidRPr="00BC0722">
        <w:t>Adjacent band compatibility studies for aeronautical CGC systems operating in the bands 1980</w:t>
      </w:r>
      <w:r w:rsidR="00AD5910">
        <w:t>–</w:t>
      </w:r>
      <w:r w:rsidRPr="00BC0722">
        <w:t>2010 MHz and 2170</w:t>
      </w:r>
      <w:r w:rsidR="00AD5910">
        <w:t>–</w:t>
      </w:r>
      <w:r w:rsidRPr="00BC0722">
        <w:t>2200 MHz</w:t>
      </w:r>
      <w:r>
        <w:t>, March 2015.</w:t>
      </w:r>
    </w:p>
  </w:footnote>
  <w:footnote w:id="17">
    <w:p w14:paraId="3E5ECF46" w14:textId="403192AB" w:rsidR="00121758" w:rsidRDefault="00121758" w:rsidP="00121758">
      <w:pPr>
        <w:pStyle w:val="FootnoteText"/>
      </w:pPr>
      <w:r>
        <w:rPr>
          <w:rStyle w:val="FootnoteReference"/>
        </w:rPr>
        <w:footnoteRef/>
      </w:r>
      <w:r>
        <w:t xml:space="preserve"> </w:t>
      </w:r>
      <w:r w:rsidR="00641263">
        <w:t>T</w:t>
      </w:r>
      <w:r>
        <w:t xml:space="preserve">he </w:t>
      </w:r>
      <w:r w:rsidR="00641263">
        <w:t>-</w:t>
      </w:r>
      <w:r>
        <w:t xml:space="preserve">66 </w:t>
      </w:r>
      <w:proofErr w:type="spellStart"/>
      <w:r>
        <w:t>dBW</w:t>
      </w:r>
      <w:proofErr w:type="spellEnd"/>
      <w:r>
        <w:t>/MHz level models the expected level of</w:t>
      </w:r>
      <w:r>
        <w:rPr>
          <w:rFonts w:cs="Arial"/>
        </w:rPr>
        <w:t xml:space="preserve"> unwanted emissions above 2010 MHz from a wireless camera operating in 1980</w:t>
      </w:r>
      <w:r w:rsidR="00641263">
        <w:rPr>
          <w:rFonts w:cs="Arial"/>
        </w:rPr>
        <w:t>–</w:t>
      </w:r>
      <w:r>
        <w:rPr>
          <w:rFonts w:cs="Arial"/>
        </w:rPr>
        <w:t xml:space="preserve">2010 </w:t>
      </w:r>
      <w:proofErr w:type="spellStart"/>
      <w:r>
        <w:rPr>
          <w:rFonts w:cs="Arial"/>
        </w:rPr>
        <w:t>MHz</w:t>
      </w:r>
      <w:r w:rsidR="00641263">
        <w:rPr>
          <w:rFonts w:cs="Arial"/>
        </w:rPr>
        <w:t>.</w:t>
      </w:r>
      <w:proofErr w:type="spellEnd"/>
    </w:p>
  </w:footnote>
  <w:footnote w:id="18">
    <w:p w14:paraId="56427BBB" w14:textId="45D7EFE1" w:rsidR="00121758" w:rsidRDefault="00121758" w:rsidP="00121758">
      <w:pPr>
        <w:pStyle w:val="FootnoteText"/>
      </w:pPr>
      <w:r>
        <w:rPr>
          <w:rStyle w:val="FootnoteReference"/>
        </w:rPr>
        <w:footnoteRef/>
      </w:r>
      <w:r>
        <w:t xml:space="preserve"> ITU_R </w:t>
      </w:r>
      <w:hyperlink r:id="rId11" w:history="1">
        <w:r w:rsidRPr="00FE742F">
          <w:rPr>
            <w:rStyle w:val="Hyperlink"/>
          </w:rPr>
          <w:t>F.2379</w:t>
        </w:r>
      </w:hyperlink>
      <w:r w:rsidR="00641263" w:rsidRPr="00491167">
        <w:rPr>
          <w:rStyle w:val="Hyperlink"/>
          <w:color w:val="auto"/>
          <w:u w:val="none"/>
        </w:rPr>
        <w:t>:</w:t>
      </w:r>
      <w:r>
        <w:t xml:space="preserve"> Sharing and compatibility issues between electronic news gathering and other systems in frequency bands allocated to the fixed, mobile and broadcasting services</w:t>
      </w:r>
      <w:r w:rsidR="00641263">
        <w:t>.</w:t>
      </w:r>
    </w:p>
  </w:footnote>
  <w:footnote w:id="19">
    <w:p w14:paraId="4F91A3D4" w14:textId="1A24B064" w:rsidR="00121758" w:rsidRDefault="00121758" w:rsidP="00121758">
      <w:pPr>
        <w:pStyle w:val="FootnoteText"/>
      </w:pPr>
      <w:r>
        <w:rPr>
          <w:rStyle w:val="FootnoteReference"/>
        </w:rPr>
        <w:footnoteRef/>
      </w:r>
      <w:r>
        <w:t xml:space="preserve"> See </w:t>
      </w:r>
      <w:hyperlink r:id="rId12" w:history="1">
        <w:r w:rsidRPr="00FE4E3C">
          <w:rPr>
            <w:rStyle w:val="Hyperlink"/>
          </w:rPr>
          <w:t>2.5 GHz band review</w:t>
        </w:r>
      </w:hyperlink>
      <w:r w:rsidR="00B4238B" w:rsidRPr="00491167">
        <w:rPr>
          <w:rStyle w:val="Hyperlink"/>
          <w:color w:val="auto"/>
          <w:u w:val="none"/>
        </w:rPr>
        <w:t>.</w:t>
      </w:r>
    </w:p>
  </w:footnote>
  <w:footnote w:id="20">
    <w:p w14:paraId="2146CF43" w14:textId="1010D6F7" w:rsidR="00121758" w:rsidRDefault="00121758" w:rsidP="00121758">
      <w:pPr>
        <w:pStyle w:val="FootnoteText"/>
      </w:pPr>
      <w:r>
        <w:rPr>
          <w:rStyle w:val="FootnoteReference"/>
        </w:rPr>
        <w:footnoteRef/>
      </w:r>
      <w:r>
        <w:t xml:space="preserve"> ECC report 233: </w:t>
      </w:r>
      <w:r w:rsidRPr="00BC0722">
        <w:t>Adjacent band compatibility studies for aeronautical CGC systems operating in the bands 1980</w:t>
      </w:r>
      <w:r w:rsidR="00B4238B">
        <w:t>–</w:t>
      </w:r>
      <w:r w:rsidRPr="00BC0722">
        <w:t>2010 MHz and 2170</w:t>
      </w:r>
      <w:r w:rsidR="00B4238B">
        <w:t>–</w:t>
      </w:r>
      <w:r w:rsidRPr="00BC0722">
        <w:t>2200 MHz</w:t>
      </w:r>
      <w:r>
        <w:t>, March 2015.</w:t>
      </w:r>
    </w:p>
  </w:footnote>
  <w:footnote w:id="21">
    <w:p w14:paraId="348A0F9D" w14:textId="063AF707" w:rsidR="00121758" w:rsidRDefault="00121758" w:rsidP="00121758">
      <w:pPr>
        <w:pStyle w:val="FootnoteText"/>
      </w:pPr>
      <w:r>
        <w:rPr>
          <w:rStyle w:val="FootnoteReference"/>
        </w:rPr>
        <w:footnoteRef/>
      </w:r>
      <w:r>
        <w:t xml:space="preserve"> While TOB services (refer</w:t>
      </w:r>
      <w:r w:rsidR="00B4238B">
        <w:t>red</w:t>
      </w:r>
      <w:r>
        <w:t xml:space="preserve"> to as PMSE in the report) were considered in the report, the studies in the report did not take into account high</w:t>
      </w:r>
      <w:r w:rsidR="00B4238B">
        <w:t>-</w:t>
      </w:r>
      <w:r>
        <w:t>site TOB collection receiving stations</w:t>
      </w:r>
      <w:r w:rsidR="00B4238B">
        <w:t>,</w:t>
      </w:r>
      <w:r>
        <w:t xml:space="preserve"> as used in Australia</w:t>
      </w:r>
      <w:r w:rsidR="00B4238B">
        <w:t>,</w:t>
      </w:r>
      <w:r>
        <w:t xml:space="preserve"> and</w:t>
      </w:r>
      <w:r w:rsidR="00B4238B">
        <w:t>,</w:t>
      </w:r>
      <w:r>
        <w:t xml:space="preserve"> as such</w:t>
      </w:r>
      <w:r w:rsidR="00B4238B">
        <w:t>,</w:t>
      </w:r>
      <w:r>
        <w:t xml:space="preserve"> no advice was </w:t>
      </w:r>
      <w:proofErr w:type="gramStart"/>
      <w:r>
        <w:t>provide</w:t>
      </w:r>
      <w:proofErr w:type="gramEnd"/>
      <w:r>
        <w:t xml:space="preserve"> in regard to requirement for such stations</w:t>
      </w:r>
      <w:r w:rsidR="00B4238B">
        <w:t>.</w:t>
      </w:r>
    </w:p>
  </w:footnote>
  <w:footnote w:id="22">
    <w:p w14:paraId="2F85BE72" w14:textId="00F971D8" w:rsidR="00121758" w:rsidRDefault="00121758" w:rsidP="00121758">
      <w:pPr>
        <w:pStyle w:val="FootnoteText"/>
      </w:pPr>
      <w:r>
        <w:rPr>
          <w:rStyle w:val="FootnoteReference"/>
        </w:rPr>
        <w:footnoteRef/>
      </w:r>
      <w:r>
        <w:t xml:space="preserve"> Refer MS 26 and Spectrum </w:t>
      </w:r>
      <w:r w:rsidR="00C036B0">
        <w:t>E</w:t>
      </w:r>
      <w:r>
        <w:t>mbargo 23</w:t>
      </w:r>
      <w:r w:rsidR="00C036B0">
        <w:t>.</w:t>
      </w:r>
    </w:p>
  </w:footnote>
  <w:footnote w:id="23">
    <w:p w14:paraId="38E7EF09" w14:textId="77777777" w:rsidR="00121758" w:rsidRDefault="00121758" w:rsidP="00121758">
      <w:pPr>
        <w:pStyle w:val="FootnoteText"/>
      </w:pPr>
      <w:r>
        <w:rPr>
          <w:rStyle w:val="FootnoteReference"/>
        </w:rPr>
        <w:footnoteRef/>
      </w:r>
      <w:r>
        <w:t xml:space="preserve"> For example, uplink bands (the segment for users terminal/handset transmit) for both bands are adjacent to each other meaning no crossband compatibility site sense issues. </w:t>
      </w:r>
    </w:p>
  </w:footnote>
  <w:footnote w:id="24">
    <w:p w14:paraId="34C9FB05" w14:textId="1957022B" w:rsidR="00121758" w:rsidRDefault="00121758" w:rsidP="00121758">
      <w:pPr>
        <w:pStyle w:val="FootnoteText"/>
      </w:pPr>
      <w:r>
        <w:rPr>
          <w:rStyle w:val="FootnoteReference"/>
        </w:rPr>
        <w:footnoteRef/>
      </w:r>
      <w:r>
        <w:t xml:space="preserve"> Being the revised technical framework being implemented as an outcome of </w:t>
      </w:r>
      <w:r w:rsidR="00C036B0">
        <w:t>the r</w:t>
      </w:r>
      <w:r w:rsidRPr="00551144">
        <w:t xml:space="preserve">eview of 2 GHz spectrum licensing technical framework </w:t>
      </w:r>
      <w:r w:rsidR="00C036B0">
        <w:t>–</w:t>
      </w:r>
      <w:r w:rsidRPr="00551144">
        <w:t xml:space="preserve"> </w:t>
      </w:r>
      <w:hyperlink r:id="rId13" w:history="1">
        <w:r w:rsidRPr="00A14091">
          <w:rPr>
            <w:rStyle w:val="Hyperlink"/>
          </w:rPr>
          <w:t>consultation 38/2022</w:t>
        </w:r>
      </w:hyperlink>
      <w:r w:rsidR="00C036B0" w:rsidRPr="00D373E0">
        <w:rPr>
          <w:rStyle w:val="Hyperlink"/>
          <w:color w:val="auto"/>
          <w:u w:val="none"/>
        </w:rPr>
        <w:t>.</w:t>
      </w:r>
    </w:p>
  </w:footnote>
  <w:footnote w:id="25">
    <w:p w14:paraId="43AFC4FC" w14:textId="77777777" w:rsidR="00121758" w:rsidRDefault="00121758" w:rsidP="00121758">
      <w:pPr>
        <w:pStyle w:val="FootnoteText"/>
      </w:pPr>
      <w:r>
        <w:rPr>
          <w:rStyle w:val="FootnoteReference"/>
        </w:rPr>
        <w:footnoteRef/>
      </w:r>
      <w:r>
        <w:t xml:space="preserve"> For example, uplink bands (the segment for users terminal/handset transmit) for both bands are adjacent to each other meaning no crossband compatibility site sense issues. </w:t>
      </w:r>
    </w:p>
  </w:footnote>
  <w:footnote w:id="26">
    <w:p w14:paraId="61BC8A3E" w14:textId="0BBFB960" w:rsidR="00A813A0" w:rsidRDefault="00A813A0">
      <w:pPr>
        <w:pStyle w:val="FootnoteText"/>
      </w:pPr>
      <w:r>
        <w:rPr>
          <w:rStyle w:val="FootnoteReference"/>
        </w:rPr>
        <w:footnoteRef/>
      </w:r>
      <w:r>
        <w:t xml:space="preserve"> </w:t>
      </w:r>
      <w:r w:rsidR="00761C56">
        <w:t>Current designated areas are Ballarat, Bathurst, Bendigo, Bunbury, Cairns, Launceston, Mackay, Phillip Island, Sunshine Coast, Townsville and Wanneroo</w:t>
      </w:r>
      <w:r w:rsidR="00CB2F12">
        <w:t>.</w:t>
      </w:r>
    </w:p>
  </w:footnote>
  <w:footnote w:id="27">
    <w:p w14:paraId="4924CD0A" w14:textId="4081B908" w:rsidR="00121758" w:rsidRDefault="00121758" w:rsidP="00121758">
      <w:pPr>
        <w:pStyle w:val="FootnoteText"/>
      </w:pPr>
      <w:r>
        <w:rPr>
          <w:rStyle w:val="FootnoteReference"/>
        </w:rPr>
        <w:footnoteRef/>
      </w:r>
      <w:r>
        <w:t xml:space="preserve"> Note under </w:t>
      </w:r>
      <w:hyperlink r:id="rId14" w:history="1">
        <w:r w:rsidRPr="00D269C3">
          <w:rPr>
            <w:rStyle w:val="Hyperlink"/>
          </w:rPr>
          <w:t>Australian Radiofrequency Spectrum Plan</w:t>
        </w:r>
      </w:hyperlink>
      <w:r>
        <w:t xml:space="preserve"> footnotes AUS106 and AUS106A</w:t>
      </w:r>
      <w:r w:rsidR="00CB2F12">
        <w:t>,</w:t>
      </w:r>
      <w:r>
        <w:t xml:space="preserve"> </w:t>
      </w:r>
      <w:r w:rsidRPr="00465D2A">
        <w:t xml:space="preserve">the operation of the </w:t>
      </w:r>
      <w:proofErr w:type="spellStart"/>
      <w:r w:rsidRPr="00465D2A">
        <w:t>Bilateration</w:t>
      </w:r>
      <w:proofErr w:type="spellEnd"/>
      <w:r w:rsidRPr="00465D2A">
        <w:t xml:space="preserve"> Ranging Transponder System earth station facility near Alice Springs </w:t>
      </w:r>
      <w:r>
        <w:t xml:space="preserve">is supported with reverse uplink/downlink arrangement. In the earth transmit band </w:t>
      </w:r>
      <w:r w:rsidRPr="00465D2A">
        <w:t>2103.406</w:t>
      </w:r>
      <w:r w:rsidR="00CB2F12">
        <w:t>–</w:t>
      </w:r>
      <w:r w:rsidRPr="00465D2A">
        <w:t>2109.406 MHz is used for earth station receivers and</w:t>
      </w:r>
      <w:r>
        <w:t xml:space="preserve"> in the earth receive band</w:t>
      </w:r>
      <w:r w:rsidRPr="00465D2A">
        <w:t xml:space="preserve"> the band 2284.5–2290.5 MHz for earth station transmitters</w:t>
      </w:r>
      <w:r>
        <w:t>.</w:t>
      </w:r>
    </w:p>
  </w:footnote>
  <w:footnote w:id="28">
    <w:p w14:paraId="23DADC24" w14:textId="44FA42C3" w:rsidR="00121758" w:rsidRDefault="00121758" w:rsidP="00121758">
      <w:pPr>
        <w:pStyle w:val="FootnoteText"/>
      </w:pPr>
      <w:r>
        <w:rPr>
          <w:rStyle w:val="FootnoteReference"/>
        </w:rPr>
        <w:footnoteRef/>
      </w:r>
      <w:r>
        <w:t xml:space="preserve"> G</w:t>
      </w:r>
      <w:r w:rsidRPr="002765AD">
        <w:t>uidelines for compatibility between complementary ground components (</w:t>
      </w:r>
      <w:r>
        <w:t>CGC</w:t>
      </w:r>
      <w:r w:rsidRPr="002765AD">
        <w:t>) operating in the band 2170</w:t>
      </w:r>
      <w:r w:rsidR="00CB2F12">
        <w:t>–</w:t>
      </w:r>
      <w:r w:rsidRPr="002765AD">
        <w:t xml:space="preserve">2200 </w:t>
      </w:r>
      <w:r>
        <w:t>MHz</w:t>
      </w:r>
      <w:r w:rsidRPr="002765AD">
        <w:t xml:space="preserve"> and EESS/SOS/SRS earth stations operating in the band 2200</w:t>
      </w:r>
      <w:r w:rsidR="00CB2F12">
        <w:t>–</w:t>
      </w:r>
      <w:r w:rsidRPr="002765AD">
        <w:t xml:space="preserve">2290 </w:t>
      </w:r>
      <w:r>
        <w:t>MHz, January 2</w:t>
      </w:r>
      <w:r w:rsidR="00884DA4">
        <w:t>0</w:t>
      </w:r>
      <w:r>
        <w:t>10</w:t>
      </w:r>
      <w:r w:rsidR="004F49AB">
        <w:t>.</w:t>
      </w:r>
      <w:r>
        <w:t xml:space="preserve"> </w:t>
      </w:r>
    </w:p>
  </w:footnote>
  <w:footnote w:id="29">
    <w:p w14:paraId="7B013565" w14:textId="4C365FCF" w:rsidR="00A82050" w:rsidRDefault="00A82050" w:rsidP="00A82050">
      <w:pPr>
        <w:pStyle w:val="FootnoteText"/>
      </w:pPr>
      <w:r>
        <w:rPr>
          <w:rStyle w:val="FootnoteReference"/>
        </w:rPr>
        <w:footnoteRef/>
      </w:r>
      <w:r>
        <w:t xml:space="preserve"> See </w:t>
      </w:r>
      <w:hyperlink r:id="rId15" w:history="1">
        <w:r w:rsidRPr="00DB089B">
          <w:rPr>
            <w:rStyle w:val="Hyperlink"/>
          </w:rPr>
          <w:t>https://www.acma.gov.au/consultations/2021-12/proposed-licensing-arrangements-2-ghz-narrowband-mobile-satellite-services-and-28-ghz-fixed-satellite-services-consultation-462021</w:t>
        </w:r>
      </w:hyperlink>
      <w:r w:rsidR="00E77220">
        <w:t>.</w:t>
      </w:r>
    </w:p>
  </w:footnote>
  <w:footnote w:id="30">
    <w:p w14:paraId="7B5E6754" w14:textId="55310337" w:rsidR="004E134E" w:rsidRDefault="004E134E" w:rsidP="004E134E">
      <w:pPr>
        <w:pStyle w:val="FootnoteText"/>
      </w:pPr>
      <w:r>
        <w:rPr>
          <w:rStyle w:val="FootnoteReference"/>
        </w:rPr>
        <w:footnoteRef/>
      </w:r>
      <w:r>
        <w:t xml:space="preserve"> </w:t>
      </w:r>
      <w:hyperlink r:id="rId16" w:history="1">
        <w:r w:rsidRPr="0064344C">
          <w:rPr>
            <w:rStyle w:val="Hyperlink"/>
          </w:rPr>
          <w:t>P.1812</w:t>
        </w:r>
      </w:hyperlink>
      <w:r>
        <w:t>: A path-specific propagation prediction method for point-to-area terrestrial services in the frequency range 30 MHz to 6</w:t>
      </w:r>
      <w:r w:rsidR="00066889">
        <w:t>,</w:t>
      </w:r>
      <w:r>
        <w:t xml:space="preserve">000 </w:t>
      </w:r>
      <w:proofErr w:type="spellStart"/>
      <w:r>
        <w:t>MHz</w:t>
      </w:r>
      <w:r w:rsidR="00066889">
        <w:t>.</w:t>
      </w:r>
      <w:proofErr w:type="spellEnd"/>
    </w:p>
  </w:footnote>
  <w:footnote w:id="31">
    <w:p w14:paraId="44D540A4" w14:textId="1027DA46" w:rsidR="006A4067" w:rsidRDefault="006A4067">
      <w:pPr>
        <w:pStyle w:val="FootnoteText"/>
      </w:pPr>
      <w:r>
        <w:rPr>
          <w:rStyle w:val="FootnoteReference"/>
        </w:rPr>
        <w:footnoteRef/>
      </w:r>
      <w:r>
        <w:t xml:space="preserve"> Current requirements for narrowband band MSS (including those contained in the Space Object Class Licence) are outlined on Appendix H in the business operating procedure for the submission and processing of applications for </w:t>
      </w:r>
      <w:hyperlink r:id="rId17" w:history="1">
        <w:r w:rsidRPr="004A3651">
          <w:rPr>
            <w:rStyle w:val="Hyperlink"/>
          </w:rPr>
          <w:t>space and space receive</w:t>
        </w:r>
      </w:hyperlink>
      <w:r>
        <w:t xml:space="preserve"> apparatus licences</w:t>
      </w:r>
      <w:r w:rsidR="00A3157F">
        <w:t>.</w:t>
      </w:r>
    </w:p>
  </w:footnote>
  <w:footnote w:id="32">
    <w:p w14:paraId="4D114A1F" w14:textId="4B20949A" w:rsidR="00121758" w:rsidRPr="000B39D5" w:rsidRDefault="00121758" w:rsidP="00121758">
      <w:pPr>
        <w:pStyle w:val="FootnoteText"/>
      </w:pPr>
      <w:r>
        <w:rPr>
          <w:rStyle w:val="FootnoteReference"/>
        </w:rPr>
        <w:footnoteRef/>
      </w:r>
      <w:r>
        <w:t xml:space="preserve"> </w:t>
      </w:r>
      <w:r>
        <w:rPr>
          <w:lang w:val="en-US"/>
        </w:rPr>
        <w:t xml:space="preserve">The option of an area-wide </w:t>
      </w:r>
      <w:proofErr w:type="spellStart"/>
      <w:r>
        <w:rPr>
          <w:lang w:val="en-US"/>
        </w:rPr>
        <w:t>licence</w:t>
      </w:r>
      <w:proofErr w:type="spellEnd"/>
      <w:r>
        <w:rPr>
          <w:lang w:val="en-US"/>
        </w:rPr>
        <w:t xml:space="preserve"> (AWL) for satellite services is limited to the </w:t>
      </w:r>
      <w:hyperlink r:id="rId18" w:history="1">
        <w:r w:rsidRPr="0081143E">
          <w:rPr>
            <w:rStyle w:val="Hyperlink"/>
            <w:lang w:val="en-US"/>
          </w:rPr>
          <w:t>26 and 28 GHz bands</w:t>
        </w:r>
      </w:hyperlink>
      <w:r>
        <w:rPr>
          <w:lang w:val="en-US"/>
        </w:rPr>
        <w:t xml:space="preserve">. </w:t>
      </w:r>
      <w:r w:rsidRPr="00D5503E">
        <w:rPr>
          <w:lang w:val="en-US"/>
        </w:rPr>
        <w:t xml:space="preserve">In the </w:t>
      </w:r>
      <w:hyperlink r:id="rId19" w:history="1">
        <w:r w:rsidRPr="00DD79A8">
          <w:rPr>
            <w:rStyle w:val="Hyperlink"/>
            <w:lang w:val="en-US"/>
          </w:rPr>
          <w:t>3.8–4 GHz band in metropolitan and regional areas</w:t>
        </w:r>
      </w:hyperlink>
      <w:r w:rsidRPr="00D5503E">
        <w:rPr>
          <w:lang w:val="en-US"/>
        </w:rPr>
        <w:t xml:space="preserve">, </w:t>
      </w:r>
      <w:r w:rsidR="00133F46">
        <w:rPr>
          <w:lang w:val="en-US"/>
        </w:rPr>
        <w:t>we are</w:t>
      </w:r>
      <w:r w:rsidRPr="00D5503E">
        <w:rPr>
          <w:lang w:val="en-US"/>
        </w:rPr>
        <w:t xml:space="preserve"> proposing to introduce AWL</w:t>
      </w:r>
      <w:r w:rsidR="00133F46">
        <w:rPr>
          <w:lang w:val="en-US"/>
        </w:rPr>
        <w:t>-</w:t>
      </w:r>
      <w:r w:rsidRPr="00D5503E">
        <w:rPr>
          <w:lang w:val="en-US"/>
        </w:rPr>
        <w:t xml:space="preserve">receive </w:t>
      </w:r>
      <w:proofErr w:type="spellStart"/>
      <w:r w:rsidRPr="00D5503E">
        <w:rPr>
          <w:lang w:val="en-US"/>
        </w:rPr>
        <w:t>licences</w:t>
      </w:r>
      <w:proofErr w:type="spellEnd"/>
      <w:r w:rsidRPr="00D5503E">
        <w:rPr>
          <w:lang w:val="en-US"/>
        </w:rPr>
        <w:t xml:space="preserve">, which may be used by </w:t>
      </w:r>
      <w:r>
        <w:rPr>
          <w:lang w:val="en-US"/>
        </w:rPr>
        <w:t>satellite</w:t>
      </w:r>
      <w:r w:rsidRPr="00D5503E">
        <w:rPr>
          <w:lang w:val="en-US"/>
        </w:rPr>
        <w:t xml:space="preserve"> earth stations.</w:t>
      </w:r>
    </w:p>
  </w:footnote>
  <w:footnote w:id="33">
    <w:p w14:paraId="2B555916" w14:textId="77777777" w:rsidR="00121758" w:rsidRDefault="00121758" w:rsidP="00121758">
      <w:pPr>
        <w:pStyle w:val="FootnoteText"/>
      </w:pPr>
      <w:r>
        <w:rPr>
          <w:rStyle w:val="FootnoteReference"/>
        </w:rPr>
        <w:footnoteRef/>
      </w:r>
      <w:r>
        <w:t xml:space="preserve"> The ITU defines a </w:t>
      </w:r>
      <w:r w:rsidRPr="00F8544E">
        <w:t>satellite system</w:t>
      </w:r>
      <w:r>
        <w:t xml:space="preserve"> as a </w:t>
      </w:r>
      <w:r w:rsidRPr="00F8544E">
        <w:t>space system using one or more artificial earth satellites</w:t>
      </w:r>
      <w:r>
        <w:t>. A space system is defined as any group of cooperating earth stations and/or space stations employing space radiocommunication for specific purposes.</w:t>
      </w:r>
    </w:p>
  </w:footnote>
  <w:footnote w:id="34">
    <w:p w14:paraId="04476D6C" w14:textId="77777777" w:rsidR="00121758" w:rsidRDefault="00121758" w:rsidP="00121758">
      <w:pPr>
        <w:pStyle w:val="FootnoteText"/>
      </w:pPr>
      <w:r>
        <w:rPr>
          <w:rStyle w:val="FootnoteReference"/>
        </w:rPr>
        <w:footnoteRef/>
      </w:r>
      <w:r>
        <w:t xml:space="preserve"> Refer ITU Radio Regulations Article 9 &amp; 11, and ITU Rules of Procedures.</w:t>
      </w:r>
    </w:p>
  </w:footnote>
  <w:footnote w:id="35">
    <w:p w14:paraId="433D8633" w14:textId="51A9CFF2" w:rsidR="00121758" w:rsidRDefault="00121758" w:rsidP="00121758">
      <w:pPr>
        <w:pStyle w:val="FootnoteText"/>
      </w:pPr>
      <w:r>
        <w:rPr>
          <w:rStyle w:val="FootnoteReference"/>
        </w:rPr>
        <w:footnoteRef/>
      </w:r>
      <w:r>
        <w:t xml:space="preserve"> 3rd Generation Partnership Project; Technical Specification Group Radio Access Network; Solutions for NR to support non-terrestrial networks (NTN) (Release 16) </w:t>
      </w:r>
      <w:r w:rsidRPr="00B73F09">
        <w:t>V16.</w:t>
      </w:r>
      <w:r>
        <w:t>2</w:t>
      </w:r>
      <w:r w:rsidRPr="00B73F09">
        <w:t>.0</w:t>
      </w:r>
      <w:r>
        <w:t>, March 2023</w:t>
      </w:r>
      <w:r w:rsidR="00C645C1">
        <w:t>.</w:t>
      </w:r>
    </w:p>
  </w:footnote>
  <w:footnote w:id="36">
    <w:p w14:paraId="2A5234AF" w14:textId="3C424885" w:rsidR="00121758" w:rsidRDefault="00121758" w:rsidP="00121758">
      <w:pPr>
        <w:pStyle w:val="FootnoteText"/>
      </w:pPr>
      <w:r>
        <w:rPr>
          <w:rStyle w:val="FootnoteReference"/>
        </w:rPr>
        <w:footnoteRef/>
      </w:r>
      <w:r>
        <w:t xml:space="preserve"> Compatibility Studies – MSS Terminals Transmitting </w:t>
      </w:r>
      <w:proofErr w:type="gramStart"/>
      <w:r>
        <w:t>To</w:t>
      </w:r>
      <w:proofErr w:type="gramEnd"/>
      <w:r>
        <w:t xml:space="preserve"> A Satellite In The Band 1980-2010 M</w:t>
      </w:r>
      <w:r w:rsidR="00C645C1">
        <w:t>H</w:t>
      </w:r>
      <w:r>
        <w:t>z And Adjacent Channel UMTS Services, May 2013</w:t>
      </w:r>
      <w:r w:rsidR="00C645C1">
        <w:t>.</w:t>
      </w:r>
    </w:p>
  </w:footnote>
  <w:footnote w:id="37">
    <w:p w14:paraId="2EBBF577" w14:textId="5D590192" w:rsidR="00121758" w:rsidRDefault="00121758" w:rsidP="00121758">
      <w:pPr>
        <w:pStyle w:val="FootnoteText"/>
      </w:pPr>
      <w:r>
        <w:rPr>
          <w:rStyle w:val="FootnoteReference"/>
        </w:rPr>
        <w:footnoteRef/>
      </w:r>
      <w:r>
        <w:t xml:space="preserve"> 3rd Generation Partnership Project; Technical Specification Group Radio Access Network; NR; User Equipment (UE) radio transmission and reception; Part 5: Satellite access Radio Frequency (RF) and performance requirements (Release 18) December 2022</w:t>
      </w:r>
      <w:r w:rsidR="00C645C1">
        <w:t>.</w:t>
      </w:r>
    </w:p>
  </w:footnote>
  <w:footnote w:id="38">
    <w:p w14:paraId="7BC4B28A" w14:textId="36E7F638" w:rsidR="00121758" w:rsidRDefault="00121758" w:rsidP="00121758">
      <w:pPr>
        <w:pStyle w:val="FootnoteText"/>
      </w:pPr>
      <w:r>
        <w:rPr>
          <w:rStyle w:val="FootnoteReference"/>
        </w:rPr>
        <w:footnoteRef/>
      </w:r>
      <w:r>
        <w:t xml:space="preserve"> ECC Report 233, </w:t>
      </w:r>
      <w:r w:rsidRPr="00AD37F6">
        <w:t>Adjacent band compatibility studies for aeronautical CGC systems operating in the bands 1980</w:t>
      </w:r>
      <w:r w:rsidR="00C645C1">
        <w:t>–</w:t>
      </w:r>
      <w:r w:rsidRPr="00AD37F6">
        <w:t>2010 MHz and 2170</w:t>
      </w:r>
      <w:r w:rsidR="00C645C1">
        <w:t>–</w:t>
      </w:r>
      <w:r w:rsidRPr="00AD37F6">
        <w:t>2200 MHz</w:t>
      </w:r>
      <w:r>
        <w:t>, May 2015</w:t>
      </w:r>
      <w:r w:rsidR="00C645C1">
        <w:t>.</w:t>
      </w:r>
    </w:p>
  </w:footnote>
  <w:footnote w:id="39">
    <w:p w14:paraId="44024FF1" w14:textId="602CE2FA" w:rsidR="00121758" w:rsidRDefault="00121758" w:rsidP="00121758">
      <w:pPr>
        <w:pStyle w:val="FootnoteText"/>
      </w:pPr>
      <w:r>
        <w:rPr>
          <w:rStyle w:val="FootnoteReference"/>
        </w:rPr>
        <w:footnoteRef/>
      </w:r>
      <w:r>
        <w:t xml:space="preserve"> Information on aeronautical receivers was not readily available, and have been assumed to be similar to an earth station</w:t>
      </w:r>
      <w:r w:rsidR="00C645C1">
        <w:t>.</w:t>
      </w:r>
    </w:p>
  </w:footnote>
  <w:footnote w:id="40">
    <w:p w14:paraId="27C1BB7A" w14:textId="23FF5D6A" w:rsidR="00121758" w:rsidRDefault="00121758" w:rsidP="00121758">
      <w:pPr>
        <w:pStyle w:val="FootnoteText"/>
      </w:pPr>
      <w:r>
        <w:rPr>
          <w:rStyle w:val="FootnoteReference"/>
        </w:rPr>
        <w:footnoteRef/>
      </w:r>
      <w:r>
        <w:t xml:space="preserve"> Information on aeronautical receivers was not readily available, and have been assumed to be similar to an earth station</w:t>
      </w:r>
      <w:r w:rsidR="00C645C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3BC6" w14:textId="77777777" w:rsidR="00C053A1" w:rsidRPr="00A5474E" w:rsidRDefault="0021426C" w:rsidP="00A5474E">
    <w:pPr>
      <w:pStyle w:val="Header"/>
    </w:pPr>
    <w:r>
      <w:rPr>
        <w:noProof/>
      </w:rPr>
      <w:drawing>
        <wp:inline distT="0" distB="0" distL="0" distR="0" wp14:anchorId="0B78BDDC" wp14:editId="321861BC">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5E83" w14:textId="77777777"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CC98"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8B56"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7BFEEA05" w14:textId="77777777" w:rsidTr="00387196">
      <w:trPr>
        <w:trHeight w:hRule="exact" w:val="988"/>
      </w:trPr>
      <w:tc>
        <w:tcPr>
          <w:tcW w:w="7678" w:type="dxa"/>
          <w:shd w:val="clear" w:color="auto" w:fill="auto"/>
        </w:tcPr>
        <w:p w14:paraId="77D686D1" w14:textId="77777777" w:rsidR="00971914" w:rsidRDefault="00971914" w:rsidP="00971914">
          <w:pPr>
            <w:pStyle w:val="Header"/>
          </w:pPr>
        </w:p>
      </w:tc>
    </w:tr>
    <w:tr w:rsidR="00971914" w14:paraId="1E9EFE1E" w14:textId="77777777" w:rsidTr="00387196">
      <w:tc>
        <w:tcPr>
          <w:tcW w:w="7678" w:type="dxa"/>
          <w:shd w:val="clear" w:color="auto" w:fill="auto"/>
        </w:tcPr>
        <w:p w14:paraId="7D64C9CF" w14:textId="77777777" w:rsidR="00971914" w:rsidRDefault="00971914" w:rsidP="00971914">
          <w:pPr>
            <w:pStyle w:val="GridTable31"/>
          </w:pPr>
          <w:r>
            <w:t xml:space="preserve">Contents </w:t>
          </w:r>
          <w:r w:rsidRPr="00915B1C">
            <w:rPr>
              <w:b w:val="0"/>
              <w:spacing w:val="0"/>
              <w:sz w:val="28"/>
              <w:szCs w:val="28"/>
            </w:rPr>
            <w:t>(Continued)</w:t>
          </w:r>
        </w:p>
      </w:tc>
    </w:tr>
    <w:tr w:rsidR="00971914" w14:paraId="6C21CC8B" w14:textId="77777777" w:rsidTr="00387196">
      <w:trPr>
        <w:trHeight w:val="1220"/>
      </w:trPr>
      <w:tc>
        <w:tcPr>
          <w:tcW w:w="7678" w:type="dxa"/>
          <w:shd w:val="clear" w:color="auto" w:fill="auto"/>
        </w:tcPr>
        <w:p w14:paraId="54877860" w14:textId="77777777" w:rsidR="00971914" w:rsidRDefault="00971914" w:rsidP="00971914"/>
      </w:tc>
    </w:tr>
  </w:tbl>
  <w:p w14:paraId="67B0F03F"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3AB34FC5" w14:textId="77777777" w:rsidTr="00387196">
      <w:trPr>
        <w:trHeight w:hRule="exact" w:val="988"/>
      </w:trPr>
      <w:tc>
        <w:tcPr>
          <w:tcW w:w="7678" w:type="dxa"/>
          <w:shd w:val="clear" w:color="auto" w:fill="auto"/>
        </w:tcPr>
        <w:p w14:paraId="605F14F1" w14:textId="77777777" w:rsidR="00971914" w:rsidRDefault="00971914" w:rsidP="00971914">
          <w:pPr>
            <w:pStyle w:val="Header"/>
          </w:pPr>
        </w:p>
      </w:tc>
    </w:tr>
    <w:tr w:rsidR="00971914" w14:paraId="2DD384A7" w14:textId="77777777" w:rsidTr="00387196">
      <w:tc>
        <w:tcPr>
          <w:tcW w:w="7678" w:type="dxa"/>
          <w:shd w:val="clear" w:color="auto" w:fill="auto"/>
        </w:tcPr>
        <w:p w14:paraId="0C0819D4" w14:textId="77777777" w:rsidR="00971914" w:rsidRDefault="00971914" w:rsidP="00971914">
          <w:pPr>
            <w:pStyle w:val="GridTable31"/>
          </w:pPr>
          <w:r>
            <w:t xml:space="preserve">Contents </w:t>
          </w:r>
          <w:r w:rsidRPr="00915B1C">
            <w:rPr>
              <w:b w:val="0"/>
              <w:spacing w:val="0"/>
              <w:sz w:val="28"/>
              <w:szCs w:val="28"/>
            </w:rPr>
            <w:t>(Continued)</w:t>
          </w:r>
        </w:p>
      </w:tc>
    </w:tr>
    <w:tr w:rsidR="00971914" w14:paraId="32F1DBB5" w14:textId="77777777" w:rsidTr="00387196">
      <w:trPr>
        <w:trHeight w:val="1220"/>
      </w:trPr>
      <w:tc>
        <w:tcPr>
          <w:tcW w:w="7678" w:type="dxa"/>
          <w:shd w:val="clear" w:color="auto" w:fill="auto"/>
        </w:tcPr>
        <w:p w14:paraId="2694BBB5" w14:textId="77777777" w:rsidR="00971914" w:rsidRDefault="00971914" w:rsidP="00971914"/>
      </w:tc>
    </w:tr>
  </w:tbl>
  <w:p w14:paraId="03867723"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9AB0"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1A8F"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0310702"/>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CC06F1"/>
    <w:multiLevelType w:val="multilevel"/>
    <w:tmpl w:val="A650EE54"/>
    <w:styleLink w:val="Consultation"/>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0464145A"/>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731B8B"/>
    <w:multiLevelType w:val="hybridMultilevel"/>
    <w:tmpl w:val="C7406B32"/>
    <w:lvl w:ilvl="0" w:tplc="17CC4916">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AD7916"/>
    <w:multiLevelType w:val="hybridMultilevel"/>
    <w:tmpl w:val="094C138E"/>
    <w:lvl w:ilvl="0" w:tplc="E0A80A52">
      <w:start w:val="5"/>
      <w:numFmt w:val="decimal"/>
      <w:lvlText w:val="%1."/>
      <w:lvlJc w:val="left"/>
      <w:pPr>
        <w:ind w:left="4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386EA78">
      <w:start w:val="1"/>
      <w:numFmt w:val="lowerLetter"/>
      <w:lvlText w:val="(%2)"/>
      <w:lvlJc w:val="left"/>
      <w:pPr>
        <w:ind w:left="7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F5680B2">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1CC57AC">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6BA7540">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D38AC16">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3CCDAAC">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09A8A8A">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F747576">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8046E7F"/>
    <w:multiLevelType w:val="hybridMultilevel"/>
    <w:tmpl w:val="7E76072E"/>
    <w:lvl w:ilvl="0" w:tplc="17CC4916">
      <w:start w:val="1"/>
      <w:numFmt w:val="bullet"/>
      <w:lvlText w:val=""/>
      <w:lvlJc w:val="left"/>
      <w:pPr>
        <w:ind w:left="928" w:hanging="360"/>
      </w:pPr>
      <w:rPr>
        <w:rFonts w:ascii="Symbol" w:hAnsi="Symbol" w:hint="default"/>
        <w:sz w:val="20"/>
      </w:rPr>
    </w:lvl>
    <w:lvl w:ilvl="1" w:tplc="0C090003">
      <w:start w:val="1"/>
      <w:numFmt w:val="bullet"/>
      <w:lvlText w:val="o"/>
      <w:lvlJc w:val="left"/>
      <w:pPr>
        <w:ind w:left="1648" w:hanging="360"/>
      </w:pPr>
      <w:rPr>
        <w:rFonts w:ascii="Courier New" w:hAnsi="Courier New" w:cs="Courier New" w:hint="default"/>
      </w:rPr>
    </w:lvl>
    <w:lvl w:ilvl="2" w:tplc="0C090005">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0" w15:restartNumberingAfterBreak="0">
    <w:nsid w:val="29782729"/>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AB3293"/>
    <w:multiLevelType w:val="hybridMultilevel"/>
    <w:tmpl w:val="4CE688CC"/>
    <w:lvl w:ilvl="0" w:tplc="013003A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301DD4"/>
    <w:multiLevelType w:val="multilevel"/>
    <w:tmpl w:val="0338EFA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A00638C"/>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A05A72"/>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51348D"/>
    <w:multiLevelType w:val="hybridMultilevel"/>
    <w:tmpl w:val="A154BE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0134793"/>
    <w:multiLevelType w:val="hybridMultilevel"/>
    <w:tmpl w:val="4F12EE1E"/>
    <w:lvl w:ilvl="0" w:tplc="3386EA78">
      <w:start w:val="1"/>
      <w:numFmt w:val="lowerLetter"/>
      <w:lvlText w:val="(%1)"/>
      <w:lvlJc w:val="left"/>
      <w:pPr>
        <w:ind w:left="7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6A1D29"/>
    <w:multiLevelType w:val="hybridMultilevel"/>
    <w:tmpl w:val="EEFAAFE8"/>
    <w:lvl w:ilvl="0" w:tplc="8D2C7338">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C418AC"/>
    <w:multiLevelType w:val="hybridMultilevel"/>
    <w:tmpl w:val="95A0C836"/>
    <w:lvl w:ilvl="0" w:tplc="AC1EA3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333BE7"/>
    <w:multiLevelType w:val="multilevel"/>
    <w:tmpl w:val="9612C4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C758E"/>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77113F"/>
    <w:multiLevelType w:val="hybridMultilevel"/>
    <w:tmpl w:val="09EAD81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602A92"/>
    <w:multiLevelType w:val="hybridMultilevel"/>
    <w:tmpl w:val="67361D18"/>
    <w:lvl w:ilvl="0" w:tplc="F62E0E28">
      <w:start w:val="2"/>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5C8935A">
      <w:start w:val="1"/>
      <w:numFmt w:val="lowerLetter"/>
      <w:lvlText w:val="(%2)"/>
      <w:lvlJc w:val="left"/>
      <w:pPr>
        <w:ind w:left="705"/>
      </w:pPr>
      <w:rPr>
        <w:rFonts w:ascii="Arial" w:eastAsia="Times New Roman" w:hAnsi="Arial" w:cs="Arial" w:hint="default"/>
        <w:b w:val="0"/>
        <w:i w:val="0"/>
        <w:strike w:val="0"/>
        <w:dstrike w:val="0"/>
        <w:color w:val="000000"/>
        <w:sz w:val="21"/>
        <w:szCs w:val="21"/>
        <w:u w:val="none" w:color="000000"/>
        <w:bdr w:val="none" w:sz="0" w:space="0" w:color="auto"/>
        <w:shd w:val="clear" w:color="auto" w:fill="auto"/>
        <w:vertAlign w:val="baseline"/>
      </w:rPr>
    </w:lvl>
    <w:lvl w:ilvl="2" w:tplc="B7FE1124">
      <w:start w:val="1"/>
      <w:numFmt w:val="lowerRoman"/>
      <w:lvlText w:val="%3"/>
      <w:lvlJc w:val="left"/>
      <w:pPr>
        <w:ind w:left="14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C43348">
      <w:start w:val="1"/>
      <w:numFmt w:val="decimal"/>
      <w:lvlText w:val="%4"/>
      <w:lvlJc w:val="left"/>
      <w:pPr>
        <w:ind w:left="21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3EE3580">
      <w:start w:val="1"/>
      <w:numFmt w:val="lowerLetter"/>
      <w:lvlText w:val="%5"/>
      <w:lvlJc w:val="left"/>
      <w:pPr>
        <w:ind w:left="28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1AC8950">
      <w:start w:val="1"/>
      <w:numFmt w:val="lowerRoman"/>
      <w:lvlText w:val="%6"/>
      <w:lvlJc w:val="left"/>
      <w:pPr>
        <w:ind w:left="36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FD8B2A2">
      <w:start w:val="1"/>
      <w:numFmt w:val="decimal"/>
      <w:lvlText w:val="%7"/>
      <w:lvlJc w:val="left"/>
      <w:pPr>
        <w:ind w:left="43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C5C3FCA">
      <w:start w:val="1"/>
      <w:numFmt w:val="lowerLetter"/>
      <w:lvlText w:val="%8"/>
      <w:lvlJc w:val="left"/>
      <w:pPr>
        <w:ind w:left="50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008D416">
      <w:start w:val="1"/>
      <w:numFmt w:val="lowerRoman"/>
      <w:lvlText w:val="%9"/>
      <w:lvlJc w:val="left"/>
      <w:pPr>
        <w:ind w:left="57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D41A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26C65B4"/>
    <w:multiLevelType w:val="hybridMultilevel"/>
    <w:tmpl w:val="EEFAAFE8"/>
    <w:lvl w:ilvl="0" w:tplc="FFFFFFFF">
      <w:start w:val="1"/>
      <w:numFmt w:val="lowerLetter"/>
      <w:lvlText w:val="(%1)"/>
      <w:lvlJc w:val="left"/>
      <w:pPr>
        <w:ind w:left="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092" w:hanging="360"/>
      </w:pPr>
    </w:lvl>
    <w:lvl w:ilvl="2" w:tplc="FFFFFFFF" w:tentative="1">
      <w:start w:val="1"/>
      <w:numFmt w:val="lowerRoman"/>
      <w:lvlText w:val="%3."/>
      <w:lvlJc w:val="right"/>
      <w:pPr>
        <w:ind w:left="1812" w:hanging="180"/>
      </w:pPr>
    </w:lvl>
    <w:lvl w:ilvl="3" w:tplc="FFFFFFFF" w:tentative="1">
      <w:start w:val="1"/>
      <w:numFmt w:val="decimal"/>
      <w:lvlText w:val="%4."/>
      <w:lvlJc w:val="left"/>
      <w:pPr>
        <w:ind w:left="2532" w:hanging="360"/>
      </w:pPr>
    </w:lvl>
    <w:lvl w:ilvl="4" w:tplc="FFFFFFFF" w:tentative="1">
      <w:start w:val="1"/>
      <w:numFmt w:val="lowerLetter"/>
      <w:lvlText w:val="%5."/>
      <w:lvlJc w:val="left"/>
      <w:pPr>
        <w:ind w:left="3252" w:hanging="360"/>
      </w:pPr>
    </w:lvl>
    <w:lvl w:ilvl="5" w:tplc="FFFFFFFF" w:tentative="1">
      <w:start w:val="1"/>
      <w:numFmt w:val="lowerRoman"/>
      <w:lvlText w:val="%6."/>
      <w:lvlJc w:val="right"/>
      <w:pPr>
        <w:ind w:left="3972" w:hanging="180"/>
      </w:pPr>
    </w:lvl>
    <w:lvl w:ilvl="6" w:tplc="FFFFFFFF" w:tentative="1">
      <w:start w:val="1"/>
      <w:numFmt w:val="decimal"/>
      <w:lvlText w:val="%7."/>
      <w:lvlJc w:val="left"/>
      <w:pPr>
        <w:ind w:left="4692" w:hanging="360"/>
      </w:pPr>
    </w:lvl>
    <w:lvl w:ilvl="7" w:tplc="FFFFFFFF" w:tentative="1">
      <w:start w:val="1"/>
      <w:numFmt w:val="lowerLetter"/>
      <w:lvlText w:val="%8."/>
      <w:lvlJc w:val="left"/>
      <w:pPr>
        <w:ind w:left="5412" w:hanging="360"/>
      </w:pPr>
    </w:lvl>
    <w:lvl w:ilvl="8" w:tplc="FFFFFFFF" w:tentative="1">
      <w:start w:val="1"/>
      <w:numFmt w:val="lowerRoman"/>
      <w:lvlText w:val="%9."/>
      <w:lvlJc w:val="right"/>
      <w:pPr>
        <w:ind w:left="6132" w:hanging="180"/>
      </w:pPr>
    </w:lvl>
  </w:abstractNum>
  <w:abstractNum w:abstractNumId="29" w15:restartNumberingAfterBreak="0">
    <w:nsid w:val="784F4DD6"/>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C1D4672"/>
    <w:multiLevelType w:val="hybridMultilevel"/>
    <w:tmpl w:val="09EAD8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D9B6AE7"/>
    <w:multiLevelType w:val="hybridMultilevel"/>
    <w:tmpl w:val="EEFAAFE8"/>
    <w:lvl w:ilvl="0" w:tplc="FFFFFFFF">
      <w:start w:val="1"/>
      <w:numFmt w:val="lowerLetter"/>
      <w:lvlText w:val="(%1)"/>
      <w:lvlJc w:val="left"/>
      <w:pPr>
        <w:ind w:left="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8005979">
    <w:abstractNumId w:val="3"/>
  </w:num>
  <w:num w:numId="2" w16cid:durableId="254097932">
    <w:abstractNumId w:val="1"/>
  </w:num>
  <w:num w:numId="3" w16cid:durableId="986855670">
    <w:abstractNumId w:val="2"/>
  </w:num>
  <w:num w:numId="4" w16cid:durableId="586353742">
    <w:abstractNumId w:val="0"/>
  </w:num>
  <w:num w:numId="5" w16cid:durableId="1549219087">
    <w:abstractNumId w:val="12"/>
  </w:num>
  <w:num w:numId="6" w16cid:durableId="140000919">
    <w:abstractNumId w:val="24"/>
  </w:num>
  <w:num w:numId="7" w16cid:durableId="941835555">
    <w:abstractNumId w:val="20"/>
  </w:num>
  <w:num w:numId="8" w16cid:durableId="748844998">
    <w:abstractNumId w:val="23"/>
  </w:num>
  <w:num w:numId="9" w16cid:durableId="53748591">
    <w:abstractNumId w:val="26"/>
  </w:num>
  <w:num w:numId="10" w16cid:durableId="674187366">
    <w:abstractNumId w:val="2"/>
    <w:lvlOverride w:ilvl="0">
      <w:startOverride w:val="1"/>
    </w:lvlOverride>
  </w:num>
  <w:num w:numId="11" w16cid:durableId="637492435">
    <w:abstractNumId w:val="2"/>
    <w:lvlOverride w:ilvl="0">
      <w:startOverride w:val="1"/>
    </w:lvlOverride>
  </w:num>
  <w:num w:numId="12" w16cid:durableId="242420230">
    <w:abstractNumId w:val="5"/>
  </w:num>
  <w:num w:numId="13" w16cid:durableId="57480054">
    <w:abstractNumId w:val="27"/>
  </w:num>
  <w:num w:numId="14" w16cid:durableId="1894341745">
    <w:abstractNumId w:val="15"/>
  </w:num>
  <w:num w:numId="15" w16cid:durableId="574706647">
    <w:abstractNumId w:val="25"/>
  </w:num>
  <w:num w:numId="16" w16cid:durableId="1891457525">
    <w:abstractNumId w:val="11"/>
  </w:num>
  <w:num w:numId="17" w16cid:durableId="761414110">
    <w:abstractNumId w:val="17"/>
  </w:num>
  <w:num w:numId="18" w16cid:durableId="411926169">
    <w:abstractNumId w:val="31"/>
  </w:num>
  <w:num w:numId="19" w16cid:durableId="943029161">
    <w:abstractNumId w:val="28"/>
  </w:num>
  <w:num w:numId="20" w16cid:durableId="2091658852">
    <w:abstractNumId w:val="30"/>
  </w:num>
  <w:num w:numId="21" w16cid:durableId="1020618484">
    <w:abstractNumId w:val="8"/>
  </w:num>
  <w:num w:numId="22" w16cid:durableId="989864667">
    <w:abstractNumId w:val="21"/>
  </w:num>
  <w:num w:numId="23" w16cid:durableId="340398021">
    <w:abstractNumId w:val="6"/>
  </w:num>
  <w:num w:numId="24" w16cid:durableId="1397120286">
    <w:abstractNumId w:val="4"/>
  </w:num>
  <w:num w:numId="25" w16cid:durableId="1108348876">
    <w:abstractNumId w:val="29"/>
  </w:num>
  <w:num w:numId="26" w16cid:durableId="2109766783">
    <w:abstractNumId w:val="18"/>
  </w:num>
  <w:num w:numId="27" w16cid:durableId="220992831">
    <w:abstractNumId w:val="13"/>
  </w:num>
  <w:num w:numId="28" w16cid:durableId="964314630">
    <w:abstractNumId w:val="10"/>
  </w:num>
  <w:num w:numId="29" w16cid:durableId="1057389012">
    <w:abstractNumId w:val="16"/>
  </w:num>
  <w:num w:numId="30" w16cid:durableId="1720202579">
    <w:abstractNumId w:val="14"/>
  </w:num>
  <w:num w:numId="31" w16cid:durableId="1556772215">
    <w:abstractNumId w:val="22"/>
  </w:num>
  <w:num w:numId="32" w16cid:durableId="690297457">
    <w:abstractNumId w:val="27"/>
  </w:num>
  <w:num w:numId="33" w16cid:durableId="1085951820">
    <w:abstractNumId w:val="19"/>
  </w:num>
  <w:num w:numId="34" w16cid:durableId="78988656">
    <w:abstractNumId w:val="7"/>
  </w:num>
  <w:num w:numId="35" w16cid:durableId="2964877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6145">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75"/>
    <w:rsid w:val="00010667"/>
    <w:rsid w:val="000129D5"/>
    <w:rsid w:val="000146C5"/>
    <w:rsid w:val="000148D3"/>
    <w:rsid w:val="00015AE7"/>
    <w:rsid w:val="000164FF"/>
    <w:rsid w:val="00016C02"/>
    <w:rsid w:val="00016E21"/>
    <w:rsid w:val="0001719C"/>
    <w:rsid w:val="00017EFC"/>
    <w:rsid w:val="0002224E"/>
    <w:rsid w:val="00023A36"/>
    <w:rsid w:val="000245E5"/>
    <w:rsid w:val="0002598D"/>
    <w:rsid w:val="00026F91"/>
    <w:rsid w:val="00031ED9"/>
    <w:rsid w:val="00032621"/>
    <w:rsid w:val="00035699"/>
    <w:rsid w:val="00035F29"/>
    <w:rsid w:val="000367ED"/>
    <w:rsid w:val="00040087"/>
    <w:rsid w:val="00044B95"/>
    <w:rsid w:val="0004764C"/>
    <w:rsid w:val="0005011A"/>
    <w:rsid w:val="0005045A"/>
    <w:rsid w:val="00050FDC"/>
    <w:rsid w:val="000514FC"/>
    <w:rsid w:val="00051C1E"/>
    <w:rsid w:val="000539F9"/>
    <w:rsid w:val="00054273"/>
    <w:rsid w:val="00054C27"/>
    <w:rsid w:val="00055EC3"/>
    <w:rsid w:val="000563CE"/>
    <w:rsid w:val="00061591"/>
    <w:rsid w:val="00061961"/>
    <w:rsid w:val="00064AEC"/>
    <w:rsid w:val="000659B6"/>
    <w:rsid w:val="00065F95"/>
    <w:rsid w:val="0006686F"/>
    <w:rsid w:val="00066889"/>
    <w:rsid w:val="00067065"/>
    <w:rsid w:val="0006722A"/>
    <w:rsid w:val="000732CF"/>
    <w:rsid w:val="00075B96"/>
    <w:rsid w:val="00075C81"/>
    <w:rsid w:val="00076FB5"/>
    <w:rsid w:val="0008196A"/>
    <w:rsid w:val="0008269A"/>
    <w:rsid w:val="0009057A"/>
    <w:rsid w:val="000915ED"/>
    <w:rsid w:val="0009209D"/>
    <w:rsid w:val="000927ED"/>
    <w:rsid w:val="0009463C"/>
    <w:rsid w:val="000950F9"/>
    <w:rsid w:val="000969BD"/>
    <w:rsid w:val="000969BF"/>
    <w:rsid w:val="000A0C22"/>
    <w:rsid w:val="000A1400"/>
    <w:rsid w:val="000A3C43"/>
    <w:rsid w:val="000A458E"/>
    <w:rsid w:val="000A4A51"/>
    <w:rsid w:val="000A5D2B"/>
    <w:rsid w:val="000B0FF0"/>
    <w:rsid w:val="000B351C"/>
    <w:rsid w:val="000B4664"/>
    <w:rsid w:val="000B5761"/>
    <w:rsid w:val="000B5DE3"/>
    <w:rsid w:val="000C0A57"/>
    <w:rsid w:val="000C230C"/>
    <w:rsid w:val="000C6AB4"/>
    <w:rsid w:val="000C79FF"/>
    <w:rsid w:val="000D02D8"/>
    <w:rsid w:val="000D11FE"/>
    <w:rsid w:val="000D2A53"/>
    <w:rsid w:val="000D71D9"/>
    <w:rsid w:val="000D76E0"/>
    <w:rsid w:val="000D7E8B"/>
    <w:rsid w:val="000E0B14"/>
    <w:rsid w:val="000E4449"/>
    <w:rsid w:val="000E6097"/>
    <w:rsid w:val="000E778E"/>
    <w:rsid w:val="000F0753"/>
    <w:rsid w:val="000F49A7"/>
    <w:rsid w:val="000F78DF"/>
    <w:rsid w:val="00103829"/>
    <w:rsid w:val="001066D3"/>
    <w:rsid w:val="00111FCE"/>
    <w:rsid w:val="001131CE"/>
    <w:rsid w:val="001158D3"/>
    <w:rsid w:val="0011767D"/>
    <w:rsid w:val="001178DA"/>
    <w:rsid w:val="00117B25"/>
    <w:rsid w:val="00121758"/>
    <w:rsid w:val="001229A5"/>
    <w:rsid w:val="0012489B"/>
    <w:rsid w:val="00126A00"/>
    <w:rsid w:val="00130017"/>
    <w:rsid w:val="001302AB"/>
    <w:rsid w:val="00130F91"/>
    <w:rsid w:val="00133F46"/>
    <w:rsid w:val="001349ED"/>
    <w:rsid w:val="00135313"/>
    <w:rsid w:val="0013544B"/>
    <w:rsid w:val="00137424"/>
    <w:rsid w:val="00140318"/>
    <w:rsid w:val="00140FE8"/>
    <w:rsid w:val="00141AD9"/>
    <w:rsid w:val="00144D27"/>
    <w:rsid w:val="00146CE6"/>
    <w:rsid w:val="001478F9"/>
    <w:rsid w:val="00151659"/>
    <w:rsid w:val="00151CAE"/>
    <w:rsid w:val="00152903"/>
    <w:rsid w:val="00153FD5"/>
    <w:rsid w:val="00154715"/>
    <w:rsid w:val="0015614F"/>
    <w:rsid w:val="001577C2"/>
    <w:rsid w:val="001578B1"/>
    <w:rsid w:val="0016286A"/>
    <w:rsid w:val="001633C4"/>
    <w:rsid w:val="001656A4"/>
    <w:rsid w:val="001657BA"/>
    <w:rsid w:val="001661BA"/>
    <w:rsid w:val="001704D5"/>
    <w:rsid w:val="001708B3"/>
    <w:rsid w:val="00171591"/>
    <w:rsid w:val="001716B8"/>
    <w:rsid w:val="00173981"/>
    <w:rsid w:val="00174674"/>
    <w:rsid w:val="0017662B"/>
    <w:rsid w:val="00176E54"/>
    <w:rsid w:val="0017719D"/>
    <w:rsid w:val="0017788F"/>
    <w:rsid w:val="0017793B"/>
    <w:rsid w:val="00180CA3"/>
    <w:rsid w:val="0018251B"/>
    <w:rsid w:val="00183FD7"/>
    <w:rsid w:val="00185703"/>
    <w:rsid w:val="00185CAB"/>
    <w:rsid w:val="001875B7"/>
    <w:rsid w:val="00187A74"/>
    <w:rsid w:val="00187CB3"/>
    <w:rsid w:val="0019050A"/>
    <w:rsid w:val="001910D4"/>
    <w:rsid w:val="001976E3"/>
    <w:rsid w:val="001A376C"/>
    <w:rsid w:val="001A44EC"/>
    <w:rsid w:val="001A4956"/>
    <w:rsid w:val="001B0788"/>
    <w:rsid w:val="001B12B6"/>
    <w:rsid w:val="001B58AA"/>
    <w:rsid w:val="001B7E48"/>
    <w:rsid w:val="001C025C"/>
    <w:rsid w:val="001C17CE"/>
    <w:rsid w:val="001C1A3E"/>
    <w:rsid w:val="001C36CA"/>
    <w:rsid w:val="001C3FE8"/>
    <w:rsid w:val="001C44D1"/>
    <w:rsid w:val="001C6AEE"/>
    <w:rsid w:val="001C7630"/>
    <w:rsid w:val="001D368E"/>
    <w:rsid w:val="001D3853"/>
    <w:rsid w:val="001D526E"/>
    <w:rsid w:val="001D6D15"/>
    <w:rsid w:val="001E4DBC"/>
    <w:rsid w:val="001E5786"/>
    <w:rsid w:val="001E784E"/>
    <w:rsid w:val="001F50F7"/>
    <w:rsid w:val="001F6BAD"/>
    <w:rsid w:val="001F7558"/>
    <w:rsid w:val="00201072"/>
    <w:rsid w:val="00201EE2"/>
    <w:rsid w:val="00204FFD"/>
    <w:rsid w:val="002052D8"/>
    <w:rsid w:val="00205B57"/>
    <w:rsid w:val="00207D54"/>
    <w:rsid w:val="00214028"/>
    <w:rsid w:val="0021426C"/>
    <w:rsid w:val="002157E0"/>
    <w:rsid w:val="00216047"/>
    <w:rsid w:val="00216A57"/>
    <w:rsid w:val="00217448"/>
    <w:rsid w:val="002206B9"/>
    <w:rsid w:val="00223275"/>
    <w:rsid w:val="0022334F"/>
    <w:rsid w:val="00226819"/>
    <w:rsid w:val="00226F3B"/>
    <w:rsid w:val="00233101"/>
    <w:rsid w:val="00233817"/>
    <w:rsid w:val="0023539A"/>
    <w:rsid w:val="00236400"/>
    <w:rsid w:val="002367FF"/>
    <w:rsid w:val="00240972"/>
    <w:rsid w:val="00240CE9"/>
    <w:rsid w:val="00243124"/>
    <w:rsid w:val="002434BA"/>
    <w:rsid w:val="00246089"/>
    <w:rsid w:val="00246093"/>
    <w:rsid w:val="00246702"/>
    <w:rsid w:val="002474A3"/>
    <w:rsid w:val="00247C59"/>
    <w:rsid w:val="00247F2E"/>
    <w:rsid w:val="00250ADC"/>
    <w:rsid w:val="00250B07"/>
    <w:rsid w:val="00253EB8"/>
    <w:rsid w:val="00257553"/>
    <w:rsid w:val="00260FB2"/>
    <w:rsid w:val="00261832"/>
    <w:rsid w:val="00262128"/>
    <w:rsid w:val="00262A72"/>
    <w:rsid w:val="002636A8"/>
    <w:rsid w:val="0027060F"/>
    <w:rsid w:val="0027165D"/>
    <w:rsid w:val="00272923"/>
    <w:rsid w:val="00273CEB"/>
    <w:rsid w:val="00280679"/>
    <w:rsid w:val="00281C89"/>
    <w:rsid w:val="002820E5"/>
    <w:rsid w:val="0028282F"/>
    <w:rsid w:val="00283ED0"/>
    <w:rsid w:val="00291269"/>
    <w:rsid w:val="002932E0"/>
    <w:rsid w:val="00293857"/>
    <w:rsid w:val="0029593B"/>
    <w:rsid w:val="00295D12"/>
    <w:rsid w:val="00297FC5"/>
    <w:rsid w:val="002A0417"/>
    <w:rsid w:val="002A16D8"/>
    <w:rsid w:val="002A1BC8"/>
    <w:rsid w:val="002A1FC8"/>
    <w:rsid w:val="002A2A70"/>
    <w:rsid w:val="002A3EF2"/>
    <w:rsid w:val="002A59FB"/>
    <w:rsid w:val="002B0DED"/>
    <w:rsid w:val="002B19A2"/>
    <w:rsid w:val="002B381A"/>
    <w:rsid w:val="002B3DD6"/>
    <w:rsid w:val="002B4FCC"/>
    <w:rsid w:val="002B6A17"/>
    <w:rsid w:val="002B7096"/>
    <w:rsid w:val="002B7408"/>
    <w:rsid w:val="002B7CFD"/>
    <w:rsid w:val="002C0530"/>
    <w:rsid w:val="002C210F"/>
    <w:rsid w:val="002C2BD7"/>
    <w:rsid w:val="002C7CE1"/>
    <w:rsid w:val="002D3600"/>
    <w:rsid w:val="002E0639"/>
    <w:rsid w:val="002E4DDC"/>
    <w:rsid w:val="002E4EC0"/>
    <w:rsid w:val="002F2220"/>
    <w:rsid w:val="002F3121"/>
    <w:rsid w:val="002F604A"/>
    <w:rsid w:val="00300D15"/>
    <w:rsid w:val="00302480"/>
    <w:rsid w:val="00302758"/>
    <w:rsid w:val="003045AB"/>
    <w:rsid w:val="00306225"/>
    <w:rsid w:val="00313546"/>
    <w:rsid w:val="00314552"/>
    <w:rsid w:val="003165E6"/>
    <w:rsid w:val="003215B5"/>
    <w:rsid w:val="003221CF"/>
    <w:rsid w:val="0032262E"/>
    <w:rsid w:val="003233ED"/>
    <w:rsid w:val="00324922"/>
    <w:rsid w:val="00324D9F"/>
    <w:rsid w:val="003253EE"/>
    <w:rsid w:val="0032564A"/>
    <w:rsid w:val="00327948"/>
    <w:rsid w:val="0032796A"/>
    <w:rsid w:val="0033000F"/>
    <w:rsid w:val="00332011"/>
    <w:rsid w:val="00332518"/>
    <w:rsid w:val="00332925"/>
    <w:rsid w:val="0033293C"/>
    <w:rsid w:val="00332BBC"/>
    <w:rsid w:val="00332E3F"/>
    <w:rsid w:val="00333157"/>
    <w:rsid w:val="003332ED"/>
    <w:rsid w:val="00334C15"/>
    <w:rsid w:val="00335A99"/>
    <w:rsid w:val="00336585"/>
    <w:rsid w:val="003368DC"/>
    <w:rsid w:val="00336A16"/>
    <w:rsid w:val="00341014"/>
    <w:rsid w:val="00343271"/>
    <w:rsid w:val="00343B89"/>
    <w:rsid w:val="0034490B"/>
    <w:rsid w:val="00345927"/>
    <w:rsid w:val="00350584"/>
    <w:rsid w:val="00351857"/>
    <w:rsid w:val="003545E8"/>
    <w:rsid w:val="003610E1"/>
    <w:rsid w:val="003642BB"/>
    <w:rsid w:val="00364F03"/>
    <w:rsid w:val="003671BE"/>
    <w:rsid w:val="0037132F"/>
    <w:rsid w:val="00371DC8"/>
    <w:rsid w:val="00372485"/>
    <w:rsid w:val="00373200"/>
    <w:rsid w:val="0037446E"/>
    <w:rsid w:val="0037511D"/>
    <w:rsid w:val="00375EF5"/>
    <w:rsid w:val="003767A5"/>
    <w:rsid w:val="00376CD3"/>
    <w:rsid w:val="003803BD"/>
    <w:rsid w:val="00380C5F"/>
    <w:rsid w:val="00381D15"/>
    <w:rsid w:val="003833A7"/>
    <w:rsid w:val="003841C4"/>
    <w:rsid w:val="00385254"/>
    <w:rsid w:val="00387196"/>
    <w:rsid w:val="00390D91"/>
    <w:rsid w:val="0039209B"/>
    <w:rsid w:val="003933E8"/>
    <w:rsid w:val="00394031"/>
    <w:rsid w:val="00396DC2"/>
    <w:rsid w:val="00396FC5"/>
    <w:rsid w:val="003A04DB"/>
    <w:rsid w:val="003A14C8"/>
    <w:rsid w:val="003A529A"/>
    <w:rsid w:val="003A5F5B"/>
    <w:rsid w:val="003A6914"/>
    <w:rsid w:val="003A789A"/>
    <w:rsid w:val="003B081D"/>
    <w:rsid w:val="003B12EC"/>
    <w:rsid w:val="003B6A24"/>
    <w:rsid w:val="003C03B8"/>
    <w:rsid w:val="003C1E6D"/>
    <w:rsid w:val="003C2E85"/>
    <w:rsid w:val="003C32A0"/>
    <w:rsid w:val="003C4812"/>
    <w:rsid w:val="003C77E0"/>
    <w:rsid w:val="003C7D37"/>
    <w:rsid w:val="003D006D"/>
    <w:rsid w:val="003D0F48"/>
    <w:rsid w:val="003D17D7"/>
    <w:rsid w:val="003D2678"/>
    <w:rsid w:val="003D71A3"/>
    <w:rsid w:val="003E0333"/>
    <w:rsid w:val="003E100F"/>
    <w:rsid w:val="003E2B8A"/>
    <w:rsid w:val="003E32DD"/>
    <w:rsid w:val="003E344B"/>
    <w:rsid w:val="003E455B"/>
    <w:rsid w:val="003E56C8"/>
    <w:rsid w:val="003E5B8D"/>
    <w:rsid w:val="003E7275"/>
    <w:rsid w:val="003F10EE"/>
    <w:rsid w:val="003F16F6"/>
    <w:rsid w:val="003F4DC7"/>
    <w:rsid w:val="003F5235"/>
    <w:rsid w:val="003F5B5B"/>
    <w:rsid w:val="004027E4"/>
    <w:rsid w:val="004027F2"/>
    <w:rsid w:val="0040626F"/>
    <w:rsid w:val="0040759B"/>
    <w:rsid w:val="0041071D"/>
    <w:rsid w:val="00410E5B"/>
    <w:rsid w:val="00414AFC"/>
    <w:rsid w:val="004151A7"/>
    <w:rsid w:val="00415310"/>
    <w:rsid w:val="0041799C"/>
    <w:rsid w:val="00420E42"/>
    <w:rsid w:val="00421709"/>
    <w:rsid w:val="00423763"/>
    <w:rsid w:val="00426844"/>
    <w:rsid w:val="00426ADA"/>
    <w:rsid w:val="0042751C"/>
    <w:rsid w:val="0042762F"/>
    <w:rsid w:val="00427DC7"/>
    <w:rsid w:val="004302AD"/>
    <w:rsid w:val="004302FB"/>
    <w:rsid w:val="00431613"/>
    <w:rsid w:val="00431792"/>
    <w:rsid w:val="0043221E"/>
    <w:rsid w:val="004325C8"/>
    <w:rsid w:val="0043297A"/>
    <w:rsid w:val="00432EB2"/>
    <w:rsid w:val="0043714F"/>
    <w:rsid w:val="0043718D"/>
    <w:rsid w:val="00437D8D"/>
    <w:rsid w:val="004438B5"/>
    <w:rsid w:val="00447037"/>
    <w:rsid w:val="0045124D"/>
    <w:rsid w:val="00452801"/>
    <w:rsid w:val="00452E78"/>
    <w:rsid w:val="00454596"/>
    <w:rsid w:val="004556D9"/>
    <w:rsid w:val="0045605D"/>
    <w:rsid w:val="00460F30"/>
    <w:rsid w:val="0046135B"/>
    <w:rsid w:val="00461D47"/>
    <w:rsid w:val="00467C0E"/>
    <w:rsid w:val="004718CC"/>
    <w:rsid w:val="00471EA9"/>
    <w:rsid w:val="00481695"/>
    <w:rsid w:val="00486FF6"/>
    <w:rsid w:val="0049016F"/>
    <w:rsid w:val="00491167"/>
    <w:rsid w:val="00494037"/>
    <w:rsid w:val="00495A96"/>
    <w:rsid w:val="00495BB3"/>
    <w:rsid w:val="00496389"/>
    <w:rsid w:val="004A2E1B"/>
    <w:rsid w:val="004A56BB"/>
    <w:rsid w:val="004A70D6"/>
    <w:rsid w:val="004B1751"/>
    <w:rsid w:val="004B2EFC"/>
    <w:rsid w:val="004B3346"/>
    <w:rsid w:val="004B53B3"/>
    <w:rsid w:val="004C0253"/>
    <w:rsid w:val="004C48F2"/>
    <w:rsid w:val="004C7594"/>
    <w:rsid w:val="004D56FF"/>
    <w:rsid w:val="004E134E"/>
    <w:rsid w:val="004E39D3"/>
    <w:rsid w:val="004E508A"/>
    <w:rsid w:val="004E616D"/>
    <w:rsid w:val="004E7A68"/>
    <w:rsid w:val="004F1B20"/>
    <w:rsid w:val="004F1BDE"/>
    <w:rsid w:val="004F2CEE"/>
    <w:rsid w:val="004F49AB"/>
    <w:rsid w:val="004F556E"/>
    <w:rsid w:val="004F591C"/>
    <w:rsid w:val="004F7F44"/>
    <w:rsid w:val="005009AA"/>
    <w:rsid w:val="005037B4"/>
    <w:rsid w:val="005079BF"/>
    <w:rsid w:val="0051269A"/>
    <w:rsid w:val="00512E24"/>
    <w:rsid w:val="005131F7"/>
    <w:rsid w:val="00516404"/>
    <w:rsid w:val="005219E7"/>
    <w:rsid w:val="00522E09"/>
    <w:rsid w:val="005263F9"/>
    <w:rsid w:val="00527801"/>
    <w:rsid w:val="00531B9A"/>
    <w:rsid w:val="00531D15"/>
    <w:rsid w:val="0053288A"/>
    <w:rsid w:val="00532C84"/>
    <w:rsid w:val="00533999"/>
    <w:rsid w:val="0053570E"/>
    <w:rsid w:val="00535F2C"/>
    <w:rsid w:val="005370E6"/>
    <w:rsid w:val="00537604"/>
    <w:rsid w:val="00542377"/>
    <w:rsid w:val="0054760A"/>
    <w:rsid w:val="005476EB"/>
    <w:rsid w:val="00551782"/>
    <w:rsid w:val="00552A65"/>
    <w:rsid w:val="00552E0B"/>
    <w:rsid w:val="005542A6"/>
    <w:rsid w:val="00554553"/>
    <w:rsid w:val="005573B2"/>
    <w:rsid w:val="00562C7C"/>
    <w:rsid w:val="00563E2D"/>
    <w:rsid w:val="00563EF1"/>
    <w:rsid w:val="0056600E"/>
    <w:rsid w:val="00566AB4"/>
    <w:rsid w:val="00566B29"/>
    <w:rsid w:val="00573812"/>
    <w:rsid w:val="005756A3"/>
    <w:rsid w:val="00575AC5"/>
    <w:rsid w:val="0057605D"/>
    <w:rsid w:val="00577F0C"/>
    <w:rsid w:val="00581347"/>
    <w:rsid w:val="00581AC9"/>
    <w:rsid w:val="0058396D"/>
    <w:rsid w:val="005839DF"/>
    <w:rsid w:val="005849F8"/>
    <w:rsid w:val="00584B51"/>
    <w:rsid w:val="005938DF"/>
    <w:rsid w:val="00594E9C"/>
    <w:rsid w:val="00596FF7"/>
    <w:rsid w:val="005A099B"/>
    <w:rsid w:val="005A2D9C"/>
    <w:rsid w:val="005A2EC6"/>
    <w:rsid w:val="005A55FE"/>
    <w:rsid w:val="005A6A11"/>
    <w:rsid w:val="005B2F0D"/>
    <w:rsid w:val="005B4AED"/>
    <w:rsid w:val="005C043E"/>
    <w:rsid w:val="005C34EF"/>
    <w:rsid w:val="005C618B"/>
    <w:rsid w:val="005D2502"/>
    <w:rsid w:val="005D4034"/>
    <w:rsid w:val="005D40BB"/>
    <w:rsid w:val="005D47F3"/>
    <w:rsid w:val="005D49BF"/>
    <w:rsid w:val="005D4AA5"/>
    <w:rsid w:val="005D55AF"/>
    <w:rsid w:val="005D6F4E"/>
    <w:rsid w:val="005D78D7"/>
    <w:rsid w:val="005D7C73"/>
    <w:rsid w:val="005E250B"/>
    <w:rsid w:val="005E3ACD"/>
    <w:rsid w:val="005E7226"/>
    <w:rsid w:val="005E7A57"/>
    <w:rsid w:val="005F24B0"/>
    <w:rsid w:val="005F6952"/>
    <w:rsid w:val="005F6E72"/>
    <w:rsid w:val="00604315"/>
    <w:rsid w:val="00604E26"/>
    <w:rsid w:val="0060523F"/>
    <w:rsid w:val="006052CF"/>
    <w:rsid w:val="00606448"/>
    <w:rsid w:val="00607B8D"/>
    <w:rsid w:val="00611F5C"/>
    <w:rsid w:val="00615AA2"/>
    <w:rsid w:val="00615DB8"/>
    <w:rsid w:val="00616E09"/>
    <w:rsid w:val="00620031"/>
    <w:rsid w:val="00621169"/>
    <w:rsid w:val="00622A3B"/>
    <w:rsid w:val="00622EEA"/>
    <w:rsid w:val="0062396C"/>
    <w:rsid w:val="00623FF9"/>
    <w:rsid w:val="0062437D"/>
    <w:rsid w:val="00627D4E"/>
    <w:rsid w:val="0063059E"/>
    <w:rsid w:val="00632B89"/>
    <w:rsid w:val="0063346D"/>
    <w:rsid w:val="00634478"/>
    <w:rsid w:val="00637B5A"/>
    <w:rsid w:val="00641263"/>
    <w:rsid w:val="00642674"/>
    <w:rsid w:val="00644373"/>
    <w:rsid w:val="00645915"/>
    <w:rsid w:val="00646CC4"/>
    <w:rsid w:val="00646F76"/>
    <w:rsid w:val="006519C3"/>
    <w:rsid w:val="00652B30"/>
    <w:rsid w:val="00652E32"/>
    <w:rsid w:val="0065300B"/>
    <w:rsid w:val="00656345"/>
    <w:rsid w:val="00656DC6"/>
    <w:rsid w:val="00660559"/>
    <w:rsid w:val="00660EC6"/>
    <w:rsid w:val="00664110"/>
    <w:rsid w:val="00664D17"/>
    <w:rsid w:val="00665430"/>
    <w:rsid w:val="00666520"/>
    <w:rsid w:val="00667C5B"/>
    <w:rsid w:val="0067137B"/>
    <w:rsid w:val="00676081"/>
    <w:rsid w:val="00680C29"/>
    <w:rsid w:val="006818DC"/>
    <w:rsid w:val="006832CC"/>
    <w:rsid w:val="0068552E"/>
    <w:rsid w:val="006912A2"/>
    <w:rsid w:val="00691EB8"/>
    <w:rsid w:val="00692CA4"/>
    <w:rsid w:val="00692CDE"/>
    <w:rsid w:val="00693073"/>
    <w:rsid w:val="006977FF"/>
    <w:rsid w:val="006A01FA"/>
    <w:rsid w:val="006A0E9E"/>
    <w:rsid w:val="006A25C7"/>
    <w:rsid w:val="006A2BA4"/>
    <w:rsid w:val="006A364D"/>
    <w:rsid w:val="006A3ECF"/>
    <w:rsid w:val="006A4067"/>
    <w:rsid w:val="006A4AAD"/>
    <w:rsid w:val="006A4CCA"/>
    <w:rsid w:val="006A6DA2"/>
    <w:rsid w:val="006A7AB2"/>
    <w:rsid w:val="006B0765"/>
    <w:rsid w:val="006B0860"/>
    <w:rsid w:val="006B0912"/>
    <w:rsid w:val="006B4D18"/>
    <w:rsid w:val="006B52DE"/>
    <w:rsid w:val="006B5717"/>
    <w:rsid w:val="006B582F"/>
    <w:rsid w:val="006B5EB2"/>
    <w:rsid w:val="006C0CEB"/>
    <w:rsid w:val="006C1631"/>
    <w:rsid w:val="006C2283"/>
    <w:rsid w:val="006C3B1E"/>
    <w:rsid w:val="006C47FD"/>
    <w:rsid w:val="006C4C6F"/>
    <w:rsid w:val="006C5C19"/>
    <w:rsid w:val="006C5FD4"/>
    <w:rsid w:val="006C70A0"/>
    <w:rsid w:val="006C7315"/>
    <w:rsid w:val="006D27CB"/>
    <w:rsid w:val="006D2F08"/>
    <w:rsid w:val="006D32FE"/>
    <w:rsid w:val="006D576C"/>
    <w:rsid w:val="006D5865"/>
    <w:rsid w:val="006D690B"/>
    <w:rsid w:val="006D6C53"/>
    <w:rsid w:val="006E3577"/>
    <w:rsid w:val="006E4B1B"/>
    <w:rsid w:val="006E5445"/>
    <w:rsid w:val="006E621A"/>
    <w:rsid w:val="006E7D93"/>
    <w:rsid w:val="006F13C7"/>
    <w:rsid w:val="006F1B1C"/>
    <w:rsid w:val="006F2CC8"/>
    <w:rsid w:val="007002E0"/>
    <w:rsid w:val="0070133D"/>
    <w:rsid w:val="00702561"/>
    <w:rsid w:val="007029A3"/>
    <w:rsid w:val="00702F30"/>
    <w:rsid w:val="00706E4E"/>
    <w:rsid w:val="0070791C"/>
    <w:rsid w:val="007100E7"/>
    <w:rsid w:val="0071383C"/>
    <w:rsid w:val="00713F0E"/>
    <w:rsid w:val="007141A7"/>
    <w:rsid w:val="00715722"/>
    <w:rsid w:val="00715BAF"/>
    <w:rsid w:val="0072100D"/>
    <w:rsid w:val="00721032"/>
    <w:rsid w:val="0072103E"/>
    <w:rsid w:val="00721B55"/>
    <w:rsid w:val="00722961"/>
    <w:rsid w:val="00723DDE"/>
    <w:rsid w:val="00724D6E"/>
    <w:rsid w:val="00726BA6"/>
    <w:rsid w:val="00726CE4"/>
    <w:rsid w:val="00727764"/>
    <w:rsid w:val="00733A25"/>
    <w:rsid w:val="00733F12"/>
    <w:rsid w:val="00734143"/>
    <w:rsid w:val="00735A0C"/>
    <w:rsid w:val="00737E47"/>
    <w:rsid w:val="00740EAC"/>
    <w:rsid w:val="007430B1"/>
    <w:rsid w:val="00743466"/>
    <w:rsid w:val="00743D1A"/>
    <w:rsid w:val="007443DA"/>
    <w:rsid w:val="00744956"/>
    <w:rsid w:val="00744D9C"/>
    <w:rsid w:val="00745A5C"/>
    <w:rsid w:val="0074605F"/>
    <w:rsid w:val="00747413"/>
    <w:rsid w:val="00747DA6"/>
    <w:rsid w:val="00747E94"/>
    <w:rsid w:val="00750E57"/>
    <w:rsid w:val="00751BAD"/>
    <w:rsid w:val="00753463"/>
    <w:rsid w:val="0075444A"/>
    <w:rsid w:val="00754C83"/>
    <w:rsid w:val="0076020E"/>
    <w:rsid w:val="0076101D"/>
    <w:rsid w:val="00761C56"/>
    <w:rsid w:val="00761E5C"/>
    <w:rsid w:val="00763D93"/>
    <w:rsid w:val="00765DF8"/>
    <w:rsid w:val="00766749"/>
    <w:rsid w:val="00767C1B"/>
    <w:rsid w:val="00770601"/>
    <w:rsid w:val="00770B3F"/>
    <w:rsid w:val="007714A9"/>
    <w:rsid w:val="00774F88"/>
    <w:rsid w:val="00774FDB"/>
    <w:rsid w:val="00776943"/>
    <w:rsid w:val="00777BA2"/>
    <w:rsid w:val="00777BD2"/>
    <w:rsid w:val="00781408"/>
    <w:rsid w:val="00781417"/>
    <w:rsid w:val="00783D85"/>
    <w:rsid w:val="00784F7F"/>
    <w:rsid w:val="007878BD"/>
    <w:rsid w:val="00794709"/>
    <w:rsid w:val="00796F25"/>
    <w:rsid w:val="007A0CA4"/>
    <w:rsid w:val="007A2E98"/>
    <w:rsid w:val="007A3BA3"/>
    <w:rsid w:val="007A4B61"/>
    <w:rsid w:val="007A4DE5"/>
    <w:rsid w:val="007A5FC6"/>
    <w:rsid w:val="007A6CC0"/>
    <w:rsid w:val="007A7FEC"/>
    <w:rsid w:val="007B084B"/>
    <w:rsid w:val="007B144E"/>
    <w:rsid w:val="007B1499"/>
    <w:rsid w:val="007B1BBF"/>
    <w:rsid w:val="007B208B"/>
    <w:rsid w:val="007B2960"/>
    <w:rsid w:val="007B355D"/>
    <w:rsid w:val="007B3665"/>
    <w:rsid w:val="007B5F51"/>
    <w:rsid w:val="007B671D"/>
    <w:rsid w:val="007B7980"/>
    <w:rsid w:val="007C0DEF"/>
    <w:rsid w:val="007C1AF4"/>
    <w:rsid w:val="007C1C3A"/>
    <w:rsid w:val="007C5D5A"/>
    <w:rsid w:val="007C607F"/>
    <w:rsid w:val="007C6A89"/>
    <w:rsid w:val="007C71B2"/>
    <w:rsid w:val="007C79DD"/>
    <w:rsid w:val="007D1A97"/>
    <w:rsid w:val="007D207C"/>
    <w:rsid w:val="007D26EF"/>
    <w:rsid w:val="007D2CD6"/>
    <w:rsid w:val="007D3063"/>
    <w:rsid w:val="007D3CEB"/>
    <w:rsid w:val="007D4772"/>
    <w:rsid w:val="007D6371"/>
    <w:rsid w:val="007D6D13"/>
    <w:rsid w:val="007E001A"/>
    <w:rsid w:val="007E25A2"/>
    <w:rsid w:val="007E527E"/>
    <w:rsid w:val="007E65D3"/>
    <w:rsid w:val="007E7683"/>
    <w:rsid w:val="007E77D4"/>
    <w:rsid w:val="007F002D"/>
    <w:rsid w:val="007F1CF6"/>
    <w:rsid w:val="007F49FA"/>
    <w:rsid w:val="007F54C4"/>
    <w:rsid w:val="007F6E9A"/>
    <w:rsid w:val="00800CCD"/>
    <w:rsid w:val="00801FEB"/>
    <w:rsid w:val="008044D4"/>
    <w:rsid w:val="00804ED0"/>
    <w:rsid w:val="00806990"/>
    <w:rsid w:val="00810AB4"/>
    <w:rsid w:val="00810CDA"/>
    <w:rsid w:val="00816BCB"/>
    <w:rsid w:val="00817B56"/>
    <w:rsid w:val="00820462"/>
    <w:rsid w:val="00821A88"/>
    <w:rsid w:val="0082322E"/>
    <w:rsid w:val="008232C8"/>
    <w:rsid w:val="0082495D"/>
    <w:rsid w:val="00826C1B"/>
    <w:rsid w:val="00827274"/>
    <w:rsid w:val="00831226"/>
    <w:rsid w:val="00831AC3"/>
    <w:rsid w:val="0083689E"/>
    <w:rsid w:val="00836FCE"/>
    <w:rsid w:val="008371B1"/>
    <w:rsid w:val="008408FF"/>
    <w:rsid w:val="008500E5"/>
    <w:rsid w:val="00851F3F"/>
    <w:rsid w:val="0085533E"/>
    <w:rsid w:val="00856EDC"/>
    <w:rsid w:val="008623B5"/>
    <w:rsid w:val="00862D31"/>
    <w:rsid w:val="00864A2B"/>
    <w:rsid w:val="00866C11"/>
    <w:rsid w:val="00866ED1"/>
    <w:rsid w:val="00867DF2"/>
    <w:rsid w:val="00870ABA"/>
    <w:rsid w:val="008710E1"/>
    <w:rsid w:val="0087118E"/>
    <w:rsid w:val="008716E5"/>
    <w:rsid w:val="00871AD7"/>
    <w:rsid w:val="008811AB"/>
    <w:rsid w:val="00881CA9"/>
    <w:rsid w:val="00882AE4"/>
    <w:rsid w:val="00883628"/>
    <w:rsid w:val="00884DA4"/>
    <w:rsid w:val="00885544"/>
    <w:rsid w:val="0088618C"/>
    <w:rsid w:val="0088634E"/>
    <w:rsid w:val="00886764"/>
    <w:rsid w:val="00886ED6"/>
    <w:rsid w:val="008902B9"/>
    <w:rsid w:val="0089263E"/>
    <w:rsid w:val="008933E7"/>
    <w:rsid w:val="00893506"/>
    <w:rsid w:val="00893AB8"/>
    <w:rsid w:val="008959F7"/>
    <w:rsid w:val="008A04C8"/>
    <w:rsid w:val="008A33C5"/>
    <w:rsid w:val="008A4066"/>
    <w:rsid w:val="008A6913"/>
    <w:rsid w:val="008A7687"/>
    <w:rsid w:val="008B098A"/>
    <w:rsid w:val="008B70F3"/>
    <w:rsid w:val="008B71C4"/>
    <w:rsid w:val="008B76DF"/>
    <w:rsid w:val="008B7DC0"/>
    <w:rsid w:val="008C10F4"/>
    <w:rsid w:val="008C12A9"/>
    <w:rsid w:val="008C24B6"/>
    <w:rsid w:val="008C56B9"/>
    <w:rsid w:val="008C65F7"/>
    <w:rsid w:val="008D4568"/>
    <w:rsid w:val="008D5F2A"/>
    <w:rsid w:val="008E0428"/>
    <w:rsid w:val="008E0FCA"/>
    <w:rsid w:val="008E4767"/>
    <w:rsid w:val="008E7A8C"/>
    <w:rsid w:val="008F2534"/>
    <w:rsid w:val="008F294B"/>
    <w:rsid w:val="008F34ED"/>
    <w:rsid w:val="008F3DDF"/>
    <w:rsid w:val="008F573A"/>
    <w:rsid w:val="008F60D4"/>
    <w:rsid w:val="008F78DF"/>
    <w:rsid w:val="0090203B"/>
    <w:rsid w:val="009024F1"/>
    <w:rsid w:val="00903285"/>
    <w:rsid w:val="009040CF"/>
    <w:rsid w:val="0090496E"/>
    <w:rsid w:val="0090577C"/>
    <w:rsid w:val="00906F40"/>
    <w:rsid w:val="0090708E"/>
    <w:rsid w:val="0090731E"/>
    <w:rsid w:val="00914BB1"/>
    <w:rsid w:val="00915B1C"/>
    <w:rsid w:val="009164CD"/>
    <w:rsid w:val="009174F3"/>
    <w:rsid w:val="0091797D"/>
    <w:rsid w:val="00922BA2"/>
    <w:rsid w:val="00923CBA"/>
    <w:rsid w:val="00926703"/>
    <w:rsid w:val="00927542"/>
    <w:rsid w:val="00927691"/>
    <w:rsid w:val="00927A5F"/>
    <w:rsid w:val="00930510"/>
    <w:rsid w:val="00933376"/>
    <w:rsid w:val="00933FFC"/>
    <w:rsid w:val="00935B63"/>
    <w:rsid w:val="00936E95"/>
    <w:rsid w:val="009405F1"/>
    <w:rsid w:val="00940716"/>
    <w:rsid w:val="0094078F"/>
    <w:rsid w:val="00940FA3"/>
    <w:rsid w:val="00941CFF"/>
    <w:rsid w:val="00941FB0"/>
    <w:rsid w:val="009426D4"/>
    <w:rsid w:val="00942B9F"/>
    <w:rsid w:val="0094490B"/>
    <w:rsid w:val="00947F25"/>
    <w:rsid w:val="00950159"/>
    <w:rsid w:val="00953F53"/>
    <w:rsid w:val="009540D2"/>
    <w:rsid w:val="0095490B"/>
    <w:rsid w:val="00960A33"/>
    <w:rsid w:val="00966F0D"/>
    <w:rsid w:val="0096708C"/>
    <w:rsid w:val="00967C73"/>
    <w:rsid w:val="00971914"/>
    <w:rsid w:val="00971D41"/>
    <w:rsid w:val="00973363"/>
    <w:rsid w:val="00974363"/>
    <w:rsid w:val="00980BEE"/>
    <w:rsid w:val="00981898"/>
    <w:rsid w:val="00983D6A"/>
    <w:rsid w:val="009847F7"/>
    <w:rsid w:val="00985F99"/>
    <w:rsid w:val="0099577C"/>
    <w:rsid w:val="00995B8A"/>
    <w:rsid w:val="00995CB0"/>
    <w:rsid w:val="009A021C"/>
    <w:rsid w:val="009A17D5"/>
    <w:rsid w:val="009A25CC"/>
    <w:rsid w:val="009A73BF"/>
    <w:rsid w:val="009B0A27"/>
    <w:rsid w:val="009B24A5"/>
    <w:rsid w:val="009B2601"/>
    <w:rsid w:val="009B4E9E"/>
    <w:rsid w:val="009C127E"/>
    <w:rsid w:val="009C1690"/>
    <w:rsid w:val="009C2480"/>
    <w:rsid w:val="009C4F6B"/>
    <w:rsid w:val="009C51C8"/>
    <w:rsid w:val="009C6881"/>
    <w:rsid w:val="009C7759"/>
    <w:rsid w:val="009D043D"/>
    <w:rsid w:val="009D07C8"/>
    <w:rsid w:val="009D4C85"/>
    <w:rsid w:val="009D5574"/>
    <w:rsid w:val="009D6515"/>
    <w:rsid w:val="009D6C71"/>
    <w:rsid w:val="009E0631"/>
    <w:rsid w:val="009E16D0"/>
    <w:rsid w:val="009E2051"/>
    <w:rsid w:val="009E38FD"/>
    <w:rsid w:val="009E7832"/>
    <w:rsid w:val="009F13D6"/>
    <w:rsid w:val="009F297C"/>
    <w:rsid w:val="009F4C6B"/>
    <w:rsid w:val="009F5A8D"/>
    <w:rsid w:val="009F77F6"/>
    <w:rsid w:val="009F78A8"/>
    <w:rsid w:val="00A017E0"/>
    <w:rsid w:val="00A02AD6"/>
    <w:rsid w:val="00A044B3"/>
    <w:rsid w:val="00A04516"/>
    <w:rsid w:val="00A07096"/>
    <w:rsid w:val="00A07318"/>
    <w:rsid w:val="00A10853"/>
    <w:rsid w:val="00A11370"/>
    <w:rsid w:val="00A15BCB"/>
    <w:rsid w:val="00A20FA7"/>
    <w:rsid w:val="00A21999"/>
    <w:rsid w:val="00A21B06"/>
    <w:rsid w:val="00A224CE"/>
    <w:rsid w:val="00A22522"/>
    <w:rsid w:val="00A24AFD"/>
    <w:rsid w:val="00A24F5C"/>
    <w:rsid w:val="00A264AF"/>
    <w:rsid w:val="00A3157F"/>
    <w:rsid w:val="00A32D28"/>
    <w:rsid w:val="00A32F96"/>
    <w:rsid w:val="00A40871"/>
    <w:rsid w:val="00A412AB"/>
    <w:rsid w:val="00A4193E"/>
    <w:rsid w:val="00A43530"/>
    <w:rsid w:val="00A440E0"/>
    <w:rsid w:val="00A442EF"/>
    <w:rsid w:val="00A45C37"/>
    <w:rsid w:val="00A47750"/>
    <w:rsid w:val="00A51D1A"/>
    <w:rsid w:val="00A5418D"/>
    <w:rsid w:val="00A5474E"/>
    <w:rsid w:val="00A5606E"/>
    <w:rsid w:val="00A620BA"/>
    <w:rsid w:val="00A63574"/>
    <w:rsid w:val="00A64234"/>
    <w:rsid w:val="00A6775A"/>
    <w:rsid w:val="00A70ADF"/>
    <w:rsid w:val="00A71466"/>
    <w:rsid w:val="00A74B5E"/>
    <w:rsid w:val="00A75805"/>
    <w:rsid w:val="00A7693A"/>
    <w:rsid w:val="00A77B63"/>
    <w:rsid w:val="00A813A0"/>
    <w:rsid w:val="00A81BED"/>
    <w:rsid w:val="00A81EC4"/>
    <w:rsid w:val="00A82050"/>
    <w:rsid w:val="00A824E8"/>
    <w:rsid w:val="00A82661"/>
    <w:rsid w:val="00A8501B"/>
    <w:rsid w:val="00A85C35"/>
    <w:rsid w:val="00A86AB2"/>
    <w:rsid w:val="00A90065"/>
    <w:rsid w:val="00A91718"/>
    <w:rsid w:val="00A924B4"/>
    <w:rsid w:val="00A96796"/>
    <w:rsid w:val="00A967FD"/>
    <w:rsid w:val="00A9720A"/>
    <w:rsid w:val="00AA06F5"/>
    <w:rsid w:val="00AA1289"/>
    <w:rsid w:val="00AA2DE5"/>
    <w:rsid w:val="00AA39AD"/>
    <w:rsid w:val="00AA3E97"/>
    <w:rsid w:val="00AA7918"/>
    <w:rsid w:val="00AB00EC"/>
    <w:rsid w:val="00AB0EED"/>
    <w:rsid w:val="00AB156C"/>
    <w:rsid w:val="00AB454D"/>
    <w:rsid w:val="00AB52BC"/>
    <w:rsid w:val="00AB5DA9"/>
    <w:rsid w:val="00AB6814"/>
    <w:rsid w:val="00AC03F9"/>
    <w:rsid w:val="00AC04BA"/>
    <w:rsid w:val="00AC0D68"/>
    <w:rsid w:val="00AC0E39"/>
    <w:rsid w:val="00AC39E6"/>
    <w:rsid w:val="00AC6EEB"/>
    <w:rsid w:val="00AD3082"/>
    <w:rsid w:val="00AD32B4"/>
    <w:rsid w:val="00AD4AD0"/>
    <w:rsid w:val="00AD4B6F"/>
    <w:rsid w:val="00AD5436"/>
    <w:rsid w:val="00AD5910"/>
    <w:rsid w:val="00AD60CD"/>
    <w:rsid w:val="00AD6AB8"/>
    <w:rsid w:val="00AD6C8C"/>
    <w:rsid w:val="00AE091D"/>
    <w:rsid w:val="00AE1C0B"/>
    <w:rsid w:val="00AE2571"/>
    <w:rsid w:val="00AE3B60"/>
    <w:rsid w:val="00AE4F85"/>
    <w:rsid w:val="00AE53A1"/>
    <w:rsid w:val="00AE5A79"/>
    <w:rsid w:val="00AE6577"/>
    <w:rsid w:val="00AE6FC2"/>
    <w:rsid w:val="00AE70BA"/>
    <w:rsid w:val="00AE7E45"/>
    <w:rsid w:val="00AF0DC8"/>
    <w:rsid w:val="00AF19AE"/>
    <w:rsid w:val="00AF1BF7"/>
    <w:rsid w:val="00AF2484"/>
    <w:rsid w:val="00AF40D2"/>
    <w:rsid w:val="00AF54A7"/>
    <w:rsid w:val="00AF63E7"/>
    <w:rsid w:val="00AF6680"/>
    <w:rsid w:val="00AF6E17"/>
    <w:rsid w:val="00B0165D"/>
    <w:rsid w:val="00B01B60"/>
    <w:rsid w:val="00B02282"/>
    <w:rsid w:val="00B031F3"/>
    <w:rsid w:val="00B052A4"/>
    <w:rsid w:val="00B069F0"/>
    <w:rsid w:val="00B125DE"/>
    <w:rsid w:val="00B13FDD"/>
    <w:rsid w:val="00B225D3"/>
    <w:rsid w:val="00B22EB2"/>
    <w:rsid w:val="00B27442"/>
    <w:rsid w:val="00B31167"/>
    <w:rsid w:val="00B320A9"/>
    <w:rsid w:val="00B329D8"/>
    <w:rsid w:val="00B32BB9"/>
    <w:rsid w:val="00B33AE1"/>
    <w:rsid w:val="00B36805"/>
    <w:rsid w:val="00B36B29"/>
    <w:rsid w:val="00B37C38"/>
    <w:rsid w:val="00B41141"/>
    <w:rsid w:val="00B4238B"/>
    <w:rsid w:val="00B4288C"/>
    <w:rsid w:val="00B43262"/>
    <w:rsid w:val="00B44100"/>
    <w:rsid w:val="00B45452"/>
    <w:rsid w:val="00B46CBA"/>
    <w:rsid w:val="00B46F94"/>
    <w:rsid w:val="00B50A26"/>
    <w:rsid w:val="00B51EC2"/>
    <w:rsid w:val="00B526CF"/>
    <w:rsid w:val="00B55801"/>
    <w:rsid w:val="00B57109"/>
    <w:rsid w:val="00B6003C"/>
    <w:rsid w:val="00B61F03"/>
    <w:rsid w:val="00B626E4"/>
    <w:rsid w:val="00B6306C"/>
    <w:rsid w:val="00B65674"/>
    <w:rsid w:val="00B7013C"/>
    <w:rsid w:val="00B71626"/>
    <w:rsid w:val="00B72F4A"/>
    <w:rsid w:val="00B83C27"/>
    <w:rsid w:val="00B84BC3"/>
    <w:rsid w:val="00B84BDD"/>
    <w:rsid w:val="00B91CF3"/>
    <w:rsid w:val="00B92812"/>
    <w:rsid w:val="00B93DF9"/>
    <w:rsid w:val="00B95AE8"/>
    <w:rsid w:val="00B97DC8"/>
    <w:rsid w:val="00BA1243"/>
    <w:rsid w:val="00BA4031"/>
    <w:rsid w:val="00BA4C37"/>
    <w:rsid w:val="00BA66BC"/>
    <w:rsid w:val="00BA7455"/>
    <w:rsid w:val="00BB08A9"/>
    <w:rsid w:val="00BB1EC2"/>
    <w:rsid w:val="00BB45A1"/>
    <w:rsid w:val="00BB6335"/>
    <w:rsid w:val="00BB7686"/>
    <w:rsid w:val="00BB7802"/>
    <w:rsid w:val="00BC23F9"/>
    <w:rsid w:val="00BC3421"/>
    <w:rsid w:val="00BC732C"/>
    <w:rsid w:val="00BD12D2"/>
    <w:rsid w:val="00BD1C83"/>
    <w:rsid w:val="00BD3B87"/>
    <w:rsid w:val="00BD4421"/>
    <w:rsid w:val="00BD607D"/>
    <w:rsid w:val="00BD7B25"/>
    <w:rsid w:val="00BE2580"/>
    <w:rsid w:val="00BE266D"/>
    <w:rsid w:val="00BE3938"/>
    <w:rsid w:val="00BE494C"/>
    <w:rsid w:val="00BE4C11"/>
    <w:rsid w:val="00BE59AE"/>
    <w:rsid w:val="00BE6F30"/>
    <w:rsid w:val="00BE70AF"/>
    <w:rsid w:val="00BE71C0"/>
    <w:rsid w:val="00BF610C"/>
    <w:rsid w:val="00C0060B"/>
    <w:rsid w:val="00C00FEE"/>
    <w:rsid w:val="00C014E6"/>
    <w:rsid w:val="00C01A6C"/>
    <w:rsid w:val="00C0277D"/>
    <w:rsid w:val="00C02F26"/>
    <w:rsid w:val="00C036B0"/>
    <w:rsid w:val="00C053A1"/>
    <w:rsid w:val="00C05C68"/>
    <w:rsid w:val="00C065A6"/>
    <w:rsid w:val="00C13CA7"/>
    <w:rsid w:val="00C16198"/>
    <w:rsid w:val="00C1726D"/>
    <w:rsid w:val="00C2083D"/>
    <w:rsid w:val="00C2402B"/>
    <w:rsid w:val="00C24466"/>
    <w:rsid w:val="00C24A53"/>
    <w:rsid w:val="00C24BC8"/>
    <w:rsid w:val="00C31D7E"/>
    <w:rsid w:val="00C33676"/>
    <w:rsid w:val="00C344A8"/>
    <w:rsid w:val="00C34869"/>
    <w:rsid w:val="00C34A05"/>
    <w:rsid w:val="00C35CCE"/>
    <w:rsid w:val="00C3623E"/>
    <w:rsid w:val="00C365E5"/>
    <w:rsid w:val="00C37960"/>
    <w:rsid w:val="00C4032F"/>
    <w:rsid w:val="00C41F21"/>
    <w:rsid w:val="00C438DB"/>
    <w:rsid w:val="00C44047"/>
    <w:rsid w:val="00C45155"/>
    <w:rsid w:val="00C50AC3"/>
    <w:rsid w:val="00C53FED"/>
    <w:rsid w:val="00C54475"/>
    <w:rsid w:val="00C5498F"/>
    <w:rsid w:val="00C55235"/>
    <w:rsid w:val="00C5711B"/>
    <w:rsid w:val="00C60C26"/>
    <w:rsid w:val="00C645C1"/>
    <w:rsid w:val="00C64CD0"/>
    <w:rsid w:val="00C65F61"/>
    <w:rsid w:val="00C66771"/>
    <w:rsid w:val="00C6684F"/>
    <w:rsid w:val="00C66A66"/>
    <w:rsid w:val="00C70E70"/>
    <w:rsid w:val="00C72E1C"/>
    <w:rsid w:val="00C737BB"/>
    <w:rsid w:val="00C75F8D"/>
    <w:rsid w:val="00C77380"/>
    <w:rsid w:val="00C80E23"/>
    <w:rsid w:val="00C827D3"/>
    <w:rsid w:val="00C876EA"/>
    <w:rsid w:val="00C87E8A"/>
    <w:rsid w:val="00C913D6"/>
    <w:rsid w:val="00C914A3"/>
    <w:rsid w:val="00C91C40"/>
    <w:rsid w:val="00C97736"/>
    <w:rsid w:val="00C97F3B"/>
    <w:rsid w:val="00CA1869"/>
    <w:rsid w:val="00CA1916"/>
    <w:rsid w:val="00CA345A"/>
    <w:rsid w:val="00CA70F1"/>
    <w:rsid w:val="00CB00FD"/>
    <w:rsid w:val="00CB12CD"/>
    <w:rsid w:val="00CB1513"/>
    <w:rsid w:val="00CB1E82"/>
    <w:rsid w:val="00CB20A9"/>
    <w:rsid w:val="00CB2F12"/>
    <w:rsid w:val="00CB4BA8"/>
    <w:rsid w:val="00CB52D7"/>
    <w:rsid w:val="00CB68D3"/>
    <w:rsid w:val="00CC19B8"/>
    <w:rsid w:val="00CC1FE5"/>
    <w:rsid w:val="00CC2762"/>
    <w:rsid w:val="00CC2CDF"/>
    <w:rsid w:val="00CC386C"/>
    <w:rsid w:val="00CC6732"/>
    <w:rsid w:val="00CC7391"/>
    <w:rsid w:val="00CD1299"/>
    <w:rsid w:val="00CD6ACF"/>
    <w:rsid w:val="00CE06C1"/>
    <w:rsid w:val="00CE2040"/>
    <w:rsid w:val="00CE328D"/>
    <w:rsid w:val="00CE3C96"/>
    <w:rsid w:val="00CE40B8"/>
    <w:rsid w:val="00CE5070"/>
    <w:rsid w:val="00CE51A8"/>
    <w:rsid w:val="00CF0BFE"/>
    <w:rsid w:val="00CF18F7"/>
    <w:rsid w:val="00CF2562"/>
    <w:rsid w:val="00CF369B"/>
    <w:rsid w:val="00D00E28"/>
    <w:rsid w:val="00D0269E"/>
    <w:rsid w:val="00D03276"/>
    <w:rsid w:val="00D05385"/>
    <w:rsid w:val="00D05D6C"/>
    <w:rsid w:val="00D0749B"/>
    <w:rsid w:val="00D113E8"/>
    <w:rsid w:val="00D154D0"/>
    <w:rsid w:val="00D15810"/>
    <w:rsid w:val="00D16D4E"/>
    <w:rsid w:val="00D16FE3"/>
    <w:rsid w:val="00D20678"/>
    <w:rsid w:val="00D26C21"/>
    <w:rsid w:val="00D27F41"/>
    <w:rsid w:val="00D306F3"/>
    <w:rsid w:val="00D35056"/>
    <w:rsid w:val="00D36164"/>
    <w:rsid w:val="00D36265"/>
    <w:rsid w:val="00D36441"/>
    <w:rsid w:val="00D373E0"/>
    <w:rsid w:val="00D4064E"/>
    <w:rsid w:val="00D43B47"/>
    <w:rsid w:val="00D44E9B"/>
    <w:rsid w:val="00D452F4"/>
    <w:rsid w:val="00D47693"/>
    <w:rsid w:val="00D47AEB"/>
    <w:rsid w:val="00D50DB9"/>
    <w:rsid w:val="00D51302"/>
    <w:rsid w:val="00D51906"/>
    <w:rsid w:val="00D52C43"/>
    <w:rsid w:val="00D560ED"/>
    <w:rsid w:val="00D611A2"/>
    <w:rsid w:val="00D61243"/>
    <w:rsid w:val="00D613BB"/>
    <w:rsid w:val="00D63EFA"/>
    <w:rsid w:val="00D6507F"/>
    <w:rsid w:val="00D65752"/>
    <w:rsid w:val="00D7197C"/>
    <w:rsid w:val="00D725E8"/>
    <w:rsid w:val="00D72B50"/>
    <w:rsid w:val="00D730BC"/>
    <w:rsid w:val="00D7358B"/>
    <w:rsid w:val="00D73912"/>
    <w:rsid w:val="00D73A44"/>
    <w:rsid w:val="00D75422"/>
    <w:rsid w:val="00D8326C"/>
    <w:rsid w:val="00D85226"/>
    <w:rsid w:val="00D866D0"/>
    <w:rsid w:val="00D87B94"/>
    <w:rsid w:val="00D919DF"/>
    <w:rsid w:val="00D9258F"/>
    <w:rsid w:val="00D92D49"/>
    <w:rsid w:val="00D92EC1"/>
    <w:rsid w:val="00D932B7"/>
    <w:rsid w:val="00D933BE"/>
    <w:rsid w:val="00D951F5"/>
    <w:rsid w:val="00D96DEA"/>
    <w:rsid w:val="00DA0C80"/>
    <w:rsid w:val="00DA22B3"/>
    <w:rsid w:val="00DA4E41"/>
    <w:rsid w:val="00DB117A"/>
    <w:rsid w:val="00DB1D56"/>
    <w:rsid w:val="00DB21C6"/>
    <w:rsid w:val="00DB4C0C"/>
    <w:rsid w:val="00DB5173"/>
    <w:rsid w:val="00DB530F"/>
    <w:rsid w:val="00DB7873"/>
    <w:rsid w:val="00DC048A"/>
    <w:rsid w:val="00DC187B"/>
    <w:rsid w:val="00DC22FE"/>
    <w:rsid w:val="00DC2D6F"/>
    <w:rsid w:val="00DC6DA1"/>
    <w:rsid w:val="00DD1932"/>
    <w:rsid w:val="00DD1A43"/>
    <w:rsid w:val="00DD4B9B"/>
    <w:rsid w:val="00DD6678"/>
    <w:rsid w:val="00DD73C2"/>
    <w:rsid w:val="00DE319B"/>
    <w:rsid w:val="00DE3A23"/>
    <w:rsid w:val="00DE78C0"/>
    <w:rsid w:val="00DF305B"/>
    <w:rsid w:val="00DF34FE"/>
    <w:rsid w:val="00DF56AA"/>
    <w:rsid w:val="00DF56AF"/>
    <w:rsid w:val="00DF6B3C"/>
    <w:rsid w:val="00DF78E7"/>
    <w:rsid w:val="00DF7A82"/>
    <w:rsid w:val="00E008F4"/>
    <w:rsid w:val="00E024AE"/>
    <w:rsid w:val="00E04C94"/>
    <w:rsid w:val="00E06568"/>
    <w:rsid w:val="00E070EE"/>
    <w:rsid w:val="00E110E0"/>
    <w:rsid w:val="00E11A2C"/>
    <w:rsid w:val="00E132F7"/>
    <w:rsid w:val="00E143AB"/>
    <w:rsid w:val="00E14D72"/>
    <w:rsid w:val="00E15371"/>
    <w:rsid w:val="00E162C4"/>
    <w:rsid w:val="00E20733"/>
    <w:rsid w:val="00E21056"/>
    <w:rsid w:val="00E24104"/>
    <w:rsid w:val="00E302D0"/>
    <w:rsid w:val="00E35707"/>
    <w:rsid w:val="00E35A31"/>
    <w:rsid w:val="00E3602E"/>
    <w:rsid w:val="00E36AA1"/>
    <w:rsid w:val="00E41ECB"/>
    <w:rsid w:val="00E42676"/>
    <w:rsid w:val="00E42D1D"/>
    <w:rsid w:val="00E46F6D"/>
    <w:rsid w:val="00E47EB7"/>
    <w:rsid w:val="00E5426D"/>
    <w:rsid w:val="00E54FDB"/>
    <w:rsid w:val="00E5592B"/>
    <w:rsid w:val="00E5617D"/>
    <w:rsid w:val="00E563D7"/>
    <w:rsid w:val="00E566B9"/>
    <w:rsid w:val="00E61D23"/>
    <w:rsid w:val="00E663F4"/>
    <w:rsid w:val="00E666F2"/>
    <w:rsid w:val="00E66DD4"/>
    <w:rsid w:val="00E70852"/>
    <w:rsid w:val="00E71872"/>
    <w:rsid w:val="00E7459F"/>
    <w:rsid w:val="00E748CC"/>
    <w:rsid w:val="00E74F15"/>
    <w:rsid w:val="00E75415"/>
    <w:rsid w:val="00E763F9"/>
    <w:rsid w:val="00E77220"/>
    <w:rsid w:val="00E775B1"/>
    <w:rsid w:val="00E77682"/>
    <w:rsid w:val="00E80174"/>
    <w:rsid w:val="00E810A7"/>
    <w:rsid w:val="00E8152A"/>
    <w:rsid w:val="00E85378"/>
    <w:rsid w:val="00E916D0"/>
    <w:rsid w:val="00E93629"/>
    <w:rsid w:val="00E93B5C"/>
    <w:rsid w:val="00E94CEC"/>
    <w:rsid w:val="00E95338"/>
    <w:rsid w:val="00E976D0"/>
    <w:rsid w:val="00EA0084"/>
    <w:rsid w:val="00EA04EF"/>
    <w:rsid w:val="00EA0969"/>
    <w:rsid w:val="00EA53C3"/>
    <w:rsid w:val="00EA6C79"/>
    <w:rsid w:val="00EA6F19"/>
    <w:rsid w:val="00EB6515"/>
    <w:rsid w:val="00EB7090"/>
    <w:rsid w:val="00EC1BBE"/>
    <w:rsid w:val="00EC2433"/>
    <w:rsid w:val="00EC2B68"/>
    <w:rsid w:val="00EC3AEF"/>
    <w:rsid w:val="00EC5CD7"/>
    <w:rsid w:val="00EC658C"/>
    <w:rsid w:val="00ED1283"/>
    <w:rsid w:val="00ED66E2"/>
    <w:rsid w:val="00ED6D8A"/>
    <w:rsid w:val="00EE406D"/>
    <w:rsid w:val="00EE5FB3"/>
    <w:rsid w:val="00EE7712"/>
    <w:rsid w:val="00EE7F79"/>
    <w:rsid w:val="00EF715A"/>
    <w:rsid w:val="00F01C20"/>
    <w:rsid w:val="00F02FBB"/>
    <w:rsid w:val="00F03DAA"/>
    <w:rsid w:val="00F06E14"/>
    <w:rsid w:val="00F11E88"/>
    <w:rsid w:val="00F14618"/>
    <w:rsid w:val="00F15DE4"/>
    <w:rsid w:val="00F179D4"/>
    <w:rsid w:val="00F207FD"/>
    <w:rsid w:val="00F22A23"/>
    <w:rsid w:val="00F24171"/>
    <w:rsid w:val="00F25C6D"/>
    <w:rsid w:val="00F3293C"/>
    <w:rsid w:val="00F32D0D"/>
    <w:rsid w:val="00F3361F"/>
    <w:rsid w:val="00F33C56"/>
    <w:rsid w:val="00F347C7"/>
    <w:rsid w:val="00F34848"/>
    <w:rsid w:val="00F361D7"/>
    <w:rsid w:val="00F4106B"/>
    <w:rsid w:val="00F42D46"/>
    <w:rsid w:val="00F439EF"/>
    <w:rsid w:val="00F4496C"/>
    <w:rsid w:val="00F44F3A"/>
    <w:rsid w:val="00F50FC1"/>
    <w:rsid w:val="00F51F10"/>
    <w:rsid w:val="00F529A5"/>
    <w:rsid w:val="00F52FC6"/>
    <w:rsid w:val="00F5310D"/>
    <w:rsid w:val="00F552B8"/>
    <w:rsid w:val="00F56D15"/>
    <w:rsid w:val="00F60F00"/>
    <w:rsid w:val="00F614C0"/>
    <w:rsid w:val="00F6261D"/>
    <w:rsid w:val="00F63EF1"/>
    <w:rsid w:val="00F7120E"/>
    <w:rsid w:val="00F72424"/>
    <w:rsid w:val="00F741E5"/>
    <w:rsid w:val="00F76ADB"/>
    <w:rsid w:val="00F83848"/>
    <w:rsid w:val="00F86E11"/>
    <w:rsid w:val="00F91A6D"/>
    <w:rsid w:val="00F9665C"/>
    <w:rsid w:val="00F975E9"/>
    <w:rsid w:val="00FA1618"/>
    <w:rsid w:val="00FA1B7D"/>
    <w:rsid w:val="00FA1D1E"/>
    <w:rsid w:val="00FA4727"/>
    <w:rsid w:val="00FB329D"/>
    <w:rsid w:val="00FB4BAD"/>
    <w:rsid w:val="00FB5658"/>
    <w:rsid w:val="00FB64B0"/>
    <w:rsid w:val="00FB6A98"/>
    <w:rsid w:val="00FC07B9"/>
    <w:rsid w:val="00FC42C8"/>
    <w:rsid w:val="00FC4E21"/>
    <w:rsid w:val="00FC5F6D"/>
    <w:rsid w:val="00FD0107"/>
    <w:rsid w:val="00FD08FD"/>
    <w:rsid w:val="00FD2C2F"/>
    <w:rsid w:val="00FD3B31"/>
    <w:rsid w:val="00FD7098"/>
    <w:rsid w:val="00FD7AD4"/>
    <w:rsid w:val="00FE1823"/>
    <w:rsid w:val="00FE487A"/>
    <w:rsid w:val="00FE7DFE"/>
    <w:rsid w:val="00FF0569"/>
    <w:rsid w:val="00FF206E"/>
    <w:rsid w:val="00FF2266"/>
    <w:rsid w:val="00FF3C69"/>
    <w:rsid w:val="00FF3CF1"/>
    <w:rsid w:val="00FF51A1"/>
    <w:rsid w:val="00FF574A"/>
    <w:rsid w:val="00FF6E0A"/>
    <w:rsid w:val="00FF7D9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red,#4d4d4f"/>
    </o:shapedefaults>
    <o:shapelayout v:ext="edit">
      <o:idmap v:ext="edit" data="1"/>
    </o:shapelayout>
  </w:shapeDefaults>
  <w:decimalSymbol w:val="."/>
  <w:listSeparator w:val=","/>
  <w14:docId w14:val="0D83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90D91"/>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numPr>
        <w:numId w:val="32"/>
      </w:numPr>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numPr>
        <w:ilvl w:val="1"/>
        <w:numId w:val="32"/>
      </w:numPr>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numPr>
        <w:ilvl w:val="2"/>
        <w:numId w:val="32"/>
      </w:numPr>
      <w:spacing w:before="60" w:after="60"/>
      <w:outlineLvl w:val="2"/>
    </w:pPr>
    <w:rPr>
      <w:rFonts w:cs="Arial"/>
      <w:b/>
      <w:bCs/>
      <w:szCs w:val="26"/>
    </w:rPr>
  </w:style>
  <w:style w:type="paragraph" w:styleId="Heading4">
    <w:name w:val="heading 4"/>
    <w:basedOn w:val="BodySubHeader"/>
    <w:next w:val="Normal"/>
    <w:uiPriority w:val="3"/>
    <w:qFormat/>
    <w:rsid w:val="005B2F0D"/>
    <w:pPr>
      <w:numPr>
        <w:ilvl w:val="3"/>
        <w:numId w:val="32"/>
      </w:numPr>
      <w:outlineLvl w:val="3"/>
    </w:pPr>
    <w:rPr>
      <w:rFonts w:cs="Arial"/>
    </w:rPr>
  </w:style>
  <w:style w:type="paragraph" w:styleId="Heading5">
    <w:name w:val="heading 5"/>
    <w:basedOn w:val="Normal"/>
    <w:next w:val="Normal"/>
    <w:semiHidden/>
    <w:qFormat/>
    <w:rsid w:val="00AD5436"/>
    <w:pPr>
      <w:numPr>
        <w:ilvl w:val="4"/>
        <w:numId w:val="32"/>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32"/>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32"/>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32"/>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3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ECC Caption"/>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ACMA 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Footnote text,ACMA Footnote Text,ABA Footnote Text,footnote text,Footnote Text Char1,Footnote Text Char Char,Footnote Text Char1 Char Char,Footnote Text Char Char Char Char,Footnote Text Char1 Char Char Char Char,f,fn,ALTS FOOTNOTE"/>
    <w:basedOn w:val="Normal"/>
    <w:link w:val="FootnoteTextChar"/>
    <w:uiPriority w:val="23"/>
    <w:qFormat/>
    <w:rsid w:val="00C24466"/>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390D91"/>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D43B47"/>
    <w:pPr>
      <w:ind w:left="590" w:hanging="295"/>
    </w:pPr>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801FEB"/>
    <w:pPr>
      <w:ind w:left="766" w:hanging="295"/>
    </w:pPr>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3803B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Protectivemarking">
    <w:name w:val="Protective marking"/>
    <w:basedOn w:val="Normal"/>
    <w:uiPriority w:val="99"/>
    <w:qFormat/>
    <w:rsid w:val="00390D91"/>
    <w:pPr>
      <w:tabs>
        <w:tab w:val="left" w:pos="720"/>
      </w:tabs>
      <w:spacing w:after="0" w:line="240" w:lineRule="auto"/>
      <w:jc w:val="center"/>
    </w:pPr>
    <w:rPr>
      <w:rFonts w:cs="Arial"/>
      <w:b/>
      <w:bCs/>
      <w:color w:val="FF0000"/>
      <w:sz w:val="32"/>
      <w:lang w:eastAsia="en-US"/>
    </w:rPr>
  </w:style>
  <w:style w:type="paragraph" w:styleId="Revision">
    <w:name w:val="Revision"/>
    <w:hidden/>
    <w:semiHidden/>
    <w:rsid w:val="00023A36"/>
    <w:rPr>
      <w:rFonts w:ascii="Arial" w:hAnsi="Arial"/>
      <w:sz w:val="20"/>
    </w:rPr>
  </w:style>
  <w:style w:type="numbering" w:customStyle="1" w:styleId="Consultation">
    <w:name w:val="Consultation"/>
    <w:uiPriority w:val="99"/>
    <w:rsid w:val="00121758"/>
    <w:pPr>
      <w:numPr>
        <w:numId w:val="12"/>
      </w:numPr>
    </w:pPr>
  </w:style>
  <w:style w:type="paragraph" w:styleId="ListParagraph">
    <w:name w:val="List Paragraph"/>
    <w:basedOn w:val="Normal"/>
    <w:uiPriority w:val="34"/>
    <w:qFormat/>
    <w:rsid w:val="00121758"/>
    <w:pPr>
      <w:ind w:left="720"/>
      <w:contextualSpacing/>
    </w:pPr>
  </w:style>
  <w:style w:type="character" w:customStyle="1" w:styleId="FootnoteTextChar">
    <w:name w:val="Footnote Text Char"/>
    <w:aliases w:val="Footnote text Char,ACMA Footnote Text Char,ABA Footnote Text Char,footnote text Char,Footnote Text Char1 Char,Footnote Text Char Char Char,Footnote Text Char1 Char Char Char,Footnote Text Char Char Char Char Char,f Char,fn Char"/>
    <w:basedOn w:val="DefaultParagraphFont"/>
    <w:link w:val="FootnoteText"/>
    <w:uiPriority w:val="23"/>
    <w:qFormat/>
    <w:rsid w:val="00121758"/>
    <w:rPr>
      <w:rFonts w:ascii="Arial" w:hAnsi="Arial"/>
      <w:sz w:val="16"/>
      <w:szCs w:val="16"/>
    </w:rPr>
  </w:style>
  <w:style w:type="character" w:customStyle="1" w:styleId="ListBulletChar">
    <w:name w:val="List Bullet Char"/>
    <w:aliases w:val="List Bullet 1 Char,ACMA List Bullet 1 Char"/>
    <w:basedOn w:val="DefaultParagraphFont"/>
    <w:link w:val="ListBullet"/>
    <w:rsid w:val="00121758"/>
    <w:rPr>
      <w:rFonts w:ascii="Arial" w:hAnsi="Arial"/>
      <w:sz w:val="20"/>
    </w:rPr>
  </w:style>
  <w:style w:type="paragraph" w:customStyle="1" w:styleId="ACMASpaceaftertable">
    <w:name w:val="ACMA_Space after table"/>
    <w:basedOn w:val="Normal"/>
    <w:qFormat/>
    <w:rsid w:val="00121758"/>
    <w:rPr>
      <w:rFonts w:cs="Arial"/>
    </w:rPr>
  </w:style>
  <w:style w:type="paragraph" w:customStyle="1" w:styleId="BriefSubtitle">
    <w:name w:val="Brief Subtitle"/>
    <w:basedOn w:val="Normal"/>
    <w:rsid w:val="00121758"/>
    <w:pPr>
      <w:spacing w:before="300" w:after="30"/>
    </w:pPr>
    <w:rPr>
      <w:b/>
      <w:color w:val="4D4D4F"/>
      <w:sz w:val="21"/>
    </w:rPr>
  </w:style>
  <w:style w:type="character" w:customStyle="1" w:styleId="ACMAFootnoteTextCharChar">
    <w:name w:val="ACMA Footnote Text Char Char"/>
    <w:basedOn w:val="DefaultParagraphFont"/>
    <w:rsid w:val="00121758"/>
    <w:rPr>
      <w:lang w:val="en-AU" w:eastAsia="en-US" w:bidi="ar-SA"/>
    </w:rPr>
  </w:style>
  <w:style w:type="paragraph" w:customStyle="1" w:styleId="ECCTableHeaderwhitefont">
    <w:name w:val="ECC Table Header white font"/>
    <w:qFormat/>
    <w:rsid w:val="00121758"/>
    <w:pPr>
      <w:spacing w:before="240" w:after="60"/>
      <w:jc w:val="center"/>
    </w:pPr>
    <w:rPr>
      <w:rFonts w:ascii="Arial" w:eastAsia="Calibri" w:hAnsi="Arial"/>
      <w:b/>
      <w:bCs/>
      <w:color w:val="FFFFFF" w:themeColor="background1"/>
      <w:sz w:val="20"/>
      <w:szCs w:val="20"/>
      <w:lang w:val="en-GB" w:eastAsia="de-DE"/>
    </w:rPr>
  </w:style>
  <w:style w:type="paragraph" w:customStyle="1" w:styleId="ECCTabletext">
    <w:name w:val="ECC Table text"/>
    <w:basedOn w:val="Normal"/>
    <w:qFormat/>
    <w:rsid w:val="00121758"/>
    <w:pPr>
      <w:spacing w:after="60" w:line="240" w:lineRule="auto"/>
    </w:pPr>
    <w:rPr>
      <w:rFonts w:eastAsia="Calibri"/>
      <w:szCs w:val="22"/>
      <w:lang w:val="en-GB" w:eastAsia="en-US"/>
    </w:rPr>
  </w:style>
  <w:style w:type="character" w:styleId="Mention">
    <w:name w:val="Mention"/>
    <w:basedOn w:val="DefaultParagraphFont"/>
    <w:uiPriority w:val="99"/>
    <w:unhideWhenUsed/>
    <w:rsid w:val="00121758"/>
    <w:rPr>
      <w:color w:val="2B579A"/>
      <w:shd w:val="clear" w:color="auto" w:fill="E6E6E6"/>
    </w:rPr>
  </w:style>
  <w:style w:type="table" w:customStyle="1" w:styleId="TableGrid0">
    <w:name w:val="Table Grid0"/>
    <w:basedOn w:val="TableNormal"/>
    <w:uiPriority w:val="59"/>
    <w:rsid w:val="00121758"/>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561252050">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214542315">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4.xml"/><Relationship Id="rId42" Type="http://schemas.openxmlformats.org/officeDocument/2006/relationships/hyperlink" Target="Https://Www.Legislation.Gov.Au/Series/F2022l00843" TargetMode="External"/><Relationship Id="rId47" Type="http://schemas.openxmlformats.org/officeDocument/2006/relationships/hyperlink" Target="https://www.itu.int/pub/R-REP-M.2514" TargetMode="External"/><Relationship Id="rId63" Type="http://schemas.openxmlformats.org/officeDocument/2006/relationships/hyperlink" Target="https://www.acma.gov.au/publications/2019-09/instruction/rali-fx3-microwave-fixed-services" TargetMode="External"/><Relationship Id="rId68" Type="http://schemas.openxmlformats.org/officeDocument/2006/relationships/hyperlink" Target="https://www.acma.gov.au/23-ghz-technical-framework"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ocdb.cept.org/document/339" TargetMode="External"/><Relationship Id="rId11" Type="http://schemas.openxmlformats.org/officeDocument/2006/relationships/hyperlink" Target="http://i.creativecommons.org/l/by/3.0/88x31.png" TargetMode="External"/><Relationship Id="rId24" Type="http://schemas.openxmlformats.org/officeDocument/2006/relationships/hyperlink" Target="https://www.acma.gov.au/licences/public-telecommunications-service-pts-licence" TargetMode="External"/><Relationship Id="rId32" Type="http://schemas.openxmlformats.org/officeDocument/2006/relationships/hyperlink" Target="https://www.acma.gov.au/publications/2019-09/instruction/rali-fx3-microwave-fixed-services"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www.legislation.gov.au/Series/F2023L00286" TargetMode="External"/><Relationship Id="rId53" Type="http://schemas.openxmlformats.org/officeDocument/2006/relationships/hyperlink" Target="https://www.acma.gov.au/procedures-space-and-space-receive-licensing" TargetMode="External"/><Relationship Id="rId58" Type="http://schemas.openxmlformats.org/officeDocument/2006/relationships/hyperlink" Target="https://www.acma.gov.au/publication-submissions" TargetMode="External"/><Relationship Id="rId66" Type="http://schemas.openxmlformats.org/officeDocument/2006/relationships/hyperlink" Target="https://www.acma.gov.au/publications/2019-08/instruction/rali-ms33-frequency-coordination-and-licensing-procedures-apparatus-licensed-pts-2-ghz-bands"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tsi.org/" TargetMode="External"/><Relationship Id="rId19" Type="http://schemas.openxmlformats.org/officeDocument/2006/relationships/header" Target="header5.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docdb.cept.org/document/339" TargetMode="External"/><Relationship Id="rId30" Type="http://schemas.openxmlformats.org/officeDocument/2006/relationships/hyperlink" Target="https://www.acma.gov.au/australian-radiofrequency-spectrum-plan" TargetMode="External"/><Relationship Id="rId35" Type="http://schemas.openxmlformats.org/officeDocument/2006/relationships/hyperlink" Target="https://www.acma.gov.au/publications/2021-05/instruction/rali-sm26-restrictions-apparatus-licensing-spectrum-licensed-spaces" TargetMode="External"/><Relationship Id="rId43" Type="http://schemas.openxmlformats.org/officeDocument/2006/relationships/image" Target="media/image10.png"/><Relationship Id="rId48" Type="http://schemas.openxmlformats.org/officeDocument/2006/relationships/hyperlink" Target="https://www.acma.gov.au/publications/2020-02/guide/area-wide-licensing-acma-approach-introducing-area-wide-licences" TargetMode="External"/><Relationship Id="rId56" Type="http://schemas.openxmlformats.org/officeDocument/2006/relationships/hyperlink" Target="https://www.acma.gov.au/have-your-say" TargetMode="External"/><Relationship Id="rId64" Type="http://schemas.openxmlformats.org/officeDocument/2006/relationships/hyperlink" Target="https://www.acma.gov.au/publications/2019-09/instruction/rali-fx21-television-outside-broadcasting-services" TargetMode="External"/><Relationship Id="rId69" Type="http://schemas.openxmlformats.org/officeDocument/2006/relationships/hyperlink" Target="https://www.acma.gov.au/25-ghz-technical-framework" TargetMode="External"/><Relationship Id="rId8" Type="http://schemas.openxmlformats.org/officeDocument/2006/relationships/header" Target="header1.xml"/><Relationship Id="rId51" Type="http://schemas.openxmlformats.org/officeDocument/2006/relationships/hyperlink" Target="https://www.legislation.gov.au/Series/F2014L01584"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publications/2023-10/five-year-spectrum-outlook-2023-28" TargetMode="External"/><Relationship Id="rId33" Type="http://schemas.openxmlformats.org/officeDocument/2006/relationships/image" Target="media/image6.png"/><Relationship Id="rId38" Type="http://schemas.openxmlformats.org/officeDocument/2006/relationships/hyperlink" Target="https://www.acma.gov.au/publications/2019-08/instruction/rali-ms33-frequency-coordination-and-licensing-procedures-apparatus-licensed-pts-2-ghz-bands" TargetMode="External"/><Relationship Id="rId46" Type="http://schemas.openxmlformats.org/officeDocument/2006/relationships/hyperlink" Target="https://www.acma.gov.au/publications/2019-08/publication/rali-ms32-mid-west-radio-quiet-zone" TargetMode="External"/><Relationship Id="rId59" Type="http://schemas.openxmlformats.org/officeDocument/2006/relationships/hyperlink" Target="https://www.acma.gov.au/privacy-policy" TargetMode="External"/><Relationship Id="rId67" Type="http://schemas.openxmlformats.org/officeDocument/2006/relationships/hyperlink" Target="https://www.acma.gov.au/consultations/2022-11/review-2-ghz-spectrum-licensing-technical-framework-consultation-382022" TargetMode="External"/><Relationship Id="rId20" Type="http://schemas.openxmlformats.org/officeDocument/2006/relationships/header" Target="header6.xml"/><Relationship Id="rId41" Type="http://schemas.openxmlformats.org/officeDocument/2006/relationships/hyperlink" Target="https://www.acma.gov.au/publications/2019-09/instruction/rali-fx21-television-outside-broadcasting-services" TargetMode="External"/><Relationship Id="rId54" Type="http://schemas.openxmlformats.org/officeDocument/2006/relationships/hyperlink" Target="https://www.acma.gov.au/publications/2020-08/guide/submission-and-processing-applications-space-and-space-receive-apparatus-licences" TargetMode="External"/><Relationship Id="rId62" Type="http://schemas.openxmlformats.org/officeDocument/2006/relationships/hyperlink" Target="https://docdb.cept.org/" TargetMode="Externa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etsi.org/deliver/etsi_en/302000_302099/302064/02.01.01_60/en_302064v020101p.pdf" TargetMode="External"/><Relationship Id="rId36" Type="http://schemas.openxmlformats.org/officeDocument/2006/relationships/hyperlink" Target="https://www.acma.gov.au/publications/2019-08/instruction/rali-ms33-frequency-coordination-and-licensing-procedures-apparatus-licensed-pts-2-ghz-bands" TargetMode="External"/><Relationship Id="rId49" Type="http://schemas.openxmlformats.org/officeDocument/2006/relationships/hyperlink" Target="https://www.legislation.gov.au/Series/F2015L01486" TargetMode="External"/><Relationship Id="rId57" Type="http://schemas.openxmlformats.org/officeDocument/2006/relationships/hyperlink" Target="mailto:satellite.coordination@acma.gov.au" TargetMode="Externa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hyperlink" Target="https://docdb.cept.org/document/494" TargetMode="External"/><Relationship Id="rId52" Type="http://schemas.openxmlformats.org/officeDocument/2006/relationships/hyperlink" Target="https://www.acma.gov.au/procedures-space-and-space-receive-licensing" TargetMode="External"/><Relationship Id="rId60" Type="http://schemas.openxmlformats.org/officeDocument/2006/relationships/hyperlink" Target="https://www.3gpp.org/specifications-technologies/specifications-by-series" TargetMode="External"/><Relationship Id="rId65" Type="http://schemas.openxmlformats.org/officeDocument/2006/relationships/hyperlink" Target="https://www.acma.gov.au/publications/2019-08/instruction/rali-ms32-mid-west-radio-quiet-zone" TargetMode="External"/><Relationship Id="rId73"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hyperlink" Target="https://www.acma.gov.au/2-ghz-technical-framework" TargetMode="External"/><Relationship Id="rId34" Type="http://schemas.openxmlformats.org/officeDocument/2006/relationships/image" Target="media/image7.png"/><Relationship Id="rId50" Type="http://schemas.openxmlformats.org/officeDocument/2006/relationships/hyperlink" Target="https://www.legislation.gov.au/Series/F2014L01586" TargetMode="External"/><Relationship Id="rId55" Type="http://schemas.openxmlformats.org/officeDocument/2006/relationships/hyperlink" Target="https://www.acma.gov.au/sites/default/files/2023-10/Submissions%20-%20IFC%2028-2023.zip" TargetMode="External"/><Relationship Id="rId7" Type="http://schemas.openxmlformats.org/officeDocument/2006/relationships/endnotes" Target="endnotes.xml"/><Relationship Id="rId71"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md/R00-SG04-CIR-0134/en" TargetMode="External"/><Relationship Id="rId13" Type="http://schemas.openxmlformats.org/officeDocument/2006/relationships/hyperlink" Target="https://www.acma.gov.au/consultations/2022-11/review-2-ghz-spectrum-licensing-technical-framework-consultation-382022" TargetMode="External"/><Relationship Id="rId18" Type="http://schemas.openxmlformats.org/officeDocument/2006/relationships/hyperlink" Target="https://www.acma.gov.au/area-wide-apparatus-licensing-26-and-28-ghz-bands" TargetMode="External"/><Relationship Id="rId3" Type="http://schemas.openxmlformats.org/officeDocument/2006/relationships/hyperlink" Target="https://www.itu.int/md/R00-SG04-CIR-0134/en" TargetMode="External"/><Relationship Id="rId7" Type="http://schemas.openxmlformats.org/officeDocument/2006/relationships/hyperlink" Target="https://www.acma.gov.au/2-ghz-band-review" TargetMode="External"/><Relationship Id="rId12" Type="http://schemas.openxmlformats.org/officeDocument/2006/relationships/hyperlink" Target="https://www.acma.gov.au/25-ghz-band-review" TargetMode="External"/><Relationship Id="rId17" Type="http://schemas.openxmlformats.org/officeDocument/2006/relationships/hyperlink" Target="https://www.acma.gov.au/publications/2020-08/guide/submission-and-processing-applications-space-and-space-receive-apparatus-licences" TargetMode="External"/><Relationship Id="rId2" Type="http://schemas.openxmlformats.org/officeDocument/2006/relationships/hyperlink" Target="https://web.acma.gov.au/rrl/" TargetMode="External"/><Relationship Id="rId16" Type="http://schemas.openxmlformats.org/officeDocument/2006/relationships/hyperlink" Target="https://www.itu.int/rec/R-REC-P.1812/en" TargetMode="External"/><Relationship Id="rId1" Type="http://schemas.openxmlformats.org/officeDocument/2006/relationships/hyperlink" Target="https://www.acma.gov.au/2-ghz-band-review" TargetMode="External"/><Relationship Id="rId6" Type="http://schemas.openxmlformats.org/officeDocument/2006/relationships/hyperlink" Target="https://www.itu.int/rec/R-REC-P.1812/en" TargetMode="External"/><Relationship Id="rId11" Type="http://schemas.openxmlformats.org/officeDocument/2006/relationships/hyperlink" Target="https://www.itu.int/pub/R-REP-F.2379-2015" TargetMode="External"/><Relationship Id="rId5" Type="http://schemas.openxmlformats.org/officeDocument/2006/relationships/hyperlink" Target="https://www.acma.gov.au/consultations/2022-11/review-2-ghz-spectrum-licensing-technical-framework-consultation-382022" TargetMode="External"/><Relationship Id="rId15" Type="http://schemas.openxmlformats.org/officeDocument/2006/relationships/hyperlink" Target="https://www.acma.gov.au/consultations/2021-12/proposed-licensing-arrangements-2-ghz-narrowband-mobile-satellite-services-and-28-ghz-fixed-satellite-services-consultation-462021" TargetMode="External"/><Relationship Id="rId10" Type="http://schemas.openxmlformats.org/officeDocument/2006/relationships/hyperlink" Target="https://www.acma.gov.au/consultations/2022-11/review-2-ghz-spectrum-licensing-technical-framework-consultation-382022" TargetMode="External"/><Relationship Id="rId19" Type="http://schemas.openxmlformats.org/officeDocument/2006/relationships/hyperlink" Target="https://www.acma.gov.au/consultations/2023-06/allocation-area-wide-apparatus-licences-38-ghz-band" TargetMode="External"/><Relationship Id="rId4" Type="http://schemas.openxmlformats.org/officeDocument/2006/relationships/hyperlink" Target="https://www.itu.int/en/ITU-R/study-groups/rsg4/Pages/imt-2020-sat-submission-eval.aspx" TargetMode="External"/><Relationship Id="rId9" Type="http://schemas.openxmlformats.org/officeDocument/2006/relationships/hyperlink" Target="https://www.itu.int/en/ITU-R/study-groups/rsg4/Pages/imt-2020-sat-submission-eval.aspx" TargetMode="External"/><Relationship Id="rId14" Type="http://schemas.openxmlformats.org/officeDocument/2006/relationships/hyperlink" Target="https://www.acma.gov.au/australian-radiofrequency-spectrum-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8262-1C21-46BC-9DE5-9254E2AB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11448</Words>
  <Characters>61591</Characters>
  <Application>Microsoft Office Word</Application>
  <DocSecurity>0</DocSecurity>
  <Lines>1368</Lines>
  <Paragraphs>689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72350</CharactersWithSpaces>
  <SharedDoc>false</SharedDoc>
  <HyperlinkBase/>
  <HLinks>
    <vt:vector size="564" baseType="variant">
      <vt:variant>
        <vt:i4>2949182</vt:i4>
      </vt:variant>
      <vt:variant>
        <vt:i4>348</vt:i4>
      </vt:variant>
      <vt:variant>
        <vt:i4>0</vt:i4>
      </vt:variant>
      <vt:variant>
        <vt:i4>5</vt:i4>
      </vt:variant>
      <vt:variant>
        <vt:lpwstr>https://www.acma.gov.au/25-ghz-technical-framework</vt:lpwstr>
      </vt:variant>
      <vt:variant>
        <vt:lpwstr/>
      </vt:variant>
      <vt:variant>
        <vt:i4>2818110</vt:i4>
      </vt:variant>
      <vt:variant>
        <vt:i4>345</vt:i4>
      </vt:variant>
      <vt:variant>
        <vt:i4>0</vt:i4>
      </vt:variant>
      <vt:variant>
        <vt:i4>5</vt:i4>
      </vt:variant>
      <vt:variant>
        <vt:lpwstr>https://www.acma.gov.au/23-ghz-technical-framework</vt:lpwstr>
      </vt:variant>
      <vt:variant>
        <vt:lpwstr/>
      </vt:variant>
      <vt:variant>
        <vt:i4>5767243</vt:i4>
      </vt:variant>
      <vt:variant>
        <vt:i4>342</vt:i4>
      </vt:variant>
      <vt:variant>
        <vt:i4>0</vt:i4>
      </vt:variant>
      <vt:variant>
        <vt:i4>5</vt:i4>
      </vt:variant>
      <vt:variant>
        <vt:lpwstr>https://www.acma.gov.au/consultations/2022-11/review-2-ghz-spectrum-licensing-technical-framework-consultation-382022</vt:lpwstr>
      </vt:variant>
      <vt:variant>
        <vt:lpwstr/>
      </vt:variant>
      <vt:variant>
        <vt:i4>5046358</vt:i4>
      </vt:variant>
      <vt:variant>
        <vt:i4>339</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6094854</vt:i4>
      </vt:variant>
      <vt:variant>
        <vt:i4>336</vt:i4>
      </vt:variant>
      <vt:variant>
        <vt:i4>0</vt:i4>
      </vt:variant>
      <vt:variant>
        <vt:i4>5</vt:i4>
      </vt:variant>
      <vt:variant>
        <vt:lpwstr>https://www.acma.gov.au/publications/2019-08/instruction/rali-ms32-mid-west-radio-quiet-zone</vt:lpwstr>
      </vt:variant>
      <vt:variant>
        <vt:lpwstr/>
      </vt:variant>
      <vt:variant>
        <vt:i4>7733358</vt:i4>
      </vt:variant>
      <vt:variant>
        <vt:i4>333</vt:i4>
      </vt:variant>
      <vt:variant>
        <vt:i4>0</vt:i4>
      </vt:variant>
      <vt:variant>
        <vt:i4>5</vt:i4>
      </vt:variant>
      <vt:variant>
        <vt:lpwstr>https://www.acma.gov.au/publications/2019-09/instruction/rali-fx21-television-outside-broadcasting-services</vt:lpwstr>
      </vt:variant>
      <vt:variant>
        <vt:lpwstr/>
      </vt:variant>
      <vt:variant>
        <vt:i4>7274598</vt:i4>
      </vt:variant>
      <vt:variant>
        <vt:i4>330</vt:i4>
      </vt:variant>
      <vt:variant>
        <vt:i4>0</vt:i4>
      </vt:variant>
      <vt:variant>
        <vt:i4>5</vt:i4>
      </vt:variant>
      <vt:variant>
        <vt:lpwstr>https://www.acma.gov.au/publications/2019-09/instruction/rali-fx3-microwave-fixed-services</vt:lpwstr>
      </vt:variant>
      <vt:variant>
        <vt:lpwstr/>
      </vt:variant>
      <vt:variant>
        <vt:i4>2949226</vt:i4>
      </vt:variant>
      <vt:variant>
        <vt:i4>327</vt:i4>
      </vt:variant>
      <vt:variant>
        <vt:i4>0</vt:i4>
      </vt:variant>
      <vt:variant>
        <vt:i4>5</vt:i4>
      </vt:variant>
      <vt:variant>
        <vt:lpwstr>https://docdb.cept.org/</vt:lpwstr>
      </vt:variant>
      <vt:variant>
        <vt:lpwstr/>
      </vt:variant>
      <vt:variant>
        <vt:i4>6094858</vt:i4>
      </vt:variant>
      <vt:variant>
        <vt:i4>324</vt:i4>
      </vt:variant>
      <vt:variant>
        <vt:i4>0</vt:i4>
      </vt:variant>
      <vt:variant>
        <vt:i4>5</vt:i4>
      </vt:variant>
      <vt:variant>
        <vt:lpwstr>https://www.etsi.org/</vt:lpwstr>
      </vt:variant>
      <vt:variant>
        <vt:lpwstr/>
      </vt:variant>
      <vt:variant>
        <vt:i4>6094859</vt:i4>
      </vt:variant>
      <vt:variant>
        <vt:i4>321</vt:i4>
      </vt:variant>
      <vt:variant>
        <vt:i4>0</vt:i4>
      </vt:variant>
      <vt:variant>
        <vt:i4>5</vt:i4>
      </vt:variant>
      <vt:variant>
        <vt:lpwstr>https://www.3gpp.org/specifications-technologies/specifications-by-series</vt:lpwstr>
      </vt:variant>
      <vt:variant>
        <vt:lpwstr/>
      </vt:variant>
      <vt:variant>
        <vt:i4>2097192</vt:i4>
      </vt:variant>
      <vt:variant>
        <vt:i4>318</vt:i4>
      </vt:variant>
      <vt:variant>
        <vt:i4>0</vt:i4>
      </vt:variant>
      <vt:variant>
        <vt:i4>5</vt:i4>
      </vt:variant>
      <vt:variant>
        <vt:lpwstr>https://www.acma.gov.au/privacy-policy</vt:lpwstr>
      </vt:variant>
      <vt:variant>
        <vt:lpwstr/>
      </vt:variant>
      <vt:variant>
        <vt:i4>3473455</vt:i4>
      </vt:variant>
      <vt:variant>
        <vt:i4>315</vt:i4>
      </vt:variant>
      <vt:variant>
        <vt:i4>0</vt:i4>
      </vt:variant>
      <vt:variant>
        <vt:i4>5</vt:i4>
      </vt:variant>
      <vt:variant>
        <vt:lpwstr>https://www.acma.gov.au/publication-submissions</vt:lpwstr>
      </vt:variant>
      <vt:variant>
        <vt:lpwstr/>
      </vt:variant>
      <vt:variant>
        <vt:i4>2752521</vt:i4>
      </vt:variant>
      <vt:variant>
        <vt:i4>312</vt:i4>
      </vt:variant>
      <vt:variant>
        <vt:i4>0</vt:i4>
      </vt:variant>
      <vt:variant>
        <vt:i4>5</vt:i4>
      </vt:variant>
      <vt:variant>
        <vt:lpwstr>mailto:satellite.coordination@acma.gov.au</vt:lpwstr>
      </vt:variant>
      <vt:variant>
        <vt:lpwstr/>
      </vt:variant>
      <vt:variant>
        <vt:i4>5308427</vt:i4>
      </vt:variant>
      <vt:variant>
        <vt:i4>309</vt:i4>
      </vt:variant>
      <vt:variant>
        <vt:i4>0</vt:i4>
      </vt:variant>
      <vt:variant>
        <vt:i4>5</vt:i4>
      </vt:variant>
      <vt:variant>
        <vt:lpwstr>https://www.acma.gov.au/have-your-say</vt:lpwstr>
      </vt:variant>
      <vt:variant>
        <vt:lpwstr/>
      </vt:variant>
      <vt:variant>
        <vt:i4>1703955</vt:i4>
      </vt:variant>
      <vt:variant>
        <vt:i4>306</vt:i4>
      </vt:variant>
      <vt:variant>
        <vt:i4>0</vt:i4>
      </vt:variant>
      <vt:variant>
        <vt:i4>5</vt:i4>
      </vt:variant>
      <vt:variant>
        <vt:lpwstr>https://www.acma.gov.au/sites/default/files/2023-10/Submissions - IFC 28-2023.zip</vt:lpwstr>
      </vt:variant>
      <vt:variant>
        <vt:lpwstr/>
      </vt:variant>
      <vt:variant>
        <vt:i4>9</vt:i4>
      </vt:variant>
      <vt:variant>
        <vt:i4>303</vt:i4>
      </vt:variant>
      <vt:variant>
        <vt:i4>0</vt:i4>
      </vt:variant>
      <vt:variant>
        <vt:i4>5</vt:i4>
      </vt:variant>
      <vt:variant>
        <vt:lpwstr>https://www.acma.gov.au/publications/2020-08/guide/submission-and-processing-applications-space-and-space-receive-apparatus-licences</vt:lpwstr>
      </vt:variant>
      <vt:variant>
        <vt:lpwstr/>
      </vt:variant>
      <vt:variant>
        <vt:i4>1441816</vt:i4>
      </vt:variant>
      <vt:variant>
        <vt:i4>300</vt:i4>
      </vt:variant>
      <vt:variant>
        <vt:i4>0</vt:i4>
      </vt:variant>
      <vt:variant>
        <vt:i4>5</vt:i4>
      </vt:variant>
      <vt:variant>
        <vt:lpwstr>https://www.acma.gov.au/procedures-space-and-space-receive-licensing</vt:lpwstr>
      </vt:variant>
      <vt:variant>
        <vt:lpwstr/>
      </vt:variant>
      <vt:variant>
        <vt:i4>1441816</vt:i4>
      </vt:variant>
      <vt:variant>
        <vt:i4>297</vt:i4>
      </vt:variant>
      <vt:variant>
        <vt:i4>0</vt:i4>
      </vt:variant>
      <vt:variant>
        <vt:i4>5</vt:i4>
      </vt:variant>
      <vt:variant>
        <vt:lpwstr>https://www.acma.gov.au/procedures-space-and-space-receive-licensing</vt:lpwstr>
      </vt:variant>
      <vt:variant>
        <vt:lpwstr/>
      </vt:variant>
      <vt:variant>
        <vt:i4>262169</vt:i4>
      </vt:variant>
      <vt:variant>
        <vt:i4>294</vt:i4>
      </vt:variant>
      <vt:variant>
        <vt:i4>0</vt:i4>
      </vt:variant>
      <vt:variant>
        <vt:i4>5</vt:i4>
      </vt:variant>
      <vt:variant>
        <vt:lpwstr>https://www.legislation.gov.au/Series/F2014L01584</vt:lpwstr>
      </vt:variant>
      <vt:variant>
        <vt:lpwstr/>
      </vt:variant>
      <vt:variant>
        <vt:i4>262169</vt:i4>
      </vt:variant>
      <vt:variant>
        <vt:i4>291</vt:i4>
      </vt:variant>
      <vt:variant>
        <vt:i4>0</vt:i4>
      </vt:variant>
      <vt:variant>
        <vt:i4>5</vt:i4>
      </vt:variant>
      <vt:variant>
        <vt:lpwstr>https://www.legislation.gov.au/Series/F2014L01586</vt:lpwstr>
      </vt:variant>
      <vt:variant>
        <vt:lpwstr/>
      </vt:variant>
      <vt:variant>
        <vt:i4>262169</vt:i4>
      </vt:variant>
      <vt:variant>
        <vt:i4>288</vt:i4>
      </vt:variant>
      <vt:variant>
        <vt:i4>0</vt:i4>
      </vt:variant>
      <vt:variant>
        <vt:i4>5</vt:i4>
      </vt:variant>
      <vt:variant>
        <vt:lpwstr>https://www.legislation.gov.au/Series/F2015L01486</vt:lpwstr>
      </vt:variant>
      <vt:variant>
        <vt:lpwstr/>
      </vt:variant>
      <vt:variant>
        <vt:i4>3866748</vt:i4>
      </vt:variant>
      <vt:variant>
        <vt:i4>285</vt:i4>
      </vt:variant>
      <vt:variant>
        <vt:i4>0</vt:i4>
      </vt:variant>
      <vt:variant>
        <vt:i4>5</vt:i4>
      </vt:variant>
      <vt:variant>
        <vt:lpwstr>https://www.acma.gov.au/publications/2020-02/guide/area-wide-licensing-acma-approach-introducing-area-wide-licences</vt:lpwstr>
      </vt:variant>
      <vt:variant>
        <vt:lpwstr/>
      </vt:variant>
      <vt:variant>
        <vt:i4>4390989</vt:i4>
      </vt:variant>
      <vt:variant>
        <vt:i4>282</vt:i4>
      </vt:variant>
      <vt:variant>
        <vt:i4>0</vt:i4>
      </vt:variant>
      <vt:variant>
        <vt:i4>5</vt:i4>
      </vt:variant>
      <vt:variant>
        <vt:lpwstr>https://www.itu.int/pub/R-REP-M.2514</vt:lpwstr>
      </vt:variant>
      <vt:variant>
        <vt:lpwstr/>
      </vt:variant>
      <vt:variant>
        <vt:i4>4980755</vt:i4>
      </vt:variant>
      <vt:variant>
        <vt:i4>279</vt:i4>
      </vt:variant>
      <vt:variant>
        <vt:i4>0</vt:i4>
      </vt:variant>
      <vt:variant>
        <vt:i4>5</vt:i4>
      </vt:variant>
      <vt:variant>
        <vt:lpwstr>https://www.acma.gov.au/publications/2019-08/publication/rali-ms32-mid-west-radio-quiet-zone</vt:lpwstr>
      </vt:variant>
      <vt:variant>
        <vt:lpwstr/>
      </vt:variant>
      <vt:variant>
        <vt:i4>393241</vt:i4>
      </vt:variant>
      <vt:variant>
        <vt:i4>276</vt:i4>
      </vt:variant>
      <vt:variant>
        <vt:i4>0</vt:i4>
      </vt:variant>
      <vt:variant>
        <vt:i4>5</vt:i4>
      </vt:variant>
      <vt:variant>
        <vt:lpwstr>https://www.legislation.gov.au/Series/F2023L00286</vt:lpwstr>
      </vt:variant>
      <vt:variant>
        <vt:lpwstr/>
      </vt:variant>
      <vt:variant>
        <vt:i4>4128890</vt:i4>
      </vt:variant>
      <vt:variant>
        <vt:i4>273</vt:i4>
      </vt:variant>
      <vt:variant>
        <vt:i4>0</vt:i4>
      </vt:variant>
      <vt:variant>
        <vt:i4>5</vt:i4>
      </vt:variant>
      <vt:variant>
        <vt:lpwstr>https://docdb.cept.org/document/494</vt:lpwstr>
      </vt:variant>
      <vt:variant>
        <vt:lpwstr/>
      </vt:variant>
      <vt:variant>
        <vt:i4>655378</vt:i4>
      </vt:variant>
      <vt:variant>
        <vt:i4>270</vt:i4>
      </vt:variant>
      <vt:variant>
        <vt:i4>0</vt:i4>
      </vt:variant>
      <vt:variant>
        <vt:i4>5</vt:i4>
      </vt:variant>
      <vt:variant>
        <vt:lpwstr>https://www.legislation.gov.au/Series/F2022l00843</vt:lpwstr>
      </vt:variant>
      <vt:variant>
        <vt:lpwstr/>
      </vt:variant>
      <vt:variant>
        <vt:i4>7733358</vt:i4>
      </vt:variant>
      <vt:variant>
        <vt:i4>267</vt:i4>
      </vt:variant>
      <vt:variant>
        <vt:i4>0</vt:i4>
      </vt:variant>
      <vt:variant>
        <vt:i4>5</vt:i4>
      </vt:variant>
      <vt:variant>
        <vt:lpwstr>https://www.acma.gov.au/publications/2019-09/instruction/rali-fx21-television-outside-broadcasting-services</vt:lpwstr>
      </vt:variant>
      <vt:variant>
        <vt:lpwstr/>
      </vt:variant>
      <vt:variant>
        <vt:i4>5177346</vt:i4>
      </vt:variant>
      <vt:variant>
        <vt:i4>264</vt:i4>
      </vt:variant>
      <vt:variant>
        <vt:i4>0</vt:i4>
      </vt:variant>
      <vt:variant>
        <vt:i4>5</vt:i4>
      </vt:variant>
      <vt:variant>
        <vt:lpwstr>https://www.acma.gov.au/2-ghz-technical-framework</vt:lpwstr>
      </vt:variant>
      <vt:variant>
        <vt:lpwstr/>
      </vt:variant>
      <vt:variant>
        <vt:i4>5046358</vt:i4>
      </vt:variant>
      <vt:variant>
        <vt:i4>261</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5046358</vt:i4>
      </vt:variant>
      <vt:variant>
        <vt:i4>258</vt:i4>
      </vt:variant>
      <vt:variant>
        <vt:i4>0</vt:i4>
      </vt:variant>
      <vt:variant>
        <vt:i4>5</vt:i4>
      </vt:variant>
      <vt:variant>
        <vt:lpwstr>https://www.acma.gov.au/publications/2019-08/instruction/rali-ms33-frequency-coordination-and-licensing-procedures-apparatus-licensed-pts-2-ghz-bands</vt:lpwstr>
      </vt:variant>
      <vt:variant>
        <vt:lpwstr/>
      </vt:variant>
      <vt:variant>
        <vt:i4>1048584</vt:i4>
      </vt:variant>
      <vt:variant>
        <vt:i4>249</vt:i4>
      </vt:variant>
      <vt:variant>
        <vt:i4>0</vt:i4>
      </vt:variant>
      <vt:variant>
        <vt:i4>5</vt:i4>
      </vt:variant>
      <vt:variant>
        <vt:lpwstr>https://www.acma.gov.au/publications/2021-05/instruction/rali-sm26-restrictions-apparatus-licensing-spectrum-licensed-spaces</vt:lpwstr>
      </vt:variant>
      <vt:variant>
        <vt:lpwstr/>
      </vt:variant>
      <vt:variant>
        <vt:i4>7274598</vt:i4>
      </vt:variant>
      <vt:variant>
        <vt:i4>234</vt:i4>
      </vt:variant>
      <vt:variant>
        <vt:i4>0</vt:i4>
      </vt:variant>
      <vt:variant>
        <vt:i4>5</vt:i4>
      </vt:variant>
      <vt:variant>
        <vt:lpwstr>https://www.acma.gov.au/publications/2019-09/instruction/rali-fx3-microwave-fixed-services</vt:lpwstr>
      </vt:variant>
      <vt:variant>
        <vt:lpwstr/>
      </vt:variant>
      <vt:variant>
        <vt:i4>4063273</vt:i4>
      </vt:variant>
      <vt:variant>
        <vt:i4>225</vt:i4>
      </vt:variant>
      <vt:variant>
        <vt:i4>0</vt:i4>
      </vt:variant>
      <vt:variant>
        <vt:i4>5</vt:i4>
      </vt:variant>
      <vt:variant>
        <vt:lpwstr>https://www.acma.gov.au/australian-radiofrequency-spectrum-plan</vt:lpwstr>
      </vt:variant>
      <vt:variant>
        <vt:lpwstr/>
      </vt:variant>
      <vt:variant>
        <vt:i4>3473533</vt:i4>
      </vt:variant>
      <vt:variant>
        <vt:i4>222</vt:i4>
      </vt:variant>
      <vt:variant>
        <vt:i4>0</vt:i4>
      </vt:variant>
      <vt:variant>
        <vt:i4>5</vt:i4>
      </vt:variant>
      <vt:variant>
        <vt:lpwstr>https://docdb.cept.org/document/339</vt:lpwstr>
      </vt:variant>
      <vt:variant>
        <vt:lpwstr/>
      </vt:variant>
      <vt:variant>
        <vt:i4>6946921</vt:i4>
      </vt:variant>
      <vt:variant>
        <vt:i4>219</vt:i4>
      </vt:variant>
      <vt:variant>
        <vt:i4>0</vt:i4>
      </vt:variant>
      <vt:variant>
        <vt:i4>5</vt:i4>
      </vt:variant>
      <vt:variant>
        <vt:lpwstr>https://www.etsi.org/deliver/etsi_en/302000_302099/302064/02.01.01_60/en_302064v020101p.pdf</vt:lpwstr>
      </vt:variant>
      <vt:variant>
        <vt:lpwstr/>
      </vt:variant>
      <vt:variant>
        <vt:i4>3473533</vt:i4>
      </vt:variant>
      <vt:variant>
        <vt:i4>216</vt:i4>
      </vt:variant>
      <vt:variant>
        <vt:i4>0</vt:i4>
      </vt:variant>
      <vt:variant>
        <vt:i4>5</vt:i4>
      </vt:variant>
      <vt:variant>
        <vt:lpwstr>https://docdb.cept.org/document/339</vt:lpwstr>
      </vt:variant>
      <vt:variant>
        <vt:lpwstr/>
      </vt:variant>
      <vt:variant>
        <vt:i4>1245236</vt:i4>
      </vt:variant>
      <vt:variant>
        <vt:i4>213</vt:i4>
      </vt:variant>
      <vt:variant>
        <vt:i4>0</vt:i4>
      </vt:variant>
      <vt:variant>
        <vt:i4>5</vt:i4>
      </vt:variant>
      <vt:variant>
        <vt:lpwstr/>
      </vt:variant>
      <vt:variant>
        <vt:lpwstr>_Toc149990593</vt:lpwstr>
      </vt:variant>
      <vt:variant>
        <vt:i4>7143451</vt:i4>
      </vt:variant>
      <vt:variant>
        <vt:i4>210</vt:i4>
      </vt:variant>
      <vt:variant>
        <vt:i4>0</vt:i4>
      </vt:variant>
      <vt:variant>
        <vt:i4>5</vt:i4>
      </vt:variant>
      <vt:variant>
        <vt:lpwstr/>
      </vt:variant>
      <vt:variant>
        <vt:lpwstr>_Appendix_A:_MSS</vt:lpwstr>
      </vt:variant>
      <vt:variant>
        <vt:i4>7143451</vt:i4>
      </vt:variant>
      <vt:variant>
        <vt:i4>207</vt:i4>
      </vt:variant>
      <vt:variant>
        <vt:i4>0</vt:i4>
      </vt:variant>
      <vt:variant>
        <vt:i4>5</vt:i4>
      </vt:variant>
      <vt:variant>
        <vt:lpwstr/>
      </vt:variant>
      <vt:variant>
        <vt:lpwstr>_Appendix_A:_MSS</vt:lpwstr>
      </vt:variant>
      <vt:variant>
        <vt:i4>6291582</vt:i4>
      </vt:variant>
      <vt:variant>
        <vt:i4>198</vt:i4>
      </vt:variant>
      <vt:variant>
        <vt:i4>0</vt:i4>
      </vt:variant>
      <vt:variant>
        <vt:i4>5</vt:i4>
      </vt:variant>
      <vt:variant>
        <vt:lpwstr>https://www.acma.gov.au/publications/2023-10/five-year-spectrum-outlook-2023-28</vt:lpwstr>
      </vt:variant>
      <vt:variant>
        <vt:lpwstr/>
      </vt:variant>
      <vt:variant>
        <vt:i4>2031659</vt:i4>
      </vt:variant>
      <vt:variant>
        <vt:i4>195</vt:i4>
      </vt:variant>
      <vt:variant>
        <vt:i4>0</vt:i4>
      </vt:variant>
      <vt:variant>
        <vt:i4>5</vt:i4>
      </vt:variant>
      <vt:variant>
        <vt:lpwstr/>
      </vt:variant>
      <vt:variant>
        <vt:lpwstr>_Licensing_and_allocation</vt:lpwstr>
      </vt:variant>
      <vt:variant>
        <vt:i4>8126549</vt:i4>
      </vt:variant>
      <vt:variant>
        <vt:i4>192</vt:i4>
      </vt:variant>
      <vt:variant>
        <vt:i4>0</vt:i4>
      </vt:variant>
      <vt:variant>
        <vt:i4>5</vt:i4>
      </vt:variant>
      <vt:variant>
        <vt:lpwstr/>
      </vt:variant>
      <vt:variant>
        <vt:lpwstr>_Issues_for_comment</vt:lpwstr>
      </vt:variant>
      <vt:variant>
        <vt:i4>3276845</vt:i4>
      </vt:variant>
      <vt:variant>
        <vt:i4>189</vt:i4>
      </vt:variant>
      <vt:variant>
        <vt:i4>0</vt:i4>
      </vt:variant>
      <vt:variant>
        <vt:i4>5</vt:i4>
      </vt:variant>
      <vt:variant>
        <vt:lpwstr>https://www.acma.gov.au/licences/public-telecommunications-service-pts-licence</vt:lpwstr>
      </vt:variant>
      <vt:variant>
        <vt:lpwstr/>
      </vt:variant>
      <vt:variant>
        <vt:i4>1703986</vt:i4>
      </vt:variant>
      <vt:variant>
        <vt:i4>182</vt:i4>
      </vt:variant>
      <vt:variant>
        <vt:i4>0</vt:i4>
      </vt:variant>
      <vt:variant>
        <vt:i4>5</vt:i4>
      </vt:variant>
      <vt:variant>
        <vt:lpwstr/>
      </vt:variant>
      <vt:variant>
        <vt:lpwstr>_Toc151109205</vt:lpwstr>
      </vt:variant>
      <vt:variant>
        <vt:i4>1703986</vt:i4>
      </vt:variant>
      <vt:variant>
        <vt:i4>176</vt:i4>
      </vt:variant>
      <vt:variant>
        <vt:i4>0</vt:i4>
      </vt:variant>
      <vt:variant>
        <vt:i4>5</vt:i4>
      </vt:variant>
      <vt:variant>
        <vt:lpwstr/>
      </vt:variant>
      <vt:variant>
        <vt:lpwstr>_Toc151109204</vt:lpwstr>
      </vt:variant>
      <vt:variant>
        <vt:i4>1703986</vt:i4>
      </vt:variant>
      <vt:variant>
        <vt:i4>170</vt:i4>
      </vt:variant>
      <vt:variant>
        <vt:i4>0</vt:i4>
      </vt:variant>
      <vt:variant>
        <vt:i4>5</vt:i4>
      </vt:variant>
      <vt:variant>
        <vt:lpwstr/>
      </vt:variant>
      <vt:variant>
        <vt:lpwstr>_Toc151109203</vt:lpwstr>
      </vt:variant>
      <vt:variant>
        <vt:i4>1703986</vt:i4>
      </vt:variant>
      <vt:variant>
        <vt:i4>164</vt:i4>
      </vt:variant>
      <vt:variant>
        <vt:i4>0</vt:i4>
      </vt:variant>
      <vt:variant>
        <vt:i4>5</vt:i4>
      </vt:variant>
      <vt:variant>
        <vt:lpwstr/>
      </vt:variant>
      <vt:variant>
        <vt:lpwstr>_Toc151109202</vt:lpwstr>
      </vt:variant>
      <vt:variant>
        <vt:i4>1703986</vt:i4>
      </vt:variant>
      <vt:variant>
        <vt:i4>158</vt:i4>
      </vt:variant>
      <vt:variant>
        <vt:i4>0</vt:i4>
      </vt:variant>
      <vt:variant>
        <vt:i4>5</vt:i4>
      </vt:variant>
      <vt:variant>
        <vt:lpwstr/>
      </vt:variant>
      <vt:variant>
        <vt:lpwstr>_Toc151109201</vt:lpwstr>
      </vt:variant>
      <vt:variant>
        <vt:i4>1703986</vt:i4>
      </vt:variant>
      <vt:variant>
        <vt:i4>152</vt:i4>
      </vt:variant>
      <vt:variant>
        <vt:i4>0</vt:i4>
      </vt:variant>
      <vt:variant>
        <vt:i4>5</vt:i4>
      </vt:variant>
      <vt:variant>
        <vt:lpwstr/>
      </vt:variant>
      <vt:variant>
        <vt:lpwstr>_Toc151109200</vt:lpwstr>
      </vt:variant>
      <vt:variant>
        <vt:i4>1245233</vt:i4>
      </vt:variant>
      <vt:variant>
        <vt:i4>146</vt:i4>
      </vt:variant>
      <vt:variant>
        <vt:i4>0</vt:i4>
      </vt:variant>
      <vt:variant>
        <vt:i4>5</vt:i4>
      </vt:variant>
      <vt:variant>
        <vt:lpwstr/>
      </vt:variant>
      <vt:variant>
        <vt:lpwstr>_Toc151109199</vt:lpwstr>
      </vt:variant>
      <vt:variant>
        <vt:i4>1245233</vt:i4>
      </vt:variant>
      <vt:variant>
        <vt:i4>140</vt:i4>
      </vt:variant>
      <vt:variant>
        <vt:i4>0</vt:i4>
      </vt:variant>
      <vt:variant>
        <vt:i4>5</vt:i4>
      </vt:variant>
      <vt:variant>
        <vt:lpwstr/>
      </vt:variant>
      <vt:variant>
        <vt:lpwstr>_Toc151109198</vt:lpwstr>
      </vt:variant>
      <vt:variant>
        <vt:i4>1245233</vt:i4>
      </vt:variant>
      <vt:variant>
        <vt:i4>134</vt:i4>
      </vt:variant>
      <vt:variant>
        <vt:i4>0</vt:i4>
      </vt:variant>
      <vt:variant>
        <vt:i4>5</vt:i4>
      </vt:variant>
      <vt:variant>
        <vt:lpwstr/>
      </vt:variant>
      <vt:variant>
        <vt:lpwstr>_Toc151109197</vt:lpwstr>
      </vt:variant>
      <vt:variant>
        <vt:i4>1245233</vt:i4>
      </vt:variant>
      <vt:variant>
        <vt:i4>128</vt:i4>
      </vt:variant>
      <vt:variant>
        <vt:i4>0</vt:i4>
      </vt:variant>
      <vt:variant>
        <vt:i4>5</vt:i4>
      </vt:variant>
      <vt:variant>
        <vt:lpwstr/>
      </vt:variant>
      <vt:variant>
        <vt:lpwstr>_Toc151109196</vt:lpwstr>
      </vt:variant>
      <vt:variant>
        <vt:i4>1245233</vt:i4>
      </vt:variant>
      <vt:variant>
        <vt:i4>122</vt:i4>
      </vt:variant>
      <vt:variant>
        <vt:i4>0</vt:i4>
      </vt:variant>
      <vt:variant>
        <vt:i4>5</vt:i4>
      </vt:variant>
      <vt:variant>
        <vt:lpwstr/>
      </vt:variant>
      <vt:variant>
        <vt:lpwstr>_Toc151109195</vt:lpwstr>
      </vt:variant>
      <vt:variant>
        <vt:i4>1245233</vt:i4>
      </vt:variant>
      <vt:variant>
        <vt:i4>116</vt:i4>
      </vt:variant>
      <vt:variant>
        <vt:i4>0</vt:i4>
      </vt:variant>
      <vt:variant>
        <vt:i4>5</vt:i4>
      </vt:variant>
      <vt:variant>
        <vt:lpwstr/>
      </vt:variant>
      <vt:variant>
        <vt:lpwstr>_Toc151109194</vt:lpwstr>
      </vt:variant>
      <vt:variant>
        <vt:i4>1245233</vt:i4>
      </vt:variant>
      <vt:variant>
        <vt:i4>110</vt:i4>
      </vt:variant>
      <vt:variant>
        <vt:i4>0</vt:i4>
      </vt:variant>
      <vt:variant>
        <vt:i4>5</vt:i4>
      </vt:variant>
      <vt:variant>
        <vt:lpwstr/>
      </vt:variant>
      <vt:variant>
        <vt:lpwstr>_Toc151109193</vt:lpwstr>
      </vt:variant>
      <vt:variant>
        <vt:i4>1245233</vt:i4>
      </vt:variant>
      <vt:variant>
        <vt:i4>104</vt:i4>
      </vt:variant>
      <vt:variant>
        <vt:i4>0</vt:i4>
      </vt:variant>
      <vt:variant>
        <vt:i4>5</vt:i4>
      </vt:variant>
      <vt:variant>
        <vt:lpwstr/>
      </vt:variant>
      <vt:variant>
        <vt:lpwstr>_Toc151109192</vt:lpwstr>
      </vt:variant>
      <vt:variant>
        <vt:i4>1245233</vt:i4>
      </vt:variant>
      <vt:variant>
        <vt:i4>98</vt:i4>
      </vt:variant>
      <vt:variant>
        <vt:i4>0</vt:i4>
      </vt:variant>
      <vt:variant>
        <vt:i4>5</vt:i4>
      </vt:variant>
      <vt:variant>
        <vt:lpwstr/>
      </vt:variant>
      <vt:variant>
        <vt:lpwstr>_Toc151109191</vt:lpwstr>
      </vt:variant>
      <vt:variant>
        <vt:i4>1245233</vt:i4>
      </vt:variant>
      <vt:variant>
        <vt:i4>92</vt:i4>
      </vt:variant>
      <vt:variant>
        <vt:i4>0</vt:i4>
      </vt:variant>
      <vt:variant>
        <vt:i4>5</vt:i4>
      </vt:variant>
      <vt:variant>
        <vt:lpwstr/>
      </vt:variant>
      <vt:variant>
        <vt:lpwstr>_Toc151109190</vt:lpwstr>
      </vt:variant>
      <vt:variant>
        <vt:i4>1179697</vt:i4>
      </vt:variant>
      <vt:variant>
        <vt:i4>86</vt:i4>
      </vt:variant>
      <vt:variant>
        <vt:i4>0</vt:i4>
      </vt:variant>
      <vt:variant>
        <vt:i4>5</vt:i4>
      </vt:variant>
      <vt:variant>
        <vt:lpwstr/>
      </vt:variant>
      <vt:variant>
        <vt:lpwstr>_Toc151109189</vt:lpwstr>
      </vt:variant>
      <vt:variant>
        <vt:i4>1179697</vt:i4>
      </vt:variant>
      <vt:variant>
        <vt:i4>80</vt:i4>
      </vt:variant>
      <vt:variant>
        <vt:i4>0</vt:i4>
      </vt:variant>
      <vt:variant>
        <vt:i4>5</vt:i4>
      </vt:variant>
      <vt:variant>
        <vt:lpwstr/>
      </vt:variant>
      <vt:variant>
        <vt:lpwstr>_Toc151109188</vt:lpwstr>
      </vt:variant>
      <vt:variant>
        <vt:i4>1179697</vt:i4>
      </vt:variant>
      <vt:variant>
        <vt:i4>74</vt:i4>
      </vt:variant>
      <vt:variant>
        <vt:i4>0</vt:i4>
      </vt:variant>
      <vt:variant>
        <vt:i4>5</vt:i4>
      </vt:variant>
      <vt:variant>
        <vt:lpwstr/>
      </vt:variant>
      <vt:variant>
        <vt:lpwstr>_Toc151109187</vt:lpwstr>
      </vt:variant>
      <vt:variant>
        <vt:i4>1179697</vt:i4>
      </vt:variant>
      <vt:variant>
        <vt:i4>68</vt:i4>
      </vt:variant>
      <vt:variant>
        <vt:i4>0</vt:i4>
      </vt:variant>
      <vt:variant>
        <vt:i4>5</vt:i4>
      </vt:variant>
      <vt:variant>
        <vt:lpwstr/>
      </vt:variant>
      <vt:variant>
        <vt:lpwstr>_Toc151109186</vt:lpwstr>
      </vt:variant>
      <vt:variant>
        <vt:i4>1179697</vt:i4>
      </vt:variant>
      <vt:variant>
        <vt:i4>62</vt:i4>
      </vt:variant>
      <vt:variant>
        <vt:i4>0</vt:i4>
      </vt:variant>
      <vt:variant>
        <vt:i4>5</vt:i4>
      </vt:variant>
      <vt:variant>
        <vt:lpwstr/>
      </vt:variant>
      <vt:variant>
        <vt:lpwstr>_Toc151109185</vt:lpwstr>
      </vt:variant>
      <vt:variant>
        <vt:i4>1179697</vt:i4>
      </vt:variant>
      <vt:variant>
        <vt:i4>56</vt:i4>
      </vt:variant>
      <vt:variant>
        <vt:i4>0</vt:i4>
      </vt:variant>
      <vt:variant>
        <vt:i4>5</vt:i4>
      </vt:variant>
      <vt:variant>
        <vt:lpwstr/>
      </vt:variant>
      <vt:variant>
        <vt:lpwstr>_Toc151109184</vt:lpwstr>
      </vt:variant>
      <vt:variant>
        <vt:i4>1179697</vt:i4>
      </vt:variant>
      <vt:variant>
        <vt:i4>50</vt:i4>
      </vt:variant>
      <vt:variant>
        <vt:i4>0</vt:i4>
      </vt:variant>
      <vt:variant>
        <vt:i4>5</vt:i4>
      </vt:variant>
      <vt:variant>
        <vt:lpwstr/>
      </vt:variant>
      <vt:variant>
        <vt:lpwstr>_Toc151109183</vt:lpwstr>
      </vt:variant>
      <vt:variant>
        <vt:i4>1179697</vt:i4>
      </vt:variant>
      <vt:variant>
        <vt:i4>44</vt:i4>
      </vt:variant>
      <vt:variant>
        <vt:i4>0</vt:i4>
      </vt:variant>
      <vt:variant>
        <vt:i4>5</vt:i4>
      </vt:variant>
      <vt:variant>
        <vt:lpwstr/>
      </vt:variant>
      <vt:variant>
        <vt:lpwstr>_Toc151109182</vt:lpwstr>
      </vt:variant>
      <vt:variant>
        <vt:i4>1179697</vt:i4>
      </vt:variant>
      <vt:variant>
        <vt:i4>38</vt:i4>
      </vt:variant>
      <vt:variant>
        <vt:i4>0</vt:i4>
      </vt:variant>
      <vt:variant>
        <vt:i4>5</vt:i4>
      </vt:variant>
      <vt:variant>
        <vt:lpwstr/>
      </vt:variant>
      <vt:variant>
        <vt:lpwstr>_Toc151109181</vt:lpwstr>
      </vt:variant>
      <vt:variant>
        <vt:i4>1179697</vt:i4>
      </vt:variant>
      <vt:variant>
        <vt:i4>32</vt:i4>
      </vt:variant>
      <vt:variant>
        <vt:i4>0</vt:i4>
      </vt:variant>
      <vt:variant>
        <vt:i4>5</vt:i4>
      </vt:variant>
      <vt:variant>
        <vt:lpwstr/>
      </vt:variant>
      <vt:variant>
        <vt:lpwstr>_Toc151109180</vt:lpwstr>
      </vt:variant>
      <vt:variant>
        <vt:i4>1900593</vt:i4>
      </vt:variant>
      <vt:variant>
        <vt:i4>26</vt:i4>
      </vt:variant>
      <vt:variant>
        <vt:i4>0</vt:i4>
      </vt:variant>
      <vt:variant>
        <vt:i4>5</vt:i4>
      </vt:variant>
      <vt:variant>
        <vt:lpwstr/>
      </vt:variant>
      <vt:variant>
        <vt:lpwstr>_Toc151109179</vt:lpwstr>
      </vt:variant>
      <vt:variant>
        <vt:i4>1900593</vt:i4>
      </vt:variant>
      <vt:variant>
        <vt:i4>20</vt:i4>
      </vt:variant>
      <vt:variant>
        <vt:i4>0</vt:i4>
      </vt:variant>
      <vt:variant>
        <vt:i4>5</vt:i4>
      </vt:variant>
      <vt:variant>
        <vt:lpwstr/>
      </vt:variant>
      <vt:variant>
        <vt:lpwstr>_Toc151109178</vt:lpwstr>
      </vt:variant>
      <vt:variant>
        <vt:i4>1900593</vt:i4>
      </vt:variant>
      <vt:variant>
        <vt:i4>14</vt:i4>
      </vt:variant>
      <vt:variant>
        <vt:i4>0</vt:i4>
      </vt:variant>
      <vt:variant>
        <vt:i4>5</vt:i4>
      </vt:variant>
      <vt:variant>
        <vt:lpwstr/>
      </vt:variant>
      <vt:variant>
        <vt:lpwstr>_Toc151109177</vt:lpwstr>
      </vt:variant>
      <vt:variant>
        <vt:i4>1900593</vt:i4>
      </vt:variant>
      <vt:variant>
        <vt:i4>8</vt:i4>
      </vt:variant>
      <vt:variant>
        <vt:i4>0</vt:i4>
      </vt:variant>
      <vt:variant>
        <vt:i4>5</vt:i4>
      </vt:variant>
      <vt:variant>
        <vt:lpwstr/>
      </vt:variant>
      <vt:variant>
        <vt:lpwstr>_Toc151109176</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1310802</vt:i4>
      </vt:variant>
      <vt:variant>
        <vt:i4>51</vt:i4>
      </vt:variant>
      <vt:variant>
        <vt:i4>0</vt:i4>
      </vt:variant>
      <vt:variant>
        <vt:i4>5</vt:i4>
      </vt:variant>
      <vt:variant>
        <vt:lpwstr>https://www.acma.gov.au/consultations/2023-06/allocation-area-wide-apparatus-licences-38-ghz-band</vt:lpwstr>
      </vt:variant>
      <vt:variant>
        <vt:lpwstr/>
      </vt:variant>
      <vt:variant>
        <vt:i4>4194317</vt:i4>
      </vt:variant>
      <vt:variant>
        <vt:i4>48</vt:i4>
      </vt:variant>
      <vt:variant>
        <vt:i4>0</vt:i4>
      </vt:variant>
      <vt:variant>
        <vt:i4>5</vt:i4>
      </vt:variant>
      <vt:variant>
        <vt:lpwstr>https://www.acma.gov.au/area-wide-apparatus-licensing-26-and-28-ghz-bands</vt:lpwstr>
      </vt:variant>
      <vt:variant>
        <vt:lpwstr/>
      </vt:variant>
      <vt:variant>
        <vt:i4>9</vt:i4>
      </vt:variant>
      <vt:variant>
        <vt:i4>45</vt:i4>
      </vt:variant>
      <vt:variant>
        <vt:i4>0</vt:i4>
      </vt:variant>
      <vt:variant>
        <vt:i4>5</vt:i4>
      </vt:variant>
      <vt:variant>
        <vt:lpwstr>https://www.acma.gov.au/publications/2020-08/guide/submission-and-processing-applications-space-and-space-receive-apparatus-licences</vt:lpwstr>
      </vt:variant>
      <vt:variant>
        <vt:lpwstr/>
      </vt:variant>
      <vt:variant>
        <vt:i4>3997804</vt:i4>
      </vt:variant>
      <vt:variant>
        <vt:i4>42</vt:i4>
      </vt:variant>
      <vt:variant>
        <vt:i4>0</vt:i4>
      </vt:variant>
      <vt:variant>
        <vt:i4>5</vt:i4>
      </vt:variant>
      <vt:variant>
        <vt:lpwstr>https://www.itu.int/rec/R-REC-P.1812/en</vt:lpwstr>
      </vt:variant>
      <vt:variant>
        <vt:lpwstr/>
      </vt:variant>
      <vt:variant>
        <vt:i4>5832717</vt:i4>
      </vt:variant>
      <vt:variant>
        <vt:i4>39</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4063273</vt:i4>
      </vt:variant>
      <vt:variant>
        <vt:i4>36</vt:i4>
      </vt:variant>
      <vt:variant>
        <vt:i4>0</vt:i4>
      </vt:variant>
      <vt:variant>
        <vt:i4>5</vt:i4>
      </vt:variant>
      <vt:variant>
        <vt:lpwstr>https://www.acma.gov.au/australian-radiofrequency-spectrum-plan</vt:lpwstr>
      </vt:variant>
      <vt:variant>
        <vt:lpwstr/>
      </vt:variant>
      <vt:variant>
        <vt:i4>5767243</vt:i4>
      </vt:variant>
      <vt:variant>
        <vt:i4>33</vt:i4>
      </vt:variant>
      <vt:variant>
        <vt:i4>0</vt:i4>
      </vt:variant>
      <vt:variant>
        <vt:i4>5</vt:i4>
      </vt:variant>
      <vt:variant>
        <vt:lpwstr>https://www.acma.gov.au/consultations/2022-11/review-2-ghz-spectrum-licensing-technical-framework-consultation-382022</vt:lpwstr>
      </vt:variant>
      <vt:variant>
        <vt:lpwstr/>
      </vt:variant>
      <vt:variant>
        <vt:i4>6750312</vt:i4>
      </vt:variant>
      <vt:variant>
        <vt:i4>30</vt:i4>
      </vt:variant>
      <vt:variant>
        <vt:i4>0</vt:i4>
      </vt:variant>
      <vt:variant>
        <vt:i4>5</vt:i4>
      </vt:variant>
      <vt:variant>
        <vt:lpwstr>https://www.acma.gov.au/25-ghz-band-review</vt:lpwstr>
      </vt:variant>
      <vt:variant>
        <vt:lpwstr/>
      </vt:variant>
      <vt:variant>
        <vt:i4>4915293</vt:i4>
      </vt:variant>
      <vt:variant>
        <vt:i4>27</vt:i4>
      </vt:variant>
      <vt:variant>
        <vt:i4>0</vt:i4>
      </vt:variant>
      <vt:variant>
        <vt:i4>5</vt:i4>
      </vt:variant>
      <vt:variant>
        <vt:lpwstr>https://www.itu.int/pub/R-REP-F.2379-2015</vt:lpwstr>
      </vt:variant>
      <vt:variant>
        <vt:lpwstr/>
      </vt:variant>
      <vt:variant>
        <vt:i4>5767243</vt:i4>
      </vt:variant>
      <vt:variant>
        <vt:i4>24</vt:i4>
      </vt:variant>
      <vt:variant>
        <vt:i4>0</vt:i4>
      </vt:variant>
      <vt:variant>
        <vt:i4>5</vt:i4>
      </vt:variant>
      <vt:variant>
        <vt:lpwstr>https://www.acma.gov.au/consultations/2022-11/review-2-ghz-spectrum-licensing-technical-framework-consultation-382022</vt:lpwstr>
      </vt:variant>
      <vt:variant>
        <vt:lpwstr/>
      </vt:variant>
      <vt:variant>
        <vt:i4>6881312</vt:i4>
      </vt:variant>
      <vt:variant>
        <vt:i4>21</vt:i4>
      </vt:variant>
      <vt:variant>
        <vt:i4>0</vt:i4>
      </vt:variant>
      <vt:variant>
        <vt:i4>5</vt:i4>
      </vt:variant>
      <vt:variant>
        <vt:lpwstr>https://www.itu.int/en/ITU-R/study-groups/rsg4/Pages/imt-2020-sat-submission-eval.aspx</vt:lpwstr>
      </vt:variant>
      <vt:variant>
        <vt:lpwstr/>
      </vt:variant>
      <vt:variant>
        <vt:i4>4128880</vt:i4>
      </vt:variant>
      <vt:variant>
        <vt:i4>18</vt:i4>
      </vt:variant>
      <vt:variant>
        <vt:i4>0</vt:i4>
      </vt:variant>
      <vt:variant>
        <vt:i4>5</vt:i4>
      </vt:variant>
      <vt:variant>
        <vt:lpwstr>https://www.itu.int/md/R00-SG04-CIR-0134/en</vt:lpwstr>
      </vt:variant>
      <vt:variant>
        <vt:lpwstr/>
      </vt:variant>
      <vt:variant>
        <vt:i4>1638484</vt:i4>
      </vt:variant>
      <vt:variant>
        <vt:i4>15</vt:i4>
      </vt:variant>
      <vt:variant>
        <vt:i4>0</vt:i4>
      </vt:variant>
      <vt:variant>
        <vt:i4>5</vt:i4>
      </vt:variant>
      <vt:variant>
        <vt:lpwstr>https://www.acma.gov.au/2-ghz-band-review</vt:lpwstr>
      </vt:variant>
      <vt:variant>
        <vt:lpwstr/>
      </vt:variant>
      <vt:variant>
        <vt:i4>3997804</vt:i4>
      </vt:variant>
      <vt:variant>
        <vt:i4>12</vt:i4>
      </vt:variant>
      <vt:variant>
        <vt:i4>0</vt:i4>
      </vt:variant>
      <vt:variant>
        <vt:i4>5</vt:i4>
      </vt:variant>
      <vt:variant>
        <vt:lpwstr>https://www.itu.int/rec/R-REC-P.1812/en</vt:lpwstr>
      </vt:variant>
      <vt:variant>
        <vt:lpwstr/>
      </vt:variant>
      <vt:variant>
        <vt:i4>5767243</vt:i4>
      </vt:variant>
      <vt:variant>
        <vt:i4>9</vt:i4>
      </vt:variant>
      <vt:variant>
        <vt:i4>0</vt:i4>
      </vt:variant>
      <vt:variant>
        <vt:i4>5</vt:i4>
      </vt:variant>
      <vt:variant>
        <vt:lpwstr>https://www.acma.gov.au/consultations/2022-11/review-2-ghz-spectrum-licensing-technical-framework-consultation-382022</vt:lpwstr>
      </vt:variant>
      <vt:variant>
        <vt:lpwstr/>
      </vt:variant>
      <vt:variant>
        <vt:i4>6881312</vt:i4>
      </vt:variant>
      <vt:variant>
        <vt:i4>6</vt:i4>
      </vt:variant>
      <vt:variant>
        <vt:i4>0</vt:i4>
      </vt:variant>
      <vt:variant>
        <vt:i4>5</vt:i4>
      </vt:variant>
      <vt:variant>
        <vt:lpwstr>https://www.itu.int/en/ITU-R/study-groups/rsg4/Pages/imt-2020-sat-submission-eval.aspx</vt:lpwstr>
      </vt:variant>
      <vt:variant>
        <vt:lpwstr/>
      </vt:variant>
      <vt:variant>
        <vt:i4>4128880</vt:i4>
      </vt:variant>
      <vt:variant>
        <vt:i4>3</vt:i4>
      </vt:variant>
      <vt:variant>
        <vt:i4>0</vt:i4>
      </vt:variant>
      <vt:variant>
        <vt:i4>5</vt:i4>
      </vt:variant>
      <vt:variant>
        <vt:lpwstr>https://www.itu.int/md/R00-SG04-CIR-0134/en</vt:lpwstr>
      </vt:variant>
      <vt:variant>
        <vt:lpwstr/>
      </vt:variant>
      <vt:variant>
        <vt:i4>1638484</vt:i4>
      </vt:variant>
      <vt:variant>
        <vt:i4>0</vt:i4>
      </vt:variant>
      <vt:variant>
        <vt:i4>0</vt:i4>
      </vt:variant>
      <vt:variant>
        <vt:i4>5</vt:i4>
      </vt:variant>
      <vt:variant>
        <vt:lpwstr>https://www.acma.gov.au/2-ghz-band-review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2023-11-21T03:25:00Z</dcterms:created>
  <dcterms:modified xsi:type="dcterms:W3CDTF">2023-11-21T03:29:00Z</dcterms:modified>
  <cp:category/>
</cp:coreProperties>
</file>